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4.xml" ContentType="application/vnd.openxmlformats-officedocument.themeOverride+xml"/>
  <Override PartName="/word/footer4.xml" ContentType="application/vnd.openxmlformats-officedocument.wordprocessingml.footer+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0.xml" ContentType="application/vnd.openxmlformats-officedocument.themeOverrid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1.xml" ContentType="application/vnd.openxmlformats-officedocument.themeOverrid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2.xml" ContentType="application/vnd.openxmlformats-officedocument.themeOverride+xml"/>
  <Override PartName="/word/charts/chart15.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3.xml" ContentType="application/vnd.openxmlformats-officedocument.themeOverrid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5F282" w14:textId="77777777" w:rsidR="00C879FB" w:rsidRPr="004A72CD" w:rsidRDefault="00C879FB" w:rsidP="00D51F5A">
      <w:pPr>
        <w:widowControl w:val="0"/>
        <w:autoSpaceDE w:val="0"/>
        <w:autoSpaceDN w:val="0"/>
        <w:adjustRightInd w:val="0"/>
        <w:spacing w:line="276" w:lineRule="auto"/>
        <w:jc w:val="center"/>
        <w:rPr>
          <w:rFonts w:asciiTheme="minorHAnsi" w:hAnsiTheme="minorHAnsi" w:cstheme="minorHAnsi"/>
          <w:b/>
          <w:sz w:val="26"/>
          <w:szCs w:val="26"/>
        </w:rPr>
      </w:pPr>
    </w:p>
    <w:p w14:paraId="351546A2" w14:textId="77777777" w:rsidR="00C879FB" w:rsidRPr="004A72CD" w:rsidRDefault="00C879FB" w:rsidP="00D51F5A">
      <w:pPr>
        <w:widowControl w:val="0"/>
        <w:autoSpaceDE w:val="0"/>
        <w:autoSpaceDN w:val="0"/>
        <w:adjustRightInd w:val="0"/>
        <w:spacing w:line="276" w:lineRule="auto"/>
        <w:jc w:val="center"/>
        <w:rPr>
          <w:rFonts w:asciiTheme="minorHAnsi" w:hAnsiTheme="minorHAnsi" w:cstheme="minorHAnsi"/>
          <w:b/>
          <w:sz w:val="26"/>
          <w:szCs w:val="26"/>
        </w:rPr>
      </w:pPr>
    </w:p>
    <w:p w14:paraId="1FD0F64E" w14:textId="77777777" w:rsidR="00172836" w:rsidRPr="004A72CD" w:rsidRDefault="00172836" w:rsidP="00D51F5A">
      <w:pPr>
        <w:widowControl w:val="0"/>
        <w:autoSpaceDE w:val="0"/>
        <w:autoSpaceDN w:val="0"/>
        <w:adjustRightInd w:val="0"/>
        <w:spacing w:line="276" w:lineRule="auto"/>
        <w:jc w:val="center"/>
        <w:rPr>
          <w:rFonts w:asciiTheme="minorHAnsi" w:hAnsiTheme="minorHAnsi" w:cstheme="minorHAnsi"/>
          <w:b/>
          <w:sz w:val="26"/>
          <w:szCs w:val="26"/>
        </w:rPr>
      </w:pPr>
    </w:p>
    <w:p w14:paraId="2E85DDE9" w14:textId="77777777" w:rsidR="00172836" w:rsidRPr="004A72CD" w:rsidRDefault="00172836" w:rsidP="00D51F5A">
      <w:pPr>
        <w:widowControl w:val="0"/>
        <w:autoSpaceDE w:val="0"/>
        <w:autoSpaceDN w:val="0"/>
        <w:adjustRightInd w:val="0"/>
        <w:spacing w:line="276" w:lineRule="auto"/>
        <w:jc w:val="center"/>
        <w:rPr>
          <w:rFonts w:asciiTheme="minorHAnsi" w:hAnsiTheme="minorHAnsi" w:cstheme="minorHAnsi"/>
          <w:b/>
          <w:sz w:val="26"/>
          <w:szCs w:val="26"/>
        </w:rPr>
      </w:pPr>
    </w:p>
    <w:p w14:paraId="609F09BC" w14:textId="77777777" w:rsidR="00172836" w:rsidRPr="004A72CD" w:rsidRDefault="00172836" w:rsidP="00D51F5A">
      <w:pPr>
        <w:tabs>
          <w:tab w:val="center" w:pos="4848"/>
          <w:tab w:val="left" w:pos="8850"/>
          <w:tab w:val="right" w:pos="9697"/>
        </w:tabs>
        <w:spacing w:before="2400"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R A P O R T</w:t>
      </w:r>
    </w:p>
    <w:p w14:paraId="5045662F" w14:textId="77777777" w:rsidR="00172836" w:rsidRPr="004A72CD" w:rsidRDefault="00172836" w:rsidP="00D51F5A">
      <w:pPr>
        <w:spacing w:line="276" w:lineRule="auto"/>
        <w:jc w:val="center"/>
        <w:rPr>
          <w:rFonts w:asciiTheme="minorHAnsi" w:hAnsiTheme="minorHAnsi" w:cstheme="minorHAnsi"/>
          <w:b/>
          <w:sz w:val="26"/>
          <w:szCs w:val="26"/>
        </w:rPr>
      </w:pPr>
    </w:p>
    <w:p w14:paraId="116E00B4" w14:textId="77777777" w:rsidR="00172836" w:rsidRPr="004A72CD" w:rsidRDefault="00172836" w:rsidP="00D51F5A">
      <w:pPr>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 xml:space="preserve">PRIVIND ACTIVITATEA </w:t>
      </w:r>
    </w:p>
    <w:p w14:paraId="441DB4E2" w14:textId="77777777" w:rsidR="00172836" w:rsidRPr="004A72CD" w:rsidRDefault="00172836" w:rsidP="00D51F5A">
      <w:pPr>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 xml:space="preserve">CONSILIULUI SUPERIOR AL MAGISTRATURII </w:t>
      </w:r>
    </w:p>
    <w:p w14:paraId="42B1247C" w14:textId="0144C672" w:rsidR="00172836" w:rsidRPr="004A72CD" w:rsidRDefault="00172836" w:rsidP="00D51F5A">
      <w:pPr>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ÎN ANUL 2024</w:t>
      </w:r>
    </w:p>
    <w:p w14:paraId="20D16F7B" w14:textId="77777777" w:rsidR="00172836" w:rsidRPr="004A72CD" w:rsidRDefault="00172836" w:rsidP="00D51F5A">
      <w:pPr>
        <w:tabs>
          <w:tab w:val="left" w:pos="525"/>
          <w:tab w:val="left" w:pos="1320"/>
          <w:tab w:val="center" w:pos="5102"/>
        </w:tabs>
        <w:spacing w:line="276" w:lineRule="auto"/>
        <w:ind w:firstLine="284"/>
        <w:jc w:val="center"/>
        <w:rPr>
          <w:rFonts w:asciiTheme="minorHAnsi" w:hAnsiTheme="minorHAnsi" w:cstheme="minorHAnsi"/>
          <w:sz w:val="26"/>
          <w:szCs w:val="26"/>
        </w:rPr>
      </w:pPr>
      <w:r w:rsidRPr="004A72CD">
        <w:rPr>
          <w:rFonts w:asciiTheme="minorHAnsi" w:hAnsiTheme="minorHAnsi" w:cstheme="minorHAnsi"/>
          <w:b/>
          <w:sz w:val="26"/>
          <w:szCs w:val="26"/>
          <w:lang w:eastAsia="ro-RO"/>
        </w:rPr>
        <w:drawing>
          <wp:inline distT="0" distB="0" distL="0" distR="0" wp14:anchorId="7EB8545F" wp14:editId="0089AD63">
            <wp:extent cx="3139440" cy="31394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39440" cy="3139440"/>
                    </a:xfrm>
                    <a:prstGeom prst="rect">
                      <a:avLst/>
                    </a:prstGeom>
                    <a:noFill/>
                    <a:ln>
                      <a:noFill/>
                    </a:ln>
                  </pic:spPr>
                </pic:pic>
              </a:graphicData>
            </a:graphic>
          </wp:inline>
        </w:drawing>
      </w:r>
    </w:p>
    <w:p w14:paraId="1DAE91A2" w14:textId="77777777" w:rsidR="00172836" w:rsidRPr="004A72CD" w:rsidRDefault="00172836" w:rsidP="00D51F5A">
      <w:pPr>
        <w:spacing w:line="276" w:lineRule="auto"/>
        <w:jc w:val="both"/>
        <w:rPr>
          <w:rFonts w:asciiTheme="minorHAnsi" w:hAnsiTheme="minorHAnsi" w:cstheme="minorHAnsi"/>
          <w:sz w:val="26"/>
          <w:szCs w:val="26"/>
        </w:rPr>
      </w:pPr>
    </w:p>
    <w:p w14:paraId="4D15C66C" w14:textId="77777777" w:rsidR="00172836" w:rsidRPr="004A72CD" w:rsidRDefault="00172836" w:rsidP="00D51F5A">
      <w:pPr>
        <w:spacing w:line="276" w:lineRule="auto"/>
        <w:jc w:val="both"/>
        <w:rPr>
          <w:rFonts w:asciiTheme="minorHAnsi" w:hAnsiTheme="minorHAnsi" w:cstheme="minorHAnsi"/>
          <w:sz w:val="26"/>
          <w:szCs w:val="26"/>
        </w:rPr>
      </w:pPr>
    </w:p>
    <w:p w14:paraId="5769FD84" w14:textId="07F50DEF" w:rsidR="00172836" w:rsidRPr="004A72CD" w:rsidRDefault="00172836" w:rsidP="00D51F5A">
      <w:pPr>
        <w:spacing w:line="276" w:lineRule="auto"/>
        <w:jc w:val="both"/>
        <w:rPr>
          <w:rFonts w:asciiTheme="minorHAnsi" w:hAnsiTheme="minorHAnsi" w:cstheme="minorHAnsi"/>
          <w:sz w:val="26"/>
          <w:szCs w:val="26"/>
        </w:rPr>
      </w:pPr>
    </w:p>
    <w:p w14:paraId="75452463" w14:textId="1A9958EC" w:rsidR="00172836" w:rsidRPr="004A72CD" w:rsidRDefault="00172836" w:rsidP="00D51F5A">
      <w:pPr>
        <w:spacing w:line="276" w:lineRule="auto"/>
        <w:jc w:val="both"/>
        <w:rPr>
          <w:rFonts w:asciiTheme="minorHAnsi" w:hAnsiTheme="minorHAnsi" w:cstheme="minorHAnsi"/>
          <w:sz w:val="26"/>
          <w:szCs w:val="26"/>
        </w:rPr>
      </w:pPr>
    </w:p>
    <w:p w14:paraId="7891D868" w14:textId="77777777" w:rsidR="00172836" w:rsidRPr="004A72CD" w:rsidRDefault="00172836" w:rsidP="00D51F5A">
      <w:pPr>
        <w:tabs>
          <w:tab w:val="left" w:pos="1215"/>
        </w:tabs>
        <w:spacing w:line="276" w:lineRule="auto"/>
        <w:jc w:val="both"/>
        <w:rPr>
          <w:rFonts w:asciiTheme="minorHAnsi" w:hAnsiTheme="minorHAnsi" w:cstheme="minorHAnsi"/>
          <w:sz w:val="26"/>
          <w:szCs w:val="26"/>
        </w:rPr>
      </w:pPr>
    </w:p>
    <w:p w14:paraId="0E280419" w14:textId="77777777" w:rsidR="00172836" w:rsidRDefault="00172836" w:rsidP="00D51F5A">
      <w:pPr>
        <w:tabs>
          <w:tab w:val="left" w:pos="1215"/>
        </w:tabs>
        <w:spacing w:line="276" w:lineRule="auto"/>
        <w:jc w:val="both"/>
        <w:rPr>
          <w:rFonts w:asciiTheme="minorHAnsi" w:hAnsiTheme="minorHAnsi" w:cstheme="minorHAnsi"/>
          <w:sz w:val="26"/>
          <w:szCs w:val="26"/>
        </w:rPr>
      </w:pPr>
    </w:p>
    <w:p w14:paraId="0AD5A05F" w14:textId="77777777" w:rsidR="00D51F5A" w:rsidRDefault="00D51F5A" w:rsidP="00D51F5A">
      <w:pPr>
        <w:tabs>
          <w:tab w:val="left" w:pos="1215"/>
        </w:tabs>
        <w:spacing w:line="276" w:lineRule="auto"/>
        <w:jc w:val="both"/>
        <w:rPr>
          <w:rFonts w:asciiTheme="minorHAnsi" w:hAnsiTheme="minorHAnsi" w:cstheme="minorHAnsi"/>
          <w:sz w:val="26"/>
          <w:szCs w:val="26"/>
        </w:rPr>
      </w:pPr>
    </w:p>
    <w:p w14:paraId="0F1ECE41" w14:textId="77777777" w:rsidR="00D51F5A" w:rsidRPr="004A72CD" w:rsidRDefault="00D51F5A" w:rsidP="00D51F5A">
      <w:pPr>
        <w:tabs>
          <w:tab w:val="left" w:pos="1215"/>
        </w:tabs>
        <w:spacing w:line="276" w:lineRule="auto"/>
        <w:jc w:val="both"/>
        <w:rPr>
          <w:rFonts w:asciiTheme="minorHAnsi" w:hAnsiTheme="minorHAnsi" w:cstheme="minorHAnsi"/>
          <w:sz w:val="26"/>
          <w:szCs w:val="26"/>
        </w:rPr>
      </w:pPr>
    </w:p>
    <w:p w14:paraId="3031DF5E" w14:textId="77777777" w:rsidR="00172836" w:rsidRPr="004A72CD" w:rsidRDefault="00172836" w:rsidP="00D51F5A">
      <w:pPr>
        <w:spacing w:line="276" w:lineRule="auto"/>
        <w:jc w:val="both"/>
        <w:rPr>
          <w:rFonts w:asciiTheme="minorHAnsi" w:hAnsiTheme="minorHAnsi" w:cstheme="minorHAnsi"/>
          <w:sz w:val="26"/>
          <w:szCs w:val="26"/>
        </w:rPr>
      </w:pPr>
    </w:p>
    <w:p w14:paraId="0452DA0A" w14:textId="77777777" w:rsidR="00172836" w:rsidRPr="004A72CD" w:rsidRDefault="00172836" w:rsidP="00D51F5A">
      <w:pPr>
        <w:tabs>
          <w:tab w:val="center" w:pos="4536"/>
          <w:tab w:val="right" w:pos="9072"/>
        </w:tabs>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Adresa: Bucureşti, Calea Plevnei, Nr. 141 B, Sector 6</w:t>
      </w:r>
    </w:p>
    <w:p w14:paraId="798370A5" w14:textId="77777777" w:rsidR="00172836" w:rsidRPr="004A72CD" w:rsidRDefault="00172836" w:rsidP="00D51F5A">
      <w:pPr>
        <w:tabs>
          <w:tab w:val="center" w:pos="4536"/>
          <w:tab w:val="right" w:pos="9072"/>
        </w:tabs>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Tel 311 69 33; Fax 311 69 42</w:t>
      </w:r>
    </w:p>
    <w:p w14:paraId="428560ED" w14:textId="77777777" w:rsidR="00172836" w:rsidRPr="004A72CD" w:rsidRDefault="00172836" w:rsidP="00D51F5A">
      <w:pPr>
        <w:tabs>
          <w:tab w:val="center" w:pos="4536"/>
          <w:tab w:val="right" w:pos="9072"/>
        </w:tabs>
        <w:spacing w:line="276" w:lineRule="auto"/>
        <w:jc w:val="center"/>
        <w:rPr>
          <w:rFonts w:asciiTheme="minorHAnsi" w:hAnsiTheme="minorHAnsi" w:cstheme="minorHAnsi"/>
          <w:sz w:val="26"/>
          <w:szCs w:val="26"/>
          <w:u w:val="single"/>
        </w:rPr>
      </w:pPr>
      <w:r w:rsidRPr="004A72CD">
        <w:rPr>
          <w:rFonts w:asciiTheme="minorHAnsi" w:hAnsiTheme="minorHAnsi" w:cstheme="minorHAnsi"/>
          <w:sz w:val="26"/>
          <w:szCs w:val="26"/>
        </w:rPr>
        <w:t xml:space="preserve">Web: </w:t>
      </w:r>
      <w:hyperlink r:id="rId9" w:history="1">
        <w:r w:rsidRPr="004A72CD">
          <w:rPr>
            <w:rStyle w:val="Hyperlink"/>
            <w:rFonts w:asciiTheme="minorHAnsi" w:hAnsiTheme="minorHAnsi" w:cstheme="minorHAnsi"/>
            <w:sz w:val="26"/>
            <w:szCs w:val="26"/>
          </w:rPr>
          <w:t>www.csm1909.ro</w:t>
        </w:r>
      </w:hyperlink>
    </w:p>
    <w:p w14:paraId="11E44F06" w14:textId="77777777" w:rsidR="00172836" w:rsidRPr="004A72CD" w:rsidRDefault="00172836" w:rsidP="00D51F5A">
      <w:pPr>
        <w:tabs>
          <w:tab w:val="center" w:pos="4536"/>
          <w:tab w:val="right" w:pos="9072"/>
        </w:tabs>
        <w:spacing w:line="276" w:lineRule="auto"/>
        <w:jc w:val="center"/>
        <w:rPr>
          <w:rFonts w:asciiTheme="minorHAnsi" w:hAnsiTheme="minorHAnsi" w:cstheme="minorHAnsi"/>
          <w:sz w:val="26"/>
          <w:szCs w:val="26"/>
          <w:u w:val="single"/>
        </w:rPr>
      </w:pPr>
    </w:p>
    <w:p w14:paraId="225CFC4F" w14:textId="77777777" w:rsidR="00712FF3" w:rsidRPr="004A72CD" w:rsidRDefault="00712FF3" w:rsidP="00D51F5A">
      <w:pPr>
        <w:widowControl w:val="0"/>
        <w:autoSpaceDE w:val="0"/>
        <w:autoSpaceDN w:val="0"/>
        <w:adjustRightInd w:val="0"/>
        <w:spacing w:line="276" w:lineRule="auto"/>
        <w:ind w:firstLine="851"/>
        <w:jc w:val="center"/>
        <w:rPr>
          <w:rFonts w:asciiTheme="minorHAnsi" w:hAnsiTheme="minorHAnsi" w:cstheme="minorHAnsi"/>
          <w:b/>
          <w:sz w:val="26"/>
          <w:szCs w:val="26"/>
        </w:rPr>
        <w:sectPr w:rsidR="00712FF3" w:rsidRPr="004A72CD" w:rsidSect="00EC1936">
          <w:footerReference w:type="default" r:id="rId10"/>
          <w:pgSz w:w="11906" w:h="16838" w:code="9"/>
          <w:pgMar w:top="567" w:right="851" w:bottom="567" w:left="851" w:header="567" w:footer="284" w:gutter="0"/>
          <w:cols w:space="708"/>
          <w:docGrid w:linePitch="381"/>
        </w:sectPr>
      </w:pPr>
    </w:p>
    <w:p w14:paraId="4C343B37" w14:textId="07C1782B" w:rsidR="003175C4" w:rsidRPr="004A72CD" w:rsidRDefault="003175C4" w:rsidP="00D51F5A">
      <w:pPr>
        <w:widowControl w:val="0"/>
        <w:autoSpaceDE w:val="0"/>
        <w:autoSpaceDN w:val="0"/>
        <w:adjustRightInd w:val="0"/>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lastRenderedPageBreak/>
        <w:t>CUPRINS</w:t>
      </w:r>
    </w:p>
    <w:p w14:paraId="64A34A92" w14:textId="77777777" w:rsidR="008C03E4" w:rsidRPr="004A72CD" w:rsidRDefault="008C03E4" w:rsidP="00D51F5A">
      <w:pPr>
        <w:widowControl w:val="0"/>
        <w:autoSpaceDE w:val="0"/>
        <w:autoSpaceDN w:val="0"/>
        <w:adjustRightInd w:val="0"/>
        <w:spacing w:line="276" w:lineRule="auto"/>
        <w:jc w:val="center"/>
        <w:rPr>
          <w:rFonts w:asciiTheme="minorHAnsi" w:hAnsiTheme="minorHAnsi" w:cstheme="minorHAnsi"/>
          <w:b/>
          <w:sz w:val="26"/>
          <w:szCs w:val="26"/>
        </w:rPr>
      </w:pPr>
    </w:p>
    <w:sdt>
      <w:sdtPr>
        <w:rPr>
          <w:rFonts w:ascii="Arial" w:eastAsia="Times New Roman" w:hAnsi="Arial" w:cstheme="minorHAnsi"/>
          <w:b w:val="0"/>
          <w:color w:val="auto"/>
          <w:sz w:val="26"/>
          <w:szCs w:val="26"/>
          <w:lang w:val="ro-RO"/>
        </w:rPr>
        <w:id w:val="117108643"/>
        <w:docPartObj>
          <w:docPartGallery w:val="Table of Contents"/>
          <w:docPartUnique/>
        </w:docPartObj>
      </w:sdtPr>
      <w:sdtEndPr>
        <w:rPr>
          <w:bCs/>
        </w:rPr>
      </w:sdtEndPr>
      <w:sdtContent>
        <w:p w14:paraId="24506C4B" w14:textId="3BAF5B4D" w:rsidR="005625CB" w:rsidRPr="004A72CD" w:rsidRDefault="005625CB" w:rsidP="00D51F5A">
          <w:pPr>
            <w:pStyle w:val="TOCHeading"/>
            <w:spacing w:line="276" w:lineRule="auto"/>
            <w:rPr>
              <w:rFonts w:cstheme="minorHAnsi"/>
              <w:color w:val="auto"/>
              <w:sz w:val="26"/>
              <w:szCs w:val="26"/>
              <w:lang w:val="ro-RO"/>
            </w:rPr>
          </w:pPr>
        </w:p>
        <w:p w14:paraId="6D8B6179" w14:textId="54B6DF23" w:rsidR="007476A7" w:rsidRDefault="005625CB">
          <w:pPr>
            <w:pStyle w:val="TOC1"/>
            <w:rPr>
              <w:rFonts w:asciiTheme="minorHAnsi" w:eastAsiaTheme="minorEastAsia" w:hAnsiTheme="minorHAnsi" w:cstheme="minorBidi"/>
              <w:b w:val="0"/>
              <w:kern w:val="2"/>
              <w:sz w:val="24"/>
              <w:szCs w:val="24"/>
              <w:lang w:eastAsia="ro-RO"/>
              <w14:ligatures w14:val="standardContextual"/>
            </w:rPr>
          </w:pPr>
          <w:r w:rsidRPr="004A72CD">
            <w:rPr>
              <w:rFonts w:asciiTheme="minorHAnsi" w:hAnsiTheme="minorHAnsi" w:cstheme="minorHAnsi"/>
              <w:szCs w:val="26"/>
            </w:rPr>
            <w:fldChar w:fldCharType="begin"/>
          </w:r>
          <w:r w:rsidRPr="004A72CD">
            <w:rPr>
              <w:rFonts w:asciiTheme="minorHAnsi" w:hAnsiTheme="minorHAnsi" w:cstheme="minorHAnsi"/>
              <w:szCs w:val="26"/>
            </w:rPr>
            <w:instrText xml:space="preserve"> TOC \o "1-3" \h \z \u </w:instrText>
          </w:r>
          <w:r w:rsidRPr="004A72CD">
            <w:rPr>
              <w:rFonts w:asciiTheme="minorHAnsi" w:hAnsiTheme="minorHAnsi" w:cstheme="minorHAnsi"/>
              <w:szCs w:val="26"/>
            </w:rPr>
            <w:fldChar w:fldCharType="separate"/>
          </w:r>
          <w:hyperlink w:anchor="_Toc187824342" w:history="1">
            <w:r w:rsidR="007476A7" w:rsidRPr="005D0522">
              <w:rPr>
                <w:rStyle w:val="Hyperlink"/>
                <w:rFonts w:cstheme="minorHAnsi"/>
              </w:rPr>
              <w:t>Cuvânt înainte al preşedintelui Consiliului Superior al Magistraturii</w:t>
            </w:r>
            <w:r w:rsidR="007476A7">
              <w:rPr>
                <w:webHidden/>
              </w:rPr>
              <w:tab/>
            </w:r>
            <w:r w:rsidR="007476A7">
              <w:rPr>
                <w:webHidden/>
              </w:rPr>
              <w:fldChar w:fldCharType="begin"/>
            </w:r>
            <w:r w:rsidR="007476A7">
              <w:rPr>
                <w:webHidden/>
              </w:rPr>
              <w:instrText xml:space="preserve"> PAGEREF _Toc187824342 \h </w:instrText>
            </w:r>
            <w:r w:rsidR="007476A7">
              <w:rPr>
                <w:webHidden/>
              </w:rPr>
            </w:r>
            <w:r w:rsidR="007476A7">
              <w:rPr>
                <w:webHidden/>
              </w:rPr>
              <w:fldChar w:fldCharType="separate"/>
            </w:r>
            <w:r w:rsidR="007476A7">
              <w:rPr>
                <w:webHidden/>
              </w:rPr>
              <w:t>6</w:t>
            </w:r>
            <w:r w:rsidR="007476A7">
              <w:rPr>
                <w:webHidden/>
              </w:rPr>
              <w:fldChar w:fldCharType="end"/>
            </w:r>
          </w:hyperlink>
        </w:p>
        <w:p w14:paraId="17274E74" w14:textId="7CF0D7EB" w:rsidR="007476A7" w:rsidRDefault="007476A7">
          <w:pPr>
            <w:pStyle w:val="TOC1"/>
            <w:rPr>
              <w:rFonts w:asciiTheme="minorHAnsi" w:eastAsiaTheme="minorEastAsia" w:hAnsiTheme="minorHAnsi" w:cstheme="minorBidi"/>
              <w:b w:val="0"/>
              <w:kern w:val="2"/>
              <w:sz w:val="24"/>
              <w:szCs w:val="24"/>
              <w:lang w:eastAsia="ro-RO"/>
              <w14:ligatures w14:val="standardContextual"/>
            </w:rPr>
          </w:pPr>
          <w:hyperlink w:anchor="_Toc187824343" w:history="1">
            <w:r w:rsidRPr="005D0522">
              <w:rPr>
                <w:rStyle w:val="Hyperlink"/>
                <w:rFonts w:cstheme="minorHAnsi"/>
              </w:rPr>
              <w:t>CAPITOLUL I</w:t>
            </w:r>
            <w:r>
              <w:rPr>
                <w:webHidden/>
              </w:rPr>
              <w:tab/>
            </w:r>
            <w:r>
              <w:rPr>
                <w:webHidden/>
              </w:rPr>
              <w:fldChar w:fldCharType="begin"/>
            </w:r>
            <w:r>
              <w:rPr>
                <w:webHidden/>
              </w:rPr>
              <w:instrText xml:space="preserve"> PAGEREF _Toc187824343 \h </w:instrText>
            </w:r>
            <w:r>
              <w:rPr>
                <w:webHidden/>
              </w:rPr>
            </w:r>
            <w:r>
              <w:rPr>
                <w:webHidden/>
              </w:rPr>
              <w:fldChar w:fldCharType="separate"/>
            </w:r>
            <w:r>
              <w:rPr>
                <w:webHidden/>
              </w:rPr>
              <w:t>8</w:t>
            </w:r>
            <w:r>
              <w:rPr>
                <w:webHidden/>
              </w:rPr>
              <w:fldChar w:fldCharType="end"/>
            </w:r>
          </w:hyperlink>
        </w:p>
        <w:p w14:paraId="59F97668" w14:textId="27FB38DB" w:rsidR="007476A7" w:rsidRDefault="007476A7">
          <w:pPr>
            <w:pStyle w:val="TOC1"/>
            <w:rPr>
              <w:rFonts w:asciiTheme="minorHAnsi" w:eastAsiaTheme="minorEastAsia" w:hAnsiTheme="minorHAnsi" w:cstheme="minorBidi"/>
              <w:b w:val="0"/>
              <w:kern w:val="2"/>
              <w:sz w:val="24"/>
              <w:szCs w:val="24"/>
              <w:lang w:eastAsia="ro-RO"/>
              <w14:ligatures w14:val="standardContextual"/>
            </w:rPr>
          </w:pPr>
          <w:hyperlink w:anchor="_Toc187824344" w:history="1">
            <w:r w:rsidRPr="005D0522">
              <w:rPr>
                <w:rStyle w:val="Hyperlink"/>
                <w:rFonts w:cstheme="minorHAnsi"/>
              </w:rPr>
              <w:t>Îndeplinirea rolului constituţional de garant al independenţei justiţiei</w:t>
            </w:r>
            <w:r>
              <w:rPr>
                <w:webHidden/>
              </w:rPr>
              <w:tab/>
            </w:r>
            <w:r>
              <w:rPr>
                <w:webHidden/>
              </w:rPr>
              <w:fldChar w:fldCharType="begin"/>
            </w:r>
            <w:r>
              <w:rPr>
                <w:webHidden/>
              </w:rPr>
              <w:instrText xml:space="preserve"> PAGEREF _Toc187824344 \h </w:instrText>
            </w:r>
            <w:r>
              <w:rPr>
                <w:webHidden/>
              </w:rPr>
            </w:r>
            <w:r>
              <w:rPr>
                <w:webHidden/>
              </w:rPr>
              <w:fldChar w:fldCharType="separate"/>
            </w:r>
            <w:r>
              <w:rPr>
                <w:webHidden/>
              </w:rPr>
              <w:t>8</w:t>
            </w:r>
            <w:r>
              <w:rPr>
                <w:webHidden/>
              </w:rPr>
              <w:fldChar w:fldCharType="end"/>
            </w:r>
          </w:hyperlink>
        </w:p>
        <w:p w14:paraId="52404B72" w14:textId="0177E34A"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45" w:history="1">
            <w:r w:rsidRPr="005D0522">
              <w:rPr>
                <w:rStyle w:val="Hyperlink"/>
              </w:rPr>
              <w:t>I.1.  Procedurile derulate privind ocuparea celor mai înalte funcţii din cadrul Înaltei Curţi de Casaţie şi Justiţie</w:t>
            </w:r>
            <w:r>
              <w:rPr>
                <w:webHidden/>
              </w:rPr>
              <w:tab/>
            </w:r>
            <w:r>
              <w:rPr>
                <w:webHidden/>
              </w:rPr>
              <w:fldChar w:fldCharType="begin"/>
            </w:r>
            <w:r>
              <w:rPr>
                <w:webHidden/>
              </w:rPr>
              <w:instrText xml:space="preserve"> PAGEREF _Toc187824345 \h </w:instrText>
            </w:r>
            <w:r>
              <w:rPr>
                <w:webHidden/>
              </w:rPr>
            </w:r>
            <w:r>
              <w:rPr>
                <w:webHidden/>
              </w:rPr>
              <w:fldChar w:fldCharType="separate"/>
            </w:r>
            <w:r>
              <w:rPr>
                <w:webHidden/>
              </w:rPr>
              <w:t>8</w:t>
            </w:r>
            <w:r>
              <w:rPr>
                <w:webHidden/>
              </w:rPr>
              <w:fldChar w:fldCharType="end"/>
            </w:r>
          </w:hyperlink>
        </w:p>
        <w:p w14:paraId="079B4230" w14:textId="71A6D243"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46" w:history="1">
            <w:r w:rsidRPr="005D0522">
              <w:rPr>
                <w:rStyle w:val="Hyperlink"/>
                <w:lang w:val="fr-FR"/>
              </w:rPr>
              <w:t>I.2.  Procedurile derulate privind ocuparea celor mai înalte funcţii din cadrul Parchetului de pe lângă Înalta Curte de Casaţie şi Justiţie</w:t>
            </w:r>
            <w:r>
              <w:rPr>
                <w:webHidden/>
              </w:rPr>
              <w:tab/>
            </w:r>
            <w:r>
              <w:rPr>
                <w:webHidden/>
              </w:rPr>
              <w:fldChar w:fldCharType="begin"/>
            </w:r>
            <w:r>
              <w:rPr>
                <w:webHidden/>
              </w:rPr>
              <w:instrText xml:space="preserve"> PAGEREF _Toc187824346 \h </w:instrText>
            </w:r>
            <w:r>
              <w:rPr>
                <w:webHidden/>
              </w:rPr>
            </w:r>
            <w:r>
              <w:rPr>
                <w:webHidden/>
              </w:rPr>
              <w:fldChar w:fldCharType="separate"/>
            </w:r>
            <w:r>
              <w:rPr>
                <w:webHidden/>
              </w:rPr>
              <w:t>9</w:t>
            </w:r>
            <w:r>
              <w:rPr>
                <w:webHidden/>
              </w:rPr>
              <w:fldChar w:fldCharType="end"/>
            </w:r>
          </w:hyperlink>
        </w:p>
        <w:p w14:paraId="6A46E2E2" w14:textId="1E081DD0"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47" w:history="1">
            <w:r w:rsidRPr="005D0522">
              <w:rPr>
                <w:rStyle w:val="Hyperlink"/>
                <w:lang w:val="fr-FR"/>
              </w:rPr>
              <w:t>I.3. Demersuri pentru consolidarea capacităţii instituţionale a Consiliului Superior al Magistraturii</w:t>
            </w:r>
            <w:r>
              <w:rPr>
                <w:webHidden/>
              </w:rPr>
              <w:tab/>
            </w:r>
            <w:r>
              <w:rPr>
                <w:webHidden/>
              </w:rPr>
              <w:fldChar w:fldCharType="begin"/>
            </w:r>
            <w:r>
              <w:rPr>
                <w:webHidden/>
              </w:rPr>
              <w:instrText xml:space="preserve"> PAGEREF _Toc187824347 \h </w:instrText>
            </w:r>
            <w:r>
              <w:rPr>
                <w:webHidden/>
              </w:rPr>
            </w:r>
            <w:r>
              <w:rPr>
                <w:webHidden/>
              </w:rPr>
              <w:fldChar w:fldCharType="separate"/>
            </w:r>
            <w:r>
              <w:rPr>
                <w:webHidden/>
              </w:rPr>
              <w:t>9</w:t>
            </w:r>
            <w:r>
              <w:rPr>
                <w:webHidden/>
              </w:rPr>
              <w:fldChar w:fldCharType="end"/>
            </w:r>
          </w:hyperlink>
        </w:p>
        <w:p w14:paraId="3C7AE1D3" w14:textId="78ED622B"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48" w:history="1">
            <w:r w:rsidRPr="005D0522">
              <w:rPr>
                <w:rStyle w:val="Hyperlink"/>
                <w:rFonts w:eastAsia="Calibri"/>
              </w:rPr>
              <w:t>I.3.1. Structura Consiliului Superior al Magistraturii</w:t>
            </w:r>
            <w:r>
              <w:rPr>
                <w:webHidden/>
              </w:rPr>
              <w:tab/>
            </w:r>
            <w:r>
              <w:rPr>
                <w:webHidden/>
              </w:rPr>
              <w:fldChar w:fldCharType="begin"/>
            </w:r>
            <w:r>
              <w:rPr>
                <w:webHidden/>
              </w:rPr>
              <w:instrText xml:space="preserve"> PAGEREF _Toc187824348 \h </w:instrText>
            </w:r>
            <w:r>
              <w:rPr>
                <w:webHidden/>
              </w:rPr>
            </w:r>
            <w:r>
              <w:rPr>
                <w:webHidden/>
              </w:rPr>
              <w:fldChar w:fldCharType="separate"/>
            </w:r>
            <w:r>
              <w:rPr>
                <w:webHidden/>
              </w:rPr>
              <w:t>9</w:t>
            </w:r>
            <w:r>
              <w:rPr>
                <w:webHidden/>
              </w:rPr>
              <w:fldChar w:fldCharType="end"/>
            </w:r>
          </w:hyperlink>
        </w:p>
        <w:p w14:paraId="513640CE" w14:textId="2204C0AD"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49" w:history="1">
            <w:r w:rsidRPr="005D0522">
              <w:rPr>
                <w:rStyle w:val="Hyperlink"/>
              </w:rPr>
              <w:t>I.3.2. Proceduri pentru ocuparea funcţiilor de execuţie şi de conducere din aparatul propriu al Consiliului Superior al Magistraturii</w:t>
            </w:r>
            <w:r>
              <w:rPr>
                <w:webHidden/>
              </w:rPr>
              <w:tab/>
            </w:r>
            <w:r>
              <w:rPr>
                <w:webHidden/>
              </w:rPr>
              <w:fldChar w:fldCharType="begin"/>
            </w:r>
            <w:r>
              <w:rPr>
                <w:webHidden/>
              </w:rPr>
              <w:instrText xml:space="preserve"> PAGEREF _Toc187824349 \h </w:instrText>
            </w:r>
            <w:r>
              <w:rPr>
                <w:webHidden/>
              </w:rPr>
            </w:r>
            <w:r>
              <w:rPr>
                <w:webHidden/>
              </w:rPr>
              <w:fldChar w:fldCharType="separate"/>
            </w:r>
            <w:r>
              <w:rPr>
                <w:webHidden/>
              </w:rPr>
              <w:t>10</w:t>
            </w:r>
            <w:r>
              <w:rPr>
                <w:webHidden/>
              </w:rPr>
              <w:fldChar w:fldCharType="end"/>
            </w:r>
          </w:hyperlink>
        </w:p>
        <w:p w14:paraId="296100EB" w14:textId="27B364B5"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50" w:history="1">
            <w:r w:rsidRPr="005D0522">
              <w:rPr>
                <w:rStyle w:val="Hyperlink"/>
              </w:rPr>
              <w:t>I.3.2.1. Posturi de execuţie</w:t>
            </w:r>
            <w:r>
              <w:rPr>
                <w:webHidden/>
              </w:rPr>
              <w:tab/>
            </w:r>
            <w:r>
              <w:rPr>
                <w:webHidden/>
              </w:rPr>
              <w:fldChar w:fldCharType="begin"/>
            </w:r>
            <w:r>
              <w:rPr>
                <w:webHidden/>
              </w:rPr>
              <w:instrText xml:space="preserve"> PAGEREF _Toc187824350 \h </w:instrText>
            </w:r>
            <w:r>
              <w:rPr>
                <w:webHidden/>
              </w:rPr>
            </w:r>
            <w:r>
              <w:rPr>
                <w:webHidden/>
              </w:rPr>
              <w:fldChar w:fldCharType="separate"/>
            </w:r>
            <w:r>
              <w:rPr>
                <w:webHidden/>
              </w:rPr>
              <w:t>10</w:t>
            </w:r>
            <w:r>
              <w:rPr>
                <w:webHidden/>
              </w:rPr>
              <w:fldChar w:fldCharType="end"/>
            </w:r>
          </w:hyperlink>
        </w:p>
        <w:p w14:paraId="096D084C" w14:textId="7208B271"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51" w:history="1">
            <w:r w:rsidRPr="005D0522">
              <w:rPr>
                <w:rStyle w:val="Hyperlink"/>
              </w:rPr>
              <w:t>I.3.2.2. Funcţii de conducere</w:t>
            </w:r>
            <w:r>
              <w:rPr>
                <w:webHidden/>
              </w:rPr>
              <w:tab/>
            </w:r>
            <w:r>
              <w:rPr>
                <w:webHidden/>
              </w:rPr>
              <w:fldChar w:fldCharType="begin"/>
            </w:r>
            <w:r>
              <w:rPr>
                <w:webHidden/>
              </w:rPr>
              <w:instrText xml:space="preserve"> PAGEREF _Toc187824351 \h </w:instrText>
            </w:r>
            <w:r>
              <w:rPr>
                <w:webHidden/>
              </w:rPr>
            </w:r>
            <w:r>
              <w:rPr>
                <w:webHidden/>
              </w:rPr>
              <w:fldChar w:fldCharType="separate"/>
            </w:r>
            <w:r>
              <w:rPr>
                <w:webHidden/>
              </w:rPr>
              <w:t>11</w:t>
            </w:r>
            <w:r>
              <w:rPr>
                <w:webHidden/>
              </w:rPr>
              <w:fldChar w:fldCharType="end"/>
            </w:r>
          </w:hyperlink>
        </w:p>
        <w:p w14:paraId="36E405AE" w14:textId="444A36E4"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52" w:history="1">
            <w:r w:rsidRPr="005D0522">
              <w:rPr>
                <w:rStyle w:val="Hyperlink"/>
              </w:rPr>
              <w:t>I.4. Demersuri pentru dezvoltarea capacităţii Institutului Naţional al Magistraturii şi a Şcolii Naţionale de Grefieri</w:t>
            </w:r>
            <w:r>
              <w:rPr>
                <w:webHidden/>
              </w:rPr>
              <w:tab/>
            </w:r>
            <w:r>
              <w:rPr>
                <w:webHidden/>
              </w:rPr>
              <w:fldChar w:fldCharType="begin"/>
            </w:r>
            <w:r>
              <w:rPr>
                <w:webHidden/>
              </w:rPr>
              <w:instrText xml:space="preserve"> PAGEREF _Toc187824352 \h </w:instrText>
            </w:r>
            <w:r>
              <w:rPr>
                <w:webHidden/>
              </w:rPr>
            </w:r>
            <w:r>
              <w:rPr>
                <w:webHidden/>
              </w:rPr>
              <w:fldChar w:fldCharType="separate"/>
            </w:r>
            <w:r>
              <w:rPr>
                <w:webHidden/>
              </w:rPr>
              <w:t>11</w:t>
            </w:r>
            <w:r>
              <w:rPr>
                <w:webHidden/>
              </w:rPr>
              <w:fldChar w:fldCharType="end"/>
            </w:r>
          </w:hyperlink>
        </w:p>
        <w:p w14:paraId="64BAB548" w14:textId="70DC24BA"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53" w:history="1">
            <w:r w:rsidRPr="005D0522">
              <w:rPr>
                <w:rStyle w:val="Hyperlink"/>
              </w:rPr>
              <w:t>I.4.1. Consolidarea capacității instituționale</w:t>
            </w:r>
            <w:r>
              <w:rPr>
                <w:webHidden/>
              </w:rPr>
              <w:tab/>
            </w:r>
            <w:r>
              <w:rPr>
                <w:webHidden/>
              </w:rPr>
              <w:fldChar w:fldCharType="begin"/>
            </w:r>
            <w:r>
              <w:rPr>
                <w:webHidden/>
              </w:rPr>
              <w:instrText xml:space="preserve"> PAGEREF _Toc187824353 \h </w:instrText>
            </w:r>
            <w:r>
              <w:rPr>
                <w:webHidden/>
              </w:rPr>
            </w:r>
            <w:r>
              <w:rPr>
                <w:webHidden/>
              </w:rPr>
              <w:fldChar w:fldCharType="separate"/>
            </w:r>
            <w:r>
              <w:rPr>
                <w:webHidden/>
              </w:rPr>
              <w:t>11</w:t>
            </w:r>
            <w:r>
              <w:rPr>
                <w:webHidden/>
              </w:rPr>
              <w:fldChar w:fldCharType="end"/>
            </w:r>
          </w:hyperlink>
        </w:p>
        <w:p w14:paraId="69C97986" w14:textId="4AE8E6FC"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54" w:history="1">
            <w:r w:rsidRPr="005D0522">
              <w:rPr>
                <w:rStyle w:val="Hyperlink"/>
              </w:rPr>
              <w:t>I.4.2. Consolidarea corpului personalului de instruire</w:t>
            </w:r>
            <w:r>
              <w:rPr>
                <w:webHidden/>
              </w:rPr>
              <w:tab/>
            </w:r>
            <w:r>
              <w:rPr>
                <w:webHidden/>
              </w:rPr>
              <w:fldChar w:fldCharType="begin"/>
            </w:r>
            <w:r>
              <w:rPr>
                <w:webHidden/>
              </w:rPr>
              <w:instrText xml:space="preserve"> PAGEREF _Toc187824354 \h </w:instrText>
            </w:r>
            <w:r>
              <w:rPr>
                <w:webHidden/>
              </w:rPr>
            </w:r>
            <w:r>
              <w:rPr>
                <w:webHidden/>
              </w:rPr>
              <w:fldChar w:fldCharType="separate"/>
            </w:r>
            <w:r>
              <w:rPr>
                <w:webHidden/>
              </w:rPr>
              <w:t>12</w:t>
            </w:r>
            <w:r>
              <w:rPr>
                <w:webHidden/>
              </w:rPr>
              <w:fldChar w:fldCharType="end"/>
            </w:r>
          </w:hyperlink>
        </w:p>
        <w:p w14:paraId="7147F8DF" w14:textId="4F505532"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55" w:history="1">
            <w:r w:rsidRPr="005D0522">
              <w:rPr>
                <w:rStyle w:val="Hyperlink"/>
              </w:rPr>
              <w:t>I.4.3. Proiecte cu finanțare externă în care I.N.M. are calitatea de partener sau beneficiar</w:t>
            </w:r>
            <w:r>
              <w:rPr>
                <w:webHidden/>
              </w:rPr>
              <w:tab/>
            </w:r>
            <w:r>
              <w:rPr>
                <w:webHidden/>
              </w:rPr>
              <w:fldChar w:fldCharType="begin"/>
            </w:r>
            <w:r>
              <w:rPr>
                <w:webHidden/>
              </w:rPr>
              <w:instrText xml:space="preserve"> PAGEREF _Toc187824355 \h </w:instrText>
            </w:r>
            <w:r>
              <w:rPr>
                <w:webHidden/>
              </w:rPr>
            </w:r>
            <w:r>
              <w:rPr>
                <w:webHidden/>
              </w:rPr>
              <w:fldChar w:fldCharType="separate"/>
            </w:r>
            <w:r>
              <w:rPr>
                <w:webHidden/>
              </w:rPr>
              <w:t>13</w:t>
            </w:r>
            <w:r>
              <w:rPr>
                <w:webHidden/>
              </w:rPr>
              <w:fldChar w:fldCharType="end"/>
            </w:r>
          </w:hyperlink>
        </w:p>
        <w:p w14:paraId="71237221" w14:textId="7BEDD995"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56" w:history="1">
            <w:r w:rsidRPr="005D0522">
              <w:rPr>
                <w:rStyle w:val="Hyperlink"/>
              </w:rPr>
              <w:t>I.4.4. Protocoale de colaborare încheiate de I.N.M. cu diverse instituții</w:t>
            </w:r>
            <w:r>
              <w:rPr>
                <w:webHidden/>
              </w:rPr>
              <w:tab/>
            </w:r>
            <w:r>
              <w:rPr>
                <w:webHidden/>
              </w:rPr>
              <w:fldChar w:fldCharType="begin"/>
            </w:r>
            <w:r>
              <w:rPr>
                <w:webHidden/>
              </w:rPr>
              <w:instrText xml:space="preserve"> PAGEREF _Toc187824356 \h </w:instrText>
            </w:r>
            <w:r>
              <w:rPr>
                <w:webHidden/>
              </w:rPr>
            </w:r>
            <w:r>
              <w:rPr>
                <w:webHidden/>
              </w:rPr>
              <w:fldChar w:fldCharType="separate"/>
            </w:r>
            <w:r>
              <w:rPr>
                <w:webHidden/>
              </w:rPr>
              <w:t>15</w:t>
            </w:r>
            <w:r>
              <w:rPr>
                <w:webHidden/>
              </w:rPr>
              <w:fldChar w:fldCharType="end"/>
            </w:r>
          </w:hyperlink>
        </w:p>
        <w:p w14:paraId="77DE4436" w14:textId="3123C220"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57" w:history="1">
            <w:r w:rsidRPr="005D0522">
              <w:rPr>
                <w:rStyle w:val="Hyperlink"/>
              </w:rPr>
              <w:t>I.5. Contribuţia la dezvoltarea spaţiului judiciar comun european</w:t>
            </w:r>
            <w:r>
              <w:rPr>
                <w:webHidden/>
              </w:rPr>
              <w:tab/>
            </w:r>
            <w:r>
              <w:rPr>
                <w:webHidden/>
              </w:rPr>
              <w:fldChar w:fldCharType="begin"/>
            </w:r>
            <w:r>
              <w:rPr>
                <w:webHidden/>
              </w:rPr>
              <w:instrText xml:space="preserve"> PAGEREF _Toc187824357 \h </w:instrText>
            </w:r>
            <w:r>
              <w:rPr>
                <w:webHidden/>
              </w:rPr>
            </w:r>
            <w:r>
              <w:rPr>
                <w:webHidden/>
              </w:rPr>
              <w:fldChar w:fldCharType="separate"/>
            </w:r>
            <w:r>
              <w:rPr>
                <w:webHidden/>
              </w:rPr>
              <w:t>17</w:t>
            </w:r>
            <w:r>
              <w:rPr>
                <w:webHidden/>
              </w:rPr>
              <w:fldChar w:fldCharType="end"/>
            </w:r>
          </w:hyperlink>
        </w:p>
        <w:p w14:paraId="24EBBEEF" w14:textId="326691E8"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58" w:history="1">
            <w:r w:rsidRPr="005D0522">
              <w:rPr>
                <w:rStyle w:val="Hyperlink"/>
              </w:rPr>
              <w:t>I.5.1. Contribuția I.N.M. în cadrul rețelelor de formare judiciară</w:t>
            </w:r>
            <w:r>
              <w:rPr>
                <w:webHidden/>
              </w:rPr>
              <w:tab/>
            </w:r>
            <w:r>
              <w:rPr>
                <w:webHidden/>
              </w:rPr>
              <w:fldChar w:fldCharType="begin"/>
            </w:r>
            <w:r>
              <w:rPr>
                <w:webHidden/>
              </w:rPr>
              <w:instrText xml:space="preserve"> PAGEREF _Toc187824358 \h </w:instrText>
            </w:r>
            <w:r>
              <w:rPr>
                <w:webHidden/>
              </w:rPr>
            </w:r>
            <w:r>
              <w:rPr>
                <w:webHidden/>
              </w:rPr>
              <w:fldChar w:fldCharType="separate"/>
            </w:r>
            <w:r>
              <w:rPr>
                <w:webHidden/>
              </w:rPr>
              <w:t>18</w:t>
            </w:r>
            <w:r>
              <w:rPr>
                <w:webHidden/>
              </w:rPr>
              <w:fldChar w:fldCharType="end"/>
            </w:r>
          </w:hyperlink>
        </w:p>
        <w:p w14:paraId="03089F49" w14:textId="78C3F235"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59" w:history="1">
            <w:r w:rsidRPr="005D0522">
              <w:rPr>
                <w:rStyle w:val="Hyperlink"/>
              </w:rPr>
              <w:t>I.5.2. Activități derulate în cadrul componentei de formare inițială</w:t>
            </w:r>
            <w:r>
              <w:rPr>
                <w:webHidden/>
              </w:rPr>
              <w:tab/>
            </w:r>
            <w:r>
              <w:rPr>
                <w:webHidden/>
              </w:rPr>
              <w:fldChar w:fldCharType="begin"/>
            </w:r>
            <w:r>
              <w:rPr>
                <w:webHidden/>
              </w:rPr>
              <w:instrText xml:space="preserve"> PAGEREF _Toc187824359 \h </w:instrText>
            </w:r>
            <w:r>
              <w:rPr>
                <w:webHidden/>
              </w:rPr>
            </w:r>
            <w:r>
              <w:rPr>
                <w:webHidden/>
              </w:rPr>
              <w:fldChar w:fldCharType="separate"/>
            </w:r>
            <w:r>
              <w:rPr>
                <w:webHidden/>
              </w:rPr>
              <w:t>19</w:t>
            </w:r>
            <w:r>
              <w:rPr>
                <w:webHidden/>
              </w:rPr>
              <w:fldChar w:fldCharType="end"/>
            </w:r>
          </w:hyperlink>
        </w:p>
        <w:p w14:paraId="7CD3596E" w14:textId="55E58AB1"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60" w:history="1">
            <w:r w:rsidRPr="005D0522">
              <w:rPr>
                <w:rStyle w:val="Hyperlink"/>
              </w:rPr>
              <w:t>I.5.3. Contribuția la asigurarea componentei internaționale a formării judecătorilor și procurorilor</w:t>
            </w:r>
            <w:r>
              <w:rPr>
                <w:webHidden/>
              </w:rPr>
              <w:tab/>
            </w:r>
            <w:r>
              <w:rPr>
                <w:webHidden/>
              </w:rPr>
              <w:fldChar w:fldCharType="begin"/>
            </w:r>
            <w:r>
              <w:rPr>
                <w:webHidden/>
              </w:rPr>
              <w:instrText xml:space="preserve"> PAGEREF _Toc187824360 \h </w:instrText>
            </w:r>
            <w:r>
              <w:rPr>
                <w:webHidden/>
              </w:rPr>
            </w:r>
            <w:r>
              <w:rPr>
                <w:webHidden/>
              </w:rPr>
              <w:fldChar w:fldCharType="separate"/>
            </w:r>
            <w:r>
              <w:rPr>
                <w:webHidden/>
              </w:rPr>
              <w:t>21</w:t>
            </w:r>
            <w:r>
              <w:rPr>
                <w:webHidden/>
              </w:rPr>
              <w:fldChar w:fldCharType="end"/>
            </w:r>
          </w:hyperlink>
        </w:p>
        <w:p w14:paraId="531ACDB8" w14:textId="5421B7DC"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61" w:history="1">
            <w:r w:rsidRPr="005D0522">
              <w:rPr>
                <w:rStyle w:val="Hyperlink"/>
              </w:rPr>
              <w:t>I.5.4. Cooperarea cu Institutul Național al Justiției (I.N.J.) din</w:t>
            </w:r>
            <w:r w:rsidRPr="005D0522">
              <w:rPr>
                <w:rStyle w:val="Hyperlink"/>
                <w:bCs/>
              </w:rPr>
              <w:t xml:space="preserve"> Republica Moldova</w:t>
            </w:r>
            <w:r>
              <w:rPr>
                <w:webHidden/>
              </w:rPr>
              <w:tab/>
            </w:r>
            <w:r>
              <w:rPr>
                <w:webHidden/>
              </w:rPr>
              <w:fldChar w:fldCharType="begin"/>
            </w:r>
            <w:r>
              <w:rPr>
                <w:webHidden/>
              </w:rPr>
              <w:instrText xml:space="preserve"> PAGEREF _Toc187824361 \h </w:instrText>
            </w:r>
            <w:r>
              <w:rPr>
                <w:webHidden/>
              </w:rPr>
            </w:r>
            <w:r>
              <w:rPr>
                <w:webHidden/>
              </w:rPr>
              <w:fldChar w:fldCharType="separate"/>
            </w:r>
            <w:r>
              <w:rPr>
                <w:webHidden/>
              </w:rPr>
              <w:t>24</w:t>
            </w:r>
            <w:r>
              <w:rPr>
                <w:webHidden/>
              </w:rPr>
              <w:fldChar w:fldCharType="end"/>
            </w:r>
          </w:hyperlink>
        </w:p>
        <w:p w14:paraId="4652E6E2" w14:textId="7968B786"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62" w:history="1">
            <w:r w:rsidRPr="005D0522">
              <w:rPr>
                <w:rStyle w:val="Hyperlink"/>
              </w:rPr>
              <w:t>I.6. Apărarea independenţei, imparţialităţii şi a reputaţiei profesionale</w:t>
            </w:r>
            <w:r>
              <w:rPr>
                <w:webHidden/>
              </w:rPr>
              <w:tab/>
            </w:r>
            <w:r>
              <w:rPr>
                <w:webHidden/>
              </w:rPr>
              <w:fldChar w:fldCharType="begin"/>
            </w:r>
            <w:r>
              <w:rPr>
                <w:webHidden/>
              </w:rPr>
              <w:instrText xml:space="preserve"> PAGEREF _Toc187824362 \h </w:instrText>
            </w:r>
            <w:r>
              <w:rPr>
                <w:webHidden/>
              </w:rPr>
            </w:r>
            <w:r>
              <w:rPr>
                <w:webHidden/>
              </w:rPr>
              <w:fldChar w:fldCharType="separate"/>
            </w:r>
            <w:r>
              <w:rPr>
                <w:webHidden/>
              </w:rPr>
              <w:t>31</w:t>
            </w:r>
            <w:r>
              <w:rPr>
                <w:webHidden/>
              </w:rPr>
              <w:fldChar w:fldCharType="end"/>
            </w:r>
          </w:hyperlink>
        </w:p>
        <w:p w14:paraId="75703A2D" w14:textId="075ACAE0"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63" w:history="1">
            <w:r w:rsidRPr="005D0522">
              <w:rPr>
                <w:rStyle w:val="Hyperlink"/>
              </w:rPr>
              <w:t>I.7. Raporturile Consiliului Superior al Magistraturii cu puterea legislativă şi cea  executivă</w:t>
            </w:r>
            <w:r>
              <w:rPr>
                <w:webHidden/>
              </w:rPr>
              <w:tab/>
            </w:r>
            <w:r>
              <w:rPr>
                <w:webHidden/>
              </w:rPr>
              <w:fldChar w:fldCharType="begin"/>
            </w:r>
            <w:r>
              <w:rPr>
                <w:webHidden/>
              </w:rPr>
              <w:instrText xml:space="preserve"> PAGEREF _Toc187824363 \h </w:instrText>
            </w:r>
            <w:r>
              <w:rPr>
                <w:webHidden/>
              </w:rPr>
            </w:r>
            <w:r>
              <w:rPr>
                <w:webHidden/>
              </w:rPr>
              <w:fldChar w:fldCharType="separate"/>
            </w:r>
            <w:r>
              <w:rPr>
                <w:webHidden/>
              </w:rPr>
              <w:t>34</w:t>
            </w:r>
            <w:r>
              <w:rPr>
                <w:webHidden/>
              </w:rPr>
              <w:fldChar w:fldCharType="end"/>
            </w:r>
          </w:hyperlink>
        </w:p>
        <w:p w14:paraId="6D74B486" w14:textId="7B91ED70" w:rsidR="007476A7" w:rsidRDefault="007476A7">
          <w:pPr>
            <w:pStyle w:val="TOC1"/>
            <w:rPr>
              <w:rFonts w:asciiTheme="minorHAnsi" w:eastAsiaTheme="minorEastAsia" w:hAnsiTheme="minorHAnsi" w:cstheme="minorBidi"/>
              <w:b w:val="0"/>
              <w:kern w:val="2"/>
              <w:sz w:val="24"/>
              <w:szCs w:val="24"/>
              <w:lang w:eastAsia="ro-RO"/>
              <w14:ligatures w14:val="standardContextual"/>
            </w:rPr>
          </w:pPr>
          <w:hyperlink w:anchor="_Toc187824364" w:history="1">
            <w:r w:rsidRPr="005D0522">
              <w:rPr>
                <w:rStyle w:val="Hyperlink"/>
                <w:rFonts w:eastAsiaTheme="majorEastAsia" w:cstheme="minorHAnsi"/>
              </w:rPr>
              <w:t>CAPITOLUL II</w:t>
            </w:r>
            <w:r>
              <w:rPr>
                <w:webHidden/>
              </w:rPr>
              <w:tab/>
            </w:r>
            <w:r>
              <w:rPr>
                <w:webHidden/>
              </w:rPr>
              <w:fldChar w:fldCharType="begin"/>
            </w:r>
            <w:r>
              <w:rPr>
                <w:webHidden/>
              </w:rPr>
              <w:instrText xml:space="preserve"> PAGEREF _Toc187824364 \h </w:instrText>
            </w:r>
            <w:r>
              <w:rPr>
                <w:webHidden/>
              </w:rPr>
            </w:r>
            <w:r>
              <w:rPr>
                <w:webHidden/>
              </w:rPr>
              <w:fldChar w:fldCharType="separate"/>
            </w:r>
            <w:r>
              <w:rPr>
                <w:webHidden/>
              </w:rPr>
              <w:t>55</w:t>
            </w:r>
            <w:r>
              <w:rPr>
                <w:webHidden/>
              </w:rPr>
              <w:fldChar w:fldCharType="end"/>
            </w:r>
          </w:hyperlink>
        </w:p>
        <w:p w14:paraId="313E7357" w14:textId="4396CA9D" w:rsidR="007476A7" w:rsidRDefault="007476A7">
          <w:pPr>
            <w:pStyle w:val="TOC1"/>
            <w:rPr>
              <w:rFonts w:asciiTheme="minorHAnsi" w:eastAsiaTheme="minorEastAsia" w:hAnsiTheme="minorHAnsi" w:cstheme="minorBidi"/>
              <w:b w:val="0"/>
              <w:kern w:val="2"/>
              <w:sz w:val="24"/>
              <w:szCs w:val="24"/>
              <w:lang w:eastAsia="ro-RO"/>
              <w14:ligatures w14:val="standardContextual"/>
            </w:rPr>
          </w:pPr>
          <w:hyperlink w:anchor="_Toc187824365" w:history="1">
            <w:r w:rsidRPr="005D0522">
              <w:rPr>
                <w:rStyle w:val="Hyperlink"/>
                <w:rFonts w:eastAsiaTheme="majorEastAsia" w:cstheme="minorHAnsi"/>
              </w:rPr>
              <w:t>Activităţi derulate în legătură cu atribuţiile administrative ale Consiliului Superior al Magistraturii</w:t>
            </w:r>
            <w:r>
              <w:rPr>
                <w:webHidden/>
              </w:rPr>
              <w:tab/>
            </w:r>
            <w:r>
              <w:rPr>
                <w:webHidden/>
              </w:rPr>
              <w:fldChar w:fldCharType="begin"/>
            </w:r>
            <w:r>
              <w:rPr>
                <w:webHidden/>
              </w:rPr>
              <w:instrText xml:space="preserve"> PAGEREF _Toc187824365 \h </w:instrText>
            </w:r>
            <w:r>
              <w:rPr>
                <w:webHidden/>
              </w:rPr>
            </w:r>
            <w:r>
              <w:rPr>
                <w:webHidden/>
              </w:rPr>
              <w:fldChar w:fldCharType="separate"/>
            </w:r>
            <w:r>
              <w:rPr>
                <w:webHidden/>
              </w:rPr>
              <w:t>55</w:t>
            </w:r>
            <w:r>
              <w:rPr>
                <w:webHidden/>
              </w:rPr>
              <w:fldChar w:fldCharType="end"/>
            </w:r>
          </w:hyperlink>
        </w:p>
        <w:p w14:paraId="43DB916B" w14:textId="4DE3F36E"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66" w:history="1">
            <w:r w:rsidRPr="005D0522">
              <w:rPr>
                <w:rStyle w:val="Hyperlink"/>
              </w:rPr>
              <w:t>II.1. Gestionarea carierei profesionale a judecătorilor și procurorilor</w:t>
            </w:r>
            <w:r>
              <w:rPr>
                <w:webHidden/>
              </w:rPr>
              <w:tab/>
            </w:r>
            <w:r>
              <w:rPr>
                <w:webHidden/>
              </w:rPr>
              <w:fldChar w:fldCharType="begin"/>
            </w:r>
            <w:r>
              <w:rPr>
                <w:webHidden/>
              </w:rPr>
              <w:instrText xml:space="preserve"> PAGEREF _Toc187824366 \h </w:instrText>
            </w:r>
            <w:r>
              <w:rPr>
                <w:webHidden/>
              </w:rPr>
            </w:r>
            <w:r>
              <w:rPr>
                <w:webHidden/>
              </w:rPr>
              <w:fldChar w:fldCharType="separate"/>
            </w:r>
            <w:r>
              <w:rPr>
                <w:webHidden/>
              </w:rPr>
              <w:t>55</w:t>
            </w:r>
            <w:r>
              <w:rPr>
                <w:webHidden/>
              </w:rPr>
              <w:fldChar w:fldCharType="end"/>
            </w:r>
          </w:hyperlink>
        </w:p>
        <w:p w14:paraId="59669448" w14:textId="1D37F720" w:rsidR="007476A7" w:rsidRDefault="007476A7">
          <w:pPr>
            <w:pStyle w:val="TOC2"/>
            <w:tabs>
              <w:tab w:val="left" w:pos="960"/>
              <w:tab w:val="right" w:leader="dot" w:pos="10194"/>
            </w:tabs>
            <w:rPr>
              <w:rFonts w:asciiTheme="minorHAnsi" w:eastAsiaTheme="minorEastAsia" w:hAnsiTheme="minorHAnsi" w:cstheme="minorBidi"/>
              <w:kern w:val="2"/>
              <w:sz w:val="24"/>
              <w:szCs w:val="24"/>
              <w:lang w:eastAsia="ro-RO"/>
              <w14:ligatures w14:val="standardContextual"/>
            </w:rPr>
          </w:pPr>
          <w:hyperlink w:anchor="_Toc187824367" w:history="1">
            <w:r w:rsidRPr="005D0522">
              <w:rPr>
                <w:rStyle w:val="Hyperlink"/>
              </w:rPr>
              <w:t>II.2.</w:t>
            </w:r>
            <w:r>
              <w:rPr>
                <w:rFonts w:asciiTheme="minorHAnsi" w:eastAsiaTheme="minorEastAsia" w:hAnsiTheme="minorHAnsi" w:cstheme="minorBidi"/>
                <w:kern w:val="2"/>
                <w:sz w:val="24"/>
                <w:szCs w:val="24"/>
                <w:lang w:eastAsia="ro-RO"/>
                <w14:ligatures w14:val="standardContextual"/>
              </w:rPr>
              <w:tab/>
            </w:r>
            <w:r w:rsidRPr="005D0522">
              <w:rPr>
                <w:rStyle w:val="Hyperlink"/>
              </w:rPr>
              <w:t>Organizarea instanţelor judecătoreşti şi a parchetelor</w:t>
            </w:r>
            <w:r>
              <w:rPr>
                <w:webHidden/>
              </w:rPr>
              <w:tab/>
            </w:r>
            <w:r>
              <w:rPr>
                <w:webHidden/>
              </w:rPr>
              <w:fldChar w:fldCharType="begin"/>
            </w:r>
            <w:r>
              <w:rPr>
                <w:webHidden/>
              </w:rPr>
              <w:instrText xml:space="preserve"> PAGEREF _Toc187824367 \h </w:instrText>
            </w:r>
            <w:r>
              <w:rPr>
                <w:webHidden/>
              </w:rPr>
            </w:r>
            <w:r>
              <w:rPr>
                <w:webHidden/>
              </w:rPr>
              <w:fldChar w:fldCharType="separate"/>
            </w:r>
            <w:r>
              <w:rPr>
                <w:webHidden/>
              </w:rPr>
              <w:t>65</w:t>
            </w:r>
            <w:r>
              <w:rPr>
                <w:webHidden/>
              </w:rPr>
              <w:fldChar w:fldCharType="end"/>
            </w:r>
          </w:hyperlink>
        </w:p>
        <w:p w14:paraId="4F5362E6" w14:textId="746775A8"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68" w:history="1">
            <w:r w:rsidRPr="005D0522">
              <w:rPr>
                <w:rStyle w:val="Hyperlink"/>
              </w:rPr>
              <w:t>II.2.1. Instanţe</w:t>
            </w:r>
            <w:r>
              <w:rPr>
                <w:webHidden/>
              </w:rPr>
              <w:tab/>
            </w:r>
            <w:r>
              <w:rPr>
                <w:webHidden/>
              </w:rPr>
              <w:fldChar w:fldCharType="begin"/>
            </w:r>
            <w:r>
              <w:rPr>
                <w:webHidden/>
              </w:rPr>
              <w:instrText xml:space="preserve"> PAGEREF _Toc187824368 \h </w:instrText>
            </w:r>
            <w:r>
              <w:rPr>
                <w:webHidden/>
              </w:rPr>
            </w:r>
            <w:r>
              <w:rPr>
                <w:webHidden/>
              </w:rPr>
              <w:fldChar w:fldCharType="separate"/>
            </w:r>
            <w:r>
              <w:rPr>
                <w:webHidden/>
              </w:rPr>
              <w:t>65</w:t>
            </w:r>
            <w:r>
              <w:rPr>
                <w:webHidden/>
              </w:rPr>
              <w:fldChar w:fldCharType="end"/>
            </w:r>
          </w:hyperlink>
        </w:p>
        <w:p w14:paraId="4D05FC1A" w14:textId="0DFC8A98"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69" w:history="1">
            <w:r w:rsidRPr="005D0522">
              <w:rPr>
                <w:rStyle w:val="Hyperlink"/>
              </w:rPr>
              <w:t>II.2.2. Parchete</w:t>
            </w:r>
            <w:r>
              <w:rPr>
                <w:webHidden/>
              </w:rPr>
              <w:tab/>
            </w:r>
            <w:r>
              <w:rPr>
                <w:webHidden/>
              </w:rPr>
              <w:fldChar w:fldCharType="begin"/>
            </w:r>
            <w:r>
              <w:rPr>
                <w:webHidden/>
              </w:rPr>
              <w:instrText xml:space="preserve"> PAGEREF _Toc187824369 \h </w:instrText>
            </w:r>
            <w:r>
              <w:rPr>
                <w:webHidden/>
              </w:rPr>
            </w:r>
            <w:r>
              <w:rPr>
                <w:webHidden/>
              </w:rPr>
              <w:fldChar w:fldCharType="separate"/>
            </w:r>
            <w:r>
              <w:rPr>
                <w:webHidden/>
              </w:rPr>
              <w:t>66</w:t>
            </w:r>
            <w:r>
              <w:rPr>
                <w:webHidden/>
              </w:rPr>
              <w:fldChar w:fldCharType="end"/>
            </w:r>
          </w:hyperlink>
        </w:p>
        <w:p w14:paraId="79A55685" w14:textId="3A47595B"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70" w:history="1">
            <w:r w:rsidRPr="005D0522">
              <w:rPr>
                <w:rStyle w:val="Hyperlink"/>
                <w:lang w:val="fr-FR"/>
              </w:rPr>
              <w:t>II.3. Activitatea în domeniul formării profesionale a magistraţilor şi a personalului auxiliar</w:t>
            </w:r>
            <w:r>
              <w:rPr>
                <w:webHidden/>
              </w:rPr>
              <w:tab/>
            </w:r>
            <w:r>
              <w:rPr>
                <w:webHidden/>
              </w:rPr>
              <w:fldChar w:fldCharType="begin"/>
            </w:r>
            <w:r>
              <w:rPr>
                <w:webHidden/>
              </w:rPr>
              <w:instrText xml:space="preserve"> PAGEREF _Toc187824370 \h </w:instrText>
            </w:r>
            <w:r>
              <w:rPr>
                <w:webHidden/>
              </w:rPr>
            </w:r>
            <w:r>
              <w:rPr>
                <w:webHidden/>
              </w:rPr>
              <w:fldChar w:fldCharType="separate"/>
            </w:r>
            <w:r>
              <w:rPr>
                <w:webHidden/>
              </w:rPr>
              <w:t>66</w:t>
            </w:r>
            <w:r>
              <w:rPr>
                <w:webHidden/>
              </w:rPr>
              <w:fldChar w:fldCharType="end"/>
            </w:r>
          </w:hyperlink>
        </w:p>
        <w:p w14:paraId="56F52DCB" w14:textId="11320904"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71" w:history="1">
            <w:r w:rsidRPr="005D0522">
              <w:rPr>
                <w:rStyle w:val="Hyperlink"/>
              </w:rPr>
              <w:t>II.3.1. Formarea profesională inițială a viitorilor judecători și procurori în cadrul I.N.M.</w:t>
            </w:r>
            <w:r>
              <w:rPr>
                <w:webHidden/>
              </w:rPr>
              <w:tab/>
            </w:r>
            <w:r>
              <w:rPr>
                <w:webHidden/>
              </w:rPr>
              <w:fldChar w:fldCharType="begin"/>
            </w:r>
            <w:r>
              <w:rPr>
                <w:webHidden/>
              </w:rPr>
              <w:instrText xml:space="preserve"> PAGEREF _Toc187824371 \h </w:instrText>
            </w:r>
            <w:r>
              <w:rPr>
                <w:webHidden/>
              </w:rPr>
            </w:r>
            <w:r>
              <w:rPr>
                <w:webHidden/>
              </w:rPr>
              <w:fldChar w:fldCharType="separate"/>
            </w:r>
            <w:r>
              <w:rPr>
                <w:webHidden/>
              </w:rPr>
              <w:t>68</w:t>
            </w:r>
            <w:r>
              <w:rPr>
                <w:webHidden/>
              </w:rPr>
              <w:fldChar w:fldCharType="end"/>
            </w:r>
          </w:hyperlink>
        </w:p>
        <w:p w14:paraId="16EA99CB" w14:textId="6258546D"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72" w:history="1">
            <w:r w:rsidRPr="005D0522">
              <w:rPr>
                <w:rStyle w:val="Hyperlink"/>
              </w:rPr>
              <w:t>II.3.2. Formarea profesională continuă a judecătorilor și procurorilor în cadrul I.N.M.</w:t>
            </w:r>
            <w:r>
              <w:rPr>
                <w:webHidden/>
              </w:rPr>
              <w:tab/>
            </w:r>
            <w:r>
              <w:rPr>
                <w:webHidden/>
              </w:rPr>
              <w:fldChar w:fldCharType="begin"/>
            </w:r>
            <w:r>
              <w:rPr>
                <w:webHidden/>
              </w:rPr>
              <w:instrText xml:space="preserve"> PAGEREF _Toc187824372 \h </w:instrText>
            </w:r>
            <w:r>
              <w:rPr>
                <w:webHidden/>
              </w:rPr>
            </w:r>
            <w:r>
              <w:rPr>
                <w:webHidden/>
              </w:rPr>
              <w:fldChar w:fldCharType="separate"/>
            </w:r>
            <w:r>
              <w:rPr>
                <w:webHidden/>
              </w:rPr>
              <w:t>76</w:t>
            </w:r>
            <w:r>
              <w:rPr>
                <w:webHidden/>
              </w:rPr>
              <w:fldChar w:fldCharType="end"/>
            </w:r>
          </w:hyperlink>
        </w:p>
        <w:p w14:paraId="411ABA71" w14:textId="325C3F48"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73" w:history="1">
            <w:r w:rsidRPr="005D0522">
              <w:rPr>
                <w:rStyle w:val="Hyperlink"/>
              </w:rPr>
              <w:t>II.3.3. Școala Națională de Grefieri</w:t>
            </w:r>
            <w:r>
              <w:rPr>
                <w:webHidden/>
              </w:rPr>
              <w:tab/>
            </w:r>
            <w:r>
              <w:rPr>
                <w:webHidden/>
              </w:rPr>
              <w:fldChar w:fldCharType="begin"/>
            </w:r>
            <w:r>
              <w:rPr>
                <w:webHidden/>
              </w:rPr>
              <w:instrText xml:space="preserve"> PAGEREF _Toc187824373 \h </w:instrText>
            </w:r>
            <w:r>
              <w:rPr>
                <w:webHidden/>
              </w:rPr>
            </w:r>
            <w:r>
              <w:rPr>
                <w:webHidden/>
              </w:rPr>
              <w:fldChar w:fldCharType="separate"/>
            </w:r>
            <w:r>
              <w:rPr>
                <w:webHidden/>
              </w:rPr>
              <w:t>80</w:t>
            </w:r>
            <w:r>
              <w:rPr>
                <w:webHidden/>
              </w:rPr>
              <w:fldChar w:fldCharType="end"/>
            </w:r>
          </w:hyperlink>
        </w:p>
        <w:p w14:paraId="396F55A5" w14:textId="0942FDD3"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74" w:history="1">
            <w:r w:rsidRPr="005D0522">
              <w:rPr>
                <w:rStyle w:val="Hyperlink"/>
              </w:rPr>
              <w:t>II.4. Evaluarea profesională a magistraţilor</w:t>
            </w:r>
            <w:r>
              <w:rPr>
                <w:webHidden/>
              </w:rPr>
              <w:tab/>
            </w:r>
            <w:r>
              <w:rPr>
                <w:webHidden/>
              </w:rPr>
              <w:fldChar w:fldCharType="begin"/>
            </w:r>
            <w:r>
              <w:rPr>
                <w:webHidden/>
              </w:rPr>
              <w:instrText xml:space="preserve"> PAGEREF _Toc187824374 \h </w:instrText>
            </w:r>
            <w:r>
              <w:rPr>
                <w:webHidden/>
              </w:rPr>
            </w:r>
            <w:r>
              <w:rPr>
                <w:webHidden/>
              </w:rPr>
              <w:fldChar w:fldCharType="separate"/>
            </w:r>
            <w:r>
              <w:rPr>
                <w:webHidden/>
              </w:rPr>
              <w:t>84</w:t>
            </w:r>
            <w:r>
              <w:rPr>
                <w:webHidden/>
              </w:rPr>
              <w:fldChar w:fldCharType="end"/>
            </w:r>
          </w:hyperlink>
        </w:p>
        <w:p w14:paraId="7F35778D" w14:textId="72A4F067" w:rsidR="007476A7" w:rsidRDefault="007476A7">
          <w:pPr>
            <w:pStyle w:val="TOC1"/>
            <w:rPr>
              <w:rFonts w:asciiTheme="minorHAnsi" w:eastAsiaTheme="minorEastAsia" w:hAnsiTheme="minorHAnsi" w:cstheme="minorBidi"/>
              <w:b w:val="0"/>
              <w:kern w:val="2"/>
              <w:sz w:val="24"/>
              <w:szCs w:val="24"/>
              <w:lang w:eastAsia="ro-RO"/>
              <w14:ligatures w14:val="standardContextual"/>
            </w:rPr>
          </w:pPr>
          <w:hyperlink w:anchor="_Toc187824375" w:history="1">
            <w:r w:rsidRPr="005D0522">
              <w:rPr>
                <w:rStyle w:val="Hyperlink"/>
                <w:rFonts w:eastAsiaTheme="minorHAnsi" w:cstheme="minorHAnsi"/>
                <w:bCs/>
                <w:kern w:val="32"/>
              </w:rPr>
              <w:t>CAPITOLUL III</w:t>
            </w:r>
            <w:r>
              <w:rPr>
                <w:webHidden/>
              </w:rPr>
              <w:tab/>
            </w:r>
            <w:r>
              <w:rPr>
                <w:webHidden/>
              </w:rPr>
              <w:fldChar w:fldCharType="begin"/>
            </w:r>
            <w:r>
              <w:rPr>
                <w:webHidden/>
              </w:rPr>
              <w:instrText xml:space="preserve"> PAGEREF _Toc187824375 \h </w:instrText>
            </w:r>
            <w:r>
              <w:rPr>
                <w:webHidden/>
              </w:rPr>
            </w:r>
            <w:r>
              <w:rPr>
                <w:webHidden/>
              </w:rPr>
              <w:fldChar w:fldCharType="separate"/>
            </w:r>
            <w:r>
              <w:rPr>
                <w:webHidden/>
              </w:rPr>
              <w:t>86</w:t>
            </w:r>
            <w:r>
              <w:rPr>
                <w:webHidden/>
              </w:rPr>
              <w:fldChar w:fldCharType="end"/>
            </w:r>
          </w:hyperlink>
        </w:p>
        <w:p w14:paraId="4138498B" w14:textId="2815EECA" w:rsidR="007476A7" w:rsidRDefault="007476A7">
          <w:pPr>
            <w:pStyle w:val="TOC1"/>
            <w:rPr>
              <w:rFonts w:asciiTheme="minorHAnsi" w:eastAsiaTheme="minorEastAsia" w:hAnsiTheme="minorHAnsi" w:cstheme="minorBidi"/>
              <w:b w:val="0"/>
              <w:kern w:val="2"/>
              <w:sz w:val="24"/>
              <w:szCs w:val="24"/>
              <w:lang w:eastAsia="ro-RO"/>
              <w14:ligatures w14:val="standardContextual"/>
            </w:rPr>
          </w:pPr>
          <w:hyperlink w:anchor="_Toc187824376" w:history="1">
            <w:r w:rsidRPr="005D0522">
              <w:rPr>
                <w:rStyle w:val="Hyperlink"/>
                <w:rFonts w:eastAsiaTheme="minorHAnsi" w:cstheme="minorHAnsi"/>
                <w:bCs/>
                <w:kern w:val="32"/>
              </w:rPr>
              <w:t>Activităţi derulate în legătură cu atribuţiile în materie legislativă ale Consiliului Superior al Magistraturii</w:t>
            </w:r>
            <w:r>
              <w:rPr>
                <w:webHidden/>
              </w:rPr>
              <w:tab/>
            </w:r>
            <w:r>
              <w:rPr>
                <w:webHidden/>
              </w:rPr>
              <w:fldChar w:fldCharType="begin"/>
            </w:r>
            <w:r>
              <w:rPr>
                <w:webHidden/>
              </w:rPr>
              <w:instrText xml:space="preserve"> PAGEREF _Toc187824376 \h </w:instrText>
            </w:r>
            <w:r>
              <w:rPr>
                <w:webHidden/>
              </w:rPr>
            </w:r>
            <w:r>
              <w:rPr>
                <w:webHidden/>
              </w:rPr>
              <w:fldChar w:fldCharType="separate"/>
            </w:r>
            <w:r>
              <w:rPr>
                <w:webHidden/>
              </w:rPr>
              <w:t>86</w:t>
            </w:r>
            <w:r>
              <w:rPr>
                <w:webHidden/>
              </w:rPr>
              <w:fldChar w:fldCharType="end"/>
            </w:r>
          </w:hyperlink>
        </w:p>
        <w:p w14:paraId="276A33F0" w14:textId="01ADCDF9"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77" w:history="1">
            <w:r w:rsidRPr="005D0522">
              <w:rPr>
                <w:rStyle w:val="Hyperlink"/>
              </w:rPr>
              <w:t>III.1. Avizarea unor proiecte de acte normative</w:t>
            </w:r>
            <w:r>
              <w:rPr>
                <w:webHidden/>
              </w:rPr>
              <w:tab/>
            </w:r>
            <w:r>
              <w:rPr>
                <w:webHidden/>
              </w:rPr>
              <w:fldChar w:fldCharType="begin"/>
            </w:r>
            <w:r>
              <w:rPr>
                <w:webHidden/>
              </w:rPr>
              <w:instrText xml:space="preserve"> PAGEREF _Toc187824377 \h </w:instrText>
            </w:r>
            <w:r>
              <w:rPr>
                <w:webHidden/>
              </w:rPr>
            </w:r>
            <w:r>
              <w:rPr>
                <w:webHidden/>
              </w:rPr>
              <w:fldChar w:fldCharType="separate"/>
            </w:r>
            <w:r>
              <w:rPr>
                <w:webHidden/>
              </w:rPr>
              <w:t>86</w:t>
            </w:r>
            <w:r>
              <w:rPr>
                <w:webHidden/>
              </w:rPr>
              <w:fldChar w:fldCharType="end"/>
            </w:r>
          </w:hyperlink>
        </w:p>
        <w:p w14:paraId="30573AE1" w14:textId="5B4CE531"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78" w:history="1">
            <w:r w:rsidRPr="005D0522">
              <w:rPr>
                <w:rStyle w:val="Hyperlink"/>
              </w:rPr>
              <w:t>III.2. Elaborarea legislației secundare</w:t>
            </w:r>
            <w:r>
              <w:rPr>
                <w:webHidden/>
              </w:rPr>
              <w:tab/>
            </w:r>
            <w:r>
              <w:rPr>
                <w:webHidden/>
              </w:rPr>
              <w:fldChar w:fldCharType="begin"/>
            </w:r>
            <w:r>
              <w:rPr>
                <w:webHidden/>
              </w:rPr>
              <w:instrText xml:space="preserve"> PAGEREF _Toc187824378 \h </w:instrText>
            </w:r>
            <w:r>
              <w:rPr>
                <w:webHidden/>
              </w:rPr>
            </w:r>
            <w:r>
              <w:rPr>
                <w:webHidden/>
              </w:rPr>
              <w:fldChar w:fldCharType="separate"/>
            </w:r>
            <w:r>
              <w:rPr>
                <w:webHidden/>
              </w:rPr>
              <w:t>87</w:t>
            </w:r>
            <w:r>
              <w:rPr>
                <w:webHidden/>
              </w:rPr>
              <w:fldChar w:fldCharType="end"/>
            </w:r>
          </w:hyperlink>
        </w:p>
        <w:p w14:paraId="1D7AA886" w14:textId="5E524B67" w:rsidR="007476A7" w:rsidRDefault="007476A7">
          <w:pPr>
            <w:pStyle w:val="TOC1"/>
            <w:rPr>
              <w:rFonts w:asciiTheme="minorHAnsi" w:eastAsiaTheme="minorEastAsia" w:hAnsiTheme="minorHAnsi" w:cstheme="minorBidi"/>
              <w:b w:val="0"/>
              <w:kern w:val="2"/>
              <w:sz w:val="24"/>
              <w:szCs w:val="24"/>
              <w:lang w:eastAsia="ro-RO"/>
              <w14:ligatures w14:val="standardContextual"/>
            </w:rPr>
          </w:pPr>
          <w:hyperlink w:anchor="_Toc187824379" w:history="1">
            <w:r w:rsidRPr="005D0522">
              <w:rPr>
                <w:rStyle w:val="Hyperlink"/>
                <w:rFonts w:eastAsiaTheme="majorEastAsia" w:cstheme="minorHAnsi"/>
              </w:rPr>
              <w:t>CAPITOLUL IV</w:t>
            </w:r>
            <w:r>
              <w:rPr>
                <w:webHidden/>
              </w:rPr>
              <w:tab/>
            </w:r>
            <w:r>
              <w:rPr>
                <w:webHidden/>
              </w:rPr>
              <w:fldChar w:fldCharType="begin"/>
            </w:r>
            <w:r>
              <w:rPr>
                <w:webHidden/>
              </w:rPr>
              <w:instrText xml:space="preserve"> PAGEREF _Toc187824379 \h </w:instrText>
            </w:r>
            <w:r>
              <w:rPr>
                <w:webHidden/>
              </w:rPr>
            </w:r>
            <w:r>
              <w:rPr>
                <w:webHidden/>
              </w:rPr>
              <w:fldChar w:fldCharType="separate"/>
            </w:r>
            <w:r>
              <w:rPr>
                <w:webHidden/>
              </w:rPr>
              <w:t>90</w:t>
            </w:r>
            <w:r>
              <w:rPr>
                <w:webHidden/>
              </w:rPr>
              <w:fldChar w:fldCharType="end"/>
            </w:r>
          </w:hyperlink>
        </w:p>
        <w:p w14:paraId="059FEDE8" w14:textId="158CE468" w:rsidR="007476A7" w:rsidRDefault="007476A7">
          <w:pPr>
            <w:pStyle w:val="TOC1"/>
            <w:rPr>
              <w:rFonts w:asciiTheme="minorHAnsi" w:eastAsiaTheme="minorEastAsia" w:hAnsiTheme="minorHAnsi" w:cstheme="minorBidi"/>
              <w:b w:val="0"/>
              <w:kern w:val="2"/>
              <w:sz w:val="24"/>
              <w:szCs w:val="24"/>
              <w:lang w:eastAsia="ro-RO"/>
              <w14:ligatures w14:val="standardContextual"/>
            </w:rPr>
          </w:pPr>
          <w:hyperlink w:anchor="_Toc187824380" w:history="1">
            <w:r w:rsidRPr="005D0522">
              <w:rPr>
                <w:rStyle w:val="Hyperlink"/>
                <w:rFonts w:eastAsiaTheme="majorEastAsia" w:cstheme="minorHAnsi"/>
              </w:rPr>
              <w:t>Activităţi derulate în legătură cu atribuţiile în materie disciplinară</w:t>
            </w:r>
            <w:r>
              <w:rPr>
                <w:webHidden/>
              </w:rPr>
              <w:tab/>
            </w:r>
            <w:r>
              <w:rPr>
                <w:webHidden/>
              </w:rPr>
              <w:fldChar w:fldCharType="begin"/>
            </w:r>
            <w:r>
              <w:rPr>
                <w:webHidden/>
              </w:rPr>
              <w:instrText xml:space="preserve"> PAGEREF _Toc187824380 \h </w:instrText>
            </w:r>
            <w:r>
              <w:rPr>
                <w:webHidden/>
              </w:rPr>
            </w:r>
            <w:r>
              <w:rPr>
                <w:webHidden/>
              </w:rPr>
              <w:fldChar w:fldCharType="separate"/>
            </w:r>
            <w:r>
              <w:rPr>
                <w:webHidden/>
              </w:rPr>
              <w:t>90</w:t>
            </w:r>
            <w:r>
              <w:rPr>
                <w:webHidden/>
              </w:rPr>
              <w:fldChar w:fldCharType="end"/>
            </w:r>
          </w:hyperlink>
        </w:p>
        <w:p w14:paraId="63768CDC" w14:textId="533F56F2"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81" w:history="1">
            <w:r w:rsidRPr="005D0522">
              <w:rPr>
                <w:rStyle w:val="Hyperlink"/>
                <w:lang w:val="fr-FR"/>
              </w:rPr>
              <w:t>IV.1. Activitatea Secţiilor Consiliului Superior al Magistraturii, ca instanţe de judecată în materie disciplinară</w:t>
            </w:r>
            <w:r>
              <w:rPr>
                <w:webHidden/>
              </w:rPr>
              <w:tab/>
            </w:r>
            <w:r>
              <w:rPr>
                <w:webHidden/>
              </w:rPr>
              <w:fldChar w:fldCharType="begin"/>
            </w:r>
            <w:r>
              <w:rPr>
                <w:webHidden/>
              </w:rPr>
              <w:instrText xml:space="preserve"> PAGEREF _Toc187824381 \h </w:instrText>
            </w:r>
            <w:r>
              <w:rPr>
                <w:webHidden/>
              </w:rPr>
            </w:r>
            <w:r>
              <w:rPr>
                <w:webHidden/>
              </w:rPr>
              <w:fldChar w:fldCharType="separate"/>
            </w:r>
            <w:r>
              <w:rPr>
                <w:webHidden/>
              </w:rPr>
              <w:t>90</w:t>
            </w:r>
            <w:r>
              <w:rPr>
                <w:webHidden/>
              </w:rPr>
              <w:fldChar w:fldCharType="end"/>
            </w:r>
          </w:hyperlink>
        </w:p>
        <w:p w14:paraId="5606BADF" w14:textId="712B6B9E" w:rsidR="007476A7" w:rsidRDefault="007476A7">
          <w:pPr>
            <w:pStyle w:val="TOC1"/>
            <w:rPr>
              <w:rFonts w:asciiTheme="minorHAnsi" w:eastAsiaTheme="minorEastAsia" w:hAnsiTheme="minorHAnsi" w:cstheme="minorBidi"/>
              <w:b w:val="0"/>
              <w:kern w:val="2"/>
              <w:sz w:val="24"/>
              <w:szCs w:val="24"/>
              <w:lang w:eastAsia="ro-RO"/>
              <w14:ligatures w14:val="standardContextual"/>
            </w:rPr>
          </w:pPr>
          <w:hyperlink w:anchor="_Toc187824382" w:history="1">
            <w:r w:rsidRPr="005D0522">
              <w:rPr>
                <w:rStyle w:val="Hyperlink"/>
                <w:rFonts w:eastAsiaTheme="majorEastAsia" w:cstheme="minorHAnsi"/>
              </w:rPr>
              <w:t>CAPITOLUL V</w:t>
            </w:r>
            <w:r>
              <w:rPr>
                <w:webHidden/>
              </w:rPr>
              <w:tab/>
            </w:r>
            <w:r>
              <w:rPr>
                <w:webHidden/>
              </w:rPr>
              <w:fldChar w:fldCharType="begin"/>
            </w:r>
            <w:r>
              <w:rPr>
                <w:webHidden/>
              </w:rPr>
              <w:instrText xml:space="preserve"> PAGEREF _Toc187824382 \h </w:instrText>
            </w:r>
            <w:r>
              <w:rPr>
                <w:webHidden/>
              </w:rPr>
            </w:r>
            <w:r>
              <w:rPr>
                <w:webHidden/>
              </w:rPr>
              <w:fldChar w:fldCharType="separate"/>
            </w:r>
            <w:r>
              <w:rPr>
                <w:webHidden/>
              </w:rPr>
              <w:t>96</w:t>
            </w:r>
            <w:r>
              <w:rPr>
                <w:webHidden/>
              </w:rPr>
              <w:fldChar w:fldCharType="end"/>
            </w:r>
          </w:hyperlink>
        </w:p>
        <w:p w14:paraId="5B3BECE1" w14:textId="64CC8AA1" w:rsidR="007476A7" w:rsidRDefault="007476A7">
          <w:pPr>
            <w:pStyle w:val="TOC1"/>
            <w:rPr>
              <w:rFonts w:asciiTheme="minorHAnsi" w:eastAsiaTheme="minorEastAsia" w:hAnsiTheme="minorHAnsi" w:cstheme="minorBidi"/>
              <w:b w:val="0"/>
              <w:kern w:val="2"/>
              <w:sz w:val="24"/>
              <w:szCs w:val="24"/>
              <w:lang w:eastAsia="ro-RO"/>
              <w14:ligatures w14:val="standardContextual"/>
            </w:rPr>
          </w:pPr>
          <w:hyperlink w:anchor="_Toc187824383" w:history="1">
            <w:r w:rsidRPr="005D0522">
              <w:rPr>
                <w:rStyle w:val="Hyperlink"/>
                <w:rFonts w:eastAsiaTheme="majorEastAsia" w:cstheme="minorHAnsi"/>
              </w:rPr>
              <w:t>Bugetul Consiliului Superior al Magistraturii</w:t>
            </w:r>
            <w:r>
              <w:rPr>
                <w:webHidden/>
              </w:rPr>
              <w:tab/>
            </w:r>
            <w:r>
              <w:rPr>
                <w:webHidden/>
              </w:rPr>
              <w:fldChar w:fldCharType="begin"/>
            </w:r>
            <w:r>
              <w:rPr>
                <w:webHidden/>
              </w:rPr>
              <w:instrText xml:space="preserve"> PAGEREF _Toc187824383 \h </w:instrText>
            </w:r>
            <w:r>
              <w:rPr>
                <w:webHidden/>
              </w:rPr>
            </w:r>
            <w:r>
              <w:rPr>
                <w:webHidden/>
              </w:rPr>
              <w:fldChar w:fldCharType="separate"/>
            </w:r>
            <w:r>
              <w:rPr>
                <w:webHidden/>
              </w:rPr>
              <w:t>96</w:t>
            </w:r>
            <w:r>
              <w:rPr>
                <w:webHidden/>
              </w:rPr>
              <w:fldChar w:fldCharType="end"/>
            </w:r>
          </w:hyperlink>
        </w:p>
        <w:p w14:paraId="24FB54D9" w14:textId="7AA814A3" w:rsidR="007476A7" w:rsidRDefault="007476A7">
          <w:pPr>
            <w:pStyle w:val="TOC2"/>
            <w:tabs>
              <w:tab w:val="left" w:pos="960"/>
              <w:tab w:val="right" w:leader="dot" w:pos="10194"/>
            </w:tabs>
            <w:rPr>
              <w:rFonts w:asciiTheme="minorHAnsi" w:eastAsiaTheme="minorEastAsia" w:hAnsiTheme="minorHAnsi" w:cstheme="minorBidi"/>
              <w:kern w:val="2"/>
              <w:sz w:val="24"/>
              <w:szCs w:val="24"/>
              <w:lang w:eastAsia="ro-RO"/>
              <w14:ligatures w14:val="standardContextual"/>
            </w:rPr>
          </w:pPr>
          <w:hyperlink w:anchor="_Toc187824384" w:history="1">
            <w:r w:rsidRPr="005D0522">
              <w:rPr>
                <w:rStyle w:val="Hyperlink"/>
                <w:rFonts w:eastAsiaTheme="minorHAnsi"/>
                <w:lang w:val="fr-FR"/>
              </w:rPr>
              <w:t>V.1.</w:t>
            </w:r>
            <w:r>
              <w:rPr>
                <w:rFonts w:asciiTheme="minorHAnsi" w:eastAsiaTheme="minorEastAsia" w:hAnsiTheme="minorHAnsi" w:cstheme="minorBidi"/>
                <w:kern w:val="2"/>
                <w:sz w:val="24"/>
                <w:szCs w:val="24"/>
                <w:lang w:eastAsia="ro-RO"/>
                <w14:ligatures w14:val="standardContextual"/>
              </w:rPr>
              <w:tab/>
            </w:r>
            <w:r w:rsidRPr="005D0522">
              <w:rPr>
                <w:rStyle w:val="Hyperlink"/>
                <w:rFonts w:eastAsiaTheme="minorHAnsi"/>
                <w:lang w:val="fr-FR"/>
              </w:rPr>
              <w:t>Dinamica bugetului 2023-2024 şi perspectiva pentru anul 2025</w:t>
            </w:r>
            <w:r>
              <w:rPr>
                <w:webHidden/>
              </w:rPr>
              <w:tab/>
            </w:r>
            <w:r>
              <w:rPr>
                <w:webHidden/>
              </w:rPr>
              <w:fldChar w:fldCharType="begin"/>
            </w:r>
            <w:r>
              <w:rPr>
                <w:webHidden/>
              </w:rPr>
              <w:instrText xml:space="preserve"> PAGEREF _Toc187824384 \h </w:instrText>
            </w:r>
            <w:r>
              <w:rPr>
                <w:webHidden/>
              </w:rPr>
            </w:r>
            <w:r>
              <w:rPr>
                <w:webHidden/>
              </w:rPr>
              <w:fldChar w:fldCharType="separate"/>
            </w:r>
            <w:r>
              <w:rPr>
                <w:webHidden/>
              </w:rPr>
              <w:t>96</w:t>
            </w:r>
            <w:r>
              <w:rPr>
                <w:webHidden/>
              </w:rPr>
              <w:fldChar w:fldCharType="end"/>
            </w:r>
          </w:hyperlink>
        </w:p>
        <w:p w14:paraId="58F2CBE4" w14:textId="019C18E7" w:rsidR="007476A7" w:rsidRDefault="007476A7">
          <w:pPr>
            <w:pStyle w:val="TOC2"/>
            <w:tabs>
              <w:tab w:val="left" w:pos="960"/>
              <w:tab w:val="right" w:leader="dot" w:pos="10194"/>
            </w:tabs>
            <w:rPr>
              <w:rFonts w:asciiTheme="minorHAnsi" w:eastAsiaTheme="minorEastAsia" w:hAnsiTheme="minorHAnsi" w:cstheme="minorBidi"/>
              <w:kern w:val="2"/>
              <w:sz w:val="24"/>
              <w:szCs w:val="24"/>
              <w:lang w:eastAsia="ro-RO"/>
              <w14:ligatures w14:val="standardContextual"/>
            </w:rPr>
          </w:pPr>
          <w:hyperlink w:anchor="_Toc187824385" w:history="1">
            <w:r w:rsidRPr="005D0522">
              <w:rPr>
                <w:rStyle w:val="Hyperlink"/>
                <w:rFonts w:eastAsiaTheme="minorHAnsi"/>
                <w:lang w:val="fr-FR"/>
              </w:rPr>
              <w:t>V.2.</w:t>
            </w:r>
            <w:r>
              <w:rPr>
                <w:rFonts w:asciiTheme="minorHAnsi" w:eastAsiaTheme="minorEastAsia" w:hAnsiTheme="minorHAnsi" w:cstheme="minorBidi"/>
                <w:kern w:val="2"/>
                <w:sz w:val="24"/>
                <w:szCs w:val="24"/>
                <w:lang w:eastAsia="ro-RO"/>
                <w14:ligatures w14:val="standardContextual"/>
              </w:rPr>
              <w:tab/>
            </w:r>
            <w:r w:rsidRPr="005D0522">
              <w:rPr>
                <w:rStyle w:val="Hyperlink"/>
                <w:rFonts w:eastAsiaTheme="minorHAnsi"/>
                <w:lang w:val="fr-FR"/>
              </w:rPr>
              <w:t>Structura bugetului pe anul 2024</w:t>
            </w:r>
            <w:r>
              <w:rPr>
                <w:webHidden/>
              </w:rPr>
              <w:tab/>
            </w:r>
            <w:r>
              <w:rPr>
                <w:webHidden/>
              </w:rPr>
              <w:fldChar w:fldCharType="begin"/>
            </w:r>
            <w:r>
              <w:rPr>
                <w:webHidden/>
              </w:rPr>
              <w:instrText xml:space="preserve"> PAGEREF _Toc187824385 \h </w:instrText>
            </w:r>
            <w:r>
              <w:rPr>
                <w:webHidden/>
              </w:rPr>
            </w:r>
            <w:r>
              <w:rPr>
                <w:webHidden/>
              </w:rPr>
              <w:fldChar w:fldCharType="separate"/>
            </w:r>
            <w:r>
              <w:rPr>
                <w:webHidden/>
              </w:rPr>
              <w:t>102</w:t>
            </w:r>
            <w:r>
              <w:rPr>
                <w:webHidden/>
              </w:rPr>
              <w:fldChar w:fldCharType="end"/>
            </w:r>
          </w:hyperlink>
        </w:p>
        <w:p w14:paraId="7584D978" w14:textId="65C874AC"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86" w:history="1">
            <w:r w:rsidRPr="005D0522">
              <w:rPr>
                <w:rStyle w:val="Hyperlink"/>
                <w:rFonts w:eastAsiaTheme="minorHAnsi"/>
                <w:lang w:val="fr-FR"/>
              </w:rPr>
              <w:t>V.3. Ponderea bugetelor Institutului Naţional al Magistraturii, Şcolii Naţionale de Grefieri şi Consiliului Superior al Magistraturii – aparatul propriu în bugetul total al Consiliului Superior al Magistraturii</w:t>
            </w:r>
            <w:r>
              <w:rPr>
                <w:webHidden/>
              </w:rPr>
              <w:tab/>
            </w:r>
            <w:r>
              <w:rPr>
                <w:webHidden/>
              </w:rPr>
              <w:fldChar w:fldCharType="begin"/>
            </w:r>
            <w:r>
              <w:rPr>
                <w:webHidden/>
              </w:rPr>
              <w:instrText xml:space="preserve"> PAGEREF _Toc187824386 \h </w:instrText>
            </w:r>
            <w:r>
              <w:rPr>
                <w:webHidden/>
              </w:rPr>
            </w:r>
            <w:r>
              <w:rPr>
                <w:webHidden/>
              </w:rPr>
              <w:fldChar w:fldCharType="separate"/>
            </w:r>
            <w:r>
              <w:rPr>
                <w:webHidden/>
              </w:rPr>
              <w:t>107</w:t>
            </w:r>
            <w:r>
              <w:rPr>
                <w:webHidden/>
              </w:rPr>
              <w:fldChar w:fldCharType="end"/>
            </w:r>
          </w:hyperlink>
        </w:p>
        <w:p w14:paraId="0497C32A" w14:textId="5CB230DC" w:rsidR="007476A7" w:rsidRDefault="007476A7">
          <w:pPr>
            <w:pStyle w:val="TOC1"/>
            <w:rPr>
              <w:rFonts w:asciiTheme="minorHAnsi" w:eastAsiaTheme="minorEastAsia" w:hAnsiTheme="minorHAnsi" w:cstheme="minorBidi"/>
              <w:b w:val="0"/>
              <w:kern w:val="2"/>
              <w:sz w:val="24"/>
              <w:szCs w:val="24"/>
              <w:lang w:eastAsia="ro-RO"/>
              <w14:ligatures w14:val="standardContextual"/>
            </w:rPr>
          </w:pPr>
          <w:hyperlink w:anchor="_Toc187824387" w:history="1">
            <w:r w:rsidRPr="005D0522">
              <w:rPr>
                <w:rStyle w:val="Hyperlink"/>
                <w:rFonts w:cstheme="minorHAnsi"/>
              </w:rPr>
              <w:t>CAPITOLUL VI</w:t>
            </w:r>
            <w:r>
              <w:rPr>
                <w:webHidden/>
              </w:rPr>
              <w:tab/>
            </w:r>
            <w:r>
              <w:rPr>
                <w:webHidden/>
              </w:rPr>
              <w:fldChar w:fldCharType="begin"/>
            </w:r>
            <w:r>
              <w:rPr>
                <w:webHidden/>
              </w:rPr>
              <w:instrText xml:space="preserve"> PAGEREF _Toc187824387 \h </w:instrText>
            </w:r>
            <w:r>
              <w:rPr>
                <w:webHidden/>
              </w:rPr>
            </w:r>
            <w:r>
              <w:rPr>
                <w:webHidden/>
              </w:rPr>
              <w:fldChar w:fldCharType="separate"/>
            </w:r>
            <w:r>
              <w:rPr>
                <w:webHidden/>
              </w:rPr>
              <w:t>110</w:t>
            </w:r>
            <w:r>
              <w:rPr>
                <w:webHidden/>
              </w:rPr>
              <w:fldChar w:fldCharType="end"/>
            </w:r>
          </w:hyperlink>
        </w:p>
        <w:p w14:paraId="4D26CB65" w14:textId="573757FF" w:rsidR="007476A7" w:rsidRDefault="007476A7">
          <w:pPr>
            <w:pStyle w:val="TOC1"/>
            <w:rPr>
              <w:rFonts w:asciiTheme="minorHAnsi" w:eastAsiaTheme="minorEastAsia" w:hAnsiTheme="minorHAnsi" w:cstheme="minorBidi"/>
              <w:b w:val="0"/>
              <w:kern w:val="2"/>
              <w:sz w:val="24"/>
              <w:szCs w:val="24"/>
              <w:lang w:eastAsia="ro-RO"/>
              <w14:ligatures w14:val="standardContextual"/>
            </w:rPr>
          </w:pPr>
          <w:hyperlink w:anchor="_Toc187824388" w:history="1">
            <w:r w:rsidRPr="005D0522">
              <w:rPr>
                <w:rStyle w:val="Hyperlink"/>
                <w:rFonts w:cstheme="minorHAnsi"/>
              </w:rPr>
              <w:t>Alte aspecte privind activitatea aparatului propriu de asigurare a suportului tehnic pentru îndeplinirea atribuţiilor Consiliului Superior al Magistraturii</w:t>
            </w:r>
            <w:r>
              <w:rPr>
                <w:webHidden/>
              </w:rPr>
              <w:tab/>
            </w:r>
            <w:r>
              <w:rPr>
                <w:webHidden/>
              </w:rPr>
              <w:fldChar w:fldCharType="begin"/>
            </w:r>
            <w:r>
              <w:rPr>
                <w:webHidden/>
              </w:rPr>
              <w:instrText xml:space="preserve"> PAGEREF _Toc187824388 \h </w:instrText>
            </w:r>
            <w:r>
              <w:rPr>
                <w:webHidden/>
              </w:rPr>
            </w:r>
            <w:r>
              <w:rPr>
                <w:webHidden/>
              </w:rPr>
              <w:fldChar w:fldCharType="separate"/>
            </w:r>
            <w:r>
              <w:rPr>
                <w:webHidden/>
              </w:rPr>
              <w:t>110</w:t>
            </w:r>
            <w:r>
              <w:rPr>
                <w:webHidden/>
              </w:rPr>
              <w:fldChar w:fldCharType="end"/>
            </w:r>
          </w:hyperlink>
        </w:p>
        <w:p w14:paraId="6455B0D0" w14:textId="0878F27D"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89" w:history="1">
            <w:r w:rsidRPr="005D0522">
              <w:rPr>
                <w:rStyle w:val="Hyperlink"/>
              </w:rPr>
              <w:t>VI.1. Activitatea Direcţiei resurse umane şi organizare</w:t>
            </w:r>
            <w:r>
              <w:rPr>
                <w:webHidden/>
              </w:rPr>
              <w:tab/>
            </w:r>
            <w:r>
              <w:rPr>
                <w:webHidden/>
              </w:rPr>
              <w:fldChar w:fldCharType="begin"/>
            </w:r>
            <w:r>
              <w:rPr>
                <w:webHidden/>
              </w:rPr>
              <w:instrText xml:space="preserve"> PAGEREF _Toc187824389 \h </w:instrText>
            </w:r>
            <w:r>
              <w:rPr>
                <w:webHidden/>
              </w:rPr>
            </w:r>
            <w:r>
              <w:rPr>
                <w:webHidden/>
              </w:rPr>
              <w:fldChar w:fldCharType="separate"/>
            </w:r>
            <w:r>
              <w:rPr>
                <w:webHidden/>
              </w:rPr>
              <w:t>110</w:t>
            </w:r>
            <w:r>
              <w:rPr>
                <w:webHidden/>
              </w:rPr>
              <w:fldChar w:fldCharType="end"/>
            </w:r>
          </w:hyperlink>
        </w:p>
        <w:p w14:paraId="466D1492" w14:textId="4383FE63"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90" w:history="1">
            <w:r w:rsidRPr="005D0522">
              <w:rPr>
                <w:rStyle w:val="Hyperlink"/>
                <w:lang w:val="fr-FR"/>
              </w:rPr>
              <w:t>VI.2. Activitatea Direcţiei legislaţie, documentare şi contencios</w:t>
            </w:r>
            <w:r>
              <w:rPr>
                <w:webHidden/>
              </w:rPr>
              <w:tab/>
            </w:r>
            <w:r>
              <w:rPr>
                <w:webHidden/>
              </w:rPr>
              <w:fldChar w:fldCharType="begin"/>
            </w:r>
            <w:r>
              <w:rPr>
                <w:webHidden/>
              </w:rPr>
              <w:instrText xml:space="preserve"> PAGEREF _Toc187824390 \h </w:instrText>
            </w:r>
            <w:r>
              <w:rPr>
                <w:webHidden/>
              </w:rPr>
            </w:r>
            <w:r>
              <w:rPr>
                <w:webHidden/>
              </w:rPr>
              <w:fldChar w:fldCharType="separate"/>
            </w:r>
            <w:r>
              <w:rPr>
                <w:webHidden/>
              </w:rPr>
              <w:t>113</w:t>
            </w:r>
            <w:r>
              <w:rPr>
                <w:webHidden/>
              </w:rPr>
              <w:fldChar w:fldCharType="end"/>
            </w:r>
          </w:hyperlink>
        </w:p>
        <w:p w14:paraId="61BB0C4A" w14:textId="0032D5FB"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91" w:history="1">
            <w:r w:rsidRPr="005D0522">
              <w:rPr>
                <w:rStyle w:val="Hyperlink"/>
                <w:lang w:val="fr-FR"/>
              </w:rPr>
              <w:t>VI.3. Activitatea Direcţiei afaceri europene, relaţii internaţionale şi programe</w:t>
            </w:r>
            <w:r>
              <w:rPr>
                <w:webHidden/>
              </w:rPr>
              <w:tab/>
            </w:r>
            <w:r>
              <w:rPr>
                <w:webHidden/>
              </w:rPr>
              <w:fldChar w:fldCharType="begin"/>
            </w:r>
            <w:r>
              <w:rPr>
                <w:webHidden/>
              </w:rPr>
              <w:instrText xml:space="preserve"> PAGEREF _Toc187824391 \h </w:instrText>
            </w:r>
            <w:r>
              <w:rPr>
                <w:webHidden/>
              </w:rPr>
            </w:r>
            <w:r>
              <w:rPr>
                <w:webHidden/>
              </w:rPr>
              <w:fldChar w:fldCharType="separate"/>
            </w:r>
            <w:r>
              <w:rPr>
                <w:webHidden/>
              </w:rPr>
              <w:t>118</w:t>
            </w:r>
            <w:r>
              <w:rPr>
                <w:webHidden/>
              </w:rPr>
              <w:fldChar w:fldCharType="end"/>
            </w:r>
          </w:hyperlink>
        </w:p>
        <w:p w14:paraId="5FD35842" w14:textId="215EC6B3"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92" w:history="1">
            <w:r w:rsidRPr="005D0522">
              <w:rPr>
                <w:rStyle w:val="Hyperlink"/>
              </w:rPr>
              <w:t>VI.3.1. Activitatea în cadrul Mecanismului de Cooperare și Verificare al Comisiei Europene și al Mecanismului privind statul de drept</w:t>
            </w:r>
            <w:r>
              <w:rPr>
                <w:webHidden/>
              </w:rPr>
              <w:tab/>
            </w:r>
            <w:r>
              <w:rPr>
                <w:webHidden/>
              </w:rPr>
              <w:fldChar w:fldCharType="begin"/>
            </w:r>
            <w:r>
              <w:rPr>
                <w:webHidden/>
              </w:rPr>
              <w:instrText xml:space="preserve"> PAGEREF _Toc187824392 \h </w:instrText>
            </w:r>
            <w:r>
              <w:rPr>
                <w:webHidden/>
              </w:rPr>
            </w:r>
            <w:r>
              <w:rPr>
                <w:webHidden/>
              </w:rPr>
              <w:fldChar w:fldCharType="separate"/>
            </w:r>
            <w:r>
              <w:rPr>
                <w:webHidden/>
              </w:rPr>
              <w:t>118</w:t>
            </w:r>
            <w:r>
              <w:rPr>
                <w:webHidden/>
              </w:rPr>
              <w:fldChar w:fldCharType="end"/>
            </w:r>
          </w:hyperlink>
        </w:p>
        <w:p w14:paraId="49EDD2F6" w14:textId="0E58C8E2"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93" w:history="1">
            <w:r w:rsidRPr="005D0522">
              <w:rPr>
                <w:rStyle w:val="Hyperlink"/>
                <w:lang w:val="fr-FR"/>
              </w:rPr>
              <w:t>VI.3.2. Dezvoltarea dialogului bilateral</w:t>
            </w:r>
            <w:r>
              <w:rPr>
                <w:webHidden/>
              </w:rPr>
              <w:tab/>
            </w:r>
            <w:r>
              <w:rPr>
                <w:webHidden/>
              </w:rPr>
              <w:fldChar w:fldCharType="begin"/>
            </w:r>
            <w:r>
              <w:rPr>
                <w:webHidden/>
              </w:rPr>
              <w:instrText xml:space="preserve"> PAGEREF _Toc187824393 \h </w:instrText>
            </w:r>
            <w:r>
              <w:rPr>
                <w:webHidden/>
              </w:rPr>
            </w:r>
            <w:r>
              <w:rPr>
                <w:webHidden/>
              </w:rPr>
              <w:fldChar w:fldCharType="separate"/>
            </w:r>
            <w:r>
              <w:rPr>
                <w:webHidden/>
              </w:rPr>
              <w:t>119</w:t>
            </w:r>
            <w:r>
              <w:rPr>
                <w:webHidden/>
              </w:rPr>
              <w:fldChar w:fldCharType="end"/>
            </w:r>
          </w:hyperlink>
        </w:p>
        <w:p w14:paraId="43C3124A" w14:textId="5F51658A"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94" w:history="1">
            <w:r w:rsidRPr="005D0522">
              <w:rPr>
                <w:rStyle w:val="Hyperlink"/>
                <w:lang w:val="fr-FR"/>
              </w:rPr>
              <w:t>VI.3.3. Alte activităţi în domeniul relaţiilor externe</w:t>
            </w:r>
            <w:r>
              <w:rPr>
                <w:webHidden/>
              </w:rPr>
              <w:tab/>
            </w:r>
            <w:r>
              <w:rPr>
                <w:webHidden/>
              </w:rPr>
              <w:fldChar w:fldCharType="begin"/>
            </w:r>
            <w:r>
              <w:rPr>
                <w:webHidden/>
              </w:rPr>
              <w:instrText xml:space="preserve"> PAGEREF _Toc187824394 \h </w:instrText>
            </w:r>
            <w:r>
              <w:rPr>
                <w:webHidden/>
              </w:rPr>
            </w:r>
            <w:r>
              <w:rPr>
                <w:webHidden/>
              </w:rPr>
              <w:fldChar w:fldCharType="separate"/>
            </w:r>
            <w:r>
              <w:rPr>
                <w:webHidden/>
              </w:rPr>
              <w:t>122</w:t>
            </w:r>
            <w:r>
              <w:rPr>
                <w:webHidden/>
              </w:rPr>
              <w:fldChar w:fldCharType="end"/>
            </w:r>
          </w:hyperlink>
        </w:p>
        <w:p w14:paraId="2DA18271" w14:textId="5B0A6DAC"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95" w:history="1">
            <w:r w:rsidRPr="005D0522">
              <w:rPr>
                <w:rStyle w:val="Hyperlink"/>
              </w:rPr>
              <w:t>VI.3.4. Activitatea în domeniul programelor cu finanţare europeană şi internaţională</w:t>
            </w:r>
            <w:r>
              <w:rPr>
                <w:webHidden/>
              </w:rPr>
              <w:tab/>
            </w:r>
            <w:r>
              <w:rPr>
                <w:webHidden/>
              </w:rPr>
              <w:fldChar w:fldCharType="begin"/>
            </w:r>
            <w:r>
              <w:rPr>
                <w:webHidden/>
              </w:rPr>
              <w:instrText xml:space="preserve"> PAGEREF _Toc187824395 \h </w:instrText>
            </w:r>
            <w:r>
              <w:rPr>
                <w:webHidden/>
              </w:rPr>
            </w:r>
            <w:r>
              <w:rPr>
                <w:webHidden/>
              </w:rPr>
              <w:fldChar w:fldCharType="separate"/>
            </w:r>
            <w:r>
              <w:rPr>
                <w:webHidden/>
              </w:rPr>
              <w:t>126</w:t>
            </w:r>
            <w:r>
              <w:rPr>
                <w:webHidden/>
              </w:rPr>
              <w:fldChar w:fldCharType="end"/>
            </w:r>
          </w:hyperlink>
        </w:p>
        <w:p w14:paraId="2815EF8F" w14:textId="391F127D"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96" w:history="1">
            <w:r w:rsidRPr="005D0522">
              <w:rPr>
                <w:rStyle w:val="Hyperlink"/>
              </w:rPr>
              <w:t>VI.4. Activitatea Serviciului sinteze şi pregătirea lucrărilor şedinţelor Consiliului Superior al Magistraturii</w:t>
            </w:r>
            <w:r>
              <w:rPr>
                <w:webHidden/>
              </w:rPr>
              <w:tab/>
            </w:r>
            <w:r>
              <w:rPr>
                <w:webHidden/>
              </w:rPr>
              <w:fldChar w:fldCharType="begin"/>
            </w:r>
            <w:r>
              <w:rPr>
                <w:webHidden/>
              </w:rPr>
              <w:instrText xml:space="preserve"> PAGEREF _Toc187824396 \h </w:instrText>
            </w:r>
            <w:r>
              <w:rPr>
                <w:webHidden/>
              </w:rPr>
            </w:r>
            <w:r>
              <w:rPr>
                <w:webHidden/>
              </w:rPr>
              <w:fldChar w:fldCharType="separate"/>
            </w:r>
            <w:r>
              <w:rPr>
                <w:webHidden/>
              </w:rPr>
              <w:t>129</w:t>
            </w:r>
            <w:r>
              <w:rPr>
                <w:webHidden/>
              </w:rPr>
              <w:fldChar w:fldCharType="end"/>
            </w:r>
          </w:hyperlink>
        </w:p>
        <w:p w14:paraId="6C9417DD" w14:textId="2B83D758"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97" w:history="1">
            <w:r w:rsidRPr="005D0522">
              <w:rPr>
                <w:rStyle w:val="Hyperlink"/>
              </w:rPr>
              <w:t>VI.5. Activitatea Serviciului grefa secțiilor</w:t>
            </w:r>
            <w:r>
              <w:rPr>
                <w:webHidden/>
              </w:rPr>
              <w:tab/>
            </w:r>
            <w:r>
              <w:rPr>
                <w:webHidden/>
              </w:rPr>
              <w:fldChar w:fldCharType="begin"/>
            </w:r>
            <w:r>
              <w:rPr>
                <w:webHidden/>
              </w:rPr>
              <w:instrText xml:space="preserve"> PAGEREF _Toc187824397 \h </w:instrText>
            </w:r>
            <w:r>
              <w:rPr>
                <w:webHidden/>
              </w:rPr>
            </w:r>
            <w:r>
              <w:rPr>
                <w:webHidden/>
              </w:rPr>
              <w:fldChar w:fldCharType="separate"/>
            </w:r>
            <w:r>
              <w:rPr>
                <w:webHidden/>
              </w:rPr>
              <w:t>131</w:t>
            </w:r>
            <w:r>
              <w:rPr>
                <w:webHidden/>
              </w:rPr>
              <w:fldChar w:fldCharType="end"/>
            </w:r>
          </w:hyperlink>
        </w:p>
        <w:p w14:paraId="08646E1A" w14:textId="75045EF3"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98" w:history="1">
            <w:r w:rsidRPr="005D0522">
              <w:rPr>
                <w:rStyle w:val="Hyperlink"/>
                <w:lang w:val="fr-FR"/>
              </w:rPr>
              <w:t>VI.6. Activitatea Serviciului de relaţii cu publicul, registratură şi arhivă</w:t>
            </w:r>
            <w:r>
              <w:rPr>
                <w:webHidden/>
              </w:rPr>
              <w:tab/>
            </w:r>
            <w:r>
              <w:rPr>
                <w:webHidden/>
              </w:rPr>
              <w:fldChar w:fldCharType="begin"/>
            </w:r>
            <w:r>
              <w:rPr>
                <w:webHidden/>
              </w:rPr>
              <w:instrText xml:space="preserve"> PAGEREF _Toc187824398 \h </w:instrText>
            </w:r>
            <w:r>
              <w:rPr>
                <w:webHidden/>
              </w:rPr>
            </w:r>
            <w:r>
              <w:rPr>
                <w:webHidden/>
              </w:rPr>
              <w:fldChar w:fldCharType="separate"/>
            </w:r>
            <w:r>
              <w:rPr>
                <w:webHidden/>
              </w:rPr>
              <w:t>132</w:t>
            </w:r>
            <w:r>
              <w:rPr>
                <w:webHidden/>
              </w:rPr>
              <w:fldChar w:fldCharType="end"/>
            </w:r>
          </w:hyperlink>
        </w:p>
        <w:p w14:paraId="0FE095D1" w14:textId="16B731A9"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399" w:history="1">
            <w:r w:rsidRPr="005D0522">
              <w:rPr>
                <w:rStyle w:val="Hyperlink"/>
              </w:rPr>
              <w:t>VI.7. Activitatea Serviciului de informare publică, relaţii cu mass-media și protecția datelor cu caracter personal</w:t>
            </w:r>
            <w:r>
              <w:rPr>
                <w:webHidden/>
              </w:rPr>
              <w:tab/>
            </w:r>
            <w:r>
              <w:rPr>
                <w:webHidden/>
              </w:rPr>
              <w:fldChar w:fldCharType="begin"/>
            </w:r>
            <w:r>
              <w:rPr>
                <w:webHidden/>
              </w:rPr>
              <w:instrText xml:space="preserve"> PAGEREF _Toc187824399 \h </w:instrText>
            </w:r>
            <w:r>
              <w:rPr>
                <w:webHidden/>
              </w:rPr>
            </w:r>
            <w:r>
              <w:rPr>
                <w:webHidden/>
              </w:rPr>
              <w:fldChar w:fldCharType="separate"/>
            </w:r>
            <w:r>
              <w:rPr>
                <w:webHidden/>
              </w:rPr>
              <w:t>134</w:t>
            </w:r>
            <w:r>
              <w:rPr>
                <w:webHidden/>
              </w:rPr>
              <w:fldChar w:fldCharType="end"/>
            </w:r>
          </w:hyperlink>
        </w:p>
        <w:p w14:paraId="35E03982" w14:textId="55719EEE"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400" w:history="1">
            <w:r w:rsidRPr="005D0522">
              <w:rPr>
                <w:rStyle w:val="Hyperlink"/>
                <w:lang w:val="fr-FR"/>
              </w:rPr>
              <w:t>VI.8. Activitatea Serviciului achiziţii publice, protocol și secretariat</w:t>
            </w:r>
            <w:r>
              <w:rPr>
                <w:webHidden/>
              </w:rPr>
              <w:tab/>
            </w:r>
            <w:r>
              <w:rPr>
                <w:webHidden/>
              </w:rPr>
              <w:fldChar w:fldCharType="begin"/>
            </w:r>
            <w:r>
              <w:rPr>
                <w:webHidden/>
              </w:rPr>
              <w:instrText xml:space="preserve"> PAGEREF _Toc187824400 \h </w:instrText>
            </w:r>
            <w:r>
              <w:rPr>
                <w:webHidden/>
              </w:rPr>
            </w:r>
            <w:r>
              <w:rPr>
                <w:webHidden/>
              </w:rPr>
              <w:fldChar w:fldCharType="separate"/>
            </w:r>
            <w:r>
              <w:rPr>
                <w:webHidden/>
              </w:rPr>
              <w:t>140</w:t>
            </w:r>
            <w:r>
              <w:rPr>
                <w:webHidden/>
              </w:rPr>
              <w:fldChar w:fldCharType="end"/>
            </w:r>
          </w:hyperlink>
        </w:p>
        <w:p w14:paraId="760B0E1C" w14:textId="0B207022"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401" w:history="1">
            <w:r w:rsidRPr="005D0522">
              <w:rPr>
                <w:rStyle w:val="Hyperlink"/>
                <w:lang w:val="fr-FR"/>
              </w:rPr>
              <w:t>VI.9. Activitatea Serviciului informatică şi statistică judiciară</w:t>
            </w:r>
            <w:r>
              <w:rPr>
                <w:webHidden/>
              </w:rPr>
              <w:tab/>
            </w:r>
            <w:r>
              <w:rPr>
                <w:webHidden/>
              </w:rPr>
              <w:fldChar w:fldCharType="begin"/>
            </w:r>
            <w:r>
              <w:rPr>
                <w:webHidden/>
              </w:rPr>
              <w:instrText xml:space="preserve"> PAGEREF _Toc187824401 \h </w:instrText>
            </w:r>
            <w:r>
              <w:rPr>
                <w:webHidden/>
              </w:rPr>
            </w:r>
            <w:r>
              <w:rPr>
                <w:webHidden/>
              </w:rPr>
              <w:fldChar w:fldCharType="separate"/>
            </w:r>
            <w:r>
              <w:rPr>
                <w:webHidden/>
              </w:rPr>
              <w:t>142</w:t>
            </w:r>
            <w:r>
              <w:rPr>
                <w:webHidden/>
              </w:rPr>
              <w:fldChar w:fldCharType="end"/>
            </w:r>
          </w:hyperlink>
        </w:p>
        <w:p w14:paraId="212938DE" w14:textId="15B9BF75"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402" w:history="1">
            <w:r w:rsidRPr="005D0522">
              <w:rPr>
                <w:rStyle w:val="Hyperlink"/>
              </w:rPr>
              <w:t>VI.9.1. Activitatea Compartimentului statistică judiciară</w:t>
            </w:r>
            <w:r>
              <w:rPr>
                <w:webHidden/>
              </w:rPr>
              <w:tab/>
            </w:r>
            <w:r>
              <w:rPr>
                <w:webHidden/>
              </w:rPr>
              <w:fldChar w:fldCharType="begin"/>
            </w:r>
            <w:r>
              <w:rPr>
                <w:webHidden/>
              </w:rPr>
              <w:instrText xml:space="preserve"> PAGEREF _Toc187824402 \h </w:instrText>
            </w:r>
            <w:r>
              <w:rPr>
                <w:webHidden/>
              </w:rPr>
            </w:r>
            <w:r>
              <w:rPr>
                <w:webHidden/>
              </w:rPr>
              <w:fldChar w:fldCharType="separate"/>
            </w:r>
            <w:r>
              <w:rPr>
                <w:webHidden/>
              </w:rPr>
              <w:t>142</w:t>
            </w:r>
            <w:r>
              <w:rPr>
                <w:webHidden/>
              </w:rPr>
              <w:fldChar w:fldCharType="end"/>
            </w:r>
          </w:hyperlink>
        </w:p>
        <w:p w14:paraId="45775751" w14:textId="30018181" w:rsidR="007476A7" w:rsidRDefault="007476A7">
          <w:pPr>
            <w:pStyle w:val="TOC3"/>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403" w:history="1">
            <w:r w:rsidRPr="005D0522">
              <w:rPr>
                <w:rStyle w:val="Hyperlink"/>
              </w:rPr>
              <w:t>VI.9.2. Activitatea Compartimentului informatică</w:t>
            </w:r>
            <w:r>
              <w:rPr>
                <w:webHidden/>
              </w:rPr>
              <w:tab/>
            </w:r>
            <w:r>
              <w:rPr>
                <w:webHidden/>
              </w:rPr>
              <w:fldChar w:fldCharType="begin"/>
            </w:r>
            <w:r>
              <w:rPr>
                <w:webHidden/>
              </w:rPr>
              <w:instrText xml:space="preserve"> PAGEREF _Toc187824403 \h </w:instrText>
            </w:r>
            <w:r>
              <w:rPr>
                <w:webHidden/>
              </w:rPr>
            </w:r>
            <w:r>
              <w:rPr>
                <w:webHidden/>
              </w:rPr>
              <w:fldChar w:fldCharType="separate"/>
            </w:r>
            <w:r>
              <w:rPr>
                <w:webHidden/>
              </w:rPr>
              <w:t>143</w:t>
            </w:r>
            <w:r>
              <w:rPr>
                <w:webHidden/>
              </w:rPr>
              <w:fldChar w:fldCharType="end"/>
            </w:r>
          </w:hyperlink>
        </w:p>
        <w:p w14:paraId="0E5DA0E3" w14:textId="6D9710E4"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404" w:history="1">
            <w:r w:rsidRPr="005D0522">
              <w:rPr>
                <w:rStyle w:val="Hyperlink"/>
                <w:lang w:val="fr-FR"/>
              </w:rPr>
              <w:t>VI.10. Activitatea Compartimentului de audit public intern</w:t>
            </w:r>
            <w:r>
              <w:rPr>
                <w:webHidden/>
              </w:rPr>
              <w:tab/>
            </w:r>
            <w:r>
              <w:rPr>
                <w:webHidden/>
              </w:rPr>
              <w:fldChar w:fldCharType="begin"/>
            </w:r>
            <w:r>
              <w:rPr>
                <w:webHidden/>
              </w:rPr>
              <w:instrText xml:space="preserve"> PAGEREF _Toc187824404 \h </w:instrText>
            </w:r>
            <w:r>
              <w:rPr>
                <w:webHidden/>
              </w:rPr>
            </w:r>
            <w:r>
              <w:rPr>
                <w:webHidden/>
              </w:rPr>
              <w:fldChar w:fldCharType="separate"/>
            </w:r>
            <w:r>
              <w:rPr>
                <w:webHidden/>
              </w:rPr>
              <w:t>147</w:t>
            </w:r>
            <w:r>
              <w:rPr>
                <w:webHidden/>
              </w:rPr>
              <w:fldChar w:fldCharType="end"/>
            </w:r>
          </w:hyperlink>
        </w:p>
        <w:p w14:paraId="38F1CB81" w14:textId="7B1CD788" w:rsidR="007476A7" w:rsidRDefault="007476A7">
          <w:pPr>
            <w:pStyle w:val="TOC2"/>
            <w:tabs>
              <w:tab w:val="right" w:leader="dot" w:pos="10194"/>
            </w:tabs>
            <w:rPr>
              <w:rFonts w:asciiTheme="minorHAnsi" w:eastAsiaTheme="minorEastAsia" w:hAnsiTheme="minorHAnsi" w:cstheme="minorBidi"/>
              <w:kern w:val="2"/>
              <w:sz w:val="24"/>
              <w:szCs w:val="24"/>
              <w:lang w:eastAsia="ro-RO"/>
              <w14:ligatures w14:val="standardContextual"/>
            </w:rPr>
          </w:pPr>
          <w:hyperlink w:anchor="_Toc187824405" w:history="1">
            <w:r w:rsidRPr="005D0522">
              <w:rPr>
                <w:rStyle w:val="Hyperlink"/>
                <w:lang w:val="fr-FR"/>
              </w:rPr>
              <w:t>VI.11. Activitatea Compartimentului de psihologie a personalului</w:t>
            </w:r>
            <w:r>
              <w:rPr>
                <w:webHidden/>
              </w:rPr>
              <w:tab/>
            </w:r>
            <w:r>
              <w:rPr>
                <w:webHidden/>
              </w:rPr>
              <w:fldChar w:fldCharType="begin"/>
            </w:r>
            <w:r>
              <w:rPr>
                <w:webHidden/>
              </w:rPr>
              <w:instrText xml:space="preserve"> PAGEREF _Toc187824405 \h </w:instrText>
            </w:r>
            <w:r>
              <w:rPr>
                <w:webHidden/>
              </w:rPr>
            </w:r>
            <w:r>
              <w:rPr>
                <w:webHidden/>
              </w:rPr>
              <w:fldChar w:fldCharType="separate"/>
            </w:r>
            <w:r>
              <w:rPr>
                <w:webHidden/>
              </w:rPr>
              <w:t>148</w:t>
            </w:r>
            <w:r>
              <w:rPr>
                <w:webHidden/>
              </w:rPr>
              <w:fldChar w:fldCharType="end"/>
            </w:r>
          </w:hyperlink>
        </w:p>
        <w:p w14:paraId="2F18DFB1" w14:textId="65BBECEA" w:rsidR="007476A7" w:rsidRDefault="007476A7">
          <w:pPr>
            <w:pStyle w:val="TOC1"/>
            <w:rPr>
              <w:rFonts w:asciiTheme="minorHAnsi" w:eastAsiaTheme="minorEastAsia" w:hAnsiTheme="minorHAnsi" w:cstheme="minorBidi"/>
              <w:b w:val="0"/>
              <w:kern w:val="2"/>
              <w:sz w:val="24"/>
              <w:szCs w:val="24"/>
              <w:lang w:eastAsia="ro-RO"/>
              <w14:ligatures w14:val="standardContextual"/>
            </w:rPr>
          </w:pPr>
          <w:hyperlink w:anchor="_Toc187824406" w:history="1">
            <w:r w:rsidRPr="005D0522">
              <w:rPr>
                <w:rStyle w:val="Hyperlink"/>
                <w:rFonts w:eastAsiaTheme="majorEastAsia" w:cstheme="minorHAnsi"/>
              </w:rPr>
              <w:t>CAPITOLUL VII</w:t>
            </w:r>
            <w:r>
              <w:rPr>
                <w:webHidden/>
              </w:rPr>
              <w:tab/>
            </w:r>
            <w:r>
              <w:rPr>
                <w:webHidden/>
              </w:rPr>
              <w:fldChar w:fldCharType="begin"/>
            </w:r>
            <w:r>
              <w:rPr>
                <w:webHidden/>
              </w:rPr>
              <w:instrText xml:space="preserve"> PAGEREF _Toc187824406 \h </w:instrText>
            </w:r>
            <w:r>
              <w:rPr>
                <w:webHidden/>
              </w:rPr>
            </w:r>
            <w:r>
              <w:rPr>
                <w:webHidden/>
              </w:rPr>
              <w:fldChar w:fldCharType="separate"/>
            </w:r>
            <w:r>
              <w:rPr>
                <w:webHidden/>
              </w:rPr>
              <w:t>158</w:t>
            </w:r>
            <w:r>
              <w:rPr>
                <w:webHidden/>
              </w:rPr>
              <w:fldChar w:fldCharType="end"/>
            </w:r>
          </w:hyperlink>
        </w:p>
        <w:p w14:paraId="684A5C3F" w14:textId="6C5621A9" w:rsidR="007476A7" w:rsidRDefault="007476A7">
          <w:pPr>
            <w:pStyle w:val="TOC1"/>
            <w:rPr>
              <w:rFonts w:asciiTheme="minorHAnsi" w:eastAsiaTheme="minorEastAsia" w:hAnsiTheme="minorHAnsi" w:cstheme="minorBidi"/>
              <w:b w:val="0"/>
              <w:kern w:val="2"/>
              <w:sz w:val="24"/>
              <w:szCs w:val="24"/>
              <w:lang w:eastAsia="ro-RO"/>
              <w14:ligatures w14:val="standardContextual"/>
            </w:rPr>
          </w:pPr>
          <w:hyperlink w:anchor="_Toc187824407" w:history="1">
            <w:r w:rsidRPr="005D0522">
              <w:rPr>
                <w:rStyle w:val="Hyperlink"/>
                <w:rFonts w:eastAsiaTheme="majorEastAsia" w:cstheme="minorHAnsi"/>
              </w:rPr>
              <w:t>Concluzii</w:t>
            </w:r>
            <w:r>
              <w:rPr>
                <w:webHidden/>
              </w:rPr>
              <w:tab/>
            </w:r>
            <w:r>
              <w:rPr>
                <w:webHidden/>
              </w:rPr>
              <w:fldChar w:fldCharType="begin"/>
            </w:r>
            <w:r>
              <w:rPr>
                <w:webHidden/>
              </w:rPr>
              <w:instrText xml:space="preserve"> PAGEREF _Toc187824407 \h </w:instrText>
            </w:r>
            <w:r>
              <w:rPr>
                <w:webHidden/>
              </w:rPr>
            </w:r>
            <w:r>
              <w:rPr>
                <w:webHidden/>
              </w:rPr>
              <w:fldChar w:fldCharType="separate"/>
            </w:r>
            <w:r>
              <w:rPr>
                <w:webHidden/>
              </w:rPr>
              <w:t>158</w:t>
            </w:r>
            <w:r>
              <w:rPr>
                <w:webHidden/>
              </w:rPr>
              <w:fldChar w:fldCharType="end"/>
            </w:r>
          </w:hyperlink>
        </w:p>
        <w:p w14:paraId="3C574DD7" w14:textId="07C1B9A7" w:rsidR="005625CB" w:rsidRPr="004A72CD" w:rsidRDefault="005625CB" w:rsidP="00D51F5A">
          <w:pPr>
            <w:spacing w:line="276" w:lineRule="auto"/>
            <w:rPr>
              <w:rFonts w:asciiTheme="minorHAnsi" w:hAnsiTheme="minorHAnsi" w:cstheme="minorHAnsi"/>
              <w:sz w:val="26"/>
              <w:szCs w:val="26"/>
            </w:rPr>
          </w:pPr>
          <w:r w:rsidRPr="004A72CD">
            <w:rPr>
              <w:rFonts w:asciiTheme="minorHAnsi" w:hAnsiTheme="minorHAnsi" w:cstheme="minorHAnsi"/>
              <w:b/>
              <w:bCs/>
              <w:sz w:val="26"/>
              <w:szCs w:val="26"/>
            </w:rPr>
            <w:fldChar w:fldCharType="end"/>
          </w:r>
        </w:p>
      </w:sdtContent>
    </w:sdt>
    <w:p w14:paraId="342AE3E8" w14:textId="77777777" w:rsidR="000B3441" w:rsidRDefault="000B3441" w:rsidP="00D51F5A">
      <w:pPr>
        <w:widowControl w:val="0"/>
        <w:autoSpaceDE w:val="0"/>
        <w:autoSpaceDN w:val="0"/>
        <w:adjustRightInd w:val="0"/>
        <w:spacing w:line="276" w:lineRule="auto"/>
        <w:ind w:firstLine="851"/>
        <w:rPr>
          <w:rFonts w:asciiTheme="minorHAnsi" w:hAnsiTheme="minorHAnsi" w:cstheme="minorHAnsi"/>
          <w:b/>
          <w:sz w:val="26"/>
          <w:szCs w:val="26"/>
        </w:rPr>
      </w:pPr>
    </w:p>
    <w:p w14:paraId="464250A8" w14:textId="77777777" w:rsidR="00E9154B" w:rsidRPr="00E9154B" w:rsidRDefault="00E9154B" w:rsidP="00E9154B">
      <w:pPr>
        <w:rPr>
          <w:rFonts w:asciiTheme="minorHAnsi" w:hAnsiTheme="minorHAnsi" w:cstheme="minorHAnsi"/>
          <w:sz w:val="26"/>
          <w:szCs w:val="26"/>
        </w:rPr>
      </w:pPr>
    </w:p>
    <w:p w14:paraId="6D8FE8D6" w14:textId="77777777" w:rsidR="00E9154B" w:rsidRPr="00E9154B" w:rsidRDefault="00E9154B" w:rsidP="00E9154B">
      <w:pPr>
        <w:rPr>
          <w:rFonts w:asciiTheme="minorHAnsi" w:hAnsiTheme="minorHAnsi" w:cstheme="minorHAnsi"/>
          <w:sz w:val="26"/>
          <w:szCs w:val="26"/>
        </w:rPr>
      </w:pPr>
    </w:p>
    <w:p w14:paraId="028D2204" w14:textId="2564D762" w:rsidR="00E9154B" w:rsidRDefault="00E9154B" w:rsidP="00E9154B">
      <w:pPr>
        <w:tabs>
          <w:tab w:val="left" w:pos="3585"/>
        </w:tabs>
        <w:rPr>
          <w:rFonts w:asciiTheme="minorHAnsi" w:hAnsiTheme="minorHAnsi" w:cstheme="minorHAnsi"/>
          <w:b/>
          <w:sz w:val="26"/>
          <w:szCs w:val="26"/>
        </w:rPr>
      </w:pPr>
      <w:r>
        <w:rPr>
          <w:rFonts w:asciiTheme="minorHAnsi" w:hAnsiTheme="minorHAnsi" w:cstheme="minorHAnsi"/>
          <w:b/>
          <w:sz w:val="26"/>
          <w:szCs w:val="26"/>
        </w:rPr>
        <w:tab/>
      </w:r>
    </w:p>
    <w:p w14:paraId="490C905F" w14:textId="68F54BAB" w:rsidR="00E9154B" w:rsidRPr="00E9154B" w:rsidRDefault="00E9154B" w:rsidP="00E9154B">
      <w:pPr>
        <w:tabs>
          <w:tab w:val="left" w:pos="3585"/>
        </w:tabs>
        <w:rPr>
          <w:rFonts w:asciiTheme="minorHAnsi" w:hAnsiTheme="minorHAnsi" w:cstheme="minorHAnsi"/>
          <w:sz w:val="26"/>
          <w:szCs w:val="26"/>
        </w:rPr>
        <w:sectPr w:rsidR="00E9154B" w:rsidRPr="00E9154B" w:rsidSect="00EC1936">
          <w:footerReference w:type="default" r:id="rId11"/>
          <w:pgSz w:w="11906" w:h="16838" w:code="9"/>
          <w:pgMar w:top="567" w:right="851" w:bottom="567" w:left="851" w:header="567" w:footer="284" w:gutter="0"/>
          <w:cols w:space="708"/>
          <w:docGrid w:linePitch="381"/>
        </w:sectPr>
      </w:pPr>
      <w:r>
        <w:rPr>
          <w:rFonts w:asciiTheme="minorHAnsi" w:hAnsiTheme="minorHAnsi" w:cstheme="minorHAnsi"/>
          <w:sz w:val="26"/>
          <w:szCs w:val="26"/>
        </w:rPr>
        <w:tab/>
      </w:r>
    </w:p>
    <w:p w14:paraId="0B4E11C4" w14:textId="77777777" w:rsidR="00712FF3" w:rsidRPr="004A72CD" w:rsidRDefault="00712FF3" w:rsidP="00D51F5A">
      <w:pPr>
        <w:widowControl w:val="0"/>
        <w:autoSpaceDE w:val="0"/>
        <w:autoSpaceDN w:val="0"/>
        <w:adjustRightInd w:val="0"/>
        <w:spacing w:line="276" w:lineRule="auto"/>
        <w:ind w:firstLine="851"/>
        <w:rPr>
          <w:rFonts w:asciiTheme="minorHAnsi" w:hAnsiTheme="minorHAnsi" w:cstheme="minorHAnsi"/>
          <w:b/>
          <w:sz w:val="26"/>
          <w:szCs w:val="26"/>
        </w:rPr>
      </w:pPr>
    </w:p>
    <w:p w14:paraId="6AFC52FA" w14:textId="77777777" w:rsidR="000B3441" w:rsidRPr="004A72CD" w:rsidRDefault="000B3441" w:rsidP="00D51F5A">
      <w:pPr>
        <w:spacing w:line="276" w:lineRule="auto"/>
        <w:rPr>
          <w:rFonts w:asciiTheme="minorHAnsi" w:hAnsiTheme="minorHAnsi" w:cstheme="minorHAnsi"/>
          <w:sz w:val="26"/>
          <w:szCs w:val="26"/>
        </w:rPr>
      </w:pPr>
    </w:p>
    <w:p w14:paraId="6DA857E5" w14:textId="77777777" w:rsidR="000B3441" w:rsidRPr="004A72CD" w:rsidRDefault="000B3441" w:rsidP="00D51F5A">
      <w:pPr>
        <w:spacing w:line="276" w:lineRule="auto"/>
        <w:rPr>
          <w:rFonts w:asciiTheme="minorHAnsi" w:hAnsiTheme="minorHAnsi" w:cstheme="minorHAnsi"/>
          <w:b/>
          <w:sz w:val="26"/>
          <w:szCs w:val="26"/>
        </w:rPr>
      </w:pPr>
    </w:p>
    <w:p w14:paraId="43D06970" w14:textId="77777777" w:rsidR="000B3441" w:rsidRPr="004A72CD" w:rsidRDefault="000B3441" w:rsidP="00D51F5A">
      <w:pPr>
        <w:widowControl w:val="0"/>
        <w:autoSpaceDE w:val="0"/>
        <w:autoSpaceDN w:val="0"/>
        <w:adjustRightInd w:val="0"/>
        <w:spacing w:line="276" w:lineRule="auto"/>
        <w:ind w:firstLine="706"/>
        <w:jc w:val="both"/>
        <w:rPr>
          <w:rFonts w:asciiTheme="minorHAnsi" w:hAnsiTheme="minorHAnsi" w:cstheme="minorHAnsi"/>
          <w:b/>
          <w:sz w:val="26"/>
          <w:szCs w:val="26"/>
        </w:rPr>
      </w:pPr>
      <w:r w:rsidRPr="004A72CD">
        <w:rPr>
          <w:rFonts w:asciiTheme="minorHAnsi" w:hAnsiTheme="minorHAnsi" w:cstheme="minorHAnsi"/>
          <w:b/>
          <w:sz w:val="26"/>
          <w:szCs w:val="26"/>
        </w:rPr>
        <w:tab/>
        <w:t>Lista abrevierilor</w:t>
      </w:r>
    </w:p>
    <w:p w14:paraId="2D69B937" w14:textId="77777777" w:rsidR="000B3441" w:rsidRPr="004A72CD" w:rsidRDefault="000B3441" w:rsidP="00D51F5A">
      <w:pPr>
        <w:widowControl w:val="0"/>
        <w:autoSpaceDE w:val="0"/>
        <w:autoSpaceDN w:val="0"/>
        <w:adjustRightInd w:val="0"/>
        <w:spacing w:line="276" w:lineRule="auto"/>
        <w:ind w:firstLine="706"/>
        <w:jc w:val="both"/>
        <w:rPr>
          <w:rFonts w:asciiTheme="minorHAnsi" w:hAnsiTheme="minorHAnsi" w:cstheme="minorHAnsi"/>
          <w:b/>
          <w:sz w:val="26"/>
          <w:szCs w:val="26"/>
        </w:rPr>
      </w:pPr>
    </w:p>
    <w:p w14:paraId="4BF3506A"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art./Art. - articol</w:t>
      </w:r>
    </w:p>
    <w:p w14:paraId="2F74C283"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C.C.J.E. - Consiliul Consultativ al Judecătorilor Europeni</w:t>
      </w:r>
    </w:p>
    <w:p w14:paraId="2D56D570"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C.E. - Comisia Europeană</w:t>
      </w:r>
    </w:p>
    <w:p w14:paraId="7746E5DA"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 xml:space="preserve">C.E.D.O. - Curtea Europeană a Drepturilor Omului </w:t>
      </w:r>
    </w:p>
    <w:p w14:paraId="75ECD6ED"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C.E.P.E.J. - Comisia Europeană pentru Eficienţa Justiţiei</w:t>
      </w:r>
    </w:p>
    <w:p w14:paraId="19FE3052"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C.J.U.E. - Curtea de Justiţie a Uniunii Europene</w:t>
      </w:r>
    </w:p>
    <w:p w14:paraId="479074C2" w14:textId="77777777" w:rsidR="000B3441" w:rsidRPr="004A72CD" w:rsidRDefault="000B3441" w:rsidP="00D51F5A">
      <w:pPr>
        <w:tabs>
          <w:tab w:val="left" w:pos="684"/>
        </w:tabs>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C.S.M. - Consiliul Superior al Magistraturii</w:t>
      </w:r>
    </w:p>
    <w:p w14:paraId="0BDC0E72"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D.A.E.R.I.P. - Direcţia Afaceri Europene, relaţii internaţionale, programe</w:t>
      </w:r>
    </w:p>
    <w:p w14:paraId="1422E855"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D.I.I.C.O.T. - Direcţia de Investigare a Infracţiunilor de Criminalitate Organizată şi Terorism</w:t>
      </w:r>
    </w:p>
    <w:p w14:paraId="1A37D235"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D.L.D.C. - Direcţia legislaţie, documentare şi contencios</w:t>
      </w:r>
    </w:p>
    <w:p w14:paraId="6A88001C" w14:textId="77777777" w:rsidR="000B3441" w:rsidRPr="004A72CD" w:rsidRDefault="000B3441" w:rsidP="00D51F5A">
      <w:pPr>
        <w:tabs>
          <w:tab w:val="center" w:pos="5202"/>
        </w:tabs>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D.N.A. - Direcţia Naţională Anticorupţie</w:t>
      </w:r>
      <w:r w:rsidRPr="004A72CD">
        <w:rPr>
          <w:rFonts w:asciiTheme="minorHAnsi" w:hAnsiTheme="minorHAnsi" w:cstheme="minorHAnsi"/>
          <w:sz w:val="26"/>
          <w:szCs w:val="26"/>
        </w:rPr>
        <w:tab/>
      </w:r>
    </w:p>
    <w:p w14:paraId="7E792F99"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E.J.T.N./R.E.F.J. - Reţeaua Europeană de Formare Judiciară</w:t>
      </w:r>
    </w:p>
    <w:p w14:paraId="0A240356"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E.N.M. - Şcoala Naţională de Magistratură</w:t>
      </w:r>
    </w:p>
    <w:p w14:paraId="22A0AC5F"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E.R.A. - Academia de Drept European</w:t>
      </w:r>
    </w:p>
    <w:p w14:paraId="09017FD9"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H.G. - Hotărârea Guvernului României</w:t>
      </w:r>
    </w:p>
    <w:p w14:paraId="19925850"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Hot. - hotărâre</w:t>
      </w:r>
    </w:p>
    <w:p w14:paraId="1E52BC8C"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I.G.P.R. - Inspectoratul General al Poliţiei Române</w:t>
      </w:r>
    </w:p>
    <w:p w14:paraId="67180546"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I.J. - Inspecţia Judiciară</w:t>
      </w:r>
    </w:p>
    <w:p w14:paraId="1F8F3409"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I.N.E.C. - Institutul Naţional de Expertize Criminalistice</w:t>
      </w:r>
    </w:p>
    <w:p w14:paraId="53CBFC6F"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 xml:space="preserve">I.N.M. - Institutul Naţional al Magistraturii </w:t>
      </w:r>
    </w:p>
    <w:p w14:paraId="53A00CE2"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Î.C.C.J. - Înalta Curte de Casaţie şi Justiţie</w:t>
      </w:r>
    </w:p>
    <w:p w14:paraId="3E1B1CC8"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M.C.V. - Mecanismul de Cooperare şi Verificare</w:t>
      </w:r>
    </w:p>
    <w:p w14:paraId="312C06F7"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M.J. - Ministerul Justiţiei</w:t>
      </w:r>
    </w:p>
    <w:p w14:paraId="0113F133"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nr. - număr</w:t>
      </w:r>
    </w:p>
    <w:p w14:paraId="7518DF3B"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O.U.G. – Ordonanţa de Urgenţă a Guvernului</w:t>
      </w:r>
    </w:p>
    <w:p w14:paraId="5638D2FE"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P.Î.C.C.J. - Parchetul de pe lângă Înalta Curte de Casaţie şi Justiţie</w:t>
      </w:r>
    </w:p>
    <w:p w14:paraId="5D0349B1"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 xml:space="preserve">P.C.A. </w:t>
      </w:r>
      <w:r w:rsidRPr="004A72CD">
        <w:rPr>
          <w:rFonts w:asciiTheme="minorHAnsi" w:hAnsiTheme="minorHAnsi" w:cstheme="minorHAnsi"/>
          <w:b/>
          <w:sz w:val="26"/>
          <w:szCs w:val="26"/>
        </w:rPr>
        <w:t xml:space="preserve">- </w:t>
      </w:r>
      <w:r w:rsidRPr="004A72CD">
        <w:rPr>
          <w:rFonts w:asciiTheme="minorHAnsi" w:hAnsiTheme="minorHAnsi" w:cstheme="minorHAnsi"/>
          <w:sz w:val="26"/>
          <w:szCs w:val="26"/>
        </w:rPr>
        <w:t>parchet de pe lângă curtea de apel</w:t>
      </w:r>
    </w:p>
    <w:p w14:paraId="622EE8F6"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P.O.C.A. - Programul Operaţional Capacitate Administrativă 2014-2020</w:t>
      </w:r>
    </w:p>
    <w:p w14:paraId="3CAC0128"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P.T. - parchet de pe lângă tribunal</w:t>
      </w:r>
    </w:p>
    <w:p w14:paraId="2DB52291"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P.J. - parchet de pe lângă judecătorie</w:t>
      </w:r>
    </w:p>
    <w:p w14:paraId="18FBCFA6"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R.E.C.J. - Reţeaua Europeană a Consiliilor Judiciare</w:t>
      </w:r>
    </w:p>
    <w:p w14:paraId="0F59C4E9"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S.A.E.R.I. - Serviciul afaceri europene şi relaţii internaţionale</w:t>
      </w:r>
    </w:p>
    <w:p w14:paraId="66A5F458" w14:textId="15B59FC5" w:rsidR="005038D4" w:rsidRPr="004A72CD" w:rsidRDefault="005038D4"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S.I.P.R.M.M.P.D.C.P. - Serviciul de Informare Publică, Relaţii cu Mass Media</w:t>
      </w:r>
      <w:r w:rsidR="003E1A21" w:rsidRPr="004A72CD">
        <w:rPr>
          <w:rFonts w:asciiTheme="minorHAnsi" w:hAnsiTheme="minorHAnsi" w:cstheme="minorHAnsi"/>
          <w:sz w:val="26"/>
          <w:szCs w:val="26"/>
        </w:rPr>
        <w:t xml:space="preserve"> și Protecția Datelor cu Caracter Personal</w:t>
      </w:r>
    </w:p>
    <w:p w14:paraId="01E3DB91"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S.N.G. - Şcoala Naţională de Grefieri</w:t>
      </w:r>
    </w:p>
    <w:p w14:paraId="1D6AF0A4" w14:textId="77777777" w:rsidR="000B3441" w:rsidRPr="004A72CD" w:rsidRDefault="000B3441" w:rsidP="00D51F5A">
      <w:pPr>
        <w:spacing w:line="276" w:lineRule="auto"/>
        <w:ind w:left="708"/>
        <w:jc w:val="both"/>
        <w:rPr>
          <w:rFonts w:asciiTheme="minorHAnsi" w:hAnsiTheme="minorHAnsi" w:cstheme="minorHAnsi"/>
          <w:sz w:val="26"/>
          <w:szCs w:val="26"/>
        </w:rPr>
      </w:pPr>
      <w:r w:rsidRPr="004A72CD">
        <w:rPr>
          <w:rFonts w:asciiTheme="minorHAnsi" w:hAnsiTheme="minorHAnsi" w:cstheme="minorHAnsi"/>
          <w:sz w:val="26"/>
          <w:szCs w:val="26"/>
        </w:rPr>
        <w:t>U.E. - Uniunea Europeană</w:t>
      </w:r>
    </w:p>
    <w:p w14:paraId="4C4F29B6" w14:textId="56D9CBCC" w:rsidR="000B3441" w:rsidRPr="004A72CD" w:rsidRDefault="000B3441" w:rsidP="00D51F5A">
      <w:pPr>
        <w:tabs>
          <w:tab w:val="left" w:pos="1105"/>
        </w:tabs>
        <w:spacing w:line="276" w:lineRule="auto"/>
        <w:rPr>
          <w:rFonts w:asciiTheme="minorHAnsi" w:hAnsiTheme="minorHAnsi" w:cstheme="minorHAnsi"/>
          <w:b/>
          <w:sz w:val="26"/>
          <w:szCs w:val="26"/>
        </w:rPr>
      </w:pPr>
    </w:p>
    <w:p w14:paraId="644814F9" w14:textId="14001B70" w:rsidR="000B3441" w:rsidRPr="004A72CD" w:rsidRDefault="000B3441" w:rsidP="00D51F5A">
      <w:pPr>
        <w:tabs>
          <w:tab w:val="left" w:pos="1105"/>
        </w:tabs>
        <w:spacing w:line="276" w:lineRule="auto"/>
        <w:rPr>
          <w:rFonts w:asciiTheme="minorHAnsi" w:hAnsiTheme="minorHAnsi" w:cstheme="minorHAnsi"/>
          <w:sz w:val="26"/>
          <w:szCs w:val="26"/>
        </w:rPr>
        <w:sectPr w:rsidR="000B3441" w:rsidRPr="004A72CD" w:rsidSect="00EC1936">
          <w:footerReference w:type="default" r:id="rId12"/>
          <w:pgSz w:w="11906" w:h="16838" w:code="9"/>
          <w:pgMar w:top="567" w:right="851" w:bottom="567" w:left="851" w:header="567" w:footer="284" w:gutter="0"/>
          <w:cols w:space="708"/>
          <w:docGrid w:linePitch="381"/>
        </w:sectPr>
      </w:pPr>
      <w:r w:rsidRPr="004A72CD">
        <w:rPr>
          <w:rFonts w:asciiTheme="minorHAnsi" w:hAnsiTheme="minorHAnsi" w:cstheme="minorHAnsi"/>
          <w:sz w:val="26"/>
          <w:szCs w:val="26"/>
        </w:rPr>
        <w:tab/>
      </w:r>
    </w:p>
    <w:p w14:paraId="7EC73B50" w14:textId="77777777" w:rsidR="003175C4" w:rsidRPr="004A72CD" w:rsidRDefault="003175C4" w:rsidP="00D51F5A">
      <w:pPr>
        <w:widowControl w:val="0"/>
        <w:autoSpaceDE w:val="0"/>
        <w:autoSpaceDN w:val="0"/>
        <w:adjustRightInd w:val="0"/>
        <w:spacing w:line="276" w:lineRule="auto"/>
        <w:ind w:firstLine="851"/>
        <w:jc w:val="center"/>
        <w:rPr>
          <w:rFonts w:asciiTheme="minorHAnsi" w:hAnsiTheme="minorHAnsi" w:cstheme="minorHAnsi"/>
          <w:b/>
          <w:sz w:val="26"/>
          <w:szCs w:val="26"/>
        </w:rPr>
      </w:pPr>
    </w:p>
    <w:p w14:paraId="77508149" w14:textId="67A5FD6E" w:rsidR="00C15A19" w:rsidRPr="004A72CD" w:rsidRDefault="000B3441" w:rsidP="00D51F5A">
      <w:pPr>
        <w:pStyle w:val="Heading1"/>
        <w:ind w:firstLine="0"/>
        <w:rPr>
          <w:rFonts w:cstheme="minorHAnsi"/>
          <w:color w:val="auto"/>
          <w:sz w:val="26"/>
          <w:szCs w:val="26"/>
        </w:rPr>
      </w:pPr>
      <w:bookmarkStart w:id="0" w:name="_Toc94524070"/>
      <w:bookmarkStart w:id="1" w:name="_Toc187824342"/>
      <w:r w:rsidRPr="004A72CD">
        <w:rPr>
          <w:rFonts w:cstheme="minorHAnsi"/>
          <w:color w:val="auto"/>
          <w:sz w:val="26"/>
          <w:szCs w:val="26"/>
        </w:rPr>
        <w:t>Cuvânt înainte al preşedintelui Consiliului Superior al Magistraturii</w:t>
      </w:r>
      <w:bookmarkStart w:id="2" w:name="_Toc430867104"/>
      <w:bookmarkEnd w:id="0"/>
      <w:bookmarkEnd w:id="1"/>
    </w:p>
    <w:p w14:paraId="667CD19E" w14:textId="77777777" w:rsidR="00C15A19" w:rsidRPr="004A72CD" w:rsidRDefault="00C15A19" w:rsidP="00D51F5A">
      <w:pPr>
        <w:spacing w:line="276" w:lineRule="auto"/>
        <w:ind w:firstLine="720"/>
        <w:jc w:val="both"/>
        <w:rPr>
          <w:rFonts w:asciiTheme="minorHAnsi" w:hAnsiTheme="minorHAnsi" w:cstheme="minorHAnsi"/>
          <w:sz w:val="26"/>
          <w:szCs w:val="26"/>
        </w:rPr>
      </w:pPr>
    </w:p>
    <w:p w14:paraId="5D827D3A" w14:textId="77777777" w:rsidR="00C15A19" w:rsidRPr="004A72CD" w:rsidRDefault="00C15A19"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În considerarea rolului său conferit de legea fundamentală în arhitectura celor trei puteri în stat, Consiliul Superior al Magistraturii şi-a exercitat constant, pe parcursul anului 2024, prerogativa constituţională de consolidare şi garantare a independenței justiţiei şi a statutului judecătorilor și procurorilor, de eficientizare a organizării şi funcționării instanțelor şi parchetelor, de asigurare a premiselor înfăptuirii unui act de justiție eficient și de calitate, pentru societate, în ansamblu, şi pentru fiecare cetăţean, în particular, folosind drept pârgii pentru atingerea acestor deziderate transparenţa şi comunicarea instituţionale adecvate.</w:t>
      </w:r>
    </w:p>
    <w:p w14:paraId="720B0A4F" w14:textId="77777777" w:rsidR="00C15A19" w:rsidRPr="004A72CD" w:rsidRDefault="00C15A19"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Printre principalele obiective ale Consiliului Superior al Magistraturii şi, totodată, provocări în anul de referinţă s-au înscris gestionarea la cele mai înalte standarde de eficienţă a resursei umane, în vederea derulării în bune condiţii a activității în instanțe şi parchete, precum şi efectuarea tuturor demersurilor necesare pentru asigurarea independenţei instanţelor judecătoreşti în contextul implementării procesului de digitalizare a autorităţii judecătoreşti. </w:t>
      </w:r>
    </w:p>
    <w:p w14:paraId="2C977CA6" w14:textId="77777777" w:rsidR="00C15A19" w:rsidRPr="004A72CD" w:rsidRDefault="00C15A19" w:rsidP="00D51F5A">
      <w:pPr>
        <w:spacing w:line="276" w:lineRule="auto"/>
        <w:ind w:firstLine="720"/>
        <w:jc w:val="both"/>
        <w:rPr>
          <w:rFonts w:asciiTheme="minorHAnsi" w:hAnsiTheme="minorHAnsi" w:cstheme="minorHAnsi"/>
          <w:color w:val="000000"/>
          <w:sz w:val="26"/>
          <w:szCs w:val="26"/>
        </w:rPr>
      </w:pPr>
      <w:r w:rsidRPr="004A72CD">
        <w:rPr>
          <w:rFonts w:asciiTheme="minorHAnsi" w:hAnsiTheme="minorHAnsi" w:cstheme="minorHAnsi"/>
          <w:color w:val="000000"/>
          <w:sz w:val="26"/>
          <w:szCs w:val="26"/>
        </w:rPr>
        <w:t>Organizarea şi funcționarea corespunzătoare a instanțelor şi parchetelor şi gestionarea corectă şi echilibrată a carierei judecătorilor şi procurorilor sunt repere esențiale în activitatea Consiliului Superior al Magistraturii, de care depinde funcționarea normală a justiției ca serviciu public, şi au reprezentat una dintre preocupările majore, având în vedere reducerea resursei umane din instanțe și parchete.</w:t>
      </w:r>
    </w:p>
    <w:p w14:paraId="4A95C133" w14:textId="106E10B9" w:rsidR="00C15A19" w:rsidRPr="004A72CD" w:rsidRDefault="00C15A19" w:rsidP="007C515F">
      <w:pPr>
        <w:spacing w:line="276" w:lineRule="auto"/>
        <w:ind w:firstLine="720"/>
        <w:jc w:val="both"/>
        <w:rPr>
          <w:rFonts w:asciiTheme="minorHAnsi" w:hAnsiTheme="minorHAnsi" w:cstheme="minorHAnsi"/>
          <w:sz w:val="26"/>
          <w:szCs w:val="26"/>
        </w:rPr>
      </w:pPr>
      <w:r w:rsidRPr="004A72CD">
        <w:rPr>
          <w:rFonts w:asciiTheme="minorHAnsi" w:hAnsiTheme="minorHAnsi" w:cstheme="minorHAnsi"/>
          <w:color w:val="000000"/>
          <w:sz w:val="26"/>
          <w:szCs w:val="26"/>
        </w:rPr>
        <w:t xml:space="preserve">În acest sens, Consiliul Superior al Magistraturii s-a preocupat în mod constant de asigurarea necesarului de resurse umane în scopul optimizării funcționării instanțelor şi parchetelor, prin organizarea concursurilor de admitere în profesie, a celor de promovare, cât şi a sesiunilor de ocupare a posturilor de judecător şi procuror prin transfer ori de reintegrare în funcţie după pensionare. </w:t>
      </w:r>
      <w:r w:rsidR="007C515F" w:rsidRPr="007C515F">
        <w:rPr>
          <w:rFonts w:asciiTheme="minorHAnsi" w:hAnsiTheme="minorHAnsi" w:cstheme="minorHAnsi"/>
          <w:sz w:val="26"/>
          <w:szCs w:val="26"/>
        </w:rPr>
        <w:t>Anul acesta a fost demarat un concurs de admitere la Institutul Național al Magistraturii şi două concursuri de admitere în magistratură, fiind finalizate trei</w:t>
      </w:r>
      <w:r w:rsidR="007C515F">
        <w:rPr>
          <w:rFonts w:asciiTheme="minorHAnsi" w:hAnsiTheme="minorHAnsi" w:cstheme="minorHAnsi"/>
          <w:sz w:val="26"/>
          <w:szCs w:val="26"/>
        </w:rPr>
        <w:t xml:space="preserve"> concursuri</w:t>
      </w:r>
      <w:r w:rsidR="007C515F" w:rsidRPr="007C515F">
        <w:rPr>
          <w:rFonts w:asciiTheme="minorHAnsi" w:hAnsiTheme="minorHAnsi" w:cstheme="minorHAnsi"/>
          <w:sz w:val="26"/>
          <w:szCs w:val="26"/>
        </w:rPr>
        <w:t>, inclusiv un concurs de admitere în magistratură și unul de admitere la I.N.M. demarate în anul anterior</w:t>
      </w:r>
      <w:r w:rsidR="007C515F">
        <w:rPr>
          <w:rFonts w:asciiTheme="minorHAnsi" w:hAnsiTheme="minorHAnsi" w:cstheme="minorHAnsi"/>
          <w:sz w:val="26"/>
          <w:szCs w:val="26"/>
        </w:rPr>
        <w:t>. D</w:t>
      </w:r>
      <w:r w:rsidR="007C515F" w:rsidRPr="007C515F">
        <w:rPr>
          <w:rFonts w:asciiTheme="minorHAnsi" w:hAnsiTheme="minorHAnsi" w:cstheme="minorHAnsi"/>
          <w:sz w:val="26"/>
          <w:szCs w:val="26"/>
        </w:rPr>
        <w:t>ouă</w:t>
      </w:r>
      <w:r w:rsidR="007C515F">
        <w:rPr>
          <w:rFonts w:asciiTheme="minorHAnsi" w:hAnsiTheme="minorHAnsi" w:cstheme="minorHAnsi"/>
          <w:sz w:val="26"/>
          <w:szCs w:val="26"/>
        </w:rPr>
        <w:t xml:space="preserve"> concursuri</w:t>
      </w:r>
      <w:r w:rsidR="007C515F" w:rsidRPr="007C515F">
        <w:rPr>
          <w:rFonts w:asciiTheme="minorHAnsi" w:hAnsiTheme="minorHAnsi" w:cstheme="minorHAnsi"/>
          <w:sz w:val="26"/>
          <w:szCs w:val="26"/>
        </w:rPr>
        <w:t xml:space="preserve"> </w:t>
      </w:r>
      <w:r w:rsidR="007C515F">
        <w:rPr>
          <w:rFonts w:asciiTheme="minorHAnsi" w:hAnsiTheme="minorHAnsi" w:cstheme="minorHAnsi"/>
          <w:sz w:val="26"/>
          <w:szCs w:val="26"/>
        </w:rPr>
        <w:t xml:space="preserve">demarate în 2024 </w:t>
      </w:r>
      <w:r w:rsidR="007C515F" w:rsidRPr="007C515F">
        <w:rPr>
          <w:rFonts w:asciiTheme="minorHAnsi" w:hAnsiTheme="minorHAnsi" w:cstheme="minorHAnsi"/>
          <w:sz w:val="26"/>
          <w:szCs w:val="26"/>
        </w:rPr>
        <w:t>se vor finaliza la începutul anului viitor</w:t>
      </w:r>
      <w:r w:rsidR="007C515F">
        <w:rPr>
          <w:rFonts w:asciiTheme="minorHAnsi" w:hAnsiTheme="minorHAnsi" w:cstheme="minorHAnsi"/>
          <w:sz w:val="26"/>
          <w:szCs w:val="26"/>
        </w:rPr>
        <w:t>, respectiv un concurs de admitere la I.N.M. şi un concurs de admitere în magistratură</w:t>
      </w:r>
      <w:r w:rsidR="007C515F" w:rsidRPr="007C515F">
        <w:rPr>
          <w:rFonts w:asciiTheme="minorHAnsi" w:hAnsiTheme="minorHAnsi" w:cstheme="minorHAnsi"/>
          <w:sz w:val="26"/>
          <w:szCs w:val="26"/>
        </w:rPr>
        <w:t>.</w:t>
      </w:r>
    </w:p>
    <w:p w14:paraId="6E2193A5" w14:textId="77777777" w:rsidR="00C15A19" w:rsidRPr="004A72CD" w:rsidRDefault="00C15A19"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Nevoia de performanţă a sistemului judiciar, atât de necesară atingerii aşteptărilor societăţii civile şi ale justiţiabililor cu privire la activitatea instanţelor judecătoreşti şi a parchetelor, a trasat în sarcina Consiliului Superior al Magistraturii obligaţia de a urmări în permanență respectarea celor mai înalte standarde de integritate, transparență, profesionalism, recrutare şi promovare pe criterii meritocratice ale magistraţilor.</w:t>
      </w:r>
    </w:p>
    <w:p w14:paraId="192A2425" w14:textId="77777777" w:rsidR="00C15A19" w:rsidRPr="004A72CD" w:rsidRDefault="00C15A19"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Îndeplinirea acestei misiunii fundamentale a Consiliului Superior al Magistraturii conduce la buna funcţionare a sistemului judiciar, în scopul înfăptuirii unui act de justiție de calitate, eficient şi responsabil, în condiții de independență şi imparțialitate depline, realizat de un corp profesional integru şi bine pregătit.</w:t>
      </w:r>
    </w:p>
    <w:p w14:paraId="00B95505" w14:textId="77777777" w:rsidR="00C15A19" w:rsidRPr="004A72CD" w:rsidRDefault="00C15A19" w:rsidP="00D51F5A">
      <w:pPr>
        <w:widowControl w:val="0"/>
        <w:autoSpaceDE w:val="0"/>
        <w:autoSpaceDN w:val="0"/>
        <w:adjustRightInd w:val="0"/>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Totodată, pentru implementarea, îmbunătățirea și valorificarea metodelor de formare, care să asigure un viitor corp de profesioniști cu experiență și solide cunoștințe juridice, a fost esențială dezvoltarea capacității instituționale a Institutului Național al Magistraturii și a Școlii </w:t>
      </w:r>
      <w:r w:rsidRPr="004A72CD">
        <w:rPr>
          <w:rFonts w:asciiTheme="minorHAnsi" w:hAnsiTheme="minorHAnsi" w:cstheme="minorHAnsi"/>
          <w:sz w:val="26"/>
          <w:szCs w:val="26"/>
        </w:rPr>
        <w:lastRenderedPageBreak/>
        <w:t>Naționale de Grefieri, atât prin ocuparea tuturor funcţiilor de conducere din cadrul celor două instituţii, cât şi prin asigurarea necesarului real de formare, prin raportare la resurse umane şi financiare adecvate atingerii acestor obiective.</w:t>
      </w:r>
    </w:p>
    <w:p w14:paraId="60FF4F6C" w14:textId="03AAE8FE" w:rsidR="00C15A19" w:rsidRPr="004A72CD" w:rsidRDefault="00C15A19" w:rsidP="00D51F5A">
      <w:pPr>
        <w:widowControl w:val="0"/>
        <w:autoSpaceDE w:val="0"/>
        <w:autoSpaceDN w:val="0"/>
        <w:adjustRightInd w:val="0"/>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De asemenea, Consiliul Superior al Magistraturii a urmărit implementarea în continuare a mai mult</w:t>
      </w:r>
      <w:r w:rsidR="00630A94">
        <w:rPr>
          <w:rFonts w:asciiTheme="minorHAnsi" w:hAnsiTheme="minorHAnsi" w:cstheme="minorHAnsi"/>
          <w:sz w:val="26"/>
          <w:szCs w:val="26"/>
        </w:rPr>
        <w:t>or</w:t>
      </w:r>
      <w:r w:rsidRPr="004A72CD">
        <w:rPr>
          <w:rFonts w:asciiTheme="minorHAnsi" w:hAnsiTheme="minorHAnsi" w:cstheme="minorHAnsi"/>
          <w:sz w:val="26"/>
          <w:szCs w:val="26"/>
        </w:rPr>
        <w:t xml:space="preserve"> proiecte, cu finanțare din fonduri europene, finalizate în anii anteriori, în domeniul comunicării publice, al managementului instanțelor și parchetelor, al asistenței psihologice la nivelul sistemului judiciar, al formării profesionale și îmbunătățirii capacității instituționale, pentru consolidarea unui sistem judiciar profesionist și eficient, care să răspundă nevoilor societății în ansamblu, în scopul creșterii calității actului de justiție și încrederii publice în justiție.</w:t>
      </w:r>
    </w:p>
    <w:p w14:paraId="3D96BB53" w14:textId="77777777" w:rsidR="00C15A19" w:rsidRPr="004A72CD" w:rsidRDefault="00C15A19" w:rsidP="00D51F5A">
      <w:pPr>
        <w:widowControl w:val="0"/>
        <w:autoSpaceDE w:val="0"/>
        <w:autoSpaceDN w:val="0"/>
        <w:adjustRightInd w:val="0"/>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Consiliul Superior al Magistraturii a subliniat constant importanța dialogului cu toate instituțiile și cu celelalte puteri în stat, astfel încât principiul cooperării loiale să prevaleze, insistând pe rolul semnificativ al unei comunicări eficiente și pe o colaborare profesionistă cu toți factorii de decizie. Totodată, Consiliul şi-a îndeplinit, şi în acest an, responsabilităţile instituţionale de relaționare cu celelalte autorități publice, cu societatea civilă, cu asociațiile profesionale ale magistraților, cu participanții la procedurile judiciare, în vederea organizării şi funcţionării normale a justiţiei, ca serviciu public. </w:t>
      </w:r>
    </w:p>
    <w:p w14:paraId="53F45F58" w14:textId="776C2AE7" w:rsidR="00D35E09" w:rsidRDefault="00C15A19" w:rsidP="00D35E09">
      <w:pPr>
        <w:widowControl w:val="0"/>
        <w:autoSpaceDE w:val="0"/>
        <w:autoSpaceDN w:val="0"/>
        <w:adjustRightInd w:val="0"/>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Reper esenţial pentru evoluţia societăţii democratice, ca parte din nucleul fundamental al statului de drept, sistemul judiciar este şi trebuie să rămână pilon al apărării acestor valori, precum şi al garantării drepturilor şi libertăților fundamentale ale tuturor cetăţenilor, în mod egal şi lipsit de orice discriminare.</w:t>
      </w:r>
      <w:r w:rsidR="00D35E09">
        <w:rPr>
          <w:rFonts w:asciiTheme="minorHAnsi" w:hAnsiTheme="minorHAnsi" w:cstheme="minorHAnsi"/>
          <w:sz w:val="26"/>
          <w:szCs w:val="26"/>
        </w:rPr>
        <w:br w:type="page"/>
      </w:r>
    </w:p>
    <w:p w14:paraId="462614B4" w14:textId="3300B97C" w:rsidR="00B1514A" w:rsidRPr="004A72CD" w:rsidRDefault="00B1514A" w:rsidP="00D51F5A">
      <w:pPr>
        <w:pStyle w:val="Heading1"/>
        <w:keepNext w:val="0"/>
        <w:keepLines w:val="0"/>
        <w:suppressLineNumbers/>
        <w:suppressAutoHyphens/>
        <w:ind w:firstLine="0"/>
        <w:rPr>
          <w:rFonts w:cstheme="minorHAnsi"/>
          <w:color w:val="auto"/>
          <w:sz w:val="26"/>
          <w:szCs w:val="26"/>
        </w:rPr>
      </w:pPr>
      <w:bookmarkStart w:id="3" w:name="_Toc187824343"/>
      <w:r w:rsidRPr="004A72CD">
        <w:rPr>
          <w:rFonts w:cstheme="minorHAnsi"/>
          <w:color w:val="auto"/>
          <w:sz w:val="26"/>
          <w:szCs w:val="26"/>
        </w:rPr>
        <w:lastRenderedPageBreak/>
        <w:t>CAPITOLUL I</w:t>
      </w:r>
      <w:bookmarkEnd w:id="3"/>
    </w:p>
    <w:p w14:paraId="3DF50818" w14:textId="77777777" w:rsidR="00B1514A" w:rsidRPr="004A72CD" w:rsidRDefault="00B1514A" w:rsidP="00D51F5A">
      <w:pPr>
        <w:pStyle w:val="Heading1"/>
        <w:keepNext w:val="0"/>
        <w:keepLines w:val="0"/>
        <w:suppressLineNumbers/>
        <w:suppressAutoHyphens/>
        <w:ind w:firstLine="0"/>
        <w:rPr>
          <w:rFonts w:cstheme="minorHAnsi"/>
          <w:color w:val="auto"/>
          <w:sz w:val="26"/>
          <w:szCs w:val="26"/>
        </w:rPr>
      </w:pPr>
      <w:bookmarkStart w:id="4" w:name="_Toc187824344"/>
      <w:r w:rsidRPr="004A72CD">
        <w:rPr>
          <w:rFonts w:cstheme="minorHAnsi"/>
          <w:color w:val="auto"/>
          <w:sz w:val="26"/>
          <w:szCs w:val="26"/>
        </w:rPr>
        <w:t>Îndeplinirea rolului constituţional de garant al independenţei justiţiei</w:t>
      </w:r>
      <w:bookmarkEnd w:id="4"/>
    </w:p>
    <w:p w14:paraId="64F5A151" w14:textId="33DE93F8" w:rsidR="00B1514A" w:rsidRPr="004A72CD" w:rsidRDefault="00B1514A" w:rsidP="00D51F5A">
      <w:pPr>
        <w:pStyle w:val="Default"/>
        <w:spacing w:line="276" w:lineRule="auto"/>
        <w:ind w:firstLine="708"/>
        <w:jc w:val="both"/>
        <w:rPr>
          <w:rFonts w:asciiTheme="minorHAnsi" w:hAnsiTheme="minorHAnsi" w:cstheme="minorHAnsi"/>
          <w:noProof/>
          <w:color w:val="auto"/>
          <w:sz w:val="26"/>
          <w:szCs w:val="26"/>
        </w:rPr>
      </w:pPr>
      <w:bookmarkStart w:id="5" w:name="_Toc430867107"/>
    </w:p>
    <w:p w14:paraId="118E1E2D" w14:textId="449D504C" w:rsidR="00D55F73" w:rsidRPr="004A3440" w:rsidRDefault="00D55F73" w:rsidP="00D51F5A">
      <w:pPr>
        <w:pStyle w:val="Heading2"/>
        <w:jc w:val="both"/>
        <w:rPr>
          <w:lang w:val="ro-RO"/>
        </w:rPr>
      </w:pPr>
      <w:bookmarkStart w:id="6" w:name="_Toc187824345"/>
      <w:bookmarkEnd w:id="5"/>
      <w:r w:rsidRPr="004A3440">
        <w:rPr>
          <w:lang w:val="ro-RO"/>
        </w:rPr>
        <w:t>I.1.  Procedurile derulate privind ocuparea celor mai înalte funcţii din cadrul Înaltei Curţi de Casaţie şi Justiţie</w:t>
      </w:r>
      <w:bookmarkEnd w:id="6"/>
    </w:p>
    <w:p w14:paraId="142857D4" w14:textId="7610A4C7" w:rsidR="00D55F73" w:rsidRPr="004A72CD" w:rsidRDefault="00D55F73"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În acord cu dispoziţiile art. 21 din Legea nr. 304/2022 privind organizarea judiciară, cu modificările și completările ulterioare, la nivelul Înaltei Curţi de Casaţie şi Justiţie, </w:t>
      </w:r>
      <w:r w:rsidR="00630A94">
        <w:rPr>
          <w:rFonts w:asciiTheme="minorHAnsi" w:hAnsiTheme="minorHAnsi" w:cstheme="minorHAnsi"/>
          <w:sz w:val="26"/>
          <w:szCs w:val="26"/>
        </w:rPr>
        <w:t xml:space="preserve">instanță </w:t>
      </w:r>
      <w:r w:rsidRPr="004A72CD">
        <w:rPr>
          <w:rFonts w:asciiTheme="minorHAnsi" w:hAnsiTheme="minorHAnsi" w:cstheme="minorHAnsi"/>
          <w:sz w:val="26"/>
          <w:szCs w:val="26"/>
        </w:rPr>
        <w:t xml:space="preserve">cu rol </w:t>
      </w:r>
      <w:r w:rsidR="00630A94">
        <w:rPr>
          <w:rFonts w:asciiTheme="minorHAnsi" w:hAnsiTheme="minorHAnsi" w:cstheme="minorHAnsi"/>
          <w:sz w:val="26"/>
          <w:szCs w:val="26"/>
        </w:rPr>
        <w:t>esențial</w:t>
      </w:r>
      <w:r w:rsidRPr="004A72CD">
        <w:rPr>
          <w:rFonts w:asciiTheme="minorHAnsi" w:hAnsiTheme="minorHAnsi" w:cstheme="minorHAnsi"/>
          <w:sz w:val="26"/>
          <w:szCs w:val="26"/>
        </w:rPr>
        <w:t xml:space="preserve"> în cadrul sistemului judiciar şi aflată la vârful structurii instanţelor judecătoreşti, sunt prevăzute un număr de 7 funcţii de conducere (preşedinte, doi vicepreşedinţi şi patru preşedinţi de secţie). </w:t>
      </w:r>
    </w:p>
    <w:p w14:paraId="6ABE0B52" w14:textId="77777777" w:rsidR="00D55F73" w:rsidRPr="004A72CD" w:rsidRDefault="00D55F73"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Preşedintele, vicepreşedinţii şi preşedinţii de secţie ai Înaltei Curţi de Casaţie şi Justiţie sunt numiţi, pentru o perioadă de 3 ani, de către Secţia pentru judecători a Consiliului Superior al Magistraturii</w:t>
      </w:r>
      <w:r w:rsidRPr="004A72CD">
        <w:rPr>
          <w:rFonts w:asciiTheme="minorHAnsi" w:hAnsiTheme="minorHAnsi" w:cstheme="minorHAnsi"/>
          <w:b/>
          <w:i/>
          <w:sz w:val="26"/>
          <w:szCs w:val="26"/>
        </w:rPr>
        <w:t xml:space="preserve"> </w:t>
      </w:r>
      <w:r w:rsidRPr="004A72CD">
        <w:rPr>
          <w:rFonts w:asciiTheme="minorHAnsi" w:hAnsiTheme="minorHAnsi" w:cstheme="minorHAnsi"/>
          <w:sz w:val="26"/>
          <w:szCs w:val="26"/>
        </w:rPr>
        <w:t xml:space="preserve">dintre judecătorii Înaltei Curţi de Casaţie şi Justiţie care au funcţionat la această instanţă cel puţin 2 ani şi care nu au fost sancţionaţi disciplinar în ultimii 3 ani, potrivit dispoziţiilor art. 142 alin. (1) şi alin. (2) din Legea nr. 303/2022 privind statutul judecătorilor și procurorilor, cu modificările și completările ulterioare. </w:t>
      </w:r>
    </w:p>
    <w:p w14:paraId="17C5488B" w14:textId="104BB154" w:rsidR="00D55F73" w:rsidRPr="004A72CD" w:rsidRDefault="00D55F73" w:rsidP="00D51F5A">
      <w:pPr>
        <w:spacing w:line="276" w:lineRule="auto"/>
        <w:ind w:firstLine="708"/>
        <w:jc w:val="both"/>
        <w:rPr>
          <w:rFonts w:asciiTheme="minorHAnsi" w:hAnsiTheme="minorHAnsi" w:cstheme="minorHAnsi"/>
          <w:bCs/>
          <w:iCs/>
          <w:sz w:val="26"/>
          <w:szCs w:val="26"/>
        </w:rPr>
      </w:pPr>
      <w:r w:rsidRPr="004A72CD">
        <w:rPr>
          <w:rFonts w:asciiTheme="minorHAnsi" w:hAnsiTheme="minorHAnsi" w:cstheme="minorHAnsi"/>
          <w:sz w:val="26"/>
          <w:szCs w:val="26"/>
        </w:rPr>
        <w:t xml:space="preserve">În vederea asigurării desfăşurării în bune condiţii a activităţii Înaltei Curţi de Casaţie şi Justiţie, reţinând importanţa funcţiilor de conducere de la nivelul instanţei supreme, precum şi necesitatea asigurării stabilităţii şi continuităţii exercitării funcţiei, la data de 06 februarie 2024, s-a hotărât declanșarea procedurii de ocupare a </w:t>
      </w:r>
      <w:r w:rsidRPr="004A72CD">
        <w:rPr>
          <w:rFonts w:asciiTheme="minorHAnsi" w:hAnsiTheme="minorHAnsi" w:cstheme="minorHAnsi"/>
          <w:bCs/>
          <w:sz w:val="26"/>
          <w:szCs w:val="26"/>
        </w:rPr>
        <w:t xml:space="preserve">funcțiilor de președinte al Secției I civile, al Secției a II-a civile și al Secției de contencios administrativ și fiscal </w:t>
      </w:r>
      <w:r w:rsidR="00612404" w:rsidRPr="004A72CD">
        <w:rPr>
          <w:rFonts w:asciiTheme="minorHAnsi" w:hAnsiTheme="minorHAnsi" w:cstheme="minorHAnsi"/>
          <w:bCs/>
          <w:sz w:val="26"/>
          <w:szCs w:val="26"/>
        </w:rPr>
        <w:t>ale</w:t>
      </w:r>
      <w:r w:rsidRPr="004A72CD">
        <w:rPr>
          <w:rFonts w:asciiTheme="minorHAnsi" w:hAnsiTheme="minorHAnsi" w:cstheme="minorHAnsi"/>
          <w:bCs/>
          <w:sz w:val="26"/>
          <w:szCs w:val="26"/>
        </w:rPr>
        <w:t xml:space="preserve"> Înalt</w:t>
      </w:r>
      <w:r w:rsidR="00612404" w:rsidRPr="004A72CD">
        <w:rPr>
          <w:rFonts w:asciiTheme="minorHAnsi" w:hAnsiTheme="minorHAnsi" w:cstheme="minorHAnsi"/>
          <w:bCs/>
          <w:sz w:val="26"/>
          <w:szCs w:val="26"/>
        </w:rPr>
        <w:t>ei</w:t>
      </w:r>
      <w:r w:rsidRPr="004A72CD">
        <w:rPr>
          <w:rFonts w:asciiTheme="minorHAnsi" w:hAnsiTheme="minorHAnsi" w:cstheme="minorHAnsi"/>
          <w:bCs/>
          <w:sz w:val="26"/>
          <w:szCs w:val="26"/>
        </w:rPr>
        <w:t xml:space="preserve"> Cur</w:t>
      </w:r>
      <w:r w:rsidR="00612404" w:rsidRPr="004A72CD">
        <w:rPr>
          <w:rFonts w:asciiTheme="minorHAnsi" w:hAnsiTheme="minorHAnsi" w:cstheme="minorHAnsi"/>
          <w:bCs/>
          <w:sz w:val="26"/>
          <w:szCs w:val="26"/>
        </w:rPr>
        <w:t>ţi</w:t>
      </w:r>
      <w:r w:rsidRPr="004A72CD">
        <w:rPr>
          <w:rFonts w:asciiTheme="minorHAnsi" w:hAnsiTheme="minorHAnsi" w:cstheme="minorHAnsi"/>
          <w:bCs/>
          <w:sz w:val="26"/>
          <w:szCs w:val="26"/>
        </w:rPr>
        <w:t xml:space="preserve"> de Casație și Justiție</w:t>
      </w:r>
      <w:r w:rsidRPr="004A72CD">
        <w:rPr>
          <w:rFonts w:asciiTheme="minorHAnsi" w:hAnsiTheme="minorHAnsi" w:cstheme="minorHAnsi"/>
          <w:bCs/>
          <w:iCs/>
          <w:sz w:val="26"/>
          <w:szCs w:val="26"/>
        </w:rPr>
        <w:t>, în acord cu prevederile art. 142 din Legea nr. 303/2022, cu modificările și completările ulterioare.</w:t>
      </w:r>
    </w:p>
    <w:p w14:paraId="067CCABA" w14:textId="074D799E" w:rsidR="00D55F73" w:rsidRPr="004A72CD" w:rsidRDefault="00D55F73" w:rsidP="00D51F5A">
      <w:pPr>
        <w:spacing w:line="276" w:lineRule="auto"/>
        <w:ind w:firstLine="708"/>
        <w:jc w:val="both"/>
        <w:rPr>
          <w:rFonts w:asciiTheme="minorHAnsi" w:hAnsiTheme="minorHAnsi" w:cstheme="minorHAnsi"/>
          <w:bCs/>
          <w:iCs/>
          <w:sz w:val="26"/>
          <w:szCs w:val="26"/>
        </w:rPr>
      </w:pPr>
      <w:r w:rsidRPr="004A72CD">
        <w:rPr>
          <w:rFonts w:asciiTheme="minorHAnsi" w:hAnsiTheme="minorHAnsi" w:cstheme="minorHAnsi"/>
          <w:bCs/>
          <w:iCs/>
          <w:sz w:val="26"/>
          <w:szCs w:val="26"/>
        </w:rPr>
        <w:t xml:space="preserve">În anul 2024, ca urmare a analizării candidaturilor și a </w:t>
      </w:r>
      <w:r w:rsidRPr="004A72CD">
        <w:rPr>
          <w:rFonts w:asciiTheme="minorHAnsi" w:hAnsiTheme="minorHAnsi" w:cstheme="minorHAnsi"/>
          <w:bCs/>
          <w:sz w:val="26"/>
          <w:szCs w:val="26"/>
        </w:rPr>
        <w:t xml:space="preserve">proiectelor manageriale </w:t>
      </w:r>
      <w:r w:rsidRPr="004A72CD">
        <w:rPr>
          <w:rFonts w:asciiTheme="minorHAnsi" w:hAnsiTheme="minorHAnsi" w:cstheme="minorHAnsi"/>
          <w:bCs/>
          <w:iCs/>
          <w:sz w:val="26"/>
          <w:szCs w:val="26"/>
        </w:rPr>
        <w:t xml:space="preserve">depuse pentru funcțiile de </w:t>
      </w:r>
      <w:r w:rsidRPr="004A72CD">
        <w:rPr>
          <w:rFonts w:asciiTheme="minorHAnsi" w:hAnsiTheme="minorHAnsi" w:cstheme="minorHAnsi"/>
          <w:bCs/>
          <w:sz w:val="26"/>
          <w:szCs w:val="26"/>
        </w:rPr>
        <w:t xml:space="preserve">președinte al Secției I civile și </w:t>
      </w:r>
      <w:r w:rsidRPr="004A72CD">
        <w:rPr>
          <w:rFonts w:asciiTheme="minorHAnsi" w:hAnsiTheme="minorHAnsi" w:cstheme="minorHAnsi"/>
          <w:bCs/>
          <w:iCs/>
          <w:sz w:val="26"/>
          <w:szCs w:val="26"/>
        </w:rPr>
        <w:t xml:space="preserve">de </w:t>
      </w:r>
      <w:r w:rsidRPr="004A72CD">
        <w:rPr>
          <w:rFonts w:asciiTheme="minorHAnsi" w:hAnsiTheme="minorHAnsi" w:cstheme="minorHAnsi"/>
          <w:bCs/>
          <w:sz w:val="26"/>
          <w:szCs w:val="26"/>
        </w:rPr>
        <w:t>președinte al Secției de contencios administrativ și fiscal, precum și a susținerii interviului de către candidați</w:t>
      </w:r>
      <w:r w:rsidRPr="004A72CD">
        <w:rPr>
          <w:rFonts w:asciiTheme="minorHAnsi" w:hAnsiTheme="minorHAnsi" w:cstheme="minorHAnsi"/>
          <w:bCs/>
          <w:iCs/>
          <w:sz w:val="26"/>
          <w:szCs w:val="26"/>
        </w:rPr>
        <w:t xml:space="preserve">, </w:t>
      </w:r>
      <w:r w:rsidRPr="004A72CD">
        <w:rPr>
          <w:rFonts w:asciiTheme="minorHAnsi" w:hAnsiTheme="minorHAnsi" w:cstheme="minorHAnsi"/>
          <w:sz w:val="26"/>
          <w:szCs w:val="26"/>
        </w:rPr>
        <w:t xml:space="preserve">prin Hotărârea Secţiei pentru judecători a Consiliului Superior al Magistraturii nr. 482/2024, s-a dispus numirea în funcţia de preşedinte al Secţiei </w:t>
      </w:r>
      <w:r w:rsidRPr="004A72CD">
        <w:rPr>
          <w:rFonts w:asciiTheme="minorHAnsi" w:hAnsiTheme="minorHAnsi" w:cstheme="minorHAnsi"/>
          <w:bCs/>
          <w:sz w:val="26"/>
          <w:szCs w:val="26"/>
        </w:rPr>
        <w:t xml:space="preserve">I civile </w:t>
      </w:r>
      <w:r w:rsidRPr="004A72CD">
        <w:rPr>
          <w:rFonts w:asciiTheme="minorHAnsi" w:hAnsiTheme="minorHAnsi" w:cstheme="minorHAnsi"/>
          <w:sz w:val="26"/>
          <w:szCs w:val="26"/>
        </w:rPr>
        <w:t xml:space="preserve">a Înaltei Curți de Casație și Justiție a doamnei judecător Elena-Carmen Popoiag, pe o perioadă de 3 ani, începând cu data de </w:t>
      </w:r>
      <w:r w:rsidR="002331D4" w:rsidRPr="004A72CD">
        <w:rPr>
          <w:rFonts w:asciiTheme="minorHAnsi" w:hAnsiTheme="minorHAnsi" w:cstheme="minorHAnsi"/>
          <w:sz w:val="26"/>
          <w:szCs w:val="26"/>
        </w:rPr>
        <w:t>0</w:t>
      </w:r>
      <w:r w:rsidRPr="004A72CD">
        <w:rPr>
          <w:rFonts w:asciiTheme="minorHAnsi" w:hAnsiTheme="minorHAnsi" w:cstheme="minorHAnsi"/>
          <w:sz w:val="26"/>
          <w:szCs w:val="26"/>
        </w:rPr>
        <w:t xml:space="preserve">1 aprilie 2024, </w:t>
      </w:r>
      <w:r w:rsidRPr="004A72CD">
        <w:rPr>
          <w:rFonts w:asciiTheme="minorHAnsi" w:hAnsiTheme="minorHAnsi" w:cstheme="minorHAnsi"/>
          <w:bCs/>
          <w:iCs/>
          <w:sz w:val="26"/>
          <w:szCs w:val="26"/>
        </w:rPr>
        <w:t xml:space="preserve">iar, </w:t>
      </w:r>
      <w:r w:rsidRPr="004A72CD">
        <w:rPr>
          <w:rFonts w:asciiTheme="minorHAnsi" w:hAnsiTheme="minorHAnsi" w:cstheme="minorHAnsi"/>
          <w:sz w:val="26"/>
          <w:szCs w:val="26"/>
        </w:rPr>
        <w:t xml:space="preserve">prin Hotărârea Secţiei pentru judecători a Consiliului Superior al Magistraturii nr. 483/2024, s-a dispus numirea în funcţia de preşedinte al Secţiei de contencios administrativ şi fiscal a instanței supreme a doamnei judecător Elena-Diana Tămagă, pe o perioadă de 3 ani, începând cu data de </w:t>
      </w:r>
      <w:r w:rsidR="00D03993" w:rsidRPr="004A72CD">
        <w:rPr>
          <w:rFonts w:asciiTheme="minorHAnsi" w:hAnsiTheme="minorHAnsi" w:cstheme="minorHAnsi"/>
          <w:sz w:val="26"/>
          <w:szCs w:val="26"/>
        </w:rPr>
        <w:t>0</w:t>
      </w:r>
      <w:r w:rsidRPr="004A72CD">
        <w:rPr>
          <w:rFonts w:asciiTheme="minorHAnsi" w:hAnsiTheme="minorHAnsi" w:cstheme="minorHAnsi"/>
          <w:sz w:val="26"/>
          <w:szCs w:val="26"/>
        </w:rPr>
        <w:t xml:space="preserve">1 aprilie 2024. </w:t>
      </w:r>
    </w:p>
    <w:p w14:paraId="7C79E6F5" w14:textId="1FFB27EA" w:rsidR="00D55F73" w:rsidRPr="004A72CD" w:rsidRDefault="00D55F73"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În prezent, la nivelul instanţei supreme, funcţia de preşedinte al Secţiei a II-a civilă este ocupată prin delegare de către domnul judecător Marian Budă</w:t>
      </w:r>
      <w:r w:rsidR="00612404" w:rsidRPr="004A72CD">
        <w:rPr>
          <w:rFonts w:asciiTheme="minorHAnsi" w:hAnsiTheme="minorHAnsi" w:cstheme="minorHAnsi"/>
          <w:sz w:val="26"/>
          <w:szCs w:val="26"/>
        </w:rPr>
        <w:t>, măsura fiind d</w:t>
      </w:r>
      <w:r w:rsidRPr="004A72CD">
        <w:rPr>
          <w:rFonts w:asciiTheme="minorHAnsi" w:hAnsiTheme="minorHAnsi" w:cstheme="minorHAnsi"/>
          <w:sz w:val="26"/>
          <w:szCs w:val="26"/>
        </w:rPr>
        <w:t xml:space="preserve">ispusă prin Hotărârea Secției pentru judecători </w:t>
      </w:r>
      <w:r w:rsidR="0021687A" w:rsidRPr="004A72CD">
        <w:rPr>
          <w:rFonts w:asciiTheme="minorHAnsi" w:hAnsiTheme="minorHAnsi" w:cstheme="minorHAnsi"/>
          <w:sz w:val="26"/>
          <w:szCs w:val="26"/>
        </w:rPr>
        <w:t xml:space="preserve">a Consiliului Superior al Magistraturii </w:t>
      </w:r>
      <w:r w:rsidRPr="004A72CD">
        <w:rPr>
          <w:rFonts w:asciiTheme="minorHAnsi" w:hAnsiTheme="minorHAnsi" w:cstheme="minorHAnsi"/>
          <w:sz w:val="26"/>
          <w:szCs w:val="26"/>
        </w:rPr>
        <w:t>nr. 1302/2024, iar funcția de președinte al Secției penale este ocupată prin delegare de către doamna judecător Eleni-Cristina Marcu</w:t>
      </w:r>
      <w:r w:rsidR="00612404" w:rsidRPr="004A72CD">
        <w:rPr>
          <w:rFonts w:asciiTheme="minorHAnsi" w:hAnsiTheme="minorHAnsi" w:cstheme="minorHAnsi"/>
          <w:sz w:val="26"/>
          <w:szCs w:val="26"/>
        </w:rPr>
        <w:t xml:space="preserve">, </w:t>
      </w:r>
      <w:r w:rsidRPr="004A72CD">
        <w:rPr>
          <w:rFonts w:asciiTheme="minorHAnsi" w:hAnsiTheme="minorHAnsi" w:cstheme="minorHAnsi"/>
          <w:sz w:val="26"/>
          <w:szCs w:val="26"/>
        </w:rPr>
        <w:t xml:space="preserve">conform Hotărârii Secției pentru judecători </w:t>
      </w:r>
      <w:r w:rsidR="0021687A" w:rsidRPr="004A72CD">
        <w:rPr>
          <w:rFonts w:asciiTheme="minorHAnsi" w:hAnsiTheme="minorHAnsi" w:cstheme="minorHAnsi"/>
          <w:sz w:val="26"/>
          <w:szCs w:val="26"/>
        </w:rPr>
        <w:t xml:space="preserve">a Consiliului Superior al Magistraturii </w:t>
      </w:r>
      <w:r w:rsidRPr="004A72CD">
        <w:rPr>
          <w:rFonts w:asciiTheme="minorHAnsi" w:hAnsiTheme="minorHAnsi" w:cstheme="minorHAnsi"/>
          <w:sz w:val="26"/>
          <w:szCs w:val="26"/>
        </w:rPr>
        <w:t xml:space="preserve">nr. 1544/2024. </w:t>
      </w:r>
    </w:p>
    <w:p w14:paraId="21B1A9F9" w14:textId="77777777" w:rsidR="009C4248" w:rsidRPr="009C4248" w:rsidRDefault="009C4248" w:rsidP="009C4248">
      <w:pPr>
        <w:spacing w:line="276" w:lineRule="auto"/>
        <w:ind w:firstLine="708"/>
        <w:jc w:val="both"/>
        <w:rPr>
          <w:rFonts w:asciiTheme="minorHAnsi" w:hAnsiTheme="minorHAnsi" w:cstheme="minorHAnsi"/>
          <w:bCs/>
          <w:iCs/>
          <w:sz w:val="26"/>
          <w:szCs w:val="26"/>
        </w:rPr>
      </w:pPr>
      <w:r w:rsidRPr="009C4248">
        <w:rPr>
          <w:rFonts w:asciiTheme="minorHAnsi" w:hAnsiTheme="minorHAnsi" w:cstheme="minorHAnsi"/>
          <w:bCs/>
          <w:iCs/>
          <w:sz w:val="26"/>
          <w:szCs w:val="26"/>
        </w:rPr>
        <w:t xml:space="preserve">La data de 22 octombrie 2024 a fost declanşată o nouă procedură pentru ocuparea funcţiei preşedinte al Secţiei a II-a civilă care nu a fost ocupată în procedura derulată anterior nefiind depuse candidaturi. Conform calendarului estimativ al procedurii de ocupare a funcţiei de </w:t>
      </w:r>
      <w:r w:rsidRPr="009C4248">
        <w:rPr>
          <w:rFonts w:asciiTheme="minorHAnsi" w:hAnsiTheme="minorHAnsi" w:cstheme="minorHAnsi"/>
          <w:bCs/>
          <w:iCs/>
          <w:sz w:val="26"/>
          <w:szCs w:val="26"/>
        </w:rPr>
        <w:lastRenderedPageBreak/>
        <w:t xml:space="preserve">conducere menționate, ultima zi de depunere a candidaturilor a fost 15 noiembrie 2024, fiind depusă în termen o singură candidatură. </w:t>
      </w:r>
    </w:p>
    <w:p w14:paraId="2814B700" w14:textId="154DE738" w:rsidR="009C4248" w:rsidRPr="00FB7918" w:rsidRDefault="009C4248" w:rsidP="005B0943">
      <w:pPr>
        <w:spacing w:line="276" w:lineRule="auto"/>
        <w:ind w:firstLine="708"/>
        <w:jc w:val="both"/>
        <w:rPr>
          <w:rFonts w:asciiTheme="minorHAnsi" w:hAnsiTheme="minorHAnsi" w:cstheme="minorHAnsi"/>
          <w:bCs/>
          <w:iCs/>
          <w:sz w:val="26"/>
          <w:szCs w:val="26"/>
        </w:rPr>
      </w:pPr>
      <w:r w:rsidRPr="009C4248">
        <w:rPr>
          <w:rFonts w:asciiTheme="minorHAnsi" w:hAnsiTheme="minorHAnsi" w:cstheme="minorHAnsi"/>
          <w:bCs/>
          <w:iCs/>
          <w:sz w:val="26"/>
          <w:szCs w:val="26"/>
        </w:rPr>
        <w:t xml:space="preserve">La data de 10 decembrie 2024, Secţia pentru judecători a dispus numirea doamnei judecător </w:t>
      </w:r>
      <w:bookmarkStart w:id="7" w:name="_Hlk163475792"/>
      <w:r w:rsidRPr="009C4248">
        <w:rPr>
          <w:rFonts w:asciiTheme="minorHAnsi" w:hAnsiTheme="minorHAnsi" w:cstheme="minorHAnsi"/>
          <w:bCs/>
          <w:iCs/>
          <w:sz w:val="26"/>
          <w:szCs w:val="26"/>
        </w:rPr>
        <w:t xml:space="preserve">Adina-Oana Surdu </w:t>
      </w:r>
      <w:bookmarkEnd w:id="7"/>
      <w:r w:rsidRPr="009C4248">
        <w:rPr>
          <w:rFonts w:asciiTheme="minorHAnsi" w:hAnsiTheme="minorHAnsi" w:cstheme="minorHAnsi"/>
          <w:bCs/>
          <w:iCs/>
          <w:sz w:val="26"/>
          <w:szCs w:val="26"/>
        </w:rPr>
        <w:t>în funcţia de preşedinte al Secției a II-a civile a Înaltei Curţi de Casaţie şi Justiţie, pe o perioadă de 3 ani, începând cu data de 11</w:t>
      </w:r>
      <w:r w:rsidR="00693BB0">
        <w:rPr>
          <w:rFonts w:asciiTheme="minorHAnsi" w:hAnsiTheme="minorHAnsi" w:cstheme="minorHAnsi"/>
          <w:bCs/>
          <w:iCs/>
          <w:sz w:val="26"/>
          <w:szCs w:val="26"/>
        </w:rPr>
        <w:t xml:space="preserve"> ianuarie </w:t>
      </w:r>
      <w:r w:rsidRPr="009C4248">
        <w:rPr>
          <w:rFonts w:asciiTheme="minorHAnsi" w:hAnsiTheme="minorHAnsi" w:cstheme="minorHAnsi"/>
          <w:bCs/>
          <w:iCs/>
          <w:sz w:val="26"/>
          <w:szCs w:val="26"/>
        </w:rPr>
        <w:t>2025 (în baza Hotărârii Secției pentru judecători nr. 2226/10.12.2024).</w:t>
      </w:r>
    </w:p>
    <w:p w14:paraId="28DF3E88" w14:textId="0319B8CE" w:rsidR="00D55F73" w:rsidRPr="001819E7" w:rsidRDefault="00D55F73" w:rsidP="00D51F5A">
      <w:pPr>
        <w:pStyle w:val="Heading2"/>
        <w:rPr>
          <w:lang w:val="pt-PT"/>
        </w:rPr>
      </w:pPr>
      <w:bookmarkStart w:id="8" w:name="_Toc187824346"/>
      <w:r w:rsidRPr="001819E7">
        <w:rPr>
          <w:lang w:val="pt-PT"/>
        </w:rPr>
        <w:t>I.2.  Procedurile derulate privind ocuparea celor mai înalte funcţii din cadrul Parchetului de pe lângă Înalta Curte de Casaţie şi Justiţie</w:t>
      </w:r>
      <w:bookmarkEnd w:id="8"/>
    </w:p>
    <w:p w14:paraId="176EBBC7" w14:textId="77777777" w:rsidR="00D55F73" w:rsidRPr="004A72CD" w:rsidRDefault="00D55F73" w:rsidP="00D51F5A">
      <w:pPr>
        <w:autoSpaceDE w:val="0"/>
        <w:autoSpaceDN w:val="0"/>
        <w:adjustRightInd w:val="0"/>
        <w:spacing w:line="276" w:lineRule="auto"/>
        <w:ind w:firstLine="720"/>
        <w:jc w:val="both"/>
        <w:rPr>
          <w:rFonts w:asciiTheme="minorHAnsi" w:hAnsiTheme="minorHAnsi" w:cstheme="minorHAnsi"/>
          <w:bCs/>
          <w:sz w:val="26"/>
          <w:szCs w:val="26"/>
          <w:lang w:eastAsia="ro-RO"/>
        </w:rPr>
      </w:pPr>
      <w:r w:rsidRPr="004A72CD">
        <w:rPr>
          <w:rFonts w:asciiTheme="minorHAnsi" w:hAnsiTheme="minorHAnsi" w:cstheme="minorHAnsi"/>
          <w:bCs/>
          <w:sz w:val="26"/>
          <w:szCs w:val="26"/>
          <w:lang w:eastAsia="ro-RO"/>
        </w:rPr>
        <w:t>În conformitate cu dispoziţiile art. 144 alin. (1) din Legea nr. 303/2022 privind statutul judecătorilor și procurorilor, procurorul general al Parchetului de pe lângă Înalta Curte de Casaţie şi Justiţie, prim-adjunctul şi adjunctul acestuia, procurorul şef al Direcţiei Naţionale Anticorupţie, adjuncţii acestuia, procurorul şef al Direcţiei de Investigare a Infracţiunilor de Criminalitate Organizată şi Terorism şi adjuncţii acestuia, precum și procurorii șefi de secție din cadrul acestor parchete sunt numiţi de Preşedintele României, la propunerea ministrului justiţiei, cu avizul Secției pentru procurori a Consiliului Superior al Magistraturii.</w:t>
      </w:r>
    </w:p>
    <w:p w14:paraId="1C7A5B08" w14:textId="45E94087" w:rsidR="00D55F73" w:rsidRDefault="00D55F73" w:rsidP="00D51F5A">
      <w:pPr>
        <w:autoSpaceDE w:val="0"/>
        <w:autoSpaceDN w:val="0"/>
        <w:adjustRightInd w:val="0"/>
        <w:spacing w:line="276" w:lineRule="auto"/>
        <w:ind w:firstLine="720"/>
        <w:jc w:val="both"/>
        <w:rPr>
          <w:rFonts w:asciiTheme="minorHAnsi" w:hAnsiTheme="minorHAnsi" w:cstheme="minorHAnsi"/>
          <w:bCs/>
          <w:sz w:val="26"/>
          <w:szCs w:val="26"/>
          <w:lang w:eastAsia="ro-RO"/>
        </w:rPr>
      </w:pPr>
      <w:r w:rsidRPr="004A72CD">
        <w:rPr>
          <w:rFonts w:asciiTheme="minorHAnsi" w:hAnsiTheme="minorHAnsi" w:cstheme="minorHAnsi"/>
          <w:bCs/>
          <w:sz w:val="26"/>
          <w:szCs w:val="26"/>
          <w:lang w:eastAsia="ro-RO"/>
        </w:rPr>
        <w:t>La data de 16 septembrie 2024, ministrul justiției a declanșat procedura vizând selecția procurorilor în vederea formulării către Președintele României a propunerii de numire pentru ocuparea funcției de prim-adjunct al procurorului general al Parchetului de pe lângă Înalta Curte de Casație și Justiție.</w:t>
      </w:r>
    </w:p>
    <w:p w14:paraId="208C924A" w14:textId="43CD5B0B" w:rsidR="00874211" w:rsidRPr="0098252F" w:rsidRDefault="00874211" w:rsidP="00511266">
      <w:pPr>
        <w:pStyle w:val="Default"/>
        <w:spacing w:line="276" w:lineRule="auto"/>
        <w:ind w:firstLine="720"/>
        <w:jc w:val="both"/>
        <w:rPr>
          <w:rFonts w:asciiTheme="minorHAnsi" w:hAnsiTheme="minorHAnsi" w:cstheme="minorHAnsi"/>
          <w:bCs/>
          <w:noProof/>
          <w:color w:val="auto"/>
          <w:sz w:val="26"/>
          <w:szCs w:val="26"/>
        </w:rPr>
      </w:pPr>
      <w:r w:rsidRPr="0098252F">
        <w:rPr>
          <w:rFonts w:asciiTheme="minorHAnsi" w:hAnsiTheme="minorHAnsi" w:cstheme="minorHAnsi"/>
          <w:bCs/>
          <w:noProof/>
          <w:color w:val="auto"/>
          <w:sz w:val="26"/>
          <w:szCs w:val="26"/>
        </w:rPr>
        <w:t>Prin Hotărârea Secției pentru procurori din cadrul Consiliului Superior al Magistraturii nr. 1315/13.11.2024 a fost avizată favorabil propunerea de numire în funcția de prim-adjunct al procurorului general al Parchetului de pe lângă Înalta Curte de Casație și Justiție a domnului Spiridon Ciprian-Ionuț.</w:t>
      </w:r>
      <w:r w:rsidR="00951558">
        <w:rPr>
          <w:rFonts w:asciiTheme="minorHAnsi" w:hAnsiTheme="minorHAnsi" w:cstheme="minorHAnsi"/>
          <w:bCs/>
          <w:noProof/>
          <w:color w:val="auto"/>
          <w:sz w:val="26"/>
          <w:szCs w:val="26"/>
        </w:rPr>
        <w:t xml:space="preserve"> </w:t>
      </w:r>
      <w:r w:rsidR="00951558" w:rsidRPr="00951558">
        <w:rPr>
          <w:rFonts w:ascii="Calibri" w:hAnsi="Calibri" w:cs="Calibri"/>
          <w:bCs/>
          <w:color w:val="auto"/>
          <w:sz w:val="26"/>
          <w:szCs w:val="26"/>
        </w:rPr>
        <w:t>Acesta a fost numit în funcție, pentru un mandat de 3 ani, prin Decretul Președintelui României nr. 1359/2024, începând cu data de 26.11.2024.</w:t>
      </w:r>
    </w:p>
    <w:p w14:paraId="1D030246" w14:textId="2C3D30C8" w:rsidR="00D55F73" w:rsidRPr="001819E7" w:rsidRDefault="00D55F73" w:rsidP="00D51F5A">
      <w:pPr>
        <w:pStyle w:val="Heading2"/>
        <w:rPr>
          <w:lang w:val="ro-RO"/>
        </w:rPr>
      </w:pPr>
      <w:bookmarkStart w:id="9" w:name="_Toc187824347"/>
      <w:r w:rsidRPr="001819E7">
        <w:rPr>
          <w:lang w:val="ro-RO"/>
        </w:rPr>
        <w:t>I.3. Demersuri pentru consolidarea capacităţii instituţionale a Consiliului Superior al Magistraturii</w:t>
      </w:r>
      <w:bookmarkEnd w:id="9"/>
    </w:p>
    <w:p w14:paraId="177AEC08" w14:textId="77777777" w:rsidR="00D55F73" w:rsidRPr="004A72CD" w:rsidRDefault="00D55F73" w:rsidP="00D51F5A">
      <w:pPr>
        <w:pStyle w:val="Heading3"/>
        <w:rPr>
          <w:rFonts w:eastAsia="Calibri"/>
        </w:rPr>
      </w:pPr>
      <w:bookmarkStart w:id="10" w:name="_Toc126071105"/>
      <w:bookmarkStart w:id="11" w:name="_Toc187824348"/>
      <w:r w:rsidRPr="004A72CD">
        <w:rPr>
          <w:rFonts w:eastAsia="Calibri"/>
        </w:rPr>
        <w:t>I.3.1. Structura Consiliului Superior al Magistraturii</w:t>
      </w:r>
      <w:bookmarkEnd w:id="10"/>
      <w:bookmarkEnd w:id="11"/>
    </w:p>
    <w:p w14:paraId="61BDB603" w14:textId="77777777" w:rsidR="00D55F73" w:rsidRPr="004A72CD" w:rsidRDefault="00D55F73" w:rsidP="00D51F5A">
      <w:pPr>
        <w:tabs>
          <w:tab w:val="left" w:pos="8820"/>
        </w:tabs>
        <w:spacing w:line="276" w:lineRule="auto"/>
        <w:ind w:firstLine="709"/>
        <w:jc w:val="both"/>
        <w:rPr>
          <w:rFonts w:asciiTheme="minorHAnsi" w:hAnsiTheme="minorHAnsi" w:cstheme="minorHAnsi"/>
          <w:sz w:val="26"/>
          <w:szCs w:val="26"/>
          <w:lang w:eastAsia="ro-RO"/>
        </w:rPr>
      </w:pPr>
      <w:r w:rsidRPr="004A72CD">
        <w:rPr>
          <w:rFonts w:asciiTheme="minorHAnsi" w:hAnsiTheme="minorHAnsi" w:cstheme="minorHAnsi"/>
          <w:sz w:val="26"/>
          <w:szCs w:val="26"/>
          <w:lang w:eastAsia="ro-RO"/>
        </w:rPr>
        <w:t xml:space="preserve">Informaţiile privind organigrama Consiliului Superior al Magistraturii şi persoanele cu funcţii de conducere se regăsesc pe pagina de internet a Consiliului, </w:t>
      </w:r>
      <w:hyperlink r:id="rId13" w:history="1">
        <w:r w:rsidRPr="004A72CD">
          <w:rPr>
            <w:rFonts w:asciiTheme="minorHAnsi" w:hAnsiTheme="minorHAnsi" w:cstheme="minorHAnsi"/>
            <w:sz w:val="26"/>
            <w:szCs w:val="26"/>
            <w:u w:val="single"/>
            <w:lang w:eastAsia="ro-RO"/>
          </w:rPr>
          <w:t>www.csm1909.ro</w:t>
        </w:r>
      </w:hyperlink>
      <w:r w:rsidRPr="004A72CD">
        <w:rPr>
          <w:rFonts w:asciiTheme="minorHAnsi" w:hAnsiTheme="minorHAnsi" w:cstheme="minorHAnsi"/>
          <w:sz w:val="26"/>
          <w:szCs w:val="26"/>
          <w:lang w:eastAsia="ro-RO"/>
        </w:rPr>
        <w:t>, la secţiunile „Organigrama” şi „Structura actuală a aparatului C.S.M.”.</w:t>
      </w:r>
    </w:p>
    <w:p w14:paraId="45FC7964" w14:textId="77777777" w:rsidR="00D55F73" w:rsidRPr="004A72CD" w:rsidRDefault="00D55F73" w:rsidP="00D51F5A">
      <w:pPr>
        <w:shd w:val="clear" w:color="auto" w:fill="FFFFFF"/>
        <w:tabs>
          <w:tab w:val="left" w:pos="3544"/>
        </w:tabs>
        <w:spacing w:line="276" w:lineRule="auto"/>
        <w:jc w:val="center"/>
        <w:rPr>
          <w:rFonts w:asciiTheme="minorHAnsi" w:hAnsiTheme="minorHAnsi" w:cstheme="minorHAnsi"/>
          <w:sz w:val="26"/>
          <w:szCs w:val="26"/>
          <w:lang w:eastAsia="ro-RO"/>
        </w:rPr>
      </w:pPr>
      <w:r w:rsidRPr="004A72CD">
        <w:rPr>
          <w:rFonts w:asciiTheme="minorHAnsi" w:hAnsiTheme="minorHAnsi" w:cstheme="minorHAnsi"/>
          <w:sz w:val="26"/>
          <w:szCs w:val="26"/>
          <w:lang w:eastAsia="ro-RO"/>
        </w:rPr>
        <w:drawing>
          <wp:inline distT="0" distB="0" distL="0" distR="0" wp14:anchorId="16FA8E8E" wp14:editId="39BD14B4">
            <wp:extent cx="5791200" cy="2600325"/>
            <wp:effectExtent l="0" t="0" r="0" b="0"/>
            <wp:docPr id="1107339499" name="Chart 11073394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1C9C52D" w14:textId="77777777" w:rsidR="00D55F73" w:rsidRPr="004A72CD" w:rsidRDefault="00D55F73" w:rsidP="00D51F5A">
      <w:pPr>
        <w:pStyle w:val="Heading3"/>
      </w:pPr>
      <w:bookmarkStart w:id="12" w:name="_Toc126071106"/>
      <w:bookmarkStart w:id="13" w:name="_Toc57228193"/>
      <w:bookmarkStart w:id="14" w:name="_Toc26181276"/>
      <w:bookmarkStart w:id="15" w:name="_Toc187824349"/>
      <w:r w:rsidRPr="004A72CD">
        <w:lastRenderedPageBreak/>
        <w:t>I.3.2. Proceduri pentru ocuparea funcţiilor de execuţie şi de conducere din aparatul propriu al Consiliului Superior al Magistraturii</w:t>
      </w:r>
      <w:bookmarkEnd w:id="12"/>
      <w:bookmarkEnd w:id="13"/>
      <w:bookmarkEnd w:id="14"/>
      <w:bookmarkEnd w:id="15"/>
    </w:p>
    <w:p w14:paraId="349E0CA4" w14:textId="77777777" w:rsidR="00D55F73" w:rsidRPr="004A72CD" w:rsidRDefault="00D55F73" w:rsidP="00D51F5A">
      <w:pPr>
        <w:pStyle w:val="Heading3"/>
      </w:pPr>
      <w:bookmarkStart w:id="16" w:name="_Toc126071107"/>
      <w:bookmarkStart w:id="17" w:name="_Toc57228194"/>
      <w:bookmarkStart w:id="18" w:name="_Toc26181277"/>
      <w:bookmarkStart w:id="19" w:name="_Toc532479758"/>
      <w:bookmarkStart w:id="20" w:name="_Toc187824350"/>
      <w:r w:rsidRPr="004A72CD">
        <w:t>I.3.2.1. Posturi de execuţie</w:t>
      </w:r>
      <w:bookmarkEnd w:id="16"/>
      <w:bookmarkEnd w:id="17"/>
      <w:bookmarkEnd w:id="18"/>
      <w:bookmarkEnd w:id="19"/>
      <w:bookmarkEnd w:id="20"/>
    </w:p>
    <w:p w14:paraId="2E57B963" w14:textId="77777777" w:rsidR="00D55F73" w:rsidRPr="004A72CD" w:rsidRDefault="00D55F73" w:rsidP="00D51F5A">
      <w:pPr>
        <w:keepNext/>
        <w:keepLines/>
        <w:spacing w:line="276" w:lineRule="auto"/>
        <w:ind w:firstLine="709"/>
        <w:jc w:val="both"/>
        <w:rPr>
          <w:rFonts w:asciiTheme="minorHAnsi" w:hAnsiTheme="minorHAnsi" w:cstheme="minorHAnsi"/>
          <w:sz w:val="26"/>
          <w:szCs w:val="26"/>
        </w:rPr>
      </w:pPr>
      <w:r w:rsidRPr="004A72CD">
        <w:rPr>
          <w:rFonts w:asciiTheme="minorHAnsi" w:hAnsiTheme="minorHAnsi" w:cstheme="minorHAnsi"/>
          <w:b/>
          <w:sz w:val="26"/>
          <w:szCs w:val="26"/>
        </w:rPr>
        <w:t>Proceduri pentru ocuparea posturilor de personal de specialitate juridică asimilat judecătorilor şi procurorilor</w:t>
      </w:r>
    </w:p>
    <w:p w14:paraId="63CC7400" w14:textId="358B0F86" w:rsidR="00FA3C8A" w:rsidRDefault="00D55F73" w:rsidP="00FA3C8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În cursul anului 2024, pentru ocuparea posturilor de personal de specialitate juridică asimilat judecătorilor şi procurorilor au fost avute în vedere toate procedurile de ocupare prevăzute de lege.</w:t>
      </w:r>
    </w:p>
    <w:p w14:paraId="3C0333D5" w14:textId="77777777" w:rsidR="00B4656B" w:rsidRPr="00B4656B" w:rsidRDefault="00B4656B" w:rsidP="00B4656B">
      <w:pPr>
        <w:spacing w:line="276" w:lineRule="auto"/>
        <w:ind w:firstLine="709"/>
        <w:jc w:val="both"/>
        <w:rPr>
          <w:rFonts w:asciiTheme="minorHAnsi" w:hAnsiTheme="minorHAnsi" w:cstheme="minorHAnsi"/>
          <w:sz w:val="26"/>
          <w:szCs w:val="26"/>
        </w:rPr>
      </w:pPr>
      <w:r w:rsidRPr="00B4656B">
        <w:rPr>
          <w:rFonts w:asciiTheme="minorHAnsi" w:hAnsiTheme="minorHAnsi" w:cstheme="minorHAnsi"/>
          <w:sz w:val="26"/>
          <w:szCs w:val="26"/>
        </w:rPr>
        <w:t xml:space="preserve">Astfel, s-a dispus detaşarea la Consiliul Superior al Magistraturii a 9 magistraţi (7 judecători, 2 procurori), precum și 1 magistrat-asistent, aceştia ocupând, pe perioada detaşării, posturi de personal de specialitate juridică asimilat judecătorilor şi procurorilor. </w:t>
      </w:r>
    </w:p>
    <w:p w14:paraId="198D0AEE" w14:textId="53248545" w:rsidR="00C26445" w:rsidRPr="004A72CD" w:rsidRDefault="00B4656B" w:rsidP="00B4656B">
      <w:pPr>
        <w:spacing w:line="276" w:lineRule="auto"/>
        <w:ind w:firstLine="709"/>
        <w:jc w:val="both"/>
        <w:rPr>
          <w:rFonts w:asciiTheme="minorHAnsi" w:hAnsiTheme="minorHAnsi" w:cstheme="minorHAnsi"/>
          <w:sz w:val="26"/>
          <w:szCs w:val="26"/>
        </w:rPr>
      </w:pPr>
      <w:r w:rsidRPr="00B4656B">
        <w:rPr>
          <w:rFonts w:asciiTheme="minorHAnsi" w:hAnsiTheme="minorHAnsi" w:cstheme="minorHAnsi"/>
          <w:sz w:val="26"/>
          <w:szCs w:val="26"/>
        </w:rPr>
        <w:t>De asemenea, două posturi de personal de specialitate juridică asimilat judecătorilor şi procurorilor au fost ocupate ca urmare a concursului de admitere la Institutul Naţional al Magistraturii demarat în cursul anului 2023.</w:t>
      </w:r>
    </w:p>
    <w:p w14:paraId="5716B3E1" w14:textId="1C903CC4" w:rsidR="00D55F73" w:rsidRPr="004A72CD" w:rsidRDefault="00D55F73"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Astfel, posturi</w:t>
      </w:r>
      <w:r w:rsidR="00630A94">
        <w:rPr>
          <w:rFonts w:asciiTheme="minorHAnsi" w:hAnsiTheme="minorHAnsi" w:cstheme="minorHAnsi"/>
          <w:sz w:val="26"/>
          <w:szCs w:val="26"/>
        </w:rPr>
        <w:t>le</w:t>
      </w:r>
      <w:r w:rsidRPr="004A72CD">
        <w:rPr>
          <w:rFonts w:asciiTheme="minorHAnsi" w:hAnsiTheme="minorHAnsi" w:cstheme="minorHAnsi"/>
          <w:sz w:val="26"/>
          <w:szCs w:val="26"/>
        </w:rPr>
        <w:t xml:space="preserve"> de personal de specialitate juridică asimilat judecătorilor şi procurorilor au fost ocupate </w:t>
      </w:r>
      <w:r w:rsidR="00630A94">
        <w:rPr>
          <w:rFonts w:asciiTheme="minorHAnsi" w:hAnsiTheme="minorHAnsi" w:cstheme="minorHAnsi"/>
          <w:sz w:val="26"/>
          <w:szCs w:val="26"/>
        </w:rPr>
        <w:t xml:space="preserve">atât prin detașare, cât și </w:t>
      </w:r>
      <w:r w:rsidRPr="004A72CD">
        <w:rPr>
          <w:rFonts w:asciiTheme="minorHAnsi" w:hAnsiTheme="minorHAnsi" w:cstheme="minorHAnsi"/>
          <w:sz w:val="26"/>
          <w:szCs w:val="26"/>
        </w:rPr>
        <w:t>ca urmare a concursului de admitere la Institutul Naţional al Magistraturii demarat în cursul anului 2023.</w:t>
      </w:r>
    </w:p>
    <w:p w14:paraId="6485DF52" w14:textId="77777777" w:rsidR="00D55F73" w:rsidRPr="004A72CD" w:rsidRDefault="00D55F73" w:rsidP="00D51F5A">
      <w:pPr>
        <w:spacing w:line="276" w:lineRule="auto"/>
        <w:ind w:firstLine="709"/>
        <w:jc w:val="both"/>
        <w:rPr>
          <w:rFonts w:asciiTheme="minorHAnsi" w:hAnsiTheme="minorHAnsi" w:cstheme="minorHAnsi"/>
          <w:b/>
          <w:bCs/>
          <w:sz w:val="26"/>
          <w:szCs w:val="26"/>
        </w:rPr>
      </w:pPr>
      <w:r w:rsidRPr="004A72CD">
        <w:rPr>
          <w:rFonts w:asciiTheme="minorHAnsi" w:hAnsiTheme="minorHAnsi" w:cstheme="minorHAnsi"/>
          <w:b/>
          <w:bCs/>
          <w:sz w:val="26"/>
          <w:szCs w:val="26"/>
        </w:rPr>
        <w:t>Proceduri pentru ocuparea posturilor de personal contractual şi funcţionari publici</w:t>
      </w:r>
    </w:p>
    <w:p w14:paraId="3CB033E1" w14:textId="707B1B18" w:rsidR="00FA3C8A" w:rsidRPr="004A72CD" w:rsidRDefault="00D55F73" w:rsidP="000410D1">
      <w:pPr>
        <w:spacing w:line="276" w:lineRule="auto"/>
        <w:ind w:firstLine="709"/>
        <w:jc w:val="both"/>
        <w:rPr>
          <w:rFonts w:asciiTheme="minorHAnsi" w:hAnsiTheme="minorHAnsi" w:cstheme="minorHAnsi"/>
          <w:sz w:val="26"/>
          <w:szCs w:val="26"/>
          <w:lang w:eastAsia="ro-RO"/>
        </w:rPr>
      </w:pPr>
      <w:bookmarkStart w:id="21" w:name="_Toc126071108"/>
      <w:bookmarkStart w:id="22" w:name="_Toc57228195"/>
      <w:bookmarkStart w:id="23" w:name="_Toc26181278"/>
      <w:bookmarkStart w:id="24" w:name="_Toc532479759"/>
      <w:r w:rsidRPr="004A72CD">
        <w:rPr>
          <w:rFonts w:asciiTheme="minorHAnsi" w:hAnsiTheme="minorHAnsi" w:cstheme="minorHAnsi"/>
          <w:sz w:val="26"/>
          <w:szCs w:val="26"/>
          <w:lang w:eastAsia="ro-RO"/>
        </w:rPr>
        <w:t>În cursul anului 2024 au fost organizate 2 concursuri pentru ocuparea unor funcţii vacante de personal contractual, fiind ocupate cele 2 funcţii de personal contractual vacante anunţate la concurs.</w:t>
      </w:r>
    </w:p>
    <w:p w14:paraId="38F58010" w14:textId="77777777" w:rsidR="000410D1" w:rsidRPr="000410D1" w:rsidRDefault="000410D1" w:rsidP="000410D1">
      <w:pPr>
        <w:autoSpaceDE w:val="0"/>
        <w:autoSpaceDN w:val="0"/>
        <w:spacing w:line="276" w:lineRule="auto"/>
        <w:ind w:firstLine="709"/>
        <w:jc w:val="both"/>
        <w:rPr>
          <w:rFonts w:asciiTheme="minorHAnsi" w:hAnsiTheme="minorHAnsi" w:cstheme="minorHAnsi"/>
          <w:sz w:val="26"/>
          <w:szCs w:val="26"/>
          <w:lang w:val="pt-PT" w:eastAsia="ro-RO"/>
        </w:rPr>
      </w:pPr>
      <w:r w:rsidRPr="000410D1">
        <w:rPr>
          <w:rFonts w:asciiTheme="minorHAnsi" w:hAnsiTheme="minorHAnsi" w:cstheme="minorHAnsi"/>
          <w:sz w:val="26"/>
          <w:szCs w:val="26"/>
          <w:lang w:val="pt-PT" w:eastAsia="ro-RO"/>
        </w:rPr>
        <w:t xml:space="preserve">Totodată, au fost ocupate prin transfer 3 funcții publice din cadrul aparatului propriu al Consiliului Superior al Magistraturii.  </w:t>
      </w:r>
    </w:p>
    <w:p w14:paraId="38373B8A" w14:textId="77C1626A" w:rsidR="000410D1" w:rsidRPr="000410D1" w:rsidRDefault="000410D1" w:rsidP="000410D1">
      <w:pPr>
        <w:autoSpaceDE w:val="0"/>
        <w:autoSpaceDN w:val="0"/>
        <w:spacing w:line="276" w:lineRule="auto"/>
        <w:ind w:firstLine="709"/>
        <w:jc w:val="both"/>
        <w:rPr>
          <w:rFonts w:asciiTheme="minorHAnsi" w:hAnsiTheme="minorHAnsi" w:cstheme="minorHAnsi"/>
          <w:sz w:val="26"/>
          <w:szCs w:val="26"/>
          <w:lang w:val="pt-PT" w:eastAsia="ro-RO"/>
        </w:rPr>
      </w:pPr>
      <w:r w:rsidRPr="000410D1">
        <w:rPr>
          <w:rFonts w:asciiTheme="minorHAnsi" w:hAnsiTheme="minorHAnsi" w:cstheme="minorHAnsi"/>
          <w:sz w:val="26"/>
          <w:szCs w:val="26"/>
          <w:lang w:val="pt-PT" w:eastAsia="ro-RO"/>
        </w:rPr>
        <w:t>Pe de altă parte, în perioada de referinţă, 4 posturi de personal contractual și o funcție publică din cadrul aparatului propriu au fost ocupate prin detaşare.</w:t>
      </w:r>
    </w:p>
    <w:p w14:paraId="5690132E" w14:textId="2ED18DBC" w:rsidR="00D55F73" w:rsidRPr="004A72CD" w:rsidRDefault="00D55F73" w:rsidP="00D51F5A">
      <w:pPr>
        <w:autoSpaceDE w:val="0"/>
        <w:autoSpaceDN w:val="0"/>
        <w:spacing w:line="276" w:lineRule="auto"/>
        <w:ind w:firstLine="709"/>
        <w:jc w:val="both"/>
        <w:rPr>
          <w:rFonts w:asciiTheme="minorHAnsi" w:hAnsiTheme="minorHAnsi" w:cstheme="minorHAnsi"/>
          <w:sz w:val="26"/>
          <w:szCs w:val="26"/>
          <w:lang w:eastAsia="ro-RO"/>
        </w:rPr>
      </w:pPr>
      <w:r w:rsidRPr="004A72CD">
        <w:rPr>
          <w:rFonts w:asciiTheme="minorHAnsi" w:hAnsiTheme="minorHAnsi" w:cstheme="minorHAnsi"/>
          <w:sz w:val="26"/>
          <w:szCs w:val="26"/>
        </w:rPr>
        <w:t>Un element de referinţă în ceea ce priveşte situaţia posturilor la nivelul Consiliului Superior al Magistraturii este dat de faptul că, prin Hotărârea nr. 136/18.06.2024, Plenul Consiliului Superior al Magistraturii a aprobat noua structură organizatorică a Consiliului Superior al Magistraturii, reorganizată în acord cu prevederile Legii nr. 296/2023, începând cu data de 30</w:t>
      </w:r>
      <w:r w:rsidR="005C3A3A" w:rsidRPr="004A72CD">
        <w:rPr>
          <w:rFonts w:asciiTheme="minorHAnsi" w:hAnsiTheme="minorHAnsi" w:cstheme="minorHAnsi"/>
          <w:sz w:val="26"/>
          <w:szCs w:val="26"/>
        </w:rPr>
        <w:t xml:space="preserve"> iunie </w:t>
      </w:r>
      <w:r w:rsidRPr="004A72CD">
        <w:rPr>
          <w:rFonts w:asciiTheme="minorHAnsi" w:hAnsiTheme="minorHAnsi" w:cstheme="minorHAnsi"/>
          <w:sz w:val="26"/>
          <w:szCs w:val="26"/>
        </w:rPr>
        <w:t xml:space="preserve">2024. </w:t>
      </w:r>
    </w:p>
    <w:p w14:paraId="442513EC" w14:textId="77777777" w:rsidR="00D03DB8" w:rsidRPr="00D03DB8" w:rsidRDefault="00D03DB8" w:rsidP="00047C98">
      <w:pPr>
        <w:autoSpaceDE w:val="0"/>
        <w:autoSpaceDN w:val="0"/>
        <w:spacing w:line="276" w:lineRule="auto"/>
        <w:ind w:firstLine="709"/>
        <w:jc w:val="both"/>
        <w:rPr>
          <w:rFonts w:asciiTheme="minorHAnsi" w:hAnsiTheme="minorHAnsi" w:cstheme="minorHAnsi"/>
          <w:sz w:val="26"/>
          <w:szCs w:val="26"/>
          <w:lang w:val="pt-PT" w:eastAsia="ro-RO"/>
        </w:rPr>
      </w:pPr>
      <w:r w:rsidRPr="00D03DB8">
        <w:rPr>
          <w:rFonts w:asciiTheme="minorHAnsi" w:hAnsiTheme="minorHAnsi" w:cstheme="minorHAnsi"/>
          <w:sz w:val="26"/>
          <w:szCs w:val="26"/>
          <w:lang w:val="pt-PT" w:eastAsia="ro-RO"/>
        </w:rPr>
        <w:t>În raport cu procedurile de ocupare a posturilor vacante organizate în anul 2024 şi având în vedere fluctuaţia de personal din perioada de referinţă, la data de 31 decembrie 2024, în cadrul aparatului propriu al Consiliului Superior al Magistraturii erau ocupate 228 de posturi, din totalul de 242 posturi finanţate.</w:t>
      </w:r>
    </w:p>
    <w:p w14:paraId="5D7A28E9" w14:textId="77777777" w:rsidR="00D03DB8" w:rsidRPr="00D03DB8" w:rsidRDefault="00D03DB8" w:rsidP="00047C98">
      <w:pPr>
        <w:autoSpaceDE w:val="0"/>
        <w:autoSpaceDN w:val="0"/>
        <w:spacing w:line="276" w:lineRule="auto"/>
        <w:ind w:firstLine="709"/>
        <w:jc w:val="both"/>
        <w:rPr>
          <w:rFonts w:asciiTheme="minorHAnsi" w:hAnsiTheme="minorHAnsi" w:cstheme="minorHAnsi"/>
          <w:sz w:val="26"/>
          <w:szCs w:val="26"/>
          <w:lang w:val="pt-PT" w:eastAsia="ro-RO"/>
        </w:rPr>
      </w:pPr>
      <w:r w:rsidRPr="00D03DB8">
        <w:rPr>
          <w:rFonts w:asciiTheme="minorHAnsi" w:hAnsiTheme="minorHAnsi" w:cstheme="minorHAnsi"/>
          <w:sz w:val="26"/>
          <w:szCs w:val="26"/>
          <w:lang w:val="pt-PT" w:eastAsia="ro-RO"/>
        </w:rPr>
        <w:t>Situaţia posturilor ocupate la data de 31 decembrie 2024, pe categorii de personal, este redată în tabelul de mai jos:</w:t>
      </w:r>
    </w:p>
    <w:tbl>
      <w:tblPr>
        <w:tblW w:w="4997" w:type="pct"/>
        <w:tblCellMar>
          <w:left w:w="0" w:type="dxa"/>
          <w:right w:w="0" w:type="dxa"/>
        </w:tblCellMar>
        <w:tblLook w:val="04A0" w:firstRow="1" w:lastRow="0" w:firstColumn="1" w:lastColumn="0" w:noHBand="0" w:noVBand="1"/>
      </w:tblPr>
      <w:tblGrid>
        <w:gridCol w:w="4841"/>
        <w:gridCol w:w="2426"/>
        <w:gridCol w:w="2911"/>
      </w:tblGrid>
      <w:tr w:rsidR="00D03DB8" w:rsidRPr="00D03DB8" w14:paraId="6FBEE873" w14:textId="77777777" w:rsidTr="00A23E05">
        <w:trPr>
          <w:trHeight w:val="387"/>
          <w:tblHeader/>
        </w:trPr>
        <w:tc>
          <w:tcPr>
            <w:tcW w:w="2378" w:type="pct"/>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32806D3A" w14:textId="77777777" w:rsidR="00D03DB8" w:rsidRPr="00D03DB8" w:rsidRDefault="00D03DB8" w:rsidP="00397879">
            <w:pPr>
              <w:autoSpaceDE w:val="0"/>
              <w:autoSpaceDN w:val="0"/>
              <w:spacing w:line="276" w:lineRule="auto"/>
              <w:jc w:val="center"/>
              <w:rPr>
                <w:rFonts w:asciiTheme="minorHAnsi" w:hAnsiTheme="minorHAnsi" w:cstheme="minorHAnsi"/>
                <w:sz w:val="26"/>
                <w:szCs w:val="26"/>
                <w:lang w:val="pt-PT" w:eastAsia="ro-RO"/>
              </w:rPr>
            </w:pPr>
            <w:r w:rsidRPr="00D03DB8">
              <w:rPr>
                <w:rFonts w:asciiTheme="minorHAnsi" w:hAnsiTheme="minorHAnsi" w:cstheme="minorHAnsi"/>
                <w:sz w:val="26"/>
                <w:szCs w:val="26"/>
                <w:lang w:val="pt-PT" w:eastAsia="ro-RO"/>
              </w:rPr>
              <w:t>Natura funcţiei</w:t>
            </w:r>
          </w:p>
        </w:tc>
        <w:tc>
          <w:tcPr>
            <w:tcW w:w="2622" w:type="pct"/>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3EB2A35" w14:textId="77777777" w:rsidR="00D03DB8" w:rsidRPr="00D03DB8" w:rsidRDefault="00D03DB8" w:rsidP="009124F5">
            <w:pPr>
              <w:autoSpaceDE w:val="0"/>
              <w:autoSpaceDN w:val="0"/>
              <w:spacing w:line="276" w:lineRule="auto"/>
              <w:ind w:hanging="2"/>
              <w:jc w:val="center"/>
              <w:rPr>
                <w:rFonts w:asciiTheme="minorHAnsi" w:hAnsiTheme="minorHAnsi" w:cstheme="minorHAnsi"/>
                <w:sz w:val="26"/>
                <w:szCs w:val="26"/>
                <w:lang w:val="pt-PT" w:eastAsia="ro-RO"/>
              </w:rPr>
            </w:pPr>
            <w:r w:rsidRPr="00D03DB8">
              <w:rPr>
                <w:rFonts w:asciiTheme="minorHAnsi" w:hAnsiTheme="minorHAnsi" w:cstheme="minorHAnsi"/>
                <w:sz w:val="26"/>
                <w:szCs w:val="26"/>
                <w:lang w:val="pt-PT" w:eastAsia="ro-RO"/>
              </w:rPr>
              <w:t>Situaţia posturilor la data 31.12.2024</w:t>
            </w:r>
          </w:p>
        </w:tc>
      </w:tr>
      <w:tr w:rsidR="00D03DB8" w:rsidRPr="00D03DB8" w14:paraId="6D9DADBE" w14:textId="77777777" w:rsidTr="00A23E05">
        <w:trPr>
          <w:trHeight w:val="387"/>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9E882A2" w14:textId="77777777" w:rsidR="00D03DB8" w:rsidRPr="00D03DB8" w:rsidRDefault="00D03DB8" w:rsidP="00047C98">
            <w:pPr>
              <w:autoSpaceDE w:val="0"/>
              <w:autoSpaceDN w:val="0"/>
              <w:spacing w:line="276" w:lineRule="auto"/>
              <w:ind w:firstLine="709"/>
              <w:jc w:val="both"/>
              <w:rPr>
                <w:rFonts w:asciiTheme="minorHAnsi" w:hAnsiTheme="minorHAnsi" w:cstheme="minorHAnsi"/>
                <w:sz w:val="26"/>
                <w:szCs w:val="26"/>
                <w:lang w:val="pt-PT" w:eastAsia="ro-RO"/>
              </w:rPr>
            </w:pPr>
          </w:p>
        </w:tc>
        <w:tc>
          <w:tcPr>
            <w:tcW w:w="1192"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7E84842" w14:textId="77777777" w:rsidR="00D03DB8" w:rsidRPr="00D03DB8" w:rsidRDefault="00D03DB8" w:rsidP="00397879">
            <w:pPr>
              <w:autoSpaceDE w:val="0"/>
              <w:autoSpaceDN w:val="0"/>
              <w:spacing w:line="276" w:lineRule="auto"/>
              <w:jc w:val="center"/>
              <w:rPr>
                <w:rFonts w:asciiTheme="minorHAnsi" w:hAnsiTheme="minorHAnsi" w:cstheme="minorHAnsi"/>
                <w:sz w:val="26"/>
                <w:szCs w:val="26"/>
                <w:lang w:val="pt-PT" w:eastAsia="ro-RO"/>
              </w:rPr>
            </w:pPr>
            <w:r w:rsidRPr="00D03DB8">
              <w:rPr>
                <w:rFonts w:asciiTheme="minorHAnsi" w:hAnsiTheme="minorHAnsi" w:cstheme="minorHAnsi"/>
                <w:sz w:val="26"/>
                <w:szCs w:val="26"/>
                <w:lang w:val="pt-PT" w:eastAsia="ro-RO"/>
              </w:rPr>
              <w:t>Posturi prevăzute</w:t>
            </w:r>
          </w:p>
        </w:tc>
        <w:tc>
          <w:tcPr>
            <w:tcW w:w="1430"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528E9C9" w14:textId="77777777" w:rsidR="00D03DB8" w:rsidRPr="00D03DB8" w:rsidRDefault="00D03DB8" w:rsidP="00397879">
            <w:pPr>
              <w:autoSpaceDE w:val="0"/>
              <w:autoSpaceDN w:val="0"/>
              <w:spacing w:line="276" w:lineRule="auto"/>
              <w:jc w:val="center"/>
              <w:rPr>
                <w:rFonts w:asciiTheme="minorHAnsi" w:hAnsiTheme="minorHAnsi" w:cstheme="minorHAnsi"/>
                <w:sz w:val="26"/>
                <w:szCs w:val="26"/>
                <w:lang w:val="pt-PT" w:eastAsia="ro-RO"/>
              </w:rPr>
            </w:pPr>
            <w:r w:rsidRPr="00D03DB8">
              <w:rPr>
                <w:rFonts w:asciiTheme="minorHAnsi" w:hAnsiTheme="minorHAnsi" w:cstheme="minorHAnsi"/>
                <w:sz w:val="26"/>
                <w:szCs w:val="26"/>
                <w:lang w:val="pt-PT" w:eastAsia="ro-RO"/>
              </w:rPr>
              <w:t>Posturi ocupate</w:t>
            </w:r>
          </w:p>
        </w:tc>
      </w:tr>
      <w:tr w:rsidR="00D03DB8" w:rsidRPr="00D03DB8" w14:paraId="2BC4E151" w14:textId="77777777" w:rsidTr="00A23E05">
        <w:trPr>
          <w:trHeight w:val="759"/>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1F372D" w14:textId="77777777" w:rsidR="00D03DB8" w:rsidRPr="00D03DB8" w:rsidRDefault="00D03DB8" w:rsidP="00F66455">
            <w:pPr>
              <w:autoSpaceDE w:val="0"/>
              <w:autoSpaceDN w:val="0"/>
              <w:spacing w:line="276" w:lineRule="auto"/>
              <w:jc w:val="center"/>
              <w:rPr>
                <w:rFonts w:asciiTheme="minorHAnsi" w:hAnsiTheme="minorHAnsi" w:cstheme="minorHAnsi"/>
                <w:sz w:val="26"/>
                <w:szCs w:val="26"/>
                <w:lang w:val="pt-PT" w:eastAsia="ro-RO"/>
              </w:rPr>
            </w:pPr>
            <w:r w:rsidRPr="00D03DB8">
              <w:rPr>
                <w:rFonts w:asciiTheme="minorHAnsi" w:hAnsiTheme="minorHAnsi" w:cstheme="minorHAnsi"/>
                <w:sz w:val="26"/>
                <w:szCs w:val="26"/>
                <w:lang w:val="pt-PT" w:eastAsia="ro-RO"/>
              </w:rPr>
              <w:t>Personal de specialitate juridică asimilat judecătorilor şi procurorilor</w:t>
            </w:r>
          </w:p>
        </w:tc>
        <w:tc>
          <w:tcPr>
            <w:tcW w:w="11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949B95" w14:textId="77777777" w:rsidR="00D03DB8" w:rsidRPr="00D03DB8" w:rsidRDefault="00D03DB8" w:rsidP="004046AF">
            <w:pPr>
              <w:autoSpaceDE w:val="0"/>
              <w:autoSpaceDN w:val="0"/>
              <w:spacing w:line="276" w:lineRule="auto"/>
              <w:ind w:hanging="2"/>
              <w:jc w:val="center"/>
              <w:rPr>
                <w:rFonts w:asciiTheme="minorHAnsi" w:hAnsiTheme="minorHAnsi" w:cstheme="minorHAnsi"/>
                <w:sz w:val="26"/>
                <w:szCs w:val="26"/>
                <w:lang w:val="pt-PT" w:eastAsia="ro-RO"/>
              </w:rPr>
            </w:pPr>
            <w:r w:rsidRPr="00D03DB8">
              <w:rPr>
                <w:rFonts w:asciiTheme="minorHAnsi" w:hAnsiTheme="minorHAnsi" w:cstheme="minorHAnsi"/>
                <w:sz w:val="26"/>
                <w:szCs w:val="26"/>
                <w:lang w:val="pt-PT" w:eastAsia="ro-RO"/>
              </w:rPr>
              <w:t>93</w:t>
            </w:r>
          </w:p>
        </w:tc>
        <w:tc>
          <w:tcPr>
            <w:tcW w:w="14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215BA0" w14:textId="77777777" w:rsidR="00D03DB8" w:rsidRPr="00D03DB8" w:rsidRDefault="00D03DB8" w:rsidP="004046AF">
            <w:pPr>
              <w:autoSpaceDE w:val="0"/>
              <w:autoSpaceDN w:val="0"/>
              <w:spacing w:line="276" w:lineRule="auto"/>
              <w:jc w:val="center"/>
              <w:rPr>
                <w:rFonts w:asciiTheme="minorHAnsi" w:hAnsiTheme="minorHAnsi" w:cstheme="minorHAnsi"/>
                <w:sz w:val="26"/>
                <w:szCs w:val="26"/>
                <w:lang w:val="pt-PT" w:eastAsia="ro-RO"/>
              </w:rPr>
            </w:pPr>
            <w:r w:rsidRPr="00D03DB8">
              <w:rPr>
                <w:rFonts w:asciiTheme="minorHAnsi" w:hAnsiTheme="minorHAnsi" w:cstheme="minorHAnsi"/>
                <w:sz w:val="26"/>
                <w:szCs w:val="26"/>
                <w:lang w:val="pt-PT" w:eastAsia="ro-RO"/>
              </w:rPr>
              <w:t>83</w:t>
            </w:r>
          </w:p>
        </w:tc>
      </w:tr>
      <w:tr w:rsidR="00D03DB8" w:rsidRPr="00D03DB8" w14:paraId="03F0793C" w14:textId="77777777" w:rsidTr="00A23E05">
        <w:trPr>
          <w:trHeight w:val="387"/>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04B240" w14:textId="77777777" w:rsidR="00D03DB8" w:rsidRPr="00D03DB8" w:rsidRDefault="00D03DB8" w:rsidP="00F66455">
            <w:pPr>
              <w:autoSpaceDE w:val="0"/>
              <w:autoSpaceDN w:val="0"/>
              <w:spacing w:line="276" w:lineRule="auto"/>
              <w:jc w:val="center"/>
              <w:rPr>
                <w:rFonts w:asciiTheme="minorHAnsi" w:hAnsiTheme="minorHAnsi" w:cstheme="minorHAnsi"/>
                <w:sz w:val="26"/>
                <w:szCs w:val="26"/>
                <w:lang w:val="pt-PT" w:eastAsia="ro-RO"/>
              </w:rPr>
            </w:pPr>
            <w:r w:rsidRPr="00D03DB8">
              <w:rPr>
                <w:rFonts w:asciiTheme="minorHAnsi" w:hAnsiTheme="minorHAnsi" w:cstheme="minorHAnsi"/>
                <w:sz w:val="26"/>
                <w:szCs w:val="26"/>
                <w:lang w:val="pt-PT" w:eastAsia="ro-RO"/>
              </w:rPr>
              <w:t>Funcţii publice</w:t>
            </w:r>
          </w:p>
        </w:tc>
        <w:tc>
          <w:tcPr>
            <w:tcW w:w="11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370237" w14:textId="77777777" w:rsidR="00D03DB8" w:rsidRPr="00D03DB8" w:rsidRDefault="00D03DB8" w:rsidP="004046AF">
            <w:pPr>
              <w:autoSpaceDE w:val="0"/>
              <w:autoSpaceDN w:val="0"/>
              <w:spacing w:line="276" w:lineRule="auto"/>
              <w:jc w:val="center"/>
              <w:rPr>
                <w:rFonts w:asciiTheme="minorHAnsi" w:hAnsiTheme="minorHAnsi" w:cstheme="minorHAnsi"/>
                <w:sz w:val="26"/>
                <w:szCs w:val="26"/>
                <w:lang w:val="pt-PT" w:eastAsia="ro-RO"/>
              </w:rPr>
            </w:pPr>
            <w:r w:rsidRPr="00D03DB8">
              <w:rPr>
                <w:rFonts w:asciiTheme="minorHAnsi" w:hAnsiTheme="minorHAnsi" w:cstheme="minorHAnsi"/>
                <w:sz w:val="26"/>
                <w:szCs w:val="26"/>
                <w:lang w:val="pt-PT" w:eastAsia="ro-RO"/>
              </w:rPr>
              <w:t>52</w:t>
            </w:r>
          </w:p>
        </w:tc>
        <w:tc>
          <w:tcPr>
            <w:tcW w:w="14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5CBDF6" w14:textId="77777777" w:rsidR="00D03DB8" w:rsidRPr="00D03DB8" w:rsidRDefault="00D03DB8" w:rsidP="004046AF">
            <w:pPr>
              <w:autoSpaceDE w:val="0"/>
              <w:autoSpaceDN w:val="0"/>
              <w:spacing w:line="276" w:lineRule="auto"/>
              <w:jc w:val="center"/>
              <w:rPr>
                <w:rFonts w:asciiTheme="minorHAnsi" w:hAnsiTheme="minorHAnsi" w:cstheme="minorHAnsi"/>
                <w:sz w:val="26"/>
                <w:szCs w:val="26"/>
                <w:lang w:val="pt-PT" w:eastAsia="ro-RO"/>
              </w:rPr>
            </w:pPr>
            <w:r w:rsidRPr="00D03DB8">
              <w:rPr>
                <w:rFonts w:asciiTheme="minorHAnsi" w:hAnsiTheme="minorHAnsi" w:cstheme="minorHAnsi"/>
                <w:sz w:val="26"/>
                <w:szCs w:val="26"/>
                <w:lang w:val="pt-PT" w:eastAsia="ro-RO"/>
              </w:rPr>
              <w:t>51</w:t>
            </w:r>
          </w:p>
        </w:tc>
      </w:tr>
      <w:tr w:rsidR="00D03DB8" w:rsidRPr="00D03DB8" w14:paraId="4D412A36" w14:textId="77777777" w:rsidTr="001B2BD5">
        <w:trPr>
          <w:cantSplit/>
          <w:trHeight w:val="387"/>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67B7BB" w14:textId="77777777" w:rsidR="00D03DB8" w:rsidRPr="00D03DB8" w:rsidRDefault="00D03DB8" w:rsidP="009124F5">
            <w:pPr>
              <w:autoSpaceDE w:val="0"/>
              <w:autoSpaceDN w:val="0"/>
              <w:spacing w:line="276" w:lineRule="auto"/>
              <w:ind w:firstLine="22"/>
              <w:jc w:val="center"/>
              <w:rPr>
                <w:rFonts w:asciiTheme="minorHAnsi" w:hAnsiTheme="minorHAnsi" w:cstheme="minorHAnsi"/>
                <w:sz w:val="26"/>
                <w:szCs w:val="26"/>
                <w:lang w:val="pt-PT" w:eastAsia="ro-RO"/>
              </w:rPr>
            </w:pPr>
            <w:r w:rsidRPr="00D03DB8">
              <w:rPr>
                <w:rFonts w:asciiTheme="minorHAnsi" w:hAnsiTheme="minorHAnsi" w:cstheme="minorHAnsi"/>
                <w:sz w:val="26"/>
                <w:szCs w:val="26"/>
                <w:lang w:val="pt-PT" w:eastAsia="ro-RO"/>
              </w:rPr>
              <w:lastRenderedPageBreak/>
              <w:t>Personal contractual</w:t>
            </w:r>
          </w:p>
        </w:tc>
        <w:tc>
          <w:tcPr>
            <w:tcW w:w="11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005EF9" w14:textId="77777777" w:rsidR="00D03DB8" w:rsidRPr="00D03DB8" w:rsidRDefault="00D03DB8" w:rsidP="002D2151">
            <w:pPr>
              <w:autoSpaceDE w:val="0"/>
              <w:autoSpaceDN w:val="0"/>
              <w:spacing w:line="276" w:lineRule="auto"/>
              <w:ind w:hanging="2"/>
              <w:jc w:val="center"/>
              <w:rPr>
                <w:rFonts w:asciiTheme="minorHAnsi" w:hAnsiTheme="minorHAnsi" w:cstheme="minorHAnsi"/>
                <w:sz w:val="26"/>
                <w:szCs w:val="26"/>
                <w:lang w:val="pt-PT" w:eastAsia="ro-RO"/>
              </w:rPr>
            </w:pPr>
            <w:r w:rsidRPr="00D03DB8">
              <w:rPr>
                <w:rFonts w:asciiTheme="minorHAnsi" w:hAnsiTheme="minorHAnsi" w:cstheme="minorHAnsi"/>
                <w:sz w:val="26"/>
                <w:szCs w:val="26"/>
                <w:lang w:val="pt-PT" w:eastAsia="ro-RO"/>
              </w:rPr>
              <w:t>97</w:t>
            </w:r>
          </w:p>
        </w:tc>
        <w:tc>
          <w:tcPr>
            <w:tcW w:w="14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48285C" w14:textId="77777777" w:rsidR="00D03DB8" w:rsidRPr="00D03DB8" w:rsidRDefault="00D03DB8" w:rsidP="002D2151">
            <w:pPr>
              <w:autoSpaceDE w:val="0"/>
              <w:autoSpaceDN w:val="0"/>
              <w:spacing w:line="276" w:lineRule="auto"/>
              <w:jc w:val="center"/>
              <w:rPr>
                <w:rFonts w:asciiTheme="minorHAnsi" w:hAnsiTheme="minorHAnsi" w:cstheme="minorHAnsi"/>
                <w:sz w:val="26"/>
                <w:szCs w:val="26"/>
                <w:lang w:val="pt-PT" w:eastAsia="ro-RO"/>
              </w:rPr>
            </w:pPr>
            <w:r w:rsidRPr="00D03DB8">
              <w:rPr>
                <w:rFonts w:asciiTheme="minorHAnsi" w:hAnsiTheme="minorHAnsi" w:cstheme="minorHAnsi"/>
                <w:sz w:val="26"/>
                <w:szCs w:val="26"/>
                <w:lang w:val="pt-PT" w:eastAsia="ro-RO"/>
              </w:rPr>
              <w:t>94</w:t>
            </w:r>
          </w:p>
        </w:tc>
      </w:tr>
      <w:tr w:rsidR="00D03DB8" w:rsidRPr="00D03DB8" w14:paraId="6004CE3B" w14:textId="77777777" w:rsidTr="00A23E05">
        <w:trPr>
          <w:trHeight w:val="387"/>
        </w:trPr>
        <w:tc>
          <w:tcPr>
            <w:tcW w:w="2378"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57FD3CD2" w14:textId="77777777" w:rsidR="00D03DB8" w:rsidRPr="00D03DB8" w:rsidRDefault="00D03DB8" w:rsidP="00F66455">
            <w:pPr>
              <w:autoSpaceDE w:val="0"/>
              <w:autoSpaceDN w:val="0"/>
              <w:spacing w:line="276" w:lineRule="auto"/>
              <w:ind w:firstLine="22"/>
              <w:jc w:val="center"/>
              <w:rPr>
                <w:rFonts w:asciiTheme="minorHAnsi" w:hAnsiTheme="minorHAnsi" w:cstheme="minorHAnsi"/>
                <w:sz w:val="26"/>
                <w:szCs w:val="26"/>
                <w:lang w:val="pt-PT" w:eastAsia="ro-RO"/>
              </w:rPr>
            </w:pPr>
            <w:r w:rsidRPr="00D03DB8">
              <w:rPr>
                <w:rFonts w:asciiTheme="minorHAnsi" w:hAnsiTheme="minorHAnsi" w:cstheme="minorHAnsi"/>
                <w:sz w:val="26"/>
                <w:szCs w:val="26"/>
                <w:lang w:val="pt-PT" w:eastAsia="ro-RO"/>
              </w:rPr>
              <w:t>Total</w:t>
            </w:r>
          </w:p>
        </w:tc>
        <w:tc>
          <w:tcPr>
            <w:tcW w:w="1192"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9133103" w14:textId="77777777" w:rsidR="00D03DB8" w:rsidRPr="00D03DB8" w:rsidRDefault="00D03DB8" w:rsidP="002D2151">
            <w:pPr>
              <w:autoSpaceDE w:val="0"/>
              <w:autoSpaceDN w:val="0"/>
              <w:spacing w:line="276" w:lineRule="auto"/>
              <w:jc w:val="center"/>
              <w:rPr>
                <w:rFonts w:asciiTheme="minorHAnsi" w:hAnsiTheme="minorHAnsi" w:cstheme="minorHAnsi"/>
                <w:sz w:val="26"/>
                <w:szCs w:val="26"/>
                <w:lang w:val="pt-PT" w:eastAsia="ro-RO"/>
              </w:rPr>
            </w:pPr>
            <w:r w:rsidRPr="00D03DB8">
              <w:rPr>
                <w:rFonts w:asciiTheme="minorHAnsi" w:hAnsiTheme="minorHAnsi" w:cstheme="minorHAnsi"/>
                <w:sz w:val="26"/>
                <w:szCs w:val="26"/>
                <w:lang w:val="pt-PT" w:eastAsia="ro-RO"/>
              </w:rPr>
              <w:t>242</w:t>
            </w:r>
          </w:p>
        </w:tc>
        <w:tc>
          <w:tcPr>
            <w:tcW w:w="1430"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04C0911" w14:textId="77777777" w:rsidR="00D03DB8" w:rsidRPr="00D03DB8" w:rsidRDefault="00D03DB8" w:rsidP="002D2151">
            <w:pPr>
              <w:autoSpaceDE w:val="0"/>
              <w:autoSpaceDN w:val="0"/>
              <w:spacing w:line="276" w:lineRule="auto"/>
              <w:jc w:val="center"/>
              <w:rPr>
                <w:rFonts w:asciiTheme="minorHAnsi" w:hAnsiTheme="minorHAnsi" w:cstheme="minorHAnsi"/>
                <w:sz w:val="26"/>
                <w:szCs w:val="26"/>
                <w:lang w:val="pt-PT" w:eastAsia="ro-RO"/>
              </w:rPr>
            </w:pPr>
            <w:r w:rsidRPr="00D03DB8">
              <w:rPr>
                <w:rFonts w:asciiTheme="minorHAnsi" w:hAnsiTheme="minorHAnsi" w:cstheme="minorHAnsi"/>
                <w:sz w:val="26"/>
                <w:szCs w:val="26"/>
                <w:lang w:val="pt-PT" w:eastAsia="ro-RO"/>
              </w:rPr>
              <w:t>228</w:t>
            </w:r>
          </w:p>
        </w:tc>
      </w:tr>
    </w:tbl>
    <w:p w14:paraId="5BDB6906" w14:textId="77777777" w:rsidR="00D55F73" w:rsidRPr="004A72CD" w:rsidRDefault="00D55F73" w:rsidP="00D51F5A">
      <w:pPr>
        <w:pStyle w:val="Heading3"/>
      </w:pPr>
      <w:bookmarkStart w:id="25" w:name="_Toc187824351"/>
      <w:r w:rsidRPr="004A72CD">
        <w:t>I.3.2.2. Funcţii de conducere</w:t>
      </w:r>
      <w:bookmarkEnd w:id="21"/>
      <w:bookmarkEnd w:id="22"/>
      <w:bookmarkEnd w:id="23"/>
      <w:bookmarkEnd w:id="24"/>
      <w:bookmarkEnd w:id="25"/>
    </w:p>
    <w:p w14:paraId="6DAFB2F7" w14:textId="77777777" w:rsidR="00D55F73" w:rsidRPr="004A72CD" w:rsidRDefault="00D55F73" w:rsidP="00D51F5A">
      <w:pPr>
        <w:autoSpaceDE w:val="0"/>
        <w:autoSpaceDN w:val="0"/>
        <w:adjustRightInd w:val="0"/>
        <w:spacing w:line="276" w:lineRule="auto"/>
        <w:ind w:firstLine="708"/>
        <w:jc w:val="both"/>
        <w:rPr>
          <w:rFonts w:asciiTheme="minorHAnsi" w:hAnsiTheme="minorHAnsi" w:cstheme="minorHAnsi"/>
          <w:sz w:val="26"/>
          <w:szCs w:val="26"/>
          <w:lang w:eastAsia="ro-RO"/>
        </w:rPr>
      </w:pPr>
      <w:r w:rsidRPr="004A72CD">
        <w:rPr>
          <w:rFonts w:asciiTheme="minorHAnsi" w:hAnsiTheme="minorHAnsi" w:cstheme="minorHAnsi"/>
          <w:sz w:val="26"/>
          <w:szCs w:val="26"/>
          <w:lang w:eastAsia="ro-RO"/>
        </w:rPr>
        <w:t>La data de 31 decembrie 2023, numărul funcţiilor de conducere prevăzute la nivelul aparatului propriu al Consiliului era de 28 de funcţii. Dintre acestea, 3 funcţii erau ocupate prin numire, 20 de funcţii erau exercitate prin delegare, iar 5 funcţii erau vacante, după cum urmează:</w:t>
      </w:r>
    </w:p>
    <w:p w14:paraId="0871B1AF" w14:textId="77777777" w:rsidR="00D55F73" w:rsidRPr="004A72CD" w:rsidRDefault="00D55F73">
      <w:pPr>
        <w:numPr>
          <w:ilvl w:val="0"/>
          <w:numId w:val="11"/>
        </w:numPr>
        <w:spacing w:line="276" w:lineRule="auto"/>
        <w:ind w:left="810"/>
        <w:rPr>
          <w:rFonts w:asciiTheme="minorHAnsi" w:hAnsiTheme="minorHAnsi" w:cstheme="minorHAnsi"/>
          <w:sz w:val="26"/>
          <w:szCs w:val="26"/>
        </w:rPr>
      </w:pPr>
      <w:r w:rsidRPr="004A72CD">
        <w:rPr>
          <w:rFonts w:asciiTheme="minorHAnsi" w:hAnsiTheme="minorHAnsi" w:cstheme="minorHAnsi"/>
          <w:sz w:val="26"/>
          <w:szCs w:val="26"/>
        </w:rPr>
        <w:t>director adjunct – Direcţia resurse umane și organizare</w:t>
      </w:r>
    </w:p>
    <w:p w14:paraId="0CBA351C" w14:textId="77777777" w:rsidR="00D55F73" w:rsidRPr="004A72CD" w:rsidRDefault="00D55F73">
      <w:pPr>
        <w:numPr>
          <w:ilvl w:val="0"/>
          <w:numId w:val="11"/>
        </w:numPr>
        <w:spacing w:line="276" w:lineRule="auto"/>
        <w:ind w:left="810"/>
        <w:rPr>
          <w:rFonts w:asciiTheme="minorHAnsi" w:hAnsiTheme="minorHAnsi" w:cstheme="minorHAnsi"/>
          <w:sz w:val="26"/>
          <w:szCs w:val="26"/>
        </w:rPr>
      </w:pPr>
      <w:r w:rsidRPr="004A72CD">
        <w:rPr>
          <w:rFonts w:asciiTheme="minorHAnsi" w:hAnsiTheme="minorHAnsi" w:cstheme="minorHAnsi"/>
          <w:sz w:val="26"/>
          <w:szCs w:val="26"/>
        </w:rPr>
        <w:t>director adjunct – Direcția legislație, documentare și contencios</w:t>
      </w:r>
    </w:p>
    <w:p w14:paraId="5E941EEE" w14:textId="77777777" w:rsidR="00D55F73" w:rsidRPr="004A72CD" w:rsidRDefault="00D55F73">
      <w:pPr>
        <w:numPr>
          <w:ilvl w:val="0"/>
          <w:numId w:val="11"/>
        </w:numPr>
        <w:spacing w:line="276" w:lineRule="auto"/>
        <w:ind w:left="810"/>
        <w:rPr>
          <w:rFonts w:asciiTheme="minorHAnsi" w:hAnsiTheme="minorHAnsi" w:cstheme="minorHAnsi"/>
          <w:sz w:val="26"/>
          <w:szCs w:val="26"/>
        </w:rPr>
      </w:pPr>
      <w:r w:rsidRPr="004A72CD">
        <w:rPr>
          <w:rFonts w:asciiTheme="minorHAnsi" w:hAnsiTheme="minorHAnsi" w:cstheme="minorHAnsi"/>
          <w:sz w:val="26"/>
          <w:szCs w:val="26"/>
        </w:rPr>
        <w:t>șef serviciu – Serviciul resurse umane pentru instanțele judecătorești</w:t>
      </w:r>
    </w:p>
    <w:p w14:paraId="73736D4B" w14:textId="77777777" w:rsidR="00D55F73" w:rsidRPr="004A72CD" w:rsidRDefault="00D55F73">
      <w:pPr>
        <w:numPr>
          <w:ilvl w:val="0"/>
          <w:numId w:val="11"/>
        </w:numPr>
        <w:spacing w:line="276" w:lineRule="auto"/>
        <w:ind w:left="810"/>
        <w:rPr>
          <w:rFonts w:asciiTheme="minorHAnsi" w:hAnsiTheme="minorHAnsi" w:cstheme="minorHAnsi"/>
          <w:sz w:val="26"/>
          <w:szCs w:val="26"/>
        </w:rPr>
      </w:pPr>
      <w:r w:rsidRPr="004A72CD">
        <w:rPr>
          <w:rFonts w:asciiTheme="minorHAnsi" w:hAnsiTheme="minorHAnsi" w:cstheme="minorHAnsi"/>
          <w:sz w:val="26"/>
          <w:szCs w:val="26"/>
        </w:rPr>
        <w:t>şef serviciu – Serviciul salarizare și buget – funcţie publică</w:t>
      </w:r>
    </w:p>
    <w:p w14:paraId="2E34D879" w14:textId="77777777" w:rsidR="00D55F73" w:rsidRPr="004A72CD" w:rsidRDefault="00D55F73">
      <w:pPr>
        <w:numPr>
          <w:ilvl w:val="0"/>
          <w:numId w:val="11"/>
        </w:numPr>
        <w:spacing w:line="276" w:lineRule="auto"/>
        <w:ind w:left="810"/>
        <w:rPr>
          <w:rFonts w:asciiTheme="minorHAnsi" w:hAnsiTheme="minorHAnsi" w:cstheme="minorHAnsi"/>
          <w:sz w:val="26"/>
          <w:szCs w:val="26"/>
        </w:rPr>
      </w:pPr>
      <w:r w:rsidRPr="004A72CD">
        <w:rPr>
          <w:rFonts w:asciiTheme="minorHAnsi" w:hAnsiTheme="minorHAnsi" w:cstheme="minorHAnsi"/>
          <w:sz w:val="26"/>
          <w:szCs w:val="26"/>
        </w:rPr>
        <w:t>şef birou – Biroul formare profesională.</w:t>
      </w:r>
    </w:p>
    <w:p w14:paraId="7FCADDD9" w14:textId="77777777" w:rsidR="00AD79E7" w:rsidRPr="00AD79E7" w:rsidRDefault="00AD79E7" w:rsidP="004A11B5">
      <w:pPr>
        <w:spacing w:line="276" w:lineRule="auto"/>
        <w:ind w:firstLine="450"/>
        <w:jc w:val="both"/>
        <w:rPr>
          <w:rFonts w:asciiTheme="minorHAnsi" w:hAnsiTheme="minorHAnsi" w:cstheme="minorHAnsi"/>
          <w:sz w:val="26"/>
          <w:szCs w:val="26"/>
        </w:rPr>
      </w:pPr>
      <w:bookmarkStart w:id="26" w:name="_Toc430867108"/>
      <w:r w:rsidRPr="00AD79E7">
        <w:rPr>
          <w:rFonts w:asciiTheme="minorHAnsi" w:hAnsiTheme="minorHAnsi" w:cstheme="minorHAnsi"/>
          <w:sz w:val="26"/>
          <w:szCs w:val="26"/>
        </w:rPr>
        <w:t>La data de 31 decembrie 2024, numărul funcţiilor de conducere prevăzute la nivelul aparatului propriu al Consiliului era de 24 funcţii, iar dintre acestea două funcţii erau ocupate prin numire, 19 de funcţii prin delegare, respectiv exercitare cu caracter temporar a unei funcţii publice de conducere, iar 3 funcţii erau vacante, după cum urmează:</w:t>
      </w:r>
    </w:p>
    <w:p w14:paraId="24ADBC34" w14:textId="77777777" w:rsidR="00AD79E7" w:rsidRPr="00AD79E7" w:rsidRDefault="00AD79E7">
      <w:pPr>
        <w:numPr>
          <w:ilvl w:val="0"/>
          <w:numId w:val="11"/>
        </w:numPr>
        <w:spacing w:line="276" w:lineRule="auto"/>
        <w:ind w:left="810"/>
        <w:rPr>
          <w:rFonts w:asciiTheme="minorHAnsi" w:hAnsiTheme="minorHAnsi" w:cstheme="minorHAnsi"/>
          <w:sz w:val="26"/>
          <w:szCs w:val="26"/>
        </w:rPr>
      </w:pPr>
      <w:r w:rsidRPr="00AD79E7">
        <w:rPr>
          <w:rFonts w:asciiTheme="minorHAnsi" w:hAnsiTheme="minorHAnsi" w:cstheme="minorHAnsi"/>
          <w:sz w:val="26"/>
          <w:szCs w:val="26"/>
        </w:rPr>
        <w:t>director adjunct – Direcţia resurse umane și organizare</w:t>
      </w:r>
    </w:p>
    <w:p w14:paraId="3819DFCC" w14:textId="77777777" w:rsidR="00AD79E7" w:rsidRPr="00AD79E7" w:rsidRDefault="00AD79E7">
      <w:pPr>
        <w:numPr>
          <w:ilvl w:val="0"/>
          <w:numId w:val="11"/>
        </w:numPr>
        <w:spacing w:line="276" w:lineRule="auto"/>
        <w:ind w:left="810"/>
        <w:rPr>
          <w:rFonts w:asciiTheme="minorHAnsi" w:hAnsiTheme="minorHAnsi" w:cstheme="minorHAnsi"/>
          <w:sz w:val="26"/>
          <w:szCs w:val="26"/>
        </w:rPr>
      </w:pPr>
      <w:r w:rsidRPr="00AD79E7">
        <w:rPr>
          <w:rFonts w:asciiTheme="minorHAnsi" w:hAnsiTheme="minorHAnsi" w:cstheme="minorHAnsi"/>
          <w:sz w:val="26"/>
          <w:szCs w:val="26"/>
        </w:rPr>
        <w:t>director adjunct – Direcţia legislație, documentare și contencios</w:t>
      </w:r>
    </w:p>
    <w:p w14:paraId="53AB64D5" w14:textId="77777777" w:rsidR="00AD79E7" w:rsidRPr="00AD79E7" w:rsidRDefault="00AD79E7">
      <w:pPr>
        <w:numPr>
          <w:ilvl w:val="0"/>
          <w:numId w:val="11"/>
        </w:numPr>
        <w:spacing w:line="276" w:lineRule="auto"/>
        <w:ind w:left="810"/>
        <w:rPr>
          <w:rFonts w:asciiTheme="minorHAnsi" w:hAnsiTheme="minorHAnsi" w:cstheme="minorHAnsi"/>
          <w:sz w:val="26"/>
          <w:szCs w:val="26"/>
        </w:rPr>
      </w:pPr>
      <w:r w:rsidRPr="00AD79E7">
        <w:rPr>
          <w:rFonts w:asciiTheme="minorHAnsi" w:hAnsiTheme="minorHAnsi" w:cstheme="minorHAnsi"/>
          <w:sz w:val="26"/>
          <w:szCs w:val="26"/>
        </w:rPr>
        <w:t>şef serviciu – Serviciul afaceri europene şi internaţionale.</w:t>
      </w:r>
    </w:p>
    <w:p w14:paraId="2638AC55" w14:textId="77777777" w:rsidR="00D55F73" w:rsidRPr="00DA3EDD" w:rsidRDefault="00D55F73" w:rsidP="00D35E09">
      <w:pPr>
        <w:pStyle w:val="Heading2"/>
        <w:rPr>
          <w:lang w:val="fr-FR"/>
        </w:rPr>
      </w:pPr>
      <w:bookmarkStart w:id="27" w:name="_Toc187824352"/>
      <w:r w:rsidRPr="00DA3EDD">
        <w:rPr>
          <w:lang w:val="fr-FR"/>
        </w:rPr>
        <w:t>I.4. Demersuri pentru dezvoltarea capacităţii Institutului Naţional al Magistraturii şi a Şcolii Naţionale de Grefieri</w:t>
      </w:r>
      <w:bookmarkEnd w:id="26"/>
      <w:bookmarkEnd w:id="27"/>
    </w:p>
    <w:p w14:paraId="7D460316" w14:textId="266F7E10" w:rsidR="00A30875" w:rsidRPr="004A72CD" w:rsidRDefault="00EC2A7E" w:rsidP="00D51F5A">
      <w:pPr>
        <w:pStyle w:val="ListParagraph"/>
        <w:spacing w:line="276" w:lineRule="auto"/>
        <w:jc w:val="both"/>
        <w:rPr>
          <w:rFonts w:asciiTheme="minorHAnsi" w:hAnsiTheme="minorHAnsi" w:cstheme="minorHAnsi"/>
          <w:sz w:val="26"/>
          <w:szCs w:val="26"/>
        </w:rPr>
      </w:pPr>
      <w:r w:rsidRPr="004A72CD">
        <w:rPr>
          <w:rFonts w:asciiTheme="minorHAnsi" w:hAnsiTheme="minorHAnsi" w:cstheme="minorHAnsi"/>
          <w:b/>
          <w:sz w:val="26"/>
          <w:szCs w:val="26"/>
        </w:rPr>
        <w:t>Institutul Naţional al Magistraturii</w:t>
      </w:r>
    </w:p>
    <w:p w14:paraId="218628CC" w14:textId="7194763F" w:rsidR="00A30875" w:rsidRPr="004A72CD" w:rsidRDefault="00A30875" w:rsidP="00D51F5A">
      <w:pPr>
        <w:numPr>
          <w:ilvl w:val="1"/>
          <w:numId w:val="0"/>
        </w:numPr>
        <w:spacing w:line="276" w:lineRule="auto"/>
        <w:ind w:firstLine="706"/>
        <w:jc w:val="both"/>
        <w:rPr>
          <w:rFonts w:asciiTheme="minorHAnsi" w:hAnsiTheme="minorHAnsi" w:cstheme="minorHAnsi"/>
          <w:sz w:val="26"/>
          <w:szCs w:val="26"/>
        </w:rPr>
      </w:pPr>
      <w:r w:rsidRPr="004A72CD">
        <w:rPr>
          <w:rFonts w:asciiTheme="minorHAnsi" w:hAnsiTheme="minorHAnsi" w:cstheme="minorHAnsi"/>
          <w:sz w:val="26"/>
          <w:szCs w:val="26"/>
        </w:rPr>
        <w:t>În cursul anului 2024, demersurile privind dezvoltarea capacității Institutului Național al Magistraturii (I</w:t>
      </w:r>
      <w:r w:rsidR="007349ED" w:rsidRPr="004A72CD">
        <w:rPr>
          <w:rFonts w:asciiTheme="minorHAnsi" w:hAnsiTheme="minorHAnsi" w:cstheme="minorHAnsi"/>
          <w:sz w:val="26"/>
          <w:szCs w:val="26"/>
        </w:rPr>
        <w:t>.</w:t>
      </w:r>
      <w:r w:rsidRPr="004A72CD">
        <w:rPr>
          <w:rFonts w:asciiTheme="minorHAnsi" w:hAnsiTheme="minorHAnsi" w:cstheme="minorHAnsi"/>
          <w:sz w:val="26"/>
          <w:szCs w:val="26"/>
        </w:rPr>
        <w:t>N</w:t>
      </w:r>
      <w:r w:rsidR="007349ED" w:rsidRPr="004A72CD">
        <w:rPr>
          <w:rFonts w:asciiTheme="minorHAnsi" w:hAnsiTheme="minorHAnsi" w:cstheme="minorHAnsi"/>
          <w:sz w:val="26"/>
          <w:szCs w:val="26"/>
        </w:rPr>
        <w:t>.</w:t>
      </w:r>
      <w:r w:rsidRPr="004A72CD">
        <w:rPr>
          <w:rFonts w:asciiTheme="minorHAnsi" w:hAnsiTheme="minorHAnsi" w:cstheme="minorHAnsi"/>
          <w:sz w:val="26"/>
          <w:szCs w:val="26"/>
        </w:rPr>
        <w:t>M</w:t>
      </w:r>
      <w:r w:rsidR="007349ED" w:rsidRPr="004A72CD">
        <w:rPr>
          <w:rFonts w:asciiTheme="minorHAnsi" w:hAnsiTheme="minorHAnsi" w:cstheme="minorHAnsi"/>
          <w:sz w:val="26"/>
          <w:szCs w:val="26"/>
        </w:rPr>
        <w:t>.</w:t>
      </w:r>
      <w:r w:rsidRPr="004A72CD">
        <w:rPr>
          <w:rFonts w:asciiTheme="minorHAnsi" w:hAnsiTheme="minorHAnsi" w:cstheme="minorHAnsi"/>
          <w:sz w:val="26"/>
          <w:szCs w:val="26"/>
        </w:rPr>
        <w:t>) au vizat:</w:t>
      </w:r>
    </w:p>
    <w:p w14:paraId="1DC5A759" w14:textId="3AACEDB8" w:rsidR="00A30875" w:rsidRPr="004A72CD" w:rsidRDefault="00A30875" w:rsidP="00D51F5A">
      <w:pPr>
        <w:pStyle w:val="Heading3"/>
      </w:pPr>
      <w:bookmarkStart w:id="28" w:name="_Toc187824353"/>
      <w:r w:rsidRPr="004A72CD">
        <w:t>I.4.1. Consolidarea capacității instituționale</w:t>
      </w:r>
      <w:bookmarkEnd w:id="28"/>
    </w:p>
    <w:p w14:paraId="42B1C657" w14:textId="25AEDCBE" w:rsidR="00A30875" w:rsidRPr="004A72CD" w:rsidRDefault="00A30875" w:rsidP="00D51F5A">
      <w:pPr>
        <w:spacing w:line="276" w:lineRule="auto"/>
        <w:ind w:right="43" w:firstLine="706"/>
        <w:jc w:val="both"/>
        <w:rPr>
          <w:rFonts w:asciiTheme="minorHAnsi" w:hAnsiTheme="minorHAnsi" w:cstheme="minorHAnsi"/>
          <w:sz w:val="26"/>
          <w:szCs w:val="26"/>
        </w:rPr>
      </w:pPr>
      <w:r w:rsidRPr="004A72CD">
        <w:rPr>
          <w:rFonts w:asciiTheme="minorHAnsi" w:hAnsiTheme="minorHAnsi" w:cstheme="minorHAnsi"/>
          <w:sz w:val="26"/>
          <w:szCs w:val="26"/>
        </w:rPr>
        <w:t>Pentru asigurarea premiselor necesare realizării obiectivelor Institutului Naţional al Magistraturii, inclusiv din perspectiva resurselor umane, a fost adoptată Hotărârea Guvernului nr. 891/2024 privind stabilirea numărului maxim de posturi pentru Institutul Naţional al Magistraturii, publicată în Monitorul Oficial</w:t>
      </w:r>
      <w:r w:rsidR="00976590" w:rsidRPr="004A72CD">
        <w:rPr>
          <w:rFonts w:asciiTheme="minorHAnsi" w:hAnsiTheme="minorHAnsi" w:cstheme="minorHAnsi"/>
          <w:sz w:val="26"/>
          <w:szCs w:val="26"/>
        </w:rPr>
        <w:t xml:space="preserve"> al României</w:t>
      </w:r>
      <w:r w:rsidRPr="004A72CD">
        <w:rPr>
          <w:rFonts w:asciiTheme="minorHAnsi" w:hAnsiTheme="minorHAnsi" w:cstheme="minorHAnsi"/>
          <w:sz w:val="26"/>
          <w:szCs w:val="26"/>
        </w:rPr>
        <w:t>, Partea I nr. 735 din 26 iulie 2024, care, la art. 1</w:t>
      </w:r>
      <w:r w:rsidR="001819E7">
        <w:rPr>
          <w:rFonts w:asciiTheme="minorHAnsi" w:hAnsiTheme="minorHAnsi" w:cstheme="minorHAnsi"/>
          <w:sz w:val="26"/>
          <w:szCs w:val="26"/>
        </w:rPr>
        <w:t>,</w:t>
      </w:r>
      <w:r w:rsidRPr="004A72CD">
        <w:rPr>
          <w:rFonts w:asciiTheme="minorHAnsi" w:hAnsiTheme="minorHAnsi" w:cstheme="minorHAnsi"/>
          <w:sz w:val="26"/>
          <w:szCs w:val="26"/>
        </w:rPr>
        <w:t xml:space="preserve"> stabileşte funcţionarea Institutului Naţional al Magistraturii cu un număr maxim de 105 posturi, abrogând astfel Hotărârea Guvernului nr. 57/2018.</w:t>
      </w:r>
    </w:p>
    <w:p w14:paraId="3912DC9C" w14:textId="014E69C3" w:rsidR="00A30875" w:rsidRPr="004A72CD" w:rsidRDefault="00A30875" w:rsidP="00D51F5A">
      <w:pPr>
        <w:spacing w:line="276" w:lineRule="auto"/>
        <w:ind w:right="43" w:firstLine="706"/>
        <w:jc w:val="both"/>
        <w:rPr>
          <w:rFonts w:asciiTheme="minorHAnsi" w:hAnsiTheme="minorHAnsi" w:cstheme="minorHAnsi"/>
          <w:sz w:val="26"/>
          <w:szCs w:val="26"/>
        </w:rPr>
      </w:pPr>
      <w:r w:rsidRPr="004A72CD">
        <w:rPr>
          <w:rFonts w:asciiTheme="minorHAnsi" w:hAnsiTheme="minorHAnsi" w:cstheme="minorHAnsi"/>
          <w:sz w:val="26"/>
          <w:szCs w:val="26"/>
        </w:rPr>
        <w:t xml:space="preserve"> Ca urmare a Memorandumului cu tema Aprobarea înființării a 10 noi posturi la Institutul Naţional al Magistraturii, începând cu data de 01</w:t>
      </w:r>
      <w:r w:rsidR="002A586F" w:rsidRPr="004A72CD">
        <w:rPr>
          <w:rFonts w:asciiTheme="minorHAnsi" w:hAnsiTheme="minorHAnsi" w:cstheme="minorHAnsi"/>
          <w:sz w:val="26"/>
          <w:szCs w:val="26"/>
        </w:rPr>
        <w:t xml:space="preserve"> iulie </w:t>
      </w:r>
      <w:r w:rsidRPr="004A72CD">
        <w:rPr>
          <w:rFonts w:asciiTheme="minorHAnsi" w:hAnsiTheme="minorHAnsi" w:cstheme="minorHAnsi"/>
          <w:sz w:val="26"/>
          <w:szCs w:val="26"/>
        </w:rPr>
        <w:t>2024, aprobat în şedinţa Guvernului din data de 06</w:t>
      </w:r>
      <w:r w:rsidR="002A586F" w:rsidRPr="004A72CD">
        <w:rPr>
          <w:rFonts w:asciiTheme="minorHAnsi" w:hAnsiTheme="minorHAnsi" w:cstheme="minorHAnsi"/>
          <w:sz w:val="26"/>
          <w:szCs w:val="26"/>
        </w:rPr>
        <w:t xml:space="preserve"> iunie </w:t>
      </w:r>
      <w:r w:rsidRPr="004A72CD">
        <w:rPr>
          <w:rFonts w:asciiTheme="minorHAnsi" w:hAnsiTheme="minorHAnsi" w:cstheme="minorHAnsi"/>
          <w:sz w:val="26"/>
          <w:szCs w:val="26"/>
        </w:rPr>
        <w:t>2024, schema structurii de personal s</w:t>
      </w:r>
      <w:r w:rsidR="00240072" w:rsidRPr="004A72CD">
        <w:rPr>
          <w:rFonts w:asciiTheme="minorHAnsi" w:hAnsiTheme="minorHAnsi" w:cstheme="minorHAnsi"/>
          <w:sz w:val="26"/>
          <w:szCs w:val="26"/>
        </w:rPr>
        <w:t>-a</w:t>
      </w:r>
      <w:r w:rsidRPr="004A72CD">
        <w:rPr>
          <w:rFonts w:asciiTheme="minorHAnsi" w:hAnsiTheme="minorHAnsi" w:cstheme="minorHAnsi"/>
          <w:sz w:val="26"/>
          <w:szCs w:val="26"/>
        </w:rPr>
        <w:t xml:space="preserve"> supliment</w:t>
      </w:r>
      <w:r w:rsidR="00240072" w:rsidRPr="004A72CD">
        <w:rPr>
          <w:rFonts w:asciiTheme="minorHAnsi" w:hAnsiTheme="minorHAnsi" w:cstheme="minorHAnsi"/>
          <w:sz w:val="26"/>
          <w:szCs w:val="26"/>
        </w:rPr>
        <w:t>at</w:t>
      </w:r>
      <w:r w:rsidRPr="004A72CD">
        <w:rPr>
          <w:rFonts w:asciiTheme="minorHAnsi" w:hAnsiTheme="minorHAnsi" w:cstheme="minorHAnsi"/>
          <w:sz w:val="26"/>
          <w:szCs w:val="26"/>
        </w:rPr>
        <w:t xml:space="preserve"> în concret după cum urmează:</w:t>
      </w:r>
    </w:p>
    <w:p w14:paraId="23A620D2" w14:textId="77777777" w:rsidR="00A30875" w:rsidRPr="004A72CD" w:rsidRDefault="00A30875" w:rsidP="00D51F5A">
      <w:pPr>
        <w:tabs>
          <w:tab w:val="left" w:pos="993"/>
        </w:tabs>
        <w:spacing w:line="276" w:lineRule="auto"/>
        <w:ind w:right="43" w:firstLine="706"/>
        <w:jc w:val="both"/>
        <w:rPr>
          <w:rFonts w:asciiTheme="minorHAnsi" w:hAnsiTheme="minorHAnsi" w:cstheme="minorHAnsi"/>
          <w:sz w:val="26"/>
          <w:szCs w:val="26"/>
        </w:rPr>
      </w:pPr>
      <w:r w:rsidRPr="004A72CD">
        <w:rPr>
          <w:rFonts w:asciiTheme="minorHAnsi" w:hAnsiTheme="minorHAnsi" w:cstheme="minorHAnsi"/>
          <w:sz w:val="26"/>
          <w:szCs w:val="26"/>
        </w:rPr>
        <w:t>-</w:t>
      </w:r>
      <w:r w:rsidRPr="004A72CD">
        <w:rPr>
          <w:rFonts w:asciiTheme="minorHAnsi" w:hAnsiTheme="minorHAnsi" w:cstheme="minorHAnsi"/>
          <w:sz w:val="26"/>
          <w:szCs w:val="26"/>
        </w:rPr>
        <w:tab/>
        <w:t>2 posturi de formator cu normă întreagă, din care 1 având competenţe în crearea de conţinut digital de formare;</w:t>
      </w:r>
    </w:p>
    <w:p w14:paraId="3745CB17" w14:textId="77777777" w:rsidR="00A30875" w:rsidRPr="004A72CD" w:rsidRDefault="00A30875" w:rsidP="00D51F5A">
      <w:pPr>
        <w:tabs>
          <w:tab w:val="left" w:pos="993"/>
        </w:tabs>
        <w:spacing w:line="276" w:lineRule="auto"/>
        <w:ind w:right="43" w:firstLine="706"/>
        <w:jc w:val="both"/>
        <w:rPr>
          <w:rFonts w:asciiTheme="minorHAnsi" w:hAnsiTheme="minorHAnsi" w:cstheme="minorHAnsi"/>
          <w:sz w:val="26"/>
          <w:szCs w:val="26"/>
        </w:rPr>
      </w:pPr>
      <w:r w:rsidRPr="004A72CD">
        <w:rPr>
          <w:rFonts w:asciiTheme="minorHAnsi" w:hAnsiTheme="minorHAnsi" w:cstheme="minorHAnsi"/>
          <w:sz w:val="26"/>
          <w:szCs w:val="26"/>
        </w:rPr>
        <w:t>-</w:t>
      </w:r>
      <w:r w:rsidRPr="004A72CD">
        <w:rPr>
          <w:rFonts w:asciiTheme="minorHAnsi" w:hAnsiTheme="minorHAnsi" w:cstheme="minorHAnsi"/>
          <w:sz w:val="26"/>
          <w:szCs w:val="26"/>
        </w:rPr>
        <w:tab/>
        <w:t>3 posturi de personal de specialitate juridică asimilat judecătorilor şi procurorilor;</w:t>
      </w:r>
    </w:p>
    <w:p w14:paraId="0B8D110B" w14:textId="77777777" w:rsidR="00A30875" w:rsidRPr="004A72CD" w:rsidRDefault="00A30875" w:rsidP="00D51F5A">
      <w:pPr>
        <w:tabs>
          <w:tab w:val="left" w:pos="993"/>
        </w:tabs>
        <w:spacing w:line="276" w:lineRule="auto"/>
        <w:ind w:right="43" w:firstLine="706"/>
        <w:jc w:val="both"/>
        <w:rPr>
          <w:rFonts w:asciiTheme="minorHAnsi" w:hAnsiTheme="minorHAnsi" w:cstheme="minorHAnsi"/>
          <w:sz w:val="26"/>
          <w:szCs w:val="26"/>
        </w:rPr>
      </w:pPr>
      <w:r w:rsidRPr="004A72CD">
        <w:rPr>
          <w:rFonts w:asciiTheme="minorHAnsi" w:hAnsiTheme="minorHAnsi" w:cstheme="minorHAnsi"/>
          <w:sz w:val="26"/>
          <w:szCs w:val="26"/>
        </w:rPr>
        <w:t>-</w:t>
      </w:r>
      <w:r w:rsidRPr="004A72CD">
        <w:rPr>
          <w:rFonts w:asciiTheme="minorHAnsi" w:hAnsiTheme="minorHAnsi" w:cstheme="minorHAnsi"/>
          <w:sz w:val="26"/>
          <w:szCs w:val="26"/>
        </w:rPr>
        <w:tab/>
        <w:t>3 posturi de funcţionar public;</w:t>
      </w:r>
    </w:p>
    <w:p w14:paraId="3DD384C0" w14:textId="77777777" w:rsidR="00A30875" w:rsidRPr="004A72CD" w:rsidRDefault="00A30875" w:rsidP="00D51F5A">
      <w:pPr>
        <w:tabs>
          <w:tab w:val="left" w:pos="993"/>
        </w:tabs>
        <w:spacing w:line="276" w:lineRule="auto"/>
        <w:ind w:right="43" w:firstLine="706"/>
        <w:jc w:val="both"/>
        <w:rPr>
          <w:rFonts w:asciiTheme="minorHAnsi" w:hAnsiTheme="minorHAnsi" w:cstheme="minorHAnsi"/>
          <w:sz w:val="26"/>
          <w:szCs w:val="26"/>
        </w:rPr>
      </w:pPr>
      <w:r w:rsidRPr="004A72CD">
        <w:rPr>
          <w:rFonts w:asciiTheme="minorHAnsi" w:hAnsiTheme="minorHAnsi" w:cstheme="minorHAnsi"/>
          <w:sz w:val="26"/>
          <w:szCs w:val="26"/>
        </w:rPr>
        <w:lastRenderedPageBreak/>
        <w:t>-</w:t>
      </w:r>
      <w:r w:rsidRPr="004A72CD">
        <w:rPr>
          <w:rFonts w:asciiTheme="minorHAnsi" w:hAnsiTheme="minorHAnsi" w:cstheme="minorHAnsi"/>
          <w:sz w:val="26"/>
          <w:szCs w:val="26"/>
        </w:rPr>
        <w:tab/>
        <w:t>1 post de personal contractual – specialist IT;</w:t>
      </w:r>
    </w:p>
    <w:p w14:paraId="7698849A" w14:textId="77777777" w:rsidR="00A30875" w:rsidRDefault="00A30875" w:rsidP="00D51F5A">
      <w:pPr>
        <w:tabs>
          <w:tab w:val="left" w:pos="993"/>
        </w:tabs>
        <w:spacing w:line="276" w:lineRule="auto"/>
        <w:ind w:right="43" w:firstLine="706"/>
        <w:jc w:val="both"/>
        <w:rPr>
          <w:rFonts w:asciiTheme="minorHAnsi" w:hAnsiTheme="minorHAnsi" w:cstheme="minorHAnsi"/>
          <w:sz w:val="26"/>
          <w:szCs w:val="26"/>
        </w:rPr>
      </w:pPr>
      <w:r w:rsidRPr="004A72CD">
        <w:rPr>
          <w:rFonts w:asciiTheme="minorHAnsi" w:hAnsiTheme="minorHAnsi" w:cstheme="minorHAnsi"/>
          <w:sz w:val="26"/>
          <w:szCs w:val="26"/>
        </w:rPr>
        <w:t>-</w:t>
      </w:r>
      <w:r w:rsidRPr="004A72CD">
        <w:rPr>
          <w:rFonts w:asciiTheme="minorHAnsi" w:hAnsiTheme="minorHAnsi" w:cstheme="minorHAnsi"/>
          <w:sz w:val="26"/>
          <w:szCs w:val="26"/>
        </w:rPr>
        <w:tab/>
        <w:t>1 post de personal contractual.</w:t>
      </w:r>
    </w:p>
    <w:p w14:paraId="37797ADA" w14:textId="35FEEED4" w:rsidR="00B85287" w:rsidRPr="0098252F" w:rsidRDefault="00B85287" w:rsidP="00B85287">
      <w:pPr>
        <w:spacing w:line="276" w:lineRule="auto"/>
        <w:ind w:right="15" w:firstLine="709"/>
        <w:jc w:val="both"/>
        <w:rPr>
          <w:rFonts w:asciiTheme="minorHAnsi" w:hAnsiTheme="minorHAnsi" w:cstheme="minorHAnsi"/>
          <w:sz w:val="26"/>
          <w:szCs w:val="26"/>
        </w:rPr>
      </w:pPr>
      <w:r w:rsidRPr="0098252F">
        <w:rPr>
          <w:rFonts w:asciiTheme="minorHAnsi" w:hAnsiTheme="minorHAnsi" w:cstheme="minorHAnsi"/>
          <w:sz w:val="26"/>
          <w:szCs w:val="26"/>
        </w:rPr>
        <w:t>În aplicarea dispozițiilor Hotărârii Guvernului nr. 891/2024, a fost obținut avizul Agenției Naționale a Funcționarilor Publici privind funcţiile publice, astfel că au fost aprobate</w:t>
      </w:r>
      <w:r w:rsidR="0098252F" w:rsidRPr="0098252F">
        <w:rPr>
          <w:rFonts w:asciiTheme="minorHAnsi" w:hAnsiTheme="minorHAnsi" w:cstheme="minorHAnsi"/>
          <w:sz w:val="26"/>
          <w:szCs w:val="26"/>
        </w:rPr>
        <w:t>,</w:t>
      </w:r>
      <w:r w:rsidRPr="0098252F">
        <w:rPr>
          <w:rFonts w:asciiTheme="minorHAnsi" w:hAnsiTheme="minorHAnsi" w:cstheme="minorHAnsi"/>
          <w:sz w:val="26"/>
          <w:szCs w:val="26"/>
        </w:rPr>
        <w:t xml:space="preserve"> prin Hotărârea Plenului Consiliului Superior al Magistraturii nr. 207/14.11.2024, structura organizatorică, statul de funcții și statul de personal ale Institutului Naţional al Magistraturii, valabile în condiţiile asigurării resurselor bugetare.</w:t>
      </w:r>
    </w:p>
    <w:p w14:paraId="4A6AD0D1" w14:textId="101D002D" w:rsidR="00B85287" w:rsidRPr="0098252F" w:rsidRDefault="00B85287" w:rsidP="00B85287">
      <w:pPr>
        <w:spacing w:line="276" w:lineRule="auto"/>
        <w:ind w:right="15" w:firstLine="709"/>
        <w:jc w:val="both"/>
        <w:rPr>
          <w:rFonts w:asciiTheme="minorHAnsi" w:hAnsiTheme="minorHAnsi" w:cstheme="minorHAnsi"/>
          <w:sz w:val="26"/>
          <w:szCs w:val="26"/>
        </w:rPr>
      </w:pPr>
      <w:r w:rsidRPr="0098252F">
        <w:rPr>
          <w:rFonts w:asciiTheme="minorHAnsi" w:hAnsiTheme="minorHAnsi" w:cstheme="minorHAnsi"/>
          <w:sz w:val="26"/>
          <w:szCs w:val="26"/>
        </w:rPr>
        <w:t>De asemenea, în aplicarea dispozițiilor Legii nr. 296/2023, a fost obținut avizul Agenției Naționale a Funcționarilor Publici privind reorganizarea instituțiilor publice, astfel că au fost aprobate</w:t>
      </w:r>
      <w:r w:rsidR="0098252F" w:rsidRPr="0098252F">
        <w:rPr>
          <w:rFonts w:asciiTheme="minorHAnsi" w:hAnsiTheme="minorHAnsi" w:cstheme="minorHAnsi"/>
          <w:sz w:val="26"/>
          <w:szCs w:val="26"/>
        </w:rPr>
        <w:t>,</w:t>
      </w:r>
      <w:r w:rsidRPr="0098252F">
        <w:rPr>
          <w:rFonts w:asciiTheme="minorHAnsi" w:hAnsiTheme="minorHAnsi" w:cstheme="minorHAnsi"/>
          <w:sz w:val="26"/>
          <w:szCs w:val="26"/>
        </w:rPr>
        <w:t xml:space="preserve"> prin Hotărârea Plenului Consiliului Superior al Magistraturii nr. 134/18.06.2024, structura organizatorică, statul de funcții și statul de personal ale Institutului Naţional al Magistraturii, valabile la data de 30 iunie 2024. Prin Hotărârea Plenului Consiliului Superior al Magistraturii nr. 137/18.06.2024, publicată în Monitorul Oficial al României, Partea I nr. 580/21.06.2024, a fost modificat şi completat Regulamentul Institutului Naţional al Magistraturii, aprobat prin </w:t>
      </w:r>
      <w:bookmarkStart w:id="29" w:name="_Hlk183174673"/>
      <w:r w:rsidRPr="0098252F">
        <w:rPr>
          <w:rFonts w:asciiTheme="minorHAnsi" w:hAnsiTheme="minorHAnsi" w:cstheme="minorHAnsi"/>
          <w:sz w:val="26"/>
          <w:szCs w:val="26"/>
        </w:rPr>
        <w:t xml:space="preserve">Hotărârea Plenului Consiliului Superior al Magistraturii nr. </w:t>
      </w:r>
      <w:bookmarkEnd w:id="29"/>
      <w:r w:rsidRPr="0098252F">
        <w:rPr>
          <w:rFonts w:asciiTheme="minorHAnsi" w:hAnsiTheme="minorHAnsi" w:cstheme="minorHAnsi"/>
          <w:sz w:val="26"/>
          <w:szCs w:val="26"/>
        </w:rPr>
        <w:t xml:space="preserve">92/2023. </w:t>
      </w:r>
    </w:p>
    <w:p w14:paraId="7ED9B0AC" w14:textId="77777777" w:rsidR="00B85287" w:rsidRPr="0098252F" w:rsidRDefault="00B85287" w:rsidP="00B85287">
      <w:pPr>
        <w:spacing w:line="276" w:lineRule="auto"/>
        <w:ind w:right="15" w:firstLine="709"/>
        <w:jc w:val="both"/>
        <w:rPr>
          <w:rFonts w:asciiTheme="minorHAnsi" w:hAnsiTheme="minorHAnsi" w:cstheme="minorHAnsi"/>
          <w:sz w:val="26"/>
          <w:szCs w:val="26"/>
        </w:rPr>
      </w:pPr>
      <w:r w:rsidRPr="0098252F">
        <w:rPr>
          <w:rFonts w:asciiTheme="minorHAnsi" w:hAnsiTheme="minorHAnsi" w:cstheme="minorHAnsi"/>
          <w:sz w:val="26"/>
          <w:szCs w:val="26"/>
        </w:rPr>
        <w:t xml:space="preserve">Ca urmare a aprobării statelor de funcţii şi de personal ale Institutului Naţional al Magistraturii valabile la data de 01.04.2024, prin Hotărârea Plenului Consiliului Superior al Magistraturii nr. 69/11.04.2024, a fost transformat un post de personal contractual de execuţie într-un post de personal de specialitate juridică asimilat judecătorilor şi procurorilor, ocupat ulterior prin transfer. </w:t>
      </w:r>
    </w:p>
    <w:p w14:paraId="6B8B1FF5" w14:textId="6BAD8673" w:rsidR="00A30875" w:rsidRPr="004A72CD" w:rsidRDefault="00A30875" w:rsidP="00D51F5A">
      <w:pPr>
        <w:pStyle w:val="Heading3"/>
      </w:pPr>
      <w:bookmarkStart w:id="30" w:name="_Toc187824354"/>
      <w:r w:rsidRPr="004A72CD">
        <w:t>I.4.2. Consolidarea corpului personalului de instruire</w:t>
      </w:r>
      <w:bookmarkEnd w:id="30"/>
    </w:p>
    <w:p w14:paraId="5355EDE9" w14:textId="77777777" w:rsidR="00A30875" w:rsidRPr="004A72CD" w:rsidRDefault="00A30875" w:rsidP="00D51F5A">
      <w:pPr>
        <w:keepNext/>
        <w:keepLines/>
        <w:numPr>
          <w:ilvl w:val="0"/>
          <w:numId w:val="1"/>
        </w:numPr>
        <w:tabs>
          <w:tab w:val="left" w:pos="1197"/>
        </w:tabs>
        <w:spacing w:line="276" w:lineRule="auto"/>
        <w:ind w:right="43"/>
        <w:contextualSpacing/>
        <w:jc w:val="both"/>
        <w:rPr>
          <w:rFonts w:asciiTheme="minorHAnsi" w:eastAsia="Calibri" w:hAnsiTheme="minorHAnsi" w:cstheme="minorHAnsi"/>
          <w:b/>
          <w:sz w:val="26"/>
          <w:szCs w:val="26"/>
        </w:rPr>
      </w:pPr>
      <w:r w:rsidRPr="004A72CD">
        <w:rPr>
          <w:rFonts w:asciiTheme="minorHAnsi" w:eastAsia="Calibri" w:hAnsiTheme="minorHAnsi" w:cstheme="minorHAnsi"/>
          <w:b/>
          <w:sz w:val="26"/>
          <w:szCs w:val="26"/>
        </w:rPr>
        <w:t>Formatori cu normă întreagă</w:t>
      </w:r>
    </w:p>
    <w:p w14:paraId="47548970" w14:textId="38743513" w:rsidR="00A30875" w:rsidRPr="004A72CD" w:rsidRDefault="00A30875" w:rsidP="00D51F5A">
      <w:pPr>
        <w:keepNext/>
        <w:keepLines/>
        <w:spacing w:line="276" w:lineRule="auto"/>
        <w:ind w:right="43" w:firstLine="706"/>
        <w:jc w:val="both"/>
        <w:rPr>
          <w:rFonts w:asciiTheme="minorHAnsi" w:hAnsiTheme="minorHAnsi" w:cstheme="minorHAnsi"/>
          <w:sz w:val="26"/>
          <w:szCs w:val="26"/>
        </w:rPr>
      </w:pPr>
      <w:r w:rsidRPr="004A72CD">
        <w:rPr>
          <w:rFonts w:asciiTheme="minorHAnsi" w:hAnsiTheme="minorHAnsi" w:cstheme="minorHAnsi"/>
          <w:sz w:val="26"/>
          <w:szCs w:val="26"/>
        </w:rPr>
        <w:t>În 2024 a fost completată echipa de formatori cu normă întreagă, prin ocuparea a 4 posturi vacante de formator aflate în structura organizațională a I</w:t>
      </w:r>
      <w:r w:rsidR="00976590" w:rsidRPr="004A72CD">
        <w:rPr>
          <w:rFonts w:asciiTheme="minorHAnsi" w:hAnsiTheme="minorHAnsi" w:cstheme="minorHAnsi"/>
          <w:sz w:val="26"/>
          <w:szCs w:val="26"/>
        </w:rPr>
        <w:t>.</w:t>
      </w:r>
      <w:r w:rsidRPr="004A72CD">
        <w:rPr>
          <w:rFonts w:asciiTheme="minorHAnsi" w:hAnsiTheme="minorHAnsi" w:cstheme="minorHAnsi"/>
          <w:sz w:val="26"/>
          <w:szCs w:val="26"/>
        </w:rPr>
        <w:t>N</w:t>
      </w:r>
      <w:r w:rsidR="00976590" w:rsidRPr="004A72CD">
        <w:rPr>
          <w:rFonts w:asciiTheme="minorHAnsi" w:hAnsiTheme="minorHAnsi" w:cstheme="minorHAnsi"/>
          <w:sz w:val="26"/>
          <w:szCs w:val="26"/>
        </w:rPr>
        <w:t>.</w:t>
      </w:r>
      <w:r w:rsidRPr="004A72CD">
        <w:rPr>
          <w:rFonts w:asciiTheme="minorHAnsi" w:hAnsiTheme="minorHAnsi" w:cstheme="minorHAnsi"/>
          <w:sz w:val="26"/>
          <w:szCs w:val="26"/>
        </w:rPr>
        <w:t>M</w:t>
      </w:r>
      <w:r w:rsidR="00976590" w:rsidRPr="004A72CD">
        <w:rPr>
          <w:rFonts w:asciiTheme="minorHAnsi" w:hAnsiTheme="minorHAnsi" w:cstheme="minorHAnsi"/>
          <w:sz w:val="26"/>
          <w:szCs w:val="26"/>
        </w:rPr>
        <w:t>.</w:t>
      </w:r>
      <w:r w:rsidRPr="004A72CD">
        <w:rPr>
          <w:rFonts w:asciiTheme="minorHAnsi" w:hAnsiTheme="minorHAnsi" w:cstheme="minorHAnsi"/>
          <w:sz w:val="26"/>
          <w:szCs w:val="26"/>
        </w:rPr>
        <w:t>, la disciplinele Litigii cu profesioniștii, Drept penal și procesual penal și Dreptul U</w:t>
      </w:r>
      <w:r w:rsidR="00976590" w:rsidRPr="004A72CD">
        <w:rPr>
          <w:rFonts w:asciiTheme="minorHAnsi" w:hAnsiTheme="minorHAnsi" w:cstheme="minorHAnsi"/>
          <w:sz w:val="26"/>
          <w:szCs w:val="26"/>
        </w:rPr>
        <w:t>.</w:t>
      </w:r>
      <w:r w:rsidRPr="004A72CD">
        <w:rPr>
          <w:rFonts w:asciiTheme="minorHAnsi" w:hAnsiTheme="minorHAnsi" w:cstheme="minorHAnsi"/>
          <w:sz w:val="26"/>
          <w:szCs w:val="26"/>
        </w:rPr>
        <w:t xml:space="preserve">E. De asemenea, se află în curs de desfășurare 4 proceduri de recrutare a unor formatori cu normă întreagă la disciplinele Drept civil și procesual civil (1 formator cu normă întreagă), Criminalistică (1 formator cu normă întreagă), Drept administrativ (1 formator cu normă întreagă) și Drept penal și procesual penal (1 formator cu normă întreagă). </w:t>
      </w:r>
    </w:p>
    <w:p w14:paraId="7D8F2B0A" w14:textId="77777777" w:rsidR="00A30875" w:rsidRPr="004A72CD" w:rsidRDefault="00A30875" w:rsidP="00D51F5A">
      <w:pPr>
        <w:numPr>
          <w:ilvl w:val="0"/>
          <w:numId w:val="1"/>
        </w:numPr>
        <w:spacing w:line="276" w:lineRule="auto"/>
        <w:ind w:right="43"/>
        <w:contextualSpacing/>
        <w:jc w:val="both"/>
        <w:rPr>
          <w:rFonts w:asciiTheme="minorHAnsi" w:eastAsia="Calibri" w:hAnsiTheme="minorHAnsi" w:cstheme="minorHAnsi"/>
          <w:b/>
          <w:sz w:val="26"/>
          <w:szCs w:val="26"/>
        </w:rPr>
      </w:pPr>
      <w:r w:rsidRPr="004A72CD">
        <w:rPr>
          <w:rFonts w:asciiTheme="minorHAnsi" w:eastAsia="Calibri" w:hAnsiTheme="minorHAnsi" w:cstheme="minorHAnsi"/>
          <w:b/>
          <w:sz w:val="26"/>
          <w:szCs w:val="26"/>
        </w:rPr>
        <w:t>Formatori colaboratori</w:t>
      </w:r>
    </w:p>
    <w:p w14:paraId="70596D2E" w14:textId="03B3F437" w:rsidR="00A30875" w:rsidRPr="004A72CD" w:rsidRDefault="00A30875" w:rsidP="00D51F5A">
      <w:pPr>
        <w:spacing w:line="276" w:lineRule="auto"/>
        <w:ind w:right="43" w:firstLine="706"/>
        <w:jc w:val="both"/>
        <w:rPr>
          <w:rFonts w:asciiTheme="minorHAnsi" w:hAnsiTheme="minorHAnsi" w:cstheme="minorHAnsi"/>
          <w:sz w:val="26"/>
          <w:szCs w:val="26"/>
        </w:rPr>
      </w:pPr>
      <w:r w:rsidRPr="004A72CD">
        <w:rPr>
          <w:rFonts w:asciiTheme="minorHAnsi" w:hAnsiTheme="minorHAnsi" w:cstheme="minorHAnsi"/>
          <w:sz w:val="26"/>
          <w:szCs w:val="26"/>
        </w:rPr>
        <w:t>În perioada de referință, I</w:t>
      </w:r>
      <w:r w:rsidR="00976590" w:rsidRPr="004A72CD">
        <w:rPr>
          <w:rFonts w:asciiTheme="minorHAnsi" w:hAnsiTheme="minorHAnsi" w:cstheme="minorHAnsi"/>
          <w:sz w:val="26"/>
          <w:szCs w:val="26"/>
        </w:rPr>
        <w:t>.</w:t>
      </w:r>
      <w:r w:rsidRPr="004A72CD">
        <w:rPr>
          <w:rFonts w:asciiTheme="minorHAnsi" w:hAnsiTheme="minorHAnsi" w:cstheme="minorHAnsi"/>
          <w:sz w:val="26"/>
          <w:szCs w:val="26"/>
        </w:rPr>
        <w:t>N</w:t>
      </w:r>
      <w:r w:rsidR="00976590" w:rsidRPr="004A72CD">
        <w:rPr>
          <w:rFonts w:asciiTheme="minorHAnsi" w:hAnsiTheme="minorHAnsi" w:cstheme="minorHAnsi"/>
          <w:sz w:val="26"/>
          <w:szCs w:val="26"/>
        </w:rPr>
        <w:t>.</w:t>
      </w:r>
      <w:r w:rsidRPr="004A72CD">
        <w:rPr>
          <w:rFonts w:asciiTheme="minorHAnsi" w:hAnsiTheme="minorHAnsi" w:cstheme="minorHAnsi"/>
          <w:sz w:val="26"/>
          <w:szCs w:val="26"/>
        </w:rPr>
        <w:t>M</w:t>
      </w:r>
      <w:r w:rsidR="00976590" w:rsidRPr="004A72CD">
        <w:rPr>
          <w:rFonts w:asciiTheme="minorHAnsi" w:hAnsiTheme="minorHAnsi" w:cstheme="minorHAnsi"/>
          <w:sz w:val="26"/>
          <w:szCs w:val="26"/>
        </w:rPr>
        <w:t>.</w:t>
      </w:r>
      <w:r w:rsidRPr="004A72CD">
        <w:rPr>
          <w:rFonts w:asciiTheme="minorHAnsi" w:hAnsiTheme="minorHAnsi" w:cstheme="minorHAnsi"/>
          <w:sz w:val="26"/>
          <w:szCs w:val="26"/>
        </w:rPr>
        <w:t xml:space="preserve"> a derulat 11 proceduri de selecție pentru recrutarea de formatori colaboratori în cadrul formării inițiale și continue, în cadrul următoarelor discipline:</w:t>
      </w:r>
    </w:p>
    <w:p w14:paraId="31BE7705" w14:textId="77777777" w:rsidR="00A30875" w:rsidRPr="004A72CD" w:rsidRDefault="00A30875" w:rsidP="00D51F5A">
      <w:pPr>
        <w:numPr>
          <w:ilvl w:val="0"/>
          <w:numId w:val="2"/>
        </w:numPr>
        <w:spacing w:line="276" w:lineRule="auto"/>
        <w:ind w:right="43"/>
        <w:contextualSpacing/>
        <w:jc w:val="both"/>
        <w:rPr>
          <w:rFonts w:asciiTheme="minorHAnsi" w:eastAsia="Calibri" w:hAnsiTheme="minorHAnsi" w:cstheme="minorHAnsi"/>
          <w:sz w:val="26"/>
          <w:szCs w:val="26"/>
        </w:rPr>
      </w:pPr>
      <w:r w:rsidRPr="004A72CD">
        <w:rPr>
          <w:rFonts w:asciiTheme="minorHAnsi" w:eastAsia="Calibri" w:hAnsiTheme="minorHAnsi" w:cstheme="minorHAnsi"/>
          <w:sz w:val="26"/>
          <w:szCs w:val="26"/>
        </w:rPr>
        <w:t xml:space="preserve">Drept penal și procesual penal </w:t>
      </w:r>
    </w:p>
    <w:p w14:paraId="72E8D7A6" w14:textId="77777777" w:rsidR="00A30875" w:rsidRPr="004A72CD" w:rsidRDefault="00A30875" w:rsidP="00D51F5A">
      <w:pPr>
        <w:numPr>
          <w:ilvl w:val="0"/>
          <w:numId w:val="2"/>
        </w:numPr>
        <w:spacing w:line="276" w:lineRule="auto"/>
        <w:ind w:right="43"/>
        <w:contextualSpacing/>
        <w:jc w:val="both"/>
        <w:rPr>
          <w:rFonts w:asciiTheme="minorHAnsi" w:eastAsia="Calibri" w:hAnsiTheme="minorHAnsi" w:cstheme="minorHAnsi"/>
          <w:sz w:val="26"/>
          <w:szCs w:val="26"/>
        </w:rPr>
      </w:pPr>
      <w:r w:rsidRPr="004A72CD">
        <w:rPr>
          <w:rFonts w:asciiTheme="minorHAnsi" w:eastAsia="Calibri" w:hAnsiTheme="minorHAnsi" w:cstheme="minorHAnsi"/>
          <w:sz w:val="26"/>
          <w:szCs w:val="26"/>
        </w:rPr>
        <w:t>Informatică (2 proceduri)</w:t>
      </w:r>
    </w:p>
    <w:p w14:paraId="69A5FD87" w14:textId="77777777" w:rsidR="00A30875" w:rsidRPr="004A72CD" w:rsidRDefault="00A30875" w:rsidP="00D51F5A">
      <w:pPr>
        <w:numPr>
          <w:ilvl w:val="0"/>
          <w:numId w:val="2"/>
        </w:numPr>
        <w:spacing w:line="276" w:lineRule="auto"/>
        <w:ind w:right="43"/>
        <w:contextualSpacing/>
        <w:jc w:val="both"/>
        <w:rPr>
          <w:rFonts w:asciiTheme="minorHAnsi" w:eastAsia="Calibri" w:hAnsiTheme="minorHAnsi" w:cstheme="minorHAnsi"/>
          <w:sz w:val="26"/>
          <w:szCs w:val="26"/>
        </w:rPr>
      </w:pPr>
      <w:r w:rsidRPr="004A72CD">
        <w:rPr>
          <w:rFonts w:asciiTheme="minorHAnsi" w:eastAsia="Calibri" w:hAnsiTheme="minorHAnsi" w:cstheme="minorHAnsi"/>
          <w:sz w:val="26"/>
          <w:szCs w:val="26"/>
        </w:rPr>
        <w:t>Drept constituțional (3 proceduri)</w:t>
      </w:r>
    </w:p>
    <w:p w14:paraId="1FFC188F" w14:textId="77777777" w:rsidR="00A30875" w:rsidRPr="004A72CD" w:rsidRDefault="00A30875" w:rsidP="00D51F5A">
      <w:pPr>
        <w:numPr>
          <w:ilvl w:val="0"/>
          <w:numId w:val="2"/>
        </w:numPr>
        <w:spacing w:line="276" w:lineRule="auto"/>
        <w:ind w:right="43"/>
        <w:contextualSpacing/>
        <w:jc w:val="both"/>
        <w:rPr>
          <w:rFonts w:asciiTheme="minorHAnsi" w:eastAsia="Calibri" w:hAnsiTheme="minorHAnsi" w:cstheme="minorHAnsi"/>
          <w:sz w:val="26"/>
          <w:szCs w:val="26"/>
        </w:rPr>
      </w:pPr>
      <w:r w:rsidRPr="004A72CD">
        <w:rPr>
          <w:rFonts w:asciiTheme="minorHAnsi" w:eastAsia="Calibri" w:hAnsiTheme="minorHAnsi" w:cstheme="minorHAnsi"/>
          <w:sz w:val="26"/>
          <w:szCs w:val="26"/>
        </w:rPr>
        <w:t xml:space="preserve">Dezvoltare abilități non-juridice </w:t>
      </w:r>
    </w:p>
    <w:p w14:paraId="2546EABC" w14:textId="77777777" w:rsidR="00A30875" w:rsidRPr="004A72CD" w:rsidRDefault="00A30875" w:rsidP="00D51F5A">
      <w:pPr>
        <w:numPr>
          <w:ilvl w:val="0"/>
          <w:numId w:val="2"/>
        </w:numPr>
        <w:spacing w:line="276" w:lineRule="auto"/>
        <w:ind w:right="43"/>
        <w:contextualSpacing/>
        <w:jc w:val="both"/>
        <w:rPr>
          <w:rFonts w:asciiTheme="minorHAnsi" w:eastAsia="Calibri" w:hAnsiTheme="minorHAnsi" w:cstheme="minorHAnsi"/>
          <w:sz w:val="26"/>
          <w:szCs w:val="26"/>
        </w:rPr>
      </w:pPr>
      <w:r w:rsidRPr="004A72CD">
        <w:rPr>
          <w:rFonts w:asciiTheme="minorHAnsi" w:eastAsia="Calibri" w:hAnsiTheme="minorHAnsi" w:cstheme="minorHAnsi"/>
          <w:sz w:val="26"/>
          <w:szCs w:val="26"/>
        </w:rPr>
        <w:t>Management judiciar</w:t>
      </w:r>
    </w:p>
    <w:p w14:paraId="2CA7FE66" w14:textId="77777777" w:rsidR="00A30875" w:rsidRPr="004A72CD" w:rsidRDefault="00A30875" w:rsidP="00D51F5A">
      <w:pPr>
        <w:numPr>
          <w:ilvl w:val="0"/>
          <w:numId w:val="2"/>
        </w:numPr>
        <w:spacing w:line="276" w:lineRule="auto"/>
        <w:ind w:right="43"/>
        <w:contextualSpacing/>
        <w:jc w:val="both"/>
        <w:rPr>
          <w:rFonts w:asciiTheme="minorHAnsi" w:eastAsia="Calibri" w:hAnsiTheme="minorHAnsi" w:cstheme="minorHAnsi"/>
          <w:sz w:val="26"/>
          <w:szCs w:val="26"/>
        </w:rPr>
      </w:pPr>
      <w:r w:rsidRPr="004A72CD">
        <w:rPr>
          <w:rFonts w:asciiTheme="minorHAnsi" w:eastAsia="Calibri" w:hAnsiTheme="minorHAnsi" w:cstheme="minorHAnsi"/>
          <w:sz w:val="26"/>
          <w:szCs w:val="26"/>
        </w:rPr>
        <w:t>Dreptul muncii</w:t>
      </w:r>
    </w:p>
    <w:p w14:paraId="43D74933" w14:textId="77777777" w:rsidR="00A30875" w:rsidRPr="004A72CD" w:rsidRDefault="00A30875" w:rsidP="00D51F5A">
      <w:pPr>
        <w:numPr>
          <w:ilvl w:val="0"/>
          <w:numId w:val="2"/>
        </w:numPr>
        <w:spacing w:line="276" w:lineRule="auto"/>
        <w:ind w:right="43"/>
        <w:contextualSpacing/>
        <w:jc w:val="both"/>
        <w:rPr>
          <w:rFonts w:asciiTheme="minorHAnsi" w:eastAsia="Calibri" w:hAnsiTheme="minorHAnsi" w:cstheme="minorHAnsi"/>
          <w:sz w:val="26"/>
          <w:szCs w:val="26"/>
        </w:rPr>
      </w:pPr>
      <w:r w:rsidRPr="004A72CD">
        <w:rPr>
          <w:rFonts w:asciiTheme="minorHAnsi" w:eastAsia="Calibri" w:hAnsiTheme="minorHAnsi" w:cstheme="minorHAnsi"/>
          <w:sz w:val="26"/>
          <w:szCs w:val="26"/>
        </w:rPr>
        <w:t>Engleză juridică</w:t>
      </w:r>
    </w:p>
    <w:p w14:paraId="35200192" w14:textId="77777777" w:rsidR="00A30875" w:rsidRPr="004A72CD" w:rsidRDefault="00A30875" w:rsidP="00D51F5A">
      <w:pPr>
        <w:numPr>
          <w:ilvl w:val="0"/>
          <w:numId w:val="2"/>
        </w:numPr>
        <w:spacing w:line="276" w:lineRule="auto"/>
        <w:ind w:right="43"/>
        <w:contextualSpacing/>
        <w:jc w:val="both"/>
        <w:rPr>
          <w:rFonts w:asciiTheme="minorHAnsi" w:eastAsia="Calibri" w:hAnsiTheme="minorHAnsi" w:cstheme="minorHAnsi"/>
          <w:sz w:val="26"/>
          <w:szCs w:val="26"/>
        </w:rPr>
      </w:pPr>
      <w:r w:rsidRPr="004A72CD">
        <w:rPr>
          <w:rFonts w:asciiTheme="minorHAnsi" w:eastAsia="Calibri" w:hAnsiTheme="minorHAnsi" w:cstheme="minorHAnsi"/>
          <w:sz w:val="26"/>
          <w:szCs w:val="26"/>
        </w:rPr>
        <w:t>Drept administrativ</w:t>
      </w:r>
    </w:p>
    <w:p w14:paraId="353359EE" w14:textId="770B4716" w:rsidR="00960EB7" w:rsidRPr="0098252F" w:rsidRDefault="00960EB7" w:rsidP="006342C4">
      <w:pPr>
        <w:spacing w:line="276" w:lineRule="auto"/>
        <w:ind w:right="45" w:firstLine="709"/>
        <w:jc w:val="both"/>
        <w:rPr>
          <w:rFonts w:asciiTheme="minorHAnsi" w:hAnsiTheme="minorHAnsi" w:cstheme="minorHAnsi"/>
          <w:sz w:val="26"/>
          <w:szCs w:val="26"/>
          <w:lang w:eastAsia="ro-RO"/>
        </w:rPr>
      </w:pPr>
      <w:r w:rsidRPr="0098252F">
        <w:rPr>
          <w:rFonts w:asciiTheme="minorHAnsi" w:hAnsiTheme="minorHAnsi" w:cstheme="minorHAnsi"/>
          <w:sz w:val="26"/>
          <w:szCs w:val="26"/>
          <w:lang w:eastAsia="ro-RO"/>
        </w:rPr>
        <w:t xml:space="preserve">În urma derulării procedurilor de selecție amintite, au fost propuși spre numire </w:t>
      </w:r>
      <w:r w:rsidR="0098252F" w:rsidRPr="0098252F">
        <w:rPr>
          <w:rFonts w:asciiTheme="minorHAnsi" w:hAnsiTheme="minorHAnsi" w:cstheme="minorHAnsi"/>
          <w:sz w:val="26"/>
          <w:szCs w:val="26"/>
          <w:lang w:eastAsia="ro-RO"/>
        </w:rPr>
        <w:t xml:space="preserve">de </w:t>
      </w:r>
      <w:r w:rsidRPr="0098252F">
        <w:rPr>
          <w:rFonts w:asciiTheme="minorHAnsi" w:hAnsiTheme="minorHAnsi" w:cstheme="minorHAnsi"/>
          <w:sz w:val="26"/>
          <w:szCs w:val="26"/>
          <w:lang w:eastAsia="ro-RO"/>
        </w:rPr>
        <w:t>către Consiliul Superior al Magistraturii, 1</w:t>
      </w:r>
      <w:r w:rsidR="00A07FB5">
        <w:rPr>
          <w:rFonts w:asciiTheme="minorHAnsi" w:hAnsiTheme="minorHAnsi" w:cstheme="minorHAnsi"/>
          <w:sz w:val="26"/>
          <w:szCs w:val="26"/>
          <w:lang w:eastAsia="ro-RO"/>
        </w:rPr>
        <w:t>5</w:t>
      </w:r>
      <w:r w:rsidRPr="0098252F">
        <w:rPr>
          <w:rFonts w:asciiTheme="minorHAnsi" w:hAnsiTheme="minorHAnsi" w:cstheme="minorHAnsi"/>
          <w:sz w:val="26"/>
          <w:szCs w:val="26"/>
          <w:lang w:eastAsia="ro-RO"/>
        </w:rPr>
        <w:t xml:space="preserve"> formatori colaboratori în cadrul Departamentului de </w:t>
      </w:r>
      <w:r w:rsidRPr="0098252F">
        <w:rPr>
          <w:rFonts w:asciiTheme="minorHAnsi" w:hAnsiTheme="minorHAnsi" w:cstheme="minorHAnsi"/>
          <w:sz w:val="26"/>
          <w:szCs w:val="26"/>
          <w:lang w:eastAsia="ro-RO"/>
        </w:rPr>
        <w:lastRenderedPageBreak/>
        <w:t>formare inițială, după cum urmează: 4 formatori colaboratori la disciplina Drept penal și procesual penal (din care 2 din lista de rezervă), un formator colaborator la disciplina Informatică, 2 formatori colaboratori la disciplina Informatică (din care 1 din lista de rezervă), 3 formatori colaboratori la disciplina Dezvoltarea abilităților non juridice (din care 1 din lista de rezervă), 3 formatori colaboratori la disciplina Engleză juridică (din care 1 din lista de rezervă)</w:t>
      </w:r>
      <w:r w:rsidR="007F6F53" w:rsidRPr="007F6F53">
        <w:rPr>
          <w:rFonts w:asciiTheme="minorHAnsi" w:hAnsiTheme="minorHAnsi" w:cstheme="minorHAnsi"/>
          <w:sz w:val="26"/>
          <w:szCs w:val="26"/>
          <w:lang w:eastAsia="ro-RO"/>
        </w:rPr>
        <w:t>, 2 formatori colaboratori la disciplina Drept administrativ (din care 1 din lista de rezervă)</w:t>
      </w:r>
      <w:r w:rsidRPr="007F6F53">
        <w:rPr>
          <w:rFonts w:asciiTheme="minorHAnsi" w:hAnsiTheme="minorHAnsi" w:cstheme="minorHAnsi"/>
          <w:sz w:val="26"/>
          <w:szCs w:val="26"/>
          <w:lang w:eastAsia="ro-RO"/>
        </w:rPr>
        <w:t xml:space="preserve">. </w:t>
      </w:r>
      <w:r w:rsidRPr="0098252F">
        <w:rPr>
          <w:rFonts w:asciiTheme="minorHAnsi" w:hAnsiTheme="minorHAnsi" w:cstheme="minorHAnsi"/>
          <w:sz w:val="26"/>
          <w:szCs w:val="26"/>
          <w:lang w:eastAsia="ro-RO"/>
        </w:rPr>
        <w:t xml:space="preserve">De asemenea, au fost propuși spre numire de către </w:t>
      </w:r>
      <w:r w:rsidR="009132A7" w:rsidRPr="0098252F">
        <w:rPr>
          <w:rFonts w:asciiTheme="minorHAnsi" w:hAnsiTheme="minorHAnsi" w:cstheme="minorHAnsi"/>
          <w:sz w:val="26"/>
          <w:szCs w:val="26"/>
          <w:lang w:eastAsia="ro-RO"/>
        </w:rPr>
        <w:t>Consiliul Superior al Magistraturii</w:t>
      </w:r>
      <w:r w:rsidRPr="0098252F">
        <w:rPr>
          <w:rFonts w:asciiTheme="minorHAnsi" w:hAnsiTheme="minorHAnsi" w:cstheme="minorHAnsi"/>
          <w:sz w:val="26"/>
          <w:szCs w:val="26"/>
          <w:lang w:eastAsia="ro-RO"/>
        </w:rPr>
        <w:t xml:space="preserve">, 8 formatori colaboratori în cadrul Departamentului de formare continuă, la disciplina Dreptul muncii (din care 1 din lista de rezervă) și la disciplina Management judiciar (din care 1 din lista de rezervă). </w:t>
      </w:r>
    </w:p>
    <w:p w14:paraId="1EFF8757" w14:textId="77777777" w:rsidR="00A30875" w:rsidRPr="004A72CD" w:rsidRDefault="00A30875" w:rsidP="00D51F5A">
      <w:pPr>
        <w:numPr>
          <w:ilvl w:val="0"/>
          <w:numId w:val="1"/>
        </w:numPr>
        <w:autoSpaceDE w:val="0"/>
        <w:autoSpaceDN w:val="0"/>
        <w:adjustRightInd w:val="0"/>
        <w:spacing w:line="276" w:lineRule="auto"/>
        <w:ind w:right="43"/>
        <w:jc w:val="both"/>
        <w:rPr>
          <w:rFonts w:asciiTheme="minorHAnsi" w:hAnsiTheme="minorHAnsi" w:cstheme="minorHAnsi"/>
          <w:b/>
          <w:sz w:val="26"/>
          <w:szCs w:val="26"/>
        </w:rPr>
      </w:pPr>
      <w:r w:rsidRPr="004A72CD">
        <w:rPr>
          <w:rFonts w:asciiTheme="minorHAnsi" w:hAnsiTheme="minorHAnsi" w:cstheme="minorHAnsi"/>
          <w:b/>
          <w:sz w:val="26"/>
          <w:szCs w:val="26"/>
        </w:rPr>
        <w:t>Coordonatori de practică</w:t>
      </w:r>
    </w:p>
    <w:p w14:paraId="5D44B22A" w14:textId="344C9B79" w:rsidR="00A30875" w:rsidRPr="004A72CD" w:rsidRDefault="00A30875" w:rsidP="00D51F5A">
      <w:pPr>
        <w:autoSpaceDE w:val="0"/>
        <w:autoSpaceDN w:val="0"/>
        <w:adjustRightInd w:val="0"/>
        <w:spacing w:line="276" w:lineRule="auto"/>
        <w:ind w:right="43" w:firstLine="706"/>
        <w:jc w:val="both"/>
        <w:rPr>
          <w:rFonts w:asciiTheme="minorHAnsi" w:hAnsiTheme="minorHAnsi" w:cstheme="minorHAnsi"/>
          <w:sz w:val="26"/>
          <w:szCs w:val="26"/>
        </w:rPr>
      </w:pPr>
      <w:r w:rsidRPr="004A72CD">
        <w:rPr>
          <w:rFonts w:asciiTheme="minorHAnsi" w:hAnsiTheme="minorHAnsi" w:cstheme="minorHAnsi"/>
          <w:sz w:val="26"/>
          <w:szCs w:val="26"/>
          <w:lang w:eastAsia="ro-RO"/>
        </w:rPr>
        <w:t xml:space="preserve">În cursul anului 2024, </w:t>
      </w:r>
      <w:r w:rsidRPr="004A72CD">
        <w:rPr>
          <w:rFonts w:asciiTheme="minorHAnsi" w:hAnsiTheme="minorHAnsi" w:cstheme="minorHAnsi"/>
          <w:sz w:val="26"/>
          <w:szCs w:val="26"/>
        </w:rPr>
        <w:t>I</w:t>
      </w:r>
      <w:r w:rsidR="00D34EF3" w:rsidRPr="004A72CD">
        <w:rPr>
          <w:rFonts w:asciiTheme="minorHAnsi" w:hAnsiTheme="minorHAnsi" w:cstheme="minorHAnsi"/>
          <w:sz w:val="26"/>
          <w:szCs w:val="26"/>
        </w:rPr>
        <w:t>.</w:t>
      </w:r>
      <w:r w:rsidRPr="004A72CD">
        <w:rPr>
          <w:rFonts w:asciiTheme="minorHAnsi" w:hAnsiTheme="minorHAnsi" w:cstheme="minorHAnsi"/>
          <w:sz w:val="26"/>
          <w:szCs w:val="26"/>
        </w:rPr>
        <w:t>N</w:t>
      </w:r>
      <w:r w:rsidR="00D34EF3" w:rsidRPr="004A72CD">
        <w:rPr>
          <w:rFonts w:asciiTheme="minorHAnsi" w:hAnsiTheme="minorHAnsi" w:cstheme="minorHAnsi"/>
          <w:sz w:val="26"/>
          <w:szCs w:val="26"/>
        </w:rPr>
        <w:t>.</w:t>
      </w:r>
      <w:r w:rsidRPr="004A72CD">
        <w:rPr>
          <w:rFonts w:asciiTheme="minorHAnsi" w:hAnsiTheme="minorHAnsi" w:cstheme="minorHAnsi"/>
          <w:sz w:val="26"/>
          <w:szCs w:val="26"/>
        </w:rPr>
        <w:t>M</w:t>
      </w:r>
      <w:r w:rsidR="00D34EF3" w:rsidRPr="004A72CD">
        <w:rPr>
          <w:rFonts w:asciiTheme="minorHAnsi" w:hAnsiTheme="minorHAnsi" w:cstheme="minorHAnsi"/>
          <w:sz w:val="26"/>
          <w:szCs w:val="26"/>
        </w:rPr>
        <w:t>.</w:t>
      </w:r>
      <w:r w:rsidRPr="004A72CD">
        <w:rPr>
          <w:rFonts w:asciiTheme="minorHAnsi" w:hAnsiTheme="minorHAnsi" w:cstheme="minorHAnsi"/>
          <w:sz w:val="26"/>
          <w:szCs w:val="26"/>
        </w:rPr>
        <w:t xml:space="preserve"> a declanșat 2 proceduri de selecție pentru recrutarea a 49 </w:t>
      </w:r>
      <w:r w:rsidR="00480227" w:rsidRPr="004A72CD">
        <w:rPr>
          <w:rFonts w:asciiTheme="minorHAnsi" w:hAnsiTheme="minorHAnsi" w:cstheme="minorHAnsi"/>
          <w:sz w:val="26"/>
          <w:szCs w:val="26"/>
        </w:rPr>
        <w:t xml:space="preserve">de </w:t>
      </w:r>
      <w:r w:rsidRPr="004A72CD">
        <w:rPr>
          <w:rFonts w:asciiTheme="minorHAnsi" w:hAnsiTheme="minorHAnsi" w:cstheme="minorHAnsi"/>
          <w:sz w:val="26"/>
          <w:szCs w:val="26"/>
        </w:rPr>
        <w:t xml:space="preserve">judecători și 50 </w:t>
      </w:r>
      <w:r w:rsidR="00480227" w:rsidRPr="004A72CD">
        <w:rPr>
          <w:rFonts w:asciiTheme="minorHAnsi" w:hAnsiTheme="minorHAnsi" w:cstheme="minorHAnsi"/>
          <w:sz w:val="26"/>
          <w:szCs w:val="26"/>
        </w:rPr>
        <w:t xml:space="preserve">de </w:t>
      </w:r>
      <w:r w:rsidRPr="004A72CD">
        <w:rPr>
          <w:rFonts w:asciiTheme="minorHAnsi" w:hAnsiTheme="minorHAnsi" w:cstheme="minorHAnsi"/>
          <w:sz w:val="26"/>
          <w:szCs w:val="26"/>
        </w:rPr>
        <w:t xml:space="preserve">procurori, coordonatori de practică. În urma derulării acestor proceduri au fost recrutați 14 judecători și 14 procurori, coordonatori de practică. </w:t>
      </w:r>
    </w:p>
    <w:p w14:paraId="13A708A1" w14:textId="1426F258" w:rsidR="00A30875" w:rsidRPr="004A72CD" w:rsidRDefault="00A30875" w:rsidP="00D51F5A">
      <w:pPr>
        <w:keepNext/>
        <w:keepLines/>
        <w:numPr>
          <w:ilvl w:val="0"/>
          <w:numId w:val="1"/>
        </w:numPr>
        <w:autoSpaceDE w:val="0"/>
        <w:autoSpaceDN w:val="0"/>
        <w:adjustRightInd w:val="0"/>
        <w:spacing w:line="276" w:lineRule="auto"/>
        <w:ind w:right="43"/>
        <w:jc w:val="both"/>
        <w:rPr>
          <w:rFonts w:asciiTheme="minorHAnsi" w:hAnsiTheme="minorHAnsi" w:cstheme="minorHAnsi"/>
          <w:b/>
          <w:sz w:val="26"/>
          <w:szCs w:val="26"/>
        </w:rPr>
      </w:pPr>
      <w:r w:rsidRPr="004A72CD">
        <w:rPr>
          <w:rFonts w:asciiTheme="minorHAnsi" w:hAnsiTheme="minorHAnsi" w:cstheme="minorHAnsi"/>
          <w:b/>
          <w:sz w:val="26"/>
          <w:szCs w:val="26"/>
        </w:rPr>
        <w:t>Formarea personalului de instruire al I</w:t>
      </w:r>
      <w:r w:rsidR="00D34EF3" w:rsidRPr="004A72CD">
        <w:rPr>
          <w:rFonts w:asciiTheme="minorHAnsi" w:hAnsiTheme="minorHAnsi" w:cstheme="minorHAnsi"/>
          <w:b/>
          <w:sz w:val="26"/>
          <w:szCs w:val="26"/>
        </w:rPr>
        <w:t>.</w:t>
      </w:r>
      <w:r w:rsidRPr="004A72CD">
        <w:rPr>
          <w:rFonts w:asciiTheme="minorHAnsi" w:hAnsiTheme="minorHAnsi" w:cstheme="minorHAnsi"/>
          <w:b/>
          <w:sz w:val="26"/>
          <w:szCs w:val="26"/>
        </w:rPr>
        <w:t>N</w:t>
      </w:r>
      <w:r w:rsidR="00D34EF3" w:rsidRPr="004A72CD">
        <w:rPr>
          <w:rFonts w:asciiTheme="minorHAnsi" w:hAnsiTheme="minorHAnsi" w:cstheme="minorHAnsi"/>
          <w:b/>
          <w:sz w:val="26"/>
          <w:szCs w:val="26"/>
        </w:rPr>
        <w:t>.</w:t>
      </w:r>
      <w:r w:rsidRPr="004A72CD">
        <w:rPr>
          <w:rFonts w:asciiTheme="minorHAnsi" w:hAnsiTheme="minorHAnsi" w:cstheme="minorHAnsi"/>
          <w:b/>
          <w:sz w:val="26"/>
          <w:szCs w:val="26"/>
        </w:rPr>
        <w:t>M</w:t>
      </w:r>
      <w:r w:rsidR="00D34EF3" w:rsidRPr="004A72CD">
        <w:rPr>
          <w:rFonts w:asciiTheme="minorHAnsi" w:hAnsiTheme="minorHAnsi" w:cstheme="minorHAnsi"/>
          <w:b/>
          <w:sz w:val="26"/>
          <w:szCs w:val="26"/>
        </w:rPr>
        <w:t>.</w:t>
      </w:r>
    </w:p>
    <w:p w14:paraId="3163DA8C" w14:textId="1D028E38" w:rsidR="0040226A" w:rsidRPr="0098252F" w:rsidRDefault="00A30875" w:rsidP="0040226A">
      <w:pPr>
        <w:spacing w:line="276" w:lineRule="auto"/>
        <w:ind w:firstLine="709"/>
        <w:jc w:val="both"/>
        <w:rPr>
          <w:rFonts w:asciiTheme="minorHAnsi" w:hAnsiTheme="minorHAnsi" w:cstheme="minorHAnsi"/>
          <w:sz w:val="26"/>
          <w:szCs w:val="26"/>
          <w:lang w:eastAsia="ro-RO"/>
        </w:rPr>
      </w:pPr>
      <w:r w:rsidRPr="000D4B86">
        <w:rPr>
          <w:rFonts w:asciiTheme="minorHAnsi" w:hAnsiTheme="minorHAnsi" w:cstheme="minorHAnsi"/>
          <w:sz w:val="26"/>
          <w:szCs w:val="26"/>
          <w:lang w:eastAsia="ro-RO"/>
        </w:rPr>
        <w:t>Până la acest moment au fost organizate 2 seminare de formare a formatorilor destinate coordonatorilor de practică judecători și procurori. Seminarele au fost concepute în parteneriat</w:t>
      </w:r>
      <w:r w:rsidR="00480227" w:rsidRPr="000D4B86">
        <w:rPr>
          <w:rFonts w:asciiTheme="minorHAnsi" w:hAnsiTheme="minorHAnsi" w:cstheme="minorHAnsi"/>
          <w:sz w:val="26"/>
          <w:szCs w:val="26"/>
          <w:lang w:eastAsia="ro-RO"/>
        </w:rPr>
        <w:t>,</w:t>
      </w:r>
      <w:r w:rsidRPr="000D4B86">
        <w:rPr>
          <w:rFonts w:asciiTheme="minorHAnsi" w:hAnsiTheme="minorHAnsi" w:cstheme="minorHAnsi"/>
          <w:sz w:val="26"/>
          <w:szCs w:val="26"/>
          <w:lang w:eastAsia="ro-RO"/>
        </w:rPr>
        <w:t xml:space="preserve"> între un expert în educația adulților și un expert de specialitate (coordonator de practică cu experiență). Seminarele au fost organizate online, cu participarea a 37 de judecători și 34 de procurori. </w:t>
      </w:r>
      <w:r w:rsidR="0040226A" w:rsidRPr="0098252F">
        <w:rPr>
          <w:rFonts w:asciiTheme="minorHAnsi" w:hAnsiTheme="minorHAnsi" w:cstheme="minorHAnsi"/>
          <w:sz w:val="26"/>
          <w:szCs w:val="26"/>
          <w:lang w:eastAsia="ro-RO"/>
        </w:rPr>
        <w:t>D</w:t>
      </w:r>
      <w:r w:rsidR="0040226A" w:rsidRPr="0098252F">
        <w:rPr>
          <w:rFonts w:asciiTheme="minorHAnsi" w:hAnsiTheme="minorHAnsi" w:cstheme="minorHAnsi"/>
          <w:sz w:val="26"/>
          <w:szCs w:val="26"/>
        </w:rPr>
        <w:t>e asemenea, în cursul lunii noiembrie 2024</w:t>
      </w:r>
      <w:r w:rsidR="00452041">
        <w:rPr>
          <w:rFonts w:asciiTheme="minorHAnsi" w:hAnsiTheme="minorHAnsi" w:cstheme="minorHAnsi"/>
          <w:sz w:val="26"/>
          <w:szCs w:val="26"/>
        </w:rPr>
        <w:t>,</w:t>
      </w:r>
      <w:r w:rsidR="0040226A" w:rsidRPr="0098252F">
        <w:rPr>
          <w:rFonts w:asciiTheme="minorHAnsi" w:hAnsiTheme="minorHAnsi" w:cstheme="minorHAnsi"/>
          <w:sz w:val="26"/>
          <w:szCs w:val="26"/>
        </w:rPr>
        <w:t xml:space="preserve"> a fost organizat online un seminar de formare de formatori în domeniul Instrumentelor digitale de formare, la care </w:t>
      </w:r>
      <w:r w:rsidR="008A76BD">
        <w:rPr>
          <w:rFonts w:asciiTheme="minorHAnsi" w:hAnsiTheme="minorHAnsi" w:cstheme="minorHAnsi"/>
          <w:sz w:val="26"/>
          <w:szCs w:val="26"/>
        </w:rPr>
        <w:t>au participat 18</w:t>
      </w:r>
      <w:r w:rsidR="0040226A" w:rsidRPr="0098252F">
        <w:rPr>
          <w:rFonts w:asciiTheme="minorHAnsi" w:hAnsiTheme="minorHAnsi" w:cstheme="minorHAnsi"/>
          <w:sz w:val="26"/>
          <w:szCs w:val="26"/>
        </w:rPr>
        <w:t xml:space="preserve"> formatori colaboratori și cu normă întreagă ai I.N.M.</w:t>
      </w:r>
    </w:p>
    <w:p w14:paraId="554C9701" w14:textId="0A5BA4F8" w:rsidR="00A30875" w:rsidRPr="004A72CD" w:rsidRDefault="00A30875" w:rsidP="00630A94">
      <w:pPr>
        <w:pStyle w:val="Heading3"/>
        <w:jc w:val="both"/>
      </w:pPr>
      <w:bookmarkStart w:id="31" w:name="_Toc187824355"/>
      <w:r w:rsidRPr="004A72CD">
        <w:t>I.4.3. Proiecte cu finanțare externă în care I</w:t>
      </w:r>
      <w:r w:rsidR="00D34EF3" w:rsidRPr="004A72CD">
        <w:t>.</w:t>
      </w:r>
      <w:r w:rsidRPr="004A72CD">
        <w:t>N</w:t>
      </w:r>
      <w:r w:rsidR="00D34EF3" w:rsidRPr="004A72CD">
        <w:t>.</w:t>
      </w:r>
      <w:r w:rsidRPr="004A72CD">
        <w:t>M</w:t>
      </w:r>
      <w:r w:rsidR="00D34EF3" w:rsidRPr="004A72CD">
        <w:t>.</w:t>
      </w:r>
      <w:r w:rsidRPr="004A72CD">
        <w:t xml:space="preserve"> are calitatea de partener sau beneficiar</w:t>
      </w:r>
      <w:bookmarkEnd w:id="31"/>
      <w:r w:rsidRPr="004A72CD">
        <w:t xml:space="preserve"> </w:t>
      </w:r>
    </w:p>
    <w:p w14:paraId="3C622085" w14:textId="1AE6401B" w:rsidR="00A30875" w:rsidRPr="004A72CD" w:rsidRDefault="00A30875" w:rsidP="00D51F5A">
      <w:pPr>
        <w:spacing w:line="276" w:lineRule="auto"/>
        <w:ind w:firstLine="709"/>
        <w:jc w:val="both"/>
        <w:rPr>
          <w:rFonts w:asciiTheme="minorHAnsi" w:hAnsiTheme="minorHAnsi" w:cstheme="minorHAnsi"/>
          <w:bCs/>
          <w:sz w:val="26"/>
          <w:szCs w:val="26"/>
        </w:rPr>
      </w:pPr>
      <w:r w:rsidRPr="004A72CD">
        <w:rPr>
          <w:rFonts w:asciiTheme="minorHAnsi" w:hAnsiTheme="minorHAnsi" w:cstheme="minorHAnsi"/>
          <w:bCs/>
          <w:sz w:val="26"/>
          <w:szCs w:val="26"/>
        </w:rPr>
        <w:t xml:space="preserve">Ca răspuns la cererea de proiecte </w:t>
      </w:r>
      <w:r w:rsidRPr="004A72CD">
        <w:rPr>
          <w:rFonts w:asciiTheme="minorHAnsi" w:hAnsiTheme="minorHAnsi" w:cstheme="minorHAnsi"/>
          <w:bCs/>
          <w:i/>
          <w:iCs/>
          <w:sz w:val="26"/>
          <w:szCs w:val="26"/>
        </w:rPr>
        <w:t>„</w:t>
      </w:r>
      <w:r w:rsidRPr="004A72CD">
        <w:rPr>
          <w:rFonts w:asciiTheme="minorHAnsi" w:hAnsiTheme="minorHAnsi" w:cstheme="minorHAnsi"/>
          <w:bCs/>
          <w:sz w:val="26"/>
          <w:szCs w:val="26"/>
        </w:rPr>
        <w:t>Call for proposals for action grants to support transnational projects on training of justice professionals covering civil law, criminal law or fundamental rights</w:t>
      </w:r>
      <w:r w:rsidRPr="004A72CD">
        <w:rPr>
          <w:rFonts w:asciiTheme="minorHAnsi" w:hAnsiTheme="minorHAnsi" w:cstheme="minorHAnsi"/>
          <w:bCs/>
          <w:i/>
          <w:iCs/>
          <w:sz w:val="26"/>
          <w:szCs w:val="26"/>
        </w:rPr>
        <w:t>” (JUST-2024-JTRA)</w:t>
      </w:r>
      <w:r w:rsidRPr="004A72CD">
        <w:rPr>
          <w:rFonts w:asciiTheme="minorHAnsi" w:hAnsiTheme="minorHAnsi" w:cstheme="minorHAnsi"/>
          <w:bCs/>
          <w:sz w:val="26"/>
          <w:szCs w:val="26"/>
        </w:rPr>
        <w:t xml:space="preserve">, lansată de Comisia Europeană la finalul anului 2023, Institutul Național al Magistraturii, în calitate de lider de proiect, a propus şi a obţinut finanţarea Proiectului transnațional </w:t>
      </w:r>
      <w:r w:rsidRPr="004A72CD">
        <w:rPr>
          <w:rFonts w:asciiTheme="minorHAnsi" w:hAnsiTheme="minorHAnsi" w:cstheme="minorHAnsi"/>
          <w:sz w:val="26"/>
          <w:szCs w:val="26"/>
          <w:lang w:eastAsia="ro-RO"/>
        </w:rPr>
        <w:t>„</w:t>
      </w:r>
      <w:r w:rsidRPr="004A72CD">
        <w:rPr>
          <w:rFonts w:asciiTheme="minorHAnsi" w:hAnsiTheme="minorHAnsi" w:cstheme="minorHAnsi"/>
          <w:i/>
          <w:iCs/>
          <w:color w:val="0D0D0D"/>
          <w:sz w:val="26"/>
          <w:szCs w:val="26"/>
          <w:shd w:val="clear" w:color="auto" w:fill="FFFFFF"/>
        </w:rPr>
        <w:t>CiviLink: Connecting Borders through e-CODEX Judicial Training”</w:t>
      </w:r>
      <w:r w:rsidRPr="004A72CD">
        <w:rPr>
          <w:rFonts w:asciiTheme="minorHAnsi" w:hAnsiTheme="minorHAnsi" w:cstheme="minorHAnsi"/>
          <w:color w:val="0D0D0D"/>
          <w:sz w:val="26"/>
          <w:szCs w:val="26"/>
          <w:shd w:val="clear" w:color="auto" w:fill="FFFFFF"/>
        </w:rPr>
        <w:t>,</w:t>
      </w:r>
      <w:r w:rsidRPr="004A72CD">
        <w:rPr>
          <w:rFonts w:asciiTheme="minorHAnsi" w:hAnsiTheme="minorHAnsi" w:cstheme="minorHAnsi"/>
          <w:b/>
          <w:bCs/>
          <w:color w:val="0D0D0D"/>
          <w:sz w:val="26"/>
          <w:szCs w:val="26"/>
          <w:shd w:val="clear" w:color="auto" w:fill="FFFFFF"/>
        </w:rPr>
        <w:t xml:space="preserve"> </w:t>
      </w:r>
      <w:r w:rsidRPr="004A72CD">
        <w:rPr>
          <w:rFonts w:asciiTheme="minorHAnsi" w:hAnsiTheme="minorHAnsi" w:cstheme="minorHAnsi"/>
          <w:bCs/>
          <w:sz w:val="26"/>
          <w:szCs w:val="26"/>
        </w:rPr>
        <w:t xml:space="preserve">ce are ca obiectiv consolidarea capacităților digitale ale profesioniștilor din domeniul justiției în aplicarea prevederilor </w:t>
      </w:r>
      <w:r w:rsidRPr="004A72CD">
        <w:rPr>
          <w:rFonts w:asciiTheme="minorHAnsi" w:hAnsiTheme="minorHAnsi" w:cstheme="minorHAnsi"/>
          <w:sz w:val="26"/>
          <w:szCs w:val="26"/>
        </w:rPr>
        <w:t>Regulamentului (U</w:t>
      </w:r>
      <w:r w:rsidR="00AD7C0C" w:rsidRPr="004A72CD">
        <w:rPr>
          <w:rFonts w:asciiTheme="minorHAnsi" w:hAnsiTheme="minorHAnsi" w:cstheme="minorHAnsi"/>
          <w:sz w:val="26"/>
          <w:szCs w:val="26"/>
        </w:rPr>
        <w:t>.</w:t>
      </w:r>
      <w:r w:rsidRPr="004A72CD">
        <w:rPr>
          <w:rFonts w:asciiTheme="minorHAnsi" w:hAnsiTheme="minorHAnsi" w:cstheme="minorHAnsi"/>
          <w:sz w:val="26"/>
          <w:szCs w:val="26"/>
        </w:rPr>
        <w:t>E</w:t>
      </w:r>
      <w:r w:rsidR="00AD7C0C" w:rsidRPr="004A72CD">
        <w:rPr>
          <w:rFonts w:asciiTheme="minorHAnsi" w:hAnsiTheme="minorHAnsi" w:cstheme="minorHAnsi"/>
          <w:sz w:val="26"/>
          <w:szCs w:val="26"/>
        </w:rPr>
        <w:t>.</w:t>
      </w:r>
      <w:r w:rsidRPr="004A72CD">
        <w:rPr>
          <w:rFonts w:asciiTheme="minorHAnsi" w:hAnsiTheme="minorHAnsi" w:cstheme="minorHAnsi"/>
          <w:sz w:val="26"/>
          <w:szCs w:val="26"/>
        </w:rPr>
        <w:t>) 2020/1783 al Parlamentului European și al Consiliului din 25 noiembrie 2020 privind cooperarea între instanțele statelor membre în domeniul obținerii de probe în materie civilă sau comercială și ale Regulamentului (U</w:t>
      </w:r>
      <w:r w:rsidR="00AD7C0C" w:rsidRPr="004A72CD">
        <w:rPr>
          <w:rFonts w:asciiTheme="minorHAnsi" w:hAnsiTheme="minorHAnsi" w:cstheme="minorHAnsi"/>
          <w:sz w:val="26"/>
          <w:szCs w:val="26"/>
        </w:rPr>
        <w:t>.</w:t>
      </w:r>
      <w:r w:rsidRPr="004A72CD">
        <w:rPr>
          <w:rFonts w:asciiTheme="minorHAnsi" w:hAnsiTheme="minorHAnsi" w:cstheme="minorHAnsi"/>
          <w:sz w:val="26"/>
          <w:szCs w:val="26"/>
        </w:rPr>
        <w:t>E</w:t>
      </w:r>
      <w:r w:rsidR="00AD7C0C" w:rsidRPr="004A72CD">
        <w:rPr>
          <w:rFonts w:asciiTheme="minorHAnsi" w:hAnsiTheme="minorHAnsi" w:cstheme="minorHAnsi"/>
          <w:sz w:val="26"/>
          <w:szCs w:val="26"/>
        </w:rPr>
        <w:t>.</w:t>
      </w:r>
      <w:r w:rsidRPr="004A72CD">
        <w:rPr>
          <w:rFonts w:asciiTheme="minorHAnsi" w:hAnsiTheme="minorHAnsi" w:cstheme="minorHAnsi"/>
          <w:sz w:val="26"/>
          <w:szCs w:val="26"/>
        </w:rPr>
        <w:t>) 2020/1784 al Parlamentului European și al Consiliului din 25 noiembrie 2020 privind notificarea sau comunicarea în statele membre a actelor judiciare și extrajudiciare în materie civilă sau comercială,</w:t>
      </w:r>
      <w:r w:rsidRPr="004A72CD">
        <w:rPr>
          <w:rFonts w:asciiTheme="minorHAnsi" w:hAnsiTheme="minorHAnsi" w:cstheme="minorHAnsi"/>
          <w:b/>
          <w:bCs/>
          <w:sz w:val="26"/>
          <w:szCs w:val="26"/>
        </w:rPr>
        <w:t xml:space="preserve"> </w:t>
      </w:r>
      <w:r w:rsidRPr="004A72CD">
        <w:rPr>
          <w:rFonts w:asciiTheme="minorHAnsi" w:hAnsiTheme="minorHAnsi" w:cstheme="minorHAnsi"/>
          <w:bCs/>
          <w:sz w:val="26"/>
          <w:szCs w:val="26"/>
        </w:rPr>
        <w:t>prin accesarea instrumentelor digitale de cooperare transfrontalieră (e-CODEX) și prin observarea aplicării corecte a legislației Uniunii Europene în domeniul protecției datelor în cadrul procedurilor judiciare.</w:t>
      </w:r>
    </w:p>
    <w:p w14:paraId="1B86555A" w14:textId="7FFA40CC" w:rsidR="00A30875" w:rsidRPr="004A72CD" w:rsidRDefault="00A30875" w:rsidP="00D51F5A">
      <w:pPr>
        <w:spacing w:line="276" w:lineRule="auto"/>
        <w:ind w:firstLine="709"/>
        <w:jc w:val="both"/>
        <w:rPr>
          <w:rFonts w:asciiTheme="minorHAnsi" w:hAnsiTheme="minorHAnsi" w:cstheme="minorHAnsi"/>
          <w:bCs/>
          <w:sz w:val="26"/>
          <w:szCs w:val="26"/>
        </w:rPr>
      </w:pPr>
      <w:r w:rsidRPr="004A72CD">
        <w:rPr>
          <w:rFonts w:asciiTheme="minorHAnsi" w:hAnsiTheme="minorHAnsi" w:cstheme="minorHAnsi"/>
          <w:sz w:val="26"/>
          <w:szCs w:val="26"/>
          <w:lang w:eastAsia="ro-RO"/>
        </w:rPr>
        <w:t xml:space="preserve">Proiectul va avea o durată de implementare de 23 de luni, începând cu </w:t>
      </w:r>
      <w:r w:rsidR="0039394F" w:rsidRPr="004A72CD">
        <w:rPr>
          <w:rFonts w:asciiTheme="minorHAnsi" w:hAnsiTheme="minorHAnsi" w:cstheme="minorHAnsi"/>
          <w:sz w:val="26"/>
          <w:szCs w:val="26"/>
          <w:lang w:eastAsia="ro-RO"/>
        </w:rPr>
        <w:t>0</w:t>
      </w:r>
      <w:r w:rsidRPr="004A72CD">
        <w:rPr>
          <w:rFonts w:asciiTheme="minorHAnsi" w:hAnsiTheme="minorHAnsi" w:cstheme="minorHAnsi"/>
          <w:sz w:val="26"/>
          <w:szCs w:val="26"/>
          <w:lang w:eastAsia="ro-RO"/>
        </w:rPr>
        <w:t>6 ianuarie 2025</w:t>
      </w:r>
      <w:r w:rsidR="00F868FE">
        <w:rPr>
          <w:rFonts w:asciiTheme="minorHAnsi" w:hAnsiTheme="minorHAnsi" w:cstheme="minorHAnsi"/>
          <w:sz w:val="26"/>
          <w:szCs w:val="26"/>
          <w:lang w:eastAsia="ro-RO"/>
        </w:rPr>
        <w:t>,</w:t>
      </w:r>
      <w:r w:rsidRPr="004A72CD">
        <w:rPr>
          <w:rFonts w:asciiTheme="minorHAnsi" w:hAnsiTheme="minorHAnsi" w:cstheme="minorHAnsi"/>
          <w:sz w:val="26"/>
          <w:szCs w:val="26"/>
          <w:lang w:eastAsia="ro-RO"/>
        </w:rPr>
        <w:t xml:space="preserve"> şi va fi implementat în parteneriat cu Școala Națională de Grefieri şi cu instituția de formare </w:t>
      </w:r>
      <w:r w:rsidRPr="004A72CD">
        <w:rPr>
          <w:rFonts w:asciiTheme="minorHAnsi" w:hAnsiTheme="minorHAnsi" w:cstheme="minorHAnsi"/>
          <w:bCs/>
          <w:sz w:val="26"/>
          <w:szCs w:val="26"/>
        </w:rPr>
        <w:t>judiciară a judecătorilor şi grefierilor din Bulgaria, respectiv cu instituţiile responsabile de formarea judecătorilor din Portugalia, Spania, Italia şi Polonia. De asemenea, în proiect este implicată, în calitate de partener asociat, Rețeaua Europeană de Formare Judiciară (E</w:t>
      </w:r>
      <w:r w:rsidR="00AD7C0C" w:rsidRPr="004A72CD">
        <w:rPr>
          <w:rFonts w:asciiTheme="minorHAnsi" w:hAnsiTheme="minorHAnsi" w:cstheme="minorHAnsi"/>
          <w:bCs/>
          <w:sz w:val="26"/>
          <w:szCs w:val="26"/>
        </w:rPr>
        <w:t>.</w:t>
      </w:r>
      <w:r w:rsidRPr="004A72CD">
        <w:rPr>
          <w:rFonts w:asciiTheme="minorHAnsi" w:hAnsiTheme="minorHAnsi" w:cstheme="minorHAnsi"/>
          <w:bCs/>
          <w:sz w:val="26"/>
          <w:szCs w:val="26"/>
        </w:rPr>
        <w:t>J</w:t>
      </w:r>
      <w:r w:rsidR="00AD7C0C" w:rsidRPr="004A72CD">
        <w:rPr>
          <w:rFonts w:asciiTheme="minorHAnsi" w:hAnsiTheme="minorHAnsi" w:cstheme="minorHAnsi"/>
          <w:bCs/>
          <w:sz w:val="26"/>
          <w:szCs w:val="26"/>
        </w:rPr>
        <w:t>.</w:t>
      </w:r>
      <w:r w:rsidRPr="004A72CD">
        <w:rPr>
          <w:rFonts w:asciiTheme="minorHAnsi" w:hAnsiTheme="minorHAnsi" w:cstheme="minorHAnsi"/>
          <w:bCs/>
          <w:sz w:val="26"/>
          <w:szCs w:val="26"/>
        </w:rPr>
        <w:t>T</w:t>
      </w:r>
      <w:r w:rsidR="00AD7C0C" w:rsidRPr="004A72CD">
        <w:rPr>
          <w:rFonts w:asciiTheme="minorHAnsi" w:hAnsiTheme="minorHAnsi" w:cstheme="minorHAnsi"/>
          <w:bCs/>
          <w:sz w:val="26"/>
          <w:szCs w:val="26"/>
        </w:rPr>
        <w:t>.</w:t>
      </w:r>
      <w:r w:rsidRPr="004A72CD">
        <w:rPr>
          <w:rFonts w:asciiTheme="minorHAnsi" w:hAnsiTheme="minorHAnsi" w:cstheme="minorHAnsi"/>
          <w:bCs/>
          <w:sz w:val="26"/>
          <w:szCs w:val="26"/>
        </w:rPr>
        <w:t>N</w:t>
      </w:r>
      <w:r w:rsidR="00AD7C0C" w:rsidRPr="004A72CD">
        <w:rPr>
          <w:rFonts w:asciiTheme="minorHAnsi" w:hAnsiTheme="minorHAnsi" w:cstheme="minorHAnsi"/>
          <w:bCs/>
          <w:sz w:val="26"/>
          <w:szCs w:val="26"/>
        </w:rPr>
        <w:t>.</w:t>
      </w:r>
      <w:r w:rsidRPr="004A72CD">
        <w:rPr>
          <w:rFonts w:asciiTheme="minorHAnsi" w:hAnsiTheme="minorHAnsi" w:cstheme="minorHAnsi"/>
          <w:bCs/>
          <w:sz w:val="26"/>
          <w:szCs w:val="26"/>
        </w:rPr>
        <w:t>).</w:t>
      </w:r>
    </w:p>
    <w:p w14:paraId="0B8518AB" w14:textId="108D3BB4" w:rsidR="00A30875" w:rsidRPr="004A72CD" w:rsidRDefault="00A30875" w:rsidP="00D51F5A">
      <w:pPr>
        <w:spacing w:line="276" w:lineRule="auto"/>
        <w:ind w:firstLine="709"/>
        <w:jc w:val="both"/>
        <w:rPr>
          <w:rFonts w:asciiTheme="minorHAnsi" w:hAnsiTheme="minorHAnsi" w:cstheme="minorHAnsi"/>
          <w:bCs/>
          <w:sz w:val="26"/>
          <w:szCs w:val="26"/>
        </w:rPr>
      </w:pPr>
      <w:r w:rsidRPr="004A72CD">
        <w:rPr>
          <w:rFonts w:asciiTheme="minorHAnsi" w:hAnsiTheme="minorHAnsi" w:cstheme="minorHAnsi"/>
          <w:sz w:val="26"/>
          <w:szCs w:val="26"/>
          <w:lang w:eastAsia="ro-RO"/>
        </w:rPr>
        <w:lastRenderedPageBreak/>
        <w:t>Pe parcursul celor doi ani de implementare vor fi organizate şase activități de formare de tip blended learning, la care vor participa 180 de judecători şi grefieri europeni, precum şi o conferință finală, la care vor participa 80 de judecători, grefieri, formatori şi membri ai reţelelor europene de cooperare în materie civilă şi comercială. Fiecare dintre cele şase activități de formare va fi organizată sub forma unui seminar transnaţional şi interprofesional, precedat de webinar, care va servi drept introducere generală în cadrul juridic şi funcționalitățile e-CODEX, cu accent pe terminologia juridică specifică domeniul</w:t>
      </w:r>
      <w:r w:rsidR="00321473" w:rsidRPr="004A72CD">
        <w:rPr>
          <w:rFonts w:asciiTheme="minorHAnsi" w:hAnsiTheme="minorHAnsi" w:cstheme="minorHAnsi"/>
          <w:sz w:val="26"/>
          <w:szCs w:val="26"/>
          <w:lang w:eastAsia="ro-RO"/>
        </w:rPr>
        <w:t>ui</w:t>
      </w:r>
      <w:r w:rsidRPr="004A72CD">
        <w:rPr>
          <w:rFonts w:asciiTheme="minorHAnsi" w:hAnsiTheme="minorHAnsi" w:cstheme="minorHAnsi"/>
          <w:sz w:val="26"/>
          <w:szCs w:val="26"/>
          <w:lang w:eastAsia="ro-RO"/>
        </w:rPr>
        <w:t xml:space="preserve"> cooperării judiciare în materie civilă. De asemenea, în pregătirea celor şase seminare vor fi elaborate trei tutoriale </w:t>
      </w:r>
      <w:r w:rsidRPr="004A72CD">
        <w:rPr>
          <w:rFonts w:asciiTheme="minorHAnsi" w:hAnsiTheme="minorHAnsi" w:cstheme="minorHAnsi"/>
          <w:bCs/>
          <w:sz w:val="26"/>
          <w:szCs w:val="26"/>
        </w:rPr>
        <w:t>privind funcționalitățile e-CODEX și protecția datelor cu caracter personal. Seminarele transnaţionale vor avea un caracter preponderent practic şi vor aborda informații practice privind implementarea e-CODEX în procesele de lucru zilnice. Seminarele vor oferi, de asemenea, posibilitatea unui schimb de bune practici în utilizarea e-CODEX, precum şi familiarizarea participanţilor cu evoluţiile recente în aplicarea celor două regulamente, a modalităţii de utilizare a procedurii hotărârii preliminare în legătură cu e-CODEX, cu riscurile și garanțiile legate de standardele U</w:t>
      </w:r>
      <w:r w:rsidR="00CC3D9B" w:rsidRPr="004A72CD">
        <w:rPr>
          <w:rFonts w:asciiTheme="minorHAnsi" w:hAnsiTheme="minorHAnsi" w:cstheme="minorHAnsi"/>
          <w:bCs/>
          <w:sz w:val="26"/>
          <w:szCs w:val="26"/>
        </w:rPr>
        <w:t>.</w:t>
      </w:r>
      <w:r w:rsidRPr="004A72CD">
        <w:rPr>
          <w:rFonts w:asciiTheme="minorHAnsi" w:hAnsiTheme="minorHAnsi" w:cstheme="minorHAnsi"/>
          <w:bCs/>
          <w:sz w:val="26"/>
          <w:szCs w:val="26"/>
        </w:rPr>
        <w:t>E</w:t>
      </w:r>
      <w:r w:rsidR="00CC3D9B" w:rsidRPr="004A72CD">
        <w:rPr>
          <w:rFonts w:asciiTheme="minorHAnsi" w:hAnsiTheme="minorHAnsi" w:cstheme="minorHAnsi"/>
          <w:bCs/>
          <w:sz w:val="26"/>
          <w:szCs w:val="26"/>
        </w:rPr>
        <w:t>.</w:t>
      </w:r>
      <w:r w:rsidRPr="004A72CD">
        <w:rPr>
          <w:rFonts w:asciiTheme="minorHAnsi" w:hAnsiTheme="minorHAnsi" w:cstheme="minorHAnsi"/>
          <w:bCs/>
          <w:sz w:val="26"/>
          <w:szCs w:val="26"/>
        </w:rPr>
        <w:t xml:space="preserve"> de protecție a datelor în utilizarea instrumentelor electronice. Şase podcasturi vor completa cunoştinţele dobândite în cadrul seminarelor, oferind o platformă de reflecție, discuții și explorare suplimentară a subiectelor abordate.</w:t>
      </w:r>
    </w:p>
    <w:p w14:paraId="5E51E17C" w14:textId="57CD21C3" w:rsidR="00A30875" w:rsidRPr="000D4B86" w:rsidRDefault="00A30875" w:rsidP="00D51F5A">
      <w:pPr>
        <w:spacing w:line="276" w:lineRule="auto"/>
        <w:ind w:firstLine="709"/>
        <w:jc w:val="both"/>
        <w:rPr>
          <w:rFonts w:asciiTheme="minorHAnsi" w:hAnsiTheme="minorHAnsi" w:cstheme="minorHAnsi"/>
          <w:sz w:val="26"/>
          <w:szCs w:val="26"/>
          <w:lang w:eastAsia="ro-RO"/>
        </w:rPr>
      </w:pPr>
      <w:r w:rsidRPr="000D4B86">
        <w:rPr>
          <w:rFonts w:asciiTheme="minorHAnsi" w:hAnsiTheme="minorHAnsi" w:cstheme="minorHAnsi"/>
          <w:sz w:val="26"/>
          <w:szCs w:val="26"/>
          <w:lang w:eastAsia="ro-RO"/>
        </w:rPr>
        <w:t>Pe parcursul anului 2024, I</w:t>
      </w:r>
      <w:r w:rsidR="00321473" w:rsidRPr="000D4B86">
        <w:rPr>
          <w:rFonts w:asciiTheme="minorHAnsi" w:hAnsiTheme="minorHAnsi" w:cstheme="minorHAnsi"/>
          <w:sz w:val="26"/>
          <w:szCs w:val="26"/>
          <w:lang w:eastAsia="ro-RO"/>
        </w:rPr>
        <w:t>.</w:t>
      </w:r>
      <w:r w:rsidRPr="000D4B86">
        <w:rPr>
          <w:rFonts w:asciiTheme="minorHAnsi" w:hAnsiTheme="minorHAnsi" w:cstheme="minorHAnsi"/>
          <w:sz w:val="26"/>
          <w:szCs w:val="26"/>
          <w:lang w:eastAsia="ro-RO"/>
        </w:rPr>
        <w:t>N</w:t>
      </w:r>
      <w:r w:rsidR="00321473" w:rsidRPr="000D4B86">
        <w:rPr>
          <w:rFonts w:asciiTheme="minorHAnsi" w:hAnsiTheme="minorHAnsi" w:cstheme="minorHAnsi"/>
          <w:sz w:val="26"/>
          <w:szCs w:val="26"/>
          <w:lang w:eastAsia="ro-RO"/>
        </w:rPr>
        <w:t>.</w:t>
      </w:r>
      <w:r w:rsidRPr="000D4B86">
        <w:rPr>
          <w:rFonts w:asciiTheme="minorHAnsi" w:hAnsiTheme="minorHAnsi" w:cstheme="minorHAnsi"/>
          <w:sz w:val="26"/>
          <w:szCs w:val="26"/>
          <w:lang w:eastAsia="ro-RO"/>
        </w:rPr>
        <w:t>M</w:t>
      </w:r>
      <w:r w:rsidR="00321473" w:rsidRPr="000D4B86">
        <w:rPr>
          <w:rFonts w:asciiTheme="minorHAnsi" w:hAnsiTheme="minorHAnsi" w:cstheme="minorHAnsi"/>
          <w:sz w:val="26"/>
          <w:szCs w:val="26"/>
          <w:lang w:eastAsia="ro-RO"/>
        </w:rPr>
        <w:t>.</w:t>
      </w:r>
      <w:r w:rsidRPr="000D4B86">
        <w:rPr>
          <w:rFonts w:asciiTheme="minorHAnsi" w:hAnsiTheme="minorHAnsi" w:cstheme="minorHAnsi"/>
          <w:sz w:val="26"/>
          <w:szCs w:val="26"/>
          <w:lang w:eastAsia="ro-RO"/>
        </w:rPr>
        <w:t xml:space="preserve"> a fost implicat în activități privind implementarea următoarelor proiecte cu finanțare externă în care a avut calitatea de beneficiar:</w:t>
      </w:r>
    </w:p>
    <w:p w14:paraId="04342886" w14:textId="77777777" w:rsidR="00A30875" w:rsidRPr="00EC0668" w:rsidRDefault="00A30875">
      <w:pPr>
        <w:numPr>
          <w:ilvl w:val="0"/>
          <w:numId w:val="12"/>
        </w:numPr>
        <w:tabs>
          <w:tab w:val="left" w:pos="993"/>
        </w:tabs>
        <w:spacing w:line="276" w:lineRule="auto"/>
        <w:ind w:left="0" w:firstLine="709"/>
        <w:contextualSpacing/>
        <w:jc w:val="both"/>
        <w:rPr>
          <w:rFonts w:asciiTheme="minorHAnsi" w:hAnsiTheme="minorHAnsi" w:cstheme="minorHAnsi"/>
          <w:sz w:val="26"/>
          <w:szCs w:val="26"/>
          <w:lang w:eastAsia="en-GB"/>
        </w:rPr>
      </w:pPr>
      <w:r w:rsidRPr="00EC0668">
        <w:rPr>
          <w:rFonts w:asciiTheme="minorHAnsi" w:hAnsiTheme="minorHAnsi" w:cstheme="minorHAnsi"/>
          <w:sz w:val="26"/>
          <w:szCs w:val="26"/>
          <w:lang w:eastAsia="en-GB"/>
        </w:rPr>
        <w:t>Proiectul „Formarea și consolidarea capacității în sistemul judiciar” finanţat în cadrul Mecanismului Financiar Norvegian 2014-2021 (2019-2023);</w:t>
      </w:r>
    </w:p>
    <w:p w14:paraId="60034D62" w14:textId="77777777" w:rsidR="00A30875" w:rsidRPr="00EC0668" w:rsidRDefault="00A30875">
      <w:pPr>
        <w:numPr>
          <w:ilvl w:val="0"/>
          <w:numId w:val="12"/>
        </w:numPr>
        <w:tabs>
          <w:tab w:val="left" w:pos="993"/>
        </w:tabs>
        <w:spacing w:line="276" w:lineRule="auto"/>
        <w:ind w:left="0" w:firstLine="709"/>
        <w:contextualSpacing/>
        <w:jc w:val="both"/>
        <w:rPr>
          <w:rFonts w:asciiTheme="minorHAnsi" w:hAnsiTheme="minorHAnsi" w:cstheme="minorHAnsi"/>
          <w:sz w:val="26"/>
          <w:szCs w:val="26"/>
          <w:lang w:eastAsia="en-GB"/>
        </w:rPr>
      </w:pPr>
      <w:r w:rsidRPr="00EC0668">
        <w:rPr>
          <w:rFonts w:asciiTheme="minorHAnsi" w:hAnsiTheme="minorHAnsi" w:cstheme="minorHAnsi"/>
          <w:sz w:val="26"/>
          <w:szCs w:val="26"/>
          <w:lang w:eastAsia="en-GB"/>
        </w:rPr>
        <w:t>Programul Uniunii Europene și al Consiliului Europei „HELP in the EU III”, având ca promotor de proiect Programul HELP al Consiliului Europei (2022–2024);</w:t>
      </w:r>
    </w:p>
    <w:p w14:paraId="79BC84FC" w14:textId="0081C2B1" w:rsidR="00A30875" w:rsidRPr="00EC0668" w:rsidRDefault="00A30875">
      <w:pPr>
        <w:numPr>
          <w:ilvl w:val="0"/>
          <w:numId w:val="12"/>
        </w:numPr>
        <w:tabs>
          <w:tab w:val="left" w:pos="993"/>
        </w:tabs>
        <w:spacing w:line="276" w:lineRule="auto"/>
        <w:ind w:left="0" w:firstLine="709"/>
        <w:contextualSpacing/>
        <w:jc w:val="both"/>
        <w:rPr>
          <w:rFonts w:asciiTheme="minorHAnsi" w:hAnsiTheme="minorHAnsi" w:cstheme="minorHAnsi"/>
          <w:sz w:val="26"/>
          <w:szCs w:val="26"/>
          <w:lang w:eastAsia="en-GB"/>
        </w:rPr>
      </w:pPr>
      <w:r w:rsidRPr="00EC0668">
        <w:rPr>
          <w:rFonts w:asciiTheme="minorHAnsi" w:hAnsiTheme="minorHAnsi" w:cstheme="minorHAnsi"/>
          <w:sz w:val="26"/>
          <w:szCs w:val="26"/>
          <w:lang w:eastAsia="en-GB"/>
        </w:rPr>
        <w:t>Proiectul „Asistenţă în domeniul justiţiei – Consolidarea capacităţii instituţionale a Institutului Naţional al Justiţiei din Republica Moldova”, implementat de I</w:t>
      </w:r>
      <w:r w:rsidR="00AD7C0C" w:rsidRPr="00EC0668">
        <w:rPr>
          <w:rFonts w:asciiTheme="minorHAnsi" w:hAnsiTheme="minorHAnsi" w:cstheme="minorHAnsi"/>
          <w:sz w:val="26"/>
          <w:szCs w:val="26"/>
          <w:lang w:eastAsia="en-GB"/>
        </w:rPr>
        <w:t>.</w:t>
      </w:r>
      <w:r w:rsidRPr="00EC0668">
        <w:rPr>
          <w:rFonts w:asciiTheme="minorHAnsi" w:hAnsiTheme="minorHAnsi" w:cstheme="minorHAnsi"/>
          <w:sz w:val="26"/>
          <w:szCs w:val="26"/>
          <w:lang w:eastAsia="en-GB"/>
        </w:rPr>
        <w:t>N</w:t>
      </w:r>
      <w:r w:rsidR="00AD7C0C" w:rsidRPr="00EC0668">
        <w:rPr>
          <w:rFonts w:asciiTheme="minorHAnsi" w:hAnsiTheme="minorHAnsi" w:cstheme="minorHAnsi"/>
          <w:sz w:val="26"/>
          <w:szCs w:val="26"/>
          <w:lang w:eastAsia="en-GB"/>
        </w:rPr>
        <w:t>.</w:t>
      </w:r>
      <w:r w:rsidRPr="00EC0668">
        <w:rPr>
          <w:rFonts w:asciiTheme="minorHAnsi" w:hAnsiTheme="minorHAnsi" w:cstheme="minorHAnsi"/>
          <w:sz w:val="26"/>
          <w:szCs w:val="26"/>
          <w:lang w:eastAsia="en-GB"/>
        </w:rPr>
        <w:t>M</w:t>
      </w:r>
      <w:r w:rsidR="00AD7C0C" w:rsidRPr="00EC0668">
        <w:rPr>
          <w:rFonts w:asciiTheme="minorHAnsi" w:hAnsiTheme="minorHAnsi" w:cstheme="minorHAnsi"/>
          <w:sz w:val="26"/>
          <w:szCs w:val="26"/>
          <w:lang w:eastAsia="en-GB"/>
        </w:rPr>
        <w:t>.</w:t>
      </w:r>
      <w:r w:rsidRPr="00EC0668">
        <w:rPr>
          <w:rFonts w:asciiTheme="minorHAnsi" w:hAnsiTheme="minorHAnsi" w:cstheme="minorHAnsi"/>
          <w:sz w:val="26"/>
          <w:szCs w:val="26"/>
          <w:lang w:eastAsia="en-GB"/>
        </w:rPr>
        <w:t>, în colaborare cu Institutul Naţional al Justiţiei din Republica Moldova şi Agenția de Cooperare Internațională pentru Dezvoltare (RoAid) din subordinea Ministerului Afacerilor Externe;</w:t>
      </w:r>
    </w:p>
    <w:p w14:paraId="5046B653" w14:textId="3A7497FF" w:rsidR="00A30875" w:rsidRPr="00EC0668" w:rsidRDefault="00A30875">
      <w:pPr>
        <w:numPr>
          <w:ilvl w:val="0"/>
          <w:numId w:val="12"/>
        </w:numPr>
        <w:tabs>
          <w:tab w:val="left" w:pos="993"/>
        </w:tabs>
        <w:spacing w:line="276" w:lineRule="auto"/>
        <w:ind w:left="0" w:firstLine="709"/>
        <w:contextualSpacing/>
        <w:jc w:val="both"/>
        <w:rPr>
          <w:rFonts w:asciiTheme="minorHAnsi" w:hAnsiTheme="minorHAnsi" w:cstheme="minorHAnsi"/>
          <w:sz w:val="26"/>
          <w:szCs w:val="26"/>
          <w:lang w:eastAsia="en-GB"/>
        </w:rPr>
      </w:pPr>
      <w:r w:rsidRPr="00EC0668">
        <w:rPr>
          <w:rFonts w:asciiTheme="minorHAnsi" w:hAnsiTheme="minorHAnsi" w:cstheme="minorHAnsi"/>
          <w:sz w:val="26"/>
          <w:szCs w:val="26"/>
          <w:lang w:eastAsia="en-GB"/>
        </w:rPr>
        <w:t>Proiectul „Advanced Training in EU Law for Court Coordinators: 2nd edition”, co-finanțat în cadrul Programului “Justiție” al Uniunii Europene (2021-2027), cu promotor de proiect Academia de Drept European de la Trier (E</w:t>
      </w:r>
      <w:r w:rsidR="00AD7C0C" w:rsidRPr="00EC0668">
        <w:rPr>
          <w:rFonts w:asciiTheme="minorHAnsi" w:hAnsiTheme="minorHAnsi" w:cstheme="minorHAnsi"/>
          <w:sz w:val="26"/>
          <w:szCs w:val="26"/>
          <w:lang w:eastAsia="en-GB"/>
        </w:rPr>
        <w:t>.</w:t>
      </w:r>
      <w:r w:rsidRPr="00EC0668">
        <w:rPr>
          <w:rFonts w:asciiTheme="minorHAnsi" w:hAnsiTheme="minorHAnsi" w:cstheme="minorHAnsi"/>
          <w:sz w:val="26"/>
          <w:szCs w:val="26"/>
          <w:lang w:eastAsia="en-GB"/>
        </w:rPr>
        <w:t>R</w:t>
      </w:r>
      <w:r w:rsidR="00AD7C0C" w:rsidRPr="00EC0668">
        <w:rPr>
          <w:rFonts w:asciiTheme="minorHAnsi" w:hAnsiTheme="minorHAnsi" w:cstheme="minorHAnsi"/>
          <w:sz w:val="26"/>
          <w:szCs w:val="26"/>
          <w:lang w:eastAsia="en-GB"/>
        </w:rPr>
        <w:t>.</w:t>
      </w:r>
      <w:r w:rsidRPr="00EC0668">
        <w:rPr>
          <w:rFonts w:asciiTheme="minorHAnsi" w:hAnsiTheme="minorHAnsi" w:cstheme="minorHAnsi"/>
          <w:sz w:val="26"/>
          <w:szCs w:val="26"/>
          <w:lang w:eastAsia="en-GB"/>
        </w:rPr>
        <w:t>A</w:t>
      </w:r>
      <w:r w:rsidR="00AD7C0C" w:rsidRPr="00EC0668">
        <w:rPr>
          <w:rFonts w:asciiTheme="minorHAnsi" w:hAnsiTheme="minorHAnsi" w:cstheme="minorHAnsi"/>
          <w:sz w:val="26"/>
          <w:szCs w:val="26"/>
          <w:lang w:eastAsia="en-GB"/>
        </w:rPr>
        <w:t>.</w:t>
      </w:r>
      <w:r w:rsidRPr="00EC0668">
        <w:rPr>
          <w:rFonts w:asciiTheme="minorHAnsi" w:hAnsiTheme="minorHAnsi" w:cstheme="minorHAnsi"/>
          <w:sz w:val="26"/>
          <w:szCs w:val="26"/>
          <w:lang w:eastAsia="en-GB"/>
        </w:rPr>
        <w:t>);</w:t>
      </w:r>
    </w:p>
    <w:p w14:paraId="43CD74E1" w14:textId="240AA0E4" w:rsidR="00A30875" w:rsidRPr="00EC0668" w:rsidRDefault="00A30875">
      <w:pPr>
        <w:numPr>
          <w:ilvl w:val="0"/>
          <w:numId w:val="12"/>
        </w:numPr>
        <w:tabs>
          <w:tab w:val="left" w:pos="993"/>
        </w:tabs>
        <w:spacing w:line="276" w:lineRule="auto"/>
        <w:ind w:left="0" w:firstLine="709"/>
        <w:contextualSpacing/>
        <w:jc w:val="both"/>
        <w:rPr>
          <w:rFonts w:asciiTheme="minorHAnsi" w:hAnsiTheme="minorHAnsi" w:cstheme="minorHAnsi"/>
          <w:sz w:val="26"/>
          <w:szCs w:val="26"/>
          <w:lang w:eastAsia="en-GB"/>
        </w:rPr>
      </w:pPr>
      <w:r w:rsidRPr="00EC0668">
        <w:rPr>
          <w:rFonts w:asciiTheme="minorHAnsi" w:hAnsiTheme="minorHAnsi" w:cstheme="minorHAnsi"/>
          <w:sz w:val="26"/>
          <w:szCs w:val="26"/>
          <w:lang w:eastAsia="en-GB"/>
        </w:rPr>
        <w:t>Asistență tehnică - „Formare în domeniul egalității de gen și antidiscriminării”, în cadrul Programului „Cetățeni, egalitate, drepturi şi valori</w:t>
      </w:r>
      <w:bookmarkStart w:id="32" w:name="_Hlk178673580"/>
      <w:r w:rsidRPr="00EC0668">
        <w:rPr>
          <w:rFonts w:asciiTheme="minorHAnsi" w:hAnsiTheme="minorHAnsi" w:cstheme="minorHAnsi"/>
          <w:sz w:val="26"/>
          <w:szCs w:val="26"/>
          <w:lang w:eastAsia="en-GB"/>
        </w:rPr>
        <w:t>”</w:t>
      </w:r>
      <w:bookmarkEnd w:id="32"/>
      <w:r w:rsidRPr="00EC0668">
        <w:rPr>
          <w:rFonts w:asciiTheme="minorHAnsi" w:hAnsiTheme="minorHAnsi" w:cstheme="minorHAnsi"/>
          <w:sz w:val="26"/>
          <w:szCs w:val="26"/>
          <w:lang w:eastAsia="en-GB"/>
        </w:rPr>
        <w:t xml:space="preserve"> 2021</w:t>
      </w:r>
      <w:r w:rsidR="00FD19D9" w:rsidRPr="00EC0668">
        <w:rPr>
          <w:rFonts w:asciiTheme="minorHAnsi" w:hAnsiTheme="minorHAnsi" w:cstheme="minorHAnsi"/>
          <w:sz w:val="26"/>
          <w:szCs w:val="26"/>
          <w:lang w:eastAsia="en-GB"/>
        </w:rPr>
        <w:t xml:space="preserve"> </w:t>
      </w:r>
      <w:r w:rsidRPr="00EC0668">
        <w:rPr>
          <w:rFonts w:asciiTheme="minorHAnsi" w:hAnsiTheme="minorHAnsi" w:cstheme="minorHAnsi"/>
          <w:sz w:val="26"/>
          <w:szCs w:val="26"/>
          <w:lang w:eastAsia="en-GB"/>
        </w:rPr>
        <w:t>-</w:t>
      </w:r>
      <w:r w:rsidR="00FD19D9" w:rsidRPr="00EC0668">
        <w:rPr>
          <w:rFonts w:asciiTheme="minorHAnsi" w:hAnsiTheme="minorHAnsi" w:cstheme="minorHAnsi"/>
          <w:sz w:val="26"/>
          <w:szCs w:val="26"/>
          <w:lang w:eastAsia="en-GB"/>
        </w:rPr>
        <w:t xml:space="preserve"> </w:t>
      </w:r>
      <w:r w:rsidRPr="00EC0668">
        <w:rPr>
          <w:rFonts w:asciiTheme="minorHAnsi" w:hAnsiTheme="minorHAnsi" w:cstheme="minorHAnsi"/>
          <w:sz w:val="26"/>
          <w:szCs w:val="26"/>
          <w:lang w:eastAsia="en-GB"/>
        </w:rPr>
        <w:t>2027 al Uniunii Europene - cu promotor de proiect E</w:t>
      </w:r>
      <w:r w:rsidR="00AD7C0C" w:rsidRPr="00EC0668">
        <w:rPr>
          <w:rFonts w:asciiTheme="minorHAnsi" w:hAnsiTheme="minorHAnsi" w:cstheme="minorHAnsi"/>
          <w:sz w:val="26"/>
          <w:szCs w:val="26"/>
          <w:lang w:eastAsia="en-GB"/>
        </w:rPr>
        <w:t>.</w:t>
      </w:r>
      <w:r w:rsidRPr="00EC0668">
        <w:rPr>
          <w:rFonts w:asciiTheme="minorHAnsi" w:hAnsiTheme="minorHAnsi" w:cstheme="minorHAnsi"/>
          <w:sz w:val="26"/>
          <w:szCs w:val="26"/>
          <w:lang w:eastAsia="en-GB"/>
        </w:rPr>
        <w:t>R</w:t>
      </w:r>
      <w:r w:rsidR="00AD7C0C" w:rsidRPr="00EC0668">
        <w:rPr>
          <w:rFonts w:asciiTheme="minorHAnsi" w:hAnsiTheme="minorHAnsi" w:cstheme="minorHAnsi"/>
          <w:sz w:val="26"/>
          <w:szCs w:val="26"/>
          <w:lang w:eastAsia="en-GB"/>
        </w:rPr>
        <w:t>.</w:t>
      </w:r>
      <w:r w:rsidRPr="00EC0668">
        <w:rPr>
          <w:rFonts w:asciiTheme="minorHAnsi" w:hAnsiTheme="minorHAnsi" w:cstheme="minorHAnsi"/>
          <w:sz w:val="26"/>
          <w:szCs w:val="26"/>
          <w:lang w:eastAsia="en-GB"/>
        </w:rPr>
        <w:t>A</w:t>
      </w:r>
      <w:r w:rsidR="00AD7C0C" w:rsidRPr="00EC0668">
        <w:rPr>
          <w:rFonts w:asciiTheme="minorHAnsi" w:hAnsiTheme="minorHAnsi" w:cstheme="minorHAnsi"/>
          <w:sz w:val="26"/>
          <w:szCs w:val="26"/>
          <w:lang w:eastAsia="en-GB"/>
        </w:rPr>
        <w:t>.</w:t>
      </w:r>
      <w:r w:rsidRPr="00EC0668">
        <w:rPr>
          <w:rFonts w:asciiTheme="minorHAnsi" w:hAnsiTheme="minorHAnsi" w:cstheme="minorHAnsi"/>
          <w:sz w:val="26"/>
          <w:szCs w:val="26"/>
          <w:lang w:eastAsia="en-GB"/>
        </w:rPr>
        <w:t xml:space="preserve">;  </w:t>
      </w:r>
    </w:p>
    <w:p w14:paraId="3C09B6B4" w14:textId="77777777" w:rsidR="00A30875" w:rsidRPr="00EC0668" w:rsidRDefault="00A30875">
      <w:pPr>
        <w:numPr>
          <w:ilvl w:val="0"/>
          <w:numId w:val="12"/>
        </w:numPr>
        <w:tabs>
          <w:tab w:val="left" w:pos="993"/>
        </w:tabs>
        <w:spacing w:line="276" w:lineRule="auto"/>
        <w:ind w:left="0" w:firstLine="709"/>
        <w:contextualSpacing/>
        <w:jc w:val="both"/>
        <w:rPr>
          <w:rFonts w:asciiTheme="minorHAnsi" w:hAnsiTheme="minorHAnsi" w:cstheme="minorHAnsi"/>
          <w:sz w:val="26"/>
          <w:szCs w:val="26"/>
          <w:lang w:eastAsia="en-GB"/>
        </w:rPr>
      </w:pPr>
      <w:r w:rsidRPr="00EC0668">
        <w:rPr>
          <w:rFonts w:asciiTheme="minorHAnsi" w:hAnsiTheme="minorHAnsi" w:cstheme="minorHAnsi"/>
          <w:sz w:val="26"/>
          <w:szCs w:val="26"/>
          <w:lang w:eastAsia="en-GB"/>
        </w:rPr>
        <w:t xml:space="preserve">Proiectul „Co-operation with national judges in the field of environmental law”, finanţat de către Comisia Europeană prin Direcţia Generală de Mediu - cu promotor de proiect ERA; </w:t>
      </w:r>
    </w:p>
    <w:p w14:paraId="5BB2DE7F" w14:textId="1AA41A10" w:rsidR="00A30875" w:rsidRPr="004A72CD" w:rsidRDefault="00A30875">
      <w:pPr>
        <w:numPr>
          <w:ilvl w:val="0"/>
          <w:numId w:val="12"/>
        </w:numPr>
        <w:tabs>
          <w:tab w:val="left" w:pos="993"/>
        </w:tabs>
        <w:spacing w:line="276" w:lineRule="auto"/>
        <w:ind w:left="0" w:firstLine="709"/>
        <w:contextualSpacing/>
        <w:jc w:val="both"/>
        <w:rPr>
          <w:rFonts w:asciiTheme="minorHAnsi" w:eastAsia="Calibri" w:hAnsiTheme="minorHAnsi" w:cstheme="minorHAnsi"/>
          <w:sz w:val="26"/>
          <w:szCs w:val="26"/>
          <w:shd w:val="clear" w:color="auto" w:fill="FFFFFF"/>
        </w:rPr>
      </w:pPr>
      <w:r w:rsidRPr="004A72CD">
        <w:rPr>
          <w:rFonts w:asciiTheme="minorHAnsi" w:hAnsiTheme="minorHAnsi" w:cstheme="minorHAnsi"/>
          <w:sz w:val="26"/>
          <w:szCs w:val="26"/>
          <w:lang w:eastAsia="en-GB"/>
        </w:rPr>
        <w:t>Proiectul JuLIA (</w:t>
      </w:r>
      <w:r w:rsidRPr="004A72CD">
        <w:rPr>
          <w:rFonts w:asciiTheme="minorHAnsi" w:eastAsia="Calibri" w:hAnsiTheme="minorHAnsi" w:cstheme="minorHAnsi"/>
          <w:bCs/>
          <w:sz w:val="26"/>
          <w:szCs w:val="26"/>
        </w:rPr>
        <w:t>Justice, Fundamental Rights and Artificial Intelligence)</w:t>
      </w:r>
      <w:r w:rsidRPr="004A72CD">
        <w:rPr>
          <w:rFonts w:asciiTheme="minorHAnsi" w:hAnsiTheme="minorHAnsi" w:cstheme="minorHAnsi"/>
          <w:sz w:val="26"/>
          <w:szCs w:val="26"/>
          <w:lang w:eastAsia="en-GB"/>
        </w:rPr>
        <w:t xml:space="preserve">, </w:t>
      </w:r>
      <w:r w:rsidRPr="004A72CD">
        <w:rPr>
          <w:rFonts w:asciiTheme="minorHAnsi" w:eastAsia="Calibri" w:hAnsiTheme="minorHAnsi" w:cstheme="minorHAnsi"/>
          <w:sz w:val="26"/>
          <w:szCs w:val="26"/>
          <w:shd w:val="clear" w:color="auto" w:fill="FFFFFF"/>
        </w:rPr>
        <w:t xml:space="preserve">proiect </w:t>
      </w:r>
      <w:r w:rsidRPr="004A72CD">
        <w:rPr>
          <w:rFonts w:asciiTheme="minorHAnsi" w:eastAsia="Calibri" w:hAnsiTheme="minorHAnsi" w:cstheme="minorHAnsi"/>
          <w:sz w:val="26"/>
          <w:szCs w:val="26"/>
        </w:rPr>
        <w:t>finanțat de Uniunea Europeană</w:t>
      </w:r>
      <w:r w:rsidRPr="004A72CD">
        <w:rPr>
          <w:rFonts w:asciiTheme="minorHAnsi" w:eastAsia="Calibri" w:hAnsiTheme="minorHAnsi" w:cstheme="minorHAnsi"/>
          <w:sz w:val="26"/>
          <w:szCs w:val="26"/>
          <w:shd w:val="clear" w:color="auto" w:fill="FFFFFF"/>
        </w:rPr>
        <w:t xml:space="preserve">, ce are ca promotor </w:t>
      </w:r>
      <w:r w:rsidRPr="004A72CD">
        <w:rPr>
          <w:rFonts w:asciiTheme="minorHAnsi" w:eastAsiaTheme="majorEastAsia" w:hAnsiTheme="minorHAnsi" w:cstheme="minorHAnsi"/>
          <w:bCs/>
          <w:sz w:val="26"/>
          <w:szCs w:val="26"/>
          <w:shd w:val="clear" w:color="auto" w:fill="FFFFFF"/>
        </w:rPr>
        <w:t>Școala</w:t>
      </w:r>
      <w:r w:rsidRPr="004A72CD">
        <w:rPr>
          <w:rFonts w:asciiTheme="minorHAnsi" w:eastAsiaTheme="majorEastAsia" w:hAnsiTheme="minorHAnsi" w:cstheme="minorHAnsi"/>
          <w:bCs/>
          <w:i/>
          <w:iCs/>
          <w:sz w:val="26"/>
          <w:szCs w:val="26"/>
          <w:shd w:val="clear" w:color="auto" w:fill="FFFFFF"/>
        </w:rPr>
        <w:t xml:space="preserve"> </w:t>
      </w:r>
      <w:r w:rsidRPr="004A72CD">
        <w:rPr>
          <w:rFonts w:asciiTheme="minorHAnsi" w:eastAsia="Calibri" w:hAnsiTheme="minorHAnsi" w:cstheme="minorHAnsi"/>
          <w:bCs/>
          <w:sz w:val="26"/>
          <w:szCs w:val="26"/>
          <w:shd w:val="clear" w:color="auto" w:fill="FFFFFF"/>
        </w:rPr>
        <w:t>Superioară de</w:t>
      </w:r>
      <w:r w:rsidR="00062368" w:rsidRPr="004A72CD">
        <w:rPr>
          <w:rFonts w:asciiTheme="minorHAnsi" w:eastAsia="Calibri" w:hAnsiTheme="minorHAnsi" w:cstheme="minorHAnsi"/>
          <w:bCs/>
          <w:sz w:val="26"/>
          <w:szCs w:val="26"/>
          <w:shd w:val="clear" w:color="auto" w:fill="FFFFFF"/>
        </w:rPr>
        <w:t xml:space="preserve"> </w:t>
      </w:r>
      <w:r w:rsidRPr="004A72CD">
        <w:rPr>
          <w:rFonts w:asciiTheme="minorHAnsi" w:eastAsiaTheme="majorEastAsia" w:hAnsiTheme="minorHAnsi" w:cstheme="minorHAnsi"/>
          <w:bCs/>
          <w:sz w:val="26"/>
          <w:szCs w:val="26"/>
          <w:shd w:val="clear" w:color="auto" w:fill="FFFFFF"/>
        </w:rPr>
        <w:t>Magistratură</w:t>
      </w:r>
      <w:r w:rsidR="00062368" w:rsidRPr="004A72CD">
        <w:rPr>
          <w:rFonts w:asciiTheme="minorHAnsi" w:eastAsia="Calibri" w:hAnsiTheme="minorHAnsi" w:cstheme="minorHAnsi"/>
          <w:bCs/>
          <w:sz w:val="26"/>
          <w:szCs w:val="26"/>
          <w:shd w:val="clear" w:color="auto" w:fill="FFFFFF"/>
        </w:rPr>
        <w:t xml:space="preserve"> </w:t>
      </w:r>
      <w:r w:rsidRPr="004A72CD">
        <w:rPr>
          <w:rFonts w:asciiTheme="minorHAnsi" w:eastAsia="Calibri" w:hAnsiTheme="minorHAnsi" w:cstheme="minorHAnsi"/>
          <w:bCs/>
          <w:sz w:val="26"/>
          <w:szCs w:val="26"/>
          <w:shd w:val="clear" w:color="auto" w:fill="FFFFFF"/>
        </w:rPr>
        <w:t>(S</w:t>
      </w:r>
      <w:r w:rsidR="00AD7C0C" w:rsidRPr="004A72CD">
        <w:rPr>
          <w:rFonts w:asciiTheme="minorHAnsi" w:eastAsia="Calibri" w:hAnsiTheme="minorHAnsi" w:cstheme="minorHAnsi"/>
          <w:bCs/>
          <w:sz w:val="26"/>
          <w:szCs w:val="26"/>
          <w:shd w:val="clear" w:color="auto" w:fill="FFFFFF"/>
        </w:rPr>
        <w:t>.</w:t>
      </w:r>
      <w:r w:rsidRPr="004A72CD">
        <w:rPr>
          <w:rFonts w:asciiTheme="minorHAnsi" w:eastAsia="Calibri" w:hAnsiTheme="minorHAnsi" w:cstheme="minorHAnsi"/>
          <w:bCs/>
          <w:sz w:val="26"/>
          <w:szCs w:val="26"/>
          <w:shd w:val="clear" w:color="auto" w:fill="FFFFFF"/>
        </w:rPr>
        <w:t>S</w:t>
      </w:r>
      <w:r w:rsidR="00AD7C0C" w:rsidRPr="004A72CD">
        <w:rPr>
          <w:rFonts w:asciiTheme="minorHAnsi" w:eastAsia="Calibri" w:hAnsiTheme="minorHAnsi" w:cstheme="minorHAnsi"/>
          <w:bCs/>
          <w:sz w:val="26"/>
          <w:szCs w:val="26"/>
          <w:shd w:val="clear" w:color="auto" w:fill="FFFFFF"/>
        </w:rPr>
        <w:t>.</w:t>
      </w:r>
      <w:r w:rsidRPr="004A72CD">
        <w:rPr>
          <w:rFonts w:asciiTheme="minorHAnsi" w:eastAsia="Calibri" w:hAnsiTheme="minorHAnsi" w:cstheme="minorHAnsi"/>
          <w:bCs/>
          <w:sz w:val="26"/>
          <w:szCs w:val="26"/>
          <w:shd w:val="clear" w:color="auto" w:fill="FFFFFF"/>
        </w:rPr>
        <w:t>M</w:t>
      </w:r>
      <w:r w:rsidR="00AD7C0C" w:rsidRPr="004A72CD">
        <w:rPr>
          <w:rFonts w:asciiTheme="minorHAnsi" w:eastAsia="Calibri" w:hAnsiTheme="minorHAnsi" w:cstheme="minorHAnsi"/>
          <w:bCs/>
          <w:sz w:val="26"/>
          <w:szCs w:val="26"/>
          <w:shd w:val="clear" w:color="auto" w:fill="FFFFFF"/>
        </w:rPr>
        <w:t>.</w:t>
      </w:r>
      <w:r w:rsidRPr="004A72CD">
        <w:rPr>
          <w:rFonts w:asciiTheme="minorHAnsi" w:eastAsia="Calibri" w:hAnsiTheme="minorHAnsi" w:cstheme="minorHAnsi"/>
          <w:bCs/>
          <w:sz w:val="26"/>
          <w:szCs w:val="26"/>
          <w:shd w:val="clear" w:color="auto" w:fill="FFFFFF"/>
        </w:rPr>
        <w:t>) din</w:t>
      </w:r>
      <w:r w:rsidR="00062368" w:rsidRPr="004A72CD">
        <w:rPr>
          <w:rFonts w:asciiTheme="minorHAnsi" w:eastAsia="Calibri" w:hAnsiTheme="minorHAnsi" w:cstheme="minorHAnsi"/>
          <w:bCs/>
          <w:sz w:val="26"/>
          <w:szCs w:val="26"/>
          <w:shd w:val="clear" w:color="auto" w:fill="FFFFFF"/>
        </w:rPr>
        <w:t xml:space="preserve"> </w:t>
      </w:r>
      <w:r w:rsidRPr="004A72CD">
        <w:rPr>
          <w:rFonts w:asciiTheme="minorHAnsi" w:eastAsiaTheme="majorEastAsia" w:hAnsiTheme="minorHAnsi" w:cstheme="minorHAnsi"/>
          <w:bCs/>
          <w:sz w:val="26"/>
          <w:szCs w:val="26"/>
          <w:shd w:val="clear" w:color="auto" w:fill="FFFFFF"/>
        </w:rPr>
        <w:t>Italia</w:t>
      </w:r>
      <w:r w:rsidRPr="004A72CD">
        <w:rPr>
          <w:rFonts w:asciiTheme="minorHAnsi" w:eastAsia="Calibri" w:hAnsiTheme="minorHAnsi" w:cstheme="minorHAnsi"/>
          <w:bCs/>
          <w:sz w:val="26"/>
          <w:szCs w:val="26"/>
        </w:rPr>
        <w:t>;</w:t>
      </w:r>
    </w:p>
    <w:p w14:paraId="780E966F" w14:textId="737B5199" w:rsidR="00A30875" w:rsidRPr="004A72CD" w:rsidRDefault="00A30875">
      <w:pPr>
        <w:numPr>
          <w:ilvl w:val="0"/>
          <w:numId w:val="12"/>
        </w:numPr>
        <w:tabs>
          <w:tab w:val="left" w:pos="993"/>
        </w:tabs>
        <w:spacing w:line="276" w:lineRule="auto"/>
        <w:ind w:left="0" w:firstLine="709"/>
        <w:contextualSpacing/>
        <w:jc w:val="both"/>
        <w:rPr>
          <w:rFonts w:asciiTheme="minorHAnsi" w:eastAsia="Calibri" w:hAnsiTheme="minorHAnsi" w:cstheme="minorHAnsi"/>
          <w:bCs/>
          <w:sz w:val="26"/>
          <w:szCs w:val="26"/>
        </w:rPr>
      </w:pPr>
      <w:r w:rsidRPr="004A72CD">
        <w:rPr>
          <w:rFonts w:asciiTheme="minorHAnsi" w:eastAsia="Calibri" w:hAnsiTheme="minorHAnsi" w:cstheme="minorHAnsi"/>
          <w:bCs/>
          <w:sz w:val="26"/>
          <w:szCs w:val="26"/>
        </w:rPr>
        <w:t xml:space="preserve">Proiectul </w:t>
      </w:r>
      <w:r w:rsidRPr="004A72CD">
        <w:rPr>
          <w:rFonts w:asciiTheme="minorHAnsi" w:eastAsia="Calibri" w:hAnsiTheme="minorHAnsi" w:cstheme="minorHAnsi"/>
          <w:bCs/>
          <w:i/>
          <w:iCs/>
          <w:sz w:val="26"/>
          <w:szCs w:val="26"/>
        </w:rPr>
        <w:t>„</w:t>
      </w:r>
      <w:r w:rsidRPr="004A72CD">
        <w:rPr>
          <w:rFonts w:asciiTheme="minorHAnsi" w:eastAsia="Calibri" w:hAnsiTheme="minorHAnsi" w:cstheme="minorHAnsi"/>
          <w:bCs/>
          <w:sz w:val="26"/>
          <w:szCs w:val="26"/>
        </w:rPr>
        <w:t>The place of victims in criminal proceedings with a substantial number of victims</w:t>
      </w:r>
      <w:r w:rsidRPr="004A72CD">
        <w:rPr>
          <w:rFonts w:asciiTheme="minorHAnsi" w:eastAsia="Calibri" w:hAnsiTheme="minorHAnsi" w:cstheme="minorHAnsi"/>
          <w:bCs/>
          <w:i/>
          <w:iCs/>
          <w:sz w:val="26"/>
          <w:szCs w:val="26"/>
        </w:rPr>
        <w:t>”</w:t>
      </w:r>
      <w:r w:rsidRPr="004A72CD">
        <w:rPr>
          <w:rFonts w:asciiTheme="minorHAnsi" w:eastAsia="Calibri" w:hAnsiTheme="minorHAnsi" w:cstheme="minorHAnsi"/>
          <w:bCs/>
          <w:sz w:val="26"/>
          <w:szCs w:val="26"/>
        </w:rPr>
        <w:t xml:space="preserve"> – VICTI, coordonat de </w:t>
      </w:r>
      <w:r w:rsidRPr="004A72CD">
        <w:rPr>
          <w:rFonts w:asciiTheme="minorHAnsi" w:eastAsia="Calibri" w:hAnsiTheme="minorHAnsi" w:cstheme="minorHAnsi"/>
          <w:sz w:val="26"/>
          <w:szCs w:val="26"/>
        </w:rPr>
        <w:t>Şcoala de Magistratură din Franţa (E</w:t>
      </w:r>
      <w:r w:rsidR="00AD7C0C" w:rsidRPr="004A72CD">
        <w:rPr>
          <w:rFonts w:asciiTheme="minorHAnsi" w:eastAsia="Calibri" w:hAnsiTheme="minorHAnsi" w:cstheme="minorHAnsi"/>
          <w:sz w:val="26"/>
          <w:szCs w:val="26"/>
        </w:rPr>
        <w:t>.</w:t>
      </w:r>
      <w:r w:rsidRPr="004A72CD">
        <w:rPr>
          <w:rFonts w:asciiTheme="minorHAnsi" w:eastAsia="Calibri" w:hAnsiTheme="minorHAnsi" w:cstheme="minorHAnsi"/>
          <w:sz w:val="26"/>
          <w:szCs w:val="26"/>
        </w:rPr>
        <w:t>N</w:t>
      </w:r>
      <w:r w:rsidR="00AD7C0C" w:rsidRPr="004A72CD">
        <w:rPr>
          <w:rFonts w:asciiTheme="minorHAnsi" w:eastAsia="Calibri" w:hAnsiTheme="minorHAnsi" w:cstheme="minorHAnsi"/>
          <w:sz w:val="26"/>
          <w:szCs w:val="26"/>
        </w:rPr>
        <w:t>.</w:t>
      </w:r>
      <w:r w:rsidRPr="004A72CD">
        <w:rPr>
          <w:rFonts w:asciiTheme="minorHAnsi" w:eastAsia="Calibri" w:hAnsiTheme="minorHAnsi" w:cstheme="minorHAnsi"/>
          <w:sz w:val="26"/>
          <w:szCs w:val="26"/>
        </w:rPr>
        <w:t>M</w:t>
      </w:r>
      <w:r w:rsidR="00AD7C0C" w:rsidRPr="004A72CD">
        <w:rPr>
          <w:rFonts w:asciiTheme="minorHAnsi" w:eastAsia="Calibri" w:hAnsiTheme="minorHAnsi" w:cstheme="minorHAnsi"/>
          <w:sz w:val="26"/>
          <w:szCs w:val="26"/>
        </w:rPr>
        <w:t>.</w:t>
      </w:r>
      <w:r w:rsidRPr="004A72CD">
        <w:rPr>
          <w:rFonts w:asciiTheme="minorHAnsi" w:eastAsia="Calibri" w:hAnsiTheme="minorHAnsi" w:cstheme="minorHAnsi"/>
          <w:sz w:val="26"/>
          <w:szCs w:val="26"/>
        </w:rPr>
        <w:t>)</w:t>
      </w:r>
      <w:r w:rsidRPr="004A72CD">
        <w:rPr>
          <w:rFonts w:asciiTheme="minorHAnsi" w:eastAsia="Calibri" w:hAnsiTheme="minorHAnsi" w:cstheme="minorHAnsi"/>
          <w:bCs/>
          <w:sz w:val="26"/>
          <w:szCs w:val="26"/>
        </w:rPr>
        <w:t>;</w:t>
      </w:r>
    </w:p>
    <w:p w14:paraId="62AE1A88" w14:textId="0AE173EA" w:rsidR="00A30875" w:rsidRPr="004A72CD" w:rsidRDefault="00A30875">
      <w:pPr>
        <w:numPr>
          <w:ilvl w:val="0"/>
          <w:numId w:val="12"/>
        </w:numPr>
        <w:tabs>
          <w:tab w:val="left" w:pos="993"/>
        </w:tabs>
        <w:autoSpaceDE w:val="0"/>
        <w:autoSpaceDN w:val="0"/>
        <w:adjustRightInd w:val="0"/>
        <w:spacing w:line="276" w:lineRule="auto"/>
        <w:ind w:left="0" w:firstLine="709"/>
        <w:jc w:val="both"/>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Proiectul JUST CHILD – A friendly justice for unaccompanied minors facing criminal networks, coordonat de E</w:t>
      </w:r>
      <w:r w:rsidR="00EA53D2"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N</w:t>
      </w:r>
      <w:r w:rsidR="00EA53D2"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M</w:t>
      </w:r>
      <w:r w:rsidR="00EA53D2"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w:t>
      </w:r>
    </w:p>
    <w:p w14:paraId="3A80D807" w14:textId="3F853234" w:rsidR="00353F0C" w:rsidRPr="004A72CD" w:rsidRDefault="00A30875">
      <w:pPr>
        <w:numPr>
          <w:ilvl w:val="0"/>
          <w:numId w:val="12"/>
        </w:numPr>
        <w:tabs>
          <w:tab w:val="left" w:pos="993"/>
        </w:tabs>
        <w:spacing w:after="160" w:line="276" w:lineRule="auto"/>
        <w:ind w:left="0" w:firstLine="709"/>
        <w:contextualSpacing/>
        <w:jc w:val="both"/>
        <w:rPr>
          <w:rFonts w:asciiTheme="minorHAnsi" w:eastAsia="Calibri" w:hAnsiTheme="minorHAnsi" w:cstheme="minorHAnsi"/>
          <w:sz w:val="26"/>
          <w:szCs w:val="26"/>
          <w:shd w:val="clear" w:color="auto" w:fill="FFFFFF"/>
        </w:rPr>
      </w:pPr>
      <w:r w:rsidRPr="004A72CD">
        <w:rPr>
          <w:rFonts w:asciiTheme="minorHAnsi" w:hAnsiTheme="minorHAnsi" w:cstheme="minorHAnsi"/>
          <w:sz w:val="26"/>
          <w:szCs w:val="26"/>
          <w:lang w:eastAsia="en-GB"/>
        </w:rPr>
        <w:t xml:space="preserve">Proiectul </w:t>
      </w:r>
      <w:r w:rsidRPr="004A72CD">
        <w:rPr>
          <w:rFonts w:asciiTheme="minorHAnsi" w:hAnsiTheme="minorHAnsi" w:cstheme="minorHAnsi"/>
          <w:i/>
          <w:iCs/>
          <w:sz w:val="26"/>
          <w:szCs w:val="26"/>
          <w:lang w:eastAsia="en-GB"/>
        </w:rPr>
        <w:t>„</w:t>
      </w:r>
      <w:r w:rsidRPr="004A72CD">
        <w:rPr>
          <w:rFonts w:asciiTheme="minorHAnsi" w:eastAsiaTheme="minorHAnsi" w:hAnsiTheme="minorHAnsi" w:cstheme="minorHAnsi"/>
          <w:sz w:val="26"/>
          <w:szCs w:val="26"/>
        </w:rPr>
        <w:t>UpJudCoop - Update on EU judicial cooperation instruments</w:t>
      </w:r>
      <w:r w:rsidRPr="004A72CD">
        <w:rPr>
          <w:rFonts w:asciiTheme="minorHAnsi" w:eastAsiaTheme="minorHAnsi" w:hAnsiTheme="minorHAnsi" w:cstheme="minorHAnsi"/>
          <w:i/>
          <w:iCs/>
          <w:sz w:val="26"/>
          <w:szCs w:val="26"/>
        </w:rPr>
        <w:t>”</w:t>
      </w:r>
      <w:r w:rsidRPr="004A72CD">
        <w:rPr>
          <w:rFonts w:asciiTheme="minorHAnsi" w:eastAsiaTheme="minorHAnsi" w:hAnsiTheme="minorHAnsi" w:cstheme="minorHAnsi"/>
          <w:sz w:val="26"/>
          <w:szCs w:val="26"/>
        </w:rPr>
        <w:t>, având ca promotor de proiect E</w:t>
      </w:r>
      <w:r w:rsidR="00EA53D2" w:rsidRPr="004A72CD">
        <w:rPr>
          <w:rFonts w:asciiTheme="minorHAnsi" w:eastAsiaTheme="minorHAnsi" w:hAnsiTheme="minorHAnsi" w:cstheme="minorHAnsi"/>
          <w:sz w:val="26"/>
          <w:szCs w:val="26"/>
        </w:rPr>
        <w:t>.</w:t>
      </w:r>
      <w:r w:rsidRPr="004A72CD">
        <w:rPr>
          <w:rFonts w:asciiTheme="minorHAnsi" w:eastAsiaTheme="minorHAnsi" w:hAnsiTheme="minorHAnsi" w:cstheme="minorHAnsi"/>
          <w:sz w:val="26"/>
          <w:szCs w:val="26"/>
        </w:rPr>
        <w:t>I</w:t>
      </w:r>
      <w:r w:rsidR="00EA53D2" w:rsidRPr="004A72CD">
        <w:rPr>
          <w:rFonts w:asciiTheme="minorHAnsi" w:eastAsiaTheme="minorHAnsi" w:hAnsiTheme="minorHAnsi" w:cstheme="minorHAnsi"/>
          <w:sz w:val="26"/>
          <w:szCs w:val="26"/>
        </w:rPr>
        <w:t>.</w:t>
      </w:r>
      <w:r w:rsidRPr="004A72CD">
        <w:rPr>
          <w:rFonts w:asciiTheme="minorHAnsi" w:eastAsiaTheme="minorHAnsi" w:hAnsiTheme="minorHAnsi" w:cstheme="minorHAnsi"/>
          <w:sz w:val="26"/>
          <w:szCs w:val="26"/>
        </w:rPr>
        <w:t>P</w:t>
      </w:r>
      <w:r w:rsidR="00EA53D2" w:rsidRPr="004A72CD">
        <w:rPr>
          <w:rFonts w:asciiTheme="minorHAnsi" w:eastAsiaTheme="minorHAnsi" w:hAnsiTheme="minorHAnsi" w:cstheme="minorHAnsi"/>
          <w:sz w:val="26"/>
          <w:szCs w:val="26"/>
        </w:rPr>
        <w:t>.</w:t>
      </w:r>
      <w:r w:rsidRPr="004A72CD">
        <w:rPr>
          <w:rFonts w:asciiTheme="minorHAnsi" w:eastAsiaTheme="minorHAnsi" w:hAnsiTheme="minorHAnsi" w:cstheme="minorHAnsi"/>
          <w:sz w:val="26"/>
          <w:szCs w:val="26"/>
        </w:rPr>
        <w:t>A</w:t>
      </w:r>
      <w:r w:rsidR="00EA53D2" w:rsidRPr="004A72CD">
        <w:rPr>
          <w:rFonts w:asciiTheme="minorHAnsi" w:eastAsiaTheme="minorHAnsi" w:hAnsiTheme="minorHAnsi" w:cstheme="minorHAnsi"/>
          <w:sz w:val="26"/>
          <w:szCs w:val="26"/>
        </w:rPr>
        <w:t>.</w:t>
      </w:r>
      <w:r w:rsidRPr="004A72CD">
        <w:rPr>
          <w:rFonts w:asciiTheme="minorHAnsi" w:eastAsiaTheme="minorHAnsi" w:hAnsiTheme="minorHAnsi" w:cstheme="minorHAnsi"/>
          <w:sz w:val="26"/>
          <w:szCs w:val="26"/>
        </w:rPr>
        <w:t xml:space="preserve"> - Institutul European de Administrație Publică (2022</w:t>
      </w:r>
      <w:r w:rsidR="00DE5431" w:rsidRPr="004A72CD">
        <w:rPr>
          <w:rFonts w:asciiTheme="minorHAnsi" w:eastAsiaTheme="minorHAnsi" w:hAnsiTheme="minorHAnsi" w:cstheme="minorHAnsi"/>
          <w:sz w:val="26"/>
          <w:szCs w:val="26"/>
        </w:rPr>
        <w:t xml:space="preserve"> </w:t>
      </w:r>
      <w:r w:rsidRPr="004A72CD">
        <w:rPr>
          <w:rFonts w:asciiTheme="minorHAnsi" w:eastAsiaTheme="minorHAnsi" w:hAnsiTheme="minorHAnsi" w:cstheme="minorHAnsi"/>
          <w:sz w:val="26"/>
          <w:szCs w:val="26"/>
        </w:rPr>
        <w:t>-</w:t>
      </w:r>
      <w:r w:rsidR="00DE5431" w:rsidRPr="004A72CD">
        <w:rPr>
          <w:rFonts w:asciiTheme="minorHAnsi" w:eastAsiaTheme="minorHAnsi" w:hAnsiTheme="minorHAnsi" w:cstheme="minorHAnsi"/>
          <w:sz w:val="26"/>
          <w:szCs w:val="26"/>
        </w:rPr>
        <w:t xml:space="preserve"> </w:t>
      </w:r>
      <w:r w:rsidRPr="004A72CD">
        <w:rPr>
          <w:rFonts w:asciiTheme="minorHAnsi" w:eastAsiaTheme="minorHAnsi" w:hAnsiTheme="minorHAnsi" w:cstheme="minorHAnsi"/>
          <w:sz w:val="26"/>
          <w:szCs w:val="26"/>
        </w:rPr>
        <w:t>2025).</w:t>
      </w:r>
    </w:p>
    <w:p w14:paraId="56AFAFE8" w14:textId="72CFC613" w:rsidR="00A30875" w:rsidRPr="004A72CD" w:rsidRDefault="00A30875" w:rsidP="00D51F5A">
      <w:pPr>
        <w:pStyle w:val="Heading3"/>
      </w:pPr>
      <w:bookmarkStart w:id="33" w:name="_Toc187824356"/>
      <w:r w:rsidRPr="004A72CD">
        <w:lastRenderedPageBreak/>
        <w:t>I.4.4. Protocoale de colaborare încheiate de I</w:t>
      </w:r>
      <w:r w:rsidR="002A7CB7" w:rsidRPr="004A72CD">
        <w:t>.</w:t>
      </w:r>
      <w:r w:rsidRPr="004A72CD">
        <w:t>N</w:t>
      </w:r>
      <w:r w:rsidR="002A7CB7" w:rsidRPr="004A72CD">
        <w:t>.</w:t>
      </w:r>
      <w:r w:rsidRPr="004A72CD">
        <w:t>M</w:t>
      </w:r>
      <w:r w:rsidR="002A7CB7" w:rsidRPr="004A72CD">
        <w:t>.</w:t>
      </w:r>
      <w:r w:rsidRPr="004A72CD">
        <w:t xml:space="preserve"> cu diverse instituții</w:t>
      </w:r>
      <w:bookmarkEnd w:id="33"/>
    </w:p>
    <w:p w14:paraId="61E124D6" w14:textId="598456FE" w:rsidR="00A30875" w:rsidRPr="004A72CD" w:rsidRDefault="00A30875" w:rsidP="00D51F5A">
      <w:pPr>
        <w:spacing w:line="276" w:lineRule="auto"/>
        <w:ind w:firstLine="708"/>
        <w:jc w:val="both"/>
        <w:rPr>
          <w:rFonts w:asciiTheme="minorHAnsi" w:hAnsiTheme="minorHAnsi" w:cstheme="minorHAnsi"/>
          <w:sz w:val="26"/>
          <w:szCs w:val="26"/>
        </w:rPr>
      </w:pPr>
      <w:r w:rsidRPr="00EC0668">
        <w:rPr>
          <w:rFonts w:asciiTheme="minorHAnsi" w:hAnsiTheme="minorHAnsi" w:cstheme="minorHAnsi"/>
          <w:sz w:val="26"/>
          <w:szCs w:val="26"/>
        </w:rPr>
        <w:t>În luna aprilie 2024 a fost semnat actul adițional nr. 1 la Acordul</w:t>
      </w:r>
      <w:r w:rsidR="00DE5431" w:rsidRPr="00EC0668">
        <w:rPr>
          <w:rFonts w:asciiTheme="minorHAnsi" w:hAnsiTheme="minorHAnsi" w:cstheme="minorHAnsi"/>
          <w:sz w:val="26"/>
          <w:szCs w:val="26"/>
        </w:rPr>
        <w:t xml:space="preserve"> </w:t>
      </w:r>
      <w:r w:rsidRPr="00EC0668">
        <w:rPr>
          <w:rFonts w:asciiTheme="minorHAnsi" w:hAnsiTheme="minorHAnsi" w:cstheme="minorHAnsi"/>
          <w:sz w:val="26"/>
          <w:szCs w:val="26"/>
        </w:rPr>
        <w:t>-</w:t>
      </w:r>
      <w:r w:rsidR="00DE5431" w:rsidRPr="00EC0668">
        <w:rPr>
          <w:rFonts w:asciiTheme="minorHAnsi" w:hAnsiTheme="minorHAnsi" w:cstheme="minorHAnsi"/>
          <w:sz w:val="26"/>
          <w:szCs w:val="26"/>
        </w:rPr>
        <w:t xml:space="preserve"> </w:t>
      </w:r>
      <w:r w:rsidRPr="00EC0668">
        <w:rPr>
          <w:rFonts w:asciiTheme="minorHAnsi" w:hAnsiTheme="minorHAnsi" w:cstheme="minorHAnsi"/>
          <w:sz w:val="26"/>
          <w:szCs w:val="26"/>
        </w:rPr>
        <w:t>cadru de parteneriat încheiat între Institutul Naţional al Magistraturii şi Agenţia de Cooperare Internaţională pentru Dezvoltare (RoAid), care prevede prelungirea Acordului</w:t>
      </w:r>
      <w:r w:rsidR="002A7CB7" w:rsidRPr="00EC0668">
        <w:rPr>
          <w:rFonts w:asciiTheme="minorHAnsi" w:hAnsiTheme="minorHAnsi" w:cstheme="minorHAnsi"/>
          <w:sz w:val="26"/>
          <w:szCs w:val="26"/>
        </w:rPr>
        <w:t xml:space="preserve"> </w:t>
      </w:r>
      <w:r w:rsidRPr="00EC0668">
        <w:rPr>
          <w:rFonts w:asciiTheme="minorHAnsi" w:hAnsiTheme="minorHAnsi" w:cstheme="minorHAnsi"/>
          <w:sz w:val="26"/>
          <w:szCs w:val="26"/>
        </w:rPr>
        <w:t>-</w:t>
      </w:r>
      <w:r w:rsidR="002A7CB7" w:rsidRPr="00EC0668">
        <w:rPr>
          <w:rFonts w:asciiTheme="minorHAnsi" w:hAnsiTheme="minorHAnsi" w:cstheme="minorHAnsi"/>
          <w:sz w:val="26"/>
          <w:szCs w:val="26"/>
        </w:rPr>
        <w:t xml:space="preserve"> </w:t>
      </w:r>
      <w:r w:rsidRPr="00EC0668">
        <w:rPr>
          <w:rFonts w:asciiTheme="minorHAnsi" w:hAnsiTheme="minorHAnsi" w:cstheme="minorHAnsi"/>
          <w:sz w:val="26"/>
          <w:szCs w:val="26"/>
        </w:rPr>
        <w:t>cadru semnat între cele două instituţii pe durata anului 2024.</w:t>
      </w:r>
    </w:p>
    <w:p w14:paraId="3322AD6C" w14:textId="77777777" w:rsidR="007B5DE0" w:rsidRPr="004A72CD" w:rsidRDefault="007B5DE0" w:rsidP="00D51F5A">
      <w:pPr>
        <w:pStyle w:val="ListParagraph"/>
        <w:spacing w:line="276" w:lineRule="auto"/>
        <w:jc w:val="both"/>
        <w:rPr>
          <w:rFonts w:asciiTheme="minorHAnsi" w:hAnsiTheme="minorHAnsi" w:cstheme="minorHAnsi"/>
          <w:sz w:val="26"/>
          <w:szCs w:val="26"/>
        </w:rPr>
      </w:pPr>
      <w:r w:rsidRPr="004A72CD">
        <w:rPr>
          <w:rFonts w:asciiTheme="minorHAnsi" w:hAnsiTheme="minorHAnsi" w:cstheme="minorHAnsi"/>
          <w:b/>
          <w:sz w:val="26"/>
          <w:szCs w:val="26"/>
        </w:rPr>
        <w:t>Școala Națională de Grefieri</w:t>
      </w:r>
    </w:p>
    <w:p w14:paraId="5463D8A2" w14:textId="5E778FD4" w:rsidR="007B5DE0" w:rsidRPr="004A72CD" w:rsidRDefault="007B5DE0"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Consolidarea şi dezvoltarea capacităţii organizatorice şi instituţionale a S</w:t>
      </w:r>
      <w:r w:rsidR="006121E7" w:rsidRPr="004A72CD">
        <w:rPr>
          <w:rFonts w:asciiTheme="minorHAnsi" w:hAnsiTheme="minorHAnsi" w:cstheme="minorHAnsi"/>
          <w:sz w:val="26"/>
          <w:szCs w:val="26"/>
        </w:rPr>
        <w:t>.</w:t>
      </w:r>
      <w:r w:rsidRPr="004A72CD">
        <w:rPr>
          <w:rFonts w:asciiTheme="minorHAnsi" w:hAnsiTheme="minorHAnsi" w:cstheme="minorHAnsi"/>
          <w:sz w:val="26"/>
          <w:szCs w:val="26"/>
        </w:rPr>
        <w:t>N</w:t>
      </w:r>
      <w:r w:rsidR="006121E7" w:rsidRPr="004A72CD">
        <w:rPr>
          <w:rFonts w:asciiTheme="minorHAnsi" w:hAnsiTheme="minorHAnsi" w:cstheme="minorHAnsi"/>
          <w:sz w:val="26"/>
          <w:szCs w:val="26"/>
        </w:rPr>
        <w:t>.</w:t>
      </w:r>
      <w:r w:rsidRPr="004A72CD">
        <w:rPr>
          <w:rFonts w:asciiTheme="minorHAnsi" w:hAnsiTheme="minorHAnsi" w:cstheme="minorHAnsi"/>
          <w:sz w:val="26"/>
          <w:szCs w:val="26"/>
        </w:rPr>
        <w:t>G</w:t>
      </w:r>
      <w:r w:rsidR="006121E7" w:rsidRPr="004A72CD">
        <w:rPr>
          <w:rFonts w:asciiTheme="minorHAnsi" w:hAnsiTheme="minorHAnsi" w:cstheme="minorHAnsi"/>
          <w:sz w:val="26"/>
          <w:szCs w:val="26"/>
        </w:rPr>
        <w:t>.</w:t>
      </w:r>
      <w:r w:rsidRPr="004A72CD">
        <w:rPr>
          <w:rFonts w:asciiTheme="minorHAnsi" w:hAnsiTheme="minorHAnsi" w:cstheme="minorHAnsi"/>
          <w:sz w:val="26"/>
          <w:szCs w:val="26"/>
        </w:rPr>
        <w:t xml:space="preserve"> a reprezentat și în anul 2024 unul dintre obiectivele generale ale activității </w:t>
      </w:r>
      <w:r w:rsidR="00240072" w:rsidRPr="004A72CD">
        <w:rPr>
          <w:rFonts w:asciiTheme="minorHAnsi" w:hAnsiTheme="minorHAnsi" w:cstheme="minorHAnsi"/>
          <w:sz w:val="26"/>
          <w:szCs w:val="26"/>
        </w:rPr>
        <w:t>instituţiei</w:t>
      </w:r>
      <w:r w:rsidRPr="004A72CD">
        <w:rPr>
          <w:rFonts w:asciiTheme="minorHAnsi" w:hAnsiTheme="minorHAnsi" w:cstheme="minorHAnsi"/>
          <w:sz w:val="26"/>
          <w:szCs w:val="26"/>
        </w:rPr>
        <w:t xml:space="preserve">. </w:t>
      </w:r>
    </w:p>
    <w:p w14:paraId="157A94DF" w14:textId="64F91592" w:rsidR="007B5DE0" w:rsidRPr="004A72CD" w:rsidRDefault="007B5DE0"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În ceea ce privește resursa umană, și în anul 2024 dezvoltarea capacității instituționale a urmărit, cu prioritate, consolidarea reţelei de formatori a S</w:t>
      </w:r>
      <w:r w:rsidR="00E968C1" w:rsidRPr="004A72CD">
        <w:rPr>
          <w:rFonts w:asciiTheme="minorHAnsi" w:hAnsiTheme="minorHAnsi" w:cstheme="minorHAnsi"/>
          <w:sz w:val="26"/>
          <w:szCs w:val="26"/>
        </w:rPr>
        <w:t>.</w:t>
      </w:r>
      <w:r w:rsidRPr="004A72CD">
        <w:rPr>
          <w:rFonts w:asciiTheme="minorHAnsi" w:hAnsiTheme="minorHAnsi" w:cstheme="minorHAnsi"/>
          <w:sz w:val="26"/>
          <w:szCs w:val="26"/>
        </w:rPr>
        <w:t>N</w:t>
      </w:r>
      <w:r w:rsidR="00E968C1" w:rsidRPr="004A72CD">
        <w:rPr>
          <w:rFonts w:asciiTheme="minorHAnsi" w:hAnsiTheme="minorHAnsi" w:cstheme="minorHAnsi"/>
          <w:sz w:val="26"/>
          <w:szCs w:val="26"/>
        </w:rPr>
        <w:t>.</w:t>
      </w:r>
      <w:r w:rsidRPr="004A72CD">
        <w:rPr>
          <w:rFonts w:asciiTheme="minorHAnsi" w:hAnsiTheme="minorHAnsi" w:cstheme="minorHAnsi"/>
          <w:sz w:val="26"/>
          <w:szCs w:val="26"/>
        </w:rPr>
        <w:t>G</w:t>
      </w:r>
      <w:r w:rsidR="00E968C1" w:rsidRPr="004A72CD">
        <w:rPr>
          <w:rFonts w:asciiTheme="minorHAnsi" w:hAnsiTheme="minorHAnsi" w:cstheme="minorHAnsi"/>
          <w:sz w:val="26"/>
          <w:szCs w:val="26"/>
        </w:rPr>
        <w:t>.</w:t>
      </w:r>
      <w:r w:rsidRPr="004A72CD">
        <w:rPr>
          <w:rFonts w:asciiTheme="minorHAnsi" w:hAnsiTheme="minorHAnsi" w:cstheme="minorHAnsi"/>
          <w:sz w:val="26"/>
          <w:szCs w:val="26"/>
        </w:rPr>
        <w:t>, prin recrutarea de noi formatori în domenii actuale de interes pentru formarea personalului auxiliar din cadrul instanţelor şi parchetelor sau pentru disciplinele cu deficit de personal de instruire. În același timp, s-a urmărit consolidarea și perfecționarea corpului personalului propriu.</w:t>
      </w:r>
    </w:p>
    <w:p w14:paraId="1AADF692" w14:textId="73E3C1EA" w:rsidR="007B5DE0" w:rsidRPr="004A72CD" w:rsidRDefault="007B5DE0"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 xml:space="preserve">Astfel, ca urmare a procedurilor derulate, în baza dispozițiilor referitoare la recrutarea </w:t>
      </w:r>
      <w:r w:rsidRPr="004A72CD">
        <w:rPr>
          <w:rFonts w:asciiTheme="minorHAnsi" w:hAnsiTheme="minorHAnsi" w:cstheme="minorHAnsi"/>
          <w:color w:val="000000"/>
          <w:sz w:val="26"/>
          <w:szCs w:val="26"/>
        </w:rPr>
        <w:t>personalului</w:t>
      </w:r>
      <w:r w:rsidRPr="004A72CD">
        <w:rPr>
          <w:rFonts w:asciiTheme="minorHAnsi" w:hAnsiTheme="minorHAnsi" w:cstheme="minorHAnsi"/>
          <w:sz w:val="26"/>
          <w:szCs w:val="26"/>
        </w:rPr>
        <w:t xml:space="preserve"> de instruire al Școlii, prevăzute în Statutul personalului de instruire al Școlii Naționale de Grefieri, aprobat prin Hotărârea Plenului Consiliului Superior al Magistraturii nr. 1388/2016, modificate și completate prin Hotărârea Plenului Consiliului Superior al Magistraturii nr. 97/2019, au fost numiți 10 noi formatori colaboratori pentru formarea inițială, respectiv 1 judecător, 4 procurori și 5 grefieri, la disciplinele Deontologie, Procedură penală - parchete, Registratură, grefă și arhivă, Informatică aplicată </w:t>
      </w:r>
      <w:r w:rsidR="0022250C" w:rsidRPr="004A72CD">
        <w:rPr>
          <w:rFonts w:asciiTheme="minorHAnsi" w:hAnsiTheme="minorHAnsi" w:cstheme="minorHAnsi"/>
          <w:sz w:val="26"/>
          <w:szCs w:val="26"/>
        </w:rPr>
        <w:t>–</w:t>
      </w:r>
      <w:r w:rsidRPr="004A72CD">
        <w:rPr>
          <w:rFonts w:asciiTheme="minorHAnsi" w:hAnsiTheme="minorHAnsi" w:cstheme="minorHAnsi"/>
          <w:sz w:val="26"/>
          <w:szCs w:val="26"/>
        </w:rPr>
        <w:t xml:space="preserve"> parchete</w:t>
      </w:r>
      <w:r w:rsidR="00EA53D2" w:rsidRPr="004A72CD">
        <w:rPr>
          <w:rFonts w:asciiTheme="minorHAnsi" w:hAnsiTheme="minorHAnsi" w:cstheme="minorHAnsi"/>
          <w:sz w:val="26"/>
          <w:szCs w:val="26"/>
        </w:rPr>
        <w:t>,</w:t>
      </w:r>
      <w:r w:rsidR="0022250C" w:rsidRPr="004A72CD">
        <w:rPr>
          <w:rFonts w:asciiTheme="minorHAnsi" w:hAnsiTheme="minorHAnsi" w:cstheme="minorHAnsi"/>
          <w:sz w:val="26"/>
          <w:szCs w:val="26"/>
        </w:rPr>
        <w:t xml:space="preserve"> </w:t>
      </w:r>
      <w:r w:rsidRPr="004A72CD">
        <w:rPr>
          <w:rFonts w:asciiTheme="minorHAnsi" w:hAnsiTheme="minorHAnsi" w:cstheme="minorHAnsi"/>
          <w:sz w:val="26"/>
          <w:szCs w:val="26"/>
        </w:rPr>
        <w:t>Informații clasificate - parchete, îndrumător pentru Stagiu practic parchete</w:t>
      </w:r>
      <w:r w:rsidR="0022250C" w:rsidRPr="004A72CD">
        <w:rPr>
          <w:rFonts w:asciiTheme="minorHAnsi" w:hAnsiTheme="minorHAnsi" w:cstheme="minorHAnsi"/>
          <w:sz w:val="26"/>
          <w:szCs w:val="26"/>
        </w:rPr>
        <w:t xml:space="preserve">, </w:t>
      </w:r>
      <w:r w:rsidRPr="004A72CD">
        <w:rPr>
          <w:rFonts w:asciiTheme="minorHAnsi" w:hAnsiTheme="minorHAnsi" w:cstheme="minorHAnsi"/>
          <w:sz w:val="26"/>
          <w:szCs w:val="26"/>
        </w:rPr>
        <w:t>prin Hotărârile Plenului Consiliului Superior al Magistraturii nr. 47/21</w:t>
      </w:r>
      <w:r w:rsidR="00B01815" w:rsidRPr="004A72CD">
        <w:rPr>
          <w:rFonts w:asciiTheme="minorHAnsi" w:hAnsiTheme="minorHAnsi" w:cstheme="minorHAnsi"/>
          <w:sz w:val="26"/>
          <w:szCs w:val="26"/>
        </w:rPr>
        <w:t>.</w:t>
      </w:r>
      <w:r w:rsidR="00132BE0" w:rsidRPr="004A72CD">
        <w:rPr>
          <w:rFonts w:asciiTheme="minorHAnsi" w:hAnsiTheme="minorHAnsi" w:cstheme="minorHAnsi"/>
          <w:sz w:val="26"/>
          <w:szCs w:val="26"/>
        </w:rPr>
        <w:t>03</w:t>
      </w:r>
      <w:r w:rsidR="00B01815" w:rsidRPr="004A72CD">
        <w:rPr>
          <w:rFonts w:asciiTheme="minorHAnsi" w:hAnsiTheme="minorHAnsi" w:cstheme="minorHAnsi"/>
          <w:sz w:val="26"/>
          <w:szCs w:val="26"/>
        </w:rPr>
        <w:t>.</w:t>
      </w:r>
      <w:r w:rsidRPr="004A72CD">
        <w:rPr>
          <w:rFonts w:asciiTheme="minorHAnsi" w:hAnsiTheme="minorHAnsi" w:cstheme="minorHAnsi"/>
          <w:sz w:val="26"/>
          <w:szCs w:val="26"/>
        </w:rPr>
        <w:t xml:space="preserve">2024 și </w:t>
      </w:r>
      <w:r w:rsidR="0022250C" w:rsidRPr="004A72CD">
        <w:rPr>
          <w:rFonts w:asciiTheme="minorHAnsi" w:hAnsiTheme="minorHAnsi" w:cstheme="minorHAnsi"/>
          <w:sz w:val="26"/>
          <w:szCs w:val="26"/>
        </w:rPr>
        <w:t xml:space="preserve">nr. </w:t>
      </w:r>
      <w:r w:rsidRPr="004A72CD">
        <w:rPr>
          <w:rFonts w:asciiTheme="minorHAnsi" w:hAnsiTheme="minorHAnsi" w:cstheme="minorHAnsi"/>
          <w:sz w:val="26"/>
          <w:szCs w:val="26"/>
        </w:rPr>
        <w:t>163/24</w:t>
      </w:r>
      <w:r w:rsidR="00D143B8" w:rsidRPr="004A72CD">
        <w:rPr>
          <w:rFonts w:asciiTheme="minorHAnsi" w:hAnsiTheme="minorHAnsi" w:cstheme="minorHAnsi"/>
          <w:sz w:val="26"/>
          <w:szCs w:val="26"/>
        </w:rPr>
        <w:t>.</w:t>
      </w:r>
      <w:r w:rsidR="00132BE0" w:rsidRPr="004A72CD">
        <w:rPr>
          <w:rFonts w:asciiTheme="minorHAnsi" w:hAnsiTheme="minorHAnsi" w:cstheme="minorHAnsi"/>
          <w:sz w:val="26"/>
          <w:szCs w:val="26"/>
        </w:rPr>
        <w:t>07</w:t>
      </w:r>
      <w:r w:rsidR="00D143B8" w:rsidRPr="004A72CD">
        <w:rPr>
          <w:rFonts w:asciiTheme="minorHAnsi" w:hAnsiTheme="minorHAnsi" w:cstheme="minorHAnsi"/>
          <w:sz w:val="26"/>
          <w:szCs w:val="26"/>
        </w:rPr>
        <w:t>.</w:t>
      </w:r>
      <w:r w:rsidRPr="004A72CD">
        <w:rPr>
          <w:rFonts w:asciiTheme="minorHAnsi" w:hAnsiTheme="minorHAnsi" w:cstheme="minorHAnsi"/>
          <w:sz w:val="26"/>
          <w:szCs w:val="26"/>
        </w:rPr>
        <w:t xml:space="preserve">2024. Au fost avute în vedere necesitățile rezultate din numărul de ore propus a fi alocate </w:t>
      </w:r>
      <w:r w:rsidRPr="004A72CD">
        <w:rPr>
          <w:rFonts w:asciiTheme="minorHAnsi" w:hAnsiTheme="minorHAnsi" w:cstheme="minorHAnsi"/>
          <w:bCs/>
          <w:iCs/>
          <w:sz w:val="26"/>
          <w:szCs w:val="26"/>
        </w:rPr>
        <w:t>pentru disciplinele menționate</w:t>
      </w:r>
      <w:r w:rsidRPr="004A72CD">
        <w:rPr>
          <w:rFonts w:asciiTheme="minorHAnsi" w:hAnsiTheme="minorHAnsi" w:cstheme="minorHAnsi"/>
          <w:sz w:val="26"/>
          <w:szCs w:val="26"/>
        </w:rPr>
        <w:t xml:space="preserve"> prin Planul de învățământ pentru formarea inițială, aferent anului școlar 2024</w:t>
      </w:r>
      <w:r w:rsidR="00A229B7" w:rsidRPr="004A72CD">
        <w:rPr>
          <w:rFonts w:asciiTheme="minorHAnsi" w:hAnsiTheme="minorHAnsi" w:cstheme="minorHAnsi"/>
          <w:sz w:val="26"/>
          <w:szCs w:val="26"/>
        </w:rPr>
        <w:t xml:space="preserve"> </w:t>
      </w:r>
      <w:r w:rsidRPr="004A72CD">
        <w:rPr>
          <w:rFonts w:asciiTheme="minorHAnsi" w:hAnsiTheme="minorHAnsi" w:cstheme="minorHAnsi"/>
          <w:sz w:val="26"/>
          <w:szCs w:val="26"/>
        </w:rPr>
        <w:t>-</w:t>
      </w:r>
      <w:r w:rsidR="00A229B7" w:rsidRPr="004A72CD">
        <w:rPr>
          <w:rFonts w:asciiTheme="minorHAnsi" w:hAnsiTheme="minorHAnsi" w:cstheme="minorHAnsi"/>
          <w:sz w:val="26"/>
          <w:szCs w:val="26"/>
        </w:rPr>
        <w:t xml:space="preserve"> </w:t>
      </w:r>
      <w:r w:rsidRPr="004A72CD">
        <w:rPr>
          <w:rFonts w:asciiTheme="minorHAnsi" w:hAnsiTheme="minorHAnsi" w:cstheme="minorHAnsi"/>
          <w:sz w:val="26"/>
          <w:szCs w:val="26"/>
        </w:rPr>
        <w:t xml:space="preserve">2025, numărul total de ore alocat disciplinelor, forma de desfășurare și modalitatea de evaluare a acestora, </w:t>
      </w:r>
      <w:r w:rsidRPr="004A72CD">
        <w:rPr>
          <w:rFonts w:asciiTheme="minorHAnsi" w:hAnsiTheme="minorHAnsi" w:cstheme="minorHAnsi"/>
          <w:color w:val="000000"/>
          <w:sz w:val="26"/>
          <w:szCs w:val="26"/>
        </w:rPr>
        <w:t>ca urmare a analizei necesarului de formatori pentru desfășurarea adecvată a acțiunilor de formare și evaluare, realizată în cadrul Departamentului de formare profesională inițială</w:t>
      </w:r>
      <w:r w:rsidRPr="004A72CD">
        <w:rPr>
          <w:rFonts w:asciiTheme="minorHAnsi" w:hAnsiTheme="minorHAnsi" w:cstheme="minorHAnsi"/>
          <w:sz w:val="26"/>
          <w:szCs w:val="26"/>
        </w:rPr>
        <w:t>.</w:t>
      </w:r>
    </w:p>
    <w:p w14:paraId="1ED9046D" w14:textId="109BD960" w:rsidR="007B5DE0" w:rsidRPr="004A72CD" w:rsidRDefault="007B5DE0"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Pentru ocuparea unor posturi de personal de instruire propriu</w:t>
      </w:r>
      <w:r w:rsidR="0022250C" w:rsidRPr="004A72CD">
        <w:rPr>
          <w:rFonts w:asciiTheme="minorHAnsi" w:hAnsiTheme="minorHAnsi" w:cstheme="minorHAnsi"/>
          <w:sz w:val="26"/>
          <w:szCs w:val="26"/>
        </w:rPr>
        <w:t xml:space="preserve">, respectiv </w:t>
      </w:r>
      <w:r w:rsidRPr="004A72CD">
        <w:rPr>
          <w:rFonts w:asciiTheme="minorHAnsi" w:hAnsiTheme="minorHAnsi" w:cstheme="minorHAnsi"/>
          <w:sz w:val="26"/>
          <w:szCs w:val="26"/>
        </w:rPr>
        <w:t>formatori cu normă întreagă</w:t>
      </w:r>
      <w:r w:rsidR="0022250C" w:rsidRPr="004A72CD">
        <w:rPr>
          <w:rFonts w:asciiTheme="minorHAnsi" w:hAnsiTheme="minorHAnsi" w:cstheme="minorHAnsi"/>
          <w:sz w:val="26"/>
          <w:szCs w:val="26"/>
        </w:rPr>
        <w:t xml:space="preserve">, </w:t>
      </w:r>
      <w:r w:rsidRPr="004A72CD">
        <w:rPr>
          <w:rFonts w:asciiTheme="minorHAnsi" w:hAnsiTheme="minorHAnsi" w:cstheme="minorHAnsi"/>
          <w:sz w:val="26"/>
          <w:szCs w:val="26"/>
        </w:rPr>
        <w:t>în cadrul departamentelor Școlii cu deficit de personal, ca urmare a procedurilor de selecție finalizate în anul 2024 au fost numiți în această calitate 2 noi formatori</w:t>
      </w:r>
      <w:r w:rsidR="0022250C" w:rsidRPr="004A72CD">
        <w:rPr>
          <w:rFonts w:asciiTheme="minorHAnsi" w:hAnsiTheme="minorHAnsi" w:cstheme="minorHAnsi"/>
          <w:sz w:val="26"/>
          <w:szCs w:val="26"/>
        </w:rPr>
        <w:t xml:space="preserve">, </w:t>
      </w:r>
      <w:r w:rsidRPr="004A72CD">
        <w:rPr>
          <w:rFonts w:asciiTheme="minorHAnsi" w:hAnsiTheme="minorHAnsi" w:cstheme="minorHAnsi"/>
          <w:iCs/>
          <w:sz w:val="26"/>
          <w:szCs w:val="26"/>
        </w:rPr>
        <w:t>prin Hotărârea Plenului Consiliului Superior al Magistraturii nr. 47/21</w:t>
      </w:r>
      <w:r w:rsidR="00D143B8" w:rsidRPr="004A72CD">
        <w:rPr>
          <w:rFonts w:asciiTheme="minorHAnsi" w:hAnsiTheme="minorHAnsi" w:cstheme="minorHAnsi"/>
          <w:iCs/>
          <w:sz w:val="26"/>
          <w:szCs w:val="26"/>
        </w:rPr>
        <w:t>.</w:t>
      </w:r>
      <w:r w:rsidR="00C301C7" w:rsidRPr="004A72CD">
        <w:rPr>
          <w:rFonts w:asciiTheme="minorHAnsi" w:hAnsiTheme="minorHAnsi" w:cstheme="minorHAnsi"/>
          <w:iCs/>
          <w:sz w:val="26"/>
          <w:szCs w:val="26"/>
        </w:rPr>
        <w:t>03</w:t>
      </w:r>
      <w:r w:rsidR="00D143B8" w:rsidRPr="004A72CD">
        <w:rPr>
          <w:rFonts w:asciiTheme="minorHAnsi" w:hAnsiTheme="minorHAnsi" w:cstheme="minorHAnsi"/>
          <w:iCs/>
          <w:sz w:val="26"/>
          <w:szCs w:val="26"/>
        </w:rPr>
        <w:t>.</w:t>
      </w:r>
      <w:r w:rsidRPr="004A72CD">
        <w:rPr>
          <w:rFonts w:asciiTheme="minorHAnsi" w:hAnsiTheme="minorHAnsi" w:cstheme="minorHAnsi"/>
          <w:iCs/>
          <w:sz w:val="26"/>
          <w:szCs w:val="26"/>
        </w:rPr>
        <w:t>2024</w:t>
      </w:r>
      <w:r w:rsidRPr="004A72CD">
        <w:rPr>
          <w:rFonts w:asciiTheme="minorHAnsi" w:hAnsiTheme="minorHAnsi" w:cstheme="minorHAnsi"/>
          <w:sz w:val="26"/>
          <w:szCs w:val="26"/>
        </w:rPr>
        <w:t>, după cum urmează:</w:t>
      </w:r>
    </w:p>
    <w:p w14:paraId="068B84B8" w14:textId="6AADDE06" w:rsidR="007B5DE0" w:rsidRPr="004A72CD" w:rsidRDefault="007B5DE0">
      <w:pPr>
        <w:pStyle w:val="ListParagraph"/>
        <w:numPr>
          <w:ilvl w:val="0"/>
          <w:numId w:val="45"/>
        </w:numPr>
        <w:tabs>
          <w:tab w:val="left" w:pos="993"/>
        </w:tabs>
        <w:spacing w:line="276" w:lineRule="auto"/>
        <w:ind w:left="0" w:right="15" w:firstLine="709"/>
        <w:jc w:val="both"/>
        <w:rPr>
          <w:rFonts w:asciiTheme="minorHAnsi" w:hAnsiTheme="minorHAnsi" w:cstheme="minorHAnsi"/>
          <w:iCs/>
          <w:sz w:val="26"/>
          <w:szCs w:val="26"/>
        </w:rPr>
      </w:pPr>
      <w:r w:rsidRPr="004A72CD">
        <w:rPr>
          <w:rFonts w:asciiTheme="minorHAnsi" w:hAnsiTheme="minorHAnsi" w:cstheme="minorHAnsi"/>
          <w:iCs/>
          <w:sz w:val="26"/>
          <w:szCs w:val="26"/>
        </w:rPr>
        <w:t xml:space="preserve">în cadrul Departamentului de formare profesională continuă – 1 formator judecător, la disciplina Drept procesual penal, ținând cont de necesitatea asigurării în structura acestui departament a cel puțin unui formator cu normă întreagă - judecător la disciplina Drept procesual penal, una dintre disciplinele fundamentale pentru formarea profesională a grefierilor, precum și a formării unei echipe mixte de formatori, judecător </w:t>
      </w:r>
      <w:r w:rsidRPr="004A72CD">
        <w:rPr>
          <w:rFonts w:asciiTheme="minorHAnsi" w:hAnsiTheme="minorHAnsi" w:cstheme="minorHAnsi"/>
          <w:iCs/>
          <w:sz w:val="26"/>
          <w:szCs w:val="26"/>
        </w:rPr>
        <w:noBreakHyphen/>
        <w:t xml:space="preserve"> grefier, în susținerea seminarelor de formare continuă, o mare parte dintre acestea vizând domeniul procesual penal;</w:t>
      </w:r>
    </w:p>
    <w:p w14:paraId="316F4662" w14:textId="29CF82DF" w:rsidR="007B5DE0" w:rsidRDefault="007B5DE0">
      <w:pPr>
        <w:pStyle w:val="ListParagraph"/>
        <w:numPr>
          <w:ilvl w:val="0"/>
          <w:numId w:val="45"/>
        </w:numPr>
        <w:tabs>
          <w:tab w:val="left" w:pos="993"/>
        </w:tabs>
        <w:spacing w:line="276" w:lineRule="auto"/>
        <w:ind w:left="0" w:right="15" w:firstLine="709"/>
        <w:jc w:val="both"/>
        <w:rPr>
          <w:rFonts w:asciiTheme="minorHAnsi" w:hAnsiTheme="minorHAnsi" w:cstheme="minorHAnsi"/>
          <w:sz w:val="26"/>
          <w:szCs w:val="26"/>
        </w:rPr>
      </w:pPr>
      <w:r w:rsidRPr="004A72CD">
        <w:rPr>
          <w:rFonts w:asciiTheme="minorHAnsi" w:hAnsiTheme="minorHAnsi" w:cstheme="minorHAnsi"/>
          <w:iCs/>
          <w:sz w:val="26"/>
          <w:szCs w:val="26"/>
        </w:rPr>
        <w:t xml:space="preserve">în cadrul Departamentului relații internaționale – 1 formator grefier </w:t>
      </w:r>
      <w:r w:rsidRPr="004A72CD">
        <w:rPr>
          <w:rFonts w:asciiTheme="minorHAnsi" w:hAnsiTheme="minorHAnsi" w:cstheme="minorHAnsi"/>
          <w:sz w:val="26"/>
          <w:szCs w:val="26"/>
        </w:rPr>
        <w:t xml:space="preserve">cu studii superioare juridice din cadrul parchetelor, la disciplina Procedură penală, avându-se în vedere proiectele numeroase aflate în coordonarea acestui departament, inclusiv ca urmare a participării Școlii Naționale de Grefieri </w:t>
      </w:r>
      <w:r w:rsidR="0022250C" w:rsidRPr="004A72CD">
        <w:rPr>
          <w:rFonts w:asciiTheme="minorHAnsi" w:hAnsiTheme="minorHAnsi" w:cstheme="minorHAnsi"/>
          <w:sz w:val="26"/>
          <w:szCs w:val="26"/>
        </w:rPr>
        <w:t xml:space="preserve">în cadrul acestora </w:t>
      </w:r>
      <w:r w:rsidRPr="004A72CD">
        <w:rPr>
          <w:rFonts w:asciiTheme="minorHAnsi" w:hAnsiTheme="minorHAnsi" w:cstheme="minorHAnsi"/>
          <w:sz w:val="26"/>
          <w:szCs w:val="26"/>
        </w:rPr>
        <w:t>alături de E</w:t>
      </w:r>
      <w:r w:rsidR="006930F9" w:rsidRPr="004A72CD">
        <w:rPr>
          <w:rFonts w:asciiTheme="minorHAnsi" w:hAnsiTheme="minorHAnsi" w:cstheme="minorHAnsi"/>
          <w:sz w:val="26"/>
          <w:szCs w:val="26"/>
        </w:rPr>
        <w:t>.</w:t>
      </w:r>
      <w:r w:rsidRPr="004A72CD">
        <w:rPr>
          <w:rFonts w:asciiTheme="minorHAnsi" w:hAnsiTheme="minorHAnsi" w:cstheme="minorHAnsi"/>
          <w:sz w:val="26"/>
          <w:szCs w:val="26"/>
        </w:rPr>
        <w:t>J</w:t>
      </w:r>
      <w:r w:rsidR="006930F9" w:rsidRPr="004A72CD">
        <w:rPr>
          <w:rFonts w:asciiTheme="minorHAnsi" w:hAnsiTheme="minorHAnsi" w:cstheme="minorHAnsi"/>
          <w:sz w:val="26"/>
          <w:szCs w:val="26"/>
        </w:rPr>
        <w:t>.</w:t>
      </w:r>
      <w:r w:rsidRPr="004A72CD">
        <w:rPr>
          <w:rFonts w:asciiTheme="minorHAnsi" w:hAnsiTheme="minorHAnsi" w:cstheme="minorHAnsi"/>
          <w:sz w:val="26"/>
          <w:szCs w:val="26"/>
        </w:rPr>
        <w:t>T</w:t>
      </w:r>
      <w:r w:rsidR="006930F9" w:rsidRPr="004A72CD">
        <w:rPr>
          <w:rFonts w:asciiTheme="minorHAnsi" w:hAnsiTheme="minorHAnsi" w:cstheme="minorHAnsi"/>
          <w:sz w:val="26"/>
          <w:szCs w:val="26"/>
        </w:rPr>
        <w:t>.</w:t>
      </w:r>
      <w:r w:rsidRPr="004A72CD">
        <w:rPr>
          <w:rFonts w:asciiTheme="minorHAnsi" w:hAnsiTheme="minorHAnsi" w:cstheme="minorHAnsi"/>
          <w:sz w:val="26"/>
          <w:szCs w:val="26"/>
        </w:rPr>
        <w:t>N</w:t>
      </w:r>
      <w:r w:rsidR="006930F9" w:rsidRPr="004A72CD">
        <w:rPr>
          <w:rFonts w:asciiTheme="minorHAnsi" w:hAnsiTheme="minorHAnsi" w:cstheme="minorHAnsi"/>
          <w:sz w:val="26"/>
          <w:szCs w:val="26"/>
        </w:rPr>
        <w:t>.</w:t>
      </w:r>
      <w:r w:rsidRPr="004A72CD">
        <w:rPr>
          <w:rFonts w:asciiTheme="minorHAnsi" w:hAnsiTheme="minorHAnsi" w:cstheme="minorHAnsi"/>
          <w:sz w:val="26"/>
          <w:szCs w:val="26"/>
        </w:rPr>
        <w:t xml:space="preserve"> și E</w:t>
      </w:r>
      <w:r w:rsidR="006930F9" w:rsidRPr="004A72CD">
        <w:rPr>
          <w:rFonts w:asciiTheme="minorHAnsi" w:hAnsiTheme="minorHAnsi" w:cstheme="minorHAnsi"/>
          <w:sz w:val="26"/>
          <w:szCs w:val="26"/>
        </w:rPr>
        <w:t>.</w:t>
      </w:r>
      <w:r w:rsidRPr="004A72CD">
        <w:rPr>
          <w:rFonts w:asciiTheme="minorHAnsi" w:hAnsiTheme="minorHAnsi" w:cstheme="minorHAnsi"/>
          <w:sz w:val="26"/>
          <w:szCs w:val="26"/>
        </w:rPr>
        <w:t>R</w:t>
      </w:r>
      <w:r w:rsidR="006930F9" w:rsidRPr="004A72CD">
        <w:rPr>
          <w:rFonts w:asciiTheme="minorHAnsi" w:hAnsiTheme="minorHAnsi" w:cstheme="minorHAnsi"/>
          <w:sz w:val="26"/>
          <w:szCs w:val="26"/>
        </w:rPr>
        <w:t>.</w:t>
      </w:r>
      <w:r w:rsidRPr="004A72CD">
        <w:rPr>
          <w:rFonts w:asciiTheme="minorHAnsi" w:hAnsiTheme="minorHAnsi" w:cstheme="minorHAnsi"/>
          <w:sz w:val="26"/>
          <w:szCs w:val="26"/>
        </w:rPr>
        <w:t>A</w:t>
      </w:r>
      <w:r w:rsidR="006930F9" w:rsidRPr="004A72CD">
        <w:rPr>
          <w:rFonts w:asciiTheme="minorHAnsi" w:hAnsiTheme="minorHAnsi" w:cstheme="minorHAnsi"/>
          <w:sz w:val="26"/>
          <w:szCs w:val="26"/>
        </w:rPr>
        <w:t>.</w:t>
      </w:r>
      <w:r w:rsidRPr="004A72CD">
        <w:rPr>
          <w:rFonts w:asciiTheme="minorHAnsi" w:hAnsiTheme="minorHAnsi" w:cstheme="minorHAnsi"/>
          <w:sz w:val="26"/>
          <w:szCs w:val="26"/>
        </w:rPr>
        <w:t xml:space="preserve">, precum și necesitatea </w:t>
      </w:r>
      <w:r w:rsidRPr="004A72CD">
        <w:rPr>
          <w:rFonts w:asciiTheme="minorHAnsi" w:hAnsiTheme="minorHAnsi" w:cstheme="minorHAnsi"/>
          <w:iCs/>
          <w:sz w:val="26"/>
          <w:szCs w:val="26"/>
        </w:rPr>
        <w:t xml:space="preserve">asigurării în structura acestui departament </w:t>
      </w:r>
      <w:r w:rsidRPr="004A72CD">
        <w:rPr>
          <w:rFonts w:asciiTheme="minorHAnsi" w:hAnsiTheme="minorHAnsi" w:cstheme="minorHAnsi"/>
          <w:sz w:val="26"/>
          <w:szCs w:val="26"/>
        </w:rPr>
        <w:t>a unui grefier din cadrul parchetelor.</w:t>
      </w:r>
    </w:p>
    <w:p w14:paraId="27F884E9" w14:textId="24E9D13C" w:rsidR="00713BFF" w:rsidRPr="0098252F" w:rsidRDefault="00713BFF" w:rsidP="00713BFF">
      <w:pPr>
        <w:pStyle w:val="Footer"/>
        <w:tabs>
          <w:tab w:val="left" w:pos="993"/>
        </w:tabs>
        <w:spacing w:line="276" w:lineRule="auto"/>
        <w:ind w:right="15"/>
        <w:jc w:val="both"/>
        <w:rPr>
          <w:rFonts w:asciiTheme="minorHAnsi" w:hAnsiTheme="minorHAnsi" w:cstheme="minorHAnsi"/>
          <w:sz w:val="26"/>
          <w:szCs w:val="26"/>
        </w:rPr>
      </w:pPr>
      <w:r>
        <w:rPr>
          <w:rFonts w:asciiTheme="minorHAnsi" w:hAnsiTheme="minorHAnsi" w:cstheme="minorHAnsi"/>
          <w:color w:val="FF0000"/>
          <w:sz w:val="26"/>
          <w:szCs w:val="26"/>
        </w:rPr>
        <w:lastRenderedPageBreak/>
        <w:tab/>
      </w:r>
      <w:r w:rsidRPr="0098252F">
        <w:rPr>
          <w:rFonts w:asciiTheme="minorHAnsi" w:hAnsiTheme="minorHAnsi" w:cstheme="minorHAnsi"/>
          <w:sz w:val="26"/>
          <w:szCs w:val="26"/>
        </w:rPr>
        <w:t xml:space="preserve">Totodată, ținând cont de necesitatea asigurării în structura departamentelor de formare profesională inițială și, respectiv, continuă a cel puțin unui formator cu normă întreagă la disciplinele fundamentale, se află în derulare două proceduri de selecție pentru ocuparea unui post de personal de instruire propriu </w:t>
      </w:r>
      <w:r w:rsidRPr="0098252F">
        <w:rPr>
          <w:rFonts w:asciiTheme="minorHAnsi" w:hAnsiTheme="minorHAnsi" w:cstheme="minorHAnsi"/>
          <w:iCs/>
          <w:sz w:val="26"/>
          <w:szCs w:val="26"/>
        </w:rPr>
        <w:t>–</w:t>
      </w:r>
      <w:r w:rsidRPr="0098252F">
        <w:rPr>
          <w:rFonts w:asciiTheme="minorHAnsi" w:hAnsiTheme="minorHAnsi" w:cstheme="minorHAnsi"/>
          <w:sz w:val="26"/>
          <w:szCs w:val="26"/>
        </w:rPr>
        <w:t xml:space="preserve"> judecător la disciplina Procedură penală și, respectiv, a unui post de personal de instruire propriu </w:t>
      </w:r>
      <w:r w:rsidRPr="0098252F">
        <w:rPr>
          <w:rFonts w:asciiTheme="minorHAnsi" w:hAnsiTheme="minorHAnsi" w:cstheme="minorHAnsi"/>
          <w:iCs/>
          <w:sz w:val="26"/>
          <w:szCs w:val="26"/>
        </w:rPr>
        <w:t>–</w:t>
      </w:r>
      <w:r w:rsidRPr="0098252F">
        <w:rPr>
          <w:rFonts w:asciiTheme="minorHAnsi" w:hAnsiTheme="minorHAnsi" w:cstheme="minorHAnsi"/>
          <w:sz w:val="26"/>
          <w:szCs w:val="26"/>
        </w:rPr>
        <w:t xml:space="preserve"> judecător la disciplina Drept procesual civil.</w:t>
      </w:r>
    </w:p>
    <w:p w14:paraId="14EBF8A4" w14:textId="083D2C7A" w:rsidR="007B5DE0" w:rsidRPr="004A72CD" w:rsidRDefault="007B5DE0"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Ca și în anii precedenți, s-a urmărit asigurarea unei dezvoltări a pregătirii profesionale permanente a personalului propriu, prin facilitarea participării la programe de formare profesională adaptate specificului activității desfășurate, organizate de către S</w:t>
      </w:r>
      <w:r w:rsidR="00700391" w:rsidRPr="004A72CD">
        <w:rPr>
          <w:rFonts w:asciiTheme="minorHAnsi" w:hAnsiTheme="minorHAnsi" w:cstheme="minorHAnsi"/>
          <w:sz w:val="26"/>
          <w:szCs w:val="26"/>
        </w:rPr>
        <w:t>.</w:t>
      </w:r>
      <w:r w:rsidRPr="004A72CD">
        <w:rPr>
          <w:rFonts w:asciiTheme="minorHAnsi" w:hAnsiTheme="minorHAnsi" w:cstheme="minorHAnsi"/>
          <w:sz w:val="26"/>
          <w:szCs w:val="26"/>
        </w:rPr>
        <w:t>N</w:t>
      </w:r>
      <w:r w:rsidR="00700391" w:rsidRPr="004A72CD">
        <w:rPr>
          <w:rFonts w:asciiTheme="minorHAnsi" w:hAnsiTheme="minorHAnsi" w:cstheme="minorHAnsi"/>
          <w:sz w:val="26"/>
          <w:szCs w:val="26"/>
        </w:rPr>
        <w:t>.</w:t>
      </w:r>
      <w:r w:rsidRPr="004A72CD">
        <w:rPr>
          <w:rFonts w:asciiTheme="minorHAnsi" w:hAnsiTheme="minorHAnsi" w:cstheme="minorHAnsi"/>
          <w:sz w:val="26"/>
          <w:szCs w:val="26"/>
        </w:rPr>
        <w:t>G</w:t>
      </w:r>
      <w:r w:rsidR="00700391" w:rsidRPr="004A72CD">
        <w:rPr>
          <w:rFonts w:asciiTheme="minorHAnsi" w:hAnsiTheme="minorHAnsi" w:cstheme="minorHAnsi"/>
          <w:sz w:val="26"/>
          <w:szCs w:val="26"/>
        </w:rPr>
        <w:t>.</w:t>
      </w:r>
      <w:r w:rsidRPr="004A72CD">
        <w:rPr>
          <w:rFonts w:asciiTheme="minorHAnsi" w:hAnsiTheme="minorHAnsi" w:cstheme="minorHAnsi"/>
          <w:sz w:val="26"/>
          <w:szCs w:val="26"/>
        </w:rPr>
        <w:t>, cât și de către instituții de profil, cu precădere acțiuni de formare desfășurate în cadrul unor proiecte internaționale, cum sunt proiectele implementate alături de Academia de Drept European (E</w:t>
      </w:r>
      <w:r w:rsidR="00700391" w:rsidRPr="004A72CD">
        <w:rPr>
          <w:rFonts w:asciiTheme="minorHAnsi" w:hAnsiTheme="minorHAnsi" w:cstheme="minorHAnsi"/>
          <w:sz w:val="26"/>
          <w:szCs w:val="26"/>
        </w:rPr>
        <w:t>.</w:t>
      </w:r>
      <w:r w:rsidRPr="004A72CD">
        <w:rPr>
          <w:rFonts w:asciiTheme="minorHAnsi" w:hAnsiTheme="minorHAnsi" w:cstheme="minorHAnsi"/>
          <w:sz w:val="26"/>
          <w:szCs w:val="26"/>
        </w:rPr>
        <w:t>R</w:t>
      </w:r>
      <w:r w:rsidR="00700391" w:rsidRPr="004A72CD">
        <w:rPr>
          <w:rFonts w:asciiTheme="minorHAnsi" w:hAnsiTheme="minorHAnsi" w:cstheme="minorHAnsi"/>
          <w:sz w:val="26"/>
          <w:szCs w:val="26"/>
        </w:rPr>
        <w:t>.</w:t>
      </w:r>
      <w:r w:rsidRPr="004A72CD">
        <w:rPr>
          <w:rFonts w:asciiTheme="minorHAnsi" w:hAnsiTheme="minorHAnsi" w:cstheme="minorHAnsi"/>
          <w:sz w:val="26"/>
          <w:szCs w:val="26"/>
        </w:rPr>
        <w:t>A</w:t>
      </w:r>
      <w:r w:rsidR="00700391" w:rsidRPr="004A72CD">
        <w:rPr>
          <w:rFonts w:asciiTheme="minorHAnsi" w:hAnsiTheme="minorHAnsi" w:cstheme="minorHAnsi"/>
          <w:sz w:val="26"/>
          <w:szCs w:val="26"/>
        </w:rPr>
        <w:t>.</w:t>
      </w:r>
      <w:r w:rsidRPr="004A72CD">
        <w:rPr>
          <w:rFonts w:asciiTheme="minorHAnsi" w:hAnsiTheme="minorHAnsi" w:cstheme="minorHAnsi"/>
          <w:sz w:val="26"/>
          <w:szCs w:val="26"/>
        </w:rPr>
        <w:t>) și de Rețeaua Europeană de Formare Judiciară (E</w:t>
      </w:r>
      <w:r w:rsidR="00700391" w:rsidRPr="004A72CD">
        <w:rPr>
          <w:rFonts w:asciiTheme="minorHAnsi" w:hAnsiTheme="minorHAnsi" w:cstheme="minorHAnsi"/>
          <w:sz w:val="26"/>
          <w:szCs w:val="26"/>
        </w:rPr>
        <w:t>.</w:t>
      </w:r>
      <w:r w:rsidRPr="004A72CD">
        <w:rPr>
          <w:rFonts w:asciiTheme="minorHAnsi" w:hAnsiTheme="minorHAnsi" w:cstheme="minorHAnsi"/>
          <w:sz w:val="26"/>
          <w:szCs w:val="26"/>
        </w:rPr>
        <w:t>J</w:t>
      </w:r>
      <w:r w:rsidR="00700391" w:rsidRPr="004A72CD">
        <w:rPr>
          <w:rFonts w:asciiTheme="minorHAnsi" w:hAnsiTheme="minorHAnsi" w:cstheme="minorHAnsi"/>
          <w:sz w:val="26"/>
          <w:szCs w:val="26"/>
        </w:rPr>
        <w:t>.</w:t>
      </w:r>
      <w:r w:rsidRPr="004A72CD">
        <w:rPr>
          <w:rFonts w:asciiTheme="minorHAnsi" w:hAnsiTheme="minorHAnsi" w:cstheme="minorHAnsi"/>
          <w:sz w:val="26"/>
          <w:szCs w:val="26"/>
        </w:rPr>
        <w:t>T</w:t>
      </w:r>
      <w:r w:rsidR="00700391" w:rsidRPr="004A72CD">
        <w:rPr>
          <w:rFonts w:asciiTheme="minorHAnsi" w:hAnsiTheme="minorHAnsi" w:cstheme="minorHAnsi"/>
          <w:sz w:val="26"/>
          <w:szCs w:val="26"/>
        </w:rPr>
        <w:t>.</w:t>
      </w:r>
      <w:r w:rsidRPr="004A72CD">
        <w:rPr>
          <w:rFonts w:asciiTheme="minorHAnsi" w:hAnsiTheme="minorHAnsi" w:cstheme="minorHAnsi"/>
          <w:sz w:val="26"/>
          <w:szCs w:val="26"/>
        </w:rPr>
        <w:t>N</w:t>
      </w:r>
      <w:r w:rsidR="00700391" w:rsidRPr="004A72CD">
        <w:rPr>
          <w:rFonts w:asciiTheme="minorHAnsi" w:hAnsiTheme="minorHAnsi" w:cstheme="minorHAnsi"/>
          <w:sz w:val="26"/>
          <w:szCs w:val="26"/>
        </w:rPr>
        <w:t>.</w:t>
      </w:r>
      <w:r w:rsidRPr="004A72CD">
        <w:rPr>
          <w:rFonts w:asciiTheme="minorHAnsi" w:hAnsiTheme="minorHAnsi" w:cstheme="minorHAnsi"/>
          <w:sz w:val="26"/>
          <w:szCs w:val="26"/>
        </w:rPr>
        <w:t xml:space="preserve">), precum și de alte instituții de formare judiciară din cadrul Uniunii Europene. </w:t>
      </w:r>
      <w:r w:rsidR="0022250C" w:rsidRPr="004A72CD">
        <w:rPr>
          <w:rFonts w:asciiTheme="minorHAnsi" w:hAnsiTheme="minorHAnsi" w:cstheme="minorHAnsi"/>
          <w:sz w:val="26"/>
          <w:szCs w:val="26"/>
        </w:rPr>
        <w:t>Trebuie precizat</w:t>
      </w:r>
      <w:r w:rsidRPr="004A72CD">
        <w:rPr>
          <w:rFonts w:asciiTheme="minorHAnsi" w:hAnsiTheme="minorHAnsi" w:cstheme="minorHAnsi"/>
          <w:sz w:val="26"/>
          <w:szCs w:val="26"/>
        </w:rPr>
        <w:t xml:space="preserve"> în acest context că, urmare a dobândirii de către Școala Națională de Grefieri a statutului de membru asociat al Rețelei Europene de Formare Judiciară</w:t>
      </w:r>
      <w:r w:rsidR="0022250C" w:rsidRPr="004A72CD">
        <w:rPr>
          <w:rFonts w:asciiTheme="minorHAnsi" w:hAnsiTheme="minorHAnsi" w:cstheme="minorHAnsi"/>
          <w:sz w:val="26"/>
          <w:szCs w:val="26"/>
        </w:rPr>
        <w:t xml:space="preserve">, </w:t>
      </w:r>
      <w:r w:rsidRPr="004A72CD">
        <w:rPr>
          <w:rFonts w:asciiTheme="minorHAnsi" w:hAnsiTheme="minorHAnsi" w:cstheme="minorHAnsi"/>
          <w:sz w:val="26"/>
          <w:szCs w:val="26"/>
        </w:rPr>
        <w:t>cu ocazia Adunării Generale a E</w:t>
      </w:r>
      <w:r w:rsidR="0051125A" w:rsidRPr="004A72CD">
        <w:rPr>
          <w:rFonts w:asciiTheme="minorHAnsi" w:hAnsiTheme="minorHAnsi" w:cstheme="minorHAnsi"/>
          <w:sz w:val="26"/>
          <w:szCs w:val="26"/>
        </w:rPr>
        <w:t>.</w:t>
      </w:r>
      <w:r w:rsidRPr="004A72CD">
        <w:rPr>
          <w:rFonts w:asciiTheme="minorHAnsi" w:hAnsiTheme="minorHAnsi" w:cstheme="minorHAnsi"/>
          <w:sz w:val="26"/>
          <w:szCs w:val="26"/>
        </w:rPr>
        <w:t>J</w:t>
      </w:r>
      <w:r w:rsidR="0051125A" w:rsidRPr="004A72CD">
        <w:rPr>
          <w:rFonts w:asciiTheme="minorHAnsi" w:hAnsiTheme="minorHAnsi" w:cstheme="minorHAnsi"/>
          <w:sz w:val="26"/>
          <w:szCs w:val="26"/>
        </w:rPr>
        <w:t>.</w:t>
      </w:r>
      <w:r w:rsidRPr="004A72CD">
        <w:rPr>
          <w:rFonts w:asciiTheme="minorHAnsi" w:hAnsiTheme="minorHAnsi" w:cstheme="minorHAnsi"/>
          <w:sz w:val="26"/>
          <w:szCs w:val="26"/>
        </w:rPr>
        <w:t>T</w:t>
      </w:r>
      <w:r w:rsidR="0051125A" w:rsidRPr="004A72CD">
        <w:rPr>
          <w:rFonts w:asciiTheme="minorHAnsi" w:hAnsiTheme="minorHAnsi" w:cstheme="minorHAnsi"/>
          <w:sz w:val="26"/>
          <w:szCs w:val="26"/>
        </w:rPr>
        <w:t>.</w:t>
      </w:r>
      <w:r w:rsidRPr="004A72CD">
        <w:rPr>
          <w:rFonts w:asciiTheme="minorHAnsi" w:hAnsiTheme="minorHAnsi" w:cstheme="minorHAnsi"/>
          <w:sz w:val="26"/>
          <w:szCs w:val="26"/>
        </w:rPr>
        <w:t>N</w:t>
      </w:r>
      <w:r w:rsidR="0051125A" w:rsidRPr="004A72CD">
        <w:rPr>
          <w:rFonts w:asciiTheme="minorHAnsi" w:hAnsiTheme="minorHAnsi" w:cstheme="minorHAnsi"/>
          <w:sz w:val="26"/>
          <w:szCs w:val="26"/>
        </w:rPr>
        <w:t>.</w:t>
      </w:r>
      <w:r w:rsidRPr="004A72CD">
        <w:rPr>
          <w:rFonts w:asciiTheme="minorHAnsi" w:hAnsiTheme="minorHAnsi" w:cstheme="minorHAnsi"/>
          <w:sz w:val="26"/>
          <w:szCs w:val="26"/>
        </w:rPr>
        <w:t xml:space="preserve"> din 17-18</w:t>
      </w:r>
      <w:r w:rsidR="0030317D" w:rsidRPr="004A72CD">
        <w:rPr>
          <w:rFonts w:asciiTheme="minorHAnsi" w:hAnsiTheme="minorHAnsi" w:cstheme="minorHAnsi"/>
          <w:sz w:val="26"/>
          <w:szCs w:val="26"/>
        </w:rPr>
        <w:t>.06.</w:t>
      </w:r>
      <w:r w:rsidRPr="004A72CD">
        <w:rPr>
          <w:rFonts w:asciiTheme="minorHAnsi" w:hAnsiTheme="minorHAnsi" w:cstheme="minorHAnsi"/>
          <w:sz w:val="26"/>
          <w:szCs w:val="26"/>
        </w:rPr>
        <w:t>2021, acest statut a permis accesarea programelor internaționale de formare ale rețelei, inclusiv schimbul de bune practici în domeniul formării grefierilor.</w:t>
      </w:r>
    </w:p>
    <w:p w14:paraId="3BAE79A7" w14:textId="7EFE0EC4" w:rsidR="007B5DE0" w:rsidRPr="004A72CD" w:rsidRDefault="007B5DE0" w:rsidP="00D51F5A">
      <w:pPr>
        <w:spacing w:line="276" w:lineRule="auto"/>
        <w:ind w:right="15"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În ceea ce privește Statul de funcții și Statul de personal ale Școlii Naționale de Grefieri, documente ce transpun pe structura organizatorică aprobată prin Regulamentul de organizare și funcționare al Școlii Naționale de Grefieri numărul de posturi și repartizarea personalului Școlii, prin Hotărârea Plenului </w:t>
      </w:r>
      <w:r w:rsidRPr="004A72CD">
        <w:rPr>
          <w:rFonts w:asciiTheme="minorHAnsi" w:hAnsiTheme="minorHAnsi" w:cstheme="minorHAnsi"/>
          <w:iCs/>
          <w:sz w:val="26"/>
          <w:szCs w:val="26"/>
        </w:rPr>
        <w:t>Consiliului Superior al Magistraturii</w:t>
      </w:r>
      <w:r w:rsidRPr="004A72CD">
        <w:rPr>
          <w:rFonts w:asciiTheme="minorHAnsi" w:hAnsiTheme="minorHAnsi" w:cstheme="minorHAnsi"/>
          <w:sz w:val="26"/>
          <w:szCs w:val="26"/>
        </w:rPr>
        <w:t xml:space="preserve"> nr. 49/21</w:t>
      </w:r>
      <w:r w:rsidR="00D143B8" w:rsidRPr="004A72CD">
        <w:rPr>
          <w:rFonts w:asciiTheme="minorHAnsi" w:hAnsiTheme="minorHAnsi" w:cstheme="minorHAnsi"/>
          <w:sz w:val="26"/>
          <w:szCs w:val="26"/>
        </w:rPr>
        <w:t>.</w:t>
      </w:r>
      <w:r w:rsidR="00E55E18" w:rsidRPr="004A72CD">
        <w:rPr>
          <w:rFonts w:asciiTheme="minorHAnsi" w:hAnsiTheme="minorHAnsi" w:cstheme="minorHAnsi"/>
          <w:sz w:val="26"/>
          <w:szCs w:val="26"/>
        </w:rPr>
        <w:t>03</w:t>
      </w:r>
      <w:r w:rsidR="00D143B8" w:rsidRPr="004A72CD">
        <w:rPr>
          <w:rFonts w:asciiTheme="minorHAnsi" w:hAnsiTheme="minorHAnsi" w:cstheme="minorHAnsi"/>
          <w:sz w:val="26"/>
          <w:szCs w:val="26"/>
        </w:rPr>
        <w:t>.</w:t>
      </w:r>
      <w:r w:rsidRPr="004A72CD">
        <w:rPr>
          <w:rFonts w:asciiTheme="minorHAnsi" w:hAnsiTheme="minorHAnsi" w:cstheme="minorHAnsi"/>
          <w:sz w:val="26"/>
          <w:szCs w:val="26"/>
        </w:rPr>
        <w:t>2024 au fost aprobate Statul de funcții și Statul de personal ale S</w:t>
      </w:r>
      <w:r w:rsidR="00E55E18" w:rsidRPr="004A72CD">
        <w:rPr>
          <w:rFonts w:asciiTheme="minorHAnsi" w:hAnsiTheme="minorHAnsi" w:cstheme="minorHAnsi"/>
          <w:sz w:val="26"/>
          <w:szCs w:val="26"/>
        </w:rPr>
        <w:t>.</w:t>
      </w:r>
      <w:r w:rsidRPr="004A72CD">
        <w:rPr>
          <w:rFonts w:asciiTheme="minorHAnsi" w:hAnsiTheme="minorHAnsi" w:cstheme="minorHAnsi"/>
          <w:sz w:val="26"/>
          <w:szCs w:val="26"/>
        </w:rPr>
        <w:t>N</w:t>
      </w:r>
      <w:r w:rsidR="00E55E18" w:rsidRPr="004A72CD">
        <w:rPr>
          <w:rFonts w:asciiTheme="minorHAnsi" w:hAnsiTheme="minorHAnsi" w:cstheme="minorHAnsi"/>
          <w:sz w:val="26"/>
          <w:szCs w:val="26"/>
        </w:rPr>
        <w:t>.</w:t>
      </w:r>
      <w:r w:rsidRPr="004A72CD">
        <w:rPr>
          <w:rFonts w:asciiTheme="minorHAnsi" w:hAnsiTheme="minorHAnsi" w:cstheme="minorHAnsi"/>
          <w:sz w:val="26"/>
          <w:szCs w:val="26"/>
        </w:rPr>
        <w:t>G</w:t>
      </w:r>
      <w:r w:rsidR="00E55E18" w:rsidRPr="004A72CD">
        <w:rPr>
          <w:rFonts w:asciiTheme="minorHAnsi" w:hAnsiTheme="minorHAnsi" w:cstheme="minorHAnsi"/>
          <w:sz w:val="26"/>
          <w:szCs w:val="26"/>
        </w:rPr>
        <w:t>.</w:t>
      </w:r>
      <w:r w:rsidRPr="004A72CD">
        <w:rPr>
          <w:rFonts w:asciiTheme="minorHAnsi" w:hAnsiTheme="minorHAnsi" w:cstheme="minorHAnsi"/>
          <w:sz w:val="26"/>
          <w:szCs w:val="26"/>
        </w:rPr>
        <w:t xml:space="preserve"> valabile la data de </w:t>
      </w:r>
      <w:r w:rsidR="00B4598D" w:rsidRPr="004A72CD">
        <w:rPr>
          <w:rFonts w:asciiTheme="minorHAnsi" w:hAnsiTheme="minorHAnsi" w:cstheme="minorHAnsi"/>
          <w:sz w:val="26"/>
          <w:szCs w:val="26"/>
        </w:rPr>
        <w:t>0</w:t>
      </w:r>
      <w:r w:rsidRPr="004A72CD">
        <w:rPr>
          <w:rFonts w:asciiTheme="minorHAnsi" w:hAnsiTheme="minorHAnsi" w:cstheme="minorHAnsi"/>
          <w:sz w:val="26"/>
          <w:szCs w:val="26"/>
        </w:rPr>
        <w:t>1</w:t>
      </w:r>
      <w:r w:rsidR="00D143B8" w:rsidRPr="004A72CD">
        <w:rPr>
          <w:rFonts w:asciiTheme="minorHAnsi" w:hAnsiTheme="minorHAnsi" w:cstheme="minorHAnsi"/>
          <w:sz w:val="26"/>
          <w:szCs w:val="26"/>
        </w:rPr>
        <w:t>.</w:t>
      </w:r>
      <w:r w:rsidR="00E55E18" w:rsidRPr="004A72CD">
        <w:rPr>
          <w:rFonts w:asciiTheme="minorHAnsi" w:hAnsiTheme="minorHAnsi" w:cstheme="minorHAnsi"/>
          <w:sz w:val="26"/>
          <w:szCs w:val="26"/>
        </w:rPr>
        <w:t>03</w:t>
      </w:r>
      <w:r w:rsidR="00D143B8" w:rsidRPr="004A72CD">
        <w:rPr>
          <w:rFonts w:asciiTheme="minorHAnsi" w:hAnsiTheme="minorHAnsi" w:cstheme="minorHAnsi"/>
          <w:sz w:val="26"/>
          <w:szCs w:val="26"/>
        </w:rPr>
        <w:t>.</w:t>
      </w:r>
      <w:r w:rsidRPr="004A72CD">
        <w:rPr>
          <w:rFonts w:asciiTheme="minorHAnsi" w:hAnsiTheme="minorHAnsi" w:cstheme="minorHAnsi"/>
          <w:sz w:val="26"/>
          <w:szCs w:val="26"/>
        </w:rPr>
        <w:t>2024.</w:t>
      </w:r>
    </w:p>
    <w:p w14:paraId="2F7DDFD9" w14:textId="772C9D87" w:rsidR="007B5DE0" w:rsidRPr="004A72CD" w:rsidRDefault="007B5DE0" w:rsidP="00D51F5A">
      <w:pPr>
        <w:shd w:val="clear" w:color="auto" w:fill="FFFFFF"/>
        <w:spacing w:line="276" w:lineRule="auto"/>
        <w:ind w:firstLine="709"/>
        <w:jc w:val="both"/>
        <w:rPr>
          <w:rFonts w:asciiTheme="minorHAnsi" w:hAnsiTheme="minorHAnsi" w:cstheme="minorHAnsi"/>
          <w:sz w:val="26"/>
          <w:szCs w:val="26"/>
        </w:rPr>
      </w:pPr>
      <w:r w:rsidRPr="004A72CD">
        <w:rPr>
          <w:rFonts w:asciiTheme="minorHAnsi" w:hAnsiTheme="minorHAnsi" w:cstheme="minorHAnsi"/>
          <w:iCs/>
          <w:sz w:val="26"/>
          <w:szCs w:val="26"/>
        </w:rPr>
        <w:t xml:space="preserve">Cu privire la cadrul normativ care reglementează activitatea Școlii, în cursul anului 2024 </w:t>
      </w:r>
      <w:r w:rsidR="00C2605B">
        <w:rPr>
          <w:rFonts w:asciiTheme="minorHAnsi" w:hAnsiTheme="minorHAnsi" w:cstheme="minorHAnsi"/>
          <w:iCs/>
          <w:sz w:val="26"/>
          <w:szCs w:val="26"/>
        </w:rPr>
        <w:t xml:space="preserve">            </w:t>
      </w:r>
      <w:r w:rsidRPr="004A72CD">
        <w:rPr>
          <w:rFonts w:asciiTheme="minorHAnsi" w:hAnsiTheme="minorHAnsi" w:cstheme="minorHAnsi"/>
          <w:iCs/>
          <w:sz w:val="26"/>
          <w:szCs w:val="26"/>
        </w:rPr>
        <w:t xml:space="preserve">s-a formulat o propunere de modificare a Regulamentului </w:t>
      </w:r>
      <w:r w:rsidRPr="004A72CD">
        <w:rPr>
          <w:rFonts w:asciiTheme="minorHAnsi" w:hAnsiTheme="minorHAnsi" w:cstheme="minorHAnsi"/>
          <w:sz w:val="26"/>
          <w:szCs w:val="26"/>
        </w:rPr>
        <w:t>de organizare și funcționare al Școlii Naționale de Grefieri, aprobat prin Hotărârea Plenului Consiliului Superior al Magistraturii nr. 183/2007, cu modificările și completările ulterioare,</w:t>
      </w:r>
      <w:r w:rsidRPr="004A72CD">
        <w:rPr>
          <w:rFonts w:asciiTheme="minorHAnsi" w:hAnsiTheme="minorHAnsi" w:cstheme="minorHAnsi"/>
          <w:iCs/>
          <w:sz w:val="26"/>
          <w:szCs w:val="26"/>
        </w:rPr>
        <w:t xml:space="preserve"> într-un demers mai amplu de îmbunătățire a actelor normative secundare ce reglementează organizarea și funcționarea Școlii. Prin </w:t>
      </w:r>
      <w:r w:rsidRPr="004A72CD">
        <w:rPr>
          <w:rFonts w:asciiTheme="minorHAnsi" w:hAnsiTheme="minorHAnsi" w:cstheme="minorHAnsi"/>
          <w:sz w:val="26"/>
          <w:szCs w:val="26"/>
        </w:rPr>
        <w:t>Hotărârea Plenului Consiliului Superior al Magistraturii nr. 138/18</w:t>
      </w:r>
      <w:r w:rsidR="00D143B8" w:rsidRPr="004A72CD">
        <w:rPr>
          <w:rFonts w:asciiTheme="minorHAnsi" w:hAnsiTheme="minorHAnsi" w:cstheme="minorHAnsi"/>
          <w:sz w:val="26"/>
          <w:szCs w:val="26"/>
        </w:rPr>
        <w:t>.</w:t>
      </w:r>
      <w:r w:rsidR="00E55E18" w:rsidRPr="004A72CD">
        <w:rPr>
          <w:rFonts w:asciiTheme="minorHAnsi" w:hAnsiTheme="minorHAnsi" w:cstheme="minorHAnsi"/>
          <w:sz w:val="26"/>
          <w:szCs w:val="26"/>
        </w:rPr>
        <w:t>06</w:t>
      </w:r>
      <w:r w:rsidR="00D143B8" w:rsidRPr="004A72CD">
        <w:rPr>
          <w:rFonts w:asciiTheme="minorHAnsi" w:hAnsiTheme="minorHAnsi" w:cstheme="minorHAnsi"/>
          <w:sz w:val="26"/>
          <w:szCs w:val="26"/>
        </w:rPr>
        <w:t>.</w:t>
      </w:r>
      <w:r w:rsidRPr="004A72CD">
        <w:rPr>
          <w:rFonts w:asciiTheme="minorHAnsi" w:hAnsiTheme="minorHAnsi" w:cstheme="minorHAnsi"/>
          <w:sz w:val="26"/>
          <w:szCs w:val="26"/>
        </w:rPr>
        <w:t>2024</w:t>
      </w:r>
      <w:r w:rsidR="0022250C" w:rsidRPr="004A72CD">
        <w:rPr>
          <w:rFonts w:asciiTheme="minorHAnsi" w:hAnsiTheme="minorHAnsi" w:cstheme="minorHAnsi"/>
          <w:sz w:val="26"/>
          <w:szCs w:val="26"/>
        </w:rPr>
        <w:t xml:space="preserve">, </w:t>
      </w:r>
      <w:r w:rsidRPr="004A72CD">
        <w:rPr>
          <w:rFonts w:asciiTheme="minorHAnsi" w:hAnsiTheme="minorHAnsi" w:cstheme="minorHAnsi"/>
          <w:sz w:val="26"/>
          <w:szCs w:val="26"/>
        </w:rPr>
        <w:t xml:space="preserve">publicată în </w:t>
      </w:r>
      <w:r w:rsidRPr="004A72CD">
        <w:rPr>
          <w:rFonts w:asciiTheme="minorHAnsi" w:hAnsiTheme="minorHAnsi" w:cstheme="minorHAnsi"/>
          <w:bCs/>
          <w:color w:val="000000"/>
          <w:sz w:val="26"/>
          <w:szCs w:val="26"/>
          <w:shd w:val="clear" w:color="auto" w:fill="FFFFFF"/>
        </w:rPr>
        <w:t>M</w:t>
      </w:r>
      <w:r w:rsidR="00D34DBC" w:rsidRPr="004A72CD">
        <w:rPr>
          <w:rFonts w:asciiTheme="minorHAnsi" w:hAnsiTheme="minorHAnsi" w:cstheme="minorHAnsi"/>
          <w:bCs/>
          <w:color w:val="000000"/>
          <w:sz w:val="26"/>
          <w:szCs w:val="26"/>
          <w:shd w:val="clear" w:color="auto" w:fill="FFFFFF"/>
        </w:rPr>
        <w:t xml:space="preserve">onitorul </w:t>
      </w:r>
      <w:r w:rsidRPr="004A72CD">
        <w:rPr>
          <w:rFonts w:asciiTheme="minorHAnsi" w:hAnsiTheme="minorHAnsi" w:cstheme="minorHAnsi"/>
          <w:bCs/>
          <w:color w:val="000000"/>
          <w:sz w:val="26"/>
          <w:szCs w:val="26"/>
          <w:shd w:val="clear" w:color="auto" w:fill="FFFFFF"/>
        </w:rPr>
        <w:t>Of</w:t>
      </w:r>
      <w:r w:rsidR="00D34DBC" w:rsidRPr="004A72CD">
        <w:rPr>
          <w:rFonts w:asciiTheme="minorHAnsi" w:hAnsiTheme="minorHAnsi" w:cstheme="minorHAnsi"/>
          <w:bCs/>
          <w:color w:val="000000"/>
          <w:sz w:val="26"/>
          <w:szCs w:val="26"/>
          <w:shd w:val="clear" w:color="auto" w:fill="FFFFFF"/>
        </w:rPr>
        <w:t>icial al României</w:t>
      </w:r>
      <w:r w:rsidRPr="004A72CD">
        <w:rPr>
          <w:rFonts w:asciiTheme="minorHAnsi" w:hAnsiTheme="minorHAnsi" w:cstheme="minorHAnsi"/>
          <w:bCs/>
          <w:color w:val="000000"/>
          <w:sz w:val="26"/>
          <w:szCs w:val="26"/>
          <w:shd w:val="clear" w:color="auto" w:fill="FFFFFF"/>
        </w:rPr>
        <w:t xml:space="preserve"> nr. 593/26</w:t>
      </w:r>
      <w:r w:rsidR="00D143B8" w:rsidRPr="004A72CD">
        <w:rPr>
          <w:rFonts w:asciiTheme="minorHAnsi" w:hAnsiTheme="minorHAnsi" w:cstheme="minorHAnsi"/>
          <w:bCs/>
          <w:color w:val="000000"/>
          <w:sz w:val="26"/>
          <w:szCs w:val="26"/>
          <w:shd w:val="clear" w:color="auto" w:fill="FFFFFF"/>
        </w:rPr>
        <w:t>.</w:t>
      </w:r>
      <w:r w:rsidR="00D34DBC" w:rsidRPr="004A72CD">
        <w:rPr>
          <w:rFonts w:asciiTheme="minorHAnsi" w:hAnsiTheme="minorHAnsi" w:cstheme="minorHAnsi"/>
          <w:bCs/>
          <w:color w:val="000000"/>
          <w:sz w:val="26"/>
          <w:szCs w:val="26"/>
          <w:shd w:val="clear" w:color="auto" w:fill="FFFFFF"/>
        </w:rPr>
        <w:t>06</w:t>
      </w:r>
      <w:r w:rsidR="00D143B8" w:rsidRPr="004A72CD">
        <w:rPr>
          <w:rFonts w:asciiTheme="minorHAnsi" w:hAnsiTheme="minorHAnsi" w:cstheme="minorHAnsi"/>
          <w:bCs/>
          <w:color w:val="000000"/>
          <w:sz w:val="26"/>
          <w:szCs w:val="26"/>
          <w:shd w:val="clear" w:color="auto" w:fill="FFFFFF"/>
        </w:rPr>
        <w:t>.</w:t>
      </w:r>
      <w:r w:rsidRPr="004A72CD">
        <w:rPr>
          <w:rFonts w:asciiTheme="minorHAnsi" w:hAnsiTheme="minorHAnsi" w:cstheme="minorHAnsi"/>
          <w:bCs/>
          <w:color w:val="000000"/>
          <w:sz w:val="26"/>
          <w:szCs w:val="26"/>
          <w:shd w:val="clear" w:color="auto" w:fill="FFFFFF"/>
        </w:rPr>
        <w:t>2024</w:t>
      </w:r>
      <w:r w:rsidR="0022250C" w:rsidRPr="004A72CD">
        <w:rPr>
          <w:rFonts w:asciiTheme="minorHAnsi" w:hAnsiTheme="minorHAnsi" w:cstheme="minorHAnsi"/>
          <w:sz w:val="26"/>
          <w:szCs w:val="26"/>
        </w:rPr>
        <w:t>,</w:t>
      </w:r>
      <w:r w:rsidRPr="004A72CD">
        <w:rPr>
          <w:rFonts w:asciiTheme="minorHAnsi" w:hAnsiTheme="minorHAnsi" w:cstheme="minorHAnsi"/>
          <w:sz w:val="26"/>
          <w:szCs w:val="26"/>
        </w:rPr>
        <w:t xml:space="preserve"> a fost aprobată modificarea </w:t>
      </w:r>
      <w:r w:rsidRPr="004A72CD">
        <w:rPr>
          <w:rFonts w:asciiTheme="minorHAnsi" w:hAnsiTheme="minorHAnsi" w:cstheme="minorHAnsi"/>
          <w:iCs/>
          <w:sz w:val="26"/>
          <w:szCs w:val="26"/>
        </w:rPr>
        <w:t xml:space="preserve">Regulamentului </w:t>
      </w:r>
      <w:r w:rsidRPr="004A72CD">
        <w:rPr>
          <w:rFonts w:asciiTheme="minorHAnsi" w:hAnsiTheme="minorHAnsi" w:cstheme="minorHAnsi"/>
          <w:sz w:val="26"/>
          <w:szCs w:val="26"/>
        </w:rPr>
        <w:t>de organizare și funcționare a Școlii Naționale de Grefieri.</w:t>
      </w:r>
    </w:p>
    <w:p w14:paraId="0B015C0E" w14:textId="7866B7D5" w:rsidR="007B5DE0" w:rsidRPr="004A72CD" w:rsidRDefault="007B5DE0" w:rsidP="00D51F5A">
      <w:pPr>
        <w:spacing w:line="276" w:lineRule="auto"/>
        <w:ind w:right="15"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În aplicarea dispozițiilor Legii nr. 296/2023, a fost obținut avizul Agenției Naționale a Funcționarilor </w:t>
      </w:r>
      <w:r w:rsidR="00CD2E9E" w:rsidRPr="004A72CD">
        <w:rPr>
          <w:rFonts w:asciiTheme="minorHAnsi" w:hAnsiTheme="minorHAnsi" w:cstheme="minorHAnsi"/>
          <w:sz w:val="26"/>
          <w:szCs w:val="26"/>
        </w:rPr>
        <w:t>P</w:t>
      </w:r>
      <w:r w:rsidRPr="004A72CD">
        <w:rPr>
          <w:rFonts w:asciiTheme="minorHAnsi" w:hAnsiTheme="minorHAnsi" w:cstheme="minorHAnsi"/>
          <w:sz w:val="26"/>
          <w:szCs w:val="26"/>
        </w:rPr>
        <w:t>ublici privind reorganizarea instituțiilor publice, astfel că au fost aprobate prin Hotărârea Plenului Consiliului Superior al Magistraturii nr. 135/18</w:t>
      </w:r>
      <w:r w:rsidR="00B1402D" w:rsidRPr="004A72CD">
        <w:rPr>
          <w:rFonts w:asciiTheme="minorHAnsi" w:hAnsiTheme="minorHAnsi" w:cstheme="minorHAnsi"/>
          <w:sz w:val="26"/>
          <w:szCs w:val="26"/>
        </w:rPr>
        <w:t>.</w:t>
      </w:r>
      <w:r w:rsidR="00CD2E9E" w:rsidRPr="004A72CD">
        <w:rPr>
          <w:rFonts w:asciiTheme="minorHAnsi" w:hAnsiTheme="minorHAnsi" w:cstheme="minorHAnsi"/>
          <w:sz w:val="26"/>
          <w:szCs w:val="26"/>
        </w:rPr>
        <w:t>06</w:t>
      </w:r>
      <w:r w:rsidR="00B1402D" w:rsidRPr="004A72CD">
        <w:rPr>
          <w:rFonts w:asciiTheme="minorHAnsi" w:hAnsiTheme="minorHAnsi" w:cstheme="minorHAnsi"/>
          <w:sz w:val="26"/>
          <w:szCs w:val="26"/>
        </w:rPr>
        <w:t>.</w:t>
      </w:r>
      <w:r w:rsidRPr="004A72CD">
        <w:rPr>
          <w:rFonts w:asciiTheme="minorHAnsi" w:hAnsiTheme="minorHAnsi" w:cstheme="minorHAnsi"/>
          <w:sz w:val="26"/>
          <w:szCs w:val="26"/>
        </w:rPr>
        <w:t xml:space="preserve">2024, modificată prin Hotărârea Plenului </w:t>
      </w:r>
      <w:r w:rsidR="00A0761A" w:rsidRPr="004A72CD">
        <w:rPr>
          <w:rFonts w:asciiTheme="minorHAnsi" w:hAnsiTheme="minorHAnsi" w:cstheme="minorHAnsi"/>
          <w:sz w:val="26"/>
          <w:szCs w:val="26"/>
        </w:rPr>
        <w:t xml:space="preserve">Consiliului Superior al Magistraturii </w:t>
      </w:r>
      <w:r w:rsidRPr="004A72CD">
        <w:rPr>
          <w:rFonts w:asciiTheme="minorHAnsi" w:hAnsiTheme="minorHAnsi" w:cstheme="minorHAnsi"/>
          <w:sz w:val="26"/>
          <w:szCs w:val="26"/>
        </w:rPr>
        <w:t>nr. 144/27</w:t>
      </w:r>
      <w:r w:rsidR="00B1402D" w:rsidRPr="004A72CD">
        <w:rPr>
          <w:rFonts w:asciiTheme="minorHAnsi" w:hAnsiTheme="minorHAnsi" w:cstheme="minorHAnsi"/>
          <w:sz w:val="26"/>
          <w:szCs w:val="26"/>
        </w:rPr>
        <w:t>.</w:t>
      </w:r>
      <w:r w:rsidR="00CD2E9E" w:rsidRPr="004A72CD">
        <w:rPr>
          <w:rFonts w:asciiTheme="minorHAnsi" w:hAnsiTheme="minorHAnsi" w:cstheme="minorHAnsi"/>
          <w:sz w:val="26"/>
          <w:szCs w:val="26"/>
        </w:rPr>
        <w:t>06</w:t>
      </w:r>
      <w:r w:rsidR="00B1402D" w:rsidRPr="004A72CD">
        <w:rPr>
          <w:rFonts w:asciiTheme="minorHAnsi" w:hAnsiTheme="minorHAnsi" w:cstheme="minorHAnsi"/>
          <w:sz w:val="26"/>
          <w:szCs w:val="26"/>
        </w:rPr>
        <w:t>.</w:t>
      </w:r>
      <w:r w:rsidRPr="004A72CD">
        <w:rPr>
          <w:rFonts w:asciiTheme="minorHAnsi" w:hAnsiTheme="minorHAnsi" w:cstheme="minorHAnsi"/>
          <w:sz w:val="26"/>
          <w:szCs w:val="26"/>
        </w:rPr>
        <w:t>2024, Statul de funcții și Statul de personal ale Școlii, valabile la data de 30 iunie 2024.</w:t>
      </w:r>
    </w:p>
    <w:p w14:paraId="4E353EDB" w14:textId="0A9B41F9" w:rsidR="007B5DE0" w:rsidRPr="004A72CD" w:rsidRDefault="007B5DE0" w:rsidP="00D51F5A">
      <w:pPr>
        <w:shd w:val="clear" w:color="auto" w:fill="FFFFFF"/>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Prin Hotărârea nr. 163/24</w:t>
      </w:r>
      <w:r w:rsidR="00B1402D" w:rsidRPr="004A72CD">
        <w:rPr>
          <w:rFonts w:asciiTheme="minorHAnsi" w:hAnsiTheme="minorHAnsi" w:cstheme="minorHAnsi"/>
          <w:sz w:val="26"/>
          <w:szCs w:val="26"/>
        </w:rPr>
        <w:t>.</w:t>
      </w:r>
      <w:r w:rsidR="00843C62" w:rsidRPr="004A72CD">
        <w:rPr>
          <w:rFonts w:asciiTheme="minorHAnsi" w:hAnsiTheme="minorHAnsi" w:cstheme="minorHAnsi"/>
          <w:sz w:val="26"/>
          <w:szCs w:val="26"/>
        </w:rPr>
        <w:t>07</w:t>
      </w:r>
      <w:r w:rsidR="00B1402D" w:rsidRPr="004A72CD">
        <w:rPr>
          <w:rFonts w:asciiTheme="minorHAnsi" w:hAnsiTheme="minorHAnsi" w:cstheme="minorHAnsi"/>
          <w:sz w:val="26"/>
          <w:szCs w:val="26"/>
        </w:rPr>
        <w:t>.</w:t>
      </w:r>
      <w:r w:rsidRPr="004A72CD">
        <w:rPr>
          <w:rFonts w:asciiTheme="minorHAnsi" w:hAnsiTheme="minorHAnsi" w:cstheme="minorHAnsi"/>
          <w:sz w:val="26"/>
          <w:szCs w:val="26"/>
        </w:rPr>
        <w:t xml:space="preserve">2024, ca urmare a solicitării Şcolii Naţionale de Grefieri de suplimentare a numărului de posturi, Plenul Consiliului Superior al Magistraturii a hotărât sesizarea Ministerului Justiţiei pentru iniţierea proiectului de hotărâre de Guvern în vederea suplimentării schemei de personal a Şcolii cu 25 de posturi, începând cu data de </w:t>
      </w:r>
      <w:r w:rsidR="00843C62" w:rsidRPr="004A72CD">
        <w:rPr>
          <w:rFonts w:asciiTheme="minorHAnsi" w:hAnsiTheme="minorHAnsi" w:cstheme="minorHAnsi"/>
          <w:sz w:val="26"/>
          <w:szCs w:val="26"/>
        </w:rPr>
        <w:t>0</w:t>
      </w:r>
      <w:r w:rsidRPr="004A72CD">
        <w:rPr>
          <w:rFonts w:asciiTheme="minorHAnsi" w:hAnsiTheme="minorHAnsi" w:cstheme="minorHAnsi"/>
          <w:sz w:val="26"/>
          <w:szCs w:val="26"/>
        </w:rPr>
        <w:t>1 iulie 2024.</w:t>
      </w:r>
    </w:p>
    <w:p w14:paraId="6BB9331E" w14:textId="476D8664" w:rsidR="007B5DE0" w:rsidRDefault="007B5DE0" w:rsidP="00D51F5A">
      <w:pPr>
        <w:shd w:val="clear" w:color="auto" w:fill="FFFFFF"/>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Ca urmare a acestui demers, a fost adoptată H</w:t>
      </w:r>
      <w:r w:rsidR="00B70E62" w:rsidRPr="004A72CD">
        <w:rPr>
          <w:rFonts w:asciiTheme="minorHAnsi" w:hAnsiTheme="minorHAnsi" w:cstheme="minorHAnsi"/>
          <w:sz w:val="26"/>
          <w:szCs w:val="26"/>
        </w:rPr>
        <w:t xml:space="preserve">otărârea </w:t>
      </w:r>
      <w:r w:rsidRPr="004A72CD">
        <w:rPr>
          <w:rFonts w:asciiTheme="minorHAnsi" w:hAnsiTheme="minorHAnsi" w:cstheme="minorHAnsi"/>
          <w:sz w:val="26"/>
          <w:szCs w:val="26"/>
        </w:rPr>
        <w:t>G</w:t>
      </w:r>
      <w:r w:rsidR="00B70E62" w:rsidRPr="004A72CD">
        <w:rPr>
          <w:rFonts w:asciiTheme="minorHAnsi" w:hAnsiTheme="minorHAnsi" w:cstheme="minorHAnsi"/>
          <w:sz w:val="26"/>
          <w:szCs w:val="26"/>
        </w:rPr>
        <w:t>uvernului</w:t>
      </w:r>
      <w:r w:rsidRPr="004A72CD">
        <w:rPr>
          <w:rFonts w:asciiTheme="minorHAnsi" w:hAnsiTheme="minorHAnsi" w:cstheme="minorHAnsi"/>
          <w:sz w:val="26"/>
          <w:szCs w:val="26"/>
        </w:rPr>
        <w:t xml:space="preserve"> nr. 892/25</w:t>
      </w:r>
      <w:r w:rsidR="00B1402D" w:rsidRPr="004A72CD">
        <w:rPr>
          <w:rFonts w:asciiTheme="minorHAnsi" w:hAnsiTheme="minorHAnsi" w:cstheme="minorHAnsi"/>
          <w:sz w:val="26"/>
          <w:szCs w:val="26"/>
        </w:rPr>
        <w:t>.</w:t>
      </w:r>
      <w:r w:rsidR="00B70E62" w:rsidRPr="004A72CD">
        <w:rPr>
          <w:rFonts w:asciiTheme="minorHAnsi" w:hAnsiTheme="minorHAnsi" w:cstheme="minorHAnsi"/>
          <w:sz w:val="26"/>
          <w:szCs w:val="26"/>
        </w:rPr>
        <w:t>07</w:t>
      </w:r>
      <w:r w:rsidR="00B1402D" w:rsidRPr="004A72CD">
        <w:rPr>
          <w:rFonts w:asciiTheme="minorHAnsi" w:hAnsiTheme="minorHAnsi" w:cstheme="minorHAnsi"/>
          <w:sz w:val="26"/>
          <w:szCs w:val="26"/>
        </w:rPr>
        <w:t>.</w:t>
      </w:r>
      <w:r w:rsidRPr="004A72CD">
        <w:rPr>
          <w:rFonts w:asciiTheme="minorHAnsi" w:hAnsiTheme="minorHAnsi" w:cstheme="minorHAnsi"/>
          <w:sz w:val="26"/>
          <w:szCs w:val="26"/>
        </w:rPr>
        <w:t>2024 privind stabilirea numărului maxim de posturi pentru Şcoala Naţională de Grefieri, publicată în M</w:t>
      </w:r>
      <w:r w:rsidR="00B70E62" w:rsidRPr="004A72CD">
        <w:rPr>
          <w:rFonts w:asciiTheme="minorHAnsi" w:hAnsiTheme="minorHAnsi" w:cstheme="minorHAnsi"/>
          <w:sz w:val="26"/>
          <w:szCs w:val="26"/>
        </w:rPr>
        <w:t xml:space="preserve">onitorul </w:t>
      </w:r>
      <w:r w:rsidRPr="004A72CD">
        <w:rPr>
          <w:rFonts w:asciiTheme="minorHAnsi" w:hAnsiTheme="minorHAnsi" w:cstheme="minorHAnsi"/>
          <w:sz w:val="26"/>
          <w:szCs w:val="26"/>
        </w:rPr>
        <w:t>Of</w:t>
      </w:r>
      <w:r w:rsidR="00B70E62" w:rsidRPr="004A72CD">
        <w:rPr>
          <w:rFonts w:asciiTheme="minorHAnsi" w:hAnsiTheme="minorHAnsi" w:cstheme="minorHAnsi"/>
          <w:sz w:val="26"/>
          <w:szCs w:val="26"/>
        </w:rPr>
        <w:t>icial al României</w:t>
      </w:r>
      <w:r w:rsidRPr="004A72CD">
        <w:rPr>
          <w:rFonts w:asciiTheme="minorHAnsi" w:hAnsiTheme="minorHAnsi" w:cstheme="minorHAnsi"/>
          <w:sz w:val="26"/>
          <w:szCs w:val="26"/>
        </w:rPr>
        <w:t xml:space="preserve"> nr. 735/26</w:t>
      </w:r>
      <w:r w:rsidR="00B1402D" w:rsidRPr="004A72CD">
        <w:rPr>
          <w:rFonts w:asciiTheme="minorHAnsi" w:hAnsiTheme="minorHAnsi" w:cstheme="minorHAnsi"/>
          <w:sz w:val="26"/>
          <w:szCs w:val="26"/>
        </w:rPr>
        <w:t>.</w:t>
      </w:r>
      <w:r w:rsidR="003567D5" w:rsidRPr="004A72CD">
        <w:rPr>
          <w:rFonts w:asciiTheme="minorHAnsi" w:hAnsiTheme="minorHAnsi" w:cstheme="minorHAnsi"/>
          <w:sz w:val="26"/>
          <w:szCs w:val="26"/>
        </w:rPr>
        <w:t>07</w:t>
      </w:r>
      <w:r w:rsidR="00B1402D" w:rsidRPr="004A72CD">
        <w:rPr>
          <w:rFonts w:asciiTheme="minorHAnsi" w:hAnsiTheme="minorHAnsi" w:cstheme="minorHAnsi"/>
          <w:sz w:val="26"/>
          <w:szCs w:val="26"/>
        </w:rPr>
        <w:t>.</w:t>
      </w:r>
      <w:r w:rsidRPr="004A72CD">
        <w:rPr>
          <w:rFonts w:asciiTheme="minorHAnsi" w:hAnsiTheme="minorHAnsi" w:cstheme="minorHAnsi"/>
          <w:sz w:val="26"/>
          <w:szCs w:val="26"/>
        </w:rPr>
        <w:t>2024, potrivit căreia Şcoala Naţională de Grefieri funcţionează cu un număr maxim de 75 de posturi.</w:t>
      </w:r>
    </w:p>
    <w:p w14:paraId="5835E0B6" w14:textId="77777777" w:rsidR="009847FC" w:rsidRPr="0098252F" w:rsidRDefault="009847FC" w:rsidP="009847FC">
      <w:pPr>
        <w:shd w:val="clear" w:color="auto" w:fill="FFFFFF"/>
        <w:spacing w:line="276" w:lineRule="auto"/>
        <w:ind w:firstLine="709"/>
        <w:jc w:val="both"/>
        <w:rPr>
          <w:rFonts w:asciiTheme="minorHAnsi" w:hAnsiTheme="minorHAnsi" w:cstheme="minorHAnsi"/>
          <w:noProof w:val="0"/>
          <w:sz w:val="26"/>
          <w:szCs w:val="26"/>
        </w:rPr>
      </w:pPr>
      <w:r w:rsidRPr="0098252F">
        <w:rPr>
          <w:rFonts w:asciiTheme="minorHAnsi" w:hAnsiTheme="minorHAnsi" w:cstheme="minorHAnsi"/>
          <w:noProof w:val="0"/>
          <w:sz w:val="26"/>
          <w:szCs w:val="26"/>
        </w:rPr>
        <w:lastRenderedPageBreak/>
        <w:t>Prin Hotărârea Plenului Consiliului Superior al Magistraturii nr. 197/29.10.2024 au fost aprobate Statul de funcții și Statul de personal ale Școlii, valabile la data de 15 octombrie 2024.</w:t>
      </w:r>
    </w:p>
    <w:p w14:paraId="3AEB04C1" w14:textId="2E5151E2" w:rsidR="007B5DE0" w:rsidRPr="004A72CD" w:rsidRDefault="007B5DE0" w:rsidP="00D51F5A">
      <w:pPr>
        <w:shd w:val="clear" w:color="auto" w:fill="FFFFFF"/>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În cursul anului 2024</w:t>
      </w:r>
      <w:r w:rsidR="0022250C" w:rsidRPr="004A72CD">
        <w:rPr>
          <w:rFonts w:asciiTheme="minorHAnsi" w:hAnsiTheme="minorHAnsi" w:cstheme="minorHAnsi"/>
          <w:sz w:val="26"/>
          <w:szCs w:val="26"/>
        </w:rPr>
        <w:t>,</w:t>
      </w:r>
      <w:r w:rsidRPr="004A72CD">
        <w:rPr>
          <w:rFonts w:asciiTheme="minorHAnsi" w:hAnsiTheme="minorHAnsi" w:cstheme="minorHAnsi"/>
          <w:sz w:val="26"/>
          <w:szCs w:val="26"/>
        </w:rPr>
        <w:t xml:space="preserve"> fluctuația personalului pe funcțiile publice de execuție a fost acoperită prin proceduri de transfer</w:t>
      </w:r>
      <w:r w:rsidR="0022250C" w:rsidRPr="004A72CD">
        <w:rPr>
          <w:rFonts w:asciiTheme="minorHAnsi" w:hAnsiTheme="minorHAnsi" w:cstheme="minorHAnsi"/>
          <w:sz w:val="26"/>
          <w:szCs w:val="26"/>
        </w:rPr>
        <w:t xml:space="preserve">, </w:t>
      </w:r>
      <w:r w:rsidRPr="004A72CD">
        <w:rPr>
          <w:rFonts w:asciiTheme="minorHAnsi" w:hAnsiTheme="minorHAnsi" w:cstheme="minorHAnsi"/>
          <w:sz w:val="26"/>
          <w:szCs w:val="26"/>
        </w:rPr>
        <w:t>în interesul serviciului și la cerere, potrivit dispozițiilor legale.</w:t>
      </w:r>
    </w:p>
    <w:p w14:paraId="65222785" w14:textId="51F852E7" w:rsidR="007B5DE0" w:rsidRPr="004A72CD" w:rsidRDefault="00CD3492" w:rsidP="00D51F5A">
      <w:pPr>
        <w:spacing w:line="276" w:lineRule="auto"/>
        <w:ind w:right="15" w:firstLine="709"/>
        <w:jc w:val="both"/>
        <w:rPr>
          <w:rFonts w:asciiTheme="minorHAnsi" w:hAnsiTheme="minorHAnsi" w:cstheme="minorHAnsi"/>
          <w:sz w:val="26"/>
          <w:szCs w:val="26"/>
        </w:rPr>
      </w:pPr>
      <w:r>
        <w:rPr>
          <w:rFonts w:asciiTheme="minorHAnsi" w:hAnsiTheme="minorHAnsi" w:cstheme="minorHAnsi"/>
          <w:sz w:val="26"/>
          <w:szCs w:val="26"/>
        </w:rPr>
        <w:t>Ca u</w:t>
      </w:r>
      <w:r w:rsidR="007B5DE0" w:rsidRPr="004A72CD">
        <w:rPr>
          <w:rFonts w:asciiTheme="minorHAnsi" w:hAnsiTheme="minorHAnsi" w:cstheme="minorHAnsi"/>
          <w:sz w:val="26"/>
          <w:szCs w:val="26"/>
        </w:rPr>
        <w:t>rmare a gestionării de către Agenția Națională a Funcționarilor Publici a concursului național de recrutare pentru ocuparea funcțiilor publice de grad debutant, Școala a participat cu o funcție publică de grad debutant, atât la componenta de recrutare</w:t>
      </w:r>
      <w:r w:rsidR="0022250C" w:rsidRPr="004A72CD">
        <w:rPr>
          <w:rFonts w:asciiTheme="minorHAnsi" w:hAnsiTheme="minorHAnsi" w:cstheme="minorHAnsi"/>
          <w:sz w:val="26"/>
          <w:szCs w:val="26"/>
        </w:rPr>
        <w:t>,</w:t>
      </w:r>
      <w:r w:rsidR="007B5DE0" w:rsidRPr="004A72CD">
        <w:rPr>
          <w:rFonts w:asciiTheme="minorHAnsi" w:hAnsiTheme="minorHAnsi" w:cstheme="minorHAnsi"/>
          <w:sz w:val="26"/>
          <w:szCs w:val="26"/>
        </w:rPr>
        <w:t xml:space="preserve"> cât și în cadrul componentei de selecție, etape derulate în online, prin platformele puse la dispoziție de A</w:t>
      </w:r>
      <w:r w:rsidR="003567D5" w:rsidRPr="004A72CD">
        <w:rPr>
          <w:rFonts w:asciiTheme="minorHAnsi" w:hAnsiTheme="minorHAnsi" w:cstheme="minorHAnsi"/>
          <w:sz w:val="26"/>
          <w:szCs w:val="26"/>
        </w:rPr>
        <w:t>.</w:t>
      </w:r>
      <w:r w:rsidR="007B5DE0" w:rsidRPr="004A72CD">
        <w:rPr>
          <w:rFonts w:asciiTheme="minorHAnsi" w:hAnsiTheme="minorHAnsi" w:cstheme="minorHAnsi"/>
          <w:sz w:val="26"/>
          <w:szCs w:val="26"/>
        </w:rPr>
        <w:t>N</w:t>
      </w:r>
      <w:r w:rsidR="003567D5" w:rsidRPr="004A72CD">
        <w:rPr>
          <w:rFonts w:asciiTheme="minorHAnsi" w:hAnsiTheme="minorHAnsi" w:cstheme="minorHAnsi"/>
          <w:sz w:val="26"/>
          <w:szCs w:val="26"/>
        </w:rPr>
        <w:t>.</w:t>
      </w:r>
      <w:r w:rsidR="007B5DE0" w:rsidRPr="004A72CD">
        <w:rPr>
          <w:rFonts w:asciiTheme="minorHAnsi" w:hAnsiTheme="minorHAnsi" w:cstheme="minorHAnsi"/>
          <w:sz w:val="26"/>
          <w:szCs w:val="26"/>
        </w:rPr>
        <w:t>F</w:t>
      </w:r>
      <w:r w:rsidR="003567D5" w:rsidRPr="004A72CD">
        <w:rPr>
          <w:rFonts w:asciiTheme="minorHAnsi" w:hAnsiTheme="minorHAnsi" w:cstheme="minorHAnsi"/>
          <w:sz w:val="26"/>
          <w:szCs w:val="26"/>
        </w:rPr>
        <w:t>.</w:t>
      </w:r>
      <w:r w:rsidR="007B5DE0" w:rsidRPr="004A72CD">
        <w:rPr>
          <w:rFonts w:asciiTheme="minorHAnsi" w:hAnsiTheme="minorHAnsi" w:cstheme="minorHAnsi"/>
          <w:sz w:val="26"/>
          <w:szCs w:val="26"/>
        </w:rPr>
        <w:t>P</w:t>
      </w:r>
      <w:r w:rsidR="003567D5" w:rsidRPr="004A72CD">
        <w:rPr>
          <w:rFonts w:asciiTheme="minorHAnsi" w:hAnsiTheme="minorHAnsi" w:cstheme="minorHAnsi"/>
          <w:sz w:val="26"/>
          <w:szCs w:val="26"/>
        </w:rPr>
        <w:t>.</w:t>
      </w:r>
      <w:r w:rsidR="007B5DE0" w:rsidRPr="004A72CD">
        <w:rPr>
          <w:rFonts w:asciiTheme="minorHAnsi" w:hAnsiTheme="minorHAnsi" w:cstheme="minorHAnsi"/>
          <w:sz w:val="26"/>
          <w:szCs w:val="26"/>
        </w:rPr>
        <w:t>, finalizate prin numirea unui funcționar public pe funcția publică vacantă.</w:t>
      </w:r>
    </w:p>
    <w:p w14:paraId="6A52F720" w14:textId="6615D854" w:rsidR="007B5DE0" w:rsidRPr="004A72CD" w:rsidRDefault="007B5DE0" w:rsidP="00D51F5A">
      <w:pPr>
        <w:spacing w:line="276" w:lineRule="auto"/>
        <w:ind w:right="15" w:firstLine="709"/>
        <w:jc w:val="both"/>
        <w:rPr>
          <w:rFonts w:asciiTheme="minorHAnsi" w:hAnsiTheme="minorHAnsi" w:cstheme="minorHAnsi"/>
          <w:sz w:val="26"/>
          <w:szCs w:val="26"/>
        </w:rPr>
      </w:pPr>
      <w:r w:rsidRPr="004A72CD">
        <w:rPr>
          <w:rFonts w:asciiTheme="minorHAnsi" w:hAnsiTheme="minorHAnsi" w:cstheme="minorHAnsi"/>
          <w:sz w:val="26"/>
          <w:szCs w:val="26"/>
        </w:rPr>
        <w:t>Tot în privința funcțiilor publice, potrivit dispozițiilor legale, a fost constituit grupul de lucru și elaborată documentația privind stabilirea competențelor specifice pentru toate funcțiile publice din cadrul S</w:t>
      </w:r>
      <w:r w:rsidR="00225DC5" w:rsidRPr="004A72CD">
        <w:rPr>
          <w:rFonts w:asciiTheme="minorHAnsi" w:hAnsiTheme="minorHAnsi" w:cstheme="minorHAnsi"/>
          <w:sz w:val="26"/>
          <w:szCs w:val="26"/>
        </w:rPr>
        <w:t>.</w:t>
      </w:r>
      <w:r w:rsidRPr="004A72CD">
        <w:rPr>
          <w:rFonts w:asciiTheme="minorHAnsi" w:hAnsiTheme="minorHAnsi" w:cstheme="minorHAnsi"/>
          <w:sz w:val="26"/>
          <w:szCs w:val="26"/>
        </w:rPr>
        <w:t>N</w:t>
      </w:r>
      <w:r w:rsidR="00225DC5" w:rsidRPr="004A72CD">
        <w:rPr>
          <w:rFonts w:asciiTheme="minorHAnsi" w:hAnsiTheme="minorHAnsi" w:cstheme="minorHAnsi"/>
          <w:sz w:val="26"/>
          <w:szCs w:val="26"/>
        </w:rPr>
        <w:t>.</w:t>
      </w:r>
      <w:r w:rsidRPr="004A72CD">
        <w:rPr>
          <w:rFonts w:asciiTheme="minorHAnsi" w:hAnsiTheme="minorHAnsi" w:cstheme="minorHAnsi"/>
          <w:sz w:val="26"/>
          <w:szCs w:val="26"/>
        </w:rPr>
        <w:t>G</w:t>
      </w:r>
      <w:r w:rsidR="00225DC5" w:rsidRPr="004A72CD">
        <w:rPr>
          <w:rFonts w:asciiTheme="minorHAnsi" w:hAnsiTheme="minorHAnsi" w:cstheme="minorHAnsi"/>
          <w:sz w:val="26"/>
          <w:szCs w:val="26"/>
        </w:rPr>
        <w:t>.</w:t>
      </w:r>
      <w:r w:rsidRPr="004A72CD">
        <w:rPr>
          <w:rFonts w:asciiTheme="minorHAnsi" w:hAnsiTheme="minorHAnsi" w:cstheme="minorHAnsi"/>
          <w:sz w:val="26"/>
          <w:szCs w:val="26"/>
        </w:rPr>
        <w:t>, competențe care au fost avizate de către A</w:t>
      </w:r>
      <w:r w:rsidR="00225DC5" w:rsidRPr="004A72CD">
        <w:rPr>
          <w:rFonts w:asciiTheme="minorHAnsi" w:hAnsiTheme="minorHAnsi" w:cstheme="minorHAnsi"/>
          <w:sz w:val="26"/>
          <w:szCs w:val="26"/>
        </w:rPr>
        <w:t>.</w:t>
      </w:r>
      <w:r w:rsidRPr="004A72CD">
        <w:rPr>
          <w:rFonts w:asciiTheme="minorHAnsi" w:hAnsiTheme="minorHAnsi" w:cstheme="minorHAnsi"/>
          <w:sz w:val="26"/>
          <w:szCs w:val="26"/>
        </w:rPr>
        <w:t>N</w:t>
      </w:r>
      <w:r w:rsidR="00225DC5" w:rsidRPr="004A72CD">
        <w:rPr>
          <w:rFonts w:asciiTheme="minorHAnsi" w:hAnsiTheme="minorHAnsi" w:cstheme="minorHAnsi"/>
          <w:sz w:val="26"/>
          <w:szCs w:val="26"/>
        </w:rPr>
        <w:t>.</w:t>
      </w:r>
      <w:r w:rsidRPr="004A72CD">
        <w:rPr>
          <w:rFonts w:asciiTheme="minorHAnsi" w:hAnsiTheme="minorHAnsi" w:cstheme="minorHAnsi"/>
          <w:sz w:val="26"/>
          <w:szCs w:val="26"/>
        </w:rPr>
        <w:t>F</w:t>
      </w:r>
      <w:r w:rsidR="00225DC5" w:rsidRPr="004A72CD">
        <w:rPr>
          <w:rFonts w:asciiTheme="minorHAnsi" w:hAnsiTheme="minorHAnsi" w:cstheme="minorHAnsi"/>
          <w:sz w:val="26"/>
          <w:szCs w:val="26"/>
        </w:rPr>
        <w:t>.</w:t>
      </w:r>
      <w:r w:rsidRPr="004A72CD">
        <w:rPr>
          <w:rFonts w:asciiTheme="minorHAnsi" w:hAnsiTheme="minorHAnsi" w:cstheme="minorHAnsi"/>
          <w:sz w:val="26"/>
          <w:szCs w:val="26"/>
        </w:rPr>
        <w:t>P.</w:t>
      </w:r>
      <w:r w:rsidR="00B22B22" w:rsidRPr="004A72CD">
        <w:rPr>
          <w:rFonts w:asciiTheme="minorHAnsi" w:hAnsiTheme="minorHAnsi" w:cstheme="minorHAnsi"/>
          <w:sz w:val="26"/>
          <w:szCs w:val="26"/>
        </w:rPr>
        <w:t>.</w:t>
      </w:r>
    </w:p>
    <w:p w14:paraId="0BDF705A" w14:textId="77777777" w:rsidR="007B5DE0" w:rsidRPr="004A72CD" w:rsidRDefault="007B5DE0" w:rsidP="00D51F5A">
      <w:pPr>
        <w:spacing w:line="276" w:lineRule="auto"/>
        <w:ind w:right="15" w:firstLine="709"/>
        <w:jc w:val="both"/>
        <w:rPr>
          <w:rFonts w:asciiTheme="minorHAnsi" w:hAnsiTheme="minorHAnsi" w:cstheme="minorHAnsi"/>
          <w:sz w:val="26"/>
          <w:szCs w:val="26"/>
        </w:rPr>
      </w:pPr>
      <w:r w:rsidRPr="004A72CD">
        <w:rPr>
          <w:rFonts w:asciiTheme="minorHAnsi" w:hAnsiTheme="minorHAnsi" w:cstheme="minorHAnsi"/>
          <w:sz w:val="26"/>
          <w:szCs w:val="26"/>
        </w:rPr>
        <w:t>În ce privește categoria personalului contractual, în anul 2024 au avut loc transformări de posturi, promovare, dar și recrutare finalizată cu ocuparea postului pentru care a fost declanșată această din urmă procedură.</w:t>
      </w:r>
    </w:p>
    <w:p w14:paraId="6B5141F8" w14:textId="42609A34" w:rsidR="00B1514A" w:rsidRPr="001819E7" w:rsidRDefault="00B1514A" w:rsidP="00D35E09">
      <w:pPr>
        <w:pStyle w:val="Heading2"/>
        <w:rPr>
          <w:lang w:val="pt-PT"/>
        </w:rPr>
      </w:pPr>
      <w:bookmarkStart w:id="34" w:name="_Toc430867109"/>
      <w:bookmarkStart w:id="35" w:name="_Toc381021523"/>
      <w:bookmarkStart w:id="36" w:name="_Toc187824357"/>
      <w:r w:rsidRPr="001819E7">
        <w:rPr>
          <w:lang w:val="pt-PT"/>
        </w:rPr>
        <w:t>I.5. Contribuţia la dezvoltarea spaţiului judiciar comun european</w:t>
      </w:r>
      <w:bookmarkEnd w:id="34"/>
      <w:bookmarkEnd w:id="35"/>
      <w:bookmarkEnd w:id="36"/>
    </w:p>
    <w:bookmarkEnd w:id="2"/>
    <w:p w14:paraId="015B93BA" w14:textId="474BAF11" w:rsidR="00B63A05" w:rsidRPr="00EC0668" w:rsidRDefault="00B63A05" w:rsidP="00D51F5A">
      <w:pPr>
        <w:spacing w:line="276" w:lineRule="auto"/>
        <w:ind w:firstLine="709"/>
        <w:jc w:val="both"/>
        <w:rPr>
          <w:rFonts w:asciiTheme="minorHAnsi" w:hAnsiTheme="minorHAnsi" w:cstheme="minorHAnsi"/>
          <w:b/>
          <w:bCs/>
          <w:sz w:val="26"/>
          <w:szCs w:val="26"/>
        </w:rPr>
      </w:pPr>
      <w:r w:rsidRPr="00EC0668">
        <w:rPr>
          <w:rFonts w:asciiTheme="minorHAnsi" w:hAnsiTheme="minorHAnsi" w:cstheme="minorHAnsi"/>
          <w:b/>
          <w:bCs/>
          <w:sz w:val="26"/>
          <w:szCs w:val="26"/>
        </w:rPr>
        <w:t>Consiliul Superior al Magistraturii</w:t>
      </w:r>
    </w:p>
    <w:p w14:paraId="313EF241" w14:textId="4C43B3C1" w:rsidR="00B63A05" w:rsidRPr="004A72CD" w:rsidRDefault="00B63A05" w:rsidP="00D51F5A">
      <w:pPr>
        <w:spacing w:line="276" w:lineRule="auto"/>
        <w:ind w:firstLine="709"/>
        <w:jc w:val="both"/>
        <w:rPr>
          <w:rFonts w:asciiTheme="minorHAnsi" w:hAnsiTheme="minorHAnsi" w:cstheme="minorHAnsi"/>
          <w:bCs/>
          <w:sz w:val="26"/>
          <w:szCs w:val="26"/>
        </w:rPr>
      </w:pPr>
      <w:r w:rsidRPr="004A72CD">
        <w:rPr>
          <w:rFonts w:asciiTheme="minorHAnsi" w:hAnsiTheme="minorHAnsi" w:cstheme="minorHAnsi"/>
          <w:sz w:val="26"/>
          <w:szCs w:val="26"/>
        </w:rPr>
        <w:t>Potrivit principalelor direcții de acțiune și obiective ale Consiliului Superior al Magistraturii pentru mandatul 2023</w:t>
      </w:r>
      <w:r w:rsidR="00D90B1C" w:rsidRPr="004A72CD">
        <w:rPr>
          <w:rFonts w:asciiTheme="minorHAnsi" w:hAnsiTheme="minorHAnsi" w:cstheme="minorHAnsi"/>
          <w:sz w:val="26"/>
          <w:szCs w:val="26"/>
        </w:rPr>
        <w:t xml:space="preserve"> </w:t>
      </w:r>
      <w:r w:rsidRPr="004A72CD">
        <w:rPr>
          <w:rFonts w:asciiTheme="minorHAnsi" w:hAnsiTheme="minorHAnsi" w:cstheme="minorHAnsi"/>
          <w:sz w:val="26"/>
          <w:szCs w:val="26"/>
        </w:rPr>
        <w:t>-</w:t>
      </w:r>
      <w:r w:rsidR="00EB5872" w:rsidRPr="004A72CD">
        <w:rPr>
          <w:rFonts w:asciiTheme="minorHAnsi" w:hAnsiTheme="minorHAnsi" w:cstheme="minorHAnsi"/>
          <w:sz w:val="26"/>
          <w:szCs w:val="26"/>
        </w:rPr>
        <w:t xml:space="preserve"> </w:t>
      </w:r>
      <w:r w:rsidRPr="004A72CD">
        <w:rPr>
          <w:rFonts w:asciiTheme="minorHAnsi" w:hAnsiTheme="minorHAnsi" w:cstheme="minorHAnsi"/>
          <w:sz w:val="26"/>
          <w:szCs w:val="26"/>
        </w:rPr>
        <w:t>2029, adoptate prin Hotărârea nr. 55/30</w:t>
      </w:r>
      <w:r w:rsidR="00883B6F" w:rsidRPr="004A72CD">
        <w:rPr>
          <w:rFonts w:asciiTheme="minorHAnsi" w:hAnsiTheme="minorHAnsi" w:cstheme="minorHAnsi"/>
          <w:sz w:val="26"/>
          <w:szCs w:val="26"/>
        </w:rPr>
        <w:t>.</w:t>
      </w:r>
      <w:r w:rsidR="00EB5872" w:rsidRPr="004A72CD">
        <w:rPr>
          <w:rFonts w:asciiTheme="minorHAnsi" w:hAnsiTheme="minorHAnsi" w:cstheme="minorHAnsi"/>
          <w:sz w:val="26"/>
          <w:szCs w:val="26"/>
        </w:rPr>
        <w:t>03</w:t>
      </w:r>
      <w:r w:rsidR="00883B6F" w:rsidRPr="004A72CD">
        <w:rPr>
          <w:rFonts w:asciiTheme="minorHAnsi" w:hAnsiTheme="minorHAnsi" w:cstheme="minorHAnsi"/>
          <w:sz w:val="26"/>
          <w:szCs w:val="26"/>
        </w:rPr>
        <w:t>.</w:t>
      </w:r>
      <w:r w:rsidRPr="004A72CD">
        <w:rPr>
          <w:rFonts w:asciiTheme="minorHAnsi" w:hAnsiTheme="minorHAnsi" w:cstheme="minorHAnsi"/>
          <w:sz w:val="26"/>
          <w:szCs w:val="26"/>
        </w:rPr>
        <w:t>2023 a Plenului Consiliului, așa cum se detaliază și în capitolul VI.3 al prezentului Raport, consolidarea relațiilor interne și internaționale reprezintă unul dintre elementele-cheie ale activității Consiliului.</w:t>
      </w:r>
    </w:p>
    <w:p w14:paraId="56E07D7B" w14:textId="38D64B9B" w:rsidR="00B63A05" w:rsidRPr="004A72CD" w:rsidRDefault="00B63A05" w:rsidP="00D51F5A">
      <w:pPr>
        <w:spacing w:line="276" w:lineRule="auto"/>
        <w:ind w:firstLine="709"/>
        <w:jc w:val="both"/>
        <w:rPr>
          <w:rFonts w:asciiTheme="minorHAnsi" w:hAnsiTheme="minorHAnsi" w:cstheme="minorHAnsi"/>
          <w:bCs/>
          <w:sz w:val="26"/>
          <w:szCs w:val="26"/>
        </w:rPr>
      </w:pPr>
      <w:r w:rsidRPr="004A72CD">
        <w:rPr>
          <w:rFonts w:asciiTheme="minorHAnsi" w:hAnsiTheme="minorHAnsi" w:cstheme="minorHAnsi"/>
          <w:bCs/>
          <w:sz w:val="26"/>
          <w:szCs w:val="26"/>
        </w:rPr>
        <w:t>Activitatea Consiliului Superior al Magistraturii în domeniul relațiilor europene și internaționale a continuat în aceeași manieră dinamică, prin implicarea în activitățile decurgând din relațiile cu organismele şi instituţiile europene şi internaţionale, prin susținerea colaborării bilaterale/multilaterale cu alte consilii judiciare, cu organisme sau entități omoloage, dar şi prin participarea într-o serie de proiecte europene sau prin contribuția la elaborarea unor studii cu caracter internaţional, a unor rapoarte de evaluare sau analize privind sistemele judiciare, în contextul obligațiilor internaţionale asumate la nivelul sistemului judiciar românesc, asigurând, totodată, interfața pentru judecătorii şi procurorii din România în relaționarea cu colegii din alte sisteme judiciare.</w:t>
      </w:r>
    </w:p>
    <w:p w14:paraId="7D3AC32A" w14:textId="2E5C3FA5" w:rsidR="00B63A05" w:rsidRPr="004A72CD" w:rsidRDefault="00B63A05" w:rsidP="00D51F5A">
      <w:pPr>
        <w:spacing w:line="276" w:lineRule="auto"/>
        <w:ind w:firstLine="709"/>
        <w:jc w:val="both"/>
        <w:rPr>
          <w:rFonts w:asciiTheme="minorHAnsi" w:hAnsiTheme="minorHAnsi" w:cstheme="minorHAnsi"/>
          <w:bCs/>
          <w:sz w:val="26"/>
          <w:szCs w:val="26"/>
        </w:rPr>
      </w:pPr>
      <w:r w:rsidRPr="004A72CD">
        <w:rPr>
          <w:rFonts w:asciiTheme="minorHAnsi" w:hAnsiTheme="minorHAnsi" w:cstheme="minorHAnsi"/>
          <w:bCs/>
          <w:sz w:val="26"/>
          <w:szCs w:val="26"/>
        </w:rPr>
        <w:t>Cu titlu exemplificativ, se impune a fi menționate, printre altele, relaționarea şi implicarea Consiliului în contextul evaluărilor Comisiei Europene în cadrul noului mecanism U</w:t>
      </w:r>
      <w:r w:rsidR="00281491" w:rsidRPr="004A72CD">
        <w:rPr>
          <w:rFonts w:asciiTheme="minorHAnsi" w:hAnsiTheme="minorHAnsi" w:cstheme="minorHAnsi"/>
          <w:bCs/>
          <w:sz w:val="26"/>
          <w:szCs w:val="26"/>
        </w:rPr>
        <w:t>.</w:t>
      </w:r>
      <w:r w:rsidRPr="004A72CD">
        <w:rPr>
          <w:rFonts w:asciiTheme="minorHAnsi" w:hAnsiTheme="minorHAnsi" w:cstheme="minorHAnsi"/>
          <w:bCs/>
          <w:sz w:val="26"/>
          <w:szCs w:val="26"/>
        </w:rPr>
        <w:t>E</w:t>
      </w:r>
      <w:r w:rsidR="00281491" w:rsidRPr="004A72CD">
        <w:rPr>
          <w:rFonts w:asciiTheme="minorHAnsi" w:hAnsiTheme="minorHAnsi" w:cstheme="minorHAnsi"/>
          <w:bCs/>
          <w:sz w:val="26"/>
          <w:szCs w:val="26"/>
        </w:rPr>
        <w:t>.</w:t>
      </w:r>
      <w:r w:rsidRPr="004A72CD">
        <w:rPr>
          <w:rFonts w:asciiTheme="minorHAnsi" w:hAnsiTheme="minorHAnsi" w:cstheme="minorHAnsi"/>
          <w:bCs/>
          <w:sz w:val="26"/>
          <w:szCs w:val="26"/>
        </w:rPr>
        <w:t xml:space="preserve"> al Statului de Drept introdus începând cu anul 2020 sau al Tabloului de bord </w:t>
      </w:r>
      <w:r w:rsidRPr="004A72CD">
        <w:rPr>
          <w:rFonts w:asciiTheme="minorHAnsi" w:hAnsiTheme="minorHAnsi" w:cstheme="minorHAnsi"/>
          <w:sz w:val="26"/>
          <w:szCs w:val="26"/>
        </w:rPr>
        <w:t>privind justiția în U</w:t>
      </w:r>
      <w:r w:rsidR="00281491" w:rsidRPr="004A72CD">
        <w:rPr>
          <w:rFonts w:asciiTheme="minorHAnsi" w:hAnsiTheme="minorHAnsi" w:cstheme="minorHAnsi"/>
          <w:sz w:val="26"/>
          <w:szCs w:val="26"/>
        </w:rPr>
        <w:t>.</w:t>
      </w:r>
      <w:r w:rsidRPr="004A72CD">
        <w:rPr>
          <w:rFonts w:asciiTheme="minorHAnsi" w:hAnsiTheme="minorHAnsi" w:cstheme="minorHAnsi"/>
          <w:sz w:val="26"/>
          <w:szCs w:val="26"/>
        </w:rPr>
        <w:t>E</w:t>
      </w:r>
      <w:r w:rsidR="00281491" w:rsidRPr="004A72CD">
        <w:rPr>
          <w:rFonts w:asciiTheme="minorHAnsi" w:hAnsiTheme="minorHAnsi" w:cstheme="minorHAnsi"/>
          <w:sz w:val="26"/>
          <w:szCs w:val="26"/>
        </w:rPr>
        <w:t>.</w:t>
      </w:r>
      <w:r w:rsidRPr="004A72CD">
        <w:rPr>
          <w:rFonts w:asciiTheme="minorHAnsi" w:hAnsiTheme="minorHAnsi" w:cstheme="minorHAnsi"/>
          <w:sz w:val="26"/>
          <w:szCs w:val="26"/>
        </w:rPr>
        <w:t xml:space="preserve"> </w:t>
      </w:r>
      <w:r w:rsidRPr="004A72CD">
        <w:rPr>
          <w:rFonts w:asciiTheme="minorHAnsi" w:hAnsiTheme="minorHAnsi" w:cstheme="minorHAnsi"/>
          <w:bCs/>
          <w:sz w:val="26"/>
          <w:szCs w:val="26"/>
        </w:rPr>
        <w:t>(E</w:t>
      </w:r>
      <w:r w:rsidR="002D6C40" w:rsidRPr="004A72CD">
        <w:rPr>
          <w:rFonts w:asciiTheme="minorHAnsi" w:hAnsiTheme="minorHAnsi" w:cstheme="minorHAnsi"/>
          <w:bCs/>
          <w:sz w:val="26"/>
          <w:szCs w:val="26"/>
        </w:rPr>
        <w:t>.</w:t>
      </w:r>
      <w:r w:rsidRPr="004A72CD">
        <w:rPr>
          <w:rFonts w:asciiTheme="minorHAnsi" w:hAnsiTheme="minorHAnsi" w:cstheme="minorHAnsi"/>
          <w:bCs/>
          <w:sz w:val="26"/>
          <w:szCs w:val="26"/>
        </w:rPr>
        <w:t>U</w:t>
      </w:r>
      <w:r w:rsidR="002D6C40" w:rsidRPr="004A72CD">
        <w:rPr>
          <w:rFonts w:asciiTheme="minorHAnsi" w:hAnsiTheme="minorHAnsi" w:cstheme="minorHAnsi"/>
          <w:bCs/>
          <w:sz w:val="26"/>
          <w:szCs w:val="26"/>
        </w:rPr>
        <w:t>.</w:t>
      </w:r>
      <w:r w:rsidRPr="004A72CD">
        <w:rPr>
          <w:rFonts w:asciiTheme="minorHAnsi" w:hAnsiTheme="minorHAnsi" w:cstheme="minorHAnsi"/>
          <w:bCs/>
          <w:sz w:val="26"/>
          <w:szCs w:val="26"/>
        </w:rPr>
        <w:t xml:space="preserve"> Justice Scoreboard), dar şi relaționarea cu organismele din cadrul Consiliului Europei: Consiliul Consultativ al Judecătorilor Europeni (C</w:t>
      </w:r>
      <w:r w:rsidR="00281491" w:rsidRPr="004A72CD">
        <w:rPr>
          <w:rFonts w:asciiTheme="minorHAnsi" w:hAnsiTheme="minorHAnsi" w:cstheme="minorHAnsi"/>
          <w:bCs/>
          <w:sz w:val="26"/>
          <w:szCs w:val="26"/>
        </w:rPr>
        <w:t>.</w:t>
      </w:r>
      <w:r w:rsidRPr="004A72CD">
        <w:rPr>
          <w:rFonts w:asciiTheme="minorHAnsi" w:hAnsiTheme="minorHAnsi" w:cstheme="minorHAnsi"/>
          <w:bCs/>
          <w:sz w:val="26"/>
          <w:szCs w:val="26"/>
        </w:rPr>
        <w:t>C</w:t>
      </w:r>
      <w:r w:rsidR="00281491" w:rsidRPr="004A72CD">
        <w:rPr>
          <w:rFonts w:asciiTheme="minorHAnsi" w:hAnsiTheme="minorHAnsi" w:cstheme="minorHAnsi"/>
          <w:bCs/>
          <w:sz w:val="26"/>
          <w:szCs w:val="26"/>
        </w:rPr>
        <w:t>.</w:t>
      </w:r>
      <w:r w:rsidRPr="004A72CD">
        <w:rPr>
          <w:rFonts w:asciiTheme="minorHAnsi" w:hAnsiTheme="minorHAnsi" w:cstheme="minorHAnsi"/>
          <w:bCs/>
          <w:sz w:val="26"/>
          <w:szCs w:val="26"/>
        </w:rPr>
        <w:t>J</w:t>
      </w:r>
      <w:r w:rsidR="00281491" w:rsidRPr="004A72CD">
        <w:rPr>
          <w:rFonts w:asciiTheme="minorHAnsi" w:hAnsiTheme="minorHAnsi" w:cstheme="minorHAnsi"/>
          <w:bCs/>
          <w:sz w:val="26"/>
          <w:szCs w:val="26"/>
        </w:rPr>
        <w:t>.</w:t>
      </w:r>
      <w:r w:rsidRPr="004A72CD">
        <w:rPr>
          <w:rFonts w:asciiTheme="minorHAnsi" w:hAnsiTheme="minorHAnsi" w:cstheme="minorHAnsi"/>
          <w:bCs/>
          <w:sz w:val="26"/>
          <w:szCs w:val="26"/>
        </w:rPr>
        <w:t>E</w:t>
      </w:r>
      <w:r w:rsidR="00281491" w:rsidRPr="004A72CD">
        <w:rPr>
          <w:rFonts w:asciiTheme="minorHAnsi" w:hAnsiTheme="minorHAnsi" w:cstheme="minorHAnsi"/>
          <w:bCs/>
          <w:sz w:val="26"/>
          <w:szCs w:val="26"/>
        </w:rPr>
        <w:t>.</w:t>
      </w:r>
      <w:r w:rsidRPr="004A72CD">
        <w:rPr>
          <w:rFonts w:asciiTheme="minorHAnsi" w:hAnsiTheme="minorHAnsi" w:cstheme="minorHAnsi"/>
          <w:bCs/>
          <w:sz w:val="26"/>
          <w:szCs w:val="26"/>
        </w:rPr>
        <w:t>), Consiliul Consultativ al Procurorilor Europeni (C</w:t>
      </w:r>
      <w:r w:rsidR="00281491" w:rsidRPr="004A72CD">
        <w:rPr>
          <w:rFonts w:asciiTheme="minorHAnsi" w:hAnsiTheme="minorHAnsi" w:cstheme="minorHAnsi"/>
          <w:bCs/>
          <w:sz w:val="26"/>
          <w:szCs w:val="26"/>
        </w:rPr>
        <w:t>.</w:t>
      </w:r>
      <w:r w:rsidRPr="004A72CD">
        <w:rPr>
          <w:rFonts w:asciiTheme="minorHAnsi" w:hAnsiTheme="minorHAnsi" w:cstheme="minorHAnsi"/>
          <w:bCs/>
          <w:sz w:val="26"/>
          <w:szCs w:val="26"/>
        </w:rPr>
        <w:t>C</w:t>
      </w:r>
      <w:r w:rsidR="00281491" w:rsidRPr="004A72CD">
        <w:rPr>
          <w:rFonts w:asciiTheme="minorHAnsi" w:hAnsiTheme="minorHAnsi" w:cstheme="minorHAnsi"/>
          <w:bCs/>
          <w:sz w:val="26"/>
          <w:szCs w:val="26"/>
        </w:rPr>
        <w:t>.</w:t>
      </w:r>
      <w:r w:rsidRPr="004A72CD">
        <w:rPr>
          <w:rFonts w:asciiTheme="minorHAnsi" w:hAnsiTheme="minorHAnsi" w:cstheme="minorHAnsi"/>
          <w:bCs/>
          <w:sz w:val="26"/>
          <w:szCs w:val="26"/>
        </w:rPr>
        <w:t>P</w:t>
      </w:r>
      <w:r w:rsidR="00281491" w:rsidRPr="004A72CD">
        <w:rPr>
          <w:rFonts w:asciiTheme="minorHAnsi" w:hAnsiTheme="minorHAnsi" w:cstheme="minorHAnsi"/>
          <w:bCs/>
          <w:sz w:val="26"/>
          <w:szCs w:val="26"/>
        </w:rPr>
        <w:t>.</w:t>
      </w:r>
      <w:r w:rsidRPr="004A72CD">
        <w:rPr>
          <w:rFonts w:asciiTheme="minorHAnsi" w:hAnsiTheme="minorHAnsi" w:cstheme="minorHAnsi"/>
          <w:bCs/>
          <w:sz w:val="26"/>
          <w:szCs w:val="26"/>
        </w:rPr>
        <w:t>E</w:t>
      </w:r>
      <w:r w:rsidR="00281491" w:rsidRPr="004A72CD">
        <w:rPr>
          <w:rFonts w:asciiTheme="minorHAnsi" w:hAnsiTheme="minorHAnsi" w:cstheme="minorHAnsi"/>
          <w:bCs/>
          <w:sz w:val="26"/>
          <w:szCs w:val="26"/>
        </w:rPr>
        <w:t>.</w:t>
      </w:r>
      <w:r w:rsidRPr="004A72CD">
        <w:rPr>
          <w:rFonts w:asciiTheme="minorHAnsi" w:hAnsiTheme="minorHAnsi" w:cstheme="minorHAnsi"/>
          <w:bCs/>
          <w:sz w:val="26"/>
          <w:szCs w:val="26"/>
        </w:rPr>
        <w:t>), Comisia Europeană pentru Eficienţa Justiţiei (C</w:t>
      </w:r>
      <w:r w:rsidR="00281491" w:rsidRPr="004A72CD">
        <w:rPr>
          <w:rFonts w:asciiTheme="minorHAnsi" w:hAnsiTheme="minorHAnsi" w:cstheme="minorHAnsi"/>
          <w:bCs/>
          <w:sz w:val="26"/>
          <w:szCs w:val="26"/>
        </w:rPr>
        <w:t>.</w:t>
      </w:r>
      <w:r w:rsidRPr="004A72CD">
        <w:rPr>
          <w:rFonts w:asciiTheme="minorHAnsi" w:hAnsiTheme="minorHAnsi" w:cstheme="minorHAnsi"/>
          <w:bCs/>
          <w:sz w:val="26"/>
          <w:szCs w:val="26"/>
        </w:rPr>
        <w:t>E</w:t>
      </w:r>
      <w:r w:rsidR="00281491" w:rsidRPr="004A72CD">
        <w:rPr>
          <w:rFonts w:asciiTheme="minorHAnsi" w:hAnsiTheme="minorHAnsi" w:cstheme="minorHAnsi"/>
          <w:bCs/>
          <w:sz w:val="26"/>
          <w:szCs w:val="26"/>
        </w:rPr>
        <w:t>.</w:t>
      </w:r>
      <w:r w:rsidRPr="004A72CD">
        <w:rPr>
          <w:rFonts w:asciiTheme="minorHAnsi" w:hAnsiTheme="minorHAnsi" w:cstheme="minorHAnsi"/>
          <w:bCs/>
          <w:sz w:val="26"/>
          <w:szCs w:val="26"/>
        </w:rPr>
        <w:t>P</w:t>
      </w:r>
      <w:r w:rsidR="00281491" w:rsidRPr="004A72CD">
        <w:rPr>
          <w:rFonts w:asciiTheme="minorHAnsi" w:hAnsiTheme="minorHAnsi" w:cstheme="minorHAnsi"/>
          <w:bCs/>
          <w:sz w:val="26"/>
          <w:szCs w:val="26"/>
        </w:rPr>
        <w:t>.</w:t>
      </w:r>
      <w:r w:rsidRPr="004A72CD">
        <w:rPr>
          <w:rFonts w:asciiTheme="minorHAnsi" w:hAnsiTheme="minorHAnsi" w:cstheme="minorHAnsi"/>
          <w:bCs/>
          <w:sz w:val="26"/>
          <w:szCs w:val="26"/>
        </w:rPr>
        <w:t>E</w:t>
      </w:r>
      <w:r w:rsidR="00281491" w:rsidRPr="004A72CD">
        <w:rPr>
          <w:rFonts w:asciiTheme="minorHAnsi" w:hAnsiTheme="minorHAnsi" w:cstheme="minorHAnsi"/>
          <w:bCs/>
          <w:sz w:val="26"/>
          <w:szCs w:val="26"/>
        </w:rPr>
        <w:t>.</w:t>
      </w:r>
      <w:r w:rsidRPr="004A72CD">
        <w:rPr>
          <w:rFonts w:asciiTheme="minorHAnsi" w:hAnsiTheme="minorHAnsi" w:cstheme="minorHAnsi"/>
          <w:bCs/>
          <w:sz w:val="26"/>
          <w:szCs w:val="26"/>
        </w:rPr>
        <w:t>J</w:t>
      </w:r>
      <w:r w:rsidR="00281491" w:rsidRPr="004A72CD">
        <w:rPr>
          <w:rFonts w:asciiTheme="minorHAnsi" w:hAnsiTheme="minorHAnsi" w:cstheme="minorHAnsi"/>
          <w:bCs/>
          <w:sz w:val="26"/>
          <w:szCs w:val="26"/>
        </w:rPr>
        <w:t>.</w:t>
      </w:r>
      <w:r w:rsidRPr="004A72CD">
        <w:rPr>
          <w:rFonts w:asciiTheme="minorHAnsi" w:hAnsiTheme="minorHAnsi" w:cstheme="minorHAnsi"/>
          <w:bCs/>
          <w:sz w:val="26"/>
          <w:szCs w:val="26"/>
        </w:rPr>
        <w:t>).</w:t>
      </w:r>
    </w:p>
    <w:p w14:paraId="525E24EF" w14:textId="47E4F9CB" w:rsidR="00B63A05" w:rsidRPr="004A72CD" w:rsidRDefault="00B63A05"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Participarea constantă a Consiliului Superior al Magistraturii la activitățile derulate de organsimele consacrate ale Consiliului Europei a fost extinsă și în contextul proiectelor implementate la acest nivel, de amintit fiind în acest sens implicarea activă în proiectul T</w:t>
      </w:r>
      <w:r w:rsidR="00D21721" w:rsidRPr="004A72CD">
        <w:rPr>
          <w:rFonts w:asciiTheme="minorHAnsi" w:hAnsiTheme="minorHAnsi" w:cstheme="minorHAnsi"/>
          <w:sz w:val="26"/>
          <w:szCs w:val="26"/>
        </w:rPr>
        <w:t>.</w:t>
      </w:r>
      <w:r w:rsidRPr="004A72CD">
        <w:rPr>
          <w:rFonts w:asciiTheme="minorHAnsi" w:hAnsiTheme="minorHAnsi" w:cstheme="minorHAnsi"/>
          <w:sz w:val="26"/>
          <w:szCs w:val="26"/>
        </w:rPr>
        <w:t>J</w:t>
      </w:r>
      <w:r w:rsidR="00D21721" w:rsidRPr="004A72CD">
        <w:rPr>
          <w:rFonts w:asciiTheme="minorHAnsi" w:hAnsiTheme="minorHAnsi" w:cstheme="minorHAnsi"/>
          <w:sz w:val="26"/>
          <w:szCs w:val="26"/>
        </w:rPr>
        <w:t>.</w:t>
      </w:r>
      <w:r w:rsidRPr="004A72CD">
        <w:rPr>
          <w:rFonts w:asciiTheme="minorHAnsi" w:hAnsiTheme="minorHAnsi" w:cstheme="minorHAnsi"/>
          <w:sz w:val="26"/>
          <w:szCs w:val="26"/>
        </w:rPr>
        <w:t>E</w:t>
      </w:r>
      <w:r w:rsidR="00D21721" w:rsidRPr="004A72CD">
        <w:rPr>
          <w:rFonts w:asciiTheme="minorHAnsi" w:hAnsiTheme="minorHAnsi" w:cstheme="minorHAnsi"/>
          <w:sz w:val="26"/>
          <w:szCs w:val="26"/>
        </w:rPr>
        <w:t>.</w:t>
      </w:r>
      <w:r w:rsidRPr="004A72CD">
        <w:rPr>
          <w:rFonts w:asciiTheme="minorHAnsi" w:hAnsiTheme="minorHAnsi" w:cstheme="minorHAnsi"/>
          <w:sz w:val="26"/>
          <w:szCs w:val="26"/>
        </w:rPr>
        <w:t>N</w:t>
      </w:r>
      <w:r w:rsidR="00D21721" w:rsidRPr="004A72CD">
        <w:rPr>
          <w:rFonts w:asciiTheme="minorHAnsi" w:hAnsiTheme="minorHAnsi" w:cstheme="minorHAnsi"/>
          <w:sz w:val="26"/>
          <w:szCs w:val="26"/>
        </w:rPr>
        <w:t>.</w:t>
      </w:r>
      <w:r w:rsidRPr="004A72CD">
        <w:rPr>
          <w:rFonts w:asciiTheme="minorHAnsi" w:hAnsiTheme="minorHAnsi" w:cstheme="minorHAnsi"/>
          <w:sz w:val="26"/>
          <w:szCs w:val="26"/>
        </w:rPr>
        <w:t>I</w:t>
      </w:r>
      <w:r w:rsidR="00D21721" w:rsidRPr="004A72CD">
        <w:rPr>
          <w:rFonts w:asciiTheme="minorHAnsi" w:hAnsiTheme="minorHAnsi" w:cstheme="minorHAnsi"/>
          <w:sz w:val="26"/>
          <w:szCs w:val="26"/>
        </w:rPr>
        <w:t>.</w:t>
      </w:r>
      <w:r w:rsidRPr="004A72CD">
        <w:rPr>
          <w:rFonts w:asciiTheme="minorHAnsi" w:hAnsiTheme="minorHAnsi" w:cstheme="minorHAnsi"/>
          <w:sz w:val="26"/>
          <w:szCs w:val="26"/>
        </w:rPr>
        <w:t xml:space="preserve"> – Foster Transparency of Judicial Decisions and Enhancing the National Implementation of E</w:t>
      </w:r>
      <w:r w:rsidR="002D6C40" w:rsidRPr="004A72CD">
        <w:rPr>
          <w:rFonts w:asciiTheme="minorHAnsi" w:hAnsiTheme="minorHAnsi" w:cstheme="minorHAnsi"/>
          <w:sz w:val="26"/>
          <w:szCs w:val="26"/>
        </w:rPr>
        <w:t>.</w:t>
      </w:r>
      <w:r w:rsidRPr="004A72CD">
        <w:rPr>
          <w:rFonts w:asciiTheme="minorHAnsi" w:hAnsiTheme="minorHAnsi" w:cstheme="minorHAnsi"/>
          <w:sz w:val="26"/>
          <w:szCs w:val="26"/>
        </w:rPr>
        <w:t>C</w:t>
      </w:r>
      <w:r w:rsidR="002D6C40" w:rsidRPr="004A72CD">
        <w:rPr>
          <w:rFonts w:asciiTheme="minorHAnsi" w:hAnsiTheme="minorHAnsi" w:cstheme="minorHAnsi"/>
          <w:sz w:val="26"/>
          <w:szCs w:val="26"/>
        </w:rPr>
        <w:t>.</w:t>
      </w:r>
      <w:r w:rsidRPr="004A72CD">
        <w:rPr>
          <w:rFonts w:asciiTheme="minorHAnsi" w:hAnsiTheme="minorHAnsi" w:cstheme="minorHAnsi"/>
          <w:sz w:val="26"/>
          <w:szCs w:val="26"/>
        </w:rPr>
        <w:t>H</w:t>
      </w:r>
      <w:r w:rsidR="002D6C40" w:rsidRPr="004A72CD">
        <w:rPr>
          <w:rFonts w:asciiTheme="minorHAnsi" w:hAnsiTheme="minorHAnsi" w:cstheme="minorHAnsi"/>
          <w:sz w:val="26"/>
          <w:szCs w:val="26"/>
        </w:rPr>
        <w:t>.</w:t>
      </w:r>
      <w:r w:rsidRPr="004A72CD">
        <w:rPr>
          <w:rFonts w:asciiTheme="minorHAnsi" w:hAnsiTheme="minorHAnsi" w:cstheme="minorHAnsi"/>
          <w:sz w:val="26"/>
          <w:szCs w:val="26"/>
        </w:rPr>
        <w:t>R</w:t>
      </w:r>
      <w:r w:rsidR="002D6C40" w:rsidRPr="004A72CD">
        <w:rPr>
          <w:rFonts w:asciiTheme="minorHAnsi" w:hAnsiTheme="minorHAnsi" w:cstheme="minorHAnsi"/>
          <w:sz w:val="26"/>
          <w:szCs w:val="26"/>
        </w:rPr>
        <w:t>.</w:t>
      </w:r>
      <w:r w:rsidRPr="004A72CD">
        <w:rPr>
          <w:rFonts w:asciiTheme="minorHAnsi" w:hAnsiTheme="minorHAnsi" w:cstheme="minorHAnsi"/>
          <w:sz w:val="26"/>
          <w:szCs w:val="26"/>
        </w:rPr>
        <w:t xml:space="preserve">, al cărui scop este de a propune soluții metodologice și tehnologice de anonimizare </w:t>
      </w:r>
      <w:r w:rsidRPr="004A72CD">
        <w:rPr>
          <w:rFonts w:asciiTheme="minorHAnsi" w:hAnsiTheme="minorHAnsi" w:cstheme="minorHAnsi"/>
          <w:sz w:val="26"/>
          <w:szCs w:val="26"/>
        </w:rPr>
        <w:lastRenderedPageBreak/>
        <w:t>(pseudonimizare) a hotărârilor judecătorești, în vederea publicării și clasificării acestora, aspecte detaliate în capitolul VI.3. al acestui Raport.</w:t>
      </w:r>
    </w:p>
    <w:p w14:paraId="00BBB647" w14:textId="0F46CA1F" w:rsidR="00B63A05" w:rsidRPr="004A72CD" w:rsidRDefault="00B63A05"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bCs/>
          <w:sz w:val="26"/>
          <w:szCs w:val="26"/>
        </w:rPr>
        <w:t>În ceea ce priveşte activitatea de relaționare şi colaborare cu alte consilii judiciare sau entități omoloage, de mare relevanță, din perspectiva dinamicii activităţii şi reprezentării Consiliului, este de menţionat activitatea în cadrul Reţelei Europene a Consiliilor Judiciare (R</w:t>
      </w:r>
      <w:r w:rsidR="007F1E65" w:rsidRPr="004A72CD">
        <w:rPr>
          <w:rFonts w:asciiTheme="minorHAnsi" w:hAnsiTheme="minorHAnsi" w:cstheme="minorHAnsi"/>
          <w:bCs/>
          <w:sz w:val="26"/>
          <w:szCs w:val="26"/>
        </w:rPr>
        <w:t>.</w:t>
      </w:r>
      <w:r w:rsidRPr="004A72CD">
        <w:rPr>
          <w:rFonts w:asciiTheme="minorHAnsi" w:hAnsiTheme="minorHAnsi" w:cstheme="minorHAnsi"/>
          <w:bCs/>
          <w:sz w:val="26"/>
          <w:szCs w:val="26"/>
        </w:rPr>
        <w:t>E</w:t>
      </w:r>
      <w:r w:rsidR="007F1E65" w:rsidRPr="004A72CD">
        <w:rPr>
          <w:rFonts w:asciiTheme="minorHAnsi" w:hAnsiTheme="minorHAnsi" w:cstheme="minorHAnsi"/>
          <w:bCs/>
          <w:sz w:val="26"/>
          <w:szCs w:val="26"/>
        </w:rPr>
        <w:t>.</w:t>
      </w:r>
      <w:r w:rsidRPr="004A72CD">
        <w:rPr>
          <w:rFonts w:asciiTheme="minorHAnsi" w:hAnsiTheme="minorHAnsi" w:cstheme="minorHAnsi"/>
          <w:bCs/>
          <w:sz w:val="26"/>
          <w:szCs w:val="26"/>
        </w:rPr>
        <w:t>C</w:t>
      </w:r>
      <w:r w:rsidR="007F1E65" w:rsidRPr="004A72CD">
        <w:rPr>
          <w:rFonts w:asciiTheme="minorHAnsi" w:hAnsiTheme="minorHAnsi" w:cstheme="minorHAnsi"/>
          <w:bCs/>
          <w:sz w:val="26"/>
          <w:szCs w:val="26"/>
        </w:rPr>
        <w:t>.</w:t>
      </w:r>
      <w:r w:rsidRPr="004A72CD">
        <w:rPr>
          <w:rFonts w:asciiTheme="minorHAnsi" w:hAnsiTheme="minorHAnsi" w:cstheme="minorHAnsi"/>
          <w:bCs/>
          <w:sz w:val="26"/>
          <w:szCs w:val="26"/>
        </w:rPr>
        <w:t>J</w:t>
      </w:r>
      <w:r w:rsidR="007F1E65" w:rsidRPr="004A72CD">
        <w:rPr>
          <w:rFonts w:asciiTheme="minorHAnsi" w:hAnsiTheme="minorHAnsi" w:cstheme="minorHAnsi"/>
          <w:bCs/>
          <w:sz w:val="26"/>
          <w:szCs w:val="26"/>
        </w:rPr>
        <w:t>.</w:t>
      </w:r>
      <w:r w:rsidRPr="004A72CD">
        <w:rPr>
          <w:rFonts w:asciiTheme="minorHAnsi" w:hAnsiTheme="minorHAnsi" w:cstheme="minorHAnsi"/>
          <w:bCs/>
          <w:sz w:val="26"/>
          <w:szCs w:val="26"/>
        </w:rPr>
        <w:t>)</w:t>
      </w:r>
      <w:r w:rsidRPr="004A72CD">
        <w:rPr>
          <w:rFonts w:asciiTheme="minorHAnsi" w:hAnsiTheme="minorHAnsi" w:cstheme="minorHAnsi"/>
          <w:sz w:val="26"/>
          <w:szCs w:val="26"/>
        </w:rPr>
        <w:t>. Reţeaua este alcătuită din instituţii naţionale din statele membre U</w:t>
      </w:r>
      <w:r w:rsidR="007F1E65" w:rsidRPr="004A72CD">
        <w:rPr>
          <w:rFonts w:asciiTheme="minorHAnsi" w:hAnsiTheme="minorHAnsi" w:cstheme="minorHAnsi"/>
          <w:sz w:val="26"/>
          <w:szCs w:val="26"/>
        </w:rPr>
        <w:t>.</w:t>
      </w:r>
      <w:r w:rsidRPr="004A72CD">
        <w:rPr>
          <w:rFonts w:asciiTheme="minorHAnsi" w:hAnsiTheme="minorHAnsi" w:cstheme="minorHAnsi"/>
          <w:sz w:val="26"/>
          <w:szCs w:val="26"/>
        </w:rPr>
        <w:t>E</w:t>
      </w:r>
      <w:r w:rsidR="007F1E65" w:rsidRPr="004A72CD">
        <w:rPr>
          <w:rFonts w:asciiTheme="minorHAnsi" w:hAnsiTheme="minorHAnsi" w:cstheme="minorHAnsi"/>
          <w:sz w:val="26"/>
          <w:szCs w:val="26"/>
        </w:rPr>
        <w:t>.</w:t>
      </w:r>
      <w:r w:rsidR="00EC62FC" w:rsidRPr="004A72CD">
        <w:rPr>
          <w:rFonts w:asciiTheme="minorHAnsi" w:hAnsiTheme="minorHAnsi" w:cstheme="minorHAnsi"/>
          <w:sz w:val="26"/>
          <w:szCs w:val="26"/>
        </w:rPr>
        <w:t>, respectiv</w:t>
      </w:r>
      <w:r w:rsidRPr="004A72CD">
        <w:rPr>
          <w:rFonts w:asciiTheme="minorHAnsi" w:hAnsiTheme="minorHAnsi" w:cstheme="minorHAnsi"/>
          <w:sz w:val="26"/>
          <w:szCs w:val="26"/>
        </w:rPr>
        <w:t xml:space="preserve"> consilii judiciare sau entități cu atribuţii similare privind sprijinirea sistemelor judiciare pentru îndeplinirea unui act de justiţie independent.</w:t>
      </w:r>
    </w:p>
    <w:p w14:paraId="3C4C5FEA" w14:textId="7EE073B2" w:rsidR="00B63A05" w:rsidRPr="004A72CD" w:rsidRDefault="00B63A05"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Nu în ultimul rând, trebuie menționată preocuparea Consiliului Superior al Magistraturii pentru implementarea proiectelor cu finanțare externă, pentru susținerea diferitelor măsuri incluse în planurile naționale de reformă sau în direcțiile de acțiune ale instituției. Au fost accesate, astfel, alocări financiare aferente unor mecanisme diferite de finanțare, precum Fondul Social European, prin Programul Operațional Capacitate Administrativă (P</w:t>
      </w:r>
      <w:r w:rsidR="00623137" w:rsidRPr="004A72CD">
        <w:rPr>
          <w:rFonts w:asciiTheme="minorHAnsi" w:hAnsiTheme="minorHAnsi" w:cstheme="minorHAnsi"/>
          <w:sz w:val="26"/>
          <w:szCs w:val="26"/>
        </w:rPr>
        <w:t>.</w:t>
      </w:r>
      <w:r w:rsidRPr="004A72CD">
        <w:rPr>
          <w:rFonts w:asciiTheme="minorHAnsi" w:hAnsiTheme="minorHAnsi" w:cstheme="minorHAnsi"/>
          <w:sz w:val="26"/>
          <w:szCs w:val="26"/>
        </w:rPr>
        <w:t>O</w:t>
      </w:r>
      <w:r w:rsidR="00623137" w:rsidRPr="004A72CD">
        <w:rPr>
          <w:rFonts w:asciiTheme="minorHAnsi" w:hAnsiTheme="minorHAnsi" w:cstheme="minorHAnsi"/>
          <w:sz w:val="26"/>
          <w:szCs w:val="26"/>
        </w:rPr>
        <w:t>.</w:t>
      </w:r>
      <w:r w:rsidRPr="004A72CD">
        <w:rPr>
          <w:rFonts w:asciiTheme="minorHAnsi" w:hAnsiTheme="minorHAnsi" w:cstheme="minorHAnsi"/>
          <w:sz w:val="26"/>
          <w:szCs w:val="26"/>
        </w:rPr>
        <w:t>C</w:t>
      </w:r>
      <w:r w:rsidR="00623137" w:rsidRPr="004A72CD">
        <w:rPr>
          <w:rFonts w:asciiTheme="minorHAnsi" w:hAnsiTheme="minorHAnsi" w:cstheme="minorHAnsi"/>
          <w:sz w:val="26"/>
          <w:szCs w:val="26"/>
        </w:rPr>
        <w:t>.</w:t>
      </w:r>
      <w:r w:rsidRPr="004A72CD">
        <w:rPr>
          <w:rFonts w:asciiTheme="minorHAnsi" w:hAnsiTheme="minorHAnsi" w:cstheme="minorHAnsi"/>
          <w:sz w:val="26"/>
          <w:szCs w:val="26"/>
        </w:rPr>
        <w:t>A</w:t>
      </w:r>
      <w:r w:rsidR="00623137" w:rsidRPr="004A72CD">
        <w:rPr>
          <w:rFonts w:asciiTheme="minorHAnsi" w:hAnsiTheme="minorHAnsi" w:cstheme="minorHAnsi"/>
          <w:sz w:val="26"/>
          <w:szCs w:val="26"/>
        </w:rPr>
        <w:t>.</w:t>
      </w:r>
      <w:r w:rsidRPr="004A72CD">
        <w:rPr>
          <w:rFonts w:asciiTheme="minorHAnsi" w:hAnsiTheme="minorHAnsi" w:cstheme="minorHAnsi"/>
          <w:sz w:val="26"/>
          <w:szCs w:val="26"/>
        </w:rPr>
        <w:t>) pentru perioada 2014</w:t>
      </w:r>
      <w:r w:rsidR="00623137" w:rsidRPr="004A72CD">
        <w:rPr>
          <w:rFonts w:asciiTheme="minorHAnsi" w:hAnsiTheme="minorHAnsi" w:cstheme="minorHAnsi"/>
          <w:sz w:val="26"/>
          <w:szCs w:val="26"/>
        </w:rPr>
        <w:t xml:space="preserve"> </w:t>
      </w:r>
      <w:r w:rsidRPr="004A72CD">
        <w:rPr>
          <w:rFonts w:asciiTheme="minorHAnsi" w:hAnsiTheme="minorHAnsi" w:cstheme="minorHAnsi"/>
          <w:sz w:val="26"/>
          <w:szCs w:val="26"/>
        </w:rPr>
        <w:t>-</w:t>
      </w:r>
      <w:r w:rsidR="00623137" w:rsidRPr="004A72CD">
        <w:rPr>
          <w:rFonts w:asciiTheme="minorHAnsi" w:hAnsiTheme="minorHAnsi" w:cstheme="minorHAnsi"/>
          <w:sz w:val="26"/>
          <w:szCs w:val="26"/>
        </w:rPr>
        <w:t xml:space="preserve"> </w:t>
      </w:r>
      <w:r w:rsidRPr="004A72CD">
        <w:rPr>
          <w:rFonts w:asciiTheme="minorHAnsi" w:hAnsiTheme="minorHAnsi" w:cstheme="minorHAnsi"/>
          <w:sz w:val="26"/>
          <w:szCs w:val="26"/>
        </w:rPr>
        <w:t>2020, Mecanismul Financiar Norvegian 2014</w:t>
      </w:r>
      <w:r w:rsidR="00623137" w:rsidRPr="004A72CD">
        <w:rPr>
          <w:rFonts w:asciiTheme="minorHAnsi" w:hAnsiTheme="minorHAnsi" w:cstheme="minorHAnsi"/>
          <w:sz w:val="26"/>
          <w:szCs w:val="26"/>
        </w:rPr>
        <w:t xml:space="preserve"> </w:t>
      </w:r>
      <w:r w:rsidRPr="004A72CD">
        <w:rPr>
          <w:rFonts w:asciiTheme="minorHAnsi" w:hAnsiTheme="minorHAnsi" w:cstheme="minorHAnsi"/>
          <w:sz w:val="26"/>
          <w:szCs w:val="26"/>
        </w:rPr>
        <w:t>-</w:t>
      </w:r>
      <w:r w:rsidR="00623137" w:rsidRPr="004A72CD">
        <w:rPr>
          <w:rFonts w:asciiTheme="minorHAnsi" w:hAnsiTheme="minorHAnsi" w:cstheme="minorHAnsi"/>
          <w:sz w:val="26"/>
          <w:szCs w:val="26"/>
        </w:rPr>
        <w:t xml:space="preserve"> </w:t>
      </w:r>
      <w:r w:rsidRPr="004A72CD">
        <w:rPr>
          <w:rFonts w:asciiTheme="minorHAnsi" w:hAnsiTheme="minorHAnsi" w:cstheme="minorHAnsi"/>
          <w:sz w:val="26"/>
          <w:szCs w:val="26"/>
        </w:rPr>
        <w:t>2021 sau cele alocate prin Planul Național de Redresare</w:t>
      </w:r>
      <w:r w:rsidR="00EC62FC" w:rsidRPr="004A72CD">
        <w:rPr>
          <w:rFonts w:asciiTheme="minorHAnsi" w:hAnsiTheme="minorHAnsi" w:cstheme="minorHAnsi"/>
          <w:sz w:val="26"/>
          <w:szCs w:val="26"/>
        </w:rPr>
        <w:t xml:space="preserve"> </w:t>
      </w:r>
      <w:r w:rsidRPr="004A72CD">
        <w:rPr>
          <w:rFonts w:asciiTheme="minorHAnsi" w:hAnsiTheme="minorHAnsi" w:cstheme="minorHAnsi"/>
          <w:sz w:val="26"/>
          <w:szCs w:val="26"/>
        </w:rPr>
        <w:t>și Reziliență (P</w:t>
      </w:r>
      <w:r w:rsidR="00623137" w:rsidRPr="004A72CD">
        <w:rPr>
          <w:rFonts w:asciiTheme="minorHAnsi" w:hAnsiTheme="minorHAnsi" w:cstheme="minorHAnsi"/>
          <w:sz w:val="26"/>
          <w:szCs w:val="26"/>
        </w:rPr>
        <w:t>.</w:t>
      </w:r>
      <w:r w:rsidRPr="004A72CD">
        <w:rPr>
          <w:rFonts w:asciiTheme="minorHAnsi" w:hAnsiTheme="minorHAnsi" w:cstheme="minorHAnsi"/>
          <w:sz w:val="26"/>
          <w:szCs w:val="26"/>
        </w:rPr>
        <w:t>N</w:t>
      </w:r>
      <w:r w:rsidR="00623137" w:rsidRPr="004A72CD">
        <w:rPr>
          <w:rFonts w:asciiTheme="minorHAnsi" w:hAnsiTheme="minorHAnsi" w:cstheme="minorHAnsi"/>
          <w:sz w:val="26"/>
          <w:szCs w:val="26"/>
        </w:rPr>
        <w:t>.</w:t>
      </w:r>
      <w:r w:rsidRPr="004A72CD">
        <w:rPr>
          <w:rFonts w:asciiTheme="minorHAnsi" w:hAnsiTheme="minorHAnsi" w:cstheme="minorHAnsi"/>
          <w:sz w:val="26"/>
          <w:szCs w:val="26"/>
        </w:rPr>
        <w:t>R</w:t>
      </w:r>
      <w:r w:rsidR="00623137" w:rsidRPr="004A72CD">
        <w:rPr>
          <w:rFonts w:asciiTheme="minorHAnsi" w:hAnsiTheme="minorHAnsi" w:cstheme="minorHAnsi"/>
          <w:sz w:val="26"/>
          <w:szCs w:val="26"/>
        </w:rPr>
        <w:t>.</w:t>
      </w:r>
      <w:r w:rsidRPr="004A72CD">
        <w:rPr>
          <w:rFonts w:asciiTheme="minorHAnsi" w:hAnsiTheme="minorHAnsi" w:cstheme="minorHAnsi"/>
          <w:sz w:val="26"/>
          <w:szCs w:val="26"/>
        </w:rPr>
        <w:t>R</w:t>
      </w:r>
      <w:r w:rsidR="00623137" w:rsidRPr="004A72CD">
        <w:rPr>
          <w:rFonts w:asciiTheme="minorHAnsi" w:hAnsiTheme="minorHAnsi" w:cstheme="minorHAnsi"/>
          <w:sz w:val="26"/>
          <w:szCs w:val="26"/>
        </w:rPr>
        <w:t>.</w:t>
      </w:r>
      <w:r w:rsidRPr="004A72CD">
        <w:rPr>
          <w:rFonts w:asciiTheme="minorHAnsi" w:hAnsiTheme="minorHAnsi" w:cstheme="minorHAnsi"/>
          <w:sz w:val="26"/>
          <w:szCs w:val="26"/>
        </w:rPr>
        <w:t>). Pentru următoarea perioadă de programare aferentă Mecanismului Financiar Norvegian și Programului de Finanțare Elvețian, sunt în curs de negociere o serie de acțiuni incluse în seria temelor fundamentale pentru reformarea sistemului judiciar, descrise și în obiective ale Strategiei de dezvoltare a sistemului judiciar 2022</w:t>
      </w:r>
      <w:r w:rsidR="000C0BD8" w:rsidRPr="004A72CD">
        <w:rPr>
          <w:rFonts w:asciiTheme="minorHAnsi" w:hAnsiTheme="minorHAnsi" w:cstheme="minorHAnsi"/>
          <w:sz w:val="26"/>
          <w:szCs w:val="26"/>
        </w:rPr>
        <w:t xml:space="preserve"> </w:t>
      </w:r>
      <w:r w:rsidRPr="004A72CD">
        <w:rPr>
          <w:rFonts w:asciiTheme="minorHAnsi" w:hAnsiTheme="minorHAnsi" w:cstheme="minorHAnsi"/>
          <w:sz w:val="26"/>
          <w:szCs w:val="26"/>
        </w:rPr>
        <w:t>-</w:t>
      </w:r>
      <w:r w:rsidR="000C0BD8" w:rsidRPr="004A72CD">
        <w:rPr>
          <w:rFonts w:asciiTheme="minorHAnsi" w:hAnsiTheme="minorHAnsi" w:cstheme="minorHAnsi"/>
          <w:sz w:val="26"/>
          <w:szCs w:val="26"/>
        </w:rPr>
        <w:t xml:space="preserve"> </w:t>
      </w:r>
      <w:r w:rsidRPr="004A72CD">
        <w:rPr>
          <w:rFonts w:asciiTheme="minorHAnsi" w:hAnsiTheme="minorHAnsi" w:cstheme="minorHAnsi"/>
          <w:sz w:val="26"/>
          <w:szCs w:val="26"/>
        </w:rPr>
        <w:t xml:space="preserve">2025. Acestea se regăsesc detaliate în capitolul VI.3 din prezentul Raport. </w:t>
      </w:r>
    </w:p>
    <w:p w14:paraId="34ED1806" w14:textId="5F39F1F3" w:rsidR="0076177A" w:rsidRPr="00EC0668" w:rsidRDefault="001E5B69" w:rsidP="00D51F5A">
      <w:pPr>
        <w:spacing w:line="276" w:lineRule="auto"/>
        <w:ind w:firstLine="709"/>
        <w:jc w:val="both"/>
        <w:rPr>
          <w:rFonts w:asciiTheme="minorHAnsi" w:hAnsiTheme="minorHAnsi" w:cstheme="minorHAnsi"/>
          <w:b/>
          <w:bCs/>
          <w:sz w:val="26"/>
          <w:szCs w:val="26"/>
        </w:rPr>
      </w:pPr>
      <w:r w:rsidRPr="00EC0668">
        <w:rPr>
          <w:rFonts w:asciiTheme="minorHAnsi" w:hAnsiTheme="minorHAnsi" w:cstheme="minorHAnsi"/>
          <w:b/>
          <w:bCs/>
          <w:sz w:val="26"/>
          <w:szCs w:val="26"/>
        </w:rPr>
        <w:t xml:space="preserve">Institutul Național </w:t>
      </w:r>
      <w:r w:rsidR="00F17BC0" w:rsidRPr="00EC0668">
        <w:rPr>
          <w:rFonts w:asciiTheme="minorHAnsi" w:hAnsiTheme="minorHAnsi" w:cstheme="minorHAnsi"/>
          <w:b/>
          <w:bCs/>
          <w:sz w:val="26"/>
          <w:szCs w:val="26"/>
        </w:rPr>
        <w:t>a</w:t>
      </w:r>
      <w:r w:rsidRPr="00EC0668">
        <w:rPr>
          <w:rFonts w:asciiTheme="minorHAnsi" w:hAnsiTheme="minorHAnsi" w:cstheme="minorHAnsi"/>
          <w:b/>
          <w:bCs/>
          <w:sz w:val="26"/>
          <w:szCs w:val="26"/>
        </w:rPr>
        <w:t>l Magistraturii</w:t>
      </w:r>
    </w:p>
    <w:p w14:paraId="79B151E4" w14:textId="05F4420F" w:rsidR="0076177A" w:rsidRPr="004A72CD" w:rsidRDefault="0076177A" w:rsidP="00D51F5A">
      <w:pPr>
        <w:pStyle w:val="Heading3"/>
      </w:pPr>
      <w:bookmarkStart w:id="37" w:name="_Toc187824358"/>
      <w:r w:rsidRPr="004A72CD">
        <w:t>I.5.1. Contribuția I</w:t>
      </w:r>
      <w:r w:rsidR="002D6C40" w:rsidRPr="004A72CD">
        <w:t>.</w:t>
      </w:r>
      <w:r w:rsidRPr="004A72CD">
        <w:t>N</w:t>
      </w:r>
      <w:r w:rsidR="002D6C40" w:rsidRPr="004A72CD">
        <w:t>.</w:t>
      </w:r>
      <w:r w:rsidRPr="004A72CD">
        <w:t>M</w:t>
      </w:r>
      <w:r w:rsidR="002D6C40" w:rsidRPr="004A72CD">
        <w:t>.</w:t>
      </w:r>
      <w:r w:rsidRPr="004A72CD">
        <w:t xml:space="preserve"> în cadrul rețelelor de formare judiciară</w:t>
      </w:r>
      <w:bookmarkEnd w:id="37"/>
      <w:r w:rsidRPr="004A72CD">
        <w:t xml:space="preserve"> </w:t>
      </w:r>
    </w:p>
    <w:p w14:paraId="5F6D1E84" w14:textId="33124B35" w:rsidR="0076177A" w:rsidRPr="00EC0668" w:rsidRDefault="0076177A">
      <w:pPr>
        <w:numPr>
          <w:ilvl w:val="0"/>
          <w:numId w:val="47"/>
        </w:numPr>
        <w:spacing w:line="276" w:lineRule="auto"/>
        <w:contextualSpacing/>
        <w:jc w:val="both"/>
        <w:rPr>
          <w:rFonts w:asciiTheme="minorHAnsi" w:eastAsia="Calibri" w:hAnsiTheme="minorHAnsi" w:cstheme="minorHAnsi"/>
          <w:b/>
          <w:bCs/>
          <w:color w:val="000000" w:themeColor="text1"/>
          <w:sz w:val="26"/>
          <w:szCs w:val="26"/>
        </w:rPr>
      </w:pPr>
      <w:r w:rsidRPr="00EC0668">
        <w:rPr>
          <w:rFonts w:asciiTheme="minorHAnsi" w:eastAsia="Calibri" w:hAnsiTheme="minorHAnsi" w:cstheme="minorHAnsi"/>
          <w:b/>
          <w:bCs/>
          <w:color w:val="000000" w:themeColor="text1"/>
          <w:sz w:val="26"/>
          <w:szCs w:val="26"/>
        </w:rPr>
        <w:t>Rețeaua Europeană de Formare Judiciară (E</w:t>
      </w:r>
      <w:r w:rsidR="00883B6F" w:rsidRPr="00EC0668">
        <w:rPr>
          <w:rFonts w:asciiTheme="minorHAnsi" w:eastAsia="Calibri" w:hAnsiTheme="minorHAnsi" w:cstheme="minorHAnsi"/>
          <w:b/>
          <w:bCs/>
          <w:color w:val="000000" w:themeColor="text1"/>
          <w:sz w:val="26"/>
          <w:szCs w:val="26"/>
        </w:rPr>
        <w:t>.</w:t>
      </w:r>
      <w:r w:rsidRPr="00EC0668">
        <w:rPr>
          <w:rFonts w:asciiTheme="minorHAnsi" w:eastAsia="Calibri" w:hAnsiTheme="minorHAnsi" w:cstheme="minorHAnsi"/>
          <w:b/>
          <w:bCs/>
          <w:color w:val="000000" w:themeColor="text1"/>
          <w:sz w:val="26"/>
          <w:szCs w:val="26"/>
        </w:rPr>
        <w:t>J</w:t>
      </w:r>
      <w:r w:rsidR="00883B6F" w:rsidRPr="00EC0668">
        <w:rPr>
          <w:rFonts w:asciiTheme="minorHAnsi" w:eastAsia="Calibri" w:hAnsiTheme="minorHAnsi" w:cstheme="minorHAnsi"/>
          <w:b/>
          <w:bCs/>
          <w:color w:val="000000" w:themeColor="text1"/>
          <w:sz w:val="26"/>
          <w:szCs w:val="26"/>
        </w:rPr>
        <w:t>.</w:t>
      </w:r>
      <w:r w:rsidRPr="00EC0668">
        <w:rPr>
          <w:rFonts w:asciiTheme="minorHAnsi" w:eastAsia="Calibri" w:hAnsiTheme="minorHAnsi" w:cstheme="minorHAnsi"/>
          <w:b/>
          <w:bCs/>
          <w:color w:val="000000" w:themeColor="text1"/>
          <w:sz w:val="26"/>
          <w:szCs w:val="26"/>
        </w:rPr>
        <w:t>T</w:t>
      </w:r>
      <w:r w:rsidR="00883B6F" w:rsidRPr="00EC0668">
        <w:rPr>
          <w:rFonts w:asciiTheme="minorHAnsi" w:eastAsia="Calibri" w:hAnsiTheme="minorHAnsi" w:cstheme="minorHAnsi"/>
          <w:b/>
          <w:bCs/>
          <w:color w:val="000000" w:themeColor="text1"/>
          <w:sz w:val="26"/>
          <w:szCs w:val="26"/>
        </w:rPr>
        <w:t>.</w:t>
      </w:r>
      <w:r w:rsidRPr="00EC0668">
        <w:rPr>
          <w:rFonts w:asciiTheme="minorHAnsi" w:eastAsia="Calibri" w:hAnsiTheme="minorHAnsi" w:cstheme="minorHAnsi"/>
          <w:b/>
          <w:bCs/>
          <w:color w:val="000000" w:themeColor="text1"/>
          <w:sz w:val="26"/>
          <w:szCs w:val="26"/>
        </w:rPr>
        <w:t>N</w:t>
      </w:r>
      <w:r w:rsidR="00883B6F" w:rsidRPr="00EC0668">
        <w:rPr>
          <w:rFonts w:asciiTheme="minorHAnsi" w:eastAsia="Calibri" w:hAnsiTheme="minorHAnsi" w:cstheme="minorHAnsi"/>
          <w:b/>
          <w:bCs/>
          <w:color w:val="000000" w:themeColor="text1"/>
          <w:sz w:val="26"/>
          <w:szCs w:val="26"/>
        </w:rPr>
        <w:t>.</w:t>
      </w:r>
      <w:r w:rsidRPr="00EC0668">
        <w:rPr>
          <w:rFonts w:asciiTheme="minorHAnsi" w:eastAsia="Calibri" w:hAnsiTheme="minorHAnsi" w:cstheme="minorHAnsi"/>
          <w:b/>
          <w:bCs/>
          <w:color w:val="000000" w:themeColor="text1"/>
          <w:sz w:val="26"/>
          <w:szCs w:val="26"/>
        </w:rPr>
        <w:t xml:space="preserve"> / R</w:t>
      </w:r>
      <w:r w:rsidR="00883B6F" w:rsidRPr="00EC0668">
        <w:rPr>
          <w:rFonts w:asciiTheme="minorHAnsi" w:eastAsia="Calibri" w:hAnsiTheme="minorHAnsi" w:cstheme="minorHAnsi"/>
          <w:b/>
          <w:bCs/>
          <w:color w:val="000000" w:themeColor="text1"/>
          <w:sz w:val="26"/>
          <w:szCs w:val="26"/>
        </w:rPr>
        <w:t>.</w:t>
      </w:r>
      <w:r w:rsidRPr="00EC0668">
        <w:rPr>
          <w:rFonts w:asciiTheme="minorHAnsi" w:eastAsia="Calibri" w:hAnsiTheme="minorHAnsi" w:cstheme="minorHAnsi"/>
          <w:b/>
          <w:bCs/>
          <w:color w:val="000000" w:themeColor="text1"/>
          <w:sz w:val="26"/>
          <w:szCs w:val="26"/>
        </w:rPr>
        <w:t>E</w:t>
      </w:r>
      <w:r w:rsidR="00883B6F" w:rsidRPr="00EC0668">
        <w:rPr>
          <w:rFonts w:asciiTheme="minorHAnsi" w:eastAsia="Calibri" w:hAnsiTheme="minorHAnsi" w:cstheme="minorHAnsi"/>
          <w:b/>
          <w:bCs/>
          <w:color w:val="000000" w:themeColor="text1"/>
          <w:sz w:val="26"/>
          <w:szCs w:val="26"/>
        </w:rPr>
        <w:t>.</w:t>
      </w:r>
      <w:r w:rsidRPr="00EC0668">
        <w:rPr>
          <w:rFonts w:asciiTheme="minorHAnsi" w:eastAsia="Calibri" w:hAnsiTheme="minorHAnsi" w:cstheme="minorHAnsi"/>
          <w:b/>
          <w:bCs/>
          <w:color w:val="000000" w:themeColor="text1"/>
          <w:sz w:val="26"/>
          <w:szCs w:val="26"/>
        </w:rPr>
        <w:t>F</w:t>
      </w:r>
      <w:r w:rsidR="00883B6F" w:rsidRPr="00EC0668">
        <w:rPr>
          <w:rFonts w:asciiTheme="minorHAnsi" w:eastAsia="Calibri" w:hAnsiTheme="minorHAnsi" w:cstheme="minorHAnsi"/>
          <w:b/>
          <w:bCs/>
          <w:color w:val="000000" w:themeColor="text1"/>
          <w:sz w:val="26"/>
          <w:szCs w:val="26"/>
        </w:rPr>
        <w:t>.</w:t>
      </w:r>
      <w:r w:rsidRPr="00EC0668">
        <w:rPr>
          <w:rFonts w:asciiTheme="minorHAnsi" w:eastAsia="Calibri" w:hAnsiTheme="minorHAnsi" w:cstheme="minorHAnsi"/>
          <w:b/>
          <w:bCs/>
          <w:color w:val="000000" w:themeColor="text1"/>
          <w:sz w:val="26"/>
          <w:szCs w:val="26"/>
        </w:rPr>
        <w:t>J</w:t>
      </w:r>
      <w:r w:rsidR="00883B6F" w:rsidRPr="00EC0668">
        <w:rPr>
          <w:rFonts w:asciiTheme="minorHAnsi" w:eastAsia="Calibri" w:hAnsiTheme="minorHAnsi" w:cstheme="minorHAnsi"/>
          <w:b/>
          <w:bCs/>
          <w:color w:val="000000" w:themeColor="text1"/>
          <w:sz w:val="26"/>
          <w:szCs w:val="26"/>
        </w:rPr>
        <w:t>.</w:t>
      </w:r>
      <w:r w:rsidRPr="00EC0668">
        <w:rPr>
          <w:rFonts w:asciiTheme="minorHAnsi" w:eastAsia="Calibri" w:hAnsiTheme="minorHAnsi" w:cstheme="minorHAnsi"/>
          <w:b/>
          <w:bCs/>
          <w:color w:val="000000" w:themeColor="text1"/>
          <w:sz w:val="26"/>
          <w:szCs w:val="26"/>
        </w:rPr>
        <w:t>)</w:t>
      </w:r>
    </w:p>
    <w:p w14:paraId="2F30C0B7" w14:textId="13657762" w:rsidR="0076177A" w:rsidRPr="004A72CD" w:rsidRDefault="0076177A" w:rsidP="00D51F5A">
      <w:pPr>
        <w:spacing w:line="276" w:lineRule="auto"/>
        <w:ind w:firstLine="690"/>
        <w:contextualSpacing/>
        <w:jc w:val="both"/>
        <w:rPr>
          <w:rFonts w:asciiTheme="minorHAnsi" w:hAnsiTheme="minorHAnsi" w:cstheme="minorHAnsi"/>
          <w:color w:val="000000" w:themeColor="text1"/>
          <w:sz w:val="26"/>
          <w:szCs w:val="26"/>
          <w:lang w:eastAsia="ro-RO"/>
        </w:rPr>
      </w:pPr>
      <w:r w:rsidRPr="004A72CD">
        <w:rPr>
          <w:rFonts w:asciiTheme="minorHAnsi" w:hAnsiTheme="minorHAnsi" w:cstheme="minorHAnsi"/>
          <w:color w:val="000000" w:themeColor="text1"/>
          <w:sz w:val="26"/>
          <w:szCs w:val="26"/>
          <w:lang w:eastAsia="ro-RO"/>
        </w:rPr>
        <w:t>Institutul Național al Magistraturii a fost reprezentat, în perioada de referință, la 11 reuniuni ale Comitetului de Pilotaj, la Adunarea Generală extraordinară</w:t>
      </w:r>
      <w:r w:rsidRPr="004A72CD">
        <w:rPr>
          <w:rFonts w:asciiTheme="minorHAnsi" w:hAnsiTheme="minorHAnsi" w:cstheme="minorHAnsi"/>
          <w:color w:val="000000" w:themeColor="text1"/>
          <w:sz w:val="26"/>
          <w:szCs w:val="26"/>
        </w:rPr>
        <w:t xml:space="preserve">, desfășurată la </w:t>
      </w:r>
      <w:bookmarkStart w:id="38" w:name="_Hlk148094269"/>
      <w:r w:rsidRPr="004A72CD">
        <w:rPr>
          <w:rFonts w:asciiTheme="minorHAnsi" w:hAnsiTheme="minorHAnsi" w:cstheme="minorHAnsi"/>
          <w:color w:val="000000" w:themeColor="text1"/>
          <w:sz w:val="26"/>
          <w:szCs w:val="26"/>
        </w:rPr>
        <w:t>Bruxelles</w:t>
      </w:r>
      <w:r w:rsidRPr="004A72CD">
        <w:rPr>
          <w:rFonts w:asciiTheme="minorHAnsi" w:eastAsiaTheme="majorEastAsia" w:hAnsiTheme="minorHAnsi" w:cstheme="minorHAnsi"/>
          <w:color w:val="000000" w:themeColor="text1"/>
          <w:sz w:val="26"/>
          <w:szCs w:val="26"/>
        </w:rPr>
        <w:t>, în perioada 12</w:t>
      </w:r>
      <w:r w:rsidR="00D50A4C" w:rsidRPr="004A72CD">
        <w:rPr>
          <w:rFonts w:asciiTheme="minorHAnsi" w:eastAsiaTheme="majorEastAsia" w:hAnsiTheme="minorHAnsi" w:cstheme="minorHAnsi"/>
          <w:color w:val="000000" w:themeColor="text1"/>
          <w:sz w:val="26"/>
          <w:szCs w:val="26"/>
        </w:rPr>
        <w:t xml:space="preserve"> – </w:t>
      </w:r>
      <w:r w:rsidRPr="004A72CD">
        <w:rPr>
          <w:rFonts w:asciiTheme="minorHAnsi" w:eastAsiaTheme="majorEastAsia" w:hAnsiTheme="minorHAnsi" w:cstheme="minorHAnsi"/>
          <w:color w:val="000000" w:themeColor="text1"/>
          <w:sz w:val="26"/>
          <w:szCs w:val="26"/>
        </w:rPr>
        <w:t>13</w:t>
      </w:r>
      <w:r w:rsidR="00D50A4C" w:rsidRPr="004A72CD">
        <w:rPr>
          <w:rFonts w:asciiTheme="minorHAnsi" w:eastAsiaTheme="majorEastAsia" w:hAnsiTheme="minorHAnsi" w:cstheme="minorHAnsi"/>
          <w:color w:val="000000" w:themeColor="text1"/>
          <w:sz w:val="26"/>
          <w:szCs w:val="26"/>
        </w:rPr>
        <w:t>.06.</w:t>
      </w:r>
      <w:r w:rsidRPr="004A72CD">
        <w:rPr>
          <w:rFonts w:asciiTheme="minorHAnsi" w:eastAsiaTheme="majorEastAsia" w:hAnsiTheme="minorHAnsi" w:cstheme="minorHAnsi"/>
          <w:color w:val="000000" w:themeColor="text1"/>
          <w:sz w:val="26"/>
          <w:szCs w:val="26"/>
        </w:rPr>
        <w:t xml:space="preserve">2024, ocazie cu care </w:t>
      </w:r>
      <w:bookmarkEnd w:id="38"/>
      <w:r w:rsidRPr="004A72CD">
        <w:rPr>
          <w:rFonts w:asciiTheme="minorHAnsi" w:hAnsiTheme="minorHAnsi" w:cstheme="minorHAnsi"/>
          <w:sz w:val="26"/>
          <w:szCs w:val="26"/>
        </w:rPr>
        <w:t>a co-moderat, împreună cu Școala Superioară de Magistratură din Italia (S</w:t>
      </w:r>
      <w:r w:rsidR="00327676" w:rsidRPr="004A72CD">
        <w:rPr>
          <w:rFonts w:asciiTheme="minorHAnsi" w:hAnsiTheme="minorHAnsi" w:cstheme="minorHAnsi"/>
          <w:sz w:val="26"/>
          <w:szCs w:val="26"/>
        </w:rPr>
        <w:t>.</w:t>
      </w:r>
      <w:r w:rsidRPr="004A72CD">
        <w:rPr>
          <w:rFonts w:asciiTheme="minorHAnsi" w:hAnsiTheme="minorHAnsi" w:cstheme="minorHAnsi"/>
          <w:sz w:val="26"/>
          <w:szCs w:val="26"/>
        </w:rPr>
        <w:t>S</w:t>
      </w:r>
      <w:r w:rsidR="00327676" w:rsidRPr="004A72CD">
        <w:rPr>
          <w:rFonts w:asciiTheme="minorHAnsi" w:hAnsiTheme="minorHAnsi" w:cstheme="minorHAnsi"/>
          <w:sz w:val="26"/>
          <w:szCs w:val="26"/>
        </w:rPr>
        <w:t>.</w:t>
      </w:r>
      <w:r w:rsidRPr="004A72CD">
        <w:rPr>
          <w:rFonts w:asciiTheme="minorHAnsi" w:hAnsiTheme="minorHAnsi" w:cstheme="minorHAnsi"/>
          <w:sz w:val="26"/>
          <w:szCs w:val="26"/>
        </w:rPr>
        <w:t>M</w:t>
      </w:r>
      <w:r w:rsidR="00327676" w:rsidRPr="004A72CD">
        <w:rPr>
          <w:rFonts w:asciiTheme="minorHAnsi" w:hAnsiTheme="minorHAnsi" w:cstheme="minorHAnsi"/>
          <w:sz w:val="26"/>
          <w:szCs w:val="26"/>
        </w:rPr>
        <w:t>.</w:t>
      </w:r>
      <w:r w:rsidRPr="004A72CD">
        <w:rPr>
          <w:rFonts w:asciiTheme="minorHAnsi" w:hAnsiTheme="minorHAnsi" w:cstheme="minorHAnsi"/>
          <w:sz w:val="26"/>
          <w:szCs w:val="26"/>
        </w:rPr>
        <w:t>), workshop-ul dedicat formării judiciare în domeniul leadership-ului, precum şi la Adunarea generală, desfășurată în format online, în data de 24 septembrie 2024.</w:t>
      </w:r>
    </w:p>
    <w:p w14:paraId="7C5E06C4" w14:textId="0E260FAC" w:rsidR="0076177A" w:rsidRPr="0098252F" w:rsidRDefault="0076177A" w:rsidP="0063348A">
      <w:pPr>
        <w:spacing w:line="276" w:lineRule="auto"/>
        <w:ind w:firstLine="708"/>
        <w:contextualSpacing/>
        <w:jc w:val="both"/>
        <w:rPr>
          <w:rFonts w:asciiTheme="minorHAnsi" w:hAnsiTheme="minorHAnsi" w:cstheme="minorHAnsi"/>
          <w:kern w:val="36"/>
          <w:sz w:val="26"/>
          <w:szCs w:val="26"/>
          <w:lang w:eastAsia="ro-RO"/>
        </w:rPr>
      </w:pPr>
      <w:r w:rsidRPr="004A72CD">
        <w:rPr>
          <w:rFonts w:asciiTheme="minorHAnsi" w:hAnsiTheme="minorHAnsi" w:cstheme="minorHAnsi"/>
          <w:color w:val="000000" w:themeColor="text1"/>
          <w:sz w:val="26"/>
          <w:szCs w:val="26"/>
          <w:lang w:eastAsia="ro-RO"/>
        </w:rPr>
        <w:t>De asemenea, reprezentanții I</w:t>
      </w:r>
      <w:r w:rsidR="00343791" w:rsidRPr="004A72CD">
        <w:rPr>
          <w:rFonts w:asciiTheme="minorHAnsi" w:hAnsiTheme="minorHAnsi" w:cstheme="minorHAnsi"/>
          <w:color w:val="000000" w:themeColor="text1"/>
          <w:sz w:val="26"/>
          <w:szCs w:val="26"/>
          <w:lang w:eastAsia="ro-RO"/>
        </w:rPr>
        <w:t>.</w:t>
      </w:r>
      <w:r w:rsidRPr="004A72CD">
        <w:rPr>
          <w:rFonts w:asciiTheme="minorHAnsi" w:hAnsiTheme="minorHAnsi" w:cstheme="minorHAnsi"/>
          <w:color w:val="000000" w:themeColor="text1"/>
          <w:sz w:val="26"/>
          <w:szCs w:val="26"/>
          <w:lang w:eastAsia="ro-RO"/>
        </w:rPr>
        <w:t>N</w:t>
      </w:r>
      <w:r w:rsidR="00343791" w:rsidRPr="004A72CD">
        <w:rPr>
          <w:rFonts w:asciiTheme="minorHAnsi" w:hAnsiTheme="minorHAnsi" w:cstheme="minorHAnsi"/>
          <w:color w:val="000000" w:themeColor="text1"/>
          <w:sz w:val="26"/>
          <w:szCs w:val="26"/>
          <w:lang w:eastAsia="ro-RO"/>
        </w:rPr>
        <w:t>.</w:t>
      </w:r>
      <w:r w:rsidRPr="004A72CD">
        <w:rPr>
          <w:rFonts w:asciiTheme="minorHAnsi" w:hAnsiTheme="minorHAnsi" w:cstheme="minorHAnsi"/>
          <w:color w:val="000000" w:themeColor="text1"/>
          <w:sz w:val="26"/>
          <w:szCs w:val="26"/>
          <w:lang w:eastAsia="ro-RO"/>
        </w:rPr>
        <w:t>M</w:t>
      </w:r>
      <w:r w:rsidR="00343791" w:rsidRPr="004A72CD">
        <w:rPr>
          <w:rFonts w:asciiTheme="minorHAnsi" w:hAnsiTheme="minorHAnsi" w:cstheme="minorHAnsi"/>
          <w:color w:val="000000" w:themeColor="text1"/>
          <w:sz w:val="26"/>
          <w:szCs w:val="26"/>
          <w:lang w:eastAsia="ro-RO"/>
        </w:rPr>
        <w:t>.</w:t>
      </w:r>
      <w:r w:rsidRPr="004A72CD">
        <w:rPr>
          <w:rFonts w:asciiTheme="minorHAnsi" w:hAnsiTheme="minorHAnsi" w:cstheme="minorHAnsi"/>
          <w:color w:val="000000" w:themeColor="text1"/>
          <w:sz w:val="26"/>
          <w:szCs w:val="26"/>
          <w:lang w:eastAsia="ro-RO"/>
        </w:rPr>
        <w:t xml:space="preserve"> au participat </w:t>
      </w:r>
      <w:r w:rsidRPr="004A72CD">
        <w:rPr>
          <w:rFonts w:asciiTheme="minorHAnsi" w:hAnsiTheme="minorHAnsi" w:cstheme="minorHAnsi"/>
          <w:color w:val="000000" w:themeColor="text1"/>
          <w:sz w:val="26"/>
          <w:szCs w:val="26"/>
        </w:rPr>
        <w:t>la întâlnirile grupurilor și sub-grupurilor de lucru constituite la nivelul E</w:t>
      </w:r>
      <w:r w:rsidR="00343791"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J</w:t>
      </w:r>
      <w:r w:rsidR="00343791"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T</w:t>
      </w:r>
      <w:r w:rsidR="00343791"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N</w:t>
      </w:r>
      <w:r w:rsidR="00343791"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la întâlnirile anuale ale punctelor naționale de contact pentru programul de schimb și, respectiv, punctelor naționale de contact pentru activitățile organizate de E</w:t>
      </w:r>
      <w:r w:rsidR="00765F83"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J</w:t>
      </w:r>
      <w:r w:rsidR="00765F83"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T</w:t>
      </w:r>
      <w:r w:rsidR="00765F83"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N</w:t>
      </w:r>
      <w:r w:rsidR="00765F83"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xml:space="preserve">, la întâlnirea anuală cu reprezentanții Comisiei Europene și a partenerilor LOT 4 dedicată analizei nevoilor de formare a magistraților la nivel european, la </w:t>
      </w:r>
      <w:r w:rsidRPr="004A72CD">
        <w:rPr>
          <w:rFonts w:asciiTheme="minorHAnsi" w:hAnsiTheme="minorHAnsi" w:cstheme="minorHAnsi"/>
          <w:color w:val="000000" w:themeColor="text1"/>
          <w:kern w:val="36"/>
          <w:sz w:val="26"/>
          <w:szCs w:val="26"/>
          <w:lang w:eastAsia="ro-RO"/>
        </w:rPr>
        <w:t xml:space="preserve">întâlnirea anuală dedicată accesării de fonduri europene, precum şi la lucrările unor grupuri ad-hoc </w:t>
      </w:r>
      <w:bookmarkStart w:id="39" w:name="_Hlk117088230"/>
      <w:r w:rsidRPr="004A72CD">
        <w:rPr>
          <w:rFonts w:asciiTheme="minorHAnsi" w:hAnsiTheme="minorHAnsi" w:cstheme="minorHAnsi"/>
          <w:color w:val="000000" w:themeColor="text1"/>
          <w:kern w:val="36"/>
          <w:sz w:val="26"/>
          <w:szCs w:val="26"/>
          <w:lang w:eastAsia="ro-RO"/>
        </w:rPr>
        <w:t>ce au vizat, între altele, pregătirea celei de-a treia ediţii a Forumului judecătorilor</w:t>
      </w:r>
      <w:r w:rsidR="00EC62FC" w:rsidRPr="004A72CD">
        <w:rPr>
          <w:rFonts w:asciiTheme="minorHAnsi" w:hAnsiTheme="minorHAnsi" w:cstheme="minorHAnsi"/>
          <w:color w:val="000000" w:themeColor="text1"/>
          <w:kern w:val="36"/>
          <w:sz w:val="26"/>
          <w:szCs w:val="26"/>
          <w:lang w:eastAsia="ro-RO"/>
        </w:rPr>
        <w:t xml:space="preserve">, </w:t>
      </w:r>
      <w:r w:rsidRPr="004A72CD">
        <w:rPr>
          <w:rFonts w:asciiTheme="minorHAnsi" w:hAnsiTheme="minorHAnsi" w:cstheme="minorHAnsi"/>
          <w:color w:val="000000" w:themeColor="text1"/>
          <w:kern w:val="36"/>
          <w:sz w:val="26"/>
          <w:szCs w:val="26"/>
          <w:lang w:eastAsia="ro-RO"/>
        </w:rPr>
        <w:t>eveniment organizat de E</w:t>
      </w:r>
      <w:r w:rsidR="00B22C76" w:rsidRPr="004A72CD">
        <w:rPr>
          <w:rFonts w:asciiTheme="minorHAnsi" w:hAnsiTheme="minorHAnsi" w:cstheme="minorHAnsi"/>
          <w:color w:val="000000" w:themeColor="text1"/>
          <w:kern w:val="36"/>
          <w:sz w:val="26"/>
          <w:szCs w:val="26"/>
          <w:lang w:eastAsia="ro-RO"/>
        </w:rPr>
        <w:t>.</w:t>
      </w:r>
      <w:r w:rsidRPr="004A72CD">
        <w:rPr>
          <w:rFonts w:asciiTheme="minorHAnsi" w:hAnsiTheme="minorHAnsi" w:cstheme="minorHAnsi"/>
          <w:color w:val="000000" w:themeColor="text1"/>
          <w:kern w:val="36"/>
          <w:sz w:val="26"/>
          <w:szCs w:val="26"/>
          <w:lang w:eastAsia="ro-RO"/>
        </w:rPr>
        <w:t>J</w:t>
      </w:r>
      <w:r w:rsidR="00B22C76" w:rsidRPr="004A72CD">
        <w:rPr>
          <w:rFonts w:asciiTheme="minorHAnsi" w:hAnsiTheme="minorHAnsi" w:cstheme="minorHAnsi"/>
          <w:color w:val="000000" w:themeColor="text1"/>
          <w:kern w:val="36"/>
          <w:sz w:val="26"/>
          <w:szCs w:val="26"/>
          <w:lang w:eastAsia="ro-RO"/>
        </w:rPr>
        <w:t>.</w:t>
      </w:r>
      <w:r w:rsidRPr="004A72CD">
        <w:rPr>
          <w:rFonts w:asciiTheme="minorHAnsi" w:hAnsiTheme="minorHAnsi" w:cstheme="minorHAnsi"/>
          <w:color w:val="000000" w:themeColor="text1"/>
          <w:kern w:val="36"/>
          <w:sz w:val="26"/>
          <w:szCs w:val="26"/>
          <w:lang w:eastAsia="ro-RO"/>
        </w:rPr>
        <w:t>T</w:t>
      </w:r>
      <w:r w:rsidR="00B22C76" w:rsidRPr="004A72CD">
        <w:rPr>
          <w:rFonts w:asciiTheme="minorHAnsi" w:hAnsiTheme="minorHAnsi" w:cstheme="minorHAnsi"/>
          <w:color w:val="000000" w:themeColor="text1"/>
          <w:kern w:val="36"/>
          <w:sz w:val="26"/>
          <w:szCs w:val="26"/>
          <w:lang w:eastAsia="ro-RO"/>
        </w:rPr>
        <w:t>.</w:t>
      </w:r>
      <w:r w:rsidRPr="004A72CD">
        <w:rPr>
          <w:rFonts w:asciiTheme="minorHAnsi" w:hAnsiTheme="minorHAnsi" w:cstheme="minorHAnsi"/>
          <w:color w:val="000000" w:themeColor="text1"/>
          <w:kern w:val="36"/>
          <w:sz w:val="26"/>
          <w:szCs w:val="26"/>
          <w:lang w:eastAsia="ro-RO"/>
        </w:rPr>
        <w:t>N</w:t>
      </w:r>
      <w:r w:rsidR="00B22C76" w:rsidRPr="004A72CD">
        <w:rPr>
          <w:rFonts w:asciiTheme="minorHAnsi" w:hAnsiTheme="minorHAnsi" w:cstheme="minorHAnsi"/>
          <w:color w:val="000000" w:themeColor="text1"/>
          <w:kern w:val="36"/>
          <w:sz w:val="26"/>
          <w:szCs w:val="26"/>
          <w:lang w:eastAsia="ro-RO"/>
        </w:rPr>
        <w:t>.</w:t>
      </w:r>
      <w:r w:rsidRPr="004A72CD">
        <w:rPr>
          <w:rFonts w:asciiTheme="minorHAnsi" w:hAnsiTheme="minorHAnsi" w:cstheme="minorHAnsi"/>
          <w:color w:val="000000" w:themeColor="text1"/>
          <w:kern w:val="36"/>
          <w:sz w:val="26"/>
          <w:szCs w:val="26"/>
          <w:lang w:eastAsia="ro-RO"/>
        </w:rPr>
        <w:t>, în colaborare cu Institutul Internațional de Justiție Penală şi Drepturile Omului din Siracusa, precum şi evaluarea impactului activităților E</w:t>
      </w:r>
      <w:r w:rsidR="00576A01" w:rsidRPr="004A72CD">
        <w:rPr>
          <w:rFonts w:asciiTheme="minorHAnsi" w:hAnsiTheme="minorHAnsi" w:cstheme="minorHAnsi"/>
          <w:color w:val="000000" w:themeColor="text1"/>
          <w:kern w:val="36"/>
          <w:sz w:val="26"/>
          <w:szCs w:val="26"/>
          <w:lang w:eastAsia="ro-RO"/>
        </w:rPr>
        <w:t>.</w:t>
      </w:r>
      <w:r w:rsidRPr="004A72CD">
        <w:rPr>
          <w:rFonts w:asciiTheme="minorHAnsi" w:hAnsiTheme="minorHAnsi" w:cstheme="minorHAnsi"/>
          <w:color w:val="000000" w:themeColor="text1"/>
          <w:kern w:val="36"/>
          <w:sz w:val="26"/>
          <w:szCs w:val="26"/>
          <w:lang w:eastAsia="ro-RO"/>
        </w:rPr>
        <w:t>J</w:t>
      </w:r>
      <w:r w:rsidR="00576A01" w:rsidRPr="004A72CD">
        <w:rPr>
          <w:rFonts w:asciiTheme="minorHAnsi" w:hAnsiTheme="minorHAnsi" w:cstheme="minorHAnsi"/>
          <w:color w:val="000000" w:themeColor="text1"/>
          <w:kern w:val="36"/>
          <w:sz w:val="26"/>
          <w:szCs w:val="26"/>
          <w:lang w:eastAsia="ro-RO"/>
        </w:rPr>
        <w:t>.</w:t>
      </w:r>
      <w:r w:rsidRPr="004A72CD">
        <w:rPr>
          <w:rFonts w:asciiTheme="minorHAnsi" w:hAnsiTheme="minorHAnsi" w:cstheme="minorHAnsi"/>
          <w:color w:val="000000" w:themeColor="text1"/>
          <w:kern w:val="36"/>
          <w:sz w:val="26"/>
          <w:szCs w:val="26"/>
          <w:lang w:eastAsia="ro-RO"/>
        </w:rPr>
        <w:t>T</w:t>
      </w:r>
      <w:r w:rsidR="00576A01" w:rsidRPr="004A72CD">
        <w:rPr>
          <w:rFonts w:asciiTheme="minorHAnsi" w:hAnsiTheme="minorHAnsi" w:cstheme="minorHAnsi"/>
          <w:color w:val="000000" w:themeColor="text1"/>
          <w:kern w:val="36"/>
          <w:sz w:val="26"/>
          <w:szCs w:val="26"/>
          <w:lang w:eastAsia="ro-RO"/>
        </w:rPr>
        <w:t>.</w:t>
      </w:r>
      <w:r w:rsidRPr="004A72CD">
        <w:rPr>
          <w:rFonts w:asciiTheme="minorHAnsi" w:hAnsiTheme="minorHAnsi" w:cstheme="minorHAnsi"/>
          <w:color w:val="000000" w:themeColor="text1"/>
          <w:kern w:val="36"/>
          <w:sz w:val="26"/>
          <w:szCs w:val="26"/>
          <w:lang w:eastAsia="ro-RO"/>
        </w:rPr>
        <w:t>N</w:t>
      </w:r>
      <w:r w:rsidR="00576A01" w:rsidRPr="004A72CD">
        <w:rPr>
          <w:rFonts w:asciiTheme="minorHAnsi" w:hAnsiTheme="minorHAnsi" w:cstheme="minorHAnsi"/>
          <w:color w:val="000000" w:themeColor="text1"/>
          <w:kern w:val="36"/>
          <w:sz w:val="26"/>
          <w:szCs w:val="26"/>
          <w:lang w:eastAsia="ro-RO"/>
        </w:rPr>
        <w:t>.</w:t>
      </w:r>
      <w:r w:rsidRPr="004A72CD">
        <w:rPr>
          <w:rFonts w:asciiTheme="minorHAnsi" w:hAnsiTheme="minorHAnsi" w:cstheme="minorHAnsi"/>
          <w:color w:val="000000" w:themeColor="text1"/>
          <w:kern w:val="36"/>
          <w:sz w:val="26"/>
          <w:szCs w:val="26"/>
          <w:lang w:eastAsia="ro-RO"/>
        </w:rPr>
        <w:t>.</w:t>
      </w:r>
      <w:r w:rsidR="0063348A" w:rsidRPr="0063348A">
        <w:rPr>
          <w:rFonts w:asciiTheme="minorHAnsi" w:hAnsiTheme="minorHAnsi" w:cstheme="minorHAnsi"/>
          <w:color w:val="FF0000"/>
          <w:kern w:val="36"/>
          <w:sz w:val="26"/>
          <w:szCs w:val="26"/>
          <w:lang w:eastAsia="ro-RO"/>
        </w:rPr>
        <w:t xml:space="preserve"> </w:t>
      </w:r>
      <w:r w:rsidR="0063348A" w:rsidRPr="0098252F">
        <w:rPr>
          <w:rFonts w:asciiTheme="minorHAnsi" w:hAnsiTheme="minorHAnsi" w:cstheme="minorHAnsi"/>
          <w:kern w:val="36"/>
          <w:sz w:val="26"/>
          <w:szCs w:val="26"/>
          <w:lang w:eastAsia="ro-RO"/>
        </w:rPr>
        <w:t>De asemenea, I.N.M. a fost implicat în pregătirea celei de-a treia ediţii a Forumului judecătorilor, eveniment organizat de E.J.T.N., în colaborare cu Institutul Internațional de Justiție Penală şi Drepturile Omului din Siracusa, în perioada 18-21 noiembrie 2024.</w:t>
      </w:r>
    </w:p>
    <w:p w14:paraId="3E3688AF" w14:textId="233D0BB3" w:rsidR="0076177A" w:rsidRPr="004A72CD" w:rsidRDefault="0076177A" w:rsidP="00D51F5A">
      <w:pPr>
        <w:tabs>
          <w:tab w:val="left" w:pos="720"/>
        </w:tabs>
        <w:spacing w:line="276" w:lineRule="auto"/>
        <w:jc w:val="both"/>
        <w:rPr>
          <w:rFonts w:asciiTheme="minorHAnsi" w:hAnsiTheme="minorHAnsi" w:cstheme="minorHAnsi"/>
          <w:color w:val="000000" w:themeColor="text1"/>
          <w:sz w:val="26"/>
          <w:szCs w:val="26"/>
        </w:rPr>
      </w:pPr>
      <w:r w:rsidRPr="0098252F">
        <w:rPr>
          <w:rFonts w:asciiTheme="minorHAnsi" w:hAnsiTheme="minorHAnsi" w:cstheme="minorHAnsi"/>
          <w:bCs/>
          <w:sz w:val="26"/>
          <w:szCs w:val="26"/>
        </w:rPr>
        <w:tab/>
      </w:r>
      <w:bookmarkEnd w:id="39"/>
      <w:r w:rsidRPr="0098252F">
        <w:rPr>
          <w:rFonts w:asciiTheme="minorHAnsi" w:hAnsiTheme="minorHAnsi" w:cstheme="minorHAnsi"/>
          <w:sz w:val="26"/>
          <w:szCs w:val="26"/>
        </w:rPr>
        <w:t xml:space="preserve">În </w:t>
      </w:r>
      <w:r w:rsidR="0063348A" w:rsidRPr="0098252F">
        <w:rPr>
          <w:rFonts w:asciiTheme="minorHAnsi" w:hAnsiTheme="minorHAnsi" w:cstheme="minorHAnsi"/>
          <w:sz w:val="26"/>
          <w:szCs w:val="26"/>
        </w:rPr>
        <w:t>anul</w:t>
      </w:r>
      <w:r w:rsidRPr="0098252F">
        <w:rPr>
          <w:rFonts w:asciiTheme="minorHAnsi" w:hAnsiTheme="minorHAnsi" w:cstheme="minorHAnsi"/>
          <w:sz w:val="26"/>
          <w:szCs w:val="26"/>
        </w:rPr>
        <w:t xml:space="preserve"> </w:t>
      </w:r>
      <w:r w:rsidRPr="004A72CD">
        <w:rPr>
          <w:rFonts w:asciiTheme="minorHAnsi" w:hAnsiTheme="minorHAnsi" w:cstheme="minorHAnsi"/>
          <w:color w:val="000000" w:themeColor="text1"/>
          <w:sz w:val="26"/>
          <w:szCs w:val="26"/>
        </w:rPr>
        <w:t>2024, I</w:t>
      </w:r>
      <w:r w:rsidR="00576A01"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N</w:t>
      </w:r>
      <w:r w:rsidR="00576A01"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M</w:t>
      </w:r>
      <w:r w:rsidR="00576A01"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xml:space="preserve"> a găzduit două seminare E</w:t>
      </w:r>
      <w:r w:rsidR="00576A01"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J</w:t>
      </w:r>
      <w:r w:rsidR="00576A01"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T</w:t>
      </w:r>
      <w:r w:rsidR="00576A01"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N</w:t>
      </w:r>
      <w:r w:rsidR="00576A01"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xml:space="preserve"> în domeniul dreptului european al achizițiilor publice („</w:t>
      </w:r>
      <w:r w:rsidRPr="004A72CD">
        <w:rPr>
          <w:rFonts w:asciiTheme="minorHAnsi" w:hAnsiTheme="minorHAnsi" w:cstheme="minorHAnsi"/>
          <w:spacing w:val="-4"/>
          <w:kern w:val="36"/>
          <w:sz w:val="26"/>
          <w:szCs w:val="26"/>
          <w:lang w:eastAsia="ro-RO"/>
        </w:rPr>
        <w:t xml:space="preserve">Eu Public Procurement”) </w:t>
      </w:r>
      <w:r w:rsidRPr="004A72CD">
        <w:rPr>
          <w:rFonts w:asciiTheme="minorHAnsi" w:hAnsiTheme="minorHAnsi" w:cstheme="minorHAnsi"/>
          <w:color w:val="000000" w:themeColor="text1"/>
          <w:sz w:val="26"/>
          <w:szCs w:val="26"/>
        </w:rPr>
        <w:t>şi protecției consumatorilor</w:t>
      </w:r>
      <w:r w:rsidRPr="004A72CD">
        <w:rPr>
          <w:rFonts w:asciiTheme="minorHAnsi" w:hAnsiTheme="minorHAnsi" w:cstheme="minorHAnsi"/>
          <w:spacing w:val="-4"/>
          <w:sz w:val="26"/>
          <w:szCs w:val="26"/>
        </w:rPr>
        <w:t xml:space="preserve"> („Protection of Consumers in the light of the EU Law and E-Commerce”).</w:t>
      </w:r>
      <w:r w:rsidRPr="004A72CD">
        <w:rPr>
          <w:rFonts w:asciiTheme="minorHAnsi" w:hAnsiTheme="minorHAnsi" w:cstheme="minorHAnsi"/>
          <w:color w:val="000000" w:themeColor="text1"/>
          <w:sz w:val="26"/>
          <w:szCs w:val="26"/>
        </w:rPr>
        <w:t xml:space="preserve"> </w:t>
      </w:r>
    </w:p>
    <w:p w14:paraId="5A534C6B" w14:textId="782D6AA5" w:rsidR="0076177A" w:rsidRPr="004A72CD" w:rsidRDefault="0076177A">
      <w:pPr>
        <w:numPr>
          <w:ilvl w:val="0"/>
          <w:numId w:val="47"/>
        </w:numPr>
        <w:spacing w:line="276" w:lineRule="auto"/>
        <w:contextualSpacing/>
        <w:jc w:val="both"/>
        <w:rPr>
          <w:rFonts w:asciiTheme="minorHAnsi" w:eastAsia="Calibri" w:hAnsiTheme="minorHAnsi" w:cstheme="minorHAnsi"/>
          <w:b/>
          <w:bCs/>
          <w:color w:val="000000" w:themeColor="text1"/>
          <w:sz w:val="26"/>
          <w:szCs w:val="26"/>
        </w:rPr>
      </w:pPr>
      <w:r w:rsidRPr="004A72CD">
        <w:rPr>
          <w:rFonts w:asciiTheme="minorHAnsi" w:eastAsia="Calibri" w:hAnsiTheme="minorHAnsi" w:cstheme="minorHAnsi"/>
          <w:b/>
          <w:bCs/>
          <w:color w:val="000000" w:themeColor="text1"/>
          <w:sz w:val="26"/>
          <w:szCs w:val="26"/>
        </w:rPr>
        <w:lastRenderedPageBreak/>
        <w:t>Reţeaua Euro-Arabă de Formare Judiciară (E</w:t>
      </w:r>
      <w:r w:rsidR="00242876" w:rsidRPr="004A72CD">
        <w:rPr>
          <w:rFonts w:asciiTheme="minorHAnsi" w:eastAsia="Calibri" w:hAnsiTheme="minorHAnsi" w:cstheme="minorHAnsi"/>
          <w:b/>
          <w:bCs/>
          <w:color w:val="000000" w:themeColor="text1"/>
          <w:sz w:val="26"/>
          <w:szCs w:val="26"/>
        </w:rPr>
        <w:t>.</w:t>
      </w:r>
      <w:r w:rsidRPr="004A72CD">
        <w:rPr>
          <w:rFonts w:asciiTheme="minorHAnsi" w:eastAsia="Calibri" w:hAnsiTheme="minorHAnsi" w:cstheme="minorHAnsi"/>
          <w:b/>
          <w:bCs/>
          <w:color w:val="000000" w:themeColor="text1"/>
          <w:sz w:val="26"/>
          <w:szCs w:val="26"/>
        </w:rPr>
        <w:t>A</w:t>
      </w:r>
      <w:r w:rsidR="00242876" w:rsidRPr="004A72CD">
        <w:rPr>
          <w:rFonts w:asciiTheme="minorHAnsi" w:eastAsia="Calibri" w:hAnsiTheme="minorHAnsi" w:cstheme="minorHAnsi"/>
          <w:b/>
          <w:bCs/>
          <w:color w:val="000000" w:themeColor="text1"/>
          <w:sz w:val="26"/>
          <w:szCs w:val="26"/>
        </w:rPr>
        <w:t>.</w:t>
      </w:r>
      <w:r w:rsidRPr="004A72CD">
        <w:rPr>
          <w:rFonts w:asciiTheme="minorHAnsi" w:eastAsia="Calibri" w:hAnsiTheme="minorHAnsi" w:cstheme="minorHAnsi"/>
          <w:b/>
          <w:bCs/>
          <w:color w:val="000000" w:themeColor="text1"/>
          <w:sz w:val="26"/>
          <w:szCs w:val="26"/>
        </w:rPr>
        <w:t>J</w:t>
      </w:r>
      <w:r w:rsidR="00242876" w:rsidRPr="004A72CD">
        <w:rPr>
          <w:rFonts w:asciiTheme="minorHAnsi" w:eastAsia="Calibri" w:hAnsiTheme="minorHAnsi" w:cstheme="minorHAnsi"/>
          <w:b/>
          <w:bCs/>
          <w:color w:val="000000" w:themeColor="text1"/>
          <w:sz w:val="26"/>
          <w:szCs w:val="26"/>
        </w:rPr>
        <w:t>.</w:t>
      </w:r>
      <w:r w:rsidRPr="004A72CD">
        <w:rPr>
          <w:rFonts w:asciiTheme="minorHAnsi" w:eastAsia="Calibri" w:hAnsiTheme="minorHAnsi" w:cstheme="minorHAnsi"/>
          <w:b/>
          <w:bCs/>
          <w:color w:val="000000" w:themeColor="text1"/>
          <w:sz w:val="26"/>
          <w:szCs w:val="26"/>
        </w:rPr>
        <w:t>T</w:t>
      </w:r>
      <w:r w:rsidR="00242876" w:rsidRPr="004A72CD">
        <w:rPr>
          <w:rFonts w:asciiTheme="minorHAnsi" w:eastAsia="Calibri" w:hAnsiTheme="minorHAnsi" w:cstheme="minorHAnsi"/>
          <w:b/>
          <w:bCs/>
          <w:color w:val="000000" w:themeColor="text1"/>
          <w:sz w:val="26"/>
          <w:szCs w:val="26"/>
        </w:rPr>
        <w:t>.</w:t>
      </w:r>
      <w:r w:rsidRPr="004A72CD">
        <w:rPr>
          <w:rFonts w:asciiTheme="minorHAnsi" w:eastAsia="Calibri" w:hAnsiTheme="minorHAnsi" w:cstheme="minorHAnsi"/>
          <w:b/>
          <w:bCs/>
          <w:color w:val="000000" w:themeColor="text1"/>
          <w:sz w:val="26"/>
          <w:szCs w:val="26"/>
        </w:rPr>
        <w:t>N</w:t>
      </w:r>
      <w:r w:rsidR="00242876" w:rsidRPr="004A72CD">
        <w:rPr>
          <w:rFonts w:asciiTheme="minorHAnsi" w:eastAsia="Calibri" w:hAnsiTheme="minorHAnsi" w:cstheme="minorHAnsi"/>
          <w:b/>
          <w:bCs/>
          <w:color w:val="000000" w:themeColor="text1"/>
          <w:sz w:val="26"/>
          <w:szCs w:val="26"/>
        </w:rPr>
        <w:t>.</w:t>
      </w:r>
      <w:r w:rsidRPr="004A72CD">
        <w:rPr>
          <w:rFonts w:asciiTheme="minorHAnsi" w:eastAsia="Calibri" w:hAnsiTheme="minorHAnsi" w:cstheme="minorHAnsi"/>
          <w:b/>
          <w:bCs/>
          <w:color w:val="000000" w:themeColor="text1"/>
          <w:sz w:val="26"/>
          <w:szCs w:val="26"/>
        </w:rPr>
        <w:t>)</w:t>
      </w:r>
    </w:p>
    <w:p w14:paraId="3EE5EFD7" w14:textId="574B4C37" w:rsidR="00394FE6" w:rsidRPr="0098252F" w:rsidRDefault="0076177A" w:rsidP="00394FE6">
      <w:pPr>
        <w:spacing w:line="276" w:lineRule="auto"/>
        <w:ind w:firstLine="708"/>
        <w:jc w:val="both"/>
        <w:rPr>
          <w:rFonts w:asciiTheme="minorHAnsi" w:hAnsiTheme="minorHAnsi" w:cstheme="minorHAnsi"/>
          <w:sz w:val="26"/>
          <w:szCs w:val="26"/>
        </w:rPr>
      </w:pPr>
      <w:r w:rsidRPr="004A72CD">
        <w:rPr>
          <w:rFonts w:asciiTheme="minorHAnsi" w:hAnsiTheme="minorHAnsi" w:cstheme="minorHAnsi"/>
          <w:color w:val="000000" w:themeColor="text1"/>
          <w:sz w:val="26"/>
          <w:szCs w:val="26"/>
        </w:rPr>
        <w:t>În calitate de membru E</w:t>
      </w:r>
      <w:r w:rsidR="006D3A48" w:rsidRPr="004A72CD">
        <w:rPr>
          <w:rFonts w:asciiTheme="minorHAnsi" w:hAnsiTheme="minorHAnsi" w:cstheme="minorHAnsi"/>
          <w:color w:val="000000" w:themeColor="text1"/>
          <w:sz w:val="26"/>
          <w:szCs w:val="26"/>
        </w:rPr>
        <w:t>.</w:t>
      </w:r>
      <w:r w:rsidR="00EC62FC" w:rsidRPr="004A72CD">
        <w:rPr>
          <w:rFonts w:asciiTheme="minorHAnsi" w:hAnsiTheme="minorHAnsi" w:cstheme="minorHAnsi"/>
          <w:color w:val="000000" w:themeColor="text1"/>
          <w:sz w:val="26"/>
          <w:szCs w:val="26"/>
        </w:rPr>
        <w:t>A</w:t>
      </w:r>
      <w:r w:rsidR="006D3A48" w:rsidRPr="004A72CD">
        <w:rPr>
          <w:rFonts w:asciiTheme="minorHAnsi" w:hAnsiTheme="minorHAnsi" w:cstheme="minorHAnsi"/>
          <w:color w:val="000000" w:themeColor="text1"/>
          <w:sz w:val="26"/>
          <w:szCs w:val="26"/>
        </w:rPr>
        <w:t>.</w:t>
      </w:r>
      <w:r w:rsidR="00EC62FC" w:rsidRPr="004A72CD">
        <w:rPr>
          <w:rFonts w:asciiTheme="minorHAnsi" w:hAnsiTheme="minorHAnsi" w:cstheme="minorHAnsi"/>
          <w:color w:val="000000" w:themeColor="text1"/>
          <w:sz w:val="26"/>
          <w:szCs w:val="26"/>
        </w:rPr>
        <w:t>J</w:t>
      </w:r>
      <w:r w:rsidR="006D3A48"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T</w:t>
      </w:r>
      <w:r w:rsidR="006D3A48"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N</w:t>
      </w:r>
      <w:r w:rsidR="006D3A48"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I</w:t>
      </w:r>
      <w:r w:rsidR="00880C35"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N</w:t>
      </w:r>
      <w:r w:rsidR="00880C35"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M</w:t>
      </w:r>
      <w:r w:rsidR="00880C35"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xml:space="preserve"> a contribuit prin selectarea de participanţi şi propunerea unui formator pentru  </w:t>
      </w:r>
      <w:r w:rsidRPr="004A72CD">
        <w:rPr>
          <w:rFonts w:asciiTheme="minorHAnsi" w:hAnsiTheme="minorHAnsi" w:cstheme="minorHAnsi"/>
          <w:sz w:val="26"/>
          <w:szCs w:val="26"/>
          <w:lang w:eastAsia="ro-RO"/>
        </w:rPr>
        <w:t>seminarul cu tema „</w:t>
      </w:r>
      <w:r w:rsidRPr="004A72CD">
        <w:rPr>
          <w:rFonts w:asciiTheme="minorHAnsi" w:hAnsiTheme="minorHAnsi" w:cstheme="minorHAnsi"/>
          <w:i/>
          <w:iCs/>
          <w:sz w:val="26"/>
          <w:szCs w:val="26"/>
          <w:lang w:eastAsia="ro-RO"/>
        </w:rPr>
        <w:t>Judicial ethics in Europe and the Arab world: a comparative overview</w:t>
      </w:r>
      <w:r w:rsidRPr="004A72CD">
        <w:rPr>
          <w:rFonts w:asciiTheme="minorHAnsi" w:hAnsiTheme="minorHAnsi" w:cstheme="minorHAnsi"/>
          <w:sz w:val="26"/>
          <w:szCs w:val="26"/>
          <w:lang w:eastAsia="ro-RO"/>
        </w:rPr>
        <w:t>”, organizat de E</w:t>
      </w:r>
      <w:r w:rsidR="00D6072F" w:rsidRPr="004A72CD">
        <w:rPr>
          <w:rFonts w:asciiTheme="minorHAnsi" w:hAnsiTheme="minorHAnsi" w:cstheme="minorHAnsi"/>
          <w:sz w:val="26"/>
          <w:szCs w:val="26"/>
          <w:lang w:eastAsia="ro-RO"/>
        </w:rPr>
        <w:t>.</w:t>
      </w:r>
      <w:r w:rsidRPr="004A72CD">
        <w:rPr>
          <w:rFonts w:asciiTheme="minorHAnsi" w:hAnsiTheme="minorHAnsi" w:cstheme="minorHAnsi"/>
          <w:sz w:val="26"/>
          <w:szCs w:val="26"/>
          <w:lang w:eastAsia="ro-RO"/>
        </w:rPr>
        <w:t>A</w:t>
      </w:r>
      <w:r w:rsidR="00D6072F" w:rsidRPr="004A72CD">
        <w:rPr>
          <w:rFonts w:asciiTheme="minorHAnsi" w:hAnsiTheme="minorHAnsi" w:cstheme="minorHAnsi"/>
          <w:sz w:val="26"/>
          <w:szCs w:val="26"/>
          <w:lang w:eastAsia="ro-RO"/>
        </w:rPr>
        <w:t>.</w:t>
      </w:r>
      <w:r w:rsidRPr="004A72CD">
        <w:rPr>
          <w:rFonts w:asciiTheme="minorHAnsi" w:hAnsiTheme="minorHAnsi" w:cstheme="minorHAnsi"/>
          <w:sz w:val="26"/>
          <w:szCs w:val="26"/>
          <w:lang w:eastAsia="ro-RO"/>
        </w:rPr>
        <w:t>J</w:t>
      </w:r>
      <w:r w:rsidR="00D6072F" w:rsidRPr="004A72CD">
        <w:rPr>
          <w:rFonts w:asciiTheme="minorHAnsi" w:hAnsiTheme="minorHAnsi" w:cstheme="minorHAnsi"/>
          <w:sz w:val="26"/>
          <w:szCs w:val="26"/>
          <w:lang w:eastAsia="ro-RO"/>
        </w:rPr>
        <w:t>.</w:t>
      </w:r>
      <w:r w:rsidRPr="004A72CD">
        <w:rPr>
          <w:rFonts w:asciiTheme="minorHAnsi" w:hAnsiTheme="minorHAnsi" w:cstheme="minorHAnsi"/>
          <w:sz w:val="26"/>
          <w:szCs w:val="26"/>
          <w:lang w:eastAsia="ro-RO"/>
        </w:rPr>
        <w:t>T</w:t>
      </w:r>
      <w:r w:rsidR="00D6072F" w:rsidRPr="004A72CD">
        <w:rPr>
          <w:rFonts w:asciiTheme="minorHAnsi" w:hAnsiTheme="minorHAnsi" w:cstheme="minorHAnsi"/>
          <w:sz w:val="26"/>
          <w:szCs w:val="26"/>
          <w:lang w:eastAsia="ro-RO"/>
        </w:rPr>
        <w:t>.</w:t>
      </w:r>
      <w:r w:rsidRPr="004A72CD">
        <w:rPr>
          <w:rFonts w:asciiTheme="minorHAnsi" w:hAnsiTheme="minorHAnsi" w:cstheme="minorHAnsi"/>
          <w:sz w:val="26"/>
          <w:szCs w:val="26"/>
          <w:lang w:eastAsia="ro-RO"/>
        </w:rPr>
        <w:t>N</w:t>
      </w:r>
      <w:r w:rsidR="00D6072F" w:rsidRPr="004A72CD">
        <w:rPr>
          <w:rFonts w:asciiTheme="minorHAnsi" w:hAnsiTheme="minorHAnsi" w:cstheme="minorHAnsi"/>
          <w:sz w:val="26"/>
          <w:szCs w:val="26"/>
          <w:lang w:eastAsia="ro-RO"/>
        </w:rPr>
        <w:t>.</w:t>
      </w:r>
      <w:r w:rsidRPr="004A72CD">
        <w:rPr>
          <w:rFonts w:asciiTheme="minorHAnsi" w:hAnsiTheme="minorHAnsi" w:cstheme="minorHAnsi"/>
          <w:sz w:val="26"/>
          <w:szCs w:val="26"/>
          <w:lang w:eastAsia="ro-RO"/>
        </w:rPr>
        <w:t xml:space="preserve"> în colaborare cu Şcoala de Magistratură din Italia (S</w:t>
      </w:r>
      <w:r w:rsidR="00D6072F" w:rsidRPr="004A72CD">
        <w:rPr>
          <w:rFonts w:asciiTheme="minorHAnsi" w:hAnsiTheme="minorHAnsi" w:cstheme="minorHAnsi"/>
          <w:sz w:val="26"/>
          <w:szCs w:val="26"/>
          <w:lang w:eastAsia="ro-RO"/>
        </w:rPr>
        <w:t>.</w:t>
      </w:r>
      <w:r w:rsidRPr="004A72CD">
        <w:rPr>
          <w:rFonts w:asciiTheme="minorHAnsi" w:hAnsiTheme="minorHAnsi" w:cstheme="minorHAnsi"/>
          <w:sz w:val="26"/>
          <w:szCs w:val="26"/>
          <w:lang w:eastAsia="ro-RO"/>
        </w:rPr>
        <w:t>S</w:t>
      </w:r>
      <w:r w:rsidR="00D6072F" w:rsidRPr="004A72CD">
        <w:rPr>
          <w:rFonts w:asciiTheme="minorHAnsi" w:hAnsiTheme="minorHAnsi" w:cstheme="minorHAnsi"/>
          <w:sz w:val="26"/>
          <w:szCs w:val="26"/>
          <w:lang w:eastAsia="ro-RO"/>
        </w:rPr>
        <w:t>.</w:t>
      </w:r>
      <w:r w:rsidRPr="004A72CD">
        <w:rPr>
          <w:rFonts w:asciiTheme="minorHAnsi" w:hAnsiTheme="minorHAnsi" w:cstheme="minorHAnsi"/>
          <w:sz w:val="26"/>
          <w:szCs w:val="26"/>
          <w:lang w:eastAsia="ro-RO"/>
        </w:rPr>
        <w:t>M</w:t>
      </w:r>
      <w:r w:rsidR="00D6072F" w:rsidRPr="004A72CD">
        <w:rPr>
          <w:rFonts w:asciiTheme="minorHAnsi" w:hAnsiTheme="minorHAnsi" w:cstheme="minorHAnsi"/>
          <w:sz w:val="26"/>
          <w:szCs w:val="26"/>
          <w:lang w:eastAsia="ro-RO"/>
        </w:rPr>
        <w:t>.</w:t>
      </w:r>
      <w:r w:rsidRPr="004A72CD">
        <w:rPr>
          <w:rFonts w:asciiTheme="minorHAnsi" w:hAnsiTheme="minorHAnsi" w:cstheme="minorHAnsi"/>
          <w:sz w:val="26"/>
          <w:szCs w:val="26"/>
          <w:lang w:eastAsia="ro-RO"/>
        </w:rPr>
        <w:t xml:space="preserve">), în perioada </w:t>
      </w:r>
      <w:r w:rsidR="003323E5" w:rsidRPr="004A72CD">
        <w:rPr>
          <w:rFonts w:asciiTheme="minorHAnsi" w:hAnsiTheme="minorHAnsi" w:cstheme="minorHAnsi"/>
          <w:sz w:val="26"/>
          <w:szCs w:val="26"/>
          <w:lang w:eastAsia="ro-RO"/>
        </w:rPr>
        <w:t>0</w:t>
      </w:r>
      <w:r w:rsidRPr="004A72CD">
        <w:rPr>
          <w:rFonts w:asciiTheme="minorHAnsi" w:hAnsiTheme="minorHAnsi" w:cstheme="minorHAnsi"/>
          <w:sz w:val="26"/>
          <w:szCs w:val="26"/>
        </w:rPr>
        <w:t>7</w:t>
      </w:r>
      <w:r w:rsidR="00D6072F" w:rsidRPr="004A72CD">
        <w:rPr>
          <w:rFonts w:asciiTheme="minorHAnsi" w:hAnsiTheme="minorHAnsi" w:cstheme="minorHAnsi"/>
          <w:sz w:val="26"/>
          <w:szCs w:val="26"/>
        </w:rPr>
        <w:t xml:space="preserve"> </w:t>
      </w:r>
      <w:r w:rsidRPr="004A72CD">
        <w:rPr>
          <w:rFonts w:asciiTheme="minorHAnsi" w:hAnsiTheme="minorHAnsi" w:cstheme="minorHAnsi"/>
          <w:sz w:val="26"/>
          <w:szCs w:val="26"/>
        </w:rPr>
        <w:t>-</w:t>
      </w:r>
      <w:r w:rsidR="00D6072F" w:rsidRPr="004A72CD">
        <w:rPr>
          <w:rFonts w:asciiTheme="minorHAnsi" w:hAnsiTheme="minorHAnsi" w:cstheme="minorHAnsi"/>
          <w:sz w:val="26"/>
          <w:szCs w:val="26"/>
        </w:rPr>
        <w:t xml:space="preserve"> </w:t>
      </w:r>
      <w:r w:rsidR="003323E5" w:rsidRPr="004A72CD">
        <w:rPr>
          <w:rFonts w:asciiTheme="minorHAnsi" w:hAnsiTheme="minorHAnsi" w:cstheme="minorHAnsi"/>
          <w:sz w:val="26"/>
          <w:szCs w:val="26"/>
        </w:rPr>
        <w:t>0</w:t>
      </w:r>
      <w:r w:rsidRPr="004A72CD">
        <w:rPr>
          <w:rFonts w:asciiTheme="minorHAnsi" w:hAnsiTheme="minorHAnsi" w:cstheme="minorHAnsi"/>
          <w:sz w:val="26"/>
          <w:szCs w:val="26"/>
        </w:rPr>
        <w:t>8</w:t>
      </w:r>
      <w:r w:rsidR="00D6072F" w:rsidRPr="004A72CD">
        <w:rPr>
          <w:rFonts w:asciiTheme="minorHAnsi" w:hAnsiTheme="minorHAnsi" w:cstheme="minorHAnsi"/>
          <w:sz w:val="26"/>
          <w:szCs w:val="26"/>
        </w:rPr>
        <w:t>.03.</w:t>
      </w:r>
      <w:r w:rsidRPr="004A72CD">
        <w:rPr>
          <w:rFonts w:asciiTheme="minorHAnsi" w:hAnsiTheme="minorHAnsi" w:cstheme="minorHAnsi"/>
          <w:sz w:val="26"/>
          <w:szCs w:val="26"/>
        </w:rPr>
        <w:t>2024, la Napoli</w:t>
      </w:r>
      <w:r w:rsidR="00672F8C">
        <w:rPr>
          <w:rFonts w:asciiTheme="minorHAnsi" w:hAnsiTheme="minorHAnsi" w:cstheme="minorHAnsi"/>
          <w:sz w:val="26"/>
          <w:szCs w:val="26"/>
        </w:rPr>
        <w:t>,</w:t>
      </w:r>
      <w:r w:rsidRPr="004A72CD">
        <w:rPr>
          <w:rFonts w:asciiTheme="minorHAnsi" w:hAnsiTheme="minorHAnsi" w:cstheme="minorHAnsi"/>
          <w:sz w:val="26"/>
          <w:szCs w:val="26"/>
        </w:rPr>
        <w:t xml:space="preserve"> </w:t>
      </w:r>
      <w:r w:rsidRPr="0098252F">
        <w:rPr>
          <w:rFonts w:asciiTheme="minorHAnsi" w:hAnsiTheme="minorHAnsi" w:cstheme="minorHAnsi"/>
          <w:sz w:val="26"/>
          <w:szCs w:val="26"/>
        </w:rPr>
        <w:t xml:space="preserve">s-a implicat </w:t>
      </w:r>
      <w:r w:rsidRPr="004A72CD">
        <w:rPr>
          <w:rFonts w:asciiTheme="minorHAnsi" w:hAnsiTheme="minorHAnsi" w:cstheme="minorHAnsi"/>
          <w:sz w:val="26"/>
          <w:szCs w:val="26"/>
        </w:rPr>
        <w:t>în diseminarea informaţiilor privind workshopul EAJTN cu tema „Digital Training” organizat în format online, în data de 23 iulie 2024, la care au participat formatori și personal din cadrul I</w:t>
      </w:r>
      <w:r w:rsidR="00D6072F" w:rsidRPr="004A72CD">
        <w:rPr>
          <w:rFonts w:asciiTheme="minorHAnsi" w:hAnsiTheme="minorHAnsi" w:cstheme="minorHAnsi"/>
          <w:sz w:val="26"/>
          <w:szCs w:val="26"/>
        </w:rPr>
        <w:t>.</w:t>
      </w:r>
      <w:r w:rsidRPr="004A72CD">
        <w:rPr>
          <w:rFonts w:asciiTheme="minorHAnsi" w:hAnsiTheme="minorHAnsi" w:cstheme="minorHAnsi"/>
          <w:sz w:val="26"/>
          <w:szCs w:val="26"/>
        </w:rPr>
        <w:t>N</w:t>
      </w:r>
      <w:r w:rsidR="00D6072F" w:rsidRPr="004A72CD">
        <w:rPr>
          <w:rFonts w:asciiTheme="minorHAnsi" w:hAnsiTheme="minorHAnsi" w:cstheme="minorHAnsi"/>
          <w:sz w:val="26"/>
          <w:szCs w:val="26"/>
        </w:rPr>
        <w:t>.</w:t>
      </w:r>
      <w:r w:rsidRPr="004A72CD">
        <w:rPr>
          <w:rFonts w:asciiTheme="minorHAnsi" w:hAnsiTheme="minorHAnsi" w:cstheme="minorHAnsi"/>
          <w:sz w:val="26"/>
          <w:szCs w:val="26"/>
        </w:rPr>
        <w:t>M</w:t>
      </w:r>
      <w:r w:rsidR="00D6072F" w:rsidRPr="004A72CD">
        <w:rPr>
          <w:rFonts w:asciiTheme="minorHAnsi" w:hAnsiTheme="minorHAnsi" w:cstheme="minorHAnsi"/>
          <w:sz w:val="26"/>
          <w:szCs w:val="26"/>
        </w:rPr>
        <w:t>.</w:t>
      </w:r>
      <w:r w:rsidR="00394FE6">
        <w:rPr>
          <w:rFonts w:asciiTheme="minorHAnsi" w:hAnsiTheme="minorHAnsi" w:cstheme="minorHAnsi"/>
          <w:sz w:val="26"/>
          <w:szCs w:val="26"/>
        </w:rPr>
        <w:t xml:space="preserve"> </w:t>
      </w:r>
      <w:r w:rsidR="00394FE6" w:rsidRPr="0098252F">
        <w:rPr>
          <w:rFonts w:asciiTheme="minorHAnsi" w:hAnsiTheme="minorHAnsi" w:cstheme="minorHAnsi"/>
          <w:sz w:val="26"/>
          <w:szCs w:val="26"/>
        </w:rPr>
        <w:t xml:space="preserve">şi a selectat participanţi pentru workshopul cu tema „The Fight against human trafficking" organizat în data de 26 noiembrie 2024.    </w:t>
      </w:r>
    </w:p>
    <w:p w14:paraId="393AC72E" w14:textId="47FAA7E3" w:rsidR="0076177A" w:rsidRDefault="0076177A" w:rsidP="00D51F5A">
      <w:pPr>
        <w:spacing w:after="160"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De asemenea, I</w:t>
      </w:r>
      <w:r w:rsidR="00242876" w:rsidRPr="004A72CD">
        <w:rPr>
          <w:rFonts w:asciiTheme="minorHAnsi" w:hAnsiTheme="minorHAnsi" w:cstheme="minorHAnsi"/>
          <w:sz w:val="26"/>
          <w:szCs w:val="26"/>
        </w:rPr>
        <w:t>.</w:t>
      </w:r>
      <w:r w:rsidRPr="004A72CD">
        <w:rPr>
          <w:rFonts w:asciiTheme="minorHAnsi" w:hAnsiTheme="minorHAnsi" w:cstheme="minorHAnsi"/>
          <w:sz w:val="26"/>
          <w:szCs w:val="26"/>
        </w:rPr>
        <w:t>N</w:t>
      </w:r>
      <w:r w:rsidR="00242876" w:rsidRPr="004A72CD">
        <w:rPr>
          <w:rFonts w:asciiTheme="minorHAnsi" w:hAnsiTheme="minorHAnsi" w:cstheme="minorHAnsi"/>
          <w:sz w:val="26"/>
          <w:szCs w:val="26"/>
        </w:rPr>
        <w:t>.</w:t>
      </w:r>
      <w:r w:rsidRPr="004A72CD">
        <w:rPr>
          <w:rFonts w:asciiTheme="minorHAnsi" w:hAnsiTheme="minorHAnsi" w:cstheme="minorHAnsi"/>
          <w:sz w:val="26"/>
          <w:szCs w:val="26"/>
        </w:rPr>
        <w:t>M</w:t>
      </w:r>
      <w:r w:rsidR="00242876" w:rsidRPr="004A72CD">
        <w:rPr>
          <w:rFonts w:asciiTheme="minorHAnsi" w:hAnsiTheme="minorHAnsi" w:cstheme="minorHAnsi"/>
          <w:sz w:val="26"/>
          <w:szCs w:val="26"/>
        </w:rPr>
        <w:t>.</w:t>
      </w:r>
      <w:r w:rsidRPr="004A72CD">
        <w:rPr>
          <w:rFonts w:asciiTheme="minorHAnsi" w:hAnsiTheme="minorHAnsi" w:cstheme="minorHAnsi"/>
          <w:sz w:val="26"/>
          <w:szCs w:val="26"/>
        </w:rPr>
        <w:t xml:space="preserve"> </w:t>
      </w:r>
      <w:r w:rsidR="00F61171">
        <w:rPr>
          <w:rFonts w:asciiTheme="minorHAnsi" w:hAnsiTheme="minorHAnsi" w:cstheme="minorHAnsi"/>
          <w:sz w:val="26"/>
          <w:szCs w:val="26"/>
        </w:rPr>
        <w:t>a fost</w:t>
      </w:r>
      <w:r w:rsidRPr="004A72CD">
        <w:rPr>
          <w:rFonts w:asciiTheme="minorHAnsi" w:hAnsiTheme="minorHAnsi" w:cstheme="minorHAnsi"/>
          <w:sz w:val="26"/>
          <w:szCs w:val="26"/>
        </w:rPr>
        <w:t xml:space="preserve"> reprezentat la Adunarea Generală E</w:t>
      </w:r>
      <w:r w:rsidR="00242876" w:rsidRPr="004A72CD">
        <w:rPr>
          <w:rFonts w:asciiTheme="minorHAnsi" w:hAnsiTheme="minorHAnsi" w:cstheme="minorHAnsi"/>
          <w:sz w:val="26"/>
          <w:szCs w:val="26"/>
        </w:rPr>
        <w:t>.</w:t>
      </w:r>
      <w:r w:rsidRPr="004A72CD">
        <w:rPr>
          <w:rFonts w:asciiTheme="minorHAnsi" w:hAnsiTheme="minorHAnsi" w:cstheme="minorHAnsi"/>
          <w:sz w:val="26"/>
          <w:szCs w:val="26"/>
        </w:rPr>
        <w:t>A</w:t>
      </w:r>
      <w:r w:rsidR="00242876" w:rsidRPr="004A72CD">
        <w:rPr>
          <w:rFonts w:asciiTheme="minorHAnsi" w:hAnsiTheme="minorHAnsi" w:cstheme="minorHAnsi"/>
          <w:sz w:val="26"/>
          <w:szCs w:val="26"/>
        </w:rPr>
        <w:t>.</w:t>
      </w:r>
      <w:r w:rsidRPr="004A72CD">
        <w:rPr>
          <w:rFonts w:asciiTheme="minorHAnsi" w:hAnsiTheme="minorHAnsi" w:cstheme="minorHAnsi"/>
          <w:sz w:val="26"/>
          <w:szCs w:val="26"/>
        </w:rPr>
        <w:t>J</w:t>
      </w:r>
      <w:r w:rsidR="00242876" w:rsidRPr="004A72CD">
        <w:rPr>
          <w:rFonts w:asciiTheme="minorHAnsi" w:hAnsiTheme="minorHAnsi" w:cstheme="minorHAnsi"/>
          <w:sz w:val="26"/>
          <w:szCs w:val="26"/>
        </w:rPr>
        <w:t>.</w:t>
      </w:r>
      <w:r w:rsidRPr="004A72CD">
        <w:rPr>
          <w:rFonts w:asciiTheme="minorHAnsi" w:hAnsiTheme="minorHAnsi" w:cstheme="minorHAnsi"/>
          <w:sz w:val="26"/>
          <w:szCs w:val="26"/>
        </w:rPr>
        <w:t>T</w:t>
      </w:r>
      <w:r w:rsidR="00242876" w:rsidRPr="004A72CD">
        <w:rPr>
          <w:rFonts w:asciiTheme="minorHAnsi" w:hAnsiTheme="minorHAnsi" w:cstheme="minorHAnsi"/>
          <w:sz w:val="26"/>
          <w:szCs w:val="26"/>
        </w:rPr>
        <w:t>.</w:t>
      </w:r>
      <w:r w:rsidRPr="004A72CD">
        <w:rPr>
          <w:rFonts w:asciiTheme="minorHAnsi" w:hAnsiTheme="minorHAnsi" w:cstheme="minorHAnsi"/>
          <w:sz w:val="26"/>
          <w:szCs w:val="26"/>
        </w:rPr>
        <w:t>N</w:t>
      </w:r>
      <w:r w:rsidR="00242876" w:rsidRPr="004A72CD">
        <w:rPr>
          <w:rFonts w:asciiTheme="minorHAnsi" w:hAnsiTheme="minorHAnsi" w:cstheme="minorHAnsi"/>
          <w:sz w:val="26"/>
          <w:szCs w:val="26"/>
        </w:rPr>
        <w:t>.</w:t>
      </w:r>
      <w:r w:rsidRPr="004A72CD">
        <w:rPr>
          <w:rFonts w:asciiTheme="minorHAnsi" w:hAnsiTheme="minorHAnsi" w:cstheme="minorHAnsi"/>
          <w:sz w:val="26"/>
          <w:szCs w:val="26"/>
        </w:rPr>
        <w:t xml:space="preserve">, organizată în acest an în colaborare cu </w:t>
      </w:r>
      <w:r w:rsidRPr="004A72CD">
        <w:rPr>
          <w:rFonts w:asciiTheme="minorHAnsi" w:hAnsiTheme="minorHAnsi" w:cstheme="minorHAnsi"/>
          <w:sz w:val="26"/>
          <w:szCs w:val="26"/>
          <w:lang w:eastAsia="ro-RO"/>
        </w:rPr>
        <w:t>Centrul de studii juridice și de formare profesională judiciară din Olanda (S</w:t>
      </w:r>
      <w:r w:rsidR="00242876" w:rsidRPr="004A72CD">
        <w:rPr>
          <w:rFonts w:asciiTheme="minorHAnsi" w:hAnsiTheme="minorHAnsi" w:cstheme="minorHAnsi"/>
          <w:sz w:val="26"/>
          <w:szCs w:val="26"/>
          <w:lang w:eastAsia="ro-RO"/>
        </w:rPr>
        <w:t>.</w:t>
      </w:r>
      <w:r w:rsidRPr="004A72CD">
        <w:rPr>
          <w:rFonts w:asciiTheme="minorHAnsi" w:hAnsiTheme="minorHAnsi" w:cstheme="minorHAnsi"/>
          <w:sz w:val="26"/>
          <w:szCs w:val="26"/>
          <w:lang w:eastAsia="ro-RO"/>
        </w:rPr>
        <w:t>S</w:t>
      </w:r>
      <w:r w:rsidR="00242876" w:rsidRPr="004A72CD">
        <w:rPr>
          <w:rFonts w:asciiTheme="minorHAnsi" w:hAnsiTheme="minorHAnsi" w:cstheme="minorHAnsi"/>
          <w:sz w:val="26"/>
          <w:szCs w:val="26"/>
          <w:lang w:eastAsia="ro-RO"/>
        </w:rPr>
        <w:t>.</w:t>
      </w:r>
      <w:r w:rsidRPr="004A72CD">
        <w:rPr>
          <w:rFonts w:asciiTheme="minorHAnsi" w:hAnsiTheme="minorHAnsi" w:cstheme="minorHAnsi"/>
          <w:sz w:val="26"/>
          <w:szCs w:val="26"/>
          <w:lang w:eastAsia="ro-RO"/>
        </w:rPr>
        <w:t>R</w:t>
      </w:r>
      <w:r w:rsidR="00242876" w:rsidRPr="004A72CD">
        <w:rPr>
          <w:rFonts w:asciiTheme="minorHAnsi" w:hAnsiTheme="minorHAnsi" w:cstheme="minorHAnsi"/>
          <w:sz w:val="26"/>
          <w:szCs w:val="26"/>
          <w:lang w:eastAsia="ro-RO"/>
        </w:rPr>
        <w:t>.</w:t>
      </w:r>
      <w:r w:rsidRPr="004A72CD">
        <w:rPr>
          <w:rFonts w:asciiTheme="minorHAnsi" w:hAnsiTheme="minorHAnsi" w:cstheme="minorHAnsi"/>
          <w:sz w:val="26"/>
          <w:szCs w:val="26"/>
          <w:lang w:eastAsia="ro-RO"/>
        </w:rPr>
        <w:t>), în perioada</w:t>
      </w:r>
      <w:r w:rsidR="00EC62FC" w:rsidRPr="004A72CD">
        <w:rPr>
          <w:rFonts w:asciiTheme="minorHAnsi" w:hAnsiTheme="minorHAnsi" w:cstheme="minorHAnsi"/>
          <w:sz w:val="26"/>
          <w:szCs w:val="26"/>
          <w:lang w:eastAsia="ro-RO"/>
        </w:rPr>
        <w:t xml:space="preserve"> </w:t>
      </w:r>
      <w:r w:rsidR="003323E5" w:rsidRPr="004A72CD">
        <w:rPr>
          <w:rFonts w:asciiTheme="minorHAnsi" w:hAnsiTheme="minorHAnsi" w:cstheme="minorHAnsi"/>
          <w:sz w:val="26"/>
          <w:szCs w:val="26"/>
          <w:lang w:eastAsia="ro-RO"/>
        </w:rPr>
        <w:t>0</w:t>
      </w:r>
      <w:r w:rsidRPr="004A72CD">
        <w:rPr>
          <w:rFonts w:asciiTheme="minorHAnsi" w:hAnsiTheme="minorHAnsi" w:cstheme="minorHAnsi"/>
          <w:sz w:val="26"/>
          <w:szCs w:val="26"/>
        </w:rPr>
        <w:t>2</w:t>
      </w:r>
      <w:r w:rsidR="00EC62FC" w:rsidRPr="004A72CD">
        <w:rPr>
          <w:rFonts w:asciiTheme="minorHAnsi" w:hAnsiTheme="minorHAnsi" w:cstheme="minorHAnsi"/>
          <w:sz w:val="26"/>
          <w:szCs w:val="26"/>
        </w:rPr>
        <w:t xml:space="preserve"> </w:t>
      </w:r>
      <w:r w:rsidR="00242876" w:rsidRPr="004A72CD">
        <w:rPr>
          <w:rFonts w:asciiTheme="minorHAnsi" w:hAnsiTheme="minorHAnsi" w:cstheme="minorHAnsi"/>
          <w:sz w:val="26"/>
          <w:szCs w:val="26"/>
        </w:rPr>
        <w:t>–</w:t>
      </w:r>
      <w:r w:rsidR="00EC62FC" w:rsidRPr="004A72CD">
        <w:rPr>
          <w:rFonts w:asciiTheme="minorHAnsi" w:hAnsiTheme="minorHAnsi" w:cstheme="minorHAnsi"/>
          <w:sz w:val="26"/>
          <w:szCs w:val="26"/>
        </w:rPr>
        <w:t xml:space="preserve"> </w:t>
      </w:r>
      <w:r w:rsidR="003323E5" w:rsidRPr="004A72CD">
        <w:rPr>
          <w:rFonts w:asciiTheme="minorHAnsi" w:hAnsiTheme="minorHAnsi" w:cstheme="minorHAnsi"/>
          <w:sz w:val="26"/>
          <w:szCs w:val="26"/>
        </w:rPr>
        <w:t>0</w:t>
      </w:r>
      <w:r w:rsidRPr="004A72CD">
        <w:rPr>
          <w:rFonts w:asciiTheme="minorHAnsi" w:hAnsiTheme="minorHAnsi" w:cstheme="minorHAnsi"/>
          <w:sz w:val="26"/>
          <w:szCs w:val="26"/>
        </w:rPr>
        <w:t>4</w:t>
      </w:r>
      <w:r w:rsidR="00242876" w:rsidRPr="004A72CD">
        <w:rPr>
          <w:rFonts w:asciiTheme="minorHAnsi" w:hAnsiTheme="minorHAnsi" w:cstheme="minorHAnsi"/>
          <w:sz w:val="26"/>
          <w:szCs w:val="26"/>
        </w:rPr>
        <w:t>.12.</w:t>
      </w:r>
      <w:r w:rsidRPr="004A72CD">
        <w:rPr>
          <w:rFonts w:asciiTheme="minorHAnsi" w:hAnsiTheme="minorHAnsi" w:cstheme="minorHAnsi"/>
          <w:sz w:val="26"/>
          <w:szCs w:val="26"/>
        </w:rPr>
        <w:t xml:space="preserve">2024, la Amsterdam. </w:t>
      </w:r>
    </w:p>
    <w:p w14:paraId="048A2BA2" w14:textId="66902F09" w:rsidR="004B6A6B" w:rsidRPr="0098252F" w:rsidRDefault="004B6A6B">
      <w:pPr>
        <w:numPr>
          <w:ilvl w:val="0"/>
          <w:numId w:val="47"/>
        </w:numPr>
        <w:spacing w:line="276" w:lineRule="auto"/>
        <w:contextualSpacing/>
        <w:jc w:val="both"/>
        <w:rPr>
          <w:rFonts w:asciiTheme="minorHAnsi" w:eastAsia="Calibri" w:hAnsiTheme="minorHAnsi" w:cstheme="minorHAnsi"/>
          <w:b/>
          <w:bCs/>
          <w:sz w:val="26"/>
          <w:szCs w:val="26"/>
        </w:rPr>
      </w:pPr>
      <w:r w:rsidRPr="0098252F">
        <w:rPr>
          <w:rFonts w:asciiTheme="minorHAnsi" w:eastAsia="Calibri" w:hAnsiTheme="minorHAnsi" w:cstheme="minorHAnsi"/>
          <w:b/>
          <w:bCs/>
          <w:sz w:val="26"/>
          <w:szCs w:val="26"/>
        </w:rPr>
        <w:t>Organizaţia Internaţională de Formare Judiciară (I</w:t>
      </w:r>
      <w:r w:rsidR="00BC75DD" w:rsidRPr="0098252F">
        <w:rPr>
          <w:rFonts w:asciiTheme="minorHAnsi" w:eastAsia="Calibri" w:hAnsiTheme="minorHAnsi" w:cstheme="minorHAnsi"/>
          <w:b/>
          <w:bCs/>
          <w:sz w:val="26"/>
          <w:szCs w:val="26"/>
        </w:rPr>
        <w:t>.</w:t>
      </w:r>
      <w:r w:rsidRPr="0098252F">
        <w:rPr>
          <w:rFonts w:asciiTheme="minorHAnsi" w:eastAsia="Calibri" w:hAnsiTheme="minorHAnsi" w:cstheme="minorHAnsi"/>
          <w:b/>
          <w:bCs/>
          <w:sz w:val="26"/>
          <w:szCs w:val="26"/>
        </w:rPr>
        <w:t>O</w:t>
      </w:r>
      <w:r w:rsidR="00BC75DD" w:rsidRPr="0098252F">
        <w:rPr>
          <w:rFonts w:asciiTheme="minorHAnsi" w:eastAsia="Calibri" w:hAnsiTheme="minorHAnsi" w:cstheme="minorHAnsi"/>
          <w:b/>
          <w:bCs/>
          <w:sz w:val="26"/>
          <w:szCs w:val="26"/>
        </w:rPr>
        <w:t>.</w:t>
      </w:r>
      <w:r w:rsidRPr="0098252F">
        <w:rPr>
          <w:rFonts w:asciiTheme="minorHAnsi" w:eastAsia="Calibri" w:hAnsiTheme="minorHAnsi" w:cstheme="minorHAnsi"/>
          <w:b/>
          <w:bCs/>
          <w:sz w:val="26"/>
          <w:szCs w:val="26"/>
        </w:rPr>
        <w:t>J</w:t>
      </w:r>
      <w:r w:rsidR="00BC75DD" w:rsidRPr="0098252F">
        <w:rPr>
          <w:rFonts w:asciiTheme="minorHAnsi" w:eastAsia="Calibri" w:hAnsiTheme="minorHAnsi" w:cstheme="minorHAnsi"/>
          <w:b/>
          <w:bCs/>
          <w:sz w:val="26"/>
          <w:szCs w:val="26"/>
        </w:rPr>
        <w:t>.</w:t>
      </w:r>
      <w:r w:rsidRPr="0098252F">
        <w:rPr>
          <w:rFonts w:asciiTheme="minorHAnsi" w:eastAsia="Calibri" w:hAnsiTheme="minorHAnsi" w:cstheme="minorHAnsi"/>
          <w:b/>
          <w:bCs/>
          <w:sz w:val="26"/>
          <w:szCs w:val="26"/>
        </w:rPr>
        <w:t>T</w:t>
      </w:r>
      <w:r w:rsidR="00BC75DD" w:rsidRPr="0098252F">
        <w:rPr>
          <w:rFonts w:asciiTheme="minorHAnsi" w:eastAsia="Calibri" w:hAnsiTheme="minorHAnsi" w:cstheme="minorHAnsi"/>
          <w:b/>
          <w:bCs/>
          <w:sz w:val="26"/>
          <w:szCs w:val="26"/>
        </w:rPr>
        <w:t>.</w:t>
      </w:r>
      <w:r w:rsidRPr="0098252F">
        <w:rPr>
          <w:rFonts w:asciiTheme="minorHAnsi" w:eastAsia="Calibri" w:hAnsiTheme="minorHAnsi" w:cstheme="minorHAnsi"/>
          <w:b/>
          <w:bCs/>
          <w:sz w:val="26"/>
          <w:szCs w:val="26"/>
        </w:rPr>
        <w:t>)</w:t>
      </w:r>
    </w:p>
    <w:p w14:paraId="1BA29FE8" w14:textId="0C1A2BD6" w:rsidR="004B6A6B" w:rsidRPr="0098252F" w:rsidRDefault="004B6A6B" w:rsidP="00BC75DD">
      <w:pPr>
        <w:spacing w:line="276" w:lineRule="auto"/>
        <w:ind w:firstLine="706"/>
        <w:contextualSpacing/>
        <w:jc w:val="both"/>
        <w:rPr>
          <w:rFonts w:asciiTheme="minorHAnsi" w:hAnsiTheme="minorHAnsi" w:cstheme="minorHAnsi"/>
          <w:sz w:val="26"/>
          <w:szCs w:val="26"/>
        </w:rPr>
      </w:pPr>
      <w:r w:rsidRPr="0098252F">
        <w:rPr>
          <w:rFonts w:asciiTheme="minorHAnsi" w:eastAsia="Calibri" w:hAnsiTheme="minorHAnsi" w:cstheme="minorHAnsi"/>
          <w:sz w:val="26"/>
          <w:szCs w:val="26"/>
        </w:rPr>
        <w:t>Institutul Naţional al Magistraturii a fost reprezentat la cea de 11</w:t>
      </w:r>
      <w:r w:rsidRPr="0098252F">
        <w:rPr>
          <w:rFonts w:asciiTheme="minorHAnsi" w:hAnsiTheme="minorHAnsi" w:cstheme="minorHAnsi"/>
          <w:sz w:val="26"/>
          <w:szCs w:val="26"/>
        </w:rPr>
        <w:t xml:space="preserve">-a ediție a Conferinței Internaționale pentru Formare Judiciară, organizată în perioada </w:t>
      </w:r>
      <w:r w:rsidR="00BC75DD" w:rsidRPr="0098252F">
        <w:rPr>
          <w:rFonts w:asciiTheme="minorHAnsi" w:hAnsiTheme="minorHAnsi" w:cstheme="minorHAnsi"/>
          <w:sz w:val="26"/>
          <w:szCs w:val="26"/>
        </w:rPr>
        <w:t>0</w:t>
      </w:r>
      <w:r w:rsidRPr="0098252F">
        <w:rPr>
          <w:rFonts w:asciiTheme="minorHAnsi" w:hAnsiTheme="minorHAnsi" w:cstheme="minorHAnsi"/>
          <w:sz w:val="26"/>
          <w:szCs w:val="26"/>
        </w:rPr>
        <w:t>3</w:t>
      </w:r>
      <w:r w:rsidR="00E23B98" w:rsidRPr="0098252F">
        <w:rPr>
          <w:rFonts w:asciiTheme="minorHAnsi" w:hAnsiTheme="minorHAnsi" w:cstheme="minorHAnsi"/>
          <w:sz w:val="26"/>
          <w:szCs w:val="26"/>
        </w:rPr>
        <w:t xml:space="preserve"> </w:t>
      </w:r>
      <w:r w:rsidRPr="0098252F">
        <w:rPr>
          <w:rFonts w:asciiTheme="minorHAnsi" w:hAnsiTheme="minorHAnsi" w:cstheme="minorHAnsi"/>
          <w:sz w:val="26"/>
          <w:szCs w:val="26"/>
        </w:rPr>
        <w:t>-</w:t>
      </w:r>
      <w:r w:rsidR="00E23B98" w:rsidRPr="0098252F">
        <w:rPr>
          <w:rFonts w:asciiTheme="minorHAnsi" w:hAnsiTheme="minorHAnsi" w:cstheme="minorHAnsi"/>
          <w:sz w:val="26"/>
          <w:szCs w:val="26"/>
        </w:rPr>
        <w:t xml:space="preserve"> </w:t>
      </w:r>
      <w:r w:rsidR="00BC75DD" w:rsidRPr="0098252F">
        <w:rPr>
          <w:rFonts w:asciiTheme="minorHAnsi" w:hAnsiTheme="minorHAnsi" w:cstheme="minorHAnsi"/>
          <w:sz w:val="26"/>
          <w:szCs w:val="26"/>
        </w:rPr>
        <w:t>0</w:t>
      </w:r>
      <w:r w:rsidRPr="0098252F">
        <w:rPr>
          <w:rFonts w:asciiTheme="minorHAnsi" w:hAnsiTheme="minorHAnsi" w:cstheme="minorHAnsi"/>
          <w:sz w:val="26"/>
          <w:szCs w:val="26"/>
        </w:rPr>
        <w:t>7</w:t>
      </w:r>
      <w:r w:rsidR="00E23B98" w:rsidRPr="0098252F">
        <w:rPr>
          <w:rFonts w:asciiTheme="minorHAnsi" w:hAnsiTheme="minorHAnsi" w:cstheme="minorHAnsi"/>
          <w:sz w:val="26"/>
          <w:szCs w:val="26"/>
        </w:rPr>
        <w:t>.11.</w:t>
      </w:r>
      <w:r w:rsidRPr="0098252F">
        <w:rPr>
          <w:rFonts w:asciiTheme="minorHAnsi" w:hAnsiTheme="minorHAnsi" w:cstheme="minorHAnsi"/>
          <w:sz w:val="26"/>
          <w:szCs w:val="26"/>
        </w:rPr>
        <w:t>2024, la Seul, eveniment care a reunit 200 de reprezentanți ai instituțiilor de formare judiciară din peste 50 de state. Tematica din acest an s-a concentrat pe impactul inteligenței artificiale asupra sistem</w:t>
      </w:r>
      <w:r w:rsidR="00F61171">
        <w:rPr>
          <w:rFonts w:asciiTheme="minorHAnsi" w:hAnsiTheme="minorHAnsi" w:cstheme="minorHAnsi"/>
          <w:sz w:val="26"/>
          <w:szCs w:val="26"/>
        </w:rPr>
        <w:t>elor</w:t>
      </w:r>
      <w:r w:rsidRPr="0098252F">
        <w:rPr>
          <w:rFonts w:asciiTheme="minorHAnsi" w:hAnsiTheme="minorHAnsi" w:cstheme="minorHAnsi"/>
          <w:sz w:val="26"/>
          <w:szCs w:val="26"/>
        </w:rPr>
        <w:t xml:space="preserve"> judiciar</w:t>
      </w:r>
      <w:r w:rsidR="00FC779F">
        <w:rPr>
          <w:rFonts w:asciiTheme="minorHAnsi" w:hAnsiTheme="minorHAnsi" w:cstheme="minorHAnsi"/>
          <w:sz w:val="26"/>
          <w:szCs w:val="26"/>
        </w:rPr>
        <w:t>e</w:t>
      </w:r>
      <w:r w:rsidRPr="0098252F">
        <w:rPr>
          <w:rFonts w:asciiTheme="minorHAnsi" w:hAnsiTheme="minorHAnsi" w:cstheme="minorHAnsi"/>
          <w:sz w:val="26"/>
          <w:szCs w:val="26"/>
        </w:rPr>
        <w:t>, din perspectiva oportunităților de eficientizare a activității acest</w:t>
      </w:r>
      <w:r w:rsidR="00FC779F">
        <w:rPr>
          <w:rFonts w:asciiTheme="minorHAnsi" w:hAnsiTheme="minorHAnsi" w:cstheme="minorHAnsi"/>
          <w:sz w:val="26"/>
          <w:szCs w:val="26"/>
        </w:rPr>
        <w:t>ora</w:t>
      </w:r>
      <w:r w:rsidRPr="0098252F">
        <w:rPr>
          <w:rFonts w:asciiTheme="minorHAnsi" w:hAnsiTheme="minorHAnsi" w:cstheme="minorHAnsi"/>
          <w:sz w:val="26"/>
          <w:szCs w:val="26"/>
        </w:rPr>
        <w:t xml:space="preserve"> și a provocărilor legate de independența justiției, protecția drepturilor omului, libertatea de exprimare și statul de drept. </w:t>
      </w:r>
    </w:p>
    <w:p w14:paraId="48DD441F" w14:textId="79714E0E" w:rsidR="004B6A6B" w:rsidRPr="0098252F" w:rsidRDefault="004B6A6B">
      <w:pPr>
        <w:numPr>
          <w:ilvl w:val="0"/>
          <w:numId w:val="47"/>
        </w:numPr>
        <w:spacing w:line="276" w:lineRule="auto"/>
        <w:contextualSpacing/>
        <w:jc w:val="both"/>
        <w:rPr>
          <w:rFonts w:asciiTheme="minorHAnsi" w:eastAsia="Calibri" w:hAnsiTheme="minorHAnsi" w:cstheme="minorHAnsi"/>
          <w:b/>
          <w:bCs/>
          <w:sz w:val="26"/>
          <w:szCs w:val="26"/>
        </w:rPr>
      </w:pPr>
      <w:r w:rsidRPr="0098252F">
        <w:rPr>
          <w:rFonts w:asciiTheme="minorHAnsi" w:eastAsia="Calibri" w:hAnsiTheme="minorHAnsi" w:cstheme="minorHAnsi"/>
          <w:b/>
          <w:bCs/>
          <w:sz w:val="26"/>
          <w:szCs w:val="26"/>
        </w:rPr>
        <w:t xml:space="preserve">Reţeaua Instituţiilor de Formare Judiciară din Sud-Estul Europei </w:t>
      </w:r>
    </w:p>
    <w:p w14:paraId="1B7F7A79" w14:textId="2984EEFE" w:rsidR="004B6A6B" w:rsidRPr="0098252F" w:rsidRDefault="004B6A6B" w:rsidP="001E22D1">
      <w:pPr>
        <w:spacing w:line="276" w:lineRule="auto"/>
        <w:ind w:firstLine="706"/>
        <w:contextualSpacing/>
        <w:jc w:val="both"/>
        <w:rPr>
          <w:rFonts w:asciiTheme="minorHAnsi" w:hAnsiTheme="minorHAnsi" w:cstheme="minorHAnsi"/>
          <w:sz w:val="26"/>
          <w:szCs w:val="26"/>
        </w:rPr>
      </w:pPr>
      <w:r w:rsidRPr="0098252F">
        <w:rPr>
          <w:rFonts w:asciiTheme="minorHAnsi" w:eastAsia="Calibri" w:hAnsiTheme="minorHAnsi" w:cstheme="minorHAnsi"/>
          <w:sz w:val="26"/>
          <w:szCs w:val="26"/>
        </w:rPr>
        <w:t>În calitate de membru în Reţeaua Instituţiilor de Formare Judiciară din Sud</w:t>
      </w:r>
      <w:r w:rsidRPr="0098252F">
        <w:rPr>
          <w:rFonts w:asciiTheme="minorHAnsi" w:hAnsiTheme="minorHAnsi" w:cstheme="minorHAnsi"/>
          <w:sz w:val="26"/>
          <w:szCs w:val="26"/>
        </w:rPr>
        <w:t>-Estul Europei, constituită sub egida Consiliului Cooperării Regionale (R</w:t>
      </w:r>
      <w:r w:rsidR="001E22D1" w:rsidRPr="0098252F">
        <w:rPr>
          <w:rFonts w:asciiTheme="minorHAnsi" w:hAnsiTheme="minorHAnsi" w:cstheme="minorHAnsi"/>
          <w:sz w:val="26"/>
          <w:szCs w:val="26"/>
        </w:rPr>
        <w:t>.</w:t>
      </w:r>
      <w:r w:rsidRPr="0098252F">
        <w:rPr>
          <w:rFonts w:asciiTheme="minorHAnsi" w:hAnsiTheme="minorHAnsi" w:cstheme="minorHAnsi"/>
          <w:sz w:val="26"/>
          <w:szCs w:val="26"/>
        </w:rPr>
        <w:t>C</w:t>
      </w:r>
      <w:r w:rsidR="001E22D1" w:rsidRPr="0098252F">
        <w:rPr>
          <w:rFonts w:asciiTheme="minorHAnsi" w:hAnsiTheme="minorHAnsi" w:cstheme="minorHAnsi"/>
          <w:sz w:val="26"/>
          <w:szCs w:val="26"/>
        </w:rPr>
        <w:t>.</w:t>
      </w:r>
      <w:r w:rsidRPr="0098252F">
        <w:rPr>
          <w:rFonts w:asciiTheme="minorHAnsi" w:hAnsiTheme="minorHAnsi" w:cstheme="minorHAnsi"/>
          <w:sz w:val="26"/>
          <w:szCs w:val="26"/>
        </w:rPr>
        <w:t>C</w:t>
      </w:r>
      <w:r w:rsidR="001E22D1" w:rsidRPr="0098252F">
        <w:rPr>
          <w:rFonts w:asciiTheme="minorHAnsi" w:hAnsiTheme="minorHAnsi" w:cstheme="minorHAnsi"/>
          <w:sz w:val="26"/>
          <w:szCs w:val="26"/>
        </w:rPr>
        <w:t>.</w:t>
      </w:r>
      <w:r w:rsidRPr="0098252F">
        <w:rPr>
          <w:rFonts w:asciiTheme="minorHAnsi" w:hAnsiTheme="minorHAnsi" w:cstheme="minorHAnsi"/>
          <w:sz w:val="26"/>
          <w:szCs w:val="26"/>
        </w:rPr>
        <w:t>), I.N.M. a participa</w:t>
      </w:r>
      <w:r w:rsidR="00F147A4">
        <w:rPr>
          <w:rFonts w:asciiTheme="minorHAnsi" w:hAnsiTheme="minorHAnsi" w:cstheme="minorHAnsi"/>
          <w:sz w:val="26"/>
          <w:szCs w:val="26"/>
        </w:rPr>
        <w:t>t</w:t>
      </w:r>
      <w:r w:rsidRPr="0098252F">
        <w:rPr>
          <w:rFonts w:asciiTheme="minorHAnsi" w:hAnsiTheme="minorHAnsi" w:cstheme="minorHAnsi"/>
          <w:sz w:val="26"/>
          <w:szCs w:val="26"/>
        </w:rPr>
        <w:t xml:space="preserve"> la cea de-a 8-a reuniune anuală, organizată în data de 10 decembrie 2024, la Ljubljana</w:t>
      </w:r>
      <w:r w:rsidR="001932D8">
        <w:rPr>
          <w:rFonts w:asciiTheme="minorHAnsi" w:hAnsiTheme="minorHAnsi" w:cstheme="minorHAnsi"/>
          <w:sz w:val="26"/>
          <w:szCs w:val="26"/>
        </w:rPr>
        <w:t xml:space="preserve">, care a abordat </w:t>
      </w:r>
      <w:r w:rsidRPr="0098252F">
        <w:rPr>
          <w:rFonts w:asciiTheme="minorHAnsi" w:hAnsiTheme="minorHAnsi" w:cstheme="minorHAnsi"/>
          <w:sz w:val="26"/>
          <w:szCs w:val="26"/>
        </w:rPr>
        <w:t>aspecte legate de criminalitatea informatică și rolul inteligenței artificiale în sistemele judiciare din Europa de Sud-Est.</w:t>
      </w:r>
    </w:p>
    <w:p w14:paraId="2D3150C8" w14:textId="49D481FD" w:rsidR="0076177A" w:rsidRPr="004A72CD" w:rsidRDefault="0076177A" w:rsidP="00D51F5A">
      <w:pPr>
        <w:pStyle w:val="Heading3"/>
      </w:pPr>
      <w:bookmarkStart w:id="40" w:name="_Toc187824359"/>
      <w:r w:rsidRPr="004A72CD">
        <w:t>I.5.2. Activități derulate în cadrul componentei de formare inițială</w:t>
      </w:r>
      <w:bookmarkEnd w:id="40"/>
      <w:r w:rsidRPr="004A72CD">
        <w:t xml:space="preserve"> </w:t>
      </w:r>
    </w:p>
    <w:p w14:paraId="6917CE81" w14:textId="4BB442F0" w:rsidR="0076177A" w:rsidRDefault="0076177A">
      <w:pPr>
        <w:pStyle w:val="ListParagraph"/>
        <w:numPr>
          <w:ilvl w:val="0"/>
          <w:numId w:val="46"/>
        </w:numPr>
        <w:shd w:val="clear" w:color="auto" w:fill="FFFFFF" w:themeFill="background1"/>
        <w:tabs>
          <w:tab w:val="left" w:pos="993"/>
        </w:tabs>
        <w:spacing w:line="276" w:lineRule="auto"/>
        <w:ind w:right="43"/>
        <w:jc w:val="both"/>
        <w:rPr>
          <w:rFonts w:asciiTheme="minorHAnsi" w:eastAsia="Calibri" w:hAnsiTheme="minorHAnsi" w:cstheme="minorHAnsi"/>
          <w:b/>
          <w:bCs/>
          <w:color w:val="000000" w:themeColor="text1"/>
          <w:sz w:val="26"/>
          <w:szCs w:val="26"/>
        </w:rPr>
      </w:pPr>
      <w:r w:rsidRPr="004A72CD">
        <w:rPr>
          <w:rFonts w:asciiTheme="minorHAnsi" w:eastAsia="Calibri" w:hAnsiTheme="minorHAnsi" w:cstheme="minorHAnsi"/>
          <w:b/>
          <w:bCs/>
          <w:color w:val="000000" w:themeColor="text1"/>
          <w:sz w:val="26"/>
          <w:szCs w:val="26"/>
        </w:rPr>
        <w:t xml:space="preserve">Concursul internațional THEMIS 2024 </w:t>
      </w:r>
    </w:p>
    <w:p w14:paraId="09A511AC" w14:textId="77777777" w:rsidR="00790A86" w:rsidRPr="006C0E20" w:rsidRDefault="00790A86" w:rsidP="00790A86">
      <w:pPr>
        <w:shd w:val="clear" w:color="auto" w:fill="FFFFFF" w:themeFill="background1"/>
        <w:autoSpaceDE w:val="0"/>
        <w:autoSpaceDN w:val="0"/>
        <w:spacing w:line="276" w:lineRule="auto"/>
        <w:ind w:firstLine="708"/>
        <w:jc w:val="both"/>
        <w:rPr>
          <w:rFonts w:asciiTheme="minorHAnsi" w:hAnsiTheme="minorHAnsi" w:cstheme="minorHAnsi"/>
          <w:sz w:val="26"/>
          <w:szCs w:val="26"/>
        </w:rPr>
      </w:pPr>
      <w:r w:rsidRPr="006C0E20">
        <w:rPr>
          <w:rFonts w:asciiTheme="minorHAnsi" w:hAnsiTheme="minorHAnsi" w:cstheme="minorHAnsi"/>
          <w:sz w:val="26"/>
          <w:szCs w:val="26"/>
        </w:rPr>
        <w:t>Cea de a XIX-a ediție a Competiției THEMIS a fost câștigată, pentru a 5-a oară în decursul ultimilor 13 ani, de către o echipă a României. Marea finală s-a desfășurat la Napoli, în Italia, în perioada 2 – 6.12.2024, cu participarea a altor șapte echipe din Franța, Germania, Grecia și Spania. Ca urmare a acestei victorii a echipei române, ultima etapă a viitoarei ediții a competiției, în anul 2025, va fi găzduită de către Institutul Național al Magistraturii.</w:t>
      </w:r>
    </w:p>
    <w:p w14:paraId="0A6A9D0D" w14:textId="77777777" w:rsidR="006C0E20" w:rsidRPr="00747697" w:rsidRDefault="006C0E20" w:rsidP="006C0E20">
      <w:pPr>
        <w:shd w:val="clear" w:color="auto" w:fill="FFFFFF" w:themeFill="background1"/>
        <w:autoSpaceDE w:val="0"/>
        <w:autoSpaceDN w:val="0"/>
        <w:spacing w:line="276" w:lineRule="auto"/>
        <w:ind w:firstLine="706"/>
        <w:jc w:val="both"/>
        <w:rPr>
          <w:rFonts w:asciiTheme="minorHAnsi" w:hAnsiTheme="minorHAnsi" w:cstheme="minorHAnsi"/>
          <w:color w:val="000000" w:themeColor="text1"/>
          <w:sz w:val="26"/>
          <w:szCs w:val="26"/>
        </w:rPr>
      </w:pPr>
      <w:r w:rsidRPr="00747697">
        <w:rPr>
          <w:rFonts w:asciiTheme="minorHAnsi" w:hAnsiTheme="minorHAnsi" w:cstheme="minorHAnsi"/>
          <w:color w:val="000000" w:themeColor="text1"/>
          <w:sz w:val="26"/>
          <w:szCs w:val="26"/>
        </w:rPr>
        <w:t xml:space="preserve">La concursul internațional THEMIS 2024, ediția a XIX-a, din partea I.N.M. au participat patru echipe de auditori de justiție, după cum urmează: o echipă în cadrul Semifinalei B – </w:t>
      </w:r>
      <w:r w:rsidRPr="00747697">
        <w:rPr>
          <w:rFonts w:asciiTheme="minorHAnsi" w:hAnsiTheme="minorHAnsi" w:cstheme="minorHAnsi"/>
          <w:i/>
          <w:iCs/>
          <w:color w:val="000000" w:themeColor="text1"/>
          <w:sz w:val="26"/>
          <w:szCs w:val="26"/>
        </w:rPr>
        <w:t>EU an European Administrative Law</w:t>
      </w:r>
      <w:r w:rsidRPr="00747697" w:rsidDel="00EC396C">
        <w:rPr>
          <w:rFonts w:asciiTheme="minorHAnsi" w:hAnsiTheme="minorHAnsi" w:cstheme="minorHAnsi"/>
          <w:color w:val="000000" w:themeColor="text1"/>
          <w:sz w:val="26"/>
          <w:szCs w:val="26"/>
        </w:rPr>
        <w:t xml:space="preserve"> </w:t>
      </w:r>
      <w:r w:rsidRPr="00747697">
        <w:rPr>
          <w:rFonts w:asciiTheme="minorHAnsi" w:hAnsiTheme="minorHAnsi" w:cstheme="minorHAnsi"/>
          <w:color w:val="000000" w:themeColor="text1"/>
          <w:sz w:val="26"/>
          <w:szCs w:val="26"/>
        </w:rPr>
        <w:t xml:space="preserve">(02 – 05.07.2024 - Utrecht, Țările de Jos), două în cadrul </w:t>
      </w:r>
      <w:bookmarkStart w:id="41" w:name="_Hlk117078008"/>
      <w:r w:rsidRPr="00747697">
        <w:rPr>
          <w:rFonts w:asciiTheme="minorHAnsi" w:hAnsiTheme="minorHAnsi" w:cstheme="minorHAnsi"/>
          <w:color w:val="000000" w:themeColor="text1"/>
          <w:sz w:val="26"/>
          <w:szCs w:val="26"/>
        </w:rPr>
        <w:t>Semifinalei C</w:t>
      </w:r>
      <w:bookmarkEnd w:id="41"/>
      <w:r w:rsidRPr="00747697">
        <w:rPr>
          <w:rFonts w:asciiTheme="minorHAnsi" w:hAnsiTheme="minorHAnsi" w:cstheme="minorHAnsi"/>
          <w:color w:val="000000" w:themeColor="text1"/>
          <w:sz w:val="26"/>
          <w:szCs w:val="26"/>
        </w:rPr>
        <w:t xml:space="preserve"> – </w:t>
      </w:r>
      <w:r w:rsidRPr="00747697">
        <w:rPr>
          <w:rFonts w:asciiTheme="minorHAnsi" w:hAnsiTheme="minorHAnsi" w:cstheme="minorHAnsi"/>
          <w:i/>
          <w:iCs/>
          <w:color w:val="000000" w:themeColor="text1"/>
          <w:sz w:val="26"/>
          <w:szCs w:val="26"/>
        </w:rPr>
        <w:t>EU and European Civil Procedural Law</w:t>
      </w:r>
      <w:r w:rsidRPr="00747697">
        <w:rPr>
          <w:rFonts w:asciiTheme="minorHAnsi" w:hAnsiTheme="minorHAnsi" w:cstheme="minorHAnsi"/>
          <w:color w:val="000000" w:themeColor="text1"/>
          <w:sz w:val="26"/>
          <w:szCs w:val="26"/>
        </w:rPr>
        <w:t xml:space="preserve"> (24 – 28.06.2024 - Roma, Italia) și cea de a patra, în cadrul Semifinalei D – categoria Judicial Ethics and Proffesional Conduct</w:t>
      </w:r>
      <w:r w:rsidRPr="00747697" w:rsidDel="00EC396C">
        <w:rPr>
          <w:rFonts w:asciiTheme="minorHAnsi" w:hAnsiTheme="minorHAnsi" w:cstheme="minorHAnsi"/>
          <w:color w:val="000000" w:themeColor="text1"/>
          <w:sz w:val="26"/>
          <w:szCs w:val="26"/>
        </w:rPr>
        <w:t xml:space="preserve"> </w:t>
      </w:r>
      <w:r w:rsidRPr="00747697">
        <w:rPr>
          <w:rFonts w:asciiTheme="minorHAnsi" w:hAnsiTheme="minorHAnsi" w:cstheme="minorHAnsi"/>
          <w:color w:val="000000" w:themeColor="text1"/>
          <w:sz w:val="26"/>
          <w:szCs w:val="26"/>
        </w:rPr>
        <w:t xml:space="preserve">(16 – 19.07.2024 – Trier, Germania). </w:t>
      </w:r>
      <w:bookmarkStart w:id="42" w:name="_Hlk122093296"/>
      <w:r w:rsidRPr="006C0E20">
        <w:rPr>
          <w:rFonts w:asciiTheme="minorHAnsi" w:hAnsiTheme="minorHAnsi" w:cstheme="minorHAnsi"/>
          <w:sz w:val="26"/>
          <w:szCs w:val="26"/>
        </w:rPr>
        <w:t xml:space="preserve">Echipa calificată în Marea finală </w:t>
      </w:r>
      <w:r w:rsidRPr="00747697">
        <w:rPr>
          <w:rFonts w:asciiTheme="minorHAnsi" w:hAnsiTheme="minorHAnsi" w:cstheme="minorHAnsi"/>
          <w:color w:val="000000" w:themeColor="text1"/>
          <w:sz w:val="26"/>
          <w:szCs w:val="26"/>
        </w:rPr>
        <w:t xml:space="preserve">a concurat în cadrul Semifinalei C, obținând </w:t>
      </w:r>
      <w:bookmarkEnd w:id="42"/>
      <w:r w:rsidRPr="00747697">
        <w:rPr>
          <w:rFonts w:asciiTheme="minorHAnsi" w:hAnsiTheme="minorHAnsi" w:cstheme="minorHAnsi"/>
          <w:color w:val="000000" w:themeColor="text1"/>
          <w:sz w:val="26"/>
          <w:szCs w:val="26"/>
        </w:rPr>
        <w:t xml:space="preserve">locul I în secțiunea respectivă. </w:t>
      </w:r>
    </w:p>
    <w:p w14:paraId="3717B21F" w14:textId="77777777" w:rsidR="006C0E20" w:rsidRPr="004A72CD" w:rsidRDefault="006C0E20" w:rsidP="006C0E20">
      <w:pPr>
        <w:shd w:val="clear" w:color="auto" w:fill="FFFFFF" w:themeFill="background1"/>
        <w:autoSpaceDE w:val="0"/>
        <w:autoSpaceDN w:val="0"/>
        <w:spacing w:line="276" w:lineRule="auto"/>
        <w:ind w:firstLine="706"/>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lastRenderedPageBreak/>
        <w:t xml:space="preserve">Coordonarea și îndrumarea echipelor participante sunt asigurate de către formatori ai Institutului Național al Magistraturii. </w:t>
      </w:r>
    </w:p>
    <w:p w14:paraId="51121D0E" w14:textId="773AA9B5" w:rsidR="0076177A" w:rsidRPr="004A72CD" w:rsidRDefault="0076177A">
      <w:pPr>
        <w:pStyle w:val="ListParagraph"/>
        <w:numPr>
          <w:ilvl w:val="0"/>
          <w:numId w:val="46"/>
        </w:numPr>
        <w:shd w:val="clear" w:color="auto" w:fill="FFFFFF" w:themeFill="background1"/>
        <w:tabs>
          <w:tab w:val="left" w:pos="993"/>
        </w:tabs>
        <w:spacing w:line="276" w:lineRule="auto"/>
        <w:ind w:left="0" w:right="43" w:firstLine="708"/>
        <w:jc w:val="both"/>
        <w:rPr>
          <w:rFonts w:asciiTheme="minorHAnsi" w:eastAsia="Calibri" w:hAnsiTheme="minorHAnsi" w:cstheme="minorHAnsi"/>
          <w:b/>
          <w:bCs/>
          <w:color w:val="000000" w:themeColor="text1"/>
          <w:sz w:val="26"/>
          <w:szCs w:val="26"/>
        </w:rPr>
      </w:pPr>
      <w:r w:rsidRPr="004A72CD">
        <w:rPr>
          <w:rFonts w:asciiTheme="minorHAnsi" w:eastAsia="Calibri" w:hAnsiTheme="minorHAnsi" w:cstheme="minorHAnsi"/>
          <w:b/>
          <w:bCs/>
          <w:color w:val="000000" w:themeColor="text1"/>
          <w:sz w:val="26"/>
          <w:szCs w:val="26"/>
        </w:rPr>
        <w:t xml:space="preserve">Programul de schimb dedicat auditorilor de justiție și tinerilor magistrați europeni (AIAKOS) </w:t>
      </w:r>
    </w:p>
    <w:p w14:paraId="527975C4" w14:textId="23BAA832" w:rsidR="0076177A" w:rsidRPr="0098252F" w:rsidRDefault="0076177A" w:rsidP="00D51F5A">
      <w:pPr>
        <w:shd w:val="clear" w:color="auto" w:fill="FFFFFF" w:themeFill="background1"/>
        <w:spacing w:line="276" w:lineRule="auto"/>
        <w:ind w:right="43" w:firstLine="708"/>
        <w:jc w:val="both"/>
        <w:rPr>
          <w:rFonts w:asciiTheme="minorHAnsi" w:hAnsiTheme="minorHAnsi" w:cstheme="minorHAnsi"/>
          <w:sz w:val="26"/>
          <w:szCs w:val="26"/>
        </w:rPr>
      </w:pPr>
      <w:r w:rsidRPr="004A72CD">
        <w:rPr>
          <w:rFonts w:asciiTheme="minorHAnsi" w:hAnsiTheme="minorHAnsi" w:cstheme="minorHAnsi"/>
          <w:color w:val="000000" w:themeColor="text1"/>
          <w:sz w:val="26"/>
          <w:szCs w:val="26"/>
        </w:rPr>
        <w:t xml:space="preserve">În anul 2024, Institutul Național al Magistraturii </w:t>
      </w:r>
      <w:r w:rsidR="00B43E19" w:rsidRPr="0098252F">
        <w:rPr>
          <w:rFonts w:asciiTheme="minorHAnsi" w:hAnsiTheme="minorHAnsi" w:cstheme="minorHAnsi"/>
          <w:sz w:val="26"/>
          <w:szCs w:val="26"/>
        </w:rPr>
        <w:t>a asigurat</w:t>
      </w:r>
      <w:r w:rsidRPr="0098252F">
        <w:rPr>
          <w:rFonts w:asciiTheme="minorHAnsi" w:hAnsiTheme="minorHAnsi" w:cstheme="minorHAnsi"/>
          <w:sz w:val="26"/>
          <w:szCs w:val="26"/>
        </w:rPr>
        <w:t xml:space="preserve"> desfășurarea a două sesiuni ale programului de schimb AIAKOS dedicat auditorilor de justiție și tinerilor judecători și procurori, organizat de Rețeaua Europeană de Formare Judiciară (E</w:t>
      </w:r>
      <w:r w:rsidR="008C3E9B" w:rsidRPr="0098252F">
        <w:rPr>
          <w:rFonts w:asciiTheme="minorHAnsi" w:hAnsiTheme="minorHAnsi" w:cstheme="minorHAnsi"/>
          <w:sz w:val="26"/>
          <w:szCs w:val="26"/>
        </w:rPr>
        <w:t>.</w:t>
      </w:r>
      <w:r w:rsidRPr="0098252F">
        <w:rPr>
          <w:rFonts w:asciiTheme="minorHAnsi" w:hAnsiTheme="minorHAnsi" w:cstheme="minorHAnsi"/>
          <w:sz w:val="26"/>
          <w:szCs w:val="26"/>
        </w:rPr>
        <w:t>J</w:t>
      </w:r>
      <w:r w:rsidR="008C3E9B" w:rsidRPr="0098252F">
        <w:rPr>
          <w:rFonts w:asciiTheme="minorHAnsi" w:hAnsiTheme="minorHAnsi" w:cstheme="minorHAnsi"/>
          <w:sz w:val="26"/>
          <w:szCs w:val="26"/>
        </w:rPr>
        <w:t>.</w:t>
      </w:r>
      <w:r w:rsidRPr="0098252F">
        <w:rPr>
          <w:rFonts w:asciiTheme="minorHAnsi" w:hAnsiTheme="minorHAnsi" w:cstheme="minorHAnsi"/>
          <w:sz w:val="26"/>
          <w:szCs w:val="26"/>
        </w:rPr>
        <w:t>T</w:t>
      </w:r>
      <w:r w:rsidR="008C3E9B" w:rsidRPr="0098252F">
        <w:rPr>
          <w:rFonts w:asciiTheme="minorHAnsi" w:hAnsiTheme="minorHAnsi" w:cstheme="minorHAnsi"/>
          <w:sz w:val="26"/>
          <w:szCs w:val="26"/>
        </w:rPr>
        <w:t>.</w:t>
      </w:r>
      <w:r w:rsidRPr="0098252F">
        <w:rPr>
          <w:rFonts w:asciiTheme="minorHAnsi" w:hAnsiTheme="minorHAnsi" w:cstheme="minorHAnsi"/>
          <w:sz w:val="26"/>
          <w:szCs w:val="26"/>
        </w:rPr>
        <w:t>N</w:t>
      </w:r>
      <w:r w:rsidR="008C3E9B" w:rsidRPr="0098252F">
        <w:rPr>
          <w:rFonts w:asciiTheme="minorHAnsi" w:hAnsiTheme="minorHAnsi" w:cstheme="minorHAnsi"/>
          <w:sz w:val="26"/>
          <w:szCs w:val="26"/>
        </w:rPr>
        <w:t>.</w:t>
      </w:r>
      <w:r w:rsidRPr="0098252F">
        <w:rPr>
          <w:rFonts w:asciiTheme="minorHAnsi" w:hAnsiTheme="minorHAnsi" w:cstheme="minorHAnsi"/>
          <w:sz w:val="26"/>
          <w:szCs w:val="26"/>
        </w:rPr>
        <w:t>/R</w:t>
      </w:r>
      <w:r w:rsidR="008C3E9B" w:rsidRPr="0098252F">
        <w:rPr>
          <w:rFonts w:asciiTheme="minorHAnsi" w:hAnsiTheme="minorHAnsi" w:cstheme="minorHAnsi"/>
          <w:sz w:val="26"/>
          <w:szCs w:val="26"/>
        </w:rPr>
        <w:t>.</w:t>
      </w:r>
      <w:r w:rsidRPr="0098252F">
        <w:rPr>
          <w:rFonts w:asciiTheme="minorHAnsi" w:hAnsiTheme="minorHAnsi" w:cstheme="minorHAnsi"/>
          <w:sz w:val="26"/>
          <w:szCs w:val="26"/>
        </w:rPr>
        <w:t>E</w:t>
      </w:r>
      <w:r w:rsidR="008C3E9B" w:rsidRPr="0098252F">
        <w:rPr>
          <w:rFonts w:asciiTheme="minorHAnsi" w:hAnsiTheme="minorHAnsi" w:cstheme="minorHAnsi"/>
          <w:sz w:val="26"/>
          <w:szCs w:val="26"/>
        </w:rPr>
        <w:t>.</w:t>
      </w:r>
      <w:r w:rsidRPr="0098252F">
        <w:rPr>
          <w:rFonts w:asciiTheme="minorHAnsi" w:hAnsiTheme="minorHAnsi" w:cstheme="minorHAnsi"/>
          <w:sz w:val="26"/>
          <w:szCs w:val="26"/>
        </w:rPr>
        <w:t>F</w:t>
      </w:r>
      <w:r w:rsidR="008C3E9B" w:rsidRPr="0098252F">
        <w:rPr>
          <w:rFonts w:asciiTheme="minorHAnsi" w:hAnsiTheme="minorHAnsi" w:cstheme="minorHAnsi"/>
          <w:sz w:val="26"/>
          <w:szCs w:val="26"/>
        </w:rPr>
        <w:t>.</w:t>
      </w:r>
      <w:r w:rsidRPr="0098252F">
        <w:rPr>
          <w:rFonts w:asciiTheme="minorHAnsi" w:hAnsiTheme="minorHAnsi" w:cstheme="minorHAnsi"/>
          <w:sz w:val="26"/>
          <w:szCs w:val="26"/>
        </w:rPr>
        <w:t>J</w:t>
      </w:r>
      <w:r w:rsidR="008C3E9B" w:rsidRPr="0098252F">
        <w:rPr>
          <w:rFonts w:asciiTheme="minorHAnsi" w:hAnsiTheme="minorHAnsi" w:cstheme="minorHAnsi"/>
          <w:sz w:val="26"/>
          <w:szCs w:val="26"/>
        </w:rPr>
        <w:t>.</w:t>
      </w:r>
      <w:r w:rsidRPr="0098252F">
        <w:rPr>
          <w:rFonts w:asciiTheme="minorHAnsi" w:hAnsiTheme="minorHAnsi" w:cstheme="minorHAnsi"/>
          <w:sz w:val="26"/>
          <w:szCs w:val="26"/>
        </w:rPr>
        <w:t xml:space="preserve">), cu participarea unui număr total de </w:t>
      </w:r>
      <w:r w:rsidR="004333F6" w:rsidRPr="0098252F">
        <w:rPr>
          <w:rFonts w:asciiTheme="minorHAnsi" w:hAnsiTheme="minorHAnsi" w:cstheme="minorHAnsi"/>
          <w:sz w:val="26"/>
          <w:szCs w:val="26"/>
        </w:rPr>
        <w:t xml:space="preserve">69 </w:t>
      </w:r>
      <w:r w:rsidRPr="0098252F">
        <w:rPr>
          <w:rFonts w:asciiTheme="minorHAnsi" w:hAnsiTheme="minorHAnsi" w:cstheme="minorHAnsi"/>
          <w:sz w:val="26"/>
          <w:szCs w:val="26"/>
        </w:rPr>
        <w:t xml:space="preserve"> auditori de justiție români, din care 42 în prima etapă (mai 2024), iar </w:t>
      </w:r>
      <w:r w:rsidR="004333F6" w:rsidRPr="0098252F">
        <w:rPr>
          <w:rFonts w:asciiTheme="minorHAnsi" w:hAnsiTheme="minorHAnsi" w:cstheme="minorHAnsi"/>
          <w:sz w:val="26"/>
          <w:szCs w:val="26"/>
        </w:rPr>
        <w:t>27</w:t>
      </w:r>
      <w:r w:rsidRPr="0098252F">
        <w:rPr>
          <w:rFonts w:asciiTheme="minorHAnsi" w:hAnsiTheme="minorHAnsi" w:cstheme="minorHAnsi"/>
          <w:sz w:val="26"/>
          <w:szCs w:val="26"/>
        </w:rPr>
        <w:t xml:space="preserve"> în cea de a doua etapă (noiembrie 2024).</w:t>
      </w:r>
    </w:p>
    <w:p w14:paraId="18A7CE47" w14:textId="340B5D49" w:rsidR="0076177A" w:rsidRPr="004A72CD" w:rsidRDefault="0076177A" w:rsidP="00D51F5A">
      <w:pPr>
        <w:shd w:val="clear" w:color="auto" w:fill="FFFFFF" w:themeFill="background1"/>
        <w:spacing w:line="276" w:lineRule="auto"/>
        <w:ind w:right="43" w:firstLine="708"/>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Astfel, în cadrul sesiunii din primăvară, I</w:t>
      </w:r>
      <w:r w:rsidR="008C3E9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N</w:t>
      </w:r>
      <w:r w:rsidR="008C3E9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M</w:t>
      </w:r>
      <w:r w:rsidR="008C3E9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xml:space="preserve"> a primit, în perioada 27 – 31</w:t>
      </w:r>
      <w:r w:rsidR="008C3E9B" w:rsidRPr="004A72CD">
        <w:rPr>
          <w:rFonts w:asciiTheme="minorHAnsi" w:hAnsiTheme="minorHAnsi" w:cstheme="minorHAnsi"/>
          <w:color w:val="000000" w:themeColor="text1"/>
          <w:sz w:val="26"/>
          <w:szCs w:val="26"/>
        </w:rPr>
        <w:t>.05.</w:t>
      </w:r>
      <w:r w:rsidRPr="004A72CD">
        <w:rPr>
          <w:rFonts w:asciiTheme="minorHAnsi" w:hAnsiTheme="minorHAnsi" w:cstheme="minorHAnsi"/>
          <w:color w:val="000000" w:themeColor="text1"/>
          <w:sz w:val="26"/>
          <w:szCs w:val="26"/>
        </w:rPr>
        <w:t xml:space="preserve">2024, vizita unui grup alcătuit din 38 </w:t>
      </w:r>
      <w:r w:rsidR="00F51171" w:rsidRPr="004A72CD">
        <w:rPr>
          <w:rFonts w:asciiTheme="minorHAnsi" w:hAnsiTheme="minorHAnsi" w:cstheme="minorHAnsi"/>
          <w:color w:val="000000" w:themeColor="text1"/>
          <w:sz w:val="26"/>
          <w:szCs w:val="26"/>
        </w:rPr>
        <w:t xml:space="preserve">de </w:t>
      </w:r>
      <w:r w:rsidRPr="004A72CD">
        <w:rPr>
          <w:rFonts w:asciiTheme="minorHAnsi" w:hAnsiTheme="minorHAnsi" w:cstheme="minorHAnsi"/>
          <w:color w:val="000000" w:themeColor="text1"/>
          <w:sz w:val="26"/>
          <w:szCs w:val="26"/>
        </w:rPr>
        <w:t>viitori/tineri judecători și procurori din Cehia, Germania, Grecia, Malta, Olanda, Polonia, Spania și Ungaria, cărora li s-au alăturat, pe parcursul activităților, și auditori de justiție români. Agenda programului a inclus sesiuni de intercunoaștere, activități care au avut drept scop familiarizarea participanților cu sistemele judiciare ale statelor reprezentate, ateliere de lucru dedicate jurisprudenței Curții Europene a Drepturilor Omului, ateliere de judgecraft și soft skills, precum și dezbateri și studii de caz în domeniul criminalisticii, precum și vizite la Direcția de Investigare a Infracțiunilor de Criminalitate Organizată și Terorism (D</w:t>
      </w:r>
      <w:r w:rsidR="004B556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I</w:t>
      </w:r>
      <w:r w:rsidR="004B556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I</w:t>
      </w:r>
      <w:r w:rsidR="004B556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C</w:t>
      </w:r>
      <w:r w:rsidR="004B556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O</w:t>
      </w:r>
      <w:r w:rsidR="004B556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T</w:t>
      </w:r>
      <w:r w:rsidR="004B556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și la Tribunalul București, unde a fost facilitată participarea la ședințe de judecată. Toate aceste activități au fost susținute și coordonate de formatorii Institutului. În perioada 13 – 17</w:t>
      </w:r>
      <w:r w:rsidR="00772046" w:rsidRPr="004A72CD">
        <w:rPr>
          <w:rFonts w:asciiTheme="minorHAnsi" w:hAnsiTheme="minorHAnsi" w:cstheme="minorHAnsi"/>
          <w:color w:val="000000" w:themeColor="text1"/>
          <w:sz w:val="26"/>
          <w:szCs w:val="26"/>
        </w:rPr>
        <w:t>.05.</w:t>
      </w:r>
      <w:r w:rsidRPr="004A72CD">
        <w:rPr>
          <w:rFonts w:asciiTheme="minorHAnsi" w:hAnsiTheme="minorHAnsi" w:cstheme="minorHAnsi"/>
          <w:color w:val="000000" w:themeColor="text1"/>
          <w:sz w:val="26"/>
          <w:szCs w:val="26"/>
        </w:rPr>
        <w:t xml:space="preserve">2024, 42 de auditori de justiție români s-au deplasat la instituțiile de formare din statele europene partenere în program – Germania, Grecia, Italia, Lituania, Olanda, Polonia, Spania și Ungaria, implicându-se în activități similare. </w:t>
      </w:r>
    </w:p>
    <w:p w14:paraId="31A44835" w14:textId="79DB7624" w:rsidR="00402C31" w:rsidRPr="0098252F" w:rsidRDefault="00402C31" w:rsidP="00402C31">
      <w:pPr>
        <w:shd w:val="clear" w:color="auto" w:fill="FFFFFF" w:themeFill="background1"/>
        <w:spacing w:line="276" w:lineRule="auto"/>
        <w:ind w:right="43" w:firstLine="708"/>
        <w:jc w:val="both"/>
        <w:rPr>
          <w:rFonts w:asciiTheme="minorHAnsi" w:hAnsiTheme="minorHAnsi" w:cstheme="minorHAnsi"/>
          <w:sz w:val="26"/>
          <w:szCs w:val="26"/>
        </w:rPr>
      </w:pPr>
      <w:bookmarkStart w:id="43" w:name="_Hlk180145729"/>
      <w:bookmarkStart w:id="44" w:name="_Hlk117077492"/>
      <w:r w:rsidRPr="0098252F">
        <w:rPr>
          <w:rFonts w:asciiTheme="minorHAnsi" w:hAnsiTheme="minorHAnsi" w:cstheme="minorHAnsi"/>
          <w:sz w:val="26"/>
          <w:szCs w:val="26"/>
        </w:rPr>
        <w:t xml:space="preserve">A doua etapă a programului s-a desfășurat în intervalul 04 – 08.11.2024. I.N.M. a găzduit un grup de 26 </w:t>
      </w:r>
      <w:r w:rsidR="0098252F" w:rsidRPr="0098252F">
        <w:rPr>
          <w:rFonts w:asciiTheme="minorHAnsi" w:hAnsiTheme="minorHAnsi" w:cstheme="minorHAnsi"/>
          <w:sz w:val="26"/>
          <w:szCs w:val="26"/>
        </w:rPr>
        <w:t xml:space="preserve">de </w:t>
      </w:r>
      <w:r w:rsidRPr="0098252F">
        <w:rPr>
          <w:rFonts w:asciiTheme="minorHAnsi" w:hAnsiTheme="minorHAnsi" w:cstheme="minorHAnsi"/>
          <w:sz w:val="26"/>
          <w:szCs w:val="26"/>
        </w:rPr>
        <w:t>viitori judecători și procurori europeni din Belgia, Franța, Italia, Olanda, Polonia și Portugalia, interval în care auditorii de justiție români selectați în program au fost implicați, de asemenea, în activitățile organizate la nivel local. În perioada 18 – 21.11.2024, un număr de 27 de auditori de justiție români s-au deplasat în statele partenere - Austria, Bulgaria, Belgia, Franța, Germania, Italia, Portugalia</w:t>
      </w:r>
      <w:r w:rsidR="00E4075E" w:rsidRPr="0098252F">
        <w:rPr>
          <w:rFonts w:asciiTheme="minorHAnsi" w:hAnsiTheme="minorHAnsi" w:cstheme="minorHAnsi"/>
          <w:sz w:val="26"/>
          <w:szCs w:val="26"/>
        </w:rPr>
        <w:t xml:space="preserve"> și</w:t>
      </w:r>
      <w:r w:rsidRPr="0098252F">
        <w:rPr>
          <w:rFonts w:asciiTheme="minorHAnsi" w:hAnsiTheme="minorHAnsi" w:cstheme="minorHAnsi"/>
          <w:sz w:val="26"/>
          <w:szCs w:val="26"/>
        </w:rPr>
        <w:t xml:space="preserve"> Polonia.</w:t>
      </w:r>
      <w:r w:rsidR="00E4075E" w:rsidRPr="0098252F">
        <w:rPr>
          <w:rFonts w:asciiTheme="minorHAnsi" w:hAnsiTheme="minorHAnsi" w:cstheme="minorHAnsi"/>
          <w:sz w:val="26"/>
          <w:szCs w:val="26"/>
        </w:rPr>
        <w:t xml:space="preserve"> </w:t>
      </w:r>
    </w:p>
    <w:p w14:paraId="305A0CA3" w14:textId="4BDE61B6" w:rsidR="0076177A" w:rsidRPr="004A72CD" w:rsidRDefault="0076177A">
      <w:pPr>
        <w:pStyle w:val="ListParagraph"/>
        <w:numPr>
          <w:ilvl w:val="0"/>
          <w:numId w:val="46"/>
        </w:numPr>
        <w:shd w:val="clear" w:color="auto" w:fill="FFFFFF" w:themeFill="background1"/>
        <w:tabs>
          <w:tab w:val="left" w:pos="993"/>
        </w:tabs>
        <w:spacing w:line="276" w:lineRule="auto"/>
        <w:ind w:left="0" w:right="43" w:firstLine="708"/>
        <w:jc w:val="both"/>
        <w:rPr>
          <w:rFonts w:asciiTheme="minorHAnsi" w:eastAsia="Calibri" w:hAnsiTheme="minorHAnsi" w:cstheme="minorHAnsi"/>
          <w:b/>
          <w:bCs/>
          <w:color w:val="000000" w:themeColor="text1"/>
          <w:sz w:val="26"/>
          <w:szCs w:val="26"/>
        </w:rPr>
      </w:pPr>
      <w:r w:rsidRPr="004A72CD">
        <w:rPr>
          <w:rFonts w:asciiTheme="minorHAnsi" w:eastAsia="Calibri" w:hAnsiTheme="minorHAnsi" w:cstheme="minorHAnsi"/>
          <w:b/>
          <w:bCs/>
          <w:color w:val="000000" w:themeColor="text1"/>
          <w:sz w:val="26"/>
          <w:szCs w:val="26"/>
        </w:rPr>
        <w:t>Școli de vară E</w:t>
      </w:r>
      <w:r w:rsidR="00F608F4" w:rsidRPr="004A72CD">
        <w:rPr>
          <w:rFonts w:asciiTheme="minorHAnsi" w:eastAsia="Calibri" w:hAnsiTheme="minorHAnsi" w:cstheme="minorHAnsi"/>
          <w:b/>
          <w:bCs/>
          <w:color w:val="000000" w:themeColor="text1"/>
          <w:sz w:val="26"/>
          <w:szCs w:val="26"/>
        </w:rPr>
        <w:t>.</w:t>
      </w:r>
      <w:r w:rsidRPr="004A72CD">
        <w:rPr>
          <w:rFonts w:asciiTheme="minorHAnsi" w:eastAsia="Calibri" w:hAnsiTheme="minorHAnsi" w:cstheme="minorHAnsi"/>
          <w:b/>
          <w:bCs/>
          <w:color w:val="000000" w:themeColor="text1"/>
          <w:sz w:val="26"/>
          <w:szCs w:val="26"/>
        </w:rPr>
        <w:t>J</w:t>
      </w:r>
      <w:r w:rsidR="00F608F4" w:rsidRPr="004A72CD">
        <w:rPr>
          <w:rFonts w:asciiTheme="minorHAnsi" w:eastAsia="Calibri" w:hAnsiTheme="minorHAnsi" w:cstheme="minorHAnsi"/>
          <w:b/>
          <w:bCs/>
          <w:color w:val="000000" w:themeColor="text1"/>
          <w:sz w:val="26"/>
          <w:szCs w:val="26"/>
        </w:rPr>
        <w:t>.</w:t>
      </w:r>
      <w:r w:rsidRPr="004A72CD">
        <w:rPr>
          <w:rFonts w:asciiTheme="minorHAnsi" w:eastAsia="Calibri" w:hAnsiTheme="minorHAnsi" w:cstheme="minorHAnsi"/>
          <w:b/>
          <w:bCs/>
          <w:color w:val="000000" w:themeColor="text1"/>
          <w:sz w:val="26"/>
          <w:szCs w:val="26"/>
        </w:rPr>
        <w:t>T</w:t>
      </w:r>
      <w:r w:rsidR="00F608F4" w:rsidRPr="004A72CD">
        <w:rPr>
          <w:rFonts w:asciiTheme="minorHAnsi" w:eastAsia="Calibri" w:hAnsiTheme="minorHAnsi" w:cstheme="minorHAnsi"/>
          <w:b/>
          <w:bCs/>
          <w:color w:val="000000" w:themeColor="text1"/>
          <w:sz w:val="26"/>
          <w:szCs w:val="26"/>
        </w:rPr>
        <w:t>.</w:t>
      </w:r>
      <w:r w:rsidRPr="004A72CD">
        <w:rPr>
          <w:rFonts w:asciiTheme="minorHAnsi" w:eastAsia="Calibri" w:hAnsiTheme="minorHAnsi" w:cstheme="minorHAnsi"/>
          <w:b/>
          <w:bCs/>
          <w:color w:val="000000" w:themeColor="text1"/>
          <w:sz w:val="26"/>
          <w:szCs w:val="26"/>
        </w:rPr>
        <w:t>N</w:t>
      </w:r>
      <w:bookmarkEnd w:id="43"/>
      <w:r w:rsidR="00F608F4" w:rsidRPr="004A72CD">
        <w:rPr>
          <w:rFonts w:asciiTheme="minorHAnsi" w:eastAsia="Calibri" w:hAnsiTheme="minorHAnsi" w:cstheme="minorHAnsi"/>
          <w:b/>
          <w:bCs/>
          <w:color w:val="000000" w:themeColor="text1"/>
          <w:sz w:val="26"/>
          <w:szCs w:val="26"/>
        </w:rPr>
        <w:t>.</w:t>
      </w:r>
    </w:p>
    <w:p w14:paraId="65DE3FD1" w14:textId="3919191F" w:rsidR="0076177A" w:rsidRPr="004A72CD" w:rsidRDefault="0076177A" w:rsidP="00D51F5A">
      <w:pPr>
        <w:shd w:val="clear" w:color="auto" w:fill="FFFFFF" w:themeFill="background1"/>
        <w:spacing w:line="276" w:lineRule="auto"/>
        <w:ind w:firstLine="720"/>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În perioada de referință, 14 auditori de justiție au participat la Școli de vară organizate de către E</w:t>
      </w:r>
      <w:r w:rsidR="00AB2903"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J</w:t>
      </w:r>
      <w:r w:rsidR="00AB2903"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T</w:t>
      </w:r>
      <w:r w:rsidR="00AB2903"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N</w:t>
      </w:r>
      <w:r w:rsidR="00AB2903"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având posibilitatea de a-și îmbogăți cunoștințele juridice, într-o manieră practică și dinamică, după cum urmează:</w:t>
      </w:r>
    </w:p>
    <w:bookmarkEnd w:id="44"/>
    <w:p w14:paraId="1A431D3B" w14:textId="0177E0F0" w:rsidR="0076177A" w:rsidRPr="004A72CD" w:rsidRDefault="0076177A">
      <w:pPr>
        <w:numPr>
          <w:ilvl w:val="0"/>
          <w:numId w:val="4"/>
        </w:numPr>
        <w:shd w:val="clear" w:color="auto" w:fill="FFFFFF" w:themeFill="background1"/>
        <w:spacing w:line="276" w:lineRule="auto"/>
        <w:ind w:left="0" w:firstLine="360"/>
        <w:contextualSpacing/>
        <w:jc w:val="both"/>
        <w:rPr>
          <w:rFonts w:asciiTheme="minorHAnsi" w:eastAsia="Calibri" w:hAnsiTheme="minorHAnsi" w:cstheme="minorHAnsi"/>
          <w:color w:val="000000" w:themeColor="text1"/>
          <w:sz w:val="26"/>
          <w:szCs w:val="26"/>
        </w:rPr>
      </w:pPr>
      <w:r w:rsidRPr="004A72CD">
        <w:rPr>
          <w:rFonts w:asciiTheme="minorHAnsi" w:eastAsia="Calibri" w:hAnsiTheme="minorHAnsi" w:cstheme="minorHAnsi"/>
          <w:color w:val="000000" w:themeColor="text1"/>
          <w:sz w:val="26"/>
          <w:szCs w:val="26"/>
        </w:rPr>
        <w:t>în perioada 22 – 26</w:t>
      </w:r>
      <w:r w:rsidR="00AB2903" w:rsidRPr="004A72CD">
        <w:rPr>
          <w:rFonts w:asciiTheme="minorHAnsi" w:eastAsia="Calibri" w:hAnsiTheme="minorHAnsi" w:cstheme="minorHAnsi"/>
          <w:color w:val="000000" w:themeColor="text1"/>
          <w:sz w:val="26"/>
          <w:szCs w:val="26"/>
        </w:rPr>
        <w:t>.07.</w:t>
      </w:r>
      <w:r w:rsidRPr="004A72CD">
        <w:rPr>
          <w:rFonts w:asciiTheme="minorHAnsi" w:eastAsia="Calibri" w:hAnsiTheme="minorHAnsi" w:cstheme="minorHAnsi"/>
          <w:color w:val="000000" w:themeColor="text1"/>
          <w:sz w:val="26"/>
          <w:szCs w:val="26"/>
        </w:rPr>
        <w:t>2024, 5 auditori de justiție au participat la Summer School in Linguistics in Criminal Matters – SLI/2024/02, desfășurată la Cracovia, Polonia;</w:t>
      </w:r>
    </w:p>
    <w:p w14:paraId="1BC50DEB" w14:textId="59E487B7" w:rsidR="0076177A" w:rsidRPr="004A72CD" w:rsidRDefault="0076177A">
      <w:pPr>
        <w:numPr>
          <w:ilvl w:val="0"/>
          <w:numId w:val="4"/>
        </w:numPr>
        <w:shd w:val="clear" w:color="auto" w:fill="FFFFFF" w:themeFill="background1"/>
        <w:spacing w:line="276" w:lineRule="auto"/>
        <w:ind w:left="0" w:firstLine="360"/>
        <w:contextualSpacing/>
        <w:jc w:val="both"/>
        <w:rPr>
          <w:rFonts w:asciiTheme="minorHAnsi" w:eastAsia="Calibri" w:hAnsiTheme="minorHAnsi" w:cstheme="minorHAnsi"/>
          <w:color w:val="000000" w:themeColor="text1"/>
          <w:sz w:val="26"/>
          <w:szCs w:val="26"/>
        </w:rPr>
      </w:pPr>
      <w:r w:rsidRPr="004A72CD">
        <w:rPr>
          <w:rFonts w:asciiTheme="minorHAnsi" w:eastAsia="Calibri" w:hAnsiTheme="minorHAnsi" w:cstheme="minorHAnsi"/>
          <w:color w:val="000000" w:themeColor="text1"/>
          <w:sz w:val="26"/>
          <w:szCs w:val="26"/>
        </w:rPr>
        <w:t>în perioada 26 – 30</w:t>
      </w:r>
      <w:r w:rsidR="00D050E9" w:rsidRPr="004A72CD">
        <w:rPr>
          <w:rFonts w:asciiTheme="minorHAnsi" w:eastAsia="Calibri" w:hAnsiTheme="minorHAnsi" w:cstheme="minorHAnsi"/>
          <w:color w:val="000000" w:themeColor="text1"/>
          <w:sz w:val="26"/>
          <w:szCs w:val="26"/>
        </w:rPr>
        <w:t>.08.</w:t>
      </w:r>
      <w:r w:rsidRPr="004A72CD">
        <w:rPr>
          <w:rFonts w:asciiTheme="minorHAnsi" w:eastAsia="Calibri" w:hAnsiTheme="minorHAnsi" w:cstheme="minorHAnsi"/>
          <w:color w:val="000000" w:themeColor="text1"/>
          <w:sz w:val="26"/>
          <w:szCs w:val="26"/>
        </w:rPr>
        <w:t>2024, 9 auditori de justiție au participat la Summer School în Linguistics in Civil Matters – SLI/2024/03, desfășurată la Budapesta, Ungaria.</w:t>
      </w:r>
    </w:p>
    <w:p w14:paraId="151A1C91" w14:textId="77777777" w:rsidR="0076177A" w:rsidRPr="004A72CD" w:rsidRDefault="0076177A">
      <w:pPr>
        <w:pStyle w:val="ListParagraph"/>
        <w:numPr>
          <w:ilvl w:val="0"/>
          <w:numId w:val="46"/>
        </w:numPr>
        <w:shd w:val="clear" w:color="auto" w:fill="FFFFFF" w:themeFill="background1"/>
        <w:tabs>
          <w:tab w:val="left" w:pos="993"/>
        </w:tabs>
        <w:spacing w:line="276" w:lineRule="auto"/>
        <w:ind w:left="0" w:right="43" w:firstLine="708"/>
        <w:jc w:val="both"/>
        <w:rPr>
          <w:rFonts w:asciiTheme="minorHAnsi" w:eastAsia="Calibri" w:hAnsiTheme="minorHAnsi" w:cstheme="minorHAnsi"/>
          <w:b/>
          <w:bCs/>
          <w:color w:val="000000" w:themeColor="text1"/>
          <w:sz w:val="26"/>
          <w:szCs w:val="26"/>
        </w:rPr>
      </w:pPr>
      <w:r w:rsidRPr="004A72CD">
        <w:rPr>
          <w:rFonts w:asciiTheme="minorHAnsi" w:eastAsia="Calibri" w:hAnsiTheme="minorHAnsi" w:cstheme="minorHAnsi"/>
          <w:b/>
          <w:bCs/>
          <w:color w:val="000000" w:themeColor="text1"/>
          <w:sz w:val="26"/>
          <w:szCs w:val="26"/>
        </w:rPr>
        <w:t>Alte activități</w:t>
      </w:r>
    </w:p>
    <w:p w14:paraId="4E9BE145" w14:textId="43BA6C3B" w:rsidR="0076177A" w:rsidRPr="004A72CD" w:rsidRDefault="0076177A">
      <w:pPr>
        <w:numPr>
          <w:ilvl w:val="0"/>
          <w:numId w:val="20"/>
        </w:numPr>
        <w:tabs>
          <w:tab w:val="left" w:pos="993"/>
        </w:tabs>
        <w:spacing w:line="276" w:lineRule="auto"/>
        <w:ind w:left="-142" w:firstLine="851"/>
        <w:contextualSpacing/>
        <w:jc w:val="both"/>
        <w:rPr>
          <w:rFonts w:asciiTheme="minorHAnsi" w:eastAsia="Calibri" w:hAnsiTheme="minorHAnsi" w:cstheme="minorHAnsi"/>
          <w:color w:val="000000" w:themeColor="text1"/>
          <w:sz w:val="26"/>
          <w:szCs w:val="26"/>
        </w:rPr>
      </w:pPr>
      <w:r w:rsidRPr="004A72CD">
        <w:rPr>
          <w:rFonts w:asciiTheme="minorHAnsi" w:eastAsia="Calibri" w:hAnsiTheme="minorHAnsi" w:cstheme="minorHAnsi"/>
          <w:color w:val="000000" w:themeColor="text1"/>
          <w:sz w:val="26"/>
          <w:szCs w:val="26"/>
        </w:rPr>
        <w:t>În perioada 22 – 24</w:t>
      </w:r>
      <w:r w:rsidR="00D050E9" w:rsidRPr="004A72CD">
        <w:rPr>
          <w:rFonts w:asciiTheme="minorHAnsi" w:eastAsia="Calibri" w:hAnsiTheme="minorHAnsi" w:cstheme="minorHAnsi"/>
          <w:color w:val="000000" w:themeColor="text1"/>
          <w:sz w:val="26"/>
          <w:szCs w:val="26"/>
        </w:rPr>
        <w:t>.05.</w:t>
      </w:r>
      <w:r w:rsidRPr="004A72CD">
        <w:rPr>
          <w:rFonts w:asciiTheme="minorHAnsi" w:eastAsia="Calibri" w:hAnsiTheme="minorHAnsi" w:cstheme="minorHAnsi"/>
          <w:color w:val="000000" w:themeColor="text1"/>
          <w:sz w:val="26"/>
          <w:szCs w:val="26"/>
        </w:rPr>
        <w:t>2024, 2 auditori de justiție și 1 formator I</w:t>
      </w:r>
      <w:r w:rsidR="00F608F4" w:rsidRPr="004A72CD">
        <w:rPr>
          <w:rFonts w:asciiTheme="minorHAnsi" w:eastAsia="Calibri" w:hAnsiTheme="minorHAnsi" w:cstheme="minorHAnsi"/>
          <w:color w:val="000000" w:themeColor="text1"/>
          <w:sz w:val="26"/>
          <w:szCs w:val="26"/>
        </w:rPr>
        <w:t>.</w:t>
      </w:r>
      <w:r w:rsidRPr="004A72CD">
        <w:rPr>
          <w:rFonts w:asciiTheme="minorHAnsi" w:eastAsia="Calibri" w:hAnsiTheme="minorHAnsi" w:cstheme="minorHAnsi"/>
          <w:color w:val="000000" w:themeColor="text1"/>
          <w:sz w:val="26"/>
          <w:szCs w:val="26"/>
        </w:rPr>
        <w:t>N</w:t>
      </w:r>
      <w:r w:rsidR="00F608F4" w:rsidRPr="004A72CD">
        <w:rPr>
          <w:rFonts w:asciiTheme="minorHAnsi" w:eastAsia="Calibri" w:hAnsiTheme="minorHAnsi" w:cstheme="minorHAnsi"/>
          <w:color w:val="000000" w:themeColor="text1"/>
          <w:sz w:val="26"/>
          <w:szCs w:val="26"/>
        </w:rPr>
        <w:t>.</w:t>
      </w:r>
      <w:r w:rsidRPr="004A72CD">
        <w:rPr>
          <w:rFonts w:asciiTheme="minorHAnsi" w:eastAsia="Calibri" w:hAnsiTheme="minorHAnsi" w:cstheme="minorHAnsi"/>
          <w:color w:val="000000" w:themeColor="text1"/>
          <w:sz w:val="26"/>
          <w:szCs w:val="26"/>
        </w:rPr>
        <w:t>M</w:t>
      </w:r>
      <w:r w:rsidR="00F608F4" w:rsidRPr="004A72CD">
        <w:rPr>
          <w:rFonts w:asciiTheme="minorHAnsi" w:eastAsia="Calibri" w:hAnsiTheme="minorHAnsi" w:cstheme="minorHAnsi"/>
          <w:color w:val="000000" w:themeColor="text1"/>
          <w:sz w:val="26"/>
          <w:szCs w:val="26"/>
        </w:rPr>
        <w:t xml:space="preserve">. </w:t>
      </w:r>
      <w:r w:rsidRPr="004A72CD">
        <w:rPr>
          <w:rFonts w:asciiTheme="minorHAnsi" w:eastAsia="Calibri" w:hAnsiTheme="minorHAnsi" w:cstheme="minorHAnsi"/>
          <w:color w:val="000000" w:themeColor="text1"/>
          <w:sz w:val="26"/>
          <w:szCs w:val="26"/>
        </w:rPr>
        <w:t xml:space="preserve">au participat la un program internațional de formare în domeniul drepturilor omului, destinat viitorilor judecători și procurori, desfășurat </w:t>
      </w:r>
      <w:r w:rsidR="00F51171" w:rsidRPr="004A72CD">
        <w:rPr>
          <w:rFonts w:asciiTheme="minorHAnsi" w:eastAsia="Calibri" w:hAnsiTheme="minorHAnsi" w:cstheme="minorHAnsi"/>
          <w:color w:val="000000" w:themeColor="text1"/>
          <w:sz w:val="26"/>
          <w:szCs w:val="26"/>
        </w:rPr>
        <w:t>la</w:t>
      </w:r>
      <w:r w:rsidRPr="004A72CD">
        <w:rPr>
          <w:rFonts w:asciiTheme="minorHAnsi" w:eastAsia="Calibri" w:hAnsiTheme="minorHAnsi" w:cstheme="minorHAnsi"/>
          <w:color w:val="000000" w:themeColor="text1"/>
          <w:sz w:val="26"/>
          <w:szCs w:val="26"/>
        </w:rPr>
        <w:t xml:space="preserve"> Skopje, Macedonia de Nord. Evenimentul a fost organizat de Academia de Justiție din Turcia în colaborare cu Agenția Turcă de Cooperare și Coordonare/Turkish Cooperation and Coordination Agency (T</w:t>
      </w:r>
      <w:r w:rsidR="00007C15" w:rsidRPr="004A72CD">
        <w:rPr>
          <w:rFonts w:asciiTheme="minorHAnsi" w:eastAsia="Calibri" w:hAnsiTheme="minorHAnsi" w:cstheme="minorHAnsi"/>
          <w:color w:val="000000" w:themeColor="text1"/>
          <w:sz w:val="26"/>
          <w:szCs w:val="26"/>
        </w:rPr>
        <w:t>.</w:t>
      </w:r>
      <w:r w:rsidRPr="004A72CD">
        <w:rPr>
          <w:rFonts w:asciiTheme="minorHAnsi" w:eastAsia="Calibri" w:hAnsiTheme="minorHAnsi" w:cstheme="minorHAnsi"/>
          <w:color w:val="000000" w:themeColor="text1"/>
          <w:sz w:val="26"/>
          <w:szCs w:val="26"/>
        </w:rPr>
        <w:t>I</w:t>
      </w:r>
      <w:r w:rsidR="00007C15" w:rsidRPr="004A72CD">
        <w:rPr>
          <w:rFonts w:asciiTheme="minorHAnsi" w:eastAsia="Calibri" w:hAnsiTheme="minorHAnsi" w:cstheme="minorHAnsi"/>
          <w:color w:val="000000" w:themeColor="text1"/>
          <w:sz w:val="26"/>
          <w:szCs w:val="26"/>
        </w:rPr>
        <w:t>.</w:t>
      </w:r>
      <w:r w:rsidRPr="004A72CD">
        <w:rPr>
          <w:rFonts w:asciiTheme="minorHAnsi" w:eastAsia="Calibri" w:hAnsiTheme="minorHAnsi" w:cstheme="minorHAnsi"/>
          <w:color w:val="000000" w:themeColor="text1"/>
          <w:sz w:val="26"/>
          <w:szCs w:val="26"/>
        </w:rPr>
        <w:t>K</w:t>
      </w:r>
      <w:r w:rsidR="00007C15" w:rsidRPr="004A72CD">
        <w:rPr>
          <w:rFonts w:asciiTheme="minorHAnsi" w:eastAsia="Calibri" w:hAnsiTheme="minorHAnsi" w:cstheme="minorHAnsi"/>
          <w:color w:val="000000" w:themeColor="text1"/>
          <w:sz w:val="26"/>
          <w:szCs w:val="26"/>
        </w:rPr>
        <w:t>.</w:t>
      </w:r>
      <w:r w:rsidRPr="004A72CD">
        <w:rPr>
          <w:rFonts w:asciiTheme="minorHAnsi" w:eastAsia="Calibri" w:hAnsiTheme="minorHAnsi" w:cstheme="minorHAnsi"/>
          <w:color w:val="000000" w:themeColor="text1"/>
          <w:sz w:val="26"/>
          <w:szCs w:val="26"/>
        </w:rPr>
        <w:t>A</w:t>
      </w:r>
      <w:r w:rsidR="00007C15" w:rsidRPr="004A72CD">
        <w:rPr>
          <w:rFonts w:asciiTheme="minorHAnsi" w:eastAsia="Calibri" w:hAnsiTheme="minorHAnsi" w:cstheme="minorHAnsi"/>
          <w:color w:val="000000" w:themeColor="text1"/>
          <w:sz w:val="26"/>
          <w:szCs w:val="26"/>
        </w:rPr>
        <w:t>.</w:t>
      </w:r>
      <w:r w:rsidRPr="004A72CD">
        <w:rPr>
          <w:rFonts w:asciiTheme="minorHAnsi" w:eastAsia="Calibri" w:hAnsiTheme="minorHAnsi" w:cstheme="minorHAnsi"/>
          <w:color w:val="000000" w:themeColor="text1"/>
          <w:sz w:val="26"/>
          <w:szCs w:val="26"/>
        </w:rPr>
        <w:t xml:space="preserve">), precum și cu Academia pentru judecători și procurori din Macedonia de Nord și a cuprins activități de formare, precum și o competiție de prezentări </w:t>
      </w:r>
      <w:r w:rsidRPr="004A72CD">
        <w:rPr>
          <w:rFonts w:asciiTheme="minorHAnsi" w:eastAsia="Calibri" w:hAnsiTheme="minorHAnsi" w:cstheme="minorHAnsi"/>
          <w:color w:val="000000" w:themeColor="text1"/>
          <w:sz w:val="26"/>
          <w:szCs w:val="26"/>
        </w:rPr>
        <w:lastRenderedPageBreak/>
        <w:t>susținute de fiecare echipă participantă, în materia jurisprudenței Curții Europene</w:t>
      </w:r>
      <w:r w:rsidR="00F51171" w:rsidRPr="004A72CD">
        <w:rPr>
          <w:rFonts w:asciiTheme="minorHAnsi" w:eastAsia="Calibri" w:hAnsiTheme="minorHAnsi" w:cstheme="minorHAnsi"/>
          <w:color w:val="000000" w:themeColor="text1"/>
          <w:sz w:val="26"/>
          <w:szCs w:val="26"/>
        </w:rPr>
        <w:t xml:space="preserve"> </w:t>
      </w:r>
      <w:r w:rsidRPr="004A72CD">
        <w:rPr>
          <w:rFonts w:asciiTheme="minorHAnsi" w:eastAsia="Calibri" w:hAnsiTheme="minorHAnsi" w:cstheme="minorHAnsi"/>
          <w:color w:val="000000" w:themeColor="text1"/>
          <w:sz w:val="26"/>
          <w:szCs w:val="26"/>
        </w:rPr>
        <w:t>a Drepturilor Omului. Au participat 10 echipe provenind din Albania, Bosnia și Herzegovina, Croația, Muntenegru, Macedonia de Nord, Serbia și Turcia. Prezentările au fost evaluate de un juriu internațional, echipa formată din auditorii români clasându-se pe locul al IV-lea;</w:t>
      </w:r>
    </w:p>
    <w:p w14:paraId="4D1E0116" w14:textId="5C9091CF" w:rsidR="0076177A" w:rsidRPr="004A72CD" w:rsidRDefault="0076177A">
      <w:pPr>
        <w:numPr>
          <w:ilvl w:val="0"/>
          <w:numId w:val="20"/>
        </w:numPr>
        <w:tabs>
          <w:tab w:val="left" w:pos="993"/>
        </w:tabs>
        <w:spacing w:line="276" w:lineRule="auto"/>
        <w:ind w:left="-142" w:firstLine="851"/>
        <w:contextualSpacing/>
        <w:jc w:val="both"/>
        <w:rPr>
          <w:rFonts w:asciiTheme="minorHAnsi" w:eastAsia="Calibri" w:hAnsiTheme="minorHAnsi" w:cstheme="minorHAnsi"/>
          <w:color w:val="000000" w:themeColor="text1"/>
          <w:sz w:val="26"/>
          <w:szCs w:val="26"/>
        </w:rPr>
      </w:pPr>
      <w:r w:rsidRPr="004A72CD">
        <w:rPr>
          <w:rFonts w:asciiTheme="minorHAnsi" w:eastAsia="Calibri" w:hAnsiTheme="minorHAnsi" w:cstheme="minorHAnsi"/>
          <w:color w:val="000000" w:themeColor="text1"/>
          <w:sz w:val="26"/>
          <w:szCs w:val="26"/>
        </w:rPr>
        <w:t>Un auditor de justiție din anul al II-lea a participat la „</w:t>
      </w:r>
      <w:r w:rsidRPr="004A72CD">
        <w:rPr>
          <w:rFonts w:asciiTheme="minorHAnsi" w:eastAsia="Calibri" w:hAnsiTheme="minorHAnsi" w:cstheme="minorHAnsi"/>
          <w:i/>
          <w:iCs/>
          <w:color w:val="000000" w:themeColor="text1"/>
          <w:sz w:val="26"/>
          <w:szCs w:val="26"/>
        </w:rPr>
        <w:t>Programul de schimb de candidați judecători-procurori/asistenți vorbitori de limba turcă</w:t>
      </w:r>
      <w:r w:rsidRPr="004A72CD">
        <w:rPr>
          <w:rFonts w:asciiTheme="minorHAnsi" w:eastAsia="Calibri" w:hAnsiTheme="minorHAnsi" w:cstheme="minorHAnsi"/>
          <w:color w:val="000000" w:themeColor="text1"/>
          <w:sz w:val="26"/>
          <w:szCs w:val="26"/>
        </w:rPr>
        <w:t>”, organizat de către Departamentul de Relații Externe al Academiei de Justiție din Turcia, în cooperare cu Directoratul pentru Cetățenii Turci din Străinătate și Comunitățile Înrudite (Y</w:t>
      </w:r>
      <w:r w:rsidR="00B22C76" w:rsidRPr="004A72CD">
        <w:rPr>
          <w:rFonts w:asciiTheme="minorHAnsi" w:eastAsia="Calibri" w:hAnsiTheme="minorHAnsi" w:cstheme="minorHAnsi"/>
          <w:color w:val="000000" w:themeColor="text1"/>
          <w:sz w:val="26"/>
          <w:szCs w:val="26"/>
        </w:rPr>
        <w:t>.</w:t>
      </w:r>
      <w:r w:rsidRPr="004A72CD">
        <w:rPr>
          <w:rFonts w:asciiTheme="minorHAnsi" w:eastAsia="Calibri" w:hAnsiTheme="minorHAnsi" w:cstheme="minorHAnsi"/>
          <w:color w:val="000000" w:themeColor="text1"/>
          <w:sz w:val="26"/>
          <w:szCs w:val="26"/>
        </w:rPr>
        <w:t>T</w:t>
      </w:r>
      <w:r w:rsidR="00B22C76" w:rsidRPr="004A72CD">
        <w:rPr>
          <w:rFonts w:asciiTheme="minorHAnsi" w:eastAsia="Calibri" w:hAnsiTheme="minorHAnsi" w:cstheme="minorHAnsi"/>
          <w:color w:val="000000" w:themeColor="text1"/>
          <w:sz w:val="26"/>
          <w:szCs w:val="26"/>
        </w:rPr>
        <w:t>.</w:t>
      </w:r>
      <w:r w:rsidRPr="004A72CD">
        <w:rPr>
          <w:rFonts w:asciiTheme="minorHAnsi" w:eastAsia="Calibri" w:hAnsiTheme="minorHAnsi" w:cstheme="minorHAnsi"/>
          <w:color w:val="000000" w:themeColor="text1"/>
          <w:sz w:val="26"/>
          <w:szCs w:val="26"/>
        </w:rPr>
        <w:t>B</w:t>
      </w:r>
      <w:r w:rsidR="00B22C76" w:rsidRPr="004A72CD">
        <w:rPr>
          <w:rFonts w:asciiTheme="minorHAnsi" w:eastAsia="Calibri" w:hAnsiTheme="minorHAnsi" w:cstheme="minorHAnsi"/>
          <w:color w:val="000000" w:themeColor="text1"/>
          <w:sz w:val="26"/>
          <w:szCs w:val="26"/>
        </w:rPr>
        <w:t>.</w:t>
      </w:r>
      <w:r w:rsidRPr="004A72CD">
        <w:rPr>
          <w:rFonts w:asciiTheme="minorHAnsi" w:eastAsia="Calibri" w:hAnsiTheme="minorHAnsi" w:cstheme="minorHAnsi"/>
          <w:color w:val="000000" w:themeColor="text1"/>
          <w:sz w:val="26"/>
          <w:szCs w:val="26"/>
        </w:rPr>
        <w:t>), în perioada 21 – 2</w:t>
      </w:r>
      <w:r w:rsidR="00B22C76" w:rsidRPr="004A72CD">
        <w:rPr>
          <w:rFonts w:asciiTheme="minorHAnsi" w:eastAsia="Calibri" w:hAnsiTheme="minorHAnsi" w:cstheme="minorHAnsi"/>
          <w:color w:val="000000" w:themeColor="text1"/>
          <w:sz w:val="26"/>
          <w:szCs w:val="26"/>
        </w:rPr>
        <w:t>9.09.2024</w:t>
      </w:r>
      <w:r w:rsidRPr="004A72CD">
        <w:rPr>
          <w:rFonts w:asciiTheme="minorHAnsi" w:eastAsia="Calibri" w:hAnsiTheme="minorHAnsi" w:cstheme="minorHAnsi"/>
          <w:color w:val="000000" w:themeColor="text1"/>
          <w:sz w:val="26"/>
          <w:szCs w:val="26"/>
        </w:rPr>
        <w:t>, la Ankara.</w:t>
      </w:r>
    </w:p>
    <w:p w14:paraId="7C285509" w14:textId="0DD04D88" w:rsidR="0076177A" w:rsidRPr="004A72CD" w:rsidRDefault="0076177A" w:rsidP="00D51F5A">
      <w:pPr>
        <w:pStyle w:val="Heading3"/>
      </w:pPr>
      <w:bookmarkStart w:id="45" w:name="_Toc187824360"/>
      <w:r w:rsidRPr="004A72CD">
        <w:t>I.5.3. Contribuția la asigurarea componentei internaționale a formării judecătorilor și procurorilor</w:t>
      </w:r>
      <w:bookmarkEnd w:id="45"/>
    </w:p>
    <w:p w14:paraId="3EBA7CE9" w14:textId="6F7CDC81" w:rsidR="0076177A" w:rsidRPr="004A72CD" w:rsidRDefault="0076177A" w:rsidP="00D51F5A">
      <w:pPr>
        <w:spacing w:line="276" w:lineRule="auto"/>
        <w:ind w:firstLine="709"/>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În cadrul acestei componente, I</w:t>
      </w:r>
      <w:r w:rsidR="00B658CC"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N</w:t>
      </w:r>
      <w:r w:rsidR="00B658CC"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M</w:t>
      </w:r>
      <w:r w:rsidR="00B658CC"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xml:space="preserve"> a continuat să faciliteze participarea judecătorilor și procurorilor la activități organizate de diverși parteneri externi. </w:t>
      </w:r>
    </w:p>
    <w:p w14:paraId="03C29FA5" w14:textId="1C490A3C" w:rsidR="0076177A" w:rsidRPr="004A72CD" w:rsidRDefault="0076177A" w:rsidP="00D51F5A">
      <w:pPr>
        <w:numPr>
          <w:ilvl w:val="0"/>
          <w:numId w:val="3"/>
        </w:numPr>
        <w:tabs>
          <w:tab w:val="left" w:pos="360"/>
        </w:tabs>
        <w:spacing w:line="276" w:lineRule="auto"/>
        <w:ind w:right="43"/>
        <w:contextualSpacing/>
        <w:jc w:val="both"/>
        <w:rPr>
          <w:rFonts w:asciiTheme="minorHAnsi" w:hAnsiTheme="minorHAnsi" w:cstheme="minorHAnsi"/>
          <w:b/>
          <w:color w:val="000000" w:themeColor="text1"/>
          <w:sz w:val="26"/>
          <w:szCs w:val="26"/>
        </w:rPr>
      </w:pPr>
      <w:bookmarkStart w:id="46" w:name="_Hlk180136404"/>
      <w:r w:rsidRPr="004A72CD">
        <w:rPr>
          <w:rFonts w:asciiTheme="minorHAnsi" w:hAnsiTheme="minorHAnsi" w:cstheme="minorHAnsi"/>
          <w:b/>
          <w:color w:val="000000" w:themeColor="text1"/>
          <w:sz w:val="26"/>
          <w:szCs w:val="26"/>
        </w:rPr>
        <w:t>Programul de schimb al autorităților judiciare coordonat de E</w:t>
      </w:r>
      <w:r w:rsidR="00B658CC" w:rsidRPr="004A72CD">
        <w:rPr>
          <w:rFonts w:asciiTheme="minorHAnsi" w:hAnsiTheme="minorHAnsi" w:cstheme="minorHAnsi"/>
          <w:b/>
          <w:color w:val="000000" w:themeColor="text1"/>
          <w:sz w:val="26"/>
          <w:szCs w:val="26"/>
        </w:rPr>
        <w:t>.</w:t>
      </w:r>
      <w:r w:rsidRPr="004A72CD">
        <w:rPr>
          <w:rFonts w:asciiTheme="minorHAnsi" w:hAnsiTheme="minorHAnsi" w:cstheme="minorHAnsi"/>
          <w:b/>
          <w:color w:val="000000" w:themeColor="text1"/>
          <w:sz w:val="26"/>
          <w:szCs w:val="26"/>
        </w:rPr>
        <w:t>J</w:t>
      </w:r>
      <w:r w:rsidR="00B658CC" w:rsidRPr="004A72CD">
        <w:rPr>
          <w:rFonts w:asciiTheme="minorHAnsi" w:hAnsiTheme="minorHAnsi" w:cstheme="minorHAnsi"/>
          <w:b/>
          <w:color w:val="000000" w:themeColor="text1"/>
          <w:sz w:val="26"/>
          <w:szCs w:val="26"/>
        </w:rPr>
        <w:t>.</w:t>
      </w:r>
      <w:r w:rsidRPr="004A72CD">
        <w:rPr>
          <w:rFonts w:asciiTheme="minorHAnsi" w:hAnsiTheme="minorHAnsi" w:cstheme="minorHAnsi"/>
          <w:b/>
          <w:color w:val="000000" w:themeColor="text1"/>
          <w:sz w:val="26"/>
          <w:szCs w:val="26"/>
        </w:rPr>
        <w:t>T</w:t>
      </w:r>
      <w:r w:rsidR="00B658CC" w:rsidRPr="004A72CD">
        <w:rPr>
          <w:rFonts w:asciiTheme="minorHAnsi" w:hAnsiTheme="minorHAnsi" w:cstheme="minorHAnsi"/>
          <w:b/>
          <w:color w:val="000000" w:themeColor="text1"/>
          <w:sz w:val="26"/>
          <w:szCs w:val="26"/>
        </w:rPr>
        <w:t>.</w:t>
      </w:r>
      <w:r w:rsidRPr="004A72CD">
        <w:rPr>
          <w:rFonts w:asciiTheme="minorHAnsi" w:hAnsiTheme="minorHAnsi" w:cstheme="minorHAnsi"/>
          <w:b/>
          <w:color w:val="000000" w:themeColor="text1"/>
          <w:sz w:val="26"/>
          <w:szCs w:val="26"/>
        </w:rPr>
        <w:t>N</w:t>
      </w:r>
      <w:bookmarkStart w:id="47" w:name="_Toc40700018"/>
      <w:r w:rsidR="00B658CC" w:rsidRPr="004A72CD">
        <w:rPr>
          <w:rFonts w:asciiTheme="minorHAnsi" w:hAnsiTheme="minorHAnsi" w:cstheme="minorHAnsi"/>
          <w:b/>
          <w:color w:val="000000" w:themeColor="text1"/>
          <w:sz w:val="26"/>
          <w:szCs w:val="26"/>
        </w:rPr>
        <w:t>.</w:t>
      </w:r>
    </w:p>
    <w:p w14:paraId="32F8104A" w14:textId="77777777" w:rsidR="00DF72CC" w:rsidRPr="002C4F75" w:rsidRDefault="00DF72CC" w:rsidP="00DF72CC">
      <w:pPr>
        <w:spacing w:line="276" w:lineRule="auto"/>
        <w:ind w:right="43" w:firstLine="709"/>
        <w:contextualSpacing/>
        <w:jc w:val="both"/>
        <w:rPr>
          <w:rFonts w:asciiTheme="minorHAnsi" w:eastAsia="Calibri" w:hAnsiTheme="minorHAnsi" w:cstheme="minorHAnsi"/>
          <w:sz w:val="26"/>
          <w:szCs w:val="26"/>
        </w:rPr>
      </w:pPr>
      <w:bookmarkStart w:id="48" w:name="_Hlk180136450"/>
      <w:bookmarkStart w:id="49" w:name="_Hlk180137808"/>
      <w:bookmarkEnd w:id="46"/>
      <w:bookmarkEnd w:id="47"/>
      <w:r w:rsidRPr="004A72CD">
        <w:rPr>
          <w:rFonts w:asciiTheme="minorHAnsi" w:eastAsia="Calibri" w:hAnsiTheme="minorHAnsi" w:cstheme="minorHAnsi"/>
          <w:color w:val="000000"/>
          <w:sz w:val="26"/>
          <w:szCs w:val="26"/>
        </w:rPr>
        <w:t xml:space="preserve">Programul presupune un schimb de magistrați și formatori între statele implicate, în cadrul unor stagii cu o durată de 3, 5 sau 10 zile lucrătoare, la </w:t>
      </w:r>
      <w:r w:rsidRPr="002C4F75">
        <w:rPr>
          <w:rFonts w:asciiTheme="minorHAnsi" w:eastAsia="Calibri" w:hAnsiTheme="minorHAnsi" w:cstheme="minorHAnsi"/>
          <w:sz w:val="26"/>
          <w:szCs w:val="26"/>
        </w:rPr>
        <w:t>instanțe/parchete şi stagii de lungă durată în cadrul unor instituții europene.</w:t>
      </w:r>
    </w:p>
    <w:p w14:paraId="7195C5BD" w14:textId="77777777" w:rsidR="00DF72CC" w:rsidRPr="002C4F75" w:rsidRDefault="00DF72CC" w:rsidP="00DF72CC">
      <w:pPr>
        <w:spacing w:line="276" w:lineRule="auto"/>
        <w:ind w:right="43" w:firstLine="709"/>
        <w:contextualSpacing/>
        <w:jc w:val="both"/>
        <w:rPr>
          <w:rFonts w:asciiTheme="minorHAnsi" w:hAnsiTheme="minorHAnsi" w:cstheme="minorHAnsi"/>
          <w:noProof w:val="0"/>
          <w:sz w:val="26"/>
          <w:szCs w:val="26"/>
        </w:rPr>
      </w:pPr>
      <w:r w:rsidRPr="002C4F75">
        <w:rPr>
          <w:rFonts w:asciiTheme="minorHAnsi" w:hAnsiTheme="minorHAnsi" w:cstheme="minorHAnsi"/>
          <w:sz w:val="26"/>
          <w:szCs w:val="26"/>
        </w:rPr>
        <w:t xml:space="preserve">În cursul anului 2024, la diferitele componente ale programului au participat, în total,  119 magistrați şi formatori români, după cum urmează: </w:t>
      </w:r>
    </w:p>
    <w:p w14:paraId="19CFE237" w14:textId="77777777" w:rsidR="00DF72CC" w:rsidRPr="002C4F75" w:rsidRDefault="00DF72CC">
      <w:pPr>
        <w:numPr>
          <w:ilvl w:val="0"/>
          <w:numId w:val="15"/>
        </w:numPr>
        <w:tabs>
          <w:tab w:val="left" w:pos="284"/>
          <w:tab w:val="left" w:pos="851"/>
        </w:tabs>
        <w:spacing w:line="276" w:lineRule="auto"/>
        <w:ind w:left="0" w:right="43" w:firstLine="0"/>
        <w:contextualSpacing/>
        <w:jc w:val="both"/>
        <w:rPr>
          <w:rFonts w:asciiTheme="minorHAnsi" w:hAnsiTheme="minorHAnsi" w:cstheme="minorHAnsi"/>
          <w:sz w:val="26"/>
          <w:szCs w:val="26"/>
        </w:rPr>
      </w:pPr>
      <w:r w:rsidRPr="002C4F75">
        <w:rPr>
          <w:rFonts w:asciiTheme="minorHAnsi" w:hAnsiTheme="minorHAnsi" w:cstheme="minorHAnsi"/>
          <w:sz w:val="26"/>
          <w:szCs w:val="26"/>
        </w:rPr>
        <w:t>77 de judecători și procurori în schimburi care includ stagii la instanțe/parchete din alte state, cu durata de 10 sau 5 zile;</w:t>
      </w:r>
    </w:p>
    <w:p w14:paraId="572629E0" w14:textId="77777777" w:rsidR="00DF72CC" w:rsidRPr="002C4F75" w:rsidRDefault="00DF72CC">
      <w:pPr>
        <w:numPr>
          <w:ilvl w:val="0"/>
          <w:numId w:val="15"/>
        </w:numPr>
        <w:tabs>
          <w:tab w:val="left" w:pos="284"/>
          <w:tab w:val="left" w:pos="851"/>
        </w:tabs>
        <w:spacing w:line="276" w:lineRule="auto"/>
        <w:ind w:left="0" w:right="43" w:firstLine="0"/>
        <w:contextualSpacing/>
        <w:jc w:val="both"/>
        <w:rPr>
          <w:rFonts w:asciiTheme="minorHAnsi" w:hAnsiTheme="minorHAnsi" w:cstheme="minorHAnsi"/>
          <w:sz w:val="26"/>
          <w:szCs w:val="26"/>
        </w:rPr>
      </w:pPr>
      <w:r w:rsidRPr="002C4F75">
        <w:rPr>
          <w:rFonts w:asciiTheme="minorHAnsi" w:hAnsiTheme="minorHAnsi" w:cstheme="minorHAnsi"/>
          <w:sz w:val="26"/>
          <w:szCs w:val="26"/>
        </w:rPr>
        <w:t xml:space="preserve">5 formatori în componenta programului dedicată acestora; </w:t>
      </w:r>
    </w:p>
    <w:p w14:paraId="6E2164AB" w14:textId="77777777" w:rsidR="00DF72CC" w:rsidRPr="002C4F75" w:rsidRDefault="00DF72CC">
      <w:pPr>
        <w:numPr>
          <w:ilvl w:val="0"/>
          <w:numId w:val="15"/>
        </w:numPr>
        <w:tabs>
          <w:tab w:val="left" w:pos="284"/>
          <w:tab w:val="left" w:pos="851"/>
        </w:tabs>
        <w:spacing w:line="276" w:lineRule="auto"/>
        <w:ind w:left="0" w:right="43" w:firstLine="0"/>
        <w:contextualSpacing/>
        <w:jc w:val="both"/>
        <w:rPr>
          <w:rFonts w:asciiTheme="minorHAnsi" w:hAnsiTheme="minorHAnsi" w:cstheme="minorHAnsi"/>
          <w:sz w:val="26"/>
          <w:szCs w:val="26"/>
        </w:rPr>
      </w:pPr>
      <w:r w:rsidRPr="002C4F75">
        <w:rPr>
          <w:rFonts w:asciiTheme="minorHAnsi" w:hAnsiTheme="minorHAnsi" w:cstheme="minorHAnsi"/>
          <w:sz w:val="26"/>
          <w:szCs w:val="26"/>
        </w:rPr>
        <w:t>3 magistrați în schimburi specializate;</w:t>
      </w:r>
    </w:p>
    <w:p w14:paraId="121FDC59" w14:textId="77777777" w:rsidR="00DF72CC" w:rsidRPr="002C4F75" w:rsidRDefault="00DF72CC">
      <w:pPr>
        <w:numPr>
          <w:ilvl w:val="0"/>
          <w:numId w:val="15"/>
        </w:numPr>
        <w:tabs>
          <w:tab w:val="left" w:pos="284"/>
          <w:tab w:val="left" w:pos="851"/>
        </w:tabs>
        <w:spacing w:line="276" w:lineRule="auto"/>
        <w:ind w:left="0" w:right="43" w:firstLine="0"/>
        <w:contextualSpacing/>
        <w:jc w:val="both"/>
        <w:rPr>
          <w:rFonts w:asciiTheme="minorHAnsi" w:hAnsiTheme="minorHAnsi" w:cstheme="minorHAnsi"/>
          <w:sz w:val="26"/>
          <w:szCs w:val="26"/>
        </w:rPr>
      </w:pPr>
      <w:r w:rsidRPr="002C4F75">
        <w:rPr>
          <w:rFonts w:asciiTheme="minorHAnsi" w:hAnsiTheme="minorHAnsi" w:cstheme="minorHAnsi"/>
          <w:sz w:val="26"/>
          <w:szCs w:val="26"/>
        </w:rPr>
        <w:t>8 judecători și procurori în schimburi dedicate conducătorilor de instanțe și parchete;</w:t>
      </w:r>
    </w:p>
    <w:p w14:paraId="6B550F48" w14:textId="77777777" w:rsidR="00DF72CC" w:rsidRPr="002C4F75" w:rsidRDefault="00DF72CC">
      <w:pPr>
        <w:numPr>
          <w:ilvl w:val="0"/>
          <w:numId w:val="15"/>
        </w:numPr>
        <w:tabs>
          <w:tab w:val="left" w:pos="284"/>
          <w:tab w:val="left" w:pos="851"/>
        </w:tabs>
        <w:spacing w:line="276" w:lineRule="auto"/>
        <w:ind w:left="0" w:right="43" w:firstLine="0"/>
        <w:contextualSpacing/>
        <w:jc w:val="both"/>
        <w:rPr>
          <w:rFonts w:asciiTheme="minorHAnsi" w:hAnsiTheme="minorHAnsi" w:cstheme="minorHAnsi"/>
          <w:sz w:val="26"/>
          <w:szCs w:val="26"/>
        </w:rPr>
      </w:pPr>
      <w:r w:rsidRPr="002C4F75">
        <w:rPr>
          <w:rFonts w:asciiTheme="minorHAnsi" w:hAnsiTheme="minorHAnsi" w:cstheme="minorHAnsi"/>
          <w:sz w:val="26"/>
          <w:szCs w:val="26"/>
        </w:rPr>
        <w:t>17 judecători și procurori, în cadrul componentei de schimburi bilaterale;</w:t>
      </w:r>
    </w:p>
    <w:p w14:paraId="39382BE7" w14:textId="77777777" w:rsidR="00DF72CC" w:rsidRPr="002C4F75" w:rsidRDefault="00DF72CC">
      <w:pPr>
        <w:numPr>
          <w:ilvl w:val="0"/>
          <w:numId w:val="15"/>
        </w:numPr>
        <w:tabs>
          <w:tab w:val="left" w:pos="284"/>
          <w:tab w:val="left" w:pos="851"/>
        </w:tabs>
        <w:spacing w:line="276" w:lineRule="auto"/>
        <w:ind w:left="0" w:right="43" w:firstLine="0"/>
        <w:contextualSpacing/>
        <w:jc w:val="both"/>
        <w:rPr>
          <w:rFonts w:asciiTheme="minorHAnsi" w:hAnsiTheme="minorHAnsi" w:cstheme="minorHAnsi"/>
          <w:sz w:val="26"/>
          <w:szCs w:val="26"/>
        </w:rPr>
      </w:pPr>
      <w:r w:rsidRPr="002C4F75">
        <w:rPr>
          <w:rFonts w:asciiTheme="minorHAnsi" w:hAnsiTheme="minorHAnsi" w:cstheme="minorHAnsi"/>
          <w:sz w:val="26"/>
          <w:szCs w:val="26"/>
        </w:rPr>
        <w:t>2 judecători în cadrul un stagiu cu durata de 1 an la Curtea Europeană a Drepturilor Omului, 2 judecători într-un stagiu cu durata de 1 an la Curtea de Justiție a Uniunii Europene, 2 procurori  într-un stagiu cu durata de 3 luni la EUROJUST şi 2 procurori și 1 judecător în stagii cu durata de 6 luni la Parchetul European (E.P.P.O.).</w:t>
      </w:r>
    </w:p>
    <w:p w14:paraId="3AF90261" w14:textId="2C1BE09A" w:rsidR="00DF72CC" w:rsidRPr="002C4F75" w:rsidRDefault="00DF72CC" w:rsidP="00DF72CC">
      <w:pPr>
        <w:spacing w:line="276" w:lineRule="auto"/>
        <w:ind w:right="43" w:firstLine="708"/>
        <w:jc w:val="both"/>
        <w:rPr>
          <w:rFonts w:asciiTheme="minorHAnsi" w:hAnsiTheme="minorHAnsi" w:cstheme="minorHAnsi"/>
          <w:sz w:val="26"/>
          <w:szCs w:val="26"/>
        </w:rPr>
      </w:pPr>
      <w:r w:rsidRPr="002C4F75">
        <w:rPr>
          <w:rFonts w:asciiTheme="minorHAnsi" w:hAnsiTheme="minorHAnsi" w:cstheme="minorHAnsi"/>
          <w:sz w:val="26"/>
          <w:szCs w:val="26"/>
        </w:rPr>
        <w:t>Ca urmare a unor restricţii vizând bugetul E.J.T.N., o parte dintre stagiile programate pentru a doua jumătate a anului 2024 au fost reprogramate în anul 2025, iar altele au fost anulate.</w:t>
      </w:r>
    </w:p>
    <w:p w14:paraId="7DDD0552" w14:textId="77777777" w:rsidR="00DF72CC" w:rsidRPr="002C4F75" w:rsidRDefault="00DF72CC" w:rsidP="00DF72CC">
      <w:pPr>
        <w:spacing w:line="276" w:lineRule="auto"/>
        <w:ind w:right="43" w:firstLine="709"/>
        <w:jc w:val="both"/>
        <w:rPr>
          <w:rFonts w:asciiTheme="minorHAnsi" w:hAnsiTheme="minorHAnsi" w:cstheme="minorHAnsi"/>
          <w:sz w:val="26"/>
          <w:szCs w:val="26"/>
        </w:rPr>
      </w:pPr>
      <w:r w:rsidRPr="002C4F75">
        <w:rPr>
          <w:rFonts w:asciiTheme="minorHAnsi" w:hAnsiTheme="minorHAnsi" w:cstheme="minorHAnsi"/>
          <w:sz w:val="26"/>
          <w:szCs w:val="26"/>
        </w:rPr>
        <w:t>De asemenea, 25 de magistrați români au fost selectați la vizite de studiu cu durata de 2 sau 3 zile la Curtea Europeană a Drepturilor Omului, Curtea de Justiție a Uniunii Europene, EUROJUST, EPPO, Institutul Max Planck și alte instituții ale Uniunii Europene - Comisia Europeană, Consiliul Uniunii Europene, Parlamentul European, Autoritatea Europeană pentru Protecția Datelor (A.E.P.D.) și Oficiul European de Luptă Antifraudă (O.L.A.F.).</w:t>
      </w:r>
    </w:p>
    <w:p w14:paraId="232222F0" w14:textId="44843788" w:rsidR="00DF72CC" w:rsidRPr="002C4F75" w:rsidRDefault="00DF72CC" w:rsidP="00DF72CC">
      <w:pPr>
        <w:spacing w:line="276" w:lineRule="auto"/>
        <w:ind w:right="43" w:firstLine="709"/>
        <w:jc w:val="both"/>
        <w:rPr>
          <w:rFonts w:asciiTheme="minorHAnsi" w:hAnsiTheme="minorHAnsi" w:cstheme="minorHAnsi"/>
          <w:sz w:val="26"/>
          <w:szCs w:val="26"/>
        </w:rPr>
      </w:pPr>
      <w:r w:rsidRPr="002C4F75">
        <w:rPr>
          <w:rFonts w:asciiTheme="minorHAnsi" w:hAnsiTheme="minorHAnsi" w:cstheme="minorHAnsi"/>
          <w:sz w:val="26"/>
          <w:szCs w:val="26"/>
        </w:rPr>
        <w:t>În cadrul programului de schimb derulat de E.J.T.N., 86 de magistrați și formatori din țările membre E.J.T.N. au fost alocați pentru desfășurarea de stagii în România, după cum urmează: 49 de judecători și 21 de procurori în cadrul componentei de schimburi de magistrați; 2 judecători în schimburi specializate; 2 judecători și 2 procurori în cadrul componentei rezervate conducătorilor de instanțe și parchete, 5 formatori în cadrul componentei dedicate acestora şi 5 magistrați în schimburi bilaterale.</w:t>
      </w:r>
    </w:p>
    <w:p w14:paraId="6FA3064F" w14:textId="77777777" w:rsidR="00DF72CC" w:rsidRPr="002C4F75" w:rsidRDefault="00DF72CC" w:rsidP="00DF72CC">
      <w:pPr>
        <w:spacing w:line="276" w:lineRule="auto"/>
        <w:ind w:right="43" w:firstLine="709"/>
        <w:jc w:val="both"/>
        <w:rPr>
          <w:rFonts w:asciiTheme="minorHAnsi" w:hAnsiTheme="minorHAnsi" w:cstheme="minorHAnsi"/>
          <w:sz w:val="26"/>
          <w:szCs w:val="26"/>
        </w:rPr>
      </w:pPr>
      <w:r w:rsidRPr="002C4F75">
        <w:rPr>
          <w:rFonts w:asciiTheme="minorHAnsi" w:hAnsiTheme="minorHAnsi" w:cstheme="minorHAnsi"/>
          <w:sz w:val="26"/>
          <w:szCs w:val="26"/>
        </w:rPr>
        <w:lastRenderedPageBreak/>
        <w:t xml:space="preserve">În perioada septembrie - octombrie 2024 au fost lansate proceduri de selecţie pentru componentele Programului de schimb 2025 (stagii de lungă şi scurtă durată, stagii bilaterale), pentru care au fost înregistrate, în total, 528 de înscrieri din partea magistraţilor şi formatorilor români, rezultatele preselecţiilor la nivel naţional fiind comunicate E.J.T.N. în vederea realizării alocării finale. </w:t>
      </w:r>
    </w:p>
    <w:p w14:paraId="544AF7E3" w14:textId="754958B3" w:rsidR="0076177A" w:rsidRPr="004A72CD" w:rsidRDefault="0076177A" w:rsidP="00D51F5A">
      <w:pPr>
        <w:keepNext/>
        <w:keepLines/>
        <w:numPr>
          <w:ilvl w:val="0"/>
          <w:numId w:val="3"/>
        </w:numPr>
        <w:tabs>
          <w:tab w:val="left" w:pos="360"/>
        </w:tabs>
        <w:spacing w:line="276" w:lineRule="auto"/>
        <w:ind w:right="43"/>
        <w:contextualSpacing/>
        <w:jc w:val="both"/>
        <w:rPr>
          <w:rFonts w:asciiTheme="minorHAnsi" w:hAnsiTheme="minorHAnsi" w:cstheme="minorHAnsi"/>
          <w:b/>
          <w:color w:val="000000" w:themeColor="text1"/>
          <w:sz w:val="26"/>
          <w:szCs w:val="26"/>
        </w:rPr>
      </w:pPr>
      <w:r w:rsidRPr="004A72CD">
        <w:rPr>
          <w:rFonts w:asciiTheme="minorHAnsi" w:hAnsiTheme="minorHAnsi" w:cstheme="minorHAnsi"/>
          <w:b/>
          <w:color w:val="000000" w:themeColor="text1"/>
          <w:sz w:val="26"/>
          <w:szCs w:val="26"/>
        </w:rPr>
        <w:t>Calendarul de activități E</w:t>
      </w:r>
      <w:r w:rsidR="00A6144A" w:rsidRPr="004A72CD">
        <w:rPr>
          <w:rFonts w:asciiTheme="minorHAnsi" w:hAnsiTheme="minorHAnsi" w:cstheme="minorHAnsi"/>
          <w:b/>
          <w:color w:val="000000" w:themeColor="text1"/>
          <w:sz w:val="26"/>
          <w:szCs w:val="26"/>
        </w:rPr>
        <w:t>.</w:t>
      </w:r>
      <w:r w:rsidRPr="004A72CD">
        <w:rPr>
          <w:rFonts w:asciiTheme="minorHAnsi" w:hAnsiTheme="minorHAnsi" w:cstheme="minorHAnsi"/>
          <w:b/>
          <w:color w:val="000000" w:themeColor="text1"/>
          <w:sz w:val="26"/>
          <w:szCs w:val="26"/>
        </w:rPr>
        <w:t>J</w:t>
      </w:r>
      <w:r w:rsidR="00A6144A" w:rsidRPr="004A72CD">
        <w:rPr>
          <w:rFonts w:asciiTheme="minorHAnsi" w:hAnsiTheme="minorHAnsi" w:cstheme="minorHAnsi"/>
          <w:b/>
          <w:color w:val="000000" w:themeColor="text1"/>
          <w:sz w:val="26"/>
          <w:szCs w:val="26"/>
        </w:rPr>
        <w:t>.</w:t>
      </w:r>
      <w:r w:rsidRPr="004A72CD">
        <w:rPr>
          <w:rFonts w:asciiTheme="minorHAnsi" w:hAnsiTheme="minorHAnsi" w:cstheme="minorHAnsi"/>
          <w:b/>
          <w:color w:val="000000" w:themeColor="text1"/>
          <w:sz w:val="26"/>
          <w:szCs w:val="26"/>
        </w:rPr>
        <w:t>T</w:t>
      </w:r>
      <w:r w:rsidR="00A6144A" w:rsidRPr="004A72CD">
        <w:rPr>
          <w:rFonts w:asciiTheme="minorHAnsi" w:hAnsiTheme="minorHAnsi" w:cstheme="minorHAnsi"/>
          <w:b/>
          <w:color w:val="000000" w:themeColor="text1"/>
          <w:sz w:val="26"/>
          <w:szCs w:val="26"/>
        </w:rPr>
        <w:t>.</w:t>
      </w:r>
      <w:r w:rsidRPr="004A72CD">
        <w:rPr>
          <w:rFonts w:asciiTheme="minorHAnsi" w:hAnsiTheme="minorHAnsi" w:cstheme="minorHAnsi"/>
          <w:b/>
          <w:color w:val="000000" w:themeColor="text1"/>
          <w:sz w:val="26"/>
          <w:szCs w:val="26"/>
        </w:rPr>
        <w:t>N</w:t>
      </w:r>
      <w:r w:rsidR="00A6144A" w:rsidRPr="004A72CD">
        <w:rPr>
          <w:rFonts w:asciiTheme="minorHAnsi" w:hAnsiTheme="minorHAnsi" w:cstheme="minorHAnsi"/>
          <w:b/>
          <w:color w:val="000000" w:themeColor="text1"/>
          <w:sz w:val="26"/>
          <w:szCs w:val="26"/>
        </w:rPr>
        <w:t>.</w:t>
      </w:r>
      <w:r w:rsidRPr="004A72CD">
        <w:rPr>
          <w:rFonts w:asciiTheme="minorHAnsi" w:hAnsiTheme="minorHAnsi" w:cstheme="minorHAnsi"/>
          <w:b/>
          <w:color w:val="000000" w:themeColor="text1"/>
          <w:sz w:val="26"/>
          <w:szCs w:val="26"/>
        </w:rPr>
        <w:t xml:space="preserve"> 2024</w:t>
      </w:r>
    </w:p>
    <w:p w14:paraId="429FFC1C" w14:textId="43C6B802" w:rsidR="0076177A" w:rsidRPr="004A72CD" w:rsidRDefault="0076177A" w:rsidP="00D51F5A">
      <w:pPr>
        <w:keepNext/>
        <w:keepLines/>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Pentru a veni în întâmpinarea nevoilor de formare ale magistraților, în cadrul componentei de formare internațională, în cursul anului 2024 au fost lansate două proceduri ample de selecție, menite să acopere întreaga ofertă de activități de formare organizate de E</w:t>
      </w:r>
      <w:r w:rsidR="00A6144A" w:rsidRPr="004A72CD">
        <w:rPr>
          <w:rFonts w:asciiTheme="minorHAnsi" w:hAnsiTheme="minorHAnsi" w:cstheme="minorHAnsi"/>
          <w:sz w:val="26"/>
          <w:szCs w:val="26"/>
        </w:rPr>
        <w:t>.</w:t>
      </w:r>
      <w:r w:rsidRPr="004A72CD">
        <w:rPr>
          <w:rFonts w:asciiTheme="minorHAnsi" w:hAnsiTheme="minorHAnsi" w:cstheme="minorHAnsi"/>
          <w:sz w:val="26"/>
          <w:szCs w:val="26"/>
        </w:rPr>
        <w:t>J</w:t>
      </w:r>
      <w:r w:rsidR="00A6144A" w:rsidRPr="004A72CD">
        <w:rPr>
          <w:rFonts w:asciiTheme="minorHAnsi" w:hAnsiTheme="minorHAnsi" w:cstheme="minorHAnsi"/>
          <w:sz w:val="26"/>
          <w:szCs w:val="26"/>
        </w:rPr>
        <w:t>.</w:t>
      </w:r>
      <w:r w:rsidRPr="004A72CD">
        <w:rPr>
          <w:rFonts w:asciiTheme="minorHAnsi" w:hAnsiTheme="minorHAnsi" w:cstheme="minorHAnsi"/>
          <w:sz w:val="26"/>
          <w:szCs w:val="26"/>
        </w:rPr>
        <w:t>T</w:t>
      </w:r>
      <w:r w:rsidR="00A6144A" w:rsidRPr="004A72CD">
        <w:rPr>
          <w:rFonts w:asciiTheme="minorHAnsi" w:hAnsiTheme="minorHAnsi" w:cstheme="minorHAnsi"/>
          <w:sz w:val="26"/>
          <w:szCs w:val="26"/>
        </w:rPr>
        <w:t>.</w:t>
      </w:r>
      <w:r w:rsidRPr="004A72CD">
        <w:rPr>
          <w:rFonts w:asciiTheme="minorHAnsi" w:hAnsiTheme="minorHAnsi" w:cstheme="minorHAnsi"/>
          <w:sz w:val="26"/>
          <w:szCs w:val="26"/>
        </w:rPr>
        <w:t>N</w:t>
      </w:r>
      <w:r w:rsidR="00A6144A" w:rsidRPr="004A72CD">
        <w:rPr>
          <w:rFonts w:asciiTheme="minorHAnsi" w:hAnsiTheme="minorHAnsi" w:cstheme="minorHAnsi"/>
          <w:sz w:val="26"/>
          <w:szCs w:val="26"/>
        </w:rPr>
        <w:t>.</w:t>
      </w:r>
      <w:r w:rsidRPr="004A72CD">
        <w:rPr>
          <w:rFonts w:asciiTheme="minorHAnsi" w:hAnsiTheme="minorHAnsi" w:cstheme="minorHAnsi"/>
          <w:sz w:val="26"/>
          <w:szCs w:val="26"/>
        </w:rPr>
        <w:t xml:space="preserve"> (Catalogul E</w:t>
      </w:r>
      <w:r w:rsidR="00FF2D3B" w:rsidRPr="004A72CD">
        <w:rPr>
          <w:rFonts w:asciiTheme="minorHAnsi" w:hAnsiTheme="minorHAnsi" w:cstheme="minorHAnsi"/>
          <w:sz w:val="26"/>
          <w:szCs w:val="26"/>
        </w:rPr>
        <w:t>.</w:t>
      </w:r>
      <w:r w:rsidRPr="004A72CD">
        <w:rPr>
          <w:rFonts w:asciiTheme="minorHAnsi" w:hAnsiTheme="minorHAnsi" w:cstheme="minorHAnsi"/>
          <w:sz w:val="26"/>
          <w:szCs w:val="26"/>
        </w:rPr>
        <w:t>J</w:t>
      </w:r>
      <w:r w:rsidR="00FF2D3B" w:rsidRPr="004A72CD">
        <w:rPr>
          <w:rFonts w:asciiTheme="minorHAnsi" w:hAnsiTheme="minorHAnsi" w:cstheme="minorHAnsi"/>
          <w:sz w:val="26"/>
          <w:szCs w:val="26"/>
        </w:rPr>
        <w:t>.</w:t>
      </w:r>
      <w:r w:rsidRPr="004A72CD">
        <w:rPr>
          <w:rFonts w:asciiTheme="minorHAnsi" w:hAnsiTheme="minorHAnsi" w:cstheme="minorHAnsi"/>
          <w:sz w:val="26"/>
          <w:szCs w:val="26"/>
        </w:rPr>
        <w:t>T</w:t>
      </w:r>
      <w:r w:rsidR="00FF2D3B" w:rsidRPr="004A72CD">
        <w:rPr>
          <w:rFonts w:asciiTheme="minorHAnsi" w:hAnsiTheme="minorHAnsi" w:cstheme="minorHAnsi"/>
          <w:sz w:val="26"/>
          <w:szCs w:val="26"/>
        </w:rPr>
        <w:t>.</w:t>
      </w:r>
      <w:r w:rsidRPr="004A72CD">
        <w:rPr>
          <w:rFonts w:asciiTheme="minorHAnsi" w:hAnsiTheme="minorHAnsi" w:cstheme="minorHAnsi"/>
          <w:sz w:val="26"/>
          <w:szCs w:val="26"/>
        </w:rPr>
        <w:t>N</w:t>
      </w:r>
      <w:r w:rsidR="00FF2D3B" w:rsidRPr="004A72CD">
        <w:rPr>
          <w:rFonts w:asciiTheme="minorHAnsi" w:hAnsiTheme="minorHAnsi" w:cstheme="minorHAnsi"/>
          <w:sz w:val="26"/>
          <w:szCs w:val="26"/>
        </w:rPr>
        <w:t>.</w:t>
      </w:r>
      <w:r w:rsidRPr="004A72CD">
        <w:rPr>
          <w:rFonts w:asciiTheme="minorHAnsi" w:hAnsiTheme="minorHAnsi" w:cstheme="minorHAnsi"/>
          <w:sz w:val="26"/>
          <w:szCs w:val="26"/>
        </w:rPr>
        <w:t>) şi de către membrii E</w:t>
      </w:r>
      <w:r w:rsidR="00A6144A" w:rsidRPr="004A72CD">
        <w:rPr>
          <w:rFonts w:asciiTheme="minorHAnsi" w:hAnsiTheme="minorHAnsi" w:cstheme="minorHAnsi"/>
          <w:sz w:val="26"/>
          <w:szCs w:val="26"/>
        </w:rPr>
        <w:t>.</w:t>
      </w:r>
      <w:r w:rsidRPr="004A72CD">
        <w:rPr>
          <w:rFonts w:asciiTheme="minorHAnsi" w:hAnsiTheme="minorHAnsi" w:cstheme="minorHAnsi"/>
          <w:sz w:val="26"/>
          <w:szCs w:val="26"/>
        </w:rPr>
        <w:t>J</w:t>
      </w:r>
      <w:r w:rsidR="00A6144A" w:rsidRPr="004A72CD">
        <w:rPr>
          <w:rFonts w:asciiTheme="minorHAnsi" w:hAnsiTheme="minorHAnsi" w:cstheme="minorHAnsi"/>
          <w:sz w:val="26"/>
          <w:szCs w:val="26"/>
        </w:rPr>
        <w:t>.</w:t>
      </w:r>
      <w:r w:rsidRPr="004A72CD">
        <w:rPr>
          <w:rFonts w:asciiTheme="minorHAnsi" w:hAnsiTheme="minorHAnsi" w:cstheme="minorHAnsi"/>
          <w:sz w:val="26"/>
          <w:szCs w:val="26"/>
        </w:rPr>
        <w:t>T</w:t>
      </w:r>
      <w:r w:rsidR="00A6144A" w:rsidRPr="004A72CD">
        <w:rPr>
          <w:rFonts w:asciiTheme="minorHAnsi" w:hAnsiTheme="minorHAnsi" w:cstheme="minorHAnsi"/>
          <w:sz w:val="26"/>
          <w:szCs w:val="26"/>
        </w:rPr>
        <w:t>.</w:t>
      </w:r>
      <w:r w:rsidRPr="004A72CD">
        <w:rPr>
          <w:rFonts w:asciiTheme="minorHAnsi" w:hAnsiTheme="minorHAnsi" w:cstheme="minorHAnsi"/>
          <w:sz w:val="26"/>
          <w:szCs w:val="26"/>
        </w:rPr>
        <w:t>N</w:t>
      </w:r>
      <w:r w:rsidR="00A6144A" w:rsidRPr="004A72CD">
        <w:rPr>
          <w:rFonts w:asciiTheme="minorHAnsi" w:hAnsiTheme="minorHAnsi" w:cstheme="minorHAnsi"/>
          <w:sz w:val="26"/>
          <w:szCs w:val="26"/>
        </w:rPr>
        <w:t>.</w:t>
      </w:r>
      <w:r w:rsidRPr="004A72CD">
        <w:rPr>
          <w:rFonts w:asciiTheme="minorHAnsi" w:hAnsiTheme="minorHAnsi" w:cstheme="minorHAnsi"/>
          <w:sz w:val="26"/>
          <w:szCs w:val="26"/>
        </w:rPr>
        <w:t xml:space="preserve"> (Catalogul Plus), deschise participării judecătorilor şi procurorilor români. Astfel, în plus faţă de cele 25 de activități de formare E</w:t>
      </w:r>
      <w:r w:rsidR="00C76E01" w:rsidRPr="004A72CD">
        <w:rPr>
          <w:rFonts w:asciiTheme="minorHAnsi" w:hAnsiTheme="minorHAnsi" w:cstheme="minorHAnsi"/>
          <w:sz w:val="26"/>
          <w:szCs w:val="26"/>
        </w:rPr>
        <w:t>.</w:t>
      </w:r>
      <w:r w:rsidRPr="004A72CD">
        <w:rPr>
          <w:rFonts w:asciiTheme="minorHAnsi" w:hAnsiTheme="minorHAnsi" w:cstheme="minorHAnsi"/>
          <w:sz w:val="26"/>
          <w:szCs w:val="26"/>
        </w:rPr>
        <w:t>J</w:t>
      </w:r>
      <w:r w:rsidR="00C76E01" w:rsidRPr="004A72CD">
        <w:rPr>
          <w:rFonts w:asciiTheme="minorHAnsi" w:hAnsiTheme="minorHAnsi" w:cstheme="minorHAnsi"/>
          <w:sz w:val="26"/>
          <w:szCs w:val="26"/>
        </w:rPr>
        <w:t>.</w:t>
      </w:r>
      <w:r w:rsidRPr="004A72CD">
        <w:rPr>
          <w:rFonts w:asciiTheme="minorHAnsi" w:hAnsiTheme="minorHAnsi" w:cstheme="minorHAnsi"/>
          <w:sz w:val="26"/>
          <w:szCs w:val="26"/>
        </w:rPr>
        <w:t>T</w:t>
      </w:r>
      <w:r w:rsidR="00C76E01" w:rsidRPr="004A72CD">
        <w:rPr>
          <w:rFonts w:asciiTheme="minorHAnsi" w:hAnsiTheme="minorHAnsi" w:cstheme="minorHAnsi"/>
          <w:sz w:val="26"/>
          <w:szCs w:val="26"/>
        </w:rPr>
        <w:t>.</w:t>
      </w:r>
      <w:r w:rsidRPr="004A72CD">
        <w:rPr>
          <w:rFonts w:asciiTheme="minorHAnsi" w:hAnsiTheme="minorHAnsi" w:cstheme="minorHAnsi"/>
          <w:sz w:val="26"/>
          <w:szCs w:val="26"/>
        </w:rPr>
        <w:t>N</w:t>
      </w:r>
      <w:r w:rsidR="00C76E01" w:rsidRPr="004A72CD">
        <w:rPr>
          <w:rFonts w:asciiTheme="minorHAnsi" w:hAnsiTheme="minorHAnsi" w:cstheme="minorHAnsi"/>
          <w:sz w:val="26"/>
          <w:szCs w:val="26"/>
        </w:rPr>
        <w:t>.</w:t>
      </w:r>
      <w:r w:rsidRPr="004A72CD">
        <w:rPr>
          <w:rFonts w:asciiTheme="minorHAnsi" w:hAnsiTheme="minorHAnsi" w:cstheme="minorHAnsi"/>
          <w:sz w:val="26"/>
          <w:szCs w:val="26"/>
        </w:rPr>
        <w:t xml:space="preserve"> lansate în luna decembrie 2023, I</w:t>
      </w:r>
      <w:r w:rsidR="00C76E01" w:rsidRPr="004A72CD">
        <w:rPr>
          <w:rFonts w:asciiTheme="minorHAnsi" w:hAnsiTheme="minorHAnsi" w:cstheme="minorHAnsi"/>
          <w:sz w:val="26"/>
          <w:szCs w:val="26"/>
        </w:rPr>
        <w:t>.</w:t>
      </w:r>
      <w:r w:rsidRPr="004A72CD">
        <w:rPr>
          <w:rFonts w:asciiTheme="minorHAnsi" w:hAnsiTheme="minorHAnsi" w:cstheme="minorHAnsi"/>
          <w:sz w:val="26"/>
          <w:szCs w:val="26"/>
        </w:rPr>
        <w:t>N</w:t>
      </w:r>
      <w:r w:rsidR="00C76E01" w:rsidRPr="004A72CD">
        <w:rPr>
          <w:rFonts w:asciiTheme="minorHAnsi" w:hAnsiTheme="minorHAnsi" w:cstheme="minorHAnsi"/>
          <w:sz w:val="26"/>
          <w:szCs w:val="26"/>
        </w:rPr>
        <w:t>.</w:t>
      </w:r>
      <w:r w:rsidRPr="004A72CD">
        <w:rPr>
          <w:rFonts w:asciiTheme="minorHAnsi" w:hAnsiTheme="minorHAnsi" w:cstheme="minorHAnsi"/>
          <w:sz w:val="26"/>
          <w:szCs w:val="26"/>
        </w:rPr>
        <w:t>M</w:t>
      </w:r>
      <w:r w:rsidR="00C76E01" w:rsidRPr="004A72CD">
        <w:rPr>
          <w:rFonts w:asciiTheme="minorHAnsi" w:hAnsiTheme="minorHAnsi" w:cstheme="minorHAnsi"/>
          <w:sz w:val="26"/>
          <w:szCs w:val="26"/>
        </w:rPr>
        <w:t>.</w:t>
      </w:r>
      <w:r w:rsidRPr="004A72CD">
        <w:rPr>
          <w:rFonts w:asciiTheme="minorHAnsi" w:hAnsiTheme="minorHAnsi" w:cstheme="minorHAnsi"/>
          <w:sz w:val="26"/>
          <w:szCs w:val="26"/>
        </w:rPr>
        <w:t xml:space="preserve"> a lansat, în luna martie 2024, selecții pentru 31 de activități de formare, planificate în perioada martie</w:t>
      </w:r>
      <w:r w:rsidR="009C6962" w:rsidRPr="004A72CD">
        <w:rPr>
          <w:rFonts w:asciiTheme="minorHAnsi" w:hAnsiTheme="minorHAnsi" w:cstheme="minorHAnsi"/>
          <w:sz w:val="26"/>
          <w:szCs w:val="26"/>
        </w:rPr>
        <w:t xml:space="preserve"> </w:t>
      </w:r>
      <w:r w:rsidRPr="004A72CD">
        <w:rPr>
          <w:rFonts w:asciiTheme="minorHAnsi" w:hAnsiTheme="minorHAnsi" w:cstheme="minorHAnsi"/>
          <w:sz w:val="26"/>
          <w:szCs w:val="26"/>
        </w:rPr>
        <w:t>-</w:t>
      </w:r>
      <w:r w:rsidR="009C6962" w:rsidRPr="004A72CD">
        <w:rPr>
          <w:rFonts w:asciiTheme="minorHAnsi" w:hAnsiTheme="minorHAnsi" w:cstheme="minorHAnsi"/>
          <w:sz w:val="26"/>
          <w:szCs w:val="26"/>
        </w:rPr>
        <w:t xml:space="preserve"> </w:t>
      </w:r>
      <w:r w:rsidRPr="004A72CD">
        <w:rPr>
          <w:rFonts w:asciiTheme="minorHAnsi" w:hAnsiTheme="minorHAnsi" w:cstheme="minorHAnsi"/>
          <w:sz w:val="26"/>
          <w:szCs w:val="26"/>
        </w:rPr>
        <w:t>iulie 2024, în luna iulie fiind lansate selecții pentru restul de 58 de activități de formare, programate în perioada septembrie</w:t>
      </w:r>
      <w:r w:rsidR="009C6962" w:rsidRPr="004A72CD">
        <w:rPr>
          <w:rFonts w:asciiTheme="minorHAnsi" w:hAnsiTheme="minorHAnsi" w:cstheme="minorHAnsi"/>
          <w:sz w:val="26"/>
          <w:szCs w:val="26"/>
        </w:rPr>
        <w:t xml:space="preserve"> </w:t>
      </w:r>
      <w:r w:rsidRPr="004A72CD">
        <w:rPr>
          <w:rFonts w:asciiTheme="minorHAnsi" w:hAnsiTheme="minorHAnsi" w:cstheme="minorHAnsi"/>
          <w:sz w:val="26"/>
          <w:szCs w:val="26"/>
        </w:rPr>
        <w:t>-</w:t>
      </w:r>
      <w:r w:rsidR="009C6962" w:rsidRPr="004A72CD">
        <w:rPr>
          <w:rFonts w:asciiTheme="minorHAnsi" w:hAnsiTheme="minorHAnsi" w:cstheme="minorHAnsi"/>
          <w:sz w:val="26"/>
          <w:szCs w:val="26"/>
        </w:rPr>
        <w:t xml:space="preserve"> </w:t>
      </w:r>
      <w:r w:rsidRPr="004A72CD">
        <w:rPr>
          <w:rFonts w:asciiTheme="minorHAnsi" w:hAnsiTheme="minorHAnsi" w:cstheme="minorHAnsi"/>
          <w:sz w:val="26"/>
          <w:szCs w:val="26"/>
        </w:rPr>
        <w:t xml:space="preserve">decembrie 2024. Magistrații au avut ocazia de a formula maxim 5 opțiuni, prin intermediul aplicației electronice puse la dispoziție de Institut. În total, în cadrul celor două proceduri, a fost înregistrat un număr de 1.459 de opțiuni, din partea a 368 de magistrați. </w:t>
      </w:r>
    </w:p>
    <w:p w14:paraId="0E978A61" w14:textId="7DBD23ED" w:rsidR="0076177A" w:rsidRPr="004A72CD" w:rsidRDefault="0076177A" w:rsidP="00D51F5A">
      <w:pPr>
        <w:tabs>
          <w:tab w:val="left" w:pos="360"/>
        </w:tabs>
        <w:spacing w:line="276" w:lineRule="auto"/>
        <w:ind w:right="43" w:firstLine="709"/>
        <w:contextualSpacing/>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 xml:space="preserve">În </w:t>
      </w:r>
      <w:r w:rsidR="00923599">
        <w:rPr>
          <w:rFonts w:asciiTheme="minorHAnsi" w:hAnsiTheme="minorHAnsi" w:cstheme="minorHAnsi"/>
          <w:color w:val="000000" w:themeColor="text1"/>
          <w:sz w:val="26"/>
          <w:szCs w:val="26"/>
        </w:rPr>
        <w:t>cursul anului</w:t>
      </w:r>
      <w:r w:rsidR="005B17CF" w:rsidRPr="0098252F">
        <w:rPr>
          <w:rFonts w:asciiTheme="minorHAnsi" w:hAnsiTheme="minorHAnsi" w:cstheme="minorHAnsi"/>
          <w:sz w:val="26"/>
          <w:szCs w:val="26"/>
        </w:rPr>
        <w:t xml:space="preserve"> </w:t>
      </w:r>
      <w:r w:rsidRPr="0098252F">
        <w:rPr>
          <w:rFonts w:asciiTheme="minorHAnsi" w:hAnsiTheme="minorHAnsi" w:cstheme="minorHAnsi"/>
          <w:sz w:val="26"/>
          <w:szCs w:val="26"/>
        </w:rPr>
        <w:t>2024, au fost înregistrate la activități incluse în Catalogul E</w:t>
      </w:r>
      <w:r w:rsidR="00C76E01" w:rsidRPr="0098252F">
        <w:rPr>
          <w:rFonts w:asciiTheme="minorHAnsi" w:hAnsiTheme="minorHAnsi" w:cstheme="minorHAnsi"/>
          <w:sz w:val="26"/>
          <w:szCs w:val="26"/>
        </w:rPr>
        <w:t>.</w:t>
      </w:r>
      <w:r w:rsidRPr="0098252F">
        <w:rPr>
          <w:rFonts w:asciiTheme="minorHAnsi" w:hAnsiTheme="minorHAnsi" w:cstheme="minorHAnsi"/>
          <w:sz w:val="26"/>
          <w:szCs w:val="26"/>
        </w:rPr>
        <w:t>J</w:t>
      </w:r>
      <w:r w:rsidR="00C76E01" w:rsidRPr="0098252F">
        <w:rPr>
          <w:rFonts w:asciiTheme="minorHAnsi" w:hAnsiTheme="minorHAnsi" w:cstheme="minorHAnsi"/>
          <w:sz w:val="26"/>
          <w:szCs w:val="26"/>
        </w:rPr>
        <w:t>.</w:t>
      </w:r>
      <w:r w:rsidRPr="0098252F">
        <w:rPr>
          <w:rFonts w:asciiTheme="minorHAnsi" w:hAnsiTheme="minorHAnsi" w:cstheme="minorHAnsi"/>
          <w:sz w:val="26"/>
          <w:szCs w:val="26"/>
        </w:rPr>
        <w:t>T</w:t>
      </w:r>
      <w:r w:rsidR="00C76E01" w:rsidRPr="0098252F">
        <w:rPr>
          <w:rFonts w:asciiTheme="minorHAnsi" w:hAnsiTheme="minorHAnsi" w:cstheme="minorHAnsi"/>
          <w:sz w:val="26"/>
          <w:szCs w:val="26"/>
        </w:rPr>
        <w:t>.</w:t>
      </w:r>
      <w:r w:rsidRPr="0098252F">
        <w:rPr>
          <w:rFonts w:asciiTheme="minorHAnsi" w:hAnsiTheme="minorHAnsi" w:cstheme="minorHAnsi"/>
          <w:sz w:val="26"/>
          <w:szCs w:val="26"/>
        </w:rPr>
        <w:t>N</w:t>
      </w:r>
      <w:r w:rsidR="00C76E01" w:rsidRPr="0098252F">
        <w:rPr>
          <w:rFonts w:asciiTheme="minorHAnsi" w:hAnsiTheme="minorHAnsi" w:cstheme="minorHAnsi"/>
          <w:sz w:val="26"/>
          <w:szCs w:val="26"/>
        </w:rPr>
        <w:t>.</w:t>
      </w:r>
      <w:r w:rsidRPr="0098252F">
        <w:rPr>
          <w:rFonts w:asciiTheme="minorHAnsi" w:hAnsiTheme="minorHAnsi" w:cstheme="minorHAnsi"/>
          <w:sz w:val="26"/>
          <w:szCs w:val="26"/>
        </w:rPr>
        <w:t xml:space="preserve"> şi Catalogul Plus, </w:t>
      </w:r>
      <w:r w:rsidR="005B17CF" w:rsidRPr="0098252F">
        <w:rPr>
          <w:rFonts w:asciiTheme="minorHAnsi" w:hAnsiTheme="minorHAnsi" w:cstheme="minorHAnsi"/>
          <w:sz w:val="26"/>
          <w:szCs w:val="26"/>
        </w:rPr>
        <w:t>2</w:t>
      </w:r>
      <w:r w:rsidR="00923599">
        <w:rPr>
          <w:rFonts w:asciiTheme="minorHAnsi" w:hAnsiTheme="minorHAnsi" w:cstheme="minorHAnsi"/>
          <w:sz w:val="26"/>
          <w:szCs w:val="26"/>
        </w:rPr>
        <w:t>31</w:t>
      </w:r>
      <w:r w:rsidR="005B17CF" w:rsidRPr="0098252F">
        <w:rPr>
          <w:rFonts w:asciiTheme="minorHAnsi" w:hAnsiTheme="minorHAnsi" w:cstheme="minorHAnsi"/>
          <w:sz w:val="26"/>
          <w:szCs w:val="26"/>
        </w:rPr>
        <w:t xml:space="preserve"> de</w:t>
      </w:r>
      <w:r w:rsidRPr="0098252F">
        <w:rPr>
          <w:rFonts w:asciiTheme="minorHAnsi" w:hAnsiTheme="minorHAnsi" w:cstheme="minorHAnsi"/>
          <w:sz w:val="26"/>
          <w:szCs w:val="26"/>
        </w:rPr>
        <w:t xml:space="preserve"> </w:t>
      </w:r>
      <w:r w:rsidRPr="004A72CD">
        <w:rPr>
          <w:rFonts w:asciiTheme="minorHAnsi" w:hAnsiTheme="minorHAnsi" w:cstheme="minorHAnsi"/>
          <w:color w:val="000000" w:themeColor="text1"/>
          <w:sz w:val="26"/>
          <w:szCs w:val="26"/>
        </w:rPr>
        <w:t>participări ale magistraților români, formatorilor și coordonatorilor de activități din cadrul I</w:t>
      </w:r>
      <w:r w:rsidR="00C76E01"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N</w:t>
      </w:r>
      <w:r w:rsidR="00C76E01"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M</w:t>
      </w:r>
      <w:r w:rsidR="00C76E01"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xml:space="preserve">. </w:t>
      </w:r>
    </w:p>
    <w:bookmarkEnd w:id="48"/>
    <w:bookmarkEnd w:id="49"/>
    <w:p w14:paraId="3F1E283D" w14:textId="77777777" w:rsidR="00AF0E0D" w:rsidRPr="004A72CD" w:rsidRDefault="00AF0E0D" w:rsidP="00AF0E0D">
      <w:pPr>
        <w:tabs>
          <w:tab w:val="left" w:pos="360"/>
        </w:tabs>
        <w:spacing w:line="276" w:lineRule="auto"/>
        <w:ind w:right="43" w:firstLine="709"/>
        <w:contextualSpacing/>
        <w:jc w:val="both"/>
        <w:rPr>
          <w:rFonts w:asciiTheme="minorHAnsi" w:hAnsiTheme="minorHAnsi" w:cstheme="minorHAnsi"/>
          <w:color w:val="000000" w:themeColor="text1"/>
          <w:sz w:val="26"/>
          <w:szCs w:val="26"/>
        </w:rPr>
      </w:pPr>
      <w:r w:rsidRPr="004A72CD">
        <w:rPr>
          <w:rFonts w:asciiTheme="minorHAnsi" w:eastAsia="Calibri" w:hAnsiTheme="minorHAnsi" w:cstheme="minorHAnsi"/>
          <w:color w:val="000000"/>
          <w:sz w:val="26"/>
          <w:szCs w:val="26"/>
        </w:rPr>
        <w:t>La rândul său, I.N.M. a deschis participării magistraților europeni, în Catalogul Plus</w:t>
      </w:r>
      <w:r w:rsidRPr="00AF0E0D">
        <w:rPr>
          <w:rFonts w:asciiTheme="minorHAnsi" w:eastAsia="Calibri" w:hAnsiTheme="minorHAnsi" w:cstheme="minorHAnsi"/>
          <w:sz w:val="26"/>
          <w:szCs w:val="26"/>
        </w:rPr>
        <w:t xml:space="preserve">, trei </w:t>
      </w:r>
      <w:r w:rsidRPr="004A72CD">
        <w:rPr>
          <w:rFonts w:asciiTheme="minorHAnsi" w:eastAsia="Calibri" w:hAnsiTheme="minorHAnsi" w:cstheme="minorHAnsi"/>
          <w:color w:val="000000"/>
          <w:sz w:val="26"/>
          <w:szCs w:val="26"/>
        </w:rPr>
        <w:t xml:space="preserve">seminare de formare </w:t>
      </w:r>
      <w:r w:rsidRPr="004A72CD">
        <w:rPr>
          <w:rFonts w:asciiTheme="minorHAnsi" w:eastAsia="Calibri" w:hAnsiTheme="minorHAnsi" w:cstheme="minorHAnsi"/>
          <w:color w:val="000000"/>
          <w:sz w:val="26"/>
          <w:szCs w:val="26"/>
          <w:lang w:eastAsia="ro-RO"/>
        </w:rPr>
        <w:t>în domeniul englezei juridice, dintre care două dedicate limbajului juridic în domeniul cooperării în materie civilă și unul limbajului juridic în domeniul cooperării în materie penală</w:t>
      </w:r>
      <w:r w:rsidRPr="00AF0E0D">
        <w:rPr>
          <w:rFonts w:asciiTheme="minorHAnsi" w:eastAsia="Calibri" w:hAnsiTheme="minorHAnsi" w:cstheme="minorHAnsi"/>
          <w:sz w:val="26"/>
          <w:szCs w:val="26"/>
          <w:lang w:eastAsia="ro-RO"/>
        </w:rPr>
        <w:t>, la care au participat</w:t>
      </w:r>
      <w:r w:rsidRPr="004A72CD">
        <w:rPr>
          <w:rFonts w:asciiTheme="minorHAnsi" w:eastAsia="Calibri" w:hAnsiTheme="minorHAnsi" w:cstheme="minorHAnsi"/>
          <w:color w:val="000000"/>
          <w:sz w:val="26"/>
          <w:szCs w:val="26"/>
          <w:lang w:eastAsia="ro-RO"/>
        </w:rPr>
        <w:t xml:space="preserve">, în total, </w:t>
      </w:r>
      <w:r w:rsidRPr="004A72CD">
        <w:rPr>
          <w:rFonts w:asciiTheme="minorHAnsi" w:eastAsia="Calibri" w:hAnsiTheme="minorHAnsi" w:cstheme="minorHAnsi"/>
          <w:color w:val="000000"/>
          <w:sz w:val="26"/>
          <w:szCs w:val="26"/>
        </w:rPr>
        <w:t>26 de magistrați europeni şi 32 de magistrați români.</w:t>
      </w:r>
    </w:p>
    <w:p w14:paraId="02FA71EC" w14:textId="77777777" w:rsidR="00AF0E0D" w:rsidRPr="004A72CD" w:rsidRDefault="00AF0E0D" w:rsidP="00AF0E0D">
      <w:pPr>
        <w:tabs>
          <w:tab w:val="left" w:pos="360"/>
        </w:tabs>
        <w:spacing w:line="276" w:lineRule="auto"/>
        <w:ind w:right="43" w:firstLine="709"/>
        <w:contextualSpacing/>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Pe fondul restricțiilor privind bugetul E.J.T.N., activitățile programate în a doua jumătate a anului 2024 în Catalogul E.J.T.N. s</w:t>
      </w:r>
      <w:r w:rsidRPr="00AF0E0D">
        <w:rPr>
          <w:rFonts w:asciiTheme="minorHAnsi" w:hAnsiTheme="minorHAnsi" w:cstheme="minorHAnsi"/>
          <w:sz w:val="26"/>
          <w:szCs w:val="26"/>
        </w:rPr>
        <w:t xml:space="preserve">-au desfășurat </w:t>
      </w:r>
      <w:r w:rsidRPr="004A72CD">
        <w:rPr>
          <w:rFonts w:asciiTheme="minorHAnsi" w:hAnsiTheme="minorHAnsi" w:cstheme="minorHAnsi"/>
          <w:color w:val="000000" w:themeColor="text1"/>
          <w:sz w:val="26"/>
          <w:szCs w:val="26"/>
        </w:rPr>
        <w:t xml:space="preserve">în format online, iar pentru cele incluse în Catalogul Plus finanțarea participării magistraților străini a fost anulată. </w:t>
      </w:r>
    </w:p>
    <w:p w14:paraId="1BC780FE" w14:textId="016E466E" w:rsidR="0076177A" w:rsidRPr="004A72CD" w:rsidRDefault="0076177A" w:rsidP="00D51F5A">
      <w:pPr>
        <w:numPr>
          <w:ilvl w:val="0"/>
          <w:numId w:val="3"/>
        </w:numPr>
        <w:spacing w:line="276" w:lineRule="auto"/>
        <w:contextualSpacing/>
        <w:jc w:val="both"/>
        <w:rPr>
          <w:rFonts w:asciiTheme="minorHAnsi" w:eastAsia="Calibri" w:hAnsiTheme="minorHAnsi" w:cstheme="minorHAnsi"/>
          <w:color w:val="000000" w:themeColor="text1"/>
          <w:sz w:val="26"/>
          <w:szCs w:val="26"/>
        </w:rPr>
      </w:pPr>
      <w:r w:rsidRPr="004A72CD">
        <w:rPr>
          <w:rFonts w:asciiTheme="minorHAnsi" w:eastAsia="Calibri" w:hAnsiTheme="minorHAnsi" w:cstheme="minorHAnsi"/>
          <w:b/>
          <w:color w:val="000000" w:themeColor="text1"/>
          <w:sz w:val="26"/>
          <w:szCs w:val="26"/>
        </w:rPr>
        <w:t>Cooperarea cu Academia de Drept European de la Trier (E</w:t>
      </w:r>
      <w:r w:rsidR="00305514" w:rsidRPr="004A72CD">
        <w:rPr>
          <w:rFonts w:asciiTheme="minorHAnsi" w:eastAsia="Calibri" w:hAnsiTheme="minorHAnsi" w:cstheme="minorHAnsi"/>
          <w:b/>
          <w:color w:val="000000" w:themeColor="text1"/>
          <w:sz w:val="26"/>
          <w:szCs w:val="26"/>
        </w:rPr>
        <w:t>.</w:t>
      </w:r>
      <w:r w:rsidRPr="004A72CD">
        <w:rPr>
          <w:rFonts w:asciiTheme="minorHAnsi" w:eastAsia="Calibri" w:hAnsiTheme="minorHAnsi" w:cstheme="minorHAnsi"/>
          <w:b/>
          <w:color w:val="000000" w:themeColor="text1"/>
          <w:sz w:val="26"/>
          <w:szCs w:val="26"/>
        </w:rPr>
        <w:t>R</w:t>
      </w:r>
      <w:r w:rsidR="00305514" w:rsidRPr="004A72CD">
        <w:rPr>
          <w:rFonts w:asciiTheme="minorHAnsi" w:eastAsia="Calibri" w:hAnsiTheme="minorHAnsi" w:cstheme="minorHAnsi"/>
          <w:b/>
          <w:color w:val="000000" w:themeColor="text1"/>
          <w:sz w:val="26"/>
          <w:szCs w:val="26"/>
        </w:rPr>
        <w:t>.</w:t>
      </w:r>
      <w:r w:rsidRPr="004A72CD">
        <w:rPr>
          <w:rFonts w:asciiTheme="minorHAnsi" w:eastAsia="Calibri" w:hAnsiTheme="minorHAnsi" w:cstheme="minorHAnsi"/>
          <w:b/>
          <w:color w:val="000000" w:themeColor="text1"/>
          <w:sz w:val="26"/>
          <w:szCs w:val="26"/>
        </w:rPr>
        <w:t>A</w:t>
      </w:r>
      <w:r w:rsidR="00305514" w:rsidRPr="004A72CD">
        <w:rPr>
          <w:rFonts w:asciiTheme="minorHAnsi" w:eastAsia="Calibri" w:hAnsiTheme="minorHAnsi" w:cstheme="minorHAnsi"/>
          <w:b/>
          <w:color w:val="000000" w:themeColor="text1"/>
          <w:sz w:val="26"/>
          <w:szCs w:val="26"/>
        </w:rPr>
        <w:t>.</w:t>
      </w:r>
      <w:r w:rsidRPr="004A72CD">
        <w:rPr>
          <w:rFonts w:asciiTheme="minorHAnsi" w:eastAsia="Calibri" w:hAnsiTheme="minorHAnsi" w:cstheme="minorHAnsi"/>
          <w:b/>
          <w:color w:val="000000" w:themeColor="text1"/>
          <w:sz w:val="26"/>
          <w:szCs w:val="26"/>
        </w:rPr>
        <w:t>)</w:t>
      </w:r>
      <w:r w:rsidRPr="004A72CD">
        <w:rPr>
          <w:rFonts w:asciiTheme="minorHAnsi" w:eastAsia="Calibri" w:hAnsiTheme="minorHAnsi" w:cstheme="minorHAnsi"/>
          <w:color w:val="000000" w:themeColor="text1"/>
          <w:sz w:val="26"/>
          <w:szCs w:val="26"/>
        </w:rPr>
        <w:t xml:space="preserve"> </w:t>
      </w:r>
    </w:p>
    <w:p w14:paraId="20F1B46E" w14:textId="307B1067" w:rsidR="0076177A" w:rsidRPr="004A72CD" w:rsidRDefault="0076177A" w:rsidP="00D51F5A">
      <w:pPr>
        <w:autoSpaceDE w:val="0"/>
        <w:autoSpaceDN w:val="0"/>
        <w:adjustRightInd w:val="0"/>
        <w:spacing w:line="276" w:lineRule="auto"/>
        <w:ind w:firstLine="708"/>
        <w:jc w:val="both"/>
        <w:rPr>
          <w:rFonts w:asciiTheme="minorHAnsi" w:hAnsiTheme="minorHAnsi" w:cstheme="minorHAnsi"/>
          <w:sz w:val="26"/>
          <w:szCs w:val="26"/>
          <w:shd w:val="clear" w:color="auto" w:fill="FFFFFF"/>
          <w:lang w:eastAsia="ro-RO"/>
        </w:rPr>
      </w:pPr>
      <w:r w:rsidRPr="004A72CD">
        <w:rPr>
          <w:rFonts w:asciiTheme="minorHAnsi" w:hAnsiTheme="minorHAnsi" w:cstheme="minorHAnsi"/>
          <w:color w:val="000000" w:themeColor="text1"/>
          <w:sz w:val="26"/>
          <w:szCs w:val="26"/>
          <w:lang w:eastAsia="ro-RO"/>
        </w:rPr>
        <w:t>În cadrul colaborării cu Academia de Drept European de la Trier, I</w:t>
      </w:r>
      <w:r w:rsidR="00305514" w:rsidRPr="004A72CD">
        <w:rPr>
          <w:rFonts w:asciiTheme="minorHAnsi" w:hAnsiTheme="minorHAnsi" w:cstheme="minorHAnsi"/>
          <w:color w:val="000000" w:themeColor="text1"/>
          <w:sz w:val="26"/>
          <w:szCs w:val="26"/>
          <w:lang w:eastAsia="ro-RO"/>
        </w:rPr>
        <w:t>.</w:t>
      </w:r>
      <w:r w:rsidRPr="004A72CD">
        <w:rPr>
          <w:rFonts w:asciiTheme="minorHAnsi" w:hAnsiTheme="minorHAnsi" w:cstheme="minorHAnsi"/>
          <w:color w:val="000000" w:themeColor="text1"/>
          <w:sz w:val="26"/>
          <w:szCs w:val="26"/>
          <w:lang w:eastAsia="ro-RO"/>
        </w:rPr>
        <w:t>N</w:t>
      </w:r>
      <w:r w:rsidR="00305514" w:rsidRPr="004A72CD">
        <w:rPr>
          <w:rFonts w:asciiTheme="minorHAnsi" w:hAnsiTheme="minorHAnsi" w:cstheme="minorHAnsi"/>
          <w:color w:val="000000" w:themeColor="text1"/>
          <w:sz w:val="26"/>
          <w:szCs w:val="26"/>
          <w:lang w:eastAsia="ro-RO"/>
        </w:rPr>
        <w:t>.</w:t>
      </w:r>
      <w:r w:rsidRPr="004A72CD">
        <w:rPr>
          <w:rFonts w:asciiTheme="minorHAnsi" w:hAnsiTheme="minorHAnsi" w:cstheme="minorHAnsi"/>
          <w:color w:val="000000" w:themeColor="text1"/>
          <w:sz w:val="26"/>
          <w:szCs w:val="26"/>
          <w:lang w:eastAsia="ro-RO"/>
        </w:rPr>
        <w:t>M</w:t>
      </w:r>
      <w:r w:rsidR="00305514" w:rsidRPr="004A72CD">
        <w:rPr>
          <w:rFonts w:asciiTheme="minorHAnsi" w:hAnsiTheme="minorHAnsi" w:cstheme="minorHAnsi"/>
          <w:color w:val="000000" w:themeColor="text1"/>
          <w:sz w:val="26"/>
          <w:szCs w:val="26"/>
          <w:lang w:eastAsia="ro-RO"/>
        </w:rPr>
        <w:t>.</w:t>
      </w:r>
      <w:r w:rsidRPr="004A72CD">
        <w:rPr>
          <w:rFonts w:asciiTheme="minorHAnsi" w:hAnsiTheme="minorHAnsi" w:cstheme="minorHAnsi"/>
          <w:color w:val="000000" w:themeColor="text1"/>
          <w:sz w:val="26"/>
          <w:szCs w:val="26"/>
          <w:lang w:eastAsia="ro-RO"/>
        </w:rPr>
        <w:t xml:space="preserve"> a găzduit, în perioada 7</w:t>
      </w:r>
      <w:r w:rsidR="009C6962" w:rsidRPr="004A72CD">
        <w:rPr>
          <w:rFonts w:asciiTheme="minorHAnsi" w:hAnsiTheme="minorHAnsi" w:cstheme="minorHAnsi"/>
          <w:color w:val="000000" w:themeColor="text1"/>
          <w:sz w:val="26"/>
          <w:szCs w:val="26"/>
          <w:lang w:eastAsia="ro-RO"/>
        </w:rPr>
        <w:t xml:space="preserve"> </w:t>
      </w:r>
      <w:r w:rsidR="00305514" w:rsidRPr="004A72CD">
        <w:rPr>
          <w:rFonts w:asciiTheme="minorHAnsi" w:hAnsiTheme="minorHAnsi" w:cstheme="minorHAnsi"/>
          <w:color w:val="000000" w:themeColor="text1"/>
          <w:sz w:val="26"/>
          <w:szCs w:val="26"/>
          <w:lang w:eastAsia="ro-RO"/>
        </w:rPr>
        <w:t>–</w:t>
      </w:r>
      <w:r w:rsidR="009C6962" w:rsidRPr="004A72CD">
        <w:rPr>
          <w:rFonts w:asciiTheme="minorHAnsi" w:hAnsiTheme="minorHAnsi" w:cstheme="minorHAnsi"/>
          <w:color w:val="000000" w:themeColor="text1"/>
          <w:sz w:val="26"/>
          <w:szCs w:val="26"/>
          <w:lang w:eastAsia="ro-RO"/>
        </w:rPr>
        <w:t xml:space="preserve"> </w:t>
      </w:r>
      <w:r w:rsidRPr="004A72CD">
        <w:rPr>
          <w:rFonts w:asciiTheme="minorHAnsi" w:hAnsiTheme="minorHAnsi" w:cstheme="minorHAnsi"/>
          <w:color w:val="000000" w:themeColor="text1"/>
          <w:sz w:val="26"/>
          <w:szCs w:val="26"/>
          <w:lang w:eastAsia="ro-RO"/>
        </w:rPr>
        <w:t>9</w:t>
      </w:r>
      <w:r w:rsidR="00305514" w:rsidRPr="004A72CD">
        <w:rPr>
          <w:rFonts w:asciiTheme="minorHAnsi" w:hAnsiTheme="minorHAnsi" w:cstheme="minorHAnsi"/>
          <w:color w:val="000000" w:themeColor="text1"/>
          <w:sz w:val="26"/>
          <w:szCs w:val="26"/>
          <w:lang w:eastAsia="ro-RO"/>
        </w:rPr>
        <w:t>.10.</w:t>
      </w:r>
      <w:r w:rsidRPr="004A72CD">
        <w:rPr>
          <w:rFonts w:asciiTheme="minorHAnsi" w:hAnsiTheme="minorHAnsi" w:cstheme="minorHAnsi"/>
          <w:color w:val="000000" w:themeColor="text1"/>
          <w:sz w:val="26"/>
          <w:szCs w:val="26"/>
          <w:lang w:eastAsia="ro-RO"/>
        </w:rPr>
        <w:t xml:space="preserve">2024, </w:t>
      </w:r>
      <w:r w:rsidRPr="004A72CD">
        <w:rPr>
          <w:rFonts w:asciiTheme="minorHAnsi" w:hAnsiTheme="minorHAnsi" w:cstheme="minorHAnsi"/>
          <w:sz w:val="26"/>
          <w:szCs w:val="26"/>
          <w:lang w:eastAsia="ro-RO"/>
        </w:rPr>
        <w:t xml:space="preserve">workshop-ul cu tema </w:t>
      </w:r>
      <w:r w:rsidRPr="004A72CD">
        <w:rPr>
          <w:rFonts w:asciiTheme="minorHAnsi" w:hAnsiTheme="minorHAnsi" w:cstheme="minorHAnsi"/>
          <w:i/>
          <w:iCs/>
          <w:sz w:val="26"/>
          <w:szCs w:val="26"/>
          <w:lang w:eastAsia="ro-RO"/>
        </w:rPr>
        <w:t>„</w:t>
      </w:r>
      <w:r w:rsidRPr="004A72CD">
        <w:rPr>
          <w:rFonts w:asciiTheme="minorHAnsi" w:hAnsiTheme="minorHAnsi" w:cstheme="minorHAnsi"/>
          <w:sz w:val="26"/>
          <w:szCs w:val="26"/>
          <w:lang w:eastAsia="ro-RO"/>
        </w:rPr>
        <w:t>Legislația europeană şi românească privind protecția naturii</w:t>
      </w:r>
      <w:r w:rsidRPr="004A72CD">
        <w:rPr>
          <w:rFonts w:asciiTheme="minorHAnsi" w:hAnsiTheme="minorHAnsi" w:cstheme="minorHAnsi"/>
          <w:i/>
          <w:iCs/>
          <w:sz w:val="26"/>
          <w:szCs w:val="26"/>
          <w:lang w:eastAsia="ro-RO"/>
        </w:rPr>
        <w:t>”</w:t>
      </w:r>
      <w:r w:rsidRPr="004A72CD">
        <w:rPr>
          <w:rFonts w:asciiTheme="minorHAnsi" w:hAnsiTheme="minorHAnsi" w:cstheme="minorHAnsi"/>
          <w:sz w:val="26"/>
          <w:szCs w:val="26"/>
          <w:lang w:eastAsia="ro-RO"/>
        </w:rPr>
        <w:t>, organizat în cadrul Programului „Cooperare cu judecătorii naționali în domeniul dreptului mediului”, finanțat de Uniunea Europeană şi implementat de E</w:t>
      </w:r>
      <w:r w:rsidR="00295AED" w:rsidRPr="004A72CD">
        <w:rPr>
          <w:rFonts w:asciiTheme="minorHAnsi" w:hAnsiTheme="minorHAnsi" w:cstheme="minorHAnsi"/>
          <w:sz w:val="26"/>
          <w:szCs w:val="26"/>
          <w:lang w:eastAsia="ro-RO"/>
        </w:rPr>
        <w:t>.</w:t>
      </w:r>
      <w:r w:rsidRPr="004A72CD">
        <w:rPr>
          <w:rFonts w:asciiTheme="minorHAnsi" w:hAnsiTheme="minorHAnsi" w:cstheme="minorHAnsi"/>
          <w:sz w:val="26"/>
          <w:szCs w:val="26"/>
          <w:lang w:eastAsia="ro-RO"/>
        </w:rPr>
        <w:t>R</w:t>
      </w:r>
      <w:r w:rsidR="00295AED" w:rsidRPr="004A72CD">
        <w:rPr>
          <w:rFonts w:asciiTheme="minorHAnsi" w:hAnsiTheme="minorHAnsi" w:cstheme="minorHAnsi"/>
          <w:sz w:val="26"/>
          <w:szCs w:val="26"/>
          <w:lang w:eastAsia="ro-RO"/>
        </w:rPr>
        <w:t>.</w:t>
      </w:r>
      <w:r w:rsidRPr="004A72CD">
        <w:rPr>
          <w:rFonts w:asciiTheme="minorHAnsi" w:hAnsiTheme="minorHAnsi" w:cstheme="minorHAnsi"/>
          <w:sz w:val="26"/>
          <w:szCs w:val="26"/>
          <w:lang w:eastAsia="ro-RO"/>
        </w:rPr>
        <w:t>A</w:t>
      </w:r>
      <w:r w:rsidR="00295AED" w:rsidRPr="004A72CD">
        <w:rPr>
          <w:rFonts w:asciiTheme="minorHAnsi" w:hAnsiTheme="minorHAnsi" w:cstheme="minorHAnsi"/>
          <w:sz w:val="26"/>
          <w:szCs w:val="26"/>
          <w:lang w:eastAsia="ro-RO"/>
        </w:rPr>
        <w:t>.</w:t>
      </w:r>
      <w:r w:rsidRPr="004A72CD">
        <w:rPr>
          <w:rFonts w:asciiTheme="minorHAnsi" w:hAnsiTheme="minorHAnsi" w:cstheme="minorHAnsi"/>
          <w:sz w:val="26"/>
          <w:szCs w:val="26"/>
          <w:lang w:eastAsia="ro-RO"/>
        </w:rPr>
        <w:t>, activitate la care au participat 26 de judecători şi procurori români.</w:t>
      </w:r>
    </w:p>
    <w:p w14:paraId="73A3A2A5" w14:textId="1EFDD4F8" w:rsidR="0076177A" w:rsidRPr="004A72CD" w:rsidRDefault="0076177A" w:rsidP="00D51F5A">
      <w:pPr>
        <w:spacing w:line="276" w:lineRule="auto"/>
        <w:ind w:firstLine="720"/>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De asemenea, Institutul a fost implicat, în calitate de partener asociat, în selecția judecătorilor şi procurorilor la o serie de activități de formare organizate de E</w:t>
      </w:r>
      <w:r w:rsidR="00295AE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R</w:t>
      </w:r>
      <w:r w:rsidR="00295AE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A</w:t>
      </w:r>
      <w:r w:rsidR="00295AE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xml:space="preserve"> în cadrul unor proiecte cu finanţare europeană, în domeniul dreptului Uniunii Europene, combaterii discriminării, egalității de gen şi dreptului european al mediului, în diseminarea informațiilor referitoare la oportunități de formare în cadrul altor proiecte derulate de E</w:t>
      </w:r>
      <w:r w:rsidR="00295AE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R</w:t>
      </w:r>
      <w:r w:rsidR="00295AE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A</w:t>
      </w:r>
      <w:r w:rsidR="00295AE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xml:space="preserve">, precum şi de resurse online de formare accesibile în mod gratuit membrilor sistemului judiciar.  </w:t>
      </w:r>
    </w:p>
    <w:p w14:paraId="67A3871B" w14:textId="7BB5593D" w:rsidR="0076177A" w:rsidRPr="004A72CD" w:rsidRDefault="0076177A" w:rsidP="00D51F5A">
      <w:pPr>
        <w:spacing w:line="276" w:lineRule="auto"/>
        <w:ind w:firstLine="720"/>
        <w:jc w:val="both"/>
        <w:rPr>
          <w:rFonts w:asciiTheme="minorHAnsi" w:hAnsiTheme="minorHAnsi" w:cstheme="minorHAnsi"/>
          <w:color w:val="000000" w:themeColor="text1"/>
          <w:sz w:val="26"/>
          <w:szCs w:val="26"/>
        </w:rPr>
      </w:pPr>
      <w:r w:rsidRPr="004A72CD">
        <w:rPr>
          <w:rFonts w:asciiTheme="minorHAnsi" w:eastAsia="Calibri" w:hAnsiTheme="minorHAnsi" w:cstheme="minorHAnsi"/>
          <w:color w:val="000000" w:themeColor="text1"/>
          <w:sz w:val="26"/>
          <w:szCs w:val="26"/>
        </w:rPr>
        <w:t xml:space="preserve">În total, în </w:t>
      </w:r>
      <w:r w:rsidR="003249B7">
        <w:rPr>
          <w:rFonts w:asciiTheme="minorHAnsi" w:eastAsia="Calibri" w:hAnsiTheme="minorHAnsi" w:cstheme="minorHAnsi"/>
          <w:color w:val="000000" w:themeColor="text1"/>
          <w:sz w:val="26"/>
          <w:szCs w:val="26"/>
        </w:rPr>
        <w:t>anul 2024</w:t>
      </w:r>
      <w:r w:rsidRPr="004A72CD">
        <w:rPr>
          <w:rFonts w:asciiTheme="minorHAnsi" w:eastAsia="Calibri" w:hAnsiTheme="minorHAnsi" w:cstheme="minorHAnsi"/>
          <w:color w:val="000000" w:themeColor="text1"/>
          <w:sz w:val="26"/>
          <w:szCs w:val="26"/>
        </w:rPr>
        <w:t xml:space="preserve"> au fost înregistrate </w:t>
      </w:r>
      <w:r w:rsidR="00EA3B19">
        <w:rPr>
          <w:rFonts w:asciiTheme="minorHAnsi" w:eastAsia="Calibri" w:hAnsiTheme="minorHAnsi" w:cstheme="minorHAnsi"/>
          <w:color w:val="000000" w:themeColor="text1"/>
          <w:sz w:val="26"/>
          <w:szCs w:val="26"/>
        </w:rPr>
        <w:t>53</w:t>
      </w:r>
      <w:r w:rsidRPr="004A72CD">
        <w:rPr>
          <w:rFonts w:asciiTheme="minorHAnsi" w:eastAsia="Calibri" w:hAnsiTheme="minorHAnsi" w:cstheme="minorHAnsi"/>
          <w:color w:val="000000" w:themeColor="text1"/>
          <w:sz w:val="26"/>
          <w:szCs w:val="26"/>
        </w:rPr>
        <w:t xml:space="preserve"> de participări ale magistraților români la activități de formare organizate de E</w:t>
      </w:r>
      <w:r w:rsidR="00295AED" w:rsidRPr="004A72CD">
        <w:rPr>
          <w:rFonts w:asciiTheme="minorHAnsi" w:eastAsia="Calibri" w:hAnsiTheme="minorHAnsi" w:cstheme="minorHAnsi"/>
          <w:color w:val="000000" w:themeColor="text1"/>
          <w:sz w:val="26"/>
          <w:szCs w:val="26"/>
        </w:rPr>
        <w:t>.</w:t>
      </w:r>
      <w:r w:rsidRPr="004A72CD">
        <w:rPr>
          <w:rFonts w:asciiTheme="minorHAnsi" w:eastAsia="Calibri" w:hAnsiTheme="minorHAnsi" w:cstheme="minorHAnsi"/>
          <w:color w:val="000000" w:themeColor="text1"/>
          <w:sz w:val="26"/>
          <w:szCs w:val="26"/>
        </w:rPr>
        <w:t>R</w:t>
      </w:r>
      <w:r w:rsidR="00295AED" w:rsidRPr="004A72CD">
        <w:rPr>
          <w:rFonts w:asciiTheme="minorHAnsi" w:eastAsia="Calibri" w:hAnsiTheme="minorHAnsi" w:cstheme="minorHAnsi"/>
          <w:color w:val="000000" w:themeColor="text1"/>
          <w:sz w:val="26"/>
          <w:szCs w:val="26"/>
        </w:rPr>
        <w:t>.</w:t>
      </w:r>
      <w:r w:rsidRPr="004A72CD">
        <w:rPr>
          <w:rFonts w:asciiTheme="minorHAnsi" w:eastAsia="Calibri" w:hAnsiTheme="minorHAnsi" w:cstheme="minorHAnsi"/>
          <w:color w:val="000000" w:themeColor="text1"/>
          <w:sz w:val="26"/>
          <w:szCs w:val="26"/>
        </w:rPr>
        <w:t>A</w:t>
      </w:r>
      <w:r w:rsidR="00295AED" w:rsidRPr="004A72CD">
        <w:rPr>
          <w:rFonts w:asciiTheme="minorHAnsi" w:eastAsia="Calibri" w:hAnsiTheme="minorHAnsi" w:cstheme="minorHAnsi"/>
          <w:color w:val="000000" w:themeColor="text1"/>
          <w:sz w:val="26"/>
          <w:szCs w:val="26"/>
        </w:rPr>
        <w:t>.</w:t>
      </w:r>
      <w:r w:rsidRPr="004A72CD">
        <w:rPr>
          <w:rFonts w:asciiTheme="minorHAnsi" w:eastAsia="Calibri" w:hAnsiTheme="minorHAnsi" w:cstheme="minorHAnsi"/>
          <w:color w:val="000000" w:themeColor="text1"/>
          <w:sz w:val="26"/>
          <w:szCs w:val="26"/>
        </w:rPr>
        <w:t>, la București, Trier sau în statele partenere.</w:t>
      </w:r>
    </w:p>
    <w:p w14:paraId="466515D2" w14:textId="77777777" w:rsidR="0076177A" w:rsidRPr="004A72CD" w:rsidRDefault="0076177A" w:rsidP="00D51F5A">
      <w:pPr>
        <w:numPr>
          <w:ilvl w:val="0"/>
          <w:numId w:val="3"/>
        </w:numPr>
        <w:tabs>
          <w:tab w:val="left" w:pos="360"/>
        </w:tabs>
        <w:spacing w:line="276" w:lineRule="auto"/>
        <w:ind w:right="43"/>
        <w:contextualSpacing/>
        <w:jc w:val="both"/>
        <w:rPr>
          <w:rFonts w:asciiTheme="minorHAnsi" w:eastAsia="Calibri" w:hAnsiTheme="minorHAnsi" w:cstheme="minorHAnsi"/>
          <w:b/>
          <w:color w:val="000000" w:themeColor="text1"/>
          <w:sz w:val="26"/>
          <w:szCs w:val="26"/>
        </w:rPr>
      </w:pPr>
      <w:bookmarkStart w:id="50" w:name="_Hlk180141219"/>
      <w:r w:rsidRPr="004A72CD">
        <w:rPr>
          <w:rFonts w:asciiTheme="minorHAnsi" w:eastAsia="Calibri" w:hAnsiTheme="minorHAnsi" w:cstheme="minorHAnsi"/>
          <w:b/>
          <w:color w:val="000000" w:themeColor="text1"/>
          <w:sz w:val="26"/>
          <w:szCs w:val="26"/>
        </w:rPr>
        <w:t>Cooperarea cu Programul HELP al Consiliului Europei</w:t>
      </w:r>
    </w:p>
    <w:p w14:paraId="5AE84EFE" w14:textId="77777777" w:rsidR="00A42F8A" w:rsidRPr="00AB5623" w:rsidRDefault="0076177A" w:rsidP="00A42F8A">
      <w:pPr>
        <w:spacing w:line="276" w:lineRule="auto"/>
        <w:ind w:firstLine="708"/>
        <w:jc w:val="both"/>
        <w:rPr>
          <w:rFonts w:asciiTheme="minorHAnsi" w:hAnsiTheme="minorHAnsi" w:cstheme="minorHAnsi"/>
          <w:sz w:val="26"/>
          <w:szCs w:val="26"/>
        </w:rPr>
      </w:pPr>
      <w:r w:rsidRPr="004A72CD">
        <w:rPr>
          <w:rFonts w:asciiTheme="minorHAnsi" w:hAnsiTheme="minorHAnsi" w:cstheme="minorHAnsi"/>
          <w:color w:val="000000" w:themeColor="text1"/>
          <w:sz w:val="26"/>
          <w:szCs w:val="26"/>
        </w:rPr>
        <w:lastRenderedPageBreak/>
        <w:t>În cadrul cooperării cu Programul Consiliului Europei (CoE) pentru formarea juriștilor în domeniul drepturilor omului (HELP), I</w:t>
      </w:r>
      <w:r w:rsidR="00295AE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N</w:t>
      </w:r>
      <w:r w:rsidR="00295AE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M</w:t>
      </w:r>
      <w:r w:rsidR="00295AE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xml:space="preserve"> a continuat să faciliteze participarea magistraților români la cursurile dezvoltate de HELP, precum şi formarea formatorilor I</w:t>
      </w:r>
      <w:r w:rsidR="00295AE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N</w:t>
      </w:r>
      <w:r w:rsidR="00295AE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M</w:t>
      </w:r>
      <w:r w:rsidR="00295AE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xml:space="preserve"> ca tutori HELP.</w:t>
      </w:r>
      <w:r w:rsidRPr="004A72CD">
        <w:rPr>
          <w:rFonts w:asciiTheme="minorHAnsi" w:hAnsiTheme="minorHAnsi" w:cstheme="minorHAnsi"/>
          <w:sz w:val="26"/>
          <w:szCs w:val="26"/>
        </w:rPr>
        <w:t xml:space="preserve"> În acest context, în perioada 17-18</w:t>
      </w:r>
      <w:r w:rsidR="00295AED" w:rsidRPr="004A72CD">
        <w:rPr>
          <w:rFonts w:asciiTheme="minorHAnsi" w:hAnsiTheme="minorHAnsi" w:cstheme="minorHAnsi"/>
          <w:sz w:val="26"/>
          <w:szCs w:val="26"/>
        </w:rPr>
        <w:t>.06.</w:t>
      </w:r>
      <w:r w:rsidRPr="004A72CD">
        <w:rPr>
          <w:rFonts w:asciiTheme="minorHAnsi" w:hAnsiTheme="minorHAnsi" w:cstheme="minorHAnsi"/>
          <w:sz w:val="26"/>
          <w:szCs w:val="26"/>
        </w:rPr>
        <w:t>2024, în parteneriat cu Programul HELP, I</w:t>
      </w:r>
      <w:r w:rsidR="00295AED" w:rsidRPr="004A72CD">
        <w:rPr>
          <w:rFonts w:asciiTheme="minorHAnsi" w:hAnsiTheme="minorHAnsi" w:cstheme="minorHAnsi"/>
          <w:sz w:val="26"/>
          <w:szCs w:val="26"/>
        </w:rPr>
        <w:t>.</w:t>
      </w:r>
      <w:r w:rsidRPr="004A72CD">
        <w:rPr>
          <w:rFonts w:asciiTheme="minorHAnsi" w:hAnsiTheme="minorHAnsi" w:cstheme="minorHAnsi"/>
          <w:sz w:val="26"/>
          <w:szCs w:val="26"/>
        </w:rPr>
        <w:t>N</w:t>
      </w:r>
      <w:r w:rsidR="00295AED" w:rsidRPr="004A72CD">
        <w:rPr>
          <w:rFonts w:asciiTheme="minorHAnsi" w:hAnsiTheme="minorHAnsi" w:cstheme="minorHAnsi"/>
          <w:sz w:val="26"/>
          <w:szCs w:val="26"/>
        </w:rPr>
        <w:t>.</w:t>
      </w:r>
      <w:r w:rsidRPr="004A72CD">
        <w:rPr>
          <w:rFonts w:asciiTheme="minorHAnsi" w:hAnsiTheme="minorHAnsi" w:cstheme="minorHAnsi"/>
          <w:sz w:val="26"/>
          <w:szCs w:val="26"/>
        </w:rPr>
        <w:t>M</w:t>
      </w:r>
      <w:r w:rsidR="00295AED" w:rsidRPr="004A72CD">
        <w:rPr>
          <w:rFonts w:asciiTheme="minorHAnsi" w:hAnsiTheme="minorHAnsi" w:cstheme="minorHAnsi"/>
          <w:sz w:val="26"/>
          <w:szCs w:val="26"/>
        </w:rPr>
        <w:t>.</w:t>
      </w:r>
      <w:r w:rsidRPr="004A72CD">
        <w:rPr>
          <w:rFonts w:asciiTheme="minorHAnsi" w:hAnsiTheme="minorHAnsi" w:cstheme="minorHAnsi"/>
          <w:sz w:val="26"/>
          <w:szCs w:val="26"/>
        </w:rPr>
        <w:t xml:space="preserve"> a organizat evenimente de lansare a două cursuri traduse în limba română şi adaptate contextului național: „Interacțiunea dintre Convenția Europeană a Drepturilor Omului și Carta Drepturilor Fundamentale a Uniunii Europene”, respectiv „Motivarea deciziilor judiciare și drepturile omului”. </w:t>
      </w:r>
      <w:bookmarkStart w:id="51" w:name="_Hlk178932818"/>
      <w:r w:rsidR="00A42F8A" w:rsidRPr="00AB5623">
        <w:rPr>
          <w:rFonts w:asciiTheme="minorHAnsi" w:hAnsiTheme="minorHAnsi" w:cstheme="minorHAnsi"/>
          <w:sz w:val="26"/>
          <w:szCs w:val="26"/>
        </w:rPr>
        <w:t xml:space="preserve">Dintre participanţii înscrişi la primul curs, 27 au finalizat cu succes toate modulele.  </w:t>
      </w:r>
      <w:r w:rsidRPr="004A72CD">
        <w:rPr>
          <w:rFonts w:asciiTheme="minorHAnsi" w:hAnsiTheme="minorHAnsi" w:cstheme="minorHAnsi"/>
          <w:sz w:val="26"/>
          <w:szCs w:val="26"/>
        </w:rPr>
        <w:t>Cel de-al doilea curs a fost deschis participării magistraților numiți în baza art. 63 din Legea nr. 303/2022</w:t>
      </w:r>
      <w:r w:rsidR="0042093D" w:rsidRPr="004A72CD">
        <w:rPr>
          <w:rFonts w:asciiTheme="minorHAnsi" w:hAnsiTheme="minorHAnsi" w:cstheme="minorHAnsi"/>
          <w:sz w:val="26"/>
          <w:szCs w:val="26"/>
        </w:rPr>
        <w:t xml:space="preserve"> privind statutul judecătorilor și procurorilor</w:t>
      </w:r>
      <w:r w:rsidRPr="004A72CD">
        <w:rPr>
          <w:rFonts w:asciiTheme="minorHAnsi" w:hAnsiTheme="minorHAnsi" w:cstheme="minorHAnsi"/>
          <w:sz w:val="26"/>
          <w:szCs w:val="26"/>
        </w:rPr>
        <w:t>, ca parte a programului de formare, şi a înregistrat 262 de înscrieri din partea judecătorilor şi procurori</w:t>
      </w:r>
      <w:bookmarkEnd w:id="51"/>
      <w:r w:rsidRPr="004A72CD">
        <w:rPr>
          <w:rFonts w:asciiTheme="minorHAnsi" w:hAnsiTheme="minorHAnsi" w:cstheme="minorHAnsi"/>
          <w:sz w:val="26"/>
          <w:szCs w:val="26"/>
        </w:rPr>
        <w:t xml:space="preserve">lor, 230 dintre aceștia parcurgând cu succes toate modulele. Cursurile au fost tutorate de formatori cu normă întreagă ai Institutului. </w:t>
      </w:r>
      <w:r w:rsidR="00A42F8A" w:rsidRPr="00AB5623">
        <w:rPr>
          <w:rFonts w:asciiTheme="minorHAnsi" w:hAnsiTheme="minorHAnsi" w:cstheme="minorHAnsi"/>
          <w:sz w:val="26"/>
          <w:szCs w:val="26"/>
        </w:rPr>
        <w:t>În data de 26 noiembrie 2024, INM a organizat evenimentul de lansare națională a cursului HELP „Sănătatea mintală şi drepturile omului”. Cursul a fost dezvoltat în anul 2024 în cadrul Proiectului „Protecția drepturilor omului în biomedicină I” şi urmărește formarea profesioniștilor din domeniul juridic și din sănătate în protecția drepturilor persoanelor cu probleme de sănătate mintală. La eveniment au participat 25  de magistraţi şi auditori de justiţie, care vor urma cursul sub îndrumarea tutorilor HELP.</w:t>
      </w:r>
    </w:p>
    <w:p w14:paraId="1D2B3E2B" w14:textId="77777777" w:rsidR="00A42F8A" w:rsidRPr="00810821" w:rsidRDefault="00A42F8A" w:rsidP="00A42F8A">
      <w:pPr>
        <w:spacing w:line="276" w:lineRule="auto"/>
        <w:ind w:firstLine="708"/>
        <w:jc w:val="both"/>
        <w:rPr>
          <w:rFonts w:asciiTheme="minorHAnsi" w:hAnsiTheme="minorHAnsi" w:cstheme="minorHAnsi"/>
          <w:color w:val="FF0000"/>
          <w:sz w:val="26"/>
          <w:szCs w:val="26"/>
        </w:rPr>
      </w:pPr>
      <w:r w:rsidRPr="004A72CD">
        <w:rPr>
          <w:rFonts w:asciiTheme="minorHAnsi" w:hAnsiTheme="minorHAnsi" w:cstheme="minorHAnsi"/>
          <w:sz w:val="26"/>
          <w:szCs w:val="26"/>
        </w:rPr>
        <w:t xml:space="preserve">De asemenea, I.N.M. a facilitat participarea unui formator cu normă întreagă al Institutului la o sesiune de formare a </w:t>
      </w:r>
      <w:r w:rsidRPr="00AB5623">
        <w:rPr>
          <w:rFonts w:asciiTheme="minorHAnsi" w:hAnsiTheme="minorHAnsi" w:cstheme="minorHAnsi"/>
          <w:sz w:val="26"/>
          <w:szCs w:val="26"/>
        </w:rPr>
        <w:t>tutorilor HELP</w:t>
      </w:r>
      <w:r w:rsidRPr="004A72CD">
        <w:rPr>
          <w:rFonts w:asciiTheme="minorHAnsi" w:hAnsiTheme="minorHAnsi" w:cstheme="minorHAnsi"/>
          <w:sz w:val="26"/>
          <w:szCs w:val="26"/>
        </w:rPr>
        <w:t>, desfășurată la Strasbourg, în perioada 9 – 10.09.</w:t>
      </w:r>
      <w:r>
        <w:rPr>
          <w:rFonts w:asciiTheme="minorHAnsi" w:hAnsiTheme="minorHAnsi" w:cstheme="minorHAnsi"/>
          <w:sz w:val="26"/>
          <w:szCs w:val="26"/>
        </w:rPr>
        <w:t>2024,</w:t>
      </w:r>
      <w:r w:rsidRPr="00810821">
        <w:rPr>
          <w:rFonts w:asciiTheme="minorHAnsi" w:hAnsiTheme="minorHAnsi" w:cstheme="minorHAnsi"/>
          <w:sz w:val="26"/>
          <w:szCs w:val="26"/>
          <w:highlight w:val="yellow"/>
        </w:rPr>
        <w:t xml:space="preserve"> </w:t>
      </w:r>
      <w:r w:rsidRPr="00AB5623">
        <w:rPr>
          <w:rFonts w:asciiTheme="minorHAnsi" w:hAnsiTheme="minorHAnsi" w:cstheme="minorHAnsi"/>
          <w:sz w:val="26"/>
          <w:szCs w:val="26"/>
        </w:rPr>
        <w:t>precum şi participarea aceluiaşi formator şi a unui magistrat la evenimentul de lansare a cursului „</w:t>
      </w:r>
      <w:hyperlink r:id="rId15" w:tgtFrame="_blank" w:history="1">
        <w:r w:rsidRPr="00AB5623">
          <w:rPr>
            <w:rFonts w:asciiTheme="minorHAnsi" w:hAnsiTheme="minorHAnsi" w:cstheme="minorHAnsi"/>
            <w:sz w:val="26"/>
            <w:szCs w:val="26"/>
            <w:bdr w:val="none" w:sz="0" w:space="0" w:color="auto" w:frame="1"/>
            <w:shd w:val="clear" w:color="auto" w:fill="FFFFFF"/>
          </w:rPr>
          <w:t>Judges Upholding the Rule of Law”,</w:t>
        </w:r>
      </w:hyperlink>
      <w:r w:rsidRPr="00AB5623">
        <w:rPr>
          <w:rFonts w:asciiTheme="minorHAnsi" w:hAnsiTheme="minorHAnsi" w:cstheme="minorHAnsi"/>
          <w:sz w:val="26"/>
          <w:szCs w:val="26"/>
        </w:rPr>
        <w:t xml:space="preserve"> dezvoltat de HELP în colaborare cu E.J.T.N., organizat în perioada 17-18 decembrie 2024, şi a diseminat informații referitoare la portofoliul de cursuri HELP, precum şi la evenimente de lansare transnaționale a cursurilor dezvoltate în domeniul medierii, combaterii traficului de ființe umane şi statului de drept, la care au participat 2 magistraţi.</w:t>
      </w:r>
    </w:p>
    <w:p w14:paraId="46AF37E4" w14:textId="1EFCAD92" w:rsidR="0076177A" w:rsidRPr="004A72CD" w:rsidRDefault="0076177A" w:rsidP="00A42F8A">
      <w:pPr>
        <w:spacing w:line="276" w:lineRule="auto"/>
        <w:ind w:firstLine="708"/>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În calitate de membru al Rețelei, I</w:t>
      </w:r>
      <w:r w:rsidR="00D17479"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N</w:t>
      </w:r>
      <w:r w:rsidR="00D17479"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M</w:t>
      </w:r>
      <w:r w:rsidR="00D17479"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xml:space="preserve"> a fost reprezentat la Conferința anuală a Rețelei HELP, organizată la Strasbourg, în perioada </w:t>
      </w:r>
      <w:r w:rsidR="00855C89" w:rsidRPr="004A72CD">
        <w:rPr>
          <w:rFonts w:asciiTheme="minorHAnsi" w:hAnsiTheme="minorHAnsi" w:cstheme="minorHAnsi"/>
          <w:color w:val="000000" w:themeColor="text1"/>
          <w:sz w:val="26"/>
          <w:szCs w:val="26"/>
        </w:rPr>
        <w:t>0</w:t>
      </w:r>
      <w:r w:rsidRPr="004A72CD">
        <w:rPr>
          <w:rFonts w:asciiTheme="minorHAnsi" w:hAnsiTheme="minorHAnsi" w:cstheme="minorHAnsi"/>
          <w:color w:val="000000" w:themeColor="text1"/>
          <w:sz w:val="26"/>
          <w:szCs w:val="26"/>
        </w:rPr>
        <w:t>4-</w:t>
      </w:r>
      <w:r w:rsidR="00855C89" w:rsidRPr="004A72CD">
        <w:rPr>
          <w:rFonts w:asciiTheme="minorHAnsi" w:hAnsiTheme="minorHAnsi" w:cstheme="minorHAnsi"/>
          <w:color w:val="000000" w:themeColor="text1"/>
          <w:sz w:val="26"/>
          <w:szCs w:val="26"/>
        </w:rPr>
        <w:t>0</w:t>
      </w:r>
      <w:r w:rsidRPr="004A72CD">
        <w:rPr>
          <w:rFonts w:asciiTheme="minorHAnsi" w:hAnsiTheme="minorHAnsi" w:cstheme="minorHAnsi"/>
          <w:color w:val="000000" w:themeColor="text1"/>
          <w:sz w:val="26"/>
          <w:szCs w:val="26"/>
        </w:rPr>
        <w:t>5</w:t>
      </w:r>
      <w:r w:rsidR="00D17479" w:rsidRPr="004A72CD">
        <w:rPr>
          <w:rFonts w:asciiTheme="minorHAnsi" w:hAnsiTheme="minorHAnsi" w:cstheme="minorHAnsi"/>
          <w:color w:val="000000" w:themeColor="text1"/>
          <w:sz w:val="26"/>
          <w:szCs w:val="26"/>
        </w:rPr>
        <w:t>.07.</w:t>
      </w:r>
      <w:r w:rsidRPr="004A72CD">
        <w:rPr>
          <w:rFonts w:asciiTheme="minorHAnsi" w:hAnsiTheme="minorHAnsi" w:cstheme="minorHAnsi"/>
          <w:color w:val="000000" w:themeColor="text1"/>
          <w:sz w:val="26"/>
          <w:szCs w:val="26"/>
        </w:rPr>
        <w:t xml:space="preserve">2024, precum şi la reuniunea Consiliului Consultativ HELP, desfășurată în format online, în data de 30 septembrie 2024. </w:t>
      </w:r>
    </w:p>
    <w:bookmarkEnd w:id="50"/>
    <w:p w14:paraId="58428DD1" w14:textId="77777777" w:rsidR="0076177A" w:rsidRPr="004A72CD" w:rsidRDefault="0076177A" w:rsidP="00D51F5A">
      <w:pPr>
        <w:numPr>
          <w:ilvl w:val="0"/>
          <w:numId w:val="3"/>
        </w:numPr>
        <w:tabs>
          <w:tab w:val="left" w:pos="360"/>
        </w:tabs>
        <w:spacing w:line="276" w:lineRule="auto"/>
        <w:ind w:right="43"/>
        <w:contextualSpacing/>
        <w:jc w:val="both"/>
        <w:rPr>
          <w:rFonts w:asciiTheme="minorHAnsi" w:eastAsia="Calibri" w:hAnsiTheme="minorHAnsi" w:cstheme="minorHAnsi"/>
          <w:b/>
          <w:color w:val="000000" w:themeColor="text1"/>
          <w:sz w:val="26"/>
          <w:szCs w:val="26"/>
        </w:rPr>
      </w:pPr>
      <w:r w:rsidRPr="004A72CD">
        <w:rPr>
          <w:rFonts w:asciiTheme="minorHAnsi" w:eastAsia="Calibri" w:hAnsiTheme="minorHAnsi" w:cstheme="minorHAnsi"/>
          <w:b/>
          <w:color w:val="000000" w:themeColor="text1"/>
          <w:sz w:val="26"/>
          <w:szCs w:val="26"/>
        </w:rPr>
        <w:t>Alte activități de formare internaționale</w:t>
      </w:r>
    </w:p>
    <w:p w14:paraId="2D303F80" w14:textId="67E0E042" w:rsidR="0076177A" w:rsidRPr="004A72CD" w:rsidRDefault="0076177A" w:rsidP="00D51F5A">
      <w:pPr>
        <w:spacing w:line="276" w:lineRule="auto"/>
        <w:ind w:firstLine="708"/>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În cadrul relațiilor stabilite cu instituții de formare și parteneri internaționali, I</w:t>
      </w:r>
      <w:r w:rsidR="00D17479"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N</w:t>
      </w:r>
      <w:r w:rsidR="00D17479"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M</w:t>
      </w:r>
      <w:r w:rsidR="00D17479"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xml:space="preserve"> a participat la reuniuni, a derulat proceduri de selecție a participanților și a diseminat informații privind programe și activități de formare organizate de</w:t>
      </w:r>
      <w:r w:rsidR="009C6962" w:rsidRPr="004A72CD">
        <w:rPr>
          <w:rFonts w:asciiTheme="minorHAnsi" w:hAnsiTheme="minorHAnsi" w:cstheme="minorHAnsi"/>
          <w:color w:val="000000" w:themeColor="text1"/>
          <w:sz w:val="26"/>
          <w:szCs w:val="26"/>
        </w:rPr>
        <w:t xml:space="preserve"> </w:t>
      </w:r>
      <w:r w:rsidRPr="004A72CD">
        <w:rPr>
          <w:rFonts w:asciiTheme="minorHAnsi" w:hAnsiTheme="minorHAnsi" w:cstheme="minorHAnsi"/>
          <w:color w:val="000000" w:themeColor="text1"/>
          <w:sz w:val="26"/>
          <w:szCs w:val="26"/>
        </w:rPr>
        <w:t>Școala de Magistratură din Franța (E</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N</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M</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Şcoala Superioară de Magistratură din Italia (S</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S</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M</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Institutul European de Administrație Publică (E</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I</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P</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A</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Academia Internațională de Poliţie de la Budapesta (I</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L</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E</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A</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Agenția Uniunii Europene pentru Formare în Materie de Aplicare a Legii (C</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E</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P</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O</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L</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Proiectul RINSE (Reducing Illicit Seizures and Confiscations in Europe) finanţat de Uniunea Europeană, Institutul C</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E</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E</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L</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I</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Centrul de Cooperare Judiciară al Institutului Universitar European (E</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U</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I</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Oficiul European de Brevete (E</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P</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O</w:t>
      </w:r>
      <w:r w:rsidR="00FF2D3B"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w:t>
      </w:r>
    </w:p>
    <w:p w14:paraId="2F00E92B" w14:textId="4B55B770" w:rsidR="0076177A" w:rsidRPr="0098252F" w:rsidRDefault="0076177A"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color w:val="000000" w:themeColor="text1"/>
          <w:sz w:val="26"/>
          <w:szCs w:val="26"/>
        </w:rPr>
        <w:t xml:space="preserve">În total, la activitățile organizate de diverși parteneri internaţionali au fost înregistrate, în </w:t>
      </w:r>
      <w:r w:rsidR="00AB5623">
        <w:rPr>
          <w:rFonts w:asciiTheme="minorHAnsi" w:hAnsiTheme="minorHAnsi" w:cstheme="minorHAnsi"/>
          <w:color w:val="000000" w:themeColor="text1"/>
          <w:sz w:val="26"/>
          <w:szCs w:val="26"/>
        </w:rPr>
        <w:t>anul 2024</w:t>
      </w:r>
      <w:r w:rsidRPr="004A72CD">
        <w:rPr>
          <w:rFonts w:asciiTheme="minorHAnsi" w:hAnsiTheme="minorHAnsi" w:cstheme="minorHAnsi"/>
          <w:color w:val="000000" w:themeColor="text1"/>
          <w:sz w:val="26"/>
          <w:szCs w:val="26"/>
        </w:rPr>
        <w:t>,</w:t>
      </w:r>
      <w:r w:rsidR="00CE660C" w:rsidRPr="0098252F">
        <w:rPr>
          <w:rFonts w:asciiTheme="minorHAnsi" w:hAnsiTheme="minorHAnsi" w:cstheme="minorHAnsi"/>
          <w:sz w:val="26"/>
          <w:szCs w:val="26"/>
        </w:rPr>
        <w:t xml:space="preserve"> </w:t>
      </w:r>
      <w:r w:rsidR="0079754E">
        <w:rPr>
          <w:rFonts w:asciiTheme="minorHAnsi" w:hAnsiTheme="minorHAnsi" w:cstheme="minorHAnsi"/>
          <w:sz w:val="26"/>
          <w:szCs w:val="26"/>
        </w:rPr>
        <w:t>43</w:t>
      </w:r>
      <w:r w:rsidRPr="0098252F">
        <w:rPr>
          <w:rFonts w:asciiTheme="minorHAnsi" w:hAnsiTheme="minorHAnsi" w:cstheme="minorHAnsi"/>
          <w:sz w:val="26"/>
          <w:szCs w:val="26"/>
        </w:rPr>
        <w:t xml:space="preserve"> de participări din partea magistraților români. </w:t>
      </w:r>
    </w:p>
    <w:p w14:paraId="363B905B" w14:textId="7C8EBCB7" w:rsidR="0076177A" w:rsidRPr="004A72CD" w:rsidRDefault="0076177A" w:rsidP="00D51F5A">
      <w:pPr>
        <w:spacing w:line="276" w:lineRule="auto"/>
        <w:ind w:firstLine="708"/>
        <w:jc w:val="both"/>
        <w:rPr>
          <w:rFonts w:asciiTheme="minorHAnsi" w:hAnsiTheme="minorHAnsi" w:cstheme="minorHAnsi"/>
          <w:sz w:val="26"/>
          <w:szCs w:val="26"/>
        </w:rPr>
      </w:pPr>
      <w:r w:rsidRPr="0098252F">
        <w:rPr>
          <w:rFonts w:asciiTheme="minorHAnsi" w:hAnsiTheme="minorHAnsi" w:cstheme="minorHAnsi"/>
          <w:sz w:val="26"/>
          <w:szCs w:val="26"/>
        </w:rPr>
        <w:t xml:space="preserve">De asemenea, Institutul Naţional al Magistraturii a fost reprezentat, în </w:t>
      </w:r>
      <w:r w:rsidR="0079754E">
        <w:rPr>
          <w:rFonts w:asciiTheme="minorHAnsi" w:hAnsiTheme="minorHAnsi" w:cstheme="minorHAnsi"/>
          <w:sz w:val="26"/>
          <w:szCs w:val="26"/>
        </w:rPr>
        <w:t>anul 2024</w:t>
      </w:r>
      <w:r w:rsidRPr="0098252F">
        <w:rPr>
          <w:rFonts w:asciiTheme="minorHAnsi" w:hAnsiTheme="minorHAnsi" w:cstheme="minorHAnsi"/>
          <w:sz w:val="26"/>
          <w:szCs w:val="26"/>
        </w:rPr>
        <w:t>,</w:t>
      </w:r>
      <w:r w:rsidR="00CE660C" w:rsidRPr="0098252F">
        <w:rPr>
          <w:rFonts w:asciiTheme="minorHAnsi" w:hAnsiTheme="minorHAnsi" w:cstheme="minorHAnsi"/>
          <w:sz w:val="26"/>
          <w:szCs w:val="26"/>
        </w:rPr>
        <w:t xml:space="preserve"> la </w:t>
      </w:r>
      <w:r w:rsidR="0079754E">
        <w:rPr>
          <w:rFonts w:asciiTheme="minorHAnsi" w:hAnsiTheme="minorHAnsi" w:cstheme="minorHAnsi"/>
          <w:sz w:val="26"/>
          <w:szCs w:val="26"/>
        </w:rPr>
        <w:t>următoarele evenimente internaționale</w:t>
      </w:r>
      <w:r w:rsidR="00173F17" w:rsidRPr="004554D5">
        <w:rPr>
          <w:rFonts w:asciiTheme="minorHAnsi" w:hAnsiTheme="minorHAnsi" w:cstheme="minorHAnsi"/>
          <w:sz w:val="26"/>
          <w:szCs w:val="26"/>
        </w:rPr>
        <w:t>:</w:t>
      </w:r>
      <w:r w:rsidR="00173F17">
        <w:rPr>
          <w:rFonts w:asciiTheme="minorHAnsi" w:hAnsiTheme="minorHAnsi" w:cstheme="minorHAnsi"/>
          <w:sz w:val="26"/>
          <w:szCs w:val="26"/>
        </w:rPr>
        <w:t xml:space="preserve"> </w:t>
      </w:r>
      <w:r w:rsidR="00CE660C" w:rsidRPr="0098252F">
        <w:rPr>
          <w:rFonts w:asciiTheme="minorHAnsi" w:hAnsiTheme="minorHAnsi" w:cstheme="minorHAnsi"/>
          <w:sz w:val="26"/>
          <w:szCs w:val="26"/>
        </w:rPr>
        <w:t xml:space="preserve">conferinţa privind relaţia dintre profesiile juridice şi </w:t>
      </w:r>
      <w:r w:rsidR="00CE660C" w:rsidRPr="0098252F">
        <w:rPr>
          <w:rFonts w:asciiTheme="minorHAnsi" w:hAnsiTheme="minorHAnsi" w:cstheme="minorHAnsi"/>
          <w:sz w:val="26"/>
          <w:szCs w:val="26"/>
        </w:rPr>
        <w:lastRenderedPageBreak/>
        <w:t>media, organizată la Sarajevo, în perioada 21 - 22 octombrie 2024</w:t>
      </w:r>
      <w:r w:rsidR="00173F17" w:rsidRPr="004554D5">
        <w:rPr>
          <w:rFonts w:asciiTheme="minorHAnsi" w:hAnsiTheme="minorHAnsi" w:cstheme="minorHAnsi"/>
          <w:sz w:val="26"/>
          <w:szCs w:val="26"/>
        </w:rPr>
        <w:t>;</w:t>
      </w:r>
      <w:r w:rsidRPr="004A72CD">
        <w:rPr>
          <w:rFonts w:asciiTheme="minorHAnsi" w:hAnsiTheme="minorHAnsi" w:cstheme="minorHAnsi"/>
          <w:color w:val="000000" w:themeColor="text1"/>
          <w:sz w:val="26"/>
          <w:szCs w:val="26"/>
        </w:rPr>
        <w:t xml:space="preserve"> reuniuni ale </w:t>
      </w:r>
      <w:r w:rsidRPr="004A72CD">
        <w:rPr>
          <w:rFonts w:asciiTheme="minorHAnsi" w:hAnsiTheme="minorHAnsi" w:cstheme="minorHAnsi"/>
          <w:sz w:val="26"/>
          <w:szCs w:val="26"/>
        </w:rPr>
        <w:t>Grupului de lucru „International Moot Court Event on</w:t>
      </w:r>
      <w:r w:rsidR="009C6962" w:rsidRPr="004A72CD">
        <w:rPr>
          <w:rFonts w:asciiTheme="minorHAnsi" w:hAnsiTheme="minorHAnsi" w:cstheme="minorHAnsi"/>
          <w:sz w:val="26"/>
          <w:szCs w:val="26"/>
        </w:rPr>
        <w:t xml:space="preserve"> </w:t>
      </w:r>
      <w:r w:rsidRPr="004A72CD">
        <w:rPr>
          <w:rFonts w:asciiTheme="minorHAnsi" w:hAnsiTheme="minorHAnsi" w:cstheme="minorHAnsi"/>
          <w:sz w:val="26"/>
          <w:szCs w:val="26"/>
        </w:rPr>
        <w:t xml:space="preserve">Anti-Money Laundering”, organizate de </w:t>
      </w:r>
      <w:r w:rsidRPr="004A72CD">
        <w:rPr>
          <w:rFonts w:asciiTheme="minorHAnsi" w:hAnsiTheme="minorHAnsi" w:cstheme="minorHAnsi"/>
          <w:color w:val="000000"/>
          <w:kern w:val="36"/>
          <w:sz w:val="26"/>
          <w:szCs w:val="26"/>
        </w:rPr>
        <w:t>Institutul Internațional de Justiție Penală și Drepturile Omului din Siracuza</w:t>
      </w:r>
      <w:r w:rsidRPr="004A72CD">
        <w:rPr>
          <w:rFonts w:asciiTheme="minorHAnsi" w:hAnsiTheme="minorHAnsi" w:cstheme="minorHAnsi"/>
          <w:sz w:val="26"/>
          <w:szCs w:val="26"/>
        </w:rPr>
        <w:t xml:space="preserve">; întâlnirea anuală de coordonare şi planificare a Reţelei instanţelor competente în materia azilului organizată de Agenţia Uniunii Europene pentru Azil (EUAA); conferința organizată de Comisia Europeană </w:t>
      </w:r>
      <w:r w:rsidRPr="004A72CD">
        <w:rPr>
          <w:rFonts w:asciiTheme="minorHAnsi" w:hAnsiTheme="minorHAnsi" w:cstheme="minorHAnsi"/>
          <w:i/>
          <w:iCs/>
          <w:sz w:val="26"/>
          <w:szCs w:val="26"/>
        </w:rPr>
        <w:t>„</w:t>
      </w:r>
      <w:r w:rsidRPr="004A72CD">
        <w:rPr>
          <w:rFonts w:asciiTheme="minorHAnsi" w:hAnsiTheme="minorHAnsi" w:cstheme="minorHAnsi"/>
          <w:sz w:val="26"/>
          <w:szCs w:val="26"/>
        </w:rPr>
        <w:t>European Judicial Training Conference 2024: European Judicial Training: Supporting the Digitalisation of Justice</w:t>
      </w:r>
      <w:r w:rsidRPr="004A72CD">
        <w:rPr>
          <w:rFonts w:asciiTheme="minorHAnsi" w:hAnsiTheme="minorHAnsi" w:cstheme="minorHAnsi"/>
          <w:i/>
          <w:iCs/>
          <w:sz w:val="26"/>
          <w:szCs w:val="26"/>
        </w:rPr>
        <w:t>”</w:t>
      </w:r>
      <w:r w:rsidRPr="004A72CD">
        <w:rPr>
          <w:rFonts w:asciiTheme="minorHAnsi" w:hAnsiTheme="minorHAnsi" w:cstheme="minorHAnsi"/>
          <w:sz w:val="26"/>
          <w:szCs w:val="26"/>
        </w:rPr>
        <w:t>; conferinţa de închidere a proiectului „CJEU Hearings’ Recording as a Judicial Training Tool”, derulat în parteneriat de către Comisia Europeană, Curtea de Justiție a Uniunii Europene, E</w:t>
      </w:r>
      <w:r w:rsidR="001D51E9" w:rsidRPr="004A72CD">
        <w:rPr>
          <w:rFonts w:asciiTheme="minorHAnsi" w:hAnsiTheme="minorHAnsi" w:cstheme="minorHAnsi"/>
          <w:sz w:val="26"/>
          <w:szCs w:val="26"/>
        </w:rPr>
        <w:t>.</w:t>
      </w:r>
      <w:r w:rsidRPr="004A72CD">
        <w:rPr>
          <w:rFonts w:asciiTheme="minorHAnsi" w:hAnsiTheme="minorHAnsi" w:cstheme="minorHAnsi"/>
          <w:sz w:val="26"/>
          <w:szCs w:val="26"/>
        </w:rPr>
        <w:t>J</w:t>
      </w:r>
      <w:r w:rsidR="001D51E9" w:rsidRPr="004A72CD">
        <w:rPr>
          <w:rFonts w:asciiTheme="minorHAnsi" w:hAnsiTheme="minorHAnsi" w:cstheme="minorHAnsi"/>
          <w:sz w:val="26"/>
          <w:szCs w:val="26"/>
        </w:rPr>
        <w:t>.</w:t>
      </w:r>
      <w:r w:rsidRPr="004A72CD">
        <w:rPr>
          <w:rFonts w:asciiTheme="minorHAnsi" w:hAnsiTheme="minorHAnsi" w:cstheme="minorHAnsi"/>
          <w:sz w:val="26"/>
          <w:szCs w:val="26"/>
        </w:rPr>
        <w:t>T</w:t>
      </w:r>
      <w:r w:rsidR="001D51E9" w:rsidRPr="004A72CD">
        <w:rPr>
          <w:rFonts w:asciiTheme="minorHAnsi" w:hAnsiTheme="minorHAnsi" w:cstheme="minorHAnsi"/>
          <w:sz w:val="26"/>
          <w:szCs w:val="26"/>
        </w:rPr>
        <w:t>.</w:t>
      </w:r>
      <w:r w:rsidRPr="004A72CD">
        <w:rPr>
          <w:rFonts w:asciiTheme="minorHAnsi" w:hAnsiTheme="minorHAnsi" w:cstheme="minorHAnsi"/>
          <w:sz w:val="26"/>
          <w:szCs w:val="26"/>
        </w:rPr>
        <w:t>N</w:t>
      </w:r>
      <w:r w:rsidR="001D51E9" w:rsidRPr="004A72CD">
        <w:rPr>
          <w:rFonts w:asciiTheme="minorHAnsi" w:hAnsiTheme="minorHAnsi" w:cstheme="minorHAnsi"/>
          <w:sz w:val="26"/>
          <w:szCs w:val="26"/>
        </w:rPr>
        <w:t>.</w:t>
      </w:r>
      <w:r w:rsidRPr="004A72CD">
        <w:rPr>
          <w:rFonts w:asciiTheme="minorHAnsi" w:hAnsiTheme="minorHAnsi" w:cstheme="minorHAnsi"/>
          <w:sz w:val="26"/>
          <w:szCs w:val="26"/>
        </w:rPr>
        <w:t xml:space="preserve"> şi Consiliul Barourilor Europene (C</w:t>
      </w:r>
      <w:r w:rsidR="00D82A9A" w:rsidRPr="004A72CD">
        <w:rPr>
          <w:rFonts w:asciiTheme="minorHAnsi" w:hAnsiTheme="minorHAnsi" w:cstheme="minorHAnsi"/>
          <w:sz w:val="26"/>
          <w:szCs w:val="26"/>
        </w:rPr>
        <w:t>.</w:t>
      </w:r>
      <w:r w:rsidRPr="004A72CD">
        <w:rPr>
          <w:rFonts w:asciiTheme="minorHAnsi" w:hAnsiTheme="minorHAnsi" w:cstheme="minorHAnsi"/>
          <w:sz w:val="26"/>
          <w:szCs w:val="26"/>
        </w:rPr>
        <w:t>C</w:t>
      </w:r>
      <w:r w:rsidR="00D82A9A" w:rsidRPr="004A72CD">
        <w:rPr>
          <w:rFonts w:asciiTheme="minorHAnsi" w:hAnsiTheme="minorHAnsi" w:cstheme="minorHAnsi"/>
          <w:sz w:val="26"/>
          <w:szCs w:val="26"/>
        </w:rPr>
        <w:t>.</w:t>
      </w:r>
      <w:r w:rsidRPr="004A72CD">
        <w:rPr>
          <w:rFonts w:asciiTheme="minorHAnsi" w:hAnsiTheme="minorHAnsi" w:cstheme="minorHAnsi"/>
          <w:sz w:val="26"/>
          <w:szCs w:val="26"/>
        </w:rPr>
        <w:t>B</w:t>
      </w:r>
      <w:r w:rsidR="00D82A9A" w:rsidRPr="004A72CD">
        <w:rPr>
          <w:rFonts w:asciiTheme="minorHAnsi" w:hAnsiTheme="minorHAnsi" w:cstheme="minorHAnsi"/>
          <w:sz w:val="26"/>
          <w:szCs w:val="26"/>
        </w:rPr>
        <w:t>.</w:t>
      </w:r>
      <w:r w:rsidRPr="004A72CD">
        <w:rPr>
          <w:rFonts w:asciiTheme="minorHAnsi" w:hAnsiTheme="minorHAnsi" w:cstheme="minorHAnsi"/>
          <w:sz w:val="26"/>
          <w:szCs w:val="26"/>
        </w:rPr>
        <w:t>E</w:t>
      </w:r>
      <w:r w:rsidR="00D82A9A" w:rsidRPr="004A72CD">
        <w:rPr>
          <w:rFonts w:asciiTheme="minorHAnsi" w:hAnsiTheme="minorHAnsi" w:cstheme="minorHAnsi"/>
          <w:sz w:val="26"/>
          <w:szCs w:val="26"/>
        </w:rPr>
        <w:t>.</w:t>
      </w:r>
      <w:r w:rsidRPr="004A72CD">
        <w:rPr>
          <w:rFonts w:asciiTheme="minorHAnsi" w:hAnsiTheme="minorHAnsi" w:cstheme="minorHAnsi"/>
          <w:sz w:val="26"/>
          <w:szCs w:val="26"/>
        </w:rPr>
        <w:t>), proiect în cadrul căruia au fost dezvoltate șase videoclipuri educaționale care privesc organizarea, competențele  şi procedurile în faţa C</w:t>
      </w:r>
      <w:r w:rsidR="001D51E9" w:rsidRPr="004A72CD">
        <w:rPr>
          <w:rFonts w:asciiTheme="minorHAnsi" w:hAnsiTheme="minorHAnsi" w:cstheme="minorHAnsi"/>
          <w:sz w:val="26"/>
          <w:szCs w:val="26"/>
        </w:rPr>
        <w:t>.</w:t>
      </w:r>
      <w:r w:rsidRPr="004A72CD">
        <w:rPr>
          <w:rFonts w:asciiTheme="minorHAnsi" w:hAnsiTheme="minorHAnsi" w:cstheme="minorHAnsi"/>
          <w:sz w:val="26"/>
          <w:szCs w:val="26"/>
        </w:rPr>
        <w:t>J</w:t>
      </w:r>
      <w:r w:rsidR="001D51E9" w:rsidRPr="004A72CD">
        <w:rPr>
          <w:rFonts w:asciiTheme="minorHAnsi" w:hAnsiTheme="minorHAnsi" w:cstheme="minorHAnsi"/>
          <w:sz w:val="26"/>
          <w:szCs w:val="26"/>
        </w:rPr>
        <w:t>.</w:t>
      </w:r>
      <w:r w:rsidRPr="004A72CD">
        <w:rPr>
          <w:rFonts w:asciiTheme="minorHAnsi" w:hAnsiTheme="minorHAnsi" w:cstheme="minorHAnsi"/>
          <w:sz w:val="26"/>
          <w:szCs w:val="26"/>
        </w:rPr>
        <w:t>U</w:t>
      </w:r>
      <w:r w:rsidR="001D51E9" w:rsidRPr="004A72CD">
        <w:rPr>
          <w:rFonts w:asciiTheme="minorHAnsi" w:hAnsiTheme="minorHAnsi" w:cstheme="minorHAnsi"/>
          <w:sz w:val="26"/>
          <w:szCs w:val="26"/>
        </w:rPr>
        <w:t>.</w:t>
      </w:r>
      <w:r w:rsidRPr="004A72CD">
        <w:rPr>
          <w:rFonts w:asciiTheme="minorHAnsi" w:hAnsiTheme="minorHAnsi" w:cstheme="minorHAnsi"/>
          <w:sz w:val="26"/>
          <w:szCs w:val="26"/>
        </w:rPr>
        <w:t>E</w:t>
      </w:r>
      <w:r w:rsidR="001D51E9" w:rsidRPr="004A72CD">
        <w:rPr>
          <w:rFonts w:asciiTheme="minorHAnsi" w:hAnsiTheme="minorHAnsi" w:cstheme="minorHAnsi"/>
          <w:sz w:val="26"/>
          <w:szCs w:val="26"/>
        </w:rPr>
        <w:t>.</w:t>
      </w:r>
      <w:r w:rsidRPr="004A72CD">
        <w:rPr>
          <w:rFonts w:asciiTheme="minorHAnsi" w:hAnsiTheme="minorHAnsi" w:cstheme="minorHAnsi"/>
          <w:sz w:val="26"/>
          <w:szCs w:val="26"/>
        </w:rPr>
        <w:t xml:space="preserve"> şi ale Tribunalului U</w:t>
      </w:r>
      <w:r w:rsidR="00D82A9A" w:rsidRPr="004A72CD">
        <w:rPr>
          <w:rFonts w:asciiTheme="minorHAnsi" w:hAnsiTheme="minorHAnsi" w:cstheme="minorHAnsi"/>
          <w:sz w:val="26"/>
          <w:szCs w:val="26"/>
        </w:rPr>
        <w:t>.</w:t>
      </w:r>
      <w:r w:rsidRPr="004A72CD">
        <w:rPr>
          <w:rFonts w:asciiTheme="minorHAnsi" w:hAnsiTheme="minorHAnsi" w:cstheme="minorHAnsi"/>
          <w:sz w:val="26"/>
          <w:szCs w:val="26"/>
        </w:rPr>
        <w:t>E</w:t>
      </w:r>
      <w:r w:rsidR="00D82A9A" w:rsidRPr="004A72CD">
        <w:rPr>
          <w:rFonts w:asciiTheme="minorHAnsi" w:hAnsiTheme="minorHAnsi" w:cstheme="minorHAnsi"/>
          <w:sz w:val="26"/>
          <w:szCs w:val="26"/>
        </w:rPr>
        <w:t>.</w:t>
      </w:r>
      <w:r w:rsidRPr="004A72CD">
        <w:rPr>
          <w:rFonts w:asciiTheme="minorHAnsi" w:hAnsiTheme="minorHAnsi" w:cstheme="minorHAnsi"/>
          <w:sz w:val="26"/>
          <w:szCs w:val="26"/>
        </w:rPr>
        <w:t xml:space="preserve"> şi procedura trimiterii preliminare. Totodată, I</w:t>
      </w:r>
      <w:r w:rsidR="001D51E9" w:rsidRPr="004A72CD">
        <w:rPr>
          <w:rFonts w:asciiTheme="minorHAnsi" w:hAnsiTheme="minorHAnsi" w:cstheme="minorHAnsi"/>
          <w:sz w:val="26"/>
          <w:szCs w:val="26"/>
        </w:rPr>
        <w:t>.</w:t>
      </w:r>
      <w:r w:rsidRPr="004A72CD">
        <w:rPr>
          <w:rFonts w:asciiTheme="minorHAnsi" w:hAnsiTheme="minorHAnsi" w:cstheme="minorHAnsi"/>
          <w:sz w:val="26"/>
          <w:szCs w:val="26"/>
        </w:rPr>
        <w:t>N</w:t>
      </w:r>
      <w:r w:rsidR="001D51E9" w:rsidRPr="004A72CD">
        <w:rPr>
          <w:rFonts w:asciiTheme="minorHAnsi" w:hAnsiTheme="minorHAnsi" w:cstheme="minorHAnsi"/>
          <w:sz w:val="26"/>
          <w:szCs w:val="26"/>
        </w:rPr>
        <w:t>.</w:t>
      </w:r>
      <w:r w:rsidRPr="004A72CD">
        <w:rPr>
          <w:rFonts w:asciiTheme="minorHAnsi" w:hAnsiTheme="minorHAnsi" w:cstheme="minorHAnsi"/>
          <w:sz w:val="26"/>
          <w:szCs w:val="26"/>
        </w:rPr>
        <w:t>M</w:t>
      </w:r>
      <w:r w:rsidR="001D51E9" w:rsidRPr="004A72CD">
        <w:rPr>
          <w:rFonts w:asciiTheme="minorHAnsi" w:hAnsiTheme="minorHAnsi" w:cstheme="minorHAnsi"/>
          <w:sz w:val="26"/>
          <w:szCs w:val="26"/>
        </w:rPr>
        <w:t>.</w:t>
      </w:r>
      <w:r w:rsidRPr="004A72CD">
        <w:rPr>
          <w:rFonts w:asciiTheme="minorHAnsi" w:hAnsiTheme="minorHAnsi" w:cstheme="minorHAnsi"/>
          <w:sz w:val="26"/>
          <w:szCs w:val="26"/>
        </w:rPr>
        <w:t xml:space="preserve"> a participat la misiunea de bune practici privind îmbunătățirea formării profesionale și aspecte de digitalizare la nivelul sistemului judiciar, desfășurată în cadrul proiectului Formarea profesională și consolidarea capacității la nivelul sistemului judiciar, organizată cu sprijinul Consiliului General al Puterii Judiciare și al Ministerului Justiției din Spania, la misiunea de formare în domeniul tehnicilor de audiere a minorilor, organizată în cadrul aceluiași proiect, cu sprijinul E</w:t>
      </w:r>
      <w:r w:rsidR="008F7D60" w:rsidRPr="004A72CD">
        <w:rPr>
          <w:rFonts w:asciiTheme="minorHAnsi" w:hAnsiTheme="minorHAnsi" w:cstheme="minorHAnsi"/>
          <w:sz w:val="26"/>
          <w:szCs w:val="26"/>
        </w:rPr>
        <w:t>.</w:t>
      </w:r>
      <w:r w:rsidRPr="004A72CD">
        <w:rPr>
          <w:rFonts w:asciiTheme="minorHAnsi" w:hAnsiTheme="minorHAnsi" w:cstheme="minorHAnsi"/>
          <w:sz w:val="26"/>
          <w:szCs w:val="26"/>
        </w:rPr>
        <w:t>N</w:t>
      </w:r>
      <w:r w:rsidR="008F7D60" w:rsidRPr="004A72CD">
        <w:rPr>
          <w:rFonts w:asciiTheme="minorHAnsi" w:hAnsiTheme="minorHAnsi" w:cstheme="minorHAnsi"/>
          <w:sz w:val="26"/>
          <w:szCs w:val="26"/>
        </w:rPr>
        <w:t>.</w:t>
      </w:r>
      <w:r w:rsidRPr="004A72CD">
        <w:rPr>
          <w:rFonts w:asciiTheme="minorHAnsi" w:hAnsiTheme="minorHAnsi" w:cstheme="minorHAnsi"/>
          <w:sz w:val="26"/>
          <w:szCs w:val="26"/>
        </w:rPr>
        <w:t>M</w:t>
      </w:r>
      <w:r w:rsidR="008F7D60" w:rsidRPr="004A72CD">
        <w:rPr>
          <w:rFonts w:asciiTheme="minorHAnsi" w:hAnsiTheme="minorHAnsi" w:cstheme="minorHAnsi"/>
          <w:sz w:val="26"/>
          <w:szCs w:val="26"/>
        </w:rPr>
        <w:t>.</w:t>
      </w:r>
      <w:r w:rsidRPr="004A72CD">
        <w:rPr>
          <w:rFonts w:asciiTheme="minorHAnsi" w:hAnsiTheme="minorHAnsi" w:cstheme="minorHAnsi"/>
          <w:sz w:val="26"/>
          <w:szCs w:val="26"/>
        </w:rPr>
        <w:t>, precum şi  la conferința internațională cu tema „Judges under stress in Europe/Impactul stresului asupra judecătorilor în Europa</w:t>
      </w:r>
      <w:r w:rsidRPr="004A72CD">
        <w:rPr>
          <w:rFonts w:asciiTheme="minorHAnsi" w:hAnsiTheme="minorHAnsi" w:cstheme="minorHAnsi"/>
          <w:i/>
          <w:iCs/>
          <w:sz w:val="26"/>
          <w:szCs w:val="26"/>
        </w:rPr>
        <w:t xml:space="preserve">”, </w:t>
      </w:r>
      <w:r w:rsidRPr="004A72CD">
        <w:rPr>
          <w:rFonts w:asciiTheme="minorHAnsi" w:hAnsiTheme="minorHAnsi" w:cstheme="minorHAnsi"/>
          <w:sz w:val="26"/>
          <w:szCs w:val="26"/>
        </w:rPr>
        <w:t xml:space="preserve">organizată la inițiativa Administrației Instanțelor din Norvegia, toate activitățile fiind finanțate în cadrul Mecanismului Financiar Norvegian 2014-2021. </w:t>
      </w:r>
    </w:p>
    <w:p w14:paraId="66962442" w14:textId="2626A25A" w:rsidR="0076177A" w:rsidRDefault="0076177A" w:rsidP="007E16CB">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De asemenea, I</w:t>
      </w:r>
      <w:r w:rsidR="0090007D" w:rsidRPr="004A72CD">
        <w:rPr>
          <w:rFonts w:asciiTheme="minorHAnsi" w:hAnsiTheme="minorHAnsi" w:cstheme="minorHAnsi"/>
          <w:sz w:val="26"/>
          <w:szCs w:val="26"/>
        </w:rPr>
        <w:t>.</w:t>
      </w:r>
      <w:r w:rsidRPr="004A72CD">
        <w:rPr>
          <w:rFonts w:asciiTheme="minorHAnsi" w:hAnsiTheme="minorHAnsi" w:cstheme="minorHAnsi"/>
          <w:sz w:val="26"/>
          <w:szCs w:val="26"/>
        </w:rPr>
        <w:t>N</w:t>
      </w:r>
      <w:r w:rsidR="0090007D" w:rsidRPr="004A72CD">
        <w:rPr>
          <w:rFonts w:asciiTheme="minorHAnsi" w:hAnsiTheme="minorHAnsi" w:cstheme="minorHAnsi"/>
          <w:sz w:val="26"/>
          <w:szCs w:val="26"/>
        </w:rPr>
        <w:t>.</w:t>
      </w:r>
      <w:r w:rsidRPr="004A72CD">
        <w:rPr>
          <w:rFonts w:asciiTheme="minorHAnsi" w:hAnsiTheme="minorHAnsi" w:cstheme="minorHAnsi"/>
          <w:sz w:val="26"/>
          <w:szCs w:val="26"/>
        </w:rPr>
        <w:t>M</w:t>
      </w:r>
      <w:r w:rsidR="0090007D" w:rsidRPr="004A72CD">
        <w:rPr>
          <w:rFonts w:asciiTheme="minorHAnsi" w:hAnsiTheme="minorHAnsi" w:cstheme="minorHAnsi"/>
          <w:sz w:val="26"/>
          <w:szCs w:val="26"/>
        </w:rPr>
        <w:t>.</w:t>
      </w:r>
      <w:r w:rsidRPr="004A72CD">
        <w:rPr>
          <w:rFonts w:asciiTheme="minorHAnsi" w:hAnsiTheme="minorHAnsi" w:cstheme="minorHAnsi"/>
          <w:sz w:val="26"/>
          <w:szCs w:val="26"/>
        </w:rPr>
        <w:t xml:space="preserve"> a găzduit, în data de </w:t>
      </w:r>
      <w:r w:rsidR="00E03107" w:rsidRPr="004A72CD">
        <w:rPr>
          <w:rFonts w:asciiTheme="minorHAnsi" w:hAnsiTheme="minorHAnsi" w:cstheme="minorHAnsi"/>
          <w:sz w:val="26"/>
          <w:szCs w:val="26"/>
        </w:rPr>
        <w:t>0</w:t>
      </w:r>
      <w:r w:rsidRPr="004A72CD">
        <w:rPr>
          <w:rFonts w:asciiTheme="minorHAnsi" w:hAnsiTheme="minorHAnsi" w:cstheme="minorHAnsi"/>
          <w:sz w:val="26"/>
          <w:szCs w:val="26"/>
        </w:rPr>
        <w:t xml:space="preserve">5 aprilie 2024, Conferința de lansare a interfeței în limba română a bazei de date HUDOC – proiect realizat în parteneriat de Curtea Europeană a Drepturilor Omului, Consiliul Europei şi Institutul European din România, cu sprijinul Consiliului Superior al Magistraturii, iar în data de 11 aprilie 2024, Conferința cu tema „C-PROC: 10 ani de cooperare pentru consolidarea capacităților în domeniul criminalității informatice între România și Consiliul Europei”, eveniment organizat de Biroul Cybercrime al Consiliului Europei (C-PROC). </w:t>
      </w:r>
    </w:p>
    <w:p w14:paraId="3B360AFA" w14:textId="77777777" w:rsidR="007E16CB" w:rsidRPr="007E16CB" w:rsidRDefault="007E16CB" w:rsidP="007E16CB">
      <w:pPr>
        <w:spacing w:line="276" w:lineRule="auto"/>
        <w:ind w:firstLine="709"/>
        <w:jc w:val="both"/>
        <w:rPr>
          <w:rFonts w:asciiTheme="minorHAnsi" w:hAnsiTheme="minorHAnsi" w:cstheme="minorHAnsi"/>
          <w:sz w:val="26"/>
          <w:szCs w:val="26"/>
        </w:rPr>
      </w:pPr>
      <w:r w:rsidRPr="007E16CB">
        <w:rPr>
          <w:rFonts w:asciiTheme="minorHAnsi" w:hAnsiTheme="minorHAnsi" w:cstheme="minorHAnsi"/>
          <w:sz w:val="26"/>
          <w:szCs w:val="26"/>
        </w:rPr>
        <w:t xml:space="preserve">În calitate de membru al Grupului de lucru pe probleme de proprietate intelectuală (G.L.P.P.I.), Institutul a găzduit, în data de 27 noiembrie 2024, conferința cu tema „Concurenţa neloială şi protecţia semnelor distinctive”. Evenimentul a fost organizat de G.L.P.P.I., cu sprijinul Asociaţiei Ştiinţifice de Dreptul Proprietăţii Intelectuale, Asociaţiei Române de Dreptul Concurenţei şi al Departamentului de Justiţie al SUA şi a reunit peste 80 de participanţi: magistraţi, consilieri juridici, avocaţi şi consilieri în proprietate industrială. </w:t>
      </w:r>
    </w:p>
    <w:p w14:paraId="28F9EF44" w14:textId="6A53F0AC" w:rsidR="0076177A" w:rsidRPr="004A72CD" w:rsidRDefault="0076177A" w:rsidP="00D51F5A">
      <w:pPr>
        <w:pStyle w:val="Heading3"/>
      </w:pPr>
      <w:bookmarkStart w:id="52" w:name="_Toc187824361"/>
      <w:r w:rsidRPr="004A72CD">
        <w:t>I.5.4. Cooperarea cu Institutul Național al Justiției (I</w:t>
      </w:r>
      <w:r w:rsidR="00FA6677" w:rsidRPr="004A72CD">
        <w:t>.</w:t>
      </w:r>
      <w:r w:rsidRPr="004A72CD">
        <w:t>N</w:t>
      </w:r>
      <w:r w:rsidR="00FA6677" w:rsidRPr="004A72CD">
        <w:t>.</w:t>
      </w:r>
      <w:r w:rsidRPr="004A72CD">
        <w:t>J</w:t>
      </w:r>
      <w:r w:rsidR="00FA6677" w:rsidRPr="004A72CD">
        <w:t>.</w:t>
      </w:r>
      <w:r w:rsidRPr="004A72CD">
        <w:t>) din</w:t>
      </w:r>
      <w:r w:rsidRPr="004A72CD">
        <w:rPr>
          <w:bCs/>
        </w:rPr>
        <w:t xml:space="preserve"> Republica Moldova</w:t>
      </w:r>
      <w:bookmarkEnd w:id="52"/>
    </w:p>
    <w:p w14:paraId="5BE92600" w14:textId="6E39D0BF" w:rsidR="0076177A" w:rsidRPr="004A72CD" w:rsidRDefault="0076177A" w:rsidP="00D51F5A">
      <w:pPr>
        <w:spacing w:line="276" w:lineRule="auto"/>
        <w:jc w:val="both"/>
        <w:rPr>
          <w:rFonts w:asciiTheme="minorHAnsi" w:eastAsia="Calibri" w:hAnsiTheme="minorHAnsi" w:cstheme="minorHAnsi"/>
          <w:sz w:val="26"/>
          <w:szCs w:val="26"/>
        </w:rPr>
      </w:pPr>
      <w:r w:rsidRPr="004A72CD">
        <w:rPr>
          <w:rFonts w:asciiTheme="minorHAnsi" w:hAnsiTheme="minorHAnsi" w:cstheme="minorHAnsi"/>
          <w:color w:val="000000" w:themeColor="text1"/>
          <w:sz w:val="26"/>
          <w:szCs w:val="26"/>
        </w:rPr>
        <w:tab/>
        <w:t>În ședința Comisiei nr. 4 – Relații internaționale şi programe din cadrul Consiliului Superior al Magistraturii din data de 11 aprilie 2024 a fost aprobată continuarea</w:t>
      </w:r>
      <w:r w:rsidR="00F52173" w:rsidRPr="004A72CD">
        <w:rPr>
          <w:rFonts w:asciiTheme="minorHAnsi" w:hAnsiTheme="minorHAnsi" w:cstheme="minorHAnsi"/>
          <w:color w:val="000000" w:themeColor="text1"/>
          <w:sz w:val="26"/>
          <w:szCs w:val="26"/>
        </w:rPr>
        <w:t xml:space="preserve"> </w:t>
      </w:r>
      <w:r w:rsidRPr="004A72CD">
        <w:rPr>
          <w:rFonts w:asciiTheme="minorHAnsi" w:hAnsiTheme="minorHAnsi" w:cstheme="minorHAnsi"/>
          <w:color w:val="000000" w:themeColor="text1"/>
          <w:sz w:val="26"/>
          <w:szCs w:val="26"/>
        </w:rPr>
        <w:t>implicării I</w:t>
      </w:r>
      <w:r w:rsidR="0090007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N</w:t>
      </w:r>
      <w:r w:rsidR="0090007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M</w:t>
      </w:r>
      <w:r w:rsidR="0090007D"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xml:space="preserve"> în programul de cooperare care vizează susținerea procesului de reformă a sistemului de justiție din Republica Moldova. Liniile de cooperare agreate în urma discuțiilor cu partenerii de proiect au vizat </w:t>
      </w:r>
      <w:r w:rsidRPr="004A72CD">
        <w:rPr>
          <w:rFonts w:asciiTheme="minorHAnsi" w:eastAsia="Calibri" w:hAnsiTheme="minorHAnsi" w:cstheme="minorHAnsi"/>
          <w:sz w:val="26"/>
          <w:szCs w:val="26"/>
        </w:rPr>
        <w:t>continuarea facilitării participării judecătorilor şi procurorilor din Republica Moldova la activități de formare organizate de I</w:t>
      </w:r>
      <w:r w:rsidR="0090007D" w:rsidRPr="004A72CD">
        <w:rPr>
          <w:rFonts w:asciiTheme="minorHAnsi" w:eastAsia="Calibri" w:hAnsiTheme="minorHAnsi" w:cstheme="minorHAnsi"/>
          <w:sz w:val="26"/>
          <w:szCs w:val="26"/>
        </w:rPr>
        <w:t>.</w:t>
      </w:r>
      <w:r w:rsidRPr="004A72CD">
        <w:rPr>
          <w:rFonts w:asciiTheme="minorHAnsi" w:eastAsia="Calibri" w:hAnsiTheme="minorHAnsi" w:cstheme="minorHAnsi"/>
          <w:sz w:val="26"/>
          <w:szCs w:val="26"/>
        </w:rPr>
        <w:t>N</w:t>
      </w:r>
      <w:r w:rsidR="0090007D" w:rsidRPr="004A72CD">
        <w:rPr>
          <w:rFonts w:asciiTheme="minorHAnsi" w:eastAsia="Calibri" w:hAnsiTheme="minorHAnsi" w:cstheme="minorHAnsi"/>
          <w:sz w:val="26"/>
          <w:szCs w:val="26"/>
        </w:rPr>
        <w:t>.</w:t>
      </w:r>
      <w:r w:rsidRPr="004A72CD">
        <w:rPr>
          <w:rFonts w:asciiTheme="minorHAnsi" w:eastAsia="Calibri" w:hAnsiTheme="minorHAnsi" w:cstheme="minorHAnsi"/>
          <w:sz w:val="26"/>
          <w:szCs w:val="26"/>
        </w:rPr>
        <w:t>M</w:t>
      </w:r>
      <w:r w:rsidR="0090007D" w:rsidRPr="004A72CD">
        <w:rPr>
          <w:rFonts w:asciiTheme="minorHAnsi" w:eastAsia="Calibri" w:hAnsiTheme="minorHAnsi" w:cstheme="minorHAnsi"/>
          <w:sz w:val="26"/>
          <w:szCs w:val="26"/>
        </w:rPr>
        <w:t>.</w:t>
      </w:r>
      <w:r w:rsidRPr="004A72CD">
        <w:rPr>
          <w:rFonts w:asciiTheme="minorHAnsi" w:eastAsia="Calibri" w:hAnsiTheme="minorHAnsi" w:cstheme="minorHAnsi"/>
          <w:sz w:val="26"/>
          <w:szCs w:val="26"/>
        </w:rPr>
        <w:t xml:space="preserve"> în cadrul Programului de formare continuă la nivel centralizat aprobat pentru anul 2024, contribuția cu formatori I</w:t>
      </w:r>
      <w:r w:rsidR="0090007D" w:rsidRPr="004A72CD">
        <w:rPr>
          <w:rFonts w:asciiTheme="minorHAnsi" w:eastAsia="Calibri" w:hAnsiTheme="minorHAnsi" w:cstheme="minorHAnsi"/>
          <w:sz w:val="26"/>
          <w:szCs w:val="26"/>
        </w:rPr>
        <w:t>.</w:t>
      </w:r>
      <w:r w:rsidRPr="004A72CD">
        <w:rPr>
          <w:rFonts w:asciiTheme="minorHAnsi" w:eastAsia="Calibri" w:hAnsiTheme="minorHAnsi" w:cstheme="minorHAnsi"/>
          <w:sz w:val="26"/>
          <w:szCs w:val="26"/>
        </w:rPr>
        <w:t>N</w:t>
      </w:r>
      <w:r w:rsidR="0090007D" w:rsidRPr="004A72CD">
        <w:rPr>
          <w:rFonts w:asciiTheme="minorHAnsi" w:eastAsia="Calibri" w:hAnsiTheme="minorHAnsi" w:cstheme="minorHAnsi"/>
          <w:sz w:val="26"/>
          <w:szCs w:val="26"/>
        </w:rPr>
        <w:t>.</w:t>
      </w:r>
      <w:r w:rsidRPr="004A72CD">
        <w:rPr>
          <w:rFonts w:asciiTheme="minorHAnsi" w:eastAsia="Calibri" w:hAnsiTheme="minorHAnsi" w:cstheme="minorHAnsi"/>
          <w:sz w:val="26"/>
          <w:szCs w:val="26"/>
        </w:rPr>
        <w:t>M</w:t>
      </w:r>
      <w:r w:rsidR="0090007D" w:rsidRPr="004A72CD">
        <w:rPr>
          <w:rFonts w:asciiTheme="minorHAnsi" w:eastAsia="Calibri" w:hAnsiTheme="minorHAnsi" w:cstheme="minorHAnsi"/>
          <w:sz w:val="26"/>
          <w:szCs w:val="26"/>
        </w:rPr>
        <w:t>.</w:t>
      </w:r>
      <w:r w:rsidRPr="004A72CD">
        <w:rPr>
          <w:rFonts w:asciiTheme="minorHAnsi" w:eastAsia="Calibri" w:hAnsiTheme="minorHAnsi" w:cstheme="minorHAnsi"/>
          <w:sz w:val="26"/>
          <w:szCs w:val="26"/>
        </w:rPr>
        <w:t xml:space="preserve"> la activități de formare organizate la Chișinău, în domeniile acquis-ului Uniunii Europene şi motivării hotărârilor judecătorești, precum şi organizarea a două sesiuni de formare la București, cu participarea </w:t>
      </w:r>
      <w:r w:rsidRPr="004A72CD">
        <w:rPr>
          <w:rFonts w:asciiTheme="minorHAnsi" w:eastAsia="Calibri" w:hAnsiTheme="minorHAnsi" w:cstheme="minorHAnsi"/>
          <w:sz w:val="26"/>
          <w:szCs w:val="26"/>
        </w:rPr>
        <w:lastRenderedPageBreak/>
        <w:t>magistraților români şi a celor din Republica Moldova, pe tematici privind comunicarea şi rolul magistratului național în aplicarea acquis-ului comunitar.</w:t>
      </w:r>
    </w:p>
    <w:p w14:paraId="10343643" w14:textId="1F53301A" w:rsidR="00FB4F34" w:rsidRPr="0098252F" w:rsidRDefault="0076177A" w:rsidP="00FB4F34">
      <w:pPr>
        <w:spacing w:line="276" w:lineRule="auto"/>
        <w:ind w:firstLine="708"/>
        <w:jc w:val="both"/>
        <w:rPr>
          <w:rFonts w:asciiTheme="minorHAnsi" w:hAnsiTheme="minorHAnsi" w:cstheme="minorHAnsi"/>
          <w:sz w:val="26"/>
          <w:szCs w:val="26"/>
        </w:rPr>
      </w:pPr>
      <w:r w:rsidRPr="004A72CD">
        <w:rPr>
          <w:rFonts w:asciiTheme="minorHAnsi" w:eastAsia="Calibri" w:hAnsiTheme="minorHAnsi" w:cstheme="minorHAnsi"/>
          <w:sz w:val="26"/>
          <w:szCs w:val="26"/>
        </w:rPr>
        <w:t>În acest context, în perioada 19</w:t>
      </w:r>
      <w:r w:rsidR="00F52173" w:rsidRPr="004A72CD">
        <w:rPr>
          <w:rFonts w:asciiTheme="minorHAnsi" w:eastAsia="Calibri" w:hAnsiTheme="minorHAnsi" w:cstheme="minorHAnsi"/>
          <w:sz w:val="26"/>
          <w:szCs w:val="26"/>
        </w:rPr>
        <w:t xml:space="preserve"> </w:t>
      </w:r>
      <w:r w:rsidR="0090007D" w:rsidRPr="004A72CD">
        <w:rPr>
          <w:rFonts w:asciiTheme="minorHAnsi" w:eastAsia="Calibri" w:hAnsiTheme="minorHAnsi" w:cstheme="minorHAnsi"/>
          <w:sz w:val="26"/>
          <w:szCs w:val="26"/>
        </w:rPr>
        <w:t>–</w:t>
      </w:r>
      <w:r w:rsidR="00F52173" w:rsidRPr="004A72CD">
        <w:rPr>
          <w:rFonts w:asciiTheme="minorHAnsi" w:eastAsia="Calibri" w:hAnsiTheme="minorHAnsi" w:cstheme="minorHAnsi"/>
          <w:sz w:val="26"/>
          <w:szCs w:val="26"/>
        </w:rPr>
        <w:t xml:space="preserve"> </w:t>
      </w:r>
      <w:r w:rsidRPr="004A72CD">
        <w:rPr>
          <w:rFonts w:asciiTheme="minorHAnsi" w:eastAsia="Calibri" w:hAnsiTheme="minorHAnsi" w:cstheme="minorHAnsi"/>
          <w:sz w:val="26"/>
          <w:szCs w:val="26"/>
        </w:rPr>
        <w:t>20</w:t>
      </w:r>
      <w:r w:rsidR="0090007D" w:rsidRPr="004A72CD">
        <w:rPr>
          <w:rFonts w:asciiTheme="minorHAnsi" w:eastAsia="Calibri" w:hAnsiTheme="minorHAnsi" w:cstheme="minorHAnsi"/>
          <w:sz w:val="26"/>
          <w:szCs w:val="26"/>
        </w:rPr>
        <w:t>.09.</w:t>
      </w:r>
      <w:r w:rsidRPr="004A72CD">
        <w:rPr>
          <w:rFonts w:asciiTheme="minorHAnsi" w:eastAsia="Calibri" w:hAnsiTheme="minorHAnsi" w:cstheme="minorHAnsi"/>
          <w:sz w:val="26"/>
          <w:szCs w:val="26"/>
        </w:rPr>
        <w:t>2024, un formator I</w:t>
      </w:r>
      <w:r w:rsidR="00900141" w:rsidRPr="004A72CD">
        <w:rPr>
          <w:rFonts w:asciiTheme="minorHAnsi" w:eastAsia="Calibri" w:hAnsiTheme="minorHAnsi" w:cstheme="minorHAnsi"/>
          <w:sz w:val="26"/>
          <w:szCs w:val="26"/>
        </w:rPr>
        <w:t>.</w:t>
      </w:r>
      <w:r w:rsidRPr="004A72CD">
        <w:rPr>
          <w:rFonts w:asciiTheme="minorHAnsi" w:eastAsia="Calibri" w:hAnsiTheme="minorHAnsi" w:cstheme="minorHAnsi"/>
          <w:sz w:val="26"/>
          <w:szCs w:val="26"/>
        </w:rPr>
        <w:t>N</w:t>
      </w:r>
      <w:r w:rsidR="00900141" w:rsidRPr="004A72CD">
        <w:rPr>
          <w:rFonts w:asciiTheme="minorHAnsi" w:eastAsia="Calibri" w:hAnsiTheme="minorHAnsi" w:cstheme="minorHAnsi"/>
          <w:sz w:val="26"/>
          <w:szCs w:val="26"/>
        </w:rPr>
        <w:t>.</w:t>
      </w:r>
      <w:r w:rsidRPr="004A72CD">
        <w:rPr>
          <w:rFonts w:asciiTheme="minorHAnsi" w:eastAsia="Calibri" w:hAnsiTheme="minorHAnsi" w:cstheme="minorHAnsi"/>
          <w:sz w:val="26"/>
          <w:szCs w:val="26"/>
        </w:rPr>
        <w:t>M</w:t>
      </w:r>
      <w:r w:rsidR="00900141" w:rsidRPr="004A72CD">
        <w:rPr>
          <w:rFonts w:asciiTheme="minorHAnsi" w:eastAsia="Calibri" w:hAnsiTheme="minorHAnsi" w:cstheme="minorHAnsi"/>
          <w:sz w:val="26"/>
          <w:szCs w:val="26"/>
        </w:rPr>
        <w:t>.</w:t>
      </w:r>
      <w:r w:rsidRPr="004A72CD">
        <w:rPr>
          <w:rFonts w:asciiTheme="minorHAnsi" w:eastAsia="Calibri" w:hAnsiTheme="minorHAnsi" w:cstheme="minorHAnsi"/>
          <w:sz w:val="26"/>
          <w:szCs w:val="26"/>
        </w:rPr>
        <w:t xml:space="preserve"> a susținut la sediul I</w:t>
      </w:r>
      <w:r w:rsidR="00FA6677" w:rsidRPr="004A72CD">
        <w:rPr>
          <w:rFonts w:asciiTheme="minorHAnsi" w:eastAsia="Calibri" w:hAnsiTheme="minorHAnsi" w:cstheme="minorHAnsi"/>
          <w:sz w:val="26"/>
          <w:szCs w:val="26"/>
        </w:rPr>
        <w:t>.</w:t>
      </w:r>
      <w:r w:rsidRPr="004A72CD">
        <w:rPr>
          <w:rFonts w:asciiTheme="minorHAnsi" w:eastAsia="Calibri" w:hAnsiTheme="minorHAnsi" w:cstheme="minorHAnsi"/>
          <w:sz w:val="26"/>
          <w:szCs w:val="26"/>
        </w:rPr>
        <w:t>N</w:t>
      </w:r>
      <w:r w:rsidR="00FA6677" w:rsidRPr="004A72CD">
        <w:rPr>
          <w:rFonts w:asciiTheme="minorHAnsi" w:eastAsia="Calibri" w:hAnsiTheme="minorHAnsi" w:cstheme="minorHAnsi"/>
          <w:sz w:val="26"/>
          <w:szCs w:val="26"/>
        </w:rPr>
        <w:t>.</w:t>
      </w:r>
      <w:r w:rsidRPr="004A72CD">
        <w:rPr>
          <w:rFonts w:asciiTheme="minorHAnsi" w:eastAsia="Calibri" w:hAnsiTheme="minorHAnsi" w:cstheme="minorHAnsi"/>
          <w:sz w:val="26"/>
          <w:szCs w:val="26"/>
        </w:rPr>
        <w:t>J</w:t>
      </w:r>
      <w:r w:rsidR="00FA6677" w:rsidRPr="004A72CD">
        <w:rPr>
          <w:rFonts w:asciiTheme="minorHAnsi" w:eastAsia="Calibri" w:hAnsiTheme="minorHAnsi" w:cstheme="minorHAnsi"/>
          <w:sz w:val="26"/>
          <w:szCs w:val="26"/>
        </w:rPr>
        <w:t>.</w:t>
      </w:r>
      <w:r w:rsidRPr="004A72CD">
        <w:rPr>
          <w:rFonts w:asciiTheme="minorHAnsi" w:eastAsia="Calibri" w:hAnsiTheme="minorHAnsi" w:cstheme="minorHAnsi"/>
          <w:sz w:val="26"/>
          <w:szCs w:val="26"/>
        </w:rPr>
        <w:t xml:space="preserve"> două sesiuni de formare având ca temă „I</w:t>
      </w:r>
      <w:r w:rsidRPr="004A72CD">
        <w:rPr>
          <w:rFonts w:asciiTheme="minorHAnsi" w:eastAsia="SimSun" w:hAnsiTheme="minorHAnsi" w:cstheme="minorHAnsi"/>
          <w:sz w:val="26"/>
          <w:szCs w:val="26"/>
          <w:lang w:eastAsia="zh-CN"/>
        </w:rPr>
        <w:t xml:space="preserve">nstituțiile Uniunii Europene şi procesul decizional la nivelul Uniunii Europene”, respectiv </w:t>
      </w:r>
      <w:r w:rsidRPr="004A72CD">
        <w:rPr>
          <w:rFonts w:asciiTheme="minorHAnsi" w:eastAsia="Calibri" w:hAnsiTheme="minorHAnsi" w:cstheme="minorHAnsi"/>
          <w:sz w:val="26"/>
          <w:szCs w:val="26"/>
        </w:rPr>
        <w:t>„</w:t>
      </w:r>
      <w:r w:rsidRPr="004A72CD">
        <w:rPr>
          <w:rFonts w:asciiTheme="minorHAnsi" w:eastAsia="SimSun" w:hAnsiTheme="minorHAnsi" w:cstheme="minorHAnsi"/>
          <w:sz w:val="26"/>
          <w:szCs w:val="26"/>
          <w:lang w:eastAsia="zh-CN"/>
        </w:rPr>
        <w:t xml:space="preserve">Uniunea Europeană și statul de drept”. La ambele sesiuni au participat </w:t>
      </w:r>
      <w:r w:rsidRPr="004A72CD">
        <w:rPr>
          <w:rFonts w:asciiTheme="minorHAnsi" w:hAnsiTheme="minorHAnsi" w:cstheme="minorHAnsi"/>
          <w:sz w:val="26"/>
          <w:szCs w:val="26"/>
        </w:rPr>
        <w:t>audienți de justiție, formatori și personal I</w:t>
      </w:r>
      <w:r w:rsidR="00FA6677" w:rsidRPr="004A72CD">
        <w:rPr>
          <w:rFonts w:asciiTheme="minorHAnsi" w:hAnsiTheme="minorHAnsi" w:cstheme="minorHAnsi"/>
          <w:sz w:val="26"/>
          <w:szCs w:val="26"/>
        </w:rPr>
        <w:t>.</w:t>
      </w:r>
      <w:r w:rsidRPr="004A72CD">
        <w:rPr>
          <w:rFonts w:asciiTheme="minorHAnsi" w:hAnsiTheme="minorHAnsi" w:cstheme="minorHAnsi"/>
          <w:sz w:val="26"/>
          <w:szCs w:val="26"/>
        </w:rPr>
        <w:t>N</w:t>
      </w:r>
      <w:r w:rsidR="00FA6677" w:rsidRPr="004A72CD">
        <w:rPr>
          <w:rFonts w:asciiTheme="minorHAnsi" w:hAnsiTheme="minorHAnsi" w:cstheme="minorHAnsi"/>
          <w:sz w:val="26"/>
          <w:szCs w:val="26"/>
        </w:rPr>
        <w:t>.</w:t>
      </w:r>
      <w:r w:rsidRPr="004A72CD">
        <w:rPr>
          <w:rFonts w:asciiTheme="minorHAnsi" w:hAnsiTheme="minorHAnsi" w:cstheme="minorHAnsi"/>
          <w:sz w:val="26"/>
          <w:szCs w:val="26"/>
        </w:rPr>
        <w:t>J</w:t>
      </w:r>
      <w:r w:rsidR="00FA6677" w:rsidRPr="004A72CD">
        <w:rPr>
          <w:rFonts w:asciiTheme="minorHAnsi" w:hAnsiTheme="minorHAnsi" w:cstheme="minorHAnsi"/>
          <w:sz w:val="26"/>
          <w:szCs w:val="26"/>
        </w:rPr>
        <w:t>.</w:t>
      </w:r>
      <w:r w:rsidRPr="004A72CD">
        <w:rPr>
          <w:rFonts w:asciiTheme="minorHAnsi" w:hAnsiTheme="minorHAnsi" w:cstheme="minorHAnsi"/>
          <w:sz w:val="26"/>
          <w:szCs w:val="26"/>
        </w:rPr>
        <w:t xml:space="preserve">. </w:t>
      </w:r>
      <w:r w:rsidR="00FB4F34" w:rsidRPr="0098252F">
        <w:rPr>
          <w:rFonts w:asciiTheme="minorHAnsi" w:hAnsiTheme="minorHAnsi" w:cstheme="minorHAnsi"/>
          <w:sz w:val="26"/>
          <w:szCs w:val="26"/>
        </w:rPr>
        <w:t>De asemenea, în perioada 11 – 12.11.2024, doi formatori I.N.M. au susţinut două sesiuni de formare la Chişinău, cu tema „Dezvoltarea abilităților de elaborare a actelor judecătorești/actelor procedurale”, dedicate audienţilor de justiţie I.N.J..</w:t>
      </w:r>
    </w:p>
    <w:p w14:paraId="60E5CF48" w14:textId="242731D9" w:rsidR="006105E3" w:rsidRPr="006105E3" w:rsidRDefault="006105E3" w:rsidP="006105E3">
      <w:pPr>
        <w:spacing w:line="276" w:lineRule="auto"/>
        <w:ind w:firstLine="708"/>
        <w:jc w:val="both"/>
        <w:rPr>
          <w:rFonts w:asciiTheme="minorHAnsi" w:hAnsiTheme="minorHAnsi" w:cstheme="minorHAnsi"/>
          <w:sz w:val="26"/>
          <w:szCs w:val="26"/>
        </w:rPr>
      </w:pPr>
      <w:r w:rsidRPr="006105E3">
        <w:rPr>
          <w:rFonts w:asciiTheme="minorHAnsi" w:hAnsiTheme="minorHAnsi" w:cstheme="minorHAnsi"/>
          <w:sz w:val="26"/>
          <w:szCs w:val="26"/>
        </w:rPr>
        <w:t xml:space="preserve">În cadrul aceluiaşi proiect, s-au desfăşurat la Bucureşti, în perioada 25 - 26.11.2024, respectiv 27 - 29.11.2024, două seminare având ca temă „Rolul magistratului naţional în aplicarea acquis-ului UE”, respectiv „Instrumente şi bune practici de comunicare”, la care au participat, în total, 30 de magistraţi din Republica Moldova şi 17 magistraţi români. Ambele evenimente au fost înscrise în Programul de formare continuă al I.N.M. aprobat pentru anul 2024. </w:t>
      </w:r>
    </w:p>
    <w:p w14:paraId="6B4DDE7C" w14:textId="77777777" w:rsidR="006105E3" w:rsidRPr="006105E3" w:rsidRDefault="006105E3" w:rsidP="006105E3">
      <w:pPr>
        <w:spacing w:line="276" w:lineRule="auto"/>
        <w:ind w:firstLine="708"/>
        <w:jc w:val="both"/>
        <w:rPr>
          <w:rFonts w:asciiTheme="minorHAnsi" w:hAnsiTheme="minorHAnsi" w:cstheme="minorHAnsi"/>
          <w:sz w:val="26"/>
          <w:szCs w:val="26"/>
        </w:rPr>
      </w:pPr>
      <w:r w:rsidRPr="006105E3">
        <w:rPr>
          <w:rFonts w:asciiTheme="minorHAnsi" w:hAnsiTheme="minorHAnsi" w:cstheme="minorHAnsi"/>
          <w:sz w:val="26"/>
          <w:szCs w:val="26"/>
        </w:rPr>
        <w:t>O altă linie de cooperare din cadrul proiectului a vizat deschiderea în vederea participării magistraţilor din Republica Moldova, formatorilor şi personalului I.N.J., de activităţi în format online în domeniile dreptului Uniunii Europene, dezvoltării de abilități non-juridice şi digitalizării, organizate de I.N.M., la care au fost înregistrate, în total, 7 participări.</w:t>
      </w:r>
    </w:p>
    <w:p w14:paraId="2722526F" w14:textId="551FE0A2" w:rsidR="0076177A" w:rsidRPr="004A72CD" w:rsidRDefault="0076177A" w:rsidP="00FB4F34">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bdr w:val="none" w:sz="0" w:space="0" w:color="auto" w:frame="1"/>
          <w:shd w:val="clear" w:color="auto" w:fill="FFFFFF"/>
        </w:rPr>
        <w:t>Tot în cadrul relațiilor bilaterale de cooperare cu Republica Moldova, I</w:t>
      </w:r>
      <w:r w:rsidR="00900141" w:rsidRPr="004A72CD">
        <w:rPr>
          <w:rFonts w:asciiTheme="minorHAnsi" w:hAnsiTheme="minorHAnsi" w:cstheme="minorHAnsi"/>
          <w:sz w:val="26"/>
          <w:szCs w:val="26"/>
          <w:bdr w:val="none" w:sz="0" w:space="0" w:color="auto" w:frame="1"/>
          <w:shd w:val="clear" w:color="auto" w:fill="FFFFFF"/>
        </w:rPr>
        <w:t>.</w:t>
      </w:r>
      <w:r w:rsidRPr="004A72CD">
        <w:rPr>
          <w:rFonts w:asciiTheme="minorHAnsi" w:hAnsiTheme="minorHAnsi" w:cstheme="minorHAnsi"/>
          <w:sz w:val="26"/>
          <w:szCs w:val="26"/>
          <w:bdr w:val="none" w:sz="0" w:space="0" w:color="auto" w:frame="1"/>
          <w:shd w:val="clear" w:color="auto" w:fill="FFFFFF"/>
        </w:rPr>
        <w:t>N</w:t>
      </w:r>
      <w:r w:rsidR="00900141" w:rsidRPr="004A72CD">
        <w:rPr>
          <w:rFonts w:asciiTheme="minorHAnsi" w:hAnsiTheme="minorHAnsi" w:cstheme="minorHAnsi"/>
          <w:sz w:val="26"/>
          <w:szCs w:val="26"/>
          <w:bdr w:val="none" w:sz="0" w:space="0" w:color="auto" w:frame="1"/>
          <w:shd w:val="clear" w:color="auto" w:fill="FFFFFF"/>
        </w:rPr>
        <w:t>.</w:t>
      </w:r>
      <w:r w:rsidRPr="004A72CD">
        <w:rPr>
          <w:rFonts w:asciiTheme="minorHAnsi" w:hAnsiTheme="minorHAnsi" w:cstheme="minorHAnsi"/>
          <w:sz w:val="26"/>
          <w:szCs w:val="26"/>
          <w:bdr w:val="none" w:sz="0" w:space="0" w:color="auto" w:frame="1"/>
          <w:shd w:val="clear" w:color="auto" w:fill="FFFFFF"/>
        </w:rPr>
        <w:t>M</w:t>
      </w:r>
      <w:r w:rsidR="00900141" w:rsidRPr="004A72CD">
        <w:rPr>
          <w:rFonts w:asciiTheme="minorHAnsi" w:hAnsiTheme="minorHAnsi" w:cstheme="minorHAnsi"/>
          <w:sz w:val="26"/>
          <w:szCs w:val="26"/>
          <w:bdr w:val="none" w:sz="0" w:space="0" w:color="auto" w:frame="1"/>
          <w:shd w:val="clear" w:color="auto" w:fill="FFFFFF"/>
        </w:rPr>
        <w:t>.</w:t>
      </w:r>
      <w:r w:rsidRPr="004A72CD">
        <w:rPr>
          <w:rFonts w:asciiTheme="minorHAnsi" w:hAnsiTheme="minorHAnsi" w:cstheme="minorHAnsi"/>
          <w:sz w:val="26"/>
          <w:szCs w:val="26"/>
          <w:bdr w:val="none" w:sz="0" w:space="0" w:color="auto" w:frame="1"/>
          <w:shd w:val="clear" w:color="auto" w:fill="FFFFFF"/>
        </w:rPr>
        <w:t xml:space="preserve"> a primit, î</w:t>
      </w:r>
      <w:r w:rsidRPr="004A72CD">
        <w:rPr>
          <w:rFonts w:asciiTheme="minorHAnsi" w:hAnsiTheme="minorHAnsi" w:cstheme="minorHAnsi"/>
          <w:sz w:val="26"/>
          <w:szCs w:val="26"/>
        </w:rPr>
        <w:t xml:space="preserve">n data de 26 aprilie 2024, </w:t>
      </w:r>
      <w:r w:rsidRPr="004A72CD">
        <w:rPr>
          <w:rFonts w:asciiTheme="minorHAnsi" w:hAnsiTheme="minorHAnsi" w:cstheme="minorHAnsi"/>
          <w:color w:val="050505"/>
          <w:sz w:val="26"/>
          <w:szCs w:val="26"/>
        </w:rPr>
        <w:t>vizita unei delegații formată din membri ai Consiliului Superior al Magistraturii din Republica Moldova, eveniment ce a prilejuit reafirmarea disponibilității şi sprijinului reciproc în direcția consolidării proiectelor de cooperare viitoare, derulate atât în sfera formării inițiale, cât și în cea a formării continue.</w:t>
      </w:r>
    </w:p>
    <w:p w14:paraId="3F79B168" w14:textId="77777777" w:rsidR="005D5295" w:rsidRPr="005D5295" w:rsidRDefault="005D5295" w:rsidP="005D5295">
      <w:pPr>
        <w:spacing w:line="276" w:lineRule="auto"/>
        <w:ind w:firstLine="708"/>
        <w:jc w:val="both"/>
        <w:rPr>
          <w:rFonts w:asciiTheme="minorHAnsi" w:hAnsiTheme="minorHAnsi" w:cstheme="minorHAnsi"/>
          <w:sz w:val="26"/>
          <w:szCs w:val="26"/>
        </w:rPr>
      </w:pPr>
      <w:r w:rsidRPr="005D5295">
        <w:rPr>
          <w:rFonts w:asciiTheme="minorHAnsi" w:hAnsiTheme="minorHAnsi" w:cstheme="minorHAnsi"/>
          <w:sz w:val="26"/>
          <w:szCs w:val="26"/>
        </w:rPr>
        <w:t>În total, în anul 2024, au fost înregistrate 625 de participări ale auditorilor de justiție, magistraților și formatorilor români la activități de formare cu componentă internațională, iar 213 magistrați, formatori și auditori de justiție din alte state au participat la activități de formare organizate/coordonate de I.N.M.</w:t>
      </w:r>
    </w:p>
    <w:p w14:paraId="30B5986F" w14:textId="555A0341" w:rsidR="00A152E0" w:rsidRPr="004A72CD" w:rsidRDefault="00E40403" w:rsidP="00D51F5A">
      <w:pPr>
        <w:pStyle w:val="ListParagraph"/>
        <w:spacing w:line="276" w:lineRule="auto"/>
        <w:ind w:right="26"/>
        <w:jc w:val="both"/>
        <w:rPr>
          <w:rFonts w:asciiTheme="minorHAnsi" w:hAnsiTheme="minorHAnsi" w:cstheme="minorHAnsi"/>
          <w:b/>
          <w:bCs/>
          <w:sz w:val="26"/>
          <w:szCs w:val="26"/>
        </w:rPr>
      </w:pPr>
      <w:r w:rsidRPr="004A72CD">
        <w:rPr>
          <w:rFonts w:asciiTheme="minorHAnsi" w:hAnsiTheme="minorHAnsi" w:cstheme="minorHAnsi"/>
          <w:b/>
          <w:bCs/>
          <w:sz w:val="26"/>
          <w:szCs w:val="26"/>
        </w:rPr>
        <w:t>Școala Națională de Grefieri</w:t>
      </w:r>
    </w:p>
    <w:p w14:paraId="027F82B7" w14:textId="6E0F0BD5" w:rsidR="00796FEB" w:rsidRPr="004A72CD" w:rsidRDefault="00796FEB" w:rsidP="00D51F5A">
      <w:pPr>
        <w:kinsoku w:val="0"/>
        <w:overflowPunct w:val="0"/>
        <w:spacing w:line="276" w:lineRule="auto"/>
        <w:ind w:left="644" w:firstLine="76"/>
        <w:contextualSpacing/>
        <w:jc w:val="both"/>
        <w:textAlignment w:val="baseline"/>
        <w:rPr>
          <w:rFonts w:asciiTheme="minorHAnsi" w:hAnsiTheme="minorHAnsi" w:cstheme="minorHAnsi"/>
          <w:sz w:val="26"/>
          <w:szCs w:val="26"/>
        </w:rPr>
      </w:pPr>
      <w:r w:rsidRPr="004A72CD">
        <w:rPr>
          <w:rFonts w:asciiTheme="minorHAnsi" w:hAnsiTheme="minorHAnsi" w:cstheme="minorHAnsi"/>
          <w:b/>
          <w:bCs/>
          <w:sz w:val="26"/>
          <w:szCs w:val="26"/>
        </w:rPr>
        <w:t>E</w:t>
      </w:r>
      <w:r w:rsidR="00BB3F48" w:rsidRPr="004A72CD">
        <w:rPr>
          <w:rFonts w:asciiTheme="minorHAnsi" w:hAnsiTheme="minorHAnsi" w:cstheme="minorHAnsi"/>
          <w:b/>
          <w:bCs/>
          <w:sz w:val="26"/>
          <w:szCs w:val="26"/>
        </w:rPr>
        <w:t>.</w:t>
      </w:r>
      <w:r w:rsidRPr="004A72CD">
        <w:rPr>
          <w:rFonts w:asciiTheme="minorHAnsi" w:hAnsiTheme="minorHAnsi" w:cstheme="minorHAnsi"/>
          <w:b/>
          <w:bCs/>
          <w:sz w:val="26"/>
          <w:szCs w:val="26"/>
        </w:rPr>
        <w:t>J</w:t>
      </w:r>
      <w:r w:rsidR="00BB3F48" w:rsidRPr="004A72CD">
        <w:rPr>
          <w:rFonts w:asciiTheme="minorHAnsi" w:hAnsiTheme="minorHAnsi" w:cstheme="minorHAnsi"/>
          <w:b/>
          <w:bCs/>
          <w:sz w:val="26"/>
          <w:szCs w:val="26"/>
        </w:rPr>
        <w:t>.</w:t>
      </w:r>
      <w:r w:rsidRPr="004A72CD">
        <w:rPr>
          <w:rFonts w:asciiTheme="minorHAnsi" w:hAnsiTheme="minorHAnsi" w:cstheme="minorHAnsi"/>
          <w:b/>
          <w:bCs/>
          <w:sz w:val="26"/>
          <w:szCs w:val="26"/>
        </w:rPr>
        <w:t>T</w:t>
      </w:r>
      <w:r w:rsidR="00BB3F48" w:rsidRPr="004A72CD">
        <w:rPr>
          <w:rFonts w:asciiTheme="minorHAnsi" w:hAnsiTheme="minorHAnsi" w:cstheme="minorHAnsi"/>
          <w:b/>
          <w:bCs/>
          <w:sz w:val="26"/>
          <w:szCs w:val="26"/>
        </w:rPr>
        <w:t>.</w:t>
      </w:r>
      <w:r w:rsidRPr="004A72CD">
        <w:rPr>
          <w:rFonts w:asciiTheme="minorHAnsi" w:hAnsiTheme="minorHAnsi" w:cstheme="minorHAnsi"/>
          <w:b/>
          <w:bCs/>
          <w:sz w:val="26"/>
          <w:szCs w:val="26"/>
        </w:rPr>
        <w:t>N</w:t>
      </w:r>
      <w:r w:rsidR="00BB3F48" w:rsidRPr="004A72CD">
        <w:rPr>
          <w:rFonts w:asciiTheme="minorHAnsi" w:hAnsiTheme="minorHAnsi" w:cstheme="minorHAnsi"/>
          <w:b/>
          <w:bCs/>
          <w:sz w:val="26"/>
          <w:szCs w:val="26"/>
        </w:rPr>
        <w:t>.</w:t>
      </w:r>
    </w:p>
    <w:p w14:paraId="70C65528" w14:textId="6AB10D3D" w:rsidR="00796FEB" w:rsidRPr="004A72CD" w:rsidRDefault="00796FEB" w:rsidP="00D51F5A">
      <w:pPr>
        <w:spacing w:line="276" w:lineRule="auto"/>
        <w:ind w:firstLine="720"/>
        <w:jc w:val="both"/>
        <w:rPr>
          <w:rFonts w:asciiTheme="minorHAnsi" w:eastAsia="Calibri" w:hAnsiTheme="minorHAnsi" w:cstheme="minorHAnsi"/>
          <w:iCs/>
          <w:sz w:val="26"/>
          <w:szCs w:val="26"/>
        </w:rPr>
      </w:pPr>
      <w:r w:rsidRPr="004A72CD">
        <w:rPr>
          <w:rFonts w:asciiTheme="minorHAnsi" w:eastAsia="Calibri" w:hAnsiTheme="minorHAnsi" w:cstheme="minorHAnsi"/>
          <w:iCs/>
          <w:sz w:val="26"/>
          <w:szCs w:val="26"/>
        </w:rPr>
        <w:t>Rețeaua Europeană de Formare Judiciară (E</w:t>
      </w:r>
      <w:r w:rsidR="00BB3F48"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J</w:t>
      </w:r>
      <w:r w:rsidR="00BB3F48"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T</w:t>
      </w:r>
      <w:r w:rsidR="00BB3F48"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N</w:t>
      </w:r>
      <w:r w:rsidR="00BB3F48"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este o organizație înființată încă din anul 2000 la nivel european, care promovează și asigură formarea judiciară și schimbul de cunoștințe pentru un număr important de judecători, procurori și formatori, în principal în domeniul dreptului Uniunii Europene.</w:t>
      </w:r>
    </w:p>
    <w:p w14:paraId="03BDE5F5" w14:textId="29ED7315" w:rsidR="00796FEB" w:rsidRPr="004A72CD" w:rsidRDefault="00796FEB" w:rsidP="00D51F5A">
      <w:pPr>
        <w:spacing w:line="276" w:lineRule="auto"/>
        <w:ind w:firstLine="720"/>
        <w:jc w:val="both"/>
        <w:rPr>
          <w:rFonts w:asciiTheme="minorHAnsi" w:eastAsia="Calibri" w:hAnsiTheme="minorHAnsi" w:cstheme="minorHAnsi"/>
          <w:iCs/>
          <w:sz w:val="26"/>
          <w:szCs w:val="26"/>
        </w:rPr>
      </w:pPr>
      <w:r w:rsidRPr="004A72CD">
        <w:rPr>
          <w:rFonts w:asciiTheme="minorHAnsi" w:eastAsia="Calibri" w:hAnsiTheme="minorHAnsi" w:cstheme="minorHAnsi"/>
          <w:iCs/>
          <w:sz w:val="26"/>
          <w:szCs w:val="26"/>
        </w:rPr>
        <w:t>Începând cu anul 2021, prin Strategia 2021-2027 a E</w:t>
      </w:r>
      <w:r w:rsidR="00BB3F48"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J</w:t>
      </w:r>
      <w:r w:rsidR="00BB3F48"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T</w:t>
      </w:r>
      <w:r w:rsidR="00BB3F48"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N</w:t>
      </w:r>
      <w:r w:rsidR="00BB3F48"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xml:space="preserve"> s-a prevăzut noua axă de dezvoltare</w:t>
      </w:r>
      <w:r w:rsidR="00781895" w:rsidRPr="004A72CD">
        <w:rPr>
          <w:rFonts w:asciiTheme="minorHAnsi" w:eastAsia="Calibri" w:hAnsiTheme="minorHAnsi" w:cstheme="minorHAnsi"/>
          <w:iCs/>
          <w:sz w:val="26"/>
          <w:szCs w:val="26"/>
        </w:rPr>
        <w:t xml:space="preserve">, </w:t>
      </w:r>
      <w:r w:rsidRPr="004A72CD">
        <w:rPr>
          <w:rFonts w:asciiTheme="minorHAnsi" w:eastAsia="Calibri" w:hAnsiTheme="minorHAnsi" w:cstheme="minorHAnsi"/>
          <w:iCs/>
          <w:sz w:val="26"/>
          <w:szCs w:val="26"/>
        </w:rPr>
        <w:t>în sensul extinderii formării la nivel european a personalului auxiliar din instanțe și parchete.</w:t>
      </w:r>
    </w:p>
    <w:p w14:paraId="272BAD50" w14:textId="3894E15A" w:rsidR="00796FEB" w:rsidRPr="004A72CD" w:rsidRDefault="00796FEB" w:rsidP="00D51F5A">
      <w:pPr>
        <w:spacing w:line="276" w:lineRule="auto"/>
        <w:ind w:firstLine="720"/>
        <w:jc w:val="both"/>
        <w:rPr>
          <w:rFonts w:asciiTheme="minorHAnsi" w:eastAsia="Calibri" w:hAnsiTheme="minorHAnsi" w:cstheme="minorHAnsi"/>
          <w:iCs/>
          <w:sz w:val="26"/>
          <w:szCs w:val="26"/>
        </w:rPr>
      </w:pPr>
      <w:r w:rsidRPr="004A72CD">
        <w:rPr>
          <w:rFonts w:asciiTheme="minorHAnsi" w:eastAsia="Calibri" w:hAnsiTheme="minorHAnsi" w:cstheme="minorHAnsi"/>
          <w:iCs/>
          <w:sz w:val="26"/>
          <w:szCs w:val="26"/>
        </w:rPr>
        <w:t>Cu ocazia Adunării Generale a E</w:t>
      </w:r>
      <w:r w:rsidR="00BB3F48"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J</w:t>
      </w:r>
      <w:r w:rsidR="00BB3F48"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T</w:t>
      </w:r>
      <w:r w:rsidR="00BB3F48"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N</w:t>
      </w:r>
      <w:r w:rsidR="00BB3F48"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xml:space="preserve"> (European Judicial Training Network) din 17</w:t>
      </w:r>
      <w:r w:rsidR="00781895" w:rsidRPr="004A72CD">
        <w:rPr>
          <w:rFonts w:asciiTheme="minorHAnsi" w:eastAsia="Calibri" w:hAnsiTheme="minorHAnsi" w:cstheme="minorHAnsi"/>
          <w:iCs/>
          <w:sz w:val="26"/>
          <w:szCs w:val="26"/>
        </w:rPr>
        <w:t xml:space="preserve"> </w:t>
      </w:r>
      <w:r w:rsidR="00BB3F48" w:rsidRPr="004A72CD">
        <w:rPr>
          <w:rFonts w:asciiTheme="minorHAnsi" w:eastAsia="Calibri" w:hAnsiTheme="minorHAnsi" w:cstheme="minorHAnsi"/>
          <w:iCs/>
          <w:sz w:val="26"/>
          <w:szCs w:val="26"/>
        </w:rPr>
        <w:t>–</w:t>
      </w:r>
      <w:r w:rsidR="00781895" w:rsidRPr="004A72CD">
        <w:rPr>
          <w:rFonts w:asciiTheme="minorHAnsi" w:eastAsia="Calibri" w:hAnsiTheme="minorHAnsi" w:cstheme="minorHAnsi"/>
          <w:iCs/>
          <w:sz w:val="26"/>
          <w:szCs w:val="26"/>
        </w:rPr>
        <w:t xml:space="preserve"> </w:t>
      </w:r>
      <w:r w:rsidRPr="004A72CD">
        <w:rPr>
          <w:rFonts w:asciiTheme="minorHAnsi" w:eastAsia="Calibri" w:hAnsiTheme="minorHAnsi" w:cstheme="minorHAnsi"/>
          <w:iCs/>
          <w:sz w:val="26"/>
          <w:szCs w:val="26"/>
        </w:rPr>
        <w:t>18</w:t>
      </w:r>
      <w:r w:rsidR="00BB3F48" w:rsidRPr="004A72CD">
        <w:rPr>
          <w:rFonts w:asciiTheme="minorHAnsi" w:eastAsia="Calibri" w:hAnsiTheme="minorHAnsi" w:cstheme="minorHAnsi"/>
          <w:iCs/>
          <w:sz w:val="26"/>
          <w:szCs w:val="26"/>
        </w:rPr>
        <w:t>.06.</w:t>
      </w:r>
      <w:r w:rsidRPr="004A72CD">
        <w:rPr>
          <w:rFonts w:asciiTheme="minorHAnsi" w:eastAsia="Calibri" w:hAnsiTheme="minorHAnsi" w:cstheme="minorHAnsi"/>
          <w:iCs/>
          <w:sz w:val="26"/>
          <w:szCs w:val="26"/>
        </w:rPr>
        <w:t>2021, S</w:t>
      </w:r>
      <w:r w:rsidR="005F630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N</w:t>
      </w:r>
      <w:r w:rsidR="005F630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G</w:t>
      </w:r>
      <w:r w:rsidR="005F630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xml:space="preserve"> a dobândit statutul de membru asociat al acestei rețele.</w:t>
      </w:r>
    </w:p>
    <w:p w14:paraId="51A4B093" w14:textId="2CD1E734" w:rsidR="00796FEB" w:rsidRPr="004A72CD" w:rsidRDefault="00796FEB" w:rsidP="00D51F5A">
      <w:pPr>
        <w:spacing w:line="276" w:lineRule="auto"/>
        <w:ind w:firstLine="720"/>
        <w:jc w:val="both"/>
        <w:rPr>
          <w:rFonts w:asciiTheme="minorHAnsi" w:eastAsia="Calibri" w:hAnsiTheme="minorHAnsi" w:cstheme="minorHAnsi"/>
          <w:iCs/>
          <w:sz w:val="26"/>
          <w:szCs w:val="26"/>
        </w:rPr>
      </w:pPr>
      <w:r w:rsidRPr="004A72CD">
        <w:rPr>
          <w:rFonts w:asciiTheme="minorHAnsi" w:eastAsia="Calibri" w:hAnsiTheme="minorHAnsi" w:cstheme="minorHAnsi"/>
          <w:iCs/>
          <w:sz w:val="26"/>
          <w:szCs w:val="26"/>
        </w:rPr>
        <w:t xml:space="preserve">Dobândirea de către Școala Națională de </w:t>
      </w:r>
      <w:r w:rsidR="005F630C" w:rsidRPr="004A72CD">
        <w:rPr>
          <w:rFonts w:asciiTheme="minorHAnsi" w:eastAsia="Calibri" w:hAnsiTheme="minorHAnsi" w:cstheme="minorHAnsi"/>
          <w:iCs/>
          <w:sz w:val="26"/>
          <w:szCs w:val="26"/>
        </w:rPr>
        <w:t>G</w:t>
      </w:r>
      <w:r w:rsidRPr="004A72CD">
        <w:rPr>
          <w:rFonts w:asciiTheme="minorHAnsi" w:eastAsia="Calibri" w:hAnsiTheme="minorHAnsi" w:cstheme="minorHAnsi"/>
          <w:iCs/>
          <w:sz w:val="26"/>
          <w:szCs w:val="26"/>
        </w:rPr>
        <w:t>refieri a statutului de membru asociat al E</w:t>
      </w:r>
      <w:r w:rsidR="005F630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J</w:t>
      </w:r>
      <w:r w:rsidR="005F630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T</w:t>
      </w:r>
      <w:r w:rsidR="005F630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N</w:t>
      </w:r>
      <w:r w:rsidR="005F630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xml:space="preserve"> a permis accesarea programelor internaționale de formare ale rețelei de către personalul auxiliar din instanțe și parchete, ceea ce a reprezentat un pas însemnat înainte în domeniul formării acestor profesioniști ai dreptului din țara noastră, a căror importantă contribuție la înfăptuirea unui act de justiție de calitate este de necontestat.</w:t>
      </w:r>
    </w:p>
    <w:p w14:paraId="3616E16D" w14:textId="69D131A5" w:rsidR="00796FEB" w:rsidRPr="004A72CD" w:rsidRDefault="00796FEB" w:rsidP="00D51F5A">
      <w:pPr>
        <w:spacing w:line="276" w:lineRule="auto"/>
        <w:ind w:firstLine="720"/>
        <w:jc w:val="both"/>
        <w:rPr>
          <w:rFonts w:asciiTheme="minorHAnsi" w:eastAsia="Calibri" w:hAnsiTheme="minorHAnsi" w:cstheme="minorHAnsi"/>
          <w:iCs/>
          <w:sz w:val="26"/>
          <w:szCs w:val="26"/>
        </w:rPr>
      </w:pPr>
      <w:r w:rsidRPr="004A72CD">
        <w:rPr>
          <w:rFonts w:asciiTheme="minorHAnsi" w:eastAsia="Calibri" w:hAnsiTheme="minorHAnsi" w:cstheme="minorHAnsi"/>
          <w:iCs/>
          <w:sz w:val="26"/>
          <w:szCs w:val="26"/>
        </w:rPr>
        <w:lastRenderedPageBreak/>
        <w:t>Participarea grefierilor români la evenimentele de formare judiciară organizate de către E</w:t>
      </w:r>
      <w:r w:rsidR="005F630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J</w:t>
      </w:r>
      <w:r w:rsidR="005F630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T</w:t>
      </w:r>
      <w:r w:rsidR="005F630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N</w:t>
      </w:r>
      <w:r w:rsidR="005F630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xml:space="preserve"> reprezintă un pilon important al formării acestora în mai multe domenii, precum cooperarea internaţională în materie civilă şi penală şi dreptul Uniunii Europene. Totodată, schimbul de informaţii privind atribuţiile de zi cu zi ale grefierilor din spaţiul european, procedurile judiciare existente la nivelul fiecărui stat membru reprezintă o oportunitate pentru grefierii români să se familiarizeze cu diferitele sistemele de drept în scopul îmbunătăţirii propriilor rezultate.</w:t>
      </w:r>
    </w:p>
    <w:p w14:paraId="26D2ED43" w14:textId="45F96028" w:rsidR="00796FEB" w:rsidRPr="004A72CD" w:rsidRDefault="00796FEB" w:rsidP="00D51F5A">
      <w:pPr>
        <w:spacing w:line="276" w:lineRule="auto"/>
        <w:ind w:firstLine="720"/>
        <w:jc w:val="both"/>
        <w:rPr>
          <w:rFonts w:asciiTheme="minorHAnsi" w:eastAsia="Calibri" w:hAnsiTheme="minorHAnsi" w:cstheme="minorHAnsi"/>
          <w:iCs/>
          <w:sz w:val="26"/>
          <w:szCs w:val="26"/>
        </w:rPr>
      </w:pPr>
      <w:r w:rsidRPr="004A72CD">
        <w:rPr>
          <w:rFonts w:asciiTheme="minorHAnsi" w:eastAsia="Calibri" w:hAnsiTheme="minorHAnsi" w:cstheme="minorHAnsi"/>
          <w:iCs/>
          <w:sz w:val="26"/>
          <w:szCs w:val="26"/>
        </w:rPr>
        <w:t>Pentru a-şi atinge aceste obiective, Școala Națională de Grefieri a fost reprezentată în cursul anului 2024 la Adunarea Generală Extraordinară E</w:t>
      </w:r>
      <w:r w:rsidR="005F630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J</w:t>
      </w:r>
      <w:r w:rsidR="005F630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T</w:t>
      </w:r>
      <w:r w:rsidR="005F630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N</w:t>
      </w:r>
      <w:r w:rsidR="005F630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xml:space="preserve"> ce a avut loc la Bruxelles, în perioada 12</w:t>
      </w:r>
      <w:r w:rsidR="00781895" w:rsidRPr="004A72CD">
        <w:rPr>
          <w:rFonts w:asciiTheme="minorHAnsi" w:eastAsia="Calibri" w:hAnsiTheme="minorHAnsi" w:cstheme="minorHAnsi"/>
          <w:iCs/>
          <w:sz w:val="26"/>
          <w:szCs w:val="26"/>
        </w:rPr>
        <w:t xml:space="preserve"> </w:t>
      </w:r>
      <w:r w:rsidR="005F630C" w:rsidRPr="004A72CD">
        <w:rPr>
          <w:rFonts w:asciiTheme="minorHAnsi" w:eastAsia="Calibri" w:hAnsiTheme="minorHAnsi" w:cstheme="minorHAnsi"/>
          <w:iCs/>
          <w:sz w:val="26"/>
          <w:szCs w:val="26"/>
        </w:rPr>
        <w:t>–</w:t>
      </w:r>
      <w:r w:rsidR="00781895" w:rsidRPr="004A72CD">
        <w:rPr>
          <w:rFonts w:asciiTheme="minorHAnsi" w:eastAsia="Calibri" w:hAnsiTheme="minorHAnsi" w:cstheme="minorHAnsi"/>
          <w:iCs/>
          <w:sz w:val="26"/>
          <w:szCs w:val="26"/>
        </w:rPr>
        <w:t xml:space="preserve"> </w:t>
      </w:r>
      <w:r w:rsidRPr="004A72CD">
        <w:rPr>
          <w:rFonts w:asciiTheme="minorHAnsi" w:eastAsia="Calibri" w:hAnsiTheme="minorHAnsi" w:cstheme="minorHAnsi"/>
          <w:iCs/>
          <w:sz w:val="26"/>
          <w:szCs w:val="26"/>
        </w:rPr>
        <w:t>13</w:t>
      </w:r>
      <w:r w:rsidR="005F630C" w:rsidRPr="004A72CD">
        <w:rPr>
          <w:rFonts w:asciiTheme="minorHAnsi" w:eastAsia="Calibri" w:hAnsiTheme="minorHAnsi" w:cstheme="minorHAnsi"/>
          <w:iCs/>
          <w:sz w:val="26"/>
          <w:szCs w:val="26"/>
        </w:rPr>
        <w:t>.06.</w:t>
      </w:r>
      <w:r w:rsidRPr="004A72CD">
        <w:rPr>
          <w:rFonts w:asciiTheme="minorHAnsi" w:eastAsia="Calibri" w:hAnsiTheme="minorHAnsi" w:cstheme="minorHAnsi"/>
          <w:iCs/>
          <w:sz w:val="26"/>
          <w:szCs w:val="26"/>
        </w:rPr>
        <w:t>2024, precum și la Adunarea Generală E</w:t>
      </w:r>
      <w:r w:rsidR="00B3694F"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J</w:t>
      </w:r>
      <w:r w:rsidR="00B3694F"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T</w:t>
      </w:r>
      <w:r w:rsidR="00B3694F"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N</w:t>
      </w:r>
      <w:r w:rsidR="00B3694F"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xml:space="preserve"> desfășurată online, în data de 24 septembrie 2024.</w:t>
      </w:r>
    </w:p>
    <w:p w14:paraId="04E4F4F1" w14:textId="50F66C4B" w:rsidR="00796FEB" w:rsidRPr="004A72CD" w:rsidRDefault="00796FEB" w:rsidP="00D51F5A">
      <w:pPr>
        <w:spacing w:line="276" w:lineRule="auto"/>
        <w:ind w:firstLine="720"/>
        <w:jc w:val="both"/>
        <w:rPr>
          <w:rFonts w:asciiTheme="minorHAnsi" w:eastAsia="Calibri" w:hAnsiTheme="minorHAnsi" w:cstheme="minorHAnsi"/>
          <w:iCs/>
          <w:sz w:val="26"/>
          <w:szCs w:val="26"/>
        </w:rPr>
      </w:pPr>
      <w:r w:rsidRPr="004A72CD">
        <w:rPr>
          <w:rFonts w:asciiTheme="minorHAnsi" w:eastAsia="Calibri" w:hAnsiTheme="minorHAnsi" w:cstheme="minorHAnsi"/>
          <w:iCs/>
          <w:sz w:val="26"/>
          <w:szCs w:val="26"/>
        </w:rPr>
        <w:t>În cadrul celor două Adunări Generale E</w:t>
      </w:r>
      <w:r w:rsidR="00B3694F"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J</w:t>
      </w:r>
      <w:r w:rsidR="00B3694F"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T</w:t>
      </w:r>
      <w:r w:rsidR="00B3694F"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N</w:t>
      </w:r>
      <w:r w:rsidR="00B3694F"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xml:space="preserve"> din anul 2024, participanții au dezbătut cu precădere situația financiară a organizației, au fost aprobate conturile Rețelei pentru anul 2023 și a fost conturat planul de acțiune pentru anul 2024 în vederea surmontării dificultăților financiare.</w:t>
      </w:r>
    </w:p>
    <w:p w14:paraId="5E956D9B" w14:textId="4FBBA76F" w:rsidR="00796FEB" w:rsidRPr="004A72CD" w:rsidRDefault="00796FEB" w:rsidP="00D51F5A">
      <w:pPr>
        <w:spacing w:line="276" w:lineRule="auto"/>
        <w:ind w:firstLine="720"/>
        <w:jc w:val="both"/>
        <w:rPr>
          <w:rFonts w:asciiTheme="minorHAnsi" w:eastAsia="Calibri" w:hAnsiTheme="minorHAnsi" w:cstheme="minorHAnsi"/>
          <w:iCs/>
          <w:sz w:val="26"/>
          <w:szCs w:val="26"/>
        </w:rPr>
      </w:pPr>
      <w:r w:rsidRPr="004A72CD">
        <w:rPr>
          <w:rFonts w:asciiTheme="minorHAnsi" w:eastAsia="Calibri" w:hAnsiTheme="minorHAnsi" w:cstheme="minorHAnsi"/>
          <w:iCs/>
          <w:sz w:val="26"/>
          <w:szCs w:val="26"/>
        </w:rPr>
        <w:t>În considerarea calității de membru în grupurile și subgrupurile de lucru E</w:t>
      </w:r>
      <w:r w:rsidR="00B3694F"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J</w:t>
      </w:r>
      <w:r w:rsidR="00B3694F"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T</w:t>
      </w:r>
      <w:r w:rsidR="00B3694F"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N</w:t>
      </w:r>
      <w:r w:rsidR="00B3694F"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Şcoala Națională de Grefieri a asigurat participarea, prin reprezentanți, la reuniunile de lucru ce au avut loc atât fizic, cât și online, pe parcursul anului 2024.</w:t>
      </w:r>
    </w:p>
    <w:p w14:paraId="259ACC05" w14:textId="10B01409" w:rsidR="00796FEB" w:rsidRPr="004A72CD" w:rsidRDefault="00796FEB" w:rsidP="00D51F5A">
      <w:pPr>
        <w:spacing w:line="276" w:lineRule="auto"/>
        <w:ind w:firstLine="720"/>
        <w:jc w:val="both"/>
        <w:rPr>
          <w:rFonts w:asciiTheme="minorHAnsi" w:hAnsiTheme="minorHAnsi" w:cstheme="minorHAnsi"/>
          <w:color w:val="050505"/>
          <w:sz w:val="26"/>
          <w:szCs w:val="26"/>
          <w:shd w:val="clear" w:color="auto" w:fill="FFFFFF"/>
        </w:rPr>
      </w:pPr>
      <w:r w:rsidRPr="004A72CD">
        <w:rPr>
          <w:rFonts w:asciiTheme="minorHAnsi" w:eastAsia="Calibri" w:hAnsiTheme="minorHAnsi" w:cstheme="minorHAnsi"/>
          <w:iCs/>
          <w:sz w:val="26"/>
          <w:szCs w:val="26"/>
        </w:rPr>
        <w:t>Astfel, S</w:t>
      </w:r>
      <w:r w:rsidR="00B3694F"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N</w:t>
      </w:r>
      <w:r w:rsidR="00B3694F"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G</w:t>
      </w:r>
      <w:r w:rsidR="00B3694F"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xml:space="preserve"> a fost reprezentată la întâlnirea Punctelor Naționale de Contact, urmată de întâlnirea Grupului de lucru dedicat </w:t>
      </w:r>
      <w:r w:rsidRPr="004A72CD">
        <w:rPr>
          <w:rFonts w:asciiTheme="minorHAnsi" w:hAnsiTheme="minorHAnsi" w:cstheme="minorHAnsi"/>
          <w:color w:val="050505"/>
          <w:sz w:val="26"/>
          <w:szCs w:val="26"/>
          <w:shd w:val="clear" w:color="auto" w:fill="FFFFFF"/>
        </w:rPr>
        <w:t>Programului de schimburi E</w:t>
      </w:r>
      <w:r w:rsidR="00B3694F" w:rsidRPr="004A72CD">
        <w:rPr>
          <w:rFonts w:asciiTheme="minorHAnsi" w:hAnsiTheme="minorHAnsi" w:cstheme="minorHAnsi"/>
          <w:color w:val="050505"/>
          <w:sz w:val="26"/>
          <w:szCs w:val="26"/>
          <w:shd w:val="clear" w:color="auto" w:fill="FFFFFF"/>
        </w:rPr>
        <w:t>.</w:t>
      </w:r>
      <w:r w:rsidRPr="004A72CD">
        <w:rPr>
          <w:rFonts w:asciiTheme="minorHAnsi" w:hAnsiTheme="minorHAnsi" w:cstheme="minorHAnsi"/>
          <w:color w:val="050505"/>
          <w:sz w:val="26"/>
          <w:szCs w:val="26"/>
          <w:shd w:val="clear" w:color="auto" w:fill="FFFFFF"/>
        </w:rPr>
        <w:t>J</w:t>
      </w:r>
      <w:r w:rsidR="00B3694F" w:rsidRPr="004A72CD">
        <w:rPr>
          <w:rFonts w:asciiTheme="minorHAnsi" w:hAnsiTheme="minorHAnsi" w:cstheme="minorHAnsi"/>
          <w:color w:val="050505"/>
          <w:sz w:val="26"/>
          <w:szCs w:val="26"/>
          <w:shd w:val="clear" w:color="auto" w:fill="FFFFFF"/>
        </w:rPr>
        <w:t>.</w:t>
      </w:r>
      <w:r w:rsidRPr="004A72CD">
        <w:rPr>
          <w:rFonts w:asciiTheme="minorHAnsi" w:hAnsiTheme="minorHAnsi" w:cstheme="minorHAnsi"/>
          <w:color w:val="050505"/>
          <w:sz w:val="26"/>
          <w:szCs w:val="26"/>
          <w:shd w:val="clear" w:color="auto" w:fill="FFFFFF"/>
        </w:rPr>
        <w:t>T</w:t>
      </w:r>
      <w:r w:rsidR="00B3694F" w:rsidRPr="004A72CD">
        <w:rPr>
          <w:rFonts w:asciiTheme="minorHAnsi" w:hAnsiTheme="minorHAnsi" w:cstheme="minorHAnsi"/>
          <w:color w:val="050505"/>
          <w:sz w:val="26"/>
          <w:szCs w:val="26"/>
          <w:shd w:val="clear" w:color="auto" w:fill="FFFFFF"/>
        </w:rPr>
        <w:t>.</w:t>
      </w:r>
      <w:r w:rsidRPr="004A72CD">
        <w:rPr>
          <w:rFonts w:asciiTheme="minorHAnsi" w:hAnsiTheme="minorHAnsi" w:cstheme="minorHAnsi"/>
          <w:color w:val="050505"/>
          <w:sz w:val="26"/>
          <w:szCs w:val="26"/>
          <w:shd w:val="clear" w:color="auto" w:fill="FFFFFF"/>
        </w:rPr>
        <w:t>N</w:t>
      </w:r>
      <w:r w:rsidR="00B3694F" w:rsidRPr="004A72CD">
        <w:rPr>
          <w:rFonts w:asciiTheme="minorHAnsi" w:hAnsiTheme="minorHAnsi" w:cstheme="minorHAnsi"/>
          <w:color w:val="050505"/>
          <w:sz w:val="26"/>
          <w:szCs w:val="26"/>
          <w:shd w:val="clear" w:color="auto" w:fill="FFFFFF"/>
        </w:rPr>
        <w:t>.</w:t>
      </w:r>
      <w:r w:rsidRPr="004A72CD">
        <w:rPr>
          <w:rFonts w:asciiTheme="minorHAnsi" w:hAnsiTheme="minorHAnsi" w:cstheme="minorHAnsi"/>
          <w:color w:val="050505"/>
          <w:sz w:val="26"/>
          <w:szCs w:val="26"/>
          <w:shd w:val="clear" w:color="auto" w:fill="FFFFFF"/>
        </w:rPr>
        <w:t>, ce a avut loc în perioada 20</w:t>
      </w:r>
      <w:r w:rsidR="00781895" w:rsidRPr="004A72CD">
        <w:rPr>
          <w:rFonts w:asciiTheme="minorHAnsi" w:hAnsiTheme="minorHAnsi" w:cstheme="minorHAnsi"/>
          <w:color w:val="050505"/>
          <w:sz w:val="26"/>
          <w:szCs w:val="26"/>
          <w:shd w:val="clear" w:color="auto" w:fill="FFFFFF"/>
        </w:rPr>
        <w:t xml:space="preserve"> </w:t>
      </w:r>
      <w:r w:rsidR="00B3694F" w:rsidRPr="004A72CD">
        <w:rPr>
          <w:rFonts w:asciiTheme="minorHAnsi" w:hAnsiTheme="minorHAnsi" w:cstheme="minorHAnsi"/>
          <w:color w:val="050505"/>
          <w:sz w:val="26"/>
          <w:szCs w:val="26"/>
          <w:shd w:val="clear" w:color="auto" w:fill="FFFFFF"/>
        </w:rPr>
        <w:t>–</w:t>
      </w:r>
      <w:r w:rsidR="00781895" w:rsidRPr="004A72CD">
        <w:rPr>
          <w:rFonts w:asciiTheme="minorHAnsi" w:hAnsiTheme="minorHAnsi" w:cstheme="minorHAnsi"/>
          <w:color w:val="050505"/>
          <w:sz w:val="26"/>
          <w:szCs w:val="26"/>
          <w:shd w:val="clear" w:color="auto" w:fill="FFFFFF"/>
        </w:rPr>
        <w:t xml:space="preserve"> </w:t>
      </w:r>
      <w:r w:rsidRPr="004A72CD">
        <w:rPr>
          <w:rFonts w:asciiTheme="minorHAnsi" w:hAnsiTheme="minorHAnsi" w:cstheme="minorHAnsi"/>
          <w:color w:val="050505"/>
          <w:sz w:val="26"/>
          <w:szCs w:val="26"/>
          <w:shd w:val="clear" w:color="auto" w:fill="FFFFFF"/>
        </w:rPr>
        <w:t>22</w:t>
      </w:r>
      <w:r w:rsidR="00B3694F" w:rsidRPr="004A72CD">
        <w:rPr>
          <w:rFonts w:asciiTheme="minorHAnsi" w:hAnsiTheme="minorHAnsi" w:cstheme="minorHAnsi"/>
          <w:color w:val="050505"/>
          <w:sz w:val="26"/>
          <w:szCs w:val="26"/>
          <w:shd w:val="clear" w:color="auto" w:fill="FFFFFF"/>
        </w:rPr>
        <w:t>.03.</w:t>
      </w:r>
      <w:r w:rsidRPr="004A72CD">
        <w:rPr>
          <w:rFonts w:asciiTheme="minorHAnsi" w:hAnsiTheme="minorHAnsi" w:cstheme="minorHAnsi"/>
          <w:color w:val="050505"/>
          <w:sz w:val="26"/>
          <w:szCs w:val="26"/>
          <w:shd w:val="clear" w:color="auto" w:fill="FFFFFF"/>
        </w:rPr>
        <w:t>2024, în Barcelona, Spania. În cadrul celor două evenimente au fost discutate aspecte legate de activitatea grupului de lucru în anul 2024 și au fost planificate activitățile ce urmează să se desfășoare în anul 2025. Au fost atinse, printre altele, subiecte referitoare la nevoile de formare ale grefierilor, iar reprezentantul S</w:t>
      </w:r>
      <w:r w:rsidR="00FC066F" w:rsidRPr="004A72CD">
        <w:rPr>
          <w:rFonts w:asciiTheme="minorHAnsi" w:hAnsiTheme="minorHAnsi" w:cstheme="minorHAnsi"/>
          <w:color w:val="050505"/>
          <w:sz w:val="26"/>
          <w:szCs w:val="26"/>
          <w:shd w:val="clear" w:color="auto" w:fill="FFFFFF"/>
        </w:rPr>
        <w:t>.</w:t>
      </w:r>
      <w:r w:rsidRPr="004A72CD">
        <w:rPr>
          <w:rFonts w:asciiTheme="minorHAnsi" w:hAnsiTheme="minorHAnsi" w:cstheme="minorHAnsi"/>
          <w:color w:val="050505"/>
          <w:sz w:val="26"/>
          <w:szCs w:val="26"/>
          <w:shd w:val="clear" w:color="auto" w:fill="FFFFFF"/>
        </w:rPr>
        <w:t>N</w:t>
      </w:r>
      <w:r w:rsidR="00FC066F" w:rsidRPr="004A72CD">
        <w:rPr>
          <w:rFonts w:asciiTheme="minorHAnsi" w:hAnsiTheme="minorHAnsi" w:cstheme="minorHAnsi"/>
          <w:color w:val="050505"/>
          <w:sz w:val="26"/>
          <w:szCs w:val="26"/>
          <w:shd w:val="clear" w:color="auto" w:fill="FFFFFF"/>
        </w:rPr>
        <w:t>.</w:t>
      </w:r>
      <w:r w:rsidRPr="004A72CD">
        <w:rPr>
          <w:rFonts w:asciiTheme="minorHAnsi" w:hAnsiTheme="minorHAnsi" w:cstheme="minorHAnsi"/>
          <w:color w:val="050505"/>
          <w:sz w:val="26"/>
          <w:szCs w:val="26"/>
          <w:shd w:val="clear" w:color="auto" w:fill="FFFFFF"/>
        </w:rPr>
        <w:t>G</w:t>
      </w:r>
      <w:r w:rsidR="00FC066F" w:rsidRPr="004A72CD">
        <w:rPr>
          <w:rFonts w:asciiTheme="minorHAnsi" w:hAnsiTheme="minorHAnsi" w:cstheme="minorHAnsi"/>
          <w:color w:val="050505"/>
          <w:sz w:val="26"/>
          <w:szCs w:val="26"/>
          <w:shd w:val="clear" w:color="auto" w:fill="FFFFFF"/>
        </w:rPr>
        <w:t>.</w:t>
      </w:r>
      <w:r w:rsidRPr="004A72CD">
        <w:rPr>
          <w:rFonts w:asciiTheme="minorHAnsi" w:hAnsiTheme="minorHAnsi" w:cstheme="minorHAnsi"/>
          <w:color w:val="050505"/>
          <w:sz w:val="26"/>
          <w:szCs w:val="26"/>
          <w:shd w:val="clear" w:color="auto" w:fill="FFFFFF"/>
        </w:rPr>
        <w:t xml:space="preserve"> va face parte dintr-un grup ”Ad-hoc” pentru redactarea unor bune practici referitoare la schimburile judiciare dedicate grefierilor.</w:t>
      </w:r>
    </w:p>
    <w:p w14:paraId="3E91A732" w14:textId="28FEFE09" w:rsidR="00796FEB" w:rsidRPr="004A72CD" w:rsidRDefault="00796FEB" w:rsidP="00D51F5A">
      <w:pPr>
        <w:spacing w:line="276" w:lineRule="auto"/>
        <w:ind w:firstLine="720"/>
        <w:jc w:val="both"/>
        <w:rPr>
          <w:rFonts w:asciiTheme="minorHAnsi" w:eastAsia="Calibri" w:hAnsiTheme="minorHAnsi" w:cstheme="minorHAnsi"/>
          <w:iCs/>
          <w:sz w:val="26"/>
          <w:szCs w:val="26"/>
        </w:rPr>
      </w:pPr>
      <w:r w:rsidRPr="004A72CD">
        <w:rPr>
          <w:rFonts w:asciiTheme="minorHAnsi" w:hAnsiTheme="minorHAnsi" w:cstheme="minorHAnsi"/>
          <w:color w:val="050505"/>
          <w:sz w:val="26"/>
          <w:szCs w:val="26"/>
          <w:shd w:val="clear" w:color="auto" w:fill="FFFFFF"/>
        </w:rPr>
        <w:t>În perioada 17</w:t>
      </w:r>
      <w:r w:rsidR="00781895" w:rsidRPr="004A72CD">
        <w:rPr>
          <w:rFonts w:asciiTheme="minorHAnsi" w:hAnsiTheme="minorHAnsi" w:cstheme="minorHAnsi"/>
          <w:color w:val="050505"/>
          <w:sz w:val="26"/>
          <w:szCs w:val="26"/>
          <w:shd w:val="clear" w:color="auto" w:fill="FFFFFF"/>
        </w:rPr>
        <w:t xml:space="preserve"> </w:t>
      </w:r>
      <w:r w:rsidR="00FC066F" w:rsidRPr="004A72CD">
        <w:rPr>
          <w:rFonts w:asciiTheme="minorHAnsi" w:hAnsiTheme="minorHAnsi" w:cstheme="minorHAnsi"/>
          <w:color w:val="050505"/>
          <w:sz w:val="26"/>
          <w:szCs w:val="26"/>
          <w:shd w:val="clear" w:color="auto" w:fill="FFFFFF"/>
        </w:rPr>
        <w:t>–</w:t>
      </w:r>
      <w:r w:rsidR="00781895" w:rsidRPr="004A72CD">
        <w:rPr>
          <w:rFonts w:asciiTheme="minorHAnsi" w:hAnsiTheme="minorHAnsi" w:cstheme="minorHAnsi"/>
          <w:color w:val="050505"/>
          <w:sz w:val="26"/>
          <w:szCs w:val="26"/>
          <w:shd w:val="clear" w:color="auto" w:fill="FFFFFF"/>
        </w:rPr>
        <w:t xml:space="preserve"> </w:t>
      </w:r>
      <w:r w:rsidRPr="004A72CD">
        <w:rPr>
          <w:rFonts w:asciiTheme="minorHAnsi" w:hAnsiTheme="minorHAnsi" w:cstheme="minorHAnsi"/>
          <w:color w:val="050505"/>
          <w:sz w:val="26"/>
          <w:szCs w:val="26"/>
          <w:shd w:val="clear" w:color="auto" w:fill="FFFFFF"/>
        </w:rPr>
        <w:t>18</w:t>
      </w:r>
      <w:r w:rsidR="00FC066F" w:rsidRPr="004A72CD">
        <w:rPr>
          <w:rFonts w:asciiTheme="minorHAnsi" w:hAnsiTheme="minorHAnsi" w:cstheme="minorHAnsi"/>
          <w:color w:val="050505"/>
          <w:sz w:val="26"/>
          <w:szCs w:val="26"/>
          <w:shd w:val="clear" w:color="auto" w:fill="FFFFFF"/>
        </w:rPr>
        <w:t>.10.</w:t>
      </w:r>
      <w:r w:rsidRPr="004A72CD">
        <w:rPr>
          <w:rFonts w:asciiTheme="minorHAnsi" w:hAnsiTheme="minorHAnsi" w:cstheme="minorHAnsi"/>
          <w:color w:val="050505"/>
          <w:sz w:val="26"/>
          <w:szCs w:val="26"/>
          <w:shd w:val="clear" w:color="auto" w:fill="FFFFFF"/>
        </w:rPr>
        <w:t>2024 a avut loc cea de-a doua întâlnire a Grupului de lucru dedicat Programului de Schimburi E</w:t>
      </w:r>
      <w:r w:rsidR="00FC066F" w:rsidRPr="004A72CD">
        <w:rPr>
          <w:rFonts w:asciiTheme="minorHAnsi" w:hAnsiTheme="minorHAnsi" w:cstheme="minorHAnsi"/>
          <w:color w:val="050505"/>
          <w:sz w:val="26"/>
          <w:szCs w:val="26"/>
          <w:shd w:val="clear" w:color="auto" w:fill="FFFFFF"/>
        </w:rPr>
        <w:t>.</w:t>
      </w:r>
      <w:r w:rsidRPr="004A72CD">
        <w:rPr>
          <w:rFonts w:asciiTheme="minorHAnsi" w:hAnsiTheme="minorHAnsi" w:cstheme="minorHAnsi"/>
          <w:color w:val="050505"/>
          <w:sz w:val="26"/>
          <w:szCs w:val="26"/>
          <w:shd w:val="clear" w:color="auto" w:fill="FFFFFF"/>
        </w:rPr>
        <w:t>J</w:t>
      </w:r>
      <w:r w:rsidR="00FC066F" w:rsidRPr="004A72CD">
        <w:rPr>
          <w:rFonts w:asciiTheme="minorHAnsi" w:hAnsiTheme="minorHAnsi" w:cstheme="minorHAnsi"/>
          <w:color w:val="050505"/>
          <w:sz w:val="26"/>
          <w:szCs w:val="26"/>
          <w:shd w:val="clear" w:color="auto" w:fill="FFFFFF"/>
        </w:rPr>
        <w:t>.</w:t>
      </w:r>
      <w:r w:rsidRPr="004A72CD">
        <w:rPr>
          <w:rFonts w:asciiTheme="minorHAnsi" w:hAnsiTheme="minorHAnsi" w:cstheme="minorHAnsi"/>
          <w:color w:val="050505"/>
          <w:sz w:val="26"/>
          <w:szCs w:val="26"/>
          <w:shd w:val="clear" w:color="auto" w:fill="FFFFFF"/>
        </w:rPr>
        <w:t>T</w:t>
      </w:r>
      <w:r w:rsidR="00FC066F" w:rsidRPr="004A72CD">
        <w:rPr>
          <w:rFonts w:asciiTheme="minorHAnsi" w:hAnsiTheme="minorHAnsi" w:cstheme="minorHAnsi"/>
          <w:color w:val="050505"/>
          <w:sz w:val="26"/>
          <w:szCs w:val="26"/>
          <w:shd w:val="clear" w:color="auto" w:fill="FFFFFF"/>
        </w:rPr>
        <w:t>.</w:t>
      </w:r>
      <w:r w:rsidRPr="004A72CD">
        <w:rPr>
          <w:rFonts w:asciiTheme="minorHAnsi" w:hAnsiTheme="minorHAnsi" w:cstheme="minorHAnsi"/>
          <w:color w:val="050505"/>
          <w:sz w:val="26"/>
          <w:szCs w:val="26"/>
          <w:shd w:val="clear" w:color="auto" w:fill="FFFFFF"/>
        </w:rPr>
        <w:t>N</w:t>
      </w:r>
      <w:r w:rsidR="00FC066F" w:rsidRPr="004A72CD">
        <w:rPr>
          <w:rFonts w:asciiTheme="minorHAnsi" w:hAnsiTheme="minorHAnsi" w:cstheme="minorHAnsi"/>
          <w:color w:val="050505"/>
          <w:sz w:val="26"/>
          <w:szCs w:val="26"/>
          <w:shd w:val="clear" w:color="auto" w:fill="FFFFFF"/>
        </w:rPr>
        <w:t>.</w:t>
      </w:r>
      <w:r w:rsidRPr="004A72CD">
        <w:rPr>
          <w:rFonts w:asciiTheme="minorHAnsi" w:hAnsiTheme="minorHAnsi" w:cstheme="minorHAnsi"/>
          <w:color w:val="050505"/>
          <w:sz w:val="26"/>
          <w:szCs w:val="26"/>
          <w:shd w:val="clear" w:color="auto" w:fill="FFFFFF"/>
        </w:rPr>
        <w:t>, online, cu participarea reprezentantului S</w:t>
      </w:r>
      <w:r w:rsidR="00FC066F" w:rsidRPr="004A72CD">
        <w:rPr>
          <w:rFonts w:asciiTheme="minorHAnsi" w:hAnsiTheme="minorHAnsi" w:cstheme="minorHAnsi"/>
          <w:color w:val="050505"/>
          <w:sz w:val="26"/>
          <w:szCs w:val="26"/>
          <w:shd w:val="clear" w:color="auto" w:fill="FFFFFF"/>
        </w:rPr>
        <w:t>.</w:t>
      </w:r>
      <w:r w:rsidRPr="004A72CD">
        <w:rPr>
          <w:rFonts w:asciiTheme="minorHAnsi" w:hAnsiTheme="minorHAnsi" w:cstheme="minorHAnsi"/>
          <w:color w:val="050505"/>
          <w:sz w:val="26"/>
          <w:szCs w:val="26"/>
          <w:shd w:val="clear" w:color="auto" w:fill="FFFFFF"/>
        </w:rPr>
        <w:t>N</w:t>
      </w:r>
      <w:r w:rsidR="00FC066F" w:rsidRPr="004A72CD">
        <w:rPr>
          <w:rFonts w:asciiTheme="minorHAnsi" w:hAnsiTheme="minorHAnsi" w:cstheme="minorHAnsi"/>
          <w:color w:val="050505"/>
          <w:sz w:val="26"/>
          <w:szCs w:val="26"/>
          <w:shd w:val="clear" w:color="auto" w:fill="FFFFFF"/>
        </w:rPr>
        <w:t>.</w:t>
      </w:r>
      <w:r w:rsidRPr="004A72CD">
        <w:rPr>
          <w:rFonts w:asciiTheme="minorHAnsi" w:hAnsiTheme="minorHAnsi" w:cstheme="minorHAnsi"/>
          <w:color w:val="050505"/>
          <w:sz w:val="26"/>
          <w:szCs w:val="26"/>
          <w:shd w:val="clear" w:color="auto" w:fill="FFFFFF"/>
        </w:rPr>
        <w:t>G</w:t>
      </w:r>
      <w:r w:rsidR="00FC066F" w:rsidRPr="004A72CD">
        <w:rPr>
          <w:rFonts w:asciiTheme="minorHAnsi" w:hAnsiTheme="minorHAnsi" w:cstheme="minorHAnsi"/>
          <w:color w:val="050505"/>
          <w:sz w:val="26"/>
          <w:szCs w:val="26"/>
          <w:shd w:val="clear" w:color="auto" w:fill="FFFFFF"/>
        </w:rPr>
        <w:t>.</w:t>
      </w:r>
      <w:r w:rsidRPr="004A72CD">
        <w:rPr>
          <w:rFonts w:asciiTheme="minorHAnsi" w:hAnsiTheme="minorHAnsi" w:cstheme="minorHAnsi"/>
          <w:color w:val="050505"/>
          <w:sz w:val="26"/>
          <w:szCs w:val="26"/>
          <w:shd w:val="clear" w:color="auto" w:fill="FFFFFF"/>
        </w:rPr>
        <w:t>. Cu acest prilej, au fost dezbătute în principal aspecte privind situația schimburilor desfășurate în anul 2024 și planificarea acestora pentru anul 2025.</w:t>
      </w:r>
    </w:p>
    <w:p w14:paraId="74C7F8A9" w14:textId="77777777" w:rsidR="00796FEB" w:rsidRPr="004A72CD" w:rsidRDefault="00796FEB" w:rsidP="00D51F5A">
      <w:pPr>
        <w:spacing w:line="276" w:lineRule="auto"/>
        <w:ind w:firstLine="720"/>
        <w:jc w:val="both"/>
        <w:rPr>
          <w:rFonts w:asciiTheme="minorHAnsi" w:hAnsiTheme="minorHAnsi" w:cstheme="minorHAnsi"/>
          <w:color w:val="050505"/>
          <w:sz w:val="26"/>
          <w:szCs w:val="26"/>
          <w:shd w:val="clear" w:color="auto" w:fill="FFFFFF"/>
        </w:rPr>
      </w:pPr>
      <w:r w:rsidRPr="004A72CD">
        <w:rPr>
          <w:rFonts w:asciiTheme="minorHAnsi" w:hAnsiTheme="minorHAnsi" w:cstheme="minorHAnsi"/>
          <w:color w:val="050505"/>
          <w:sz w:val="26"/>
          <w:szCs w:val="26"/>
          <w:shd w:val="clear" w:color="auto" w:fill="FFFFFF"/>
        </w:rPr>
        <w:t>De asemenea, au fost organizate două întâlniri extraordinare ale acestui grup de lucru, în lunile august și septembrie 2024, fiind dezbătut statusul activităților planificate în a doua jumătate a anului 2024, respectiv lansarea înscrierilor pentru schimburile ce se vor desfășura în anul 2025.</w:t>
      </w:r>
    </w:p>
    <w:p w14:paraId="369B60E2" w14:textId="0920F3C5" w:rsidR="00796FEB" w:rsidRPr="004A72CD" w:rsidRDefault="00796FEB" w:rsidP="00D51F5A">
      <w:pPr>
        <w:spacing w:line="276" w:lineRule="auto"/>
        <w:ind w:firstLine="720"/>
        <w:jc w:val="both"/>
        <w:rPr>
          <w:rFonts w:asciiTheme="minorHAnsi" w:hAnsiTheme="minorHAnsi" w:cstheme="minorHAnsi"/>
          <w:color w:val="050505"/>
          <w:sz w:val="26"/>
          <w:szCs w:val="26"/>
          <w:shd w:val="clear" w:color="auto" w:fill="FFFFFF"/>
        </w:rPr>
      </w:pPr>
      <w:r w:rsidRPr="004A72CD">
        <w:rPr>
          <w:rFonts w:asciiTheme="minorHAnsi" w:eastAsia="Calibri" w:hAnsiTheme="minorHAnsi" w:cstheme="minorHAnsi"/>
          <w:iCs/>
          <w:sz w:val="26"/>
          <w:szCs w:val="26"/>
        </w:rPr>
        <w:t xml:space="preserve">Având în vedere activitatea principală a Grupului de lucru </w:t>
      </w:r>
      <w:r w:rsidRPr="004A72CD">
        <w:rPr>
          <w:rFonts w:asciiTheme="minorHAnsi" w:hAnsiTheme="minorHAnsi" w:cstheme="minorHAnsi"/>
          <w:color w:val="050505"/>
          <w:sz w:val="26"/>
          <w:szCs w:val="26"/>
          <w:shd w:val="clear" w:color="auto" w:fill="FFFFFF"/>
        </w:rPr>
        <w:t>dedicat Programului de Schimburi E</w:t>
      </w:r>
      <w:r w:rsidR="00B54E7C" w:rsidRPr="004A72CD">
        <w:rPr>
          <w:rFonts w:asciiTheme="minorHAnsi" w:hAnsiTheme="minorHAnsi" w:cstheme="minorHAnsi"/>
          <w:color w:val="050505"/>
          <w:sz w:val="26"/>
          <w:szCs w:val="26"/>
          <w:shd w:val="clear" w:color="auto" w:fill="FFFFFF"/>
        </w:rPr>
        <w:t>.</w:t>
      </w:r>
      <w:r w:rsidRPr="004A72CD">
        <w:rPr>
          <w:rFonts w:asciiTheme="minorHAnsi" w:hAnsiTheme="minorHAnsi" w:cstheme="minorHAnsi"/>
          <w:color w:val="050505"/>
          <w:sz w:val="26"/>
          <w:szCs w:val="26"/>
          <w:shd w:val="clear" w:color="auto" w:fill="FFFFFF"/>
        </w:rPr>
        <w:t>J</w:t>
      </w:r>
      <w:r w:rsidR="00B54E7C" w:rsidRPr="004A72CD">
        <w:rPr>
          <w:rFonts w:asciiTheme="minorHAnsi" w:hAnsiTheme="minorHAnsi" w:cstheme="minorHAnsi"/>
          <w:color w:val="050505"/>
          <w:sz w:val="26"/>
          <w:szCs w:val="26"/>
          <w:shd w:val="clear" w:color="auto" w:fill="FFFFFF"/>
        </w:rPr>
        <w:t>.</w:t>
      </w:r>
      <w:r w:rsidRPr="004A72CD">
        <w:rPr>
          <w:rFonts w:asciiTheme="minorHAnsi" w:hAnsiTheme="minorHAnsi" w:cstheme="minorHAnsi"/>
          <w:color w:val="050505"/>
          <w:sz w:val="26"/>
          <w:szCs w:val="26"/>
          <w:shd w:val="clear" w:color="auto" w:fill="FFFFFF"/>
        </w:rPr>
        <w:t>T</w:t>
      </w:r>
      <w:r w:rsidR="00B54E7C" w:rsidRPr="004A72CD">
        <w:rPr>
          <w:rFonts w:asciiTheme="minorHAnsi" w:hAnsiTheme="minorHAnsi" w:cstheme="minorHAnsi"/>
          <w:color w:val="050505"/>
          <w:sz w:val="26"/>
          <w:szCs w:val="26"/>
          <w:shd w:val="clear" w:color="auto" w:fill="FFFFFF"/>
        </w:rPr>
        <w:t>.</w:t>
      </w:r>
      <w:r w:rsidRPr="004A72CD">
        <w:rPr>
          <w:rFonts w:asciiTheme="minorHAnsi" w:hAnsiTheme="minorHAnsi" w:cstheme="minorHAnsi"/>
          <w:color w:val="050505"/>
          <w:sz w:val="26"/>
          <w:szCs w:val="26"/>
          <w:shd w:val="clear" w:color="auto" w:fill="FFFFFF"/>
        </w:rPr>
        <w:t>N</w:t>
      </w:r>
      <w:r w:rsidR="00B54E7C" w:rsidRPr="004A72CD">
        <w:rPr>
          <w:rFonts w:asciiTheme="minorHAnsi" w:hAnsiTheme="minorHAnsi" w:cstheme="minorHAnsi"/>
          <w:color w:val="050505"/>
          <w:sz w:val="26"/>
          <w:szCs w:val="26"/>
          <w:shd w:val="clear" w:color="auto" w:fill="FFFFFF"/>
        </w:rPr>
        <w:t>.</w:t>
      </w:r>
      <w:r w:rsidRPr="004A72CD">
        <w:rPr>
          <w:rFonts w:asciiTheme="minorHAnsi" w:hAnsiTheme="minorHAnsi" w:cstheme="minorHAnsi"/>
          <w:color w:val="050505"/>
          <w:sz w:val="26"/>
          <w:szCs w:val="26"/>
          <w:shd w:val="clear" w:color="auto" w:fill="FFFFFF"/>
        </w:rPr>
        <w:t>, respectiv aceea de a crea cadrul pentru realizarea schimburilor de experiență și a vizitelor de studiu, Școala Națională de Grefieri a facilitat participarea, în cursul anului 2024, a unui număr însemnat de grefieri români în cadrul acestor activități, după cum urmează:</w:t>
      </w:r>
    </w:p>
    <w:p w14:paraId="01E090C0" w14:textId="5560DE7A" w:rsidR="00796FEB" w:rsidRPr="004A72CD" w:rsidRDefault="00796FEB" w:rsidP="00D51F5A">
      <w:pPr>
        <w:spacing w:line="276" w:lineRule="auto"/>
        <w:ind w:firstLine="720"/>
        <w:jc w:val="both"/>
        <w:rPr>
          <w:rFonts w:asciiTheme="minorHAnsi" w:eastAsia="Calibri" w:hAnsiTheme="minorHAnsi" w:cstheme="minorHAnsi"/>
          <w:iCs/>
          <w:sz w:val="26"/>
          <w:szCs w:val="26"/>
        </w:rPr>
      </w:pPr>
      <w:r w:rsidRPr="004A72CD">
        <w:rPr>
          <w:rFonts w:asciiTheme="minorHAnsi" w:eastAsia="Calibri" w:hAnsiTheme="minorHAnsi" w:cstheme="minorHAnsi"/>
          <w:iCs/>
          <w:sz w:val="26"/>
          <w:szCs w:val="26"/>
        </w:rPr>
        <w:t>În cadrul „Programului de schimburi generale pentru grefieri” pentru anul 2024 (ST/GEN-CS/2024) au participat 16 grefieri români, în cadrul schimburilor de grup ori individuale la instanţe și parchete, după caz, din Italia, Finlanda, Spania, Portugalia, Grecia, Ungaria, Polonia, Croația, Franța, Lituania, Germania, în perioada ianuarie</w:t>
      </w:r>
      <w:r w:rsidR="00781895" w:rsidRPr="004A72CD">
        <w:rPr>
          <w:rFonts w:asciiTheme="minorHAnsi" w:eastAsia="Calibri" w:hAnsiTheme="minorHAnsi" w:cstheme="minorHAnsi"/>
          <w:iCs/>
          <w:sz w:val="26"/>
          <w:szCs w:val="26"/>
        </w:rPr>
        <w:t xml:space="preserve"> </w:t>
      </w:r>
      <w:r w:rsidRPr="004A72CD">
        <w:rPr>
          <w:rFonts w:asciiTheme="minorHAnsi" w:eastAsia="Calibri" w:hAnsiTheme="minorHAnsi" w:cstheme="minorHAnsi"/>
          <w:iCs/>
          <w:sz w:val="26"/>
          <w:szCs w:val="26"/>
        </w:rPr>
        <w:t>-</w:t>
      </w:r>
      <w:r w:rsidR="00781895" w:rsidRPr="004A72CD">
        <w:rPr>
          <w:rFonts w:asciiTheme="minorHAnsi" w:eastAsia="Calibri" w:hAnsiTheme="minorHAnsi" w:cstheme="minorHAnsi"/>
          <w:iCs/>
          <w:sz w:val="26"/>
          <w:szCs w:val="26"/>
        </w:rPr>
        <w:t xml:space="preserve"> n</w:t>
      </w:r>
      <w:r w:rsidRPr="004A72CD">
        <w:rPr>
          <w:rFonts w:asciiTheme="minorHAnsi" w:eastAsia="Calibri" w:hAnsiTheme="minorHAnsi" w:cstheme="minorHAnsi"/>
          <w:iCs/>
          <w:sz w:val="26"/>
          <w:szCs w:val="26"/>
        </w:rPr>
        <w:t xml:space="preserve">oiembrie 2024. De asemenea, în cursul anului 2024, un număr de 16 grefieri străini au fost primiţi la instanţele judecătoreşti </w:t>
      </w:r>
      <w:bookmarkStart w:id="53" w:name="_Hlk178858148"/>
      <w:r w:rsidRPr="004A72CD">
        <w:rPr>
          <w:rFonts w:asciiTheme="minorHAnsi" w:eastAsia="Calibri" w:hAnsiTheme="minorHAnsi" w:cstheme="minorHAnsi"/>
          <w:iCs/>
          <w:sz w:val="26"/>
          <w:szCs w:val="26"/>
        </w:rPr>
        <w:t>şi la parchetele din România în cadrul schimburilor generale de grup şi individuale adresate grefierilor.</w:t>
      </w:r>
    </w:p>
    <w:bookmarkEnd w:id="53"/>
    <w:p w14:paraId="1F1DD6A4" w14:textId="46313E3C" w:rsidR="00796FEB" w:rsidRPr="004A72CD" w:rsidRDefault="00796FEB" w:rsidP="00D51F5A">
      <w:pPr>
        <w:spacing w:line="276" w:lineRule="auto"/>
        <w:ind w:firstLine="720"/>
        <w:jc w:val="both"/>
        <w:rPr>
          <w:rFonts w:asciiTheme="minorHAnsi" w:eastAsia="Calibri" w:hAnsiTheme="minorHAnsi" w:cstheme="minorHAnsi"/>
          <w:iCs/>
          <w:sz w:val="26"/>
          <w:szCs w:val="26"/>
        </w:rPr>
      </w:pPr>
      <w:r w:rsidRPr="004A72CD">
        <w:rPr>
          <w:rFonts w:asciiTheme="minorHAnsi" w:eastAsia="Calibri" w:hAnsiTheme="minorHAnsi" w:cstheme="minorHAnsi"/>
          <w:iCs/>
          <w:sz w:val="26"/>
          <w:szCs w:val="26"/>
        </w:rPr>
        <w:t xml:space="preserve">În cadrul „Programului de schimburi pentru grefierii formatori” pentru anul 2024 (ST/TRAINER/2024) au participat 3 grefieri români, în cadrul schimburilor de grup la instanţe din </w:t>
      </w:r>
      <w:r w:rsidRPr="004A72CD">
        <w:rPr>
          <w:rFonts w:asciiTheme="minorHAnsi" w:eastAsia="Calibri" w:hAnsiTheme="minorHAnsi" w:cstheme="minorHAnsi"/>
          <w:iCs/>
          <w:sz w:val="26"/>
          <w:szCs w:val="26"/>
        </w:rPr>
        <w:lastRenderedPageBreak/>
        <w:t>Olanda, Cehia și Portugalia, în perioada ianuarie</w:t>
      </w:r>
      <w:r w:rsidR="00781895" w:rsidRPr="004A72CD">
        <w:rPr>
          <w:rFonts w:asciiTheme="minorHAnsi" w:eastAsia="Calibri" w:hAnsiTheme="minorHAnsi" w:cstheme="minorHAnsi"/>
          <w:iCs/>
          <w:sz w:val="26"/>
          <w:szCs w:val="26"/>
        </w:rPr>
        <w:t xml:space="preserve"> </w:t>
      </w:r>
      <w:r w:rsidRPr="004A72CD">
        <w:rPr>
          <w:rFonts w:asciiTheme="minorHAnsi" w:eastAsia="Calibri" w:hAnsiTheme="minorHAnsi" w:cstheme="minorHAnsi"/>
          <w:iCs/>
          <w:sz w:val="26"/>
          <w:szCs w:val="26"/>
        </w:rPr>
        <w:t>-</w:t>
      </w:r>
      <w:r w:rsidR="00781895" w:rsidRPr="004A72CD">
        <w:rPr>
          <w:rFonts w:asciiTheme="minorHAnsi" w:eastAsia="Calibri" w:hAnsiTheme="minorHAnsi" w:cstheme="minorHAnsi"/>
          <w:iCs/>
          <w:sz w:val="26"/>
          <w:szCs w:val="26"/>
        </w:rPr>
        <w:t xml:space="preserve"> </w:t>
      </w:r>
      <w:r w:rsidRPr="004A72CD">
        <w:rPr>
          <w:rFonts w:asciiTheme="minorHAnsi" w:eastAsia="Calibri" w:hAnsiTheme="minorHAnsi" w:cstheme="minorHAnsi"/>
          <w:iCs/>
          <w:sz w:val="26"/>
          <w:szCs w:val="26"/>
        </w:rPr>
        <w:t>septembrie 2024. Schimburile vizează familiarizarea formatorilor grefieri cu sistemele judiciare din alte state, precum şi schimbul de bune practici în domeniul formării şi al activității grefierilor, ca personal auxiliar din justiție.</w:t>
      </w:r>
    </w:p>
    <w:p w14:paraId="56C01098" w14:textId="77777777" w:rsidR="00796FEB" w:rsidRPr="004A72CD" w:rsidRDefault="00796FEB" w:rsidP="00D51F5A">
      <w:pPr>
        <w:spacing w:line="276" w:lineRule="auto"/>
        <w:ind w:firstLine="720"/>
        <w:jc w:val="both"/>
        <w:rPr>
          <w:rFonts w:asciiTheme="minorHAnsi" w:eastAsia="Calibri" w:hAnsiTheme="minorHAnsi" w:cstheme="minorHAnsi"/>
          <w:iCs/>
          <w:sz w:val="26"/>
          <w:szCs w:val="26"/>
        </w:rPr>
      </w:pPr>
      <w:r w:rsidRPr="004A72CD">
        <w:rPr>
          <w:rFonts w:asciiTheme="minorHAnsi" w:eastAsia="Calibri" w:hAnsiTheme="minorHAnsi" w:cstheme="minorHAnsi"/>
          <w:iCs/>
          <w:sz w:val="26"/>
          <w:szCs w:val="26"/>
        </w:rPr>
        <w:t>Totodată, în luna iunie 2024, 4 grefieri formatori străini au fost primiţi la Şcoala Naţională de Grefieri în cadrul programului de schimburi pentru grefierii formatori.</w:t>
      </w:r>
    </w:p>
    <w:p w14:paraId="21497ED9" w14:textId="77777777" w:rsidR="00796FEB" w:rsidRPr="004A72CD" w:rsidRDefault="00796FEB" w:rsidP="00D51F5A">
      <w:pPr>
        <w:spacing w:line="276" w:lineRule="auto"/>
        <w:ind w:firstLine="720"/>
        <w:jc w:val="both"/>
        <w:rPr>
          <w:rFonts w:asciiTheme="minorHAnsi" w:eastAsia="Calibri" w:hAnsiTheme="minorHAnsi" w:cstheme="minorHAnsi"/>
          <w:iCs/>
          <w:sz w:val="26"/>
          <w:szCs w:val="26"/>
        </w:rPr>
      </w:pPr>
      <w:r w:rsidRPr="004A72CD">
        <w:rPr>
          <w:rFonts w:asciiTheme="minorHAnsi" w:eastAsia="Calibri" w:hAnsiTheme="minorHAnsi" w:cstheme="minorHAnsi"/>
          <w:iCs/>
          <w:sz w:val="26"/>
          <w:szCs w:val="26"/>
        </w:rPr>
        <w:t>În cadrul „Programului de schimburi pentru grefierii cu funcții de conducere” pentru anul 2024 (ST/LEADER/2024), un număr de 3 grefieri străini au fost găzduiți, pentru o săptămână, la o instanță din România (Curtea de Apel București).</w:t>
      </w:r>
    </w:p>
    <w:p w14:paraId="1B940654" w14:textId="61B379AE" w:rsidR="00796FEB" w:rsidRPr="004A72CD" w:rsidRDefault="00796FEB" w:rsidP="00D51F5A">
      <w:pPr>
        <w:spacing w:line="276" w:lineRule="auto"/>
        <w:ind w:firstLine="720"/>
        <w:jc w:val="both"/>
        <w:rPr>
          <w:rFonts w:asciiTheme="minorHAnsi" w:eastAsia="Calibri" w:hAnsiTheme="minorHAnsi" w:cstheme="minorHAnsi"/>
          <w:iCs/>
          <w:sz w:val="26"/>
          <w:szCs w:val="26"/>
        </w:rPr>
      </w:pPr>
      <w:r w:rsidRPr="004A72CD">
        <w:rPr>
          <w:rFonts w:asciiTheme="minorHAnsi" w:eastAsia="Calibri" w:hAnsiTheme="minorHAnsi" w:cstheme="minorHAnsi"/>
          <w:iCs/>
          <w:sz w:val="26"/>
          <w:szCs w:val="26"/>
        </w:rPr>
        <w:t>În cadrul „Programului de schimburi specializate pentru grefieri” pentru anul 2024 (ST/SPE/2024) au participat 5 grefieri români, în cadrul schimburilor de grup ori individuale la instanţe din Germania, Italia şi Portugalia, în perioada ianuarie</w:t>
      </w:r>
      <w:r w:rsidR="004B3E16" w:rsidRPr="004A72CD">
        <w:rPr>
          <w:rFonts w:asciiTheme="minorHAnsi" w:eastAsia="Calibri" w:hAnsiTheme="minorHAnsi" w:cstheme="minorHAnsi"/>
          <w:iCs/>
          <w:sz w:val="26"/>
          <w:szCs w:val="26"/>
        </w:rPr>
        <w:t xml:space="preserve"> </w:t>
      </w:r>
      <w:r w:rsidRPr="004A72CD">
        <w:rPr>
          <w:rFonts w:asciiTheme="minorHAnsi" w:eastAsia="Calibri" w:hAnsiTheme="minorHAnsi" w:cstheme="minorHAnsi"/>
          <w:iCs/>
          <w:sz w:val="26"/>
          <w:szCs w:val="26"/>
        </w:rPr>
        <w:t>-</w:t>
      </w:r>
      <w:r w:rsidR="004B3E16" w:rsidRPr="004A72CD">
        <w:rPr>
          <w:rFonts w:asciiTheme="minorHAnsi" w:eastAsia="Calibri" w:hAnsiTheme="minorHAnsi" w:cstheme="minorHAnsi"/>
          <w:iCs/>
          <w:sz w:val="26"/>
          <w:szCs w:val="26"/>
        </w:rPr>
        <w:t xml:space="preserve"> </w:t>
      </w:r>
      <w:r w:rsidRPr="004A72CD">
        <w:rPr>
          <w:rFonts w:asciiTheme="minorHAnsi" w:eastAsia="Calibri" w:hAnsiTheme="minorHAnsi" w:cstheme="minorHAnsi"/>
          <w:iCs/>
          <w:sz w:val="26"/>
          <w:szCs w:val="26"/>
        </w:rPr>
        <w:t>septembrie 2024. Totodată, în cursul anului 2024, 5 grefieri străini au fost primiţi la instanţele şi la parchetele din România în cadrul schimburilor specializate de grup şi individuale.</w:t>
      </w:r>
    </w:p>
    <w:p w14:paraId="18C38089" w14:textId="4334A60F" w:rsidR="00796FEB" w:rsidRPr="004A72CD" w:rsidRDefault="00796FEB" w:rsidP="00D51F5A">
      <w:pPr>
        <w:spacing w:line="276" w:lineRule="auto"/>
        <w:ind w:firstLine="720"/>
        <w:jc w:val="both"/>
        <w:rPr>
          <w:rFonts w:asciiTheme="minorHAnsi" w:eastAsia="Calibri" w:hAnsiTheme="minorHAnsi" w:cstheme="minorHAnsi"/>
          <w:iCs/>
          <w:sz w:val="26"/>
          <w:szCs w:val="26"/>
        </w:rPr>
      </w:pPr>
      <w:r w:rsidRPr="004A72CD">
        <w:rPr>
          <w:rFonts w:asciiTheme="minorHAnsi" w:eastAsia="Calibri" w:hAnsiTheme="minorHAnsi" w:cstheme="minorHAnsi"/>
          <w:iCs/>
          <w:sz w:val="26"/>
          <w:szCs w:val="26"/>
        </w:rPr>
        <w:t>În cadrul vizitelor de studiu organizate de E</w:t>
      </w:r>
      <w:r w:rsidR="004237A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J</w:t>
      </w:r>
      <w:r w:rsidR="004237A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T</w:t>
      </w:r>
      <w:r w:rsidR="004237A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N</w:t>
      </w:r>
      <w:r w:rsidR="004237A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xml:space="preserve"> la Curtea de Justiţie a Uniunii Europene (C</w:t>
      </w:r>
      <w:r w:rsidR="004237A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J</w:t>
      </w:r>
      <w:r w:rsidR="004237A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U</w:t>
      </w:r>
      <w:r w:rsidR="004237A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E</w:t>
      </w:r>
      <w:r w:rsidR="004237A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Curtea Europeană a Drepturilor Omului (C</w:t>
      </w:r>
      <w:r w:rsidR="004237A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E</w:t>
      </w:r>
      <w:r w:rsidR="004237A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D</w:t>
      </w:r>
      <w:r w:rsidR="004237A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O</w:t>
      </w:r>
      <w:r w:rsidR="004237A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instituţiile europene (Parlamentul European, Comisia Europeană), Agenția Europeană a Drepturilor Omului (F</w:t>
      </w:r>
      <w:r w:rsidR="004237A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R</w:t>
      </w:r>
      <w:r w:rsidR="004237A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A</w:t>
      </w:r>
      <w:r w:rsidR="004237A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precum și la Conferința de la Haga privind Dreptul Internațional Privat (E</w:t>
      </w:r>
      <w:r w:rsidR="004237A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C</w:t>
      </w:r>
      <w:r w:rsidR="004237A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C</w:t>
      </w:r>
      <w:r w:rsidR="004237A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H</w:t>
      </w:r>
      <w:r w:rsidR="004237AC"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în perioada ianuarie</w:t>
      </w:r>
      <w:r w:rsidR="00FB4C07" w:rsidRPr="004A72CD">
        <w:rPr>
          <w:rFonts w:asciiTheme="minorHAnsi" w:eastAsia="Calibri" w:hAnsiTheme="minorHAnsi" w:cstheme="minorHAnsi"/>
          <w:iCs/>
          <w:sz w:val="26"/>
          <w:szCs w:val="26"/>
        </w:rPr>
        <w:t xml:space="preserve"> </w:t>
      </w:r>
      <w:r w:rsidRPr="004A72CD">
        <w:rPr>
          <w:rFonts w:asciiTheme="minorHAnsi" w:eastAsia="Calibri" w:hAnsiTheme="minorHAnsi" w:cstheme="minorHAnsi"/>
          <w:iCs/>
          <w:sz w:val="26"/>
          <w:szCs w:val="26"/>
        </w:rPr>
        <w:t>-</w:t>
      </w:r>
      <w:r w:rsidR="00FB4C07" w:rsidRPr="004A72CD">
        <w:rPr>
          <w:rFonts w:asciiTheme="minorHAnsi" w:eastAsia="Calibri" w:hAnsiTheme="minorHAnsi" w:cstheme="minorHAnsi"/>
          <w:iCs/>
          <w:sz w:val="26"/>
          <w:szCs w:val="26"/>
        </w:rPr>
        <w:t xml:space="preserve"> noiembrie</w:t>
      </w:r>
      <w:r w:rsidRPr="004A72CD">
        <w:rPr>
          <w:rFonts w:asciiTheme="minorHAnsi" w:eastAsia="Calibri" w:hAnsiTheme="minorHAnsi" w:cstheme="minorHAnsi"/>
          <w:iCs/>
          <w:sz w:val="26"/>
          <w:szCs w:val="26"/>
        </w:rPr>
        <w:t xml:space="preserve"> 2024, au participat 1</w:t>
      </w:r>
      <w:r w:rsidR="00FB4C07" w:rsidRPr="004A72CD">
        <w:rPr>
          <w:rFonts w:asciiTheme="minorHAnsi" w:eastAsia="Calibri" w:hAnsiTheme="minorHAnsi" w:cstheme="minorHAnsi"/>
          <w:iCs/>
          <w:sz w:val="26"/>
          <w:szCs w:val="26"/>
        </w:rPr>
        <w:t>3</w:t>
      </w:r>
      <w:r w:rsidRPr="004A72CD">
        <w:rPr>
          <w:rFonts w:asciiTheme="minorHAnsi" w:eastAsia="Calibri" w:hAnsiTheme="minorHAnsi" w:cstheme="minorHAnsi"/>
          <w:iCs/>
          <w:sz w:val="26"/>
          <w:szCs w:val="26"/>
        </w:rPr>
        <w:t xml:space="preserve"> grefieri români. Organizate pentru grupuri de participanți de diferite naționalități, vizitele de studiu oferă beneficiarilor informații despre funcționarea și procedurile instituțiilor gazdă.</w:t>
      </w:r>
    </w:p>
    <w:p w14:paraId="1F26CE34" w14:textId="6A56E8FD" w:rsidR="00796FEB" w:rsidRPr="004A72CD" w:rsidRDefault="00796FEB"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Școala Națională de Grefieri a fost reprezentată și la întâlnirea Grupului de lucru E</w:t>
      </w:r>
      <w:r w:rsidR="004237AC" w:rsidRPr="004A72CD">
        <w:rPr>
          <w:rFonts w:asciiTheme="minorHAnsi" w:hAnsiTheme="minorHAnsi" w:cstheme="minorHAnsi"/>
          <w:sz w:val="26"/>
          <w:szCs w:val="26"/>
        </w:rPr>
        <w:t>.</w:t>
      </w:r>
      <w:r w:rsidRPr="004A72CD">
        <w:rPr>
          <w:rFonts w:asciiTheme="minorHAnsi" w:hAnsiTheme="minorHAnsi" w:cstheme="minorHAnsi"/>
          <w:sz w:val="26"/>
          <w:szCs w:val="26"/>
        </w:rPr>
        <w:t>J</w:t>
      </w:r>
      <w:r w:rsidR="004237AC" w:rsidRPr="004A72CD">
        <w:rPr>
          <w:rFonts w:asciiTheme="minorHAnsi" w:hAnsiTheme="minorHAnsi" w:cstheme="minorHAnsi"/>
          <w:sz w:val="26"/>
          <w:szCs w:val="26"/>
        </w:rPr>
        <w:t>.</w:t>
      </w:r>
      <w:r w:rsidRPr="004A72CD">
        <w:rPr>
          <w:rFonts w:asciiTheme="minorHAnsi" w:hAnsiTheme="minorHAnsi" w:cstheme="minorHAnsi"/>
          <w:sz w:val="26"/>
          <w:szCs w:val="26"/>
        </w:rPr>
        <w:t>T</w:t>
      </w:r>
      <w:r w:rsidR="004237AC" w:rsidRPr="004A72CD">
        <w:rPr>
          <w:rFonts w:asciiTheme="minorHAnsi" w:hAnsiTheme="minorHAnsi" w:cstheme="minorHAnsi"/>
          <w:sz w:val="26"/>
          <w:szCs w:val="26"/>
        </w:rPr>
        <w:t>.</w:t>
      </w:r>
      <w:r w:rsidRPr="004A72CD">
        <w:rPr>
          <w:rFonts w:asciiTheme="minorHAnsi" w:hAnsiTheme="minorHAnsi" w:cstheme="minorHAnsi"/>
          <w:sz w:val="26"/>
          <w:szCs w:val="26"/>
        </w:rPr>
        <w:t>N</w:t>
      </w:r>
      <w:r w:rsidR="004237AC" w:rsidRPr="004A72CD">
        <w:rPr>
          <w:rFonts w:asciiTheme="minorHAnsi" w:hAnsiTheme="minorHAnsi" w:cstheme="minorHAnsi"/>
          <w:sz w:val="26"/>
          <w:szCs w:val="26"/>
        </w:rPr>
        <w:t>.</w:t>
      </w:r>
      <w:r w:rsidRPr="004A72CD">
        <w:rPr>
          <w:rFonts w:asciiTheme="minorHAnsi" w:hAnsiTheme="minorHAnsi" w:cstheme="minorHAnsi"/>
          <w:sz w:val="26"/>
          <w:szCs w:val="26"/>
        </w:rPr>
        <w:t xml:space="preserve"> </w:t>
      </w:r>
      <w:r w:rsidR="009A5594" w:rsidRPr="004A72CD">
        <w:rPr>
          <w:rFonts w:asciiTheme="minorHAnsi" w:hAnsiTheme="minorHAnsi" w:cstheme="minorHAnsi"/>
          <w:sz w:val="26"/>
          <w:szCs w:val="26"/>
        </w:rPr>
        <w:t>„</w:t>
      </w:r>
      <w:r w:rsidRPr="004A72CD">
        <w:rPr>
          <w:rFonts w:asciiTheme="minorHAnsi" w:hAnsiTheme="minorHAnsi" w:cstheme="minorHAnsi"/>
          <w:sz w:val="26"/>
          <w:szCs w:val="26"/>
        </w:rPr>
        <w:t>Programe”, care a avut loc la Paris, în perioada 29</w:t>
      </w:r>
      <w:r w:rsidR="00FB4C07" w:rsidRPr="004A72CD">
        <w:rPr>
          <w:rFonts w:asciiTheme="minorHAnsi" w:hAnsiTheme="minorHAnsi" w:cstheme="minorHAnsi"/>
          <w:sz w:val="26"/>
          <w:szCs w:val="26"/>
        </w:rPr>
        <w:t xml:space="preserve"> </w:t>
      </w:r>
      <w:r w:rsidR="004237AC" w:rsidRPr="004A72CD">
        <w:rPr>
          <w:rFonts w:asciiTheme="minorHAnsi" w:hAnsiTheme="minorHAnsi" w:cstheme="minorHAnsi"/>
          <w:sz w:val="26"/>
          <w:szCs w:val="26"/>
        </w:rPr>
        <w:t>–</w:t>
      </w:r>
      <w:r w:rsidR="00FB4C07" w:rsidRPr="004A72CD">
        <w:rPr>
          <w:rFonts w:asciiTheme="minorHAnsi" w:hAnsiTheme="minorHAnsi" w:cstheme="minorHAnsi"/>
          <w:sz w:val="26"/>
          <w:szCs w:val="26"/>
        </w:rPr>
        <w:t xml:space="preserve"> </w:t>
      </w:r>
      <w:r w:rsidRPr="004A72CD">
        <w:rPr>
          <w:rFonts w:asciiTheme="minorHAnsi" w:hAnsiTheme="minorHAnsi" w:cstheme="minorHAnsi"/>
          <w:sz w:val="26"/>
          <w:szCs w:val="26"/>
        </w:rPr>
        <w:t>30</w:t>
      </w:r>
      <w:r w:rsidR="004237AC" w:rsidRPr="004A72CD">
        <w:rPr>
          <w:rFonts w:asciiTheme="minorHAnsi" w:hAnsiTheme="minorHAnsi" w:cstheme="minorHAnsi"/>
          <w:sz w:val="26"/>
          <w:szCs w:val="26"/>
        </w:rPr>
        <w:t>.04.</w:t>
      </w:r>
      <w:r w:rsidRPr="004A72CD">
        <w:rPr>
          <w:rFonts w:asciiTheme="minorHAnsi" w:hAnsiTheme="minorHAnsi" w:cstheme="minorHAnsi"/>
          <w:sz w:val="26"/>
          <w:szCs w:val="26"/>
        </w:rPr>
        <w:t>2024, unde s-au discutat aspecte ce au rezultat din întâlnirile de lucru ale subgrupurilor E</w:t>
      </w:r>
      <w:r w:rsidR="004237AC" w:rsidRPr="004A72CD">
        <w:rPr>
          <w:rFonts w:asciiTheme="minorHAnsi" w:hAnsiTheme="minorHAnsi" w:cstheme="minorHAnsi"/>
          <w:sz w:val="26"/>
          <w:szCs w:val="26"/>
        </w:rPr>
        <w:t>.</w:t>
      </w:r>
      <w:r w:rsidRPr="004A72CD">
        <w:rPr>
          <w:rFonts w:asciiTheme="minorHAnsi" w:hAnsiTheme="minorHAnsi" w:cstheme="minorHAnsi"/>
          <w:sz w:val="26"/>
          <w:szCs w:val="26"/>
        </w:rPr>
        <w:t>J</w:t>
      </w:r>
      <w:r w:rsidR="004237AC" w:rsidRPr="004A72CD">
        <w:rPr>
          <w:rFonts w:asciiTheme="minorHAnsi" w:hAnsiTheme="minorHAnsi" w:cstheme="minorHAnsi"/>
          <w:sz w:val="26"/>
          <w:szCs w:val="26"/>
        </w:rPr>
        <w:t>.</w:t>
      </w:r>
      <w:r w:rsidRPr="004A72CD">
        <w:rPr>
          <w:rFonts w:asciiTheme="minorHAnsi" w:hAnsiTheme="minorHAnsi" w:cstheme="minorHAnsi"/>
          <w:sz w:val="26"/>
          <w:szCs w:val="26"/>
        </w:rPr>
        <w:t>T</w:t>
      </w:r>
      <w:r w:rsidR="004237AC" w:rsidRPr="004A72CD">
        <w:rPr>
          <w:rFonts w:asciiTheme="minorHAnsi" w:hAnsiTheme="minorHAnsi" w:cstheme="minorHAnsi"/>
          <w:sz w:val="26"/>
          <w:szCs w:val="26"/>
        </w:rPr>
        <w:t>.</w:t>
      </w:r>
      <w:r w:rsidRPr="004A72CD">
        <w:rPr>
          <w:rFonts w:asciiTheme="minorHAnsi" w:hAnsiTheme="minorHAnsi" w:cstheme="minorHAnsi"/>
          <w:sz w:val="26"/>
          <w:szCs w:val="26"/>
        </w:rPr>
        <w:t>N</w:t>
      </w:r>
      <w:r w:rsidR="004237AC" w:rsidRPr="004A72CD">
        <w:rPr>
          <w:rFonts w:asciiTheme="minorHAnsi" w:hAnsiTheme="minorHAnsi" w:cstheme="minorHAnsi"/>
          <w:sz w:val="26"/>
          <w:szCs w:val="26"/>
        </w:rPr>
        <w:t>.</w:t>
      </w:r>
      <w:r w:rsidRPr="004A72CD">
        <w:rPr>
          <w:rFonts w:asciiTheme="minorHAnsi" w:hAnsiTheme="minorHAnsi" w:cstheme="minorHAnsi"/>
          <w:sz w:val="26"/>
          <w:szCs w:val="26"/>
        </w:rPr>
        <w:t xml:space="preserve"> și s-au luat decizii cu privire la activitatea desfășurată de toate aceste subgrupuri de lucru. Principalele puncte de discuție au vizat chestiuni legate de digitalizare, elaborarea catalogului online de activități pentru anul 2025; s-au evidențiat nevoile de formare pentru anul 2025 și a fost prezentat progresul în legătură cu organizarea celei de a treia ediții a Judges@Europe Forum.</w:t>
      </w:r>
    </w:p>
    <w:p w14:paraId="2EC170D7" w14:textId="0DD28CBE" w:rsidR="00796FEB" w:rsidRPr="004A72CD" w:rsidRDefault="00796FEB" w:rsidP="00D51F5A">
      <w:pPr>
        <w:spacing w:line="276" w:lineRule="auto"/>
        <w:jc w:val="both"/>
        <w:rPr>
          <w:rFonts w:asciiTheme="minorHAnsi" w:hAnsiTheme="minorHAnsi" w:cstheme="minorHAnsi"/>
          <w:sz w:val="26"/>
          <w:szCs w:val="26"/>
        </w:rPr>
      </w:pPr>
      <w:r w:rsidRPr="004A72CD">
        <w:rPr>
          <w:rFonts w:asciiTheme="minorHAnsi" w:hAnsiTheme="minorHAnsi" w:cstheme="minorHAnsi"/>
          <w:sz w:val="26"/>
          <w:szCs w:val="26"/>
        </w:rPr>
        <w:tab/>
        <w:t xml:space="preserve">În perioada </w:t>
      </w:r>
      <w:r w:rsidR="00F80341" w:rsidRPr="004A72CD">
        <w:rPr>
          <w:rFonts w:asciiTheme="minorHAnsi" w:hAnsiTheme="minorHAnsi" w:cstheme="minorHAnsi"/>
          <w:sz w:val="26"/>
          <w:szCs w:val="26"/>
        </w:rPr>
        <w:t>0</w:t>
      </w:r>
      <w:r w:rsidRPr="004A72CD">
        <w:rPr>
          <w:rFonts w:asciiTheme="minorHAnsi" w:hAnsiTheme="minorHAnsi" w:cstheme="minorHAnsi"/>
          <w:sz w:val="26"/>
          <w:szCs w:val="26"/>
        </w:rPr>
        <w:t>8</w:t>
      </w:r>
      <w:r w:rsidR="00FB4C07" w:rsidRPr="004A72CD">
        <w:rPr>
          <w:rFonts w:asciiTheme="minorHAnsi" w:hAnsiTheme="minorHAnsi" w:cstheme="minorHAnsi"/>
          <w:sz w:val="26"/>
          <w:szCs w:val="26"/>
        </w:rPr>
        <w:t xml:space="preserve"> </w:t>
      </w:r>
      <w:r w:rsidR="00131A1B" w:rsidRPr="004A72CD">
        <w:rPr>
          <w:rFonts w:asciiTheme="minorHAnsi" w:hAnsiTheme="minorHAnsi" w:cstheme="minorHAnsi"/>
          <w:sz w:val="26"/>
          <w:szCs w:val="26"/>
        </w:rPr>
        <w:t>–</w:t>
      </w:r>
      <w:r w:rsidR="00FB4C07" w:rsidRPr="004A72CD">
        <w:rPr>
          <w:rFonts w:asciiTheme="minorHAnsi" w:hAnsiTheme="minorHAnsi" w:cstheme="minorHAnsi"/>
          <w:sz w:val="26"/>
          <w:szCs w:val="26"/>
        </w:rPr>
        <w:t xml:space="preserve"> </w:t>
      </w:r>
      <w:r w:rsidR="00F80341" w:rsidRPr="004A72CD">
        <w:rPr>
          <w:rFonts w:asciiTheme="minorHAnsi" w:hAnsiTheme="minorHAnsi" w:cstheme="minorHAnsi"/>
          <w:sz w:val="26"/>
          <w:szCs w:val="26"/>
        </w:rPr>
        <w:t>0</w:t>
      </w:r>
      <w:r w:rsidRPr="004A72CD">
        <w:rPr>
          <w:rFonts w:asciiTheme="minorHAnsi" w:hAnsiTheme="minorHAnsi" w:cstheme="minorHAnsi"/>
          <w:sz w:val="26"/>
          <w:szCs w:val="26"/>
        </w:rPr>
        <w:t>9</w:t>
      </w:r>
      <w:r w:rsidR="00131A1B" w:rsidRPr="004A72CD">
        <w:rPr>
          <w:rFonts w:asciiTheme="minorHAnsi" w:hAnsiTheme="minorHAnsi" w:cstheme="minorHAnsi"/>
          <w:sz w:val="26"/>
          <w:szCs w:val="26"/>
        </w:rPr>
        <w:t>.10.</w:t>
      </w:r>
      <w:r w:rsidRPr="004A72CD">
        <w:rPr>
          <w:rFonts w:asciiTheme="minorHAnsi" w:hAnsiTheme="minorHAnsi" w:cstheme="minorHAnsi"/>
          <w:sz w:val="26"/>
          <w:szCs w:val="26"/>
        </w:rPr>
        <w:t>2024 s-a desfășurat a doua întâlnire a grupului de lucru E</w:t>
      </w:r>
      <w:r w:rsidR="00205142" w:rsidRPr="004A72CD">
        <w:rPr>
          <w:rFonts w:asciiTheme="minorHAnsi" w:hAnsiTheme="minorHAnsi" w:cstheme="minorHAnsi"/>
          <w:sz w:val="26"/>
          <w:szCs w:val="26"/>
        </w:rPr>
        <w:t>.</w:t>
      </w:r>
      <w:r w:rsidRPr="004A72CD">
        <w:rPr>
          <w:rFonts w:asciiTheme="minorHAnsi" w:hAnsiTheme="minorHAnsi" w:cstheme="minorHAnsi"/>
          <w:sz w:val="26"/>
          <w:szCs w:val="26"/>
        </w:rPr>
        <w:t>J</w:t>
      </w:r>
      <w:r w:rsidR="00205142" w:rsidRPr="004A72CD">
        <w:rPr>
          <w:rFonts w:asciiTheme="minorHAnsi" w:hAnsiTheme="minorHAnsi" w:cstheme="minorHAnsi"/>
          <w:sz w:val="26"/>
          <w:szCs w:val="26"/>
        </w:rPr>
        <w:t>.</w:t>
      </w:r>
      <w:r w:rsidRPr="004A72CD">
        <w:rPr>
          <w:rFonts w:asciiTheme="minorHAnsi" w:hAnsiTheme="minorHAnsi" w:cstheme="minorHAnsi"/>
          <w:sz w:val="26"/>
          <w:szCs w:val="26"/>
        </w:rPr>
        <w:t>T</w:t>
      </w:r>
      <w:r w:rsidR="00205142" w:rsidRPr="004A72CD">
        <w:rPr>
          <w:rFonts w:asciiTheme="minorHAnsi" w:hAnsiTheme="minorHAnsi" w:cstheme="minorHAnsi"/>
          <w:sz w:val="26"/>
          <w:szCs w:val="26"/>
        </w:rPr>
        <w:t>.</w:t>
      </w:r>
      <w:r w:rsidRPr="004A72CD">
        <w:rPr>
          <w:rFonts w:asciiTheme="minorHAnsi" w:hAnsiTheme="minorHAnsi" w:cstheme="minorHAnsi"/>
          <w:sz w:val="26"/>
          <w:szCs w:val="26"/>
        </w:rPr>
        <w:t>N</w:t>
      </w:r>
      <w:r w:rsidR="00205142" w:rsidRPr="004A72CD">
        <w:rPr>
          <w:rFonts w:asciiTheme="minorHAnsi" w:hAnsiTheme="minorHAnsi" w:cstheme="minorHAnsi"/>
          <w:sz w:val="26"/>
          <w:szCs w:val="26"/>
        </w:rPr>
        <w:t>.</w:t>
      </w:r>
      <w:r w:rsidRPr="004A72CD">
        <w:rPr>
          <w:rFonts w:asciiTheme="minorHAnsi" w:hAnsiTheme="minorHAnsi" w:cstheme="minorHAnsi"/>
          <w:sz w:val="26"/>
          <w:szCs w:val="26"/>
        </w:rPr>
        <w:t xml:space="preserve"> </w:t>
      </w:r>
      <w:r w:rsidR="009A5594" w:rsidRPr="004A72CD">
        <w:rPr>
          <w:rFonts w:asciiTheme="minorHAnsi" w:hAnsiTheme="minorHAnsi" w:cstheme="minorHAnsi"/>
          <w:sz w:val="26"/>
          <w:szCs w:val="26"/>
        </w:rPr>
        <w:t>„</w:t>
      </w:r>
      <w:r w:rsidRPr="004A72CD">
        <w:rPr>
          <w:rFonts w:asciiTheme="minorHAnsi" w:hAnsiTheme="minorHAnsi" w:cstheme="minorHAnsi"/>
          <w:sz w:val="26"/>
          <w:szCs w:val="26"/>
        </w:rPr>
        <w:t>Programe”, online, la care a participat și un reprezentant al Școlii Naționale de Grefieri. Au fost prezentate motivele transformării seminarelor face-to-face din a doua jumătate a anului 2024 în sesiuni de formare online, respectiv apariția unor dificultăți financiare și a fost dezbătută necesitatea luării și a altor astfel de măsuri pentru diminuarea cheltuielilor în perioada următoare. A fost făcută o sinteză a tuturor activităților de formare ce urmează să aibă loc în anul 2025</w:t>
      </w:r>
      <w:r w:rsidR="00FB4C07" w:rsidRPr="004A72CD">
        <w:rPr>
          <w:rFonts w:asciiTheme="minorHAnsi" w:hAnsiTheme="minorHAnsi" w:cstheme="minorHAnsi"/>
          <w:sz w:val="26"/>
          <w:szCs w:val="26"/>
        </w:rPr>
        <w:t xml:space="preserve">, fiind </w:t>
      </w:r>
      <w:r w:rsidRPr="004A72CD">
        <w:rPr>
          <w:rFonts w:asciiTheme="minorHAnsi" w:hAnsiTheme="minorHAnsi" w:cstheme="minorHAnsi"/>
          <w:sz w:val="26"/>
          <w:szCs w:val="26"/>
        </w:rPr>
        <w:t xml:space="preserve">abordate câteva chestiuni care au privit exclusiv pregătirea grefierilor, legate de asigurarea posibilității participării la cât mai multe activități, </w:t>
      </w:r>
      <w:r w:rsidR="00FB4C07" w:rsidRPr="004A72CD">
        <w:rPr>
          <w:rFonts w:asciiTheme="minorHAnsi" w:hAnsiTheme="minorHAnsi" w:cstheme="minorHAnsi"/>
          <w:sz w:val="26"/>
          <w:szCs w:val="26"/>
        </w:rPr>
        <w:t>şi s-a luat</w:t>
      </w:r>
      <w:r w:rsidRPr="004A72CD">
        <w:rPr>
          <w:rFonts w:asciiTheme="minorHAnsi" w:hAnsiTheme="minorHAnsi" w:cstheme="minorHAnsi"/>
          <w:sz w:val="26"/>
          <w:szCs w:val="26"/>
        </w:rPr>
        <w:t xml:space="preserve"> decizia ca o activitate de pregătire să fie dedicată exclusiv acestora. S-a amintit din nou importanța pe care Comisia Europeană o acordă digitalizării, stabilindu-se că, în perioada următoare, pentru E</w:t>
      </w:r>
      <w:r w:rsidR="000211C3" w:rsidRPr="004A72CD">
        <w:rPr>
          <w:rFonts w:asciiTheme="minorHAnsi" w:hAnsiTheme="minorHAnsi" w:cstheme="minorHAnsi"/>
          <w:sz w:val="26"/>
          <w:szCs w:val="26"/>
        </w:rPr>
        <w:t>.</w:t>
      </w:r>
      <w:r w:rsidRPr="004A72CD">
        <w:rPr>
          <w:rFonts w:asciiTheme="minorHAnsi" w:hAnsiTheme="minorHAnsi" w:cstheme="minorHAnsi"/>
          <w:sz w:val="26"/>
          <w:szCs w:val="26"/>
        </w:rPr>
        <w:t>J</w:t>
      </w:r>
      <w:r w:rsidR="000211C3" w:rsidRPr="004A72CD">
        <w:rPr>
          <w:rFonts w:asciiTheme="minorHAnsi" w:hAnsiTheme="minorHAnsi" w:cstheme="minorHAnsi"/>
          <w:sz w:val="26"/>
          <w:szCs w:val="26"/>
        </w:rPr>
        <w:t>.</w:t>
      </w:r>
      <w:r w:rsidRPr="004A72CD">
        <w:rPr>
          <w:rFonts w:asciiTheme="minorHAnsi" w:hAnsiTheme="minorHAnsi" w:cstheme="minorHAnsi"/>
          <w:sz w:val="26"/>
          <w:szCs w:val="26"/>
        </w:rPr>
        <w:t>T</w:t>
      </w:r>
      <w:r w:rsidR="000211C3" w:rsidRPr="004A72CD">
        <w:rPr>
          <w:rFonts w:asciiTheme="minorHAnsi" w:hAnsiTheme="minorHAnsi" w:cstheme="minorHAnsi"/>
          <w:sz w:val="26"/>
          <w:szCs w:val="26"/>
        </w:rPr>
        <w:t>.</w:t>
      </w:r>
      <w:r w:rsidRPr="004A72CD">
        <w:rPr>
          <w:rFonts w:asciiTheme="minorHAnsi" w:hAnsiTheme="minorHAnsi" w:cstheme="minorHAnsi"/>
          <w:sz w:val="26"/>
          <w:szCs w:val="26"/>
        </w:rPr>
        <w:t>N</w:t>
      </w:r>
      <w:r w:rsidR="000211C3" w:rsidRPr="004A72CD">
        <w:rPr>
          <w:rFonts w:asciiTheme="minorHAnsi" w:hAnsiTheme="minorHAnsi" w:cstheme="minorHAnsi"/>
          <w:sz w:val="26"/>
          <w:szCs w:val="26"/>
        </w:rPr>
        <w:t>.</w:t>
      </w:r>
      <w:r w:rsidRPr="004A72CD">
        <w:rPr>
          <w:rFonts w:asciiTheme="minorHAnsi" w:hAnsiTheme="minorHAnsi" w:cstheme="minorHAnsi"/>
          <w:sz w:val="26"/>
          <w:szCs w:val="26"/>
        </w:rPr>
        <w:t xml:space="preserve"> formarea în acest domeniu va avea o importanță sporită.</w:t>
      </w:r>
    </w:p>
    <w:p w14:paraId="4E12BAAD" w14:textId="5874F96D" w:rsidR="00796FEB" w:rsidRPr="004A72CD" w:rsidRDefault="00796FEB"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Școala Națională de Grefieri a fost reprezentată și la întâlnirea subgrupului de lucru E</w:t>
      </w:r>
      <w:r w:rsidR="000211C3" w:rsidRPr="004A72CD">
        <w:rPr>
          <w:rFonts w:asciiTheme="minorHAnsi" w:hAnsiTheme="minorHAnsi" w:cstheme="minorHAnsi"/>
          <w:sz w:val="26"/>
          <w:szCs w:val="26"/>
        </w:rPr>
        <w:t>.</w:t>
      </w:r>
      <w:r w:rsidRPr="004A72CD">
        <w:rPr>
          <w:rFonts w:asciiTheme="minorHAnsi" w:hAnsiTheme="minorHAnsi" w:cstheme="minorHAnsi"/>
          <w:sz w:val="26"/>
          <w:szCs w:val="26"/>
        </w:rPr>
        <w:t>J</w:t>
      </w:r>
      <w:r w:rsidR="000211C3" w:rsidRPr="004A72CD">
        <w:rPr>
          <w:rFonts w:asciiTheme="minorHAnsi" w:hAnsiTheme="minorHAnsi" w:cstheme="minorHAnsi"/>
          <w:sz w:val="26"/>
          <w:szCs w:val="26"/>
        </w:rPr>
        <w:t>.</w:t>
      </w:r>
      <w:r w:rsidRPr="004A72CD">
        <w:rPr>
          <w:rFonts w:asciiTheme="minorHAnsi" w:hAnsiTheme="minorHAnsi" w:cstheme="minorHAnsi"/>
          <w:sz w:val="26"/>
          <w:szCs w:val="26"/>
        </w:rPr>
        <w:t>T</w:t>
      </w:r>
      <w:r w:rsidR="000211C3" w:rsidRPr="004A72CD">
        <w:rPr>
          <w:rFonts w:asciiTheme="minorHAnsi" w:hAnsiTheme="minorHAnsi" w:cstheme="minorHAnsi"/>
          <w:sz w:val="26"/>
          <w:szCs w:val="26"/>
        </w:rPr>
        <w:t>.</w:t>
      </w:r>
      <w:r w:rsidRPr="004A72CD">
        <w:rPr>
          <w:rFonts w:asciiTheme="minorHAnsi" w:hAnsiTheme="minorHAnsi" w:cstheme="minorHAnsi"/>
          <w:sz w:val="26"/>
          <w:szCs w:val="26"/>
        </w:rPr>
        <w:t>N</w:t>
      </w:r>
      <w:r w:rsidR="000211C3" w:rsidRPr="004A72CD">
        <w:rPr>
          <w:rFonts w:asciiTheme="minorHAnsi" w:hAnsiTheme="minorHAnsi" w:cstheme="minorHAnsi"/>
          <w:sz w:val="26"/>
          <w:szCs w:val="26"/>
        </w:rPr>
        <w:t>.</w:t>
      </w:r>
      <w:r w:rsidRPr="004A72CD">
        <w:rPr>
          <w:rFonts w:asciiTheme="minorHAnsi" w:hAnsiTheme="minorHAnsi" w:cstheme="minorHAnsi"/>
          <w:sz w:val="26"/>
          <w:szCs w:val="26"/>
        </w:rPr>
        <w:t xml:space="preserve"> în materie civilă, care a avut loc la </w:t>
      </w:r>
      <w:r w:rsidRPr="004A72CD">
        <w:rPr>
          <w:rFonts w:asciiTheme="minorHAnsi" w:eastAsia="Calibri" w:hAnsiTheme="minorHAnsi" w:cstheme="minorHAnsi"/>
          <w:iCs/>
          <w:sz w:val="26"/>
          <w:szCs w:val="26"/>
        </w:rPr>
        <w:t>Bruxelles</w:t>
      </w:r>
      <w:r w:rsidRPr="004A72CD">
        <w:rPr>
          <w:rFonts w:asciiTheme="minorHAnsi" w:hAnsiTheme="minorHAnsi" w:cstheme="minorHAnsi"/>
          <w:sz w:val="26"/>
          <w:szCs w:val="26"/>
        </w:rPr>
        <w:t>, în perioada 18</w:t>
      </w:r>
      <w:r w:rsidR="00AF4228" w:rsidRPr="004A72CD">
        <w:rPr>
          <w:rFonts w:asciiTheme="minorHAnsi" w:hAnsiTheme="minorHAnsi" w:cstheme="minorHAnsi"/>
          <w:sz w:val="26"/>
          <w:szCs w:val="26"/>
        </w:rPr>
        <w:t xml:space="preserve"> </w:t>
      </w:r>
      <w:r w:rsidR="000211C3" w:rsidRPr="004A72CD">
        <w:rPr>
          <w:rFonts w:asciiTheme="minorHAnsi" w:hAnsiTheme="minorHAnsi" w:cstheme="minorHAnsi"/>
          <w:sz w:val="26"/>
          <w:szCs w:val="26"/>
        </w:rPr>
        <w:t>–</w:t>
      </w:r>
      <w:r w:rsidR="00AF4228" w:rsidRPr="004A72CD">
        <w:rPr>
          <w:rFonts w:asciiTheme="minorHAnsi" w:hAnsiTheme="minorHAnsi" w:cstheme="minorHAnsi"/>
          <w:sz w:val="26"/>
          <w:szCs w:val="26"/>
        </w:rPr>
        <w:t xml:space="preserve"> </w:t>
      </w:r>
      <w:r w:rsidRPr="004A72CD">
        <w:rPr>
          <w:rFonts w:asciiTheme="minorHAnsi" w:hAnsiTheme="minorHAnsi" w:cstheme="minorHAnsi"/>
          <w:sz w:val="26"/>
          <w:szCs w:val="26"/>
        </w:rPr>
        <w:t>19</w:t>
      </w:r>
      <w:r w:rsidR="000211C3" w:rsidRPr="004A72CD">
        <w:rPr>
          <w:rFonts w:asciiTheme="minorHAnsi" w:hAnsiTheme="minorHAnsi" w:cstheme="minorHAnsi"/>
          <w:sz w:val="26"/>
          <w:szCs w:val="26"/>
        </w:rPr>
        <w:t>.03.</w:t>
      </w:r>
      <w:r w:rsidRPr="004A72CD">
        <w:rPr>
          <w:rFonts w:asciiTheme="minorHAnsi" w:hAnsiTheme="minorHAnsi" w:cstheme="minorHAnsi"/>
          <w:sz w:val="26"/>
          <w:szCs w:val="26"/>
        </w:rPr>
        <w:t xml:space="preserve">2024. </w:t>
      </w:r>
    </w:p>
    <w:p w14:paraId="3F905F22" w14:textId="418D170F" w:rsidR="00796FEB" w:rsidRPr="004A72CD" w:rsidRDefault="00796FEB"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În cadrul acestei întâlniri au fost abordate mai multe chestiuni de natură organizatorică, au fost trecute în revistă activitățile ce urmează a se desfășura în cursul anului 2024, s-a discutat despre implementarea unor noi metode de formare, precum ,,blended learning” (îmbinarea </w:t>
      </w:r>
      <w:r w:rsidRPr="004A72CD">
        <w:rPr>
          <w:rFonts w:asciiTheme="minorHAnsi" w:hAnsiTheme="minorHAnsi" w:cstheme="minorHAnsi"/>
          <w:sz w:val="26"/>
          <w:szCs w:val="26"/>
        </w:rPr>
        <w:lastRenderedPageBreak/>
        <w:t>pregătirii online cu pregătirea face-to-face) și despre importanța colaborării E</w:t>
      </w:r>
      <w:r w:rsidR="000211C3" w:rsidRPr="004A72CD">
        <w:rPr>
          <w:rFonts w:asciiTheme="minorHAnsi" w:hAnsiTheme="minorHAnsi" w:cstheme="minorHAnsi"/>
          <w:sz w:val="26"/>
          <w:szCs w:val="26"/>
        </w:rPr>
        <w:t>.</w:t>
      </w:r>
      <w:r w:rsidRPr="004A72CD">
        <w:rPr>
          <w:rFonts w:asciiTheme="minorHAnsi" w:hAnsiTheme="minorHAnsi" w:cstheme="minorHAnsi"/>
          <w:sz w:val="26"/>
          <w:szCs w:val="26"/>
        </w:rPr>
        <w:t>J</w:t>
      </w:r>
      <w:r w:rsidR="000211C3" w:rsidRPr="004A72CD">
        <w:rPr>
          <w:rFonts w:asciiTheme="minorHAnsi" w:hAnsiTheme="minorHAnsi" w:cstheme="minorHAnsi"/>
          <w:sz w:val="26"/>
          <w:szCs w:val="26"/>
        </w:rPr>
        <w:t>.</w:t>
      </w:r>
      <w:r w:rsidRPr="004A72CD">
        <w:rPr>
          <w:rFonts w:asciiTheme="minorHAnsi" w:hAnsiTheme="minorHAnsi" w:cstheme="minorHAnsi"/>
          <w:sz w:val="26"/>
          <w:szCs w:val="26"/>
        </w:rPr>
        <w:t>T</w:t>
      </w:r>
      <w:r w:rsidR="000211C3" w:rsidRPr="004A72CD">
        <w:rPr>
          <w:rFonts w:asciiTheme="minorHAnsi" w:hAnsiTheme="minorHAnsi" w:cstheme="minorHAnsi"/>
          <w:sz w:val="26"/>
          <w:szCs w:val="26"/>
        </w:rPr>
        <w:t>.</w:t>
      </w:r>
      <w:r w:rsidRPr="004A72CD">
        <w:rPr>
          <w:rFonts w:asciiTheme="minorHAnsi" w:hAnsiTheme="minorHAnsi" w:cstheme="minorHAnsi"/>
          <w:sz w:val="26"/>
          <w:szCs w:val="26"/>
        </w:rPr>
        <w:t>N</w:t>
      </w:r>
      <w:r w:rsidR="000211C3" w:rsidRPr="004A72CD">
        <w:rPr>
          <w:rFonts w:asciiTheme="minorHAnsi" w:hAnsiTheme="minorHAnsi" w:cstheme="minorHAnsi"/>
          <w:sz w:val="26"/>
          <w:szCs w:val="26"/>
        </w:rPr>
        <w:t>.</w:t>
      </w:r>
      <w:r w:rsidRPr="004A72CD">
        <w:rPr>
          <w:rFonts w:asciiTheme="minorHAnsi" w:hAnsiTheme="minorHAnsi" w:cstheme="minorHAnsi"/>
          <w:sz w:val="26"/>
          <w:szCs w:val="26"/>
        </w:rPr>
        <w:t xml:space="preserve"> cu alte instituții europene. </w:t>
      </w:r>
    </w:p>
    <w:p w14:paraId="209E5E7D" w14:textId="69CA76A0" w:rsidR="00796FEB" w:rsidRPr="004A72CD" w:rsidRDefault="00796FEB" w:rsidP="00D51F5A">
      <w:pPr>
        <w:spacing w:line="276" w:lineRule="auto"/>
        <w:jc w:val="both"/>
        <w:rPr>
          <w:rFonts w:asciiTheme="minorHAnsi" w:hAnsiTheme="minorHAnsi" w:cstheme="minorHAnsi"/>
          <w:sz w:val="26"/>
          <w:szCs w:val="26"/>
        </w:rPr>
      </w:pPr>
      <w:r w:rsidRPr="004A72CD">
        <w:rPr>
          <w:rFonts w:asciiTheme="minorHAnsi" w:hAnsiTheme="minorHAnsi" w:cstheme="minorHAnsi"/>
          <w:sz w:val="26"/>
          <w:szCs w:val="26"/>
        </w:rPr>
        <w:tab/>
        <w:t>Cea mai importantă activitate a subgrupului a constat în creionarea catalogului de activități de formare în materie civilă, aferent anului 2025. Școala Națională de Grefieri și-a asumat coordonarea unui seminar de 2 zile în această materie, respectiv seminarul cu denumirea ,,Service of documents &amp; taking of evidence abroad with a focus on digitalization”, urmând ca în luna martie 2025 să se decidă dacă acest seminar se va desfășura face-to-face sau în format online. De asemenea, S</w:t>
      </w:r>
      <w:r w:rsidR="00473279" w:rsidRPr="004A72CD">
        <w:rPr>
          <w:rFonts w:asciiTheme="minorHAnsi" w:hAnsiTheme="minorHAnsi" w:cstheme="minorHAnsi"/>
          <w:sz w:val="26"/>
          <w:szCs w:val="26"/>
        </w:rPr>
        <w:t>.</w:t>
      </w:r>
      <w:r w:rsidRPr="004A72CD">
        <w:rPr>
          <w:rFonts w:asciiTheme="minorHAnsi" w:hAnsiTheme="minorHAnsi" w:cstheme="minorHAnsi"/>
          <w:sz w:val="26"/>
          <w:szCs w:val="26"/>
        </w:rPr>
        <w:t>N</w:t>
      </w:r>
      <w:r w:rsidR="00473279" w:rsidRPr="004A72CD">
        <w:rPr>
          <w:rFonts w:asciiTheme="minorHAnsi" w:hAnsiTheme="minorHAnsi" w:cstheme="minorHAnsi"/>
          <w:sz w:val="26"/>
          <w:szCs w:val="26"/>
        </w:rPr>
        <w:t>.</w:t>
      </w:r>
      <w:r w:rsidRPr="004A72CD">
        <w:rPr>
          <w:rFonts w:asciiTheme="minorHAnsi" w:hAnsiTheme="minorHAnsi" w:cstheme="minorHAnsi"/>
          <w:sz w:val="26"/>
          <w:szCs w:val="26"/>
        </w:rPr>
        <w:t>G</w:t>
      </w:r>
      <w:r w:rsidR="00473279" w:rsidRPr="004A72CD">
        <w:rPr>
          <w:rFonts w:asciiTheme="minorHAnsi" w:hAnsiTheme="minorHAnsi" w:cstheme="minorHAnsi"/>
          <w:sz w:val="26"/>
          <w:szCs w:val="26"/>
        </w:rPr>
        <w:t>.</w:t>
      </w:r>
      <w:r w:rsidRPr="004A72CD">
        <w:rPr>
          <w:rFonts w:asciiTheme="minorHAnsi" w:hAnsiTheme="minorHAnsi" w:cstheme="minorHAnsi"/>
          <w:sz w:val="26"/>
          <w:szCs w:val="26"/>
        </w:rPr>
        <w:t xml:space="preserve"> va coordona în anul 2025 webinarul cu tema ,,Electronic Service of Documents and Videoconference hearings”.</w:t>
      </w:r>
    </w:p>
    <w:p w14:paraId="769BB1A8" w14:textId="51074998" w:rsidR="00796FEB" w:rsidRPr="004A72CD" w:rsidRDefault="00796FEB"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Un reprezentant al Școlii Naționale de Grefieri a participat și la întâlnirea subgrupului de lucru E</w:t>
      </w:r>
      <w:r w:rsidR="00473279" w:rsidRPr="004A72CD">
        <w:rPr>
          <w:rFonts w:asciiTheme="minorHAnsi" w:hAnsiTheme="minorHAnsi" w:cstheme="minorHAnsi"/>
          <w:sz w:val="26"/>
          <w:szCs w:val="26"/>
        </w:rPr>
        <w:t>.</w:t>
      </w:r>
      <w:r w:rsidRPr="004A72CD">
        <w:rPr>
          <w:rFonts w:asciiTheme="minorHAnsi" w:hAnsiTheme="minorHAnsi" w:cstheme="minorHAnsi"/>
          <w:sz w:val="26"/>
          <w:szCs w:val="26"/>
        </w:rPr>
        <w:t>J</w:t>
      </w:r>
      <w:r w:rsidR="00473279" w:rsidRPr="004A72CD">
        <w:rPr>
          <w:rFonts w:asciiTheme="minorHAnsi" w:hAnsiTheme="minorHAnsi" w:cstheme="minorHAnsi"/>
          <w:sz w:val="26"/>
          <w:szCs w:val="26"/>
        </w:rPr>
        <w:t>.</w:t>
      </w:r>
      <w:r w:rsidRPr="004A72CD">
        <w:rPr>
          <w:rFonts w:asciiTheme="minorHAnsi" w:hAnsiTheme="minorHAnsi" w:cstheme="minorHAnsi"/>
          <w:sz w:val="26"/>
          <w:szCs w:val="26"/>
        </w:rPr>
        <w:t>T</w:t>
      </w:r>
      <w:r w:rsidR="00473279" w:rsidRPr="004A72CD">
        <w:rPr>
          <w:rFonts w:asciiTheme="minorHAnsi" w:hAnsiTheme="minorHAnsi" w:cstheme="minorHAnsi"/>
          <w:sz w:val="26"/>
          <w:szCs w:val="26"/>
        </w:rPr>
        <w:t>.</w:t>
      </w:r>
      <w:r w:rsidRPr="004A72CD">
        <w:rPr>
          <w:rFonts w:asciiTheme="minorHAnsi" w:hAnsiTheme="minorHAnsi" w:cstheme="minorHAnsi"/>
          <w:sz w:val="26"/>
          <w:szCs w:val="26"/>
        </w:rPr>
        <w:t>N</w:t>
      </w:r>
      <w:r w:rsidR="00473279" w:rsidRPr="004A72CD">
        <w:rPr>
          <w:rFonts w:asciiTheme="minorHAnsi" w:hAnsiTheme="minorHAnsi" w:cstheme="minorHAnsi"/>
          <w:sz w:val="26"/>
          <w:szCs w:val="26"/>
        </w:rPr>
        <w:t>.</w:t>
      </w:r>
      <w:r w:rsidRPr="004A72CD">
        <w:rPr>
          <w:rFonts w:asciiTheme="minorHAnsi" w:hAnsiTheme="minorHAnsi" w:cstheme="minorHAnsi"/>
          <w:sz w:val="26"/>
          <w:szCs w:val="26"/>
        </w:rPr>
        <w:t xml:space="preserve"> în materie civilă care a avut loc, online, în data de 25 septembrie 2024. În esență, în cadrul acestei întâlniri au fost prezentate deciziile adoptate de către organele de conducere ale Rețelei, s-a subliniat din nou importanța digitalizării și a strategiei pe care E</w:t>
      </w:r>
      <w:r w:rsidR="00473279" w:rsidRPr="004A72CD">
        <w:rPr>
          <w:rFonts w:asciiTheme="minorHAnsi" w:hAnsiTheme="minorHAnsi" w:cstheme="minorHAnsi"/>
          <w:sz w:val="26"/>
          <w:szCs w:val="26"/>
        </w:rPr>
        <w:t>.</w:t>
      </w:r>
      <w:r w:rsidRPr="004A72CD">
        <w:rPr>
          <w:rFonts w:asciiTheme="minorHAnsi" w:hAnsiTheme="minorHAnsi" w:cstheme="minorHAnsi"/>
          <w:sz w:val="26"/>
          <w:szCs w:val="26"/>
        </w:rPr>
        <w:t>J</w:t>
      </w:r>
      <w:r w:rsidR="00473279" w:rsidRPr="004A72CD">
        <w:rPr>
          <w:rFonts w:asciiTheme="minorHAnsi" w:hAnsiTheme="minorHAnsi" w:cstheme="minorHAnsi"/>
          <w:sz w:val="26"/>
          <w:szCs w:val="26"/>
        </w:rPr>
        <w:t>.</w:t>
      </w:r>
      <w:r w:rsidRPr="004A72CD">
        <w:rPr>
          <w:rFonts w:asciiTheme="minorHAnsi" w:hAnsiTheme="minorHAnsi" w:cstheme="minorHAnsi"/>
          <w:sz w:val="26"/>
          <w:szCs w:val="26"/>
        </w:rPr>
        <w:t>T</w:t>
      </w:r>
      <w:r w:rsidR="00473279" w:rsidRPr="004A72CD">
        <w:rPr>
          <w:rFonts w:asciiTheme="minorHAnsi" w:hAnsiTheme="minorHAnsi" w:cstheme="minorHAnsi"/>
          <w:sz w:val="26"/>
          <w:szCs w:val="26"/>
        </w:rPr>
        <w:t>.</w:t>
      </w:r>
      <w:r w:rsidRPr="004A72CD">
        <w:rPr>
          <w:rFonts w:asciiTheme="minorHAnsi" w:hAnsiTheme="minorHAnsi" w:cstheme="minorHAnsi"/>
          <w:sz w:val="26"/>
          <w:szCs w:val="26"/>
        </w:rPr>
        <w:t>N</w:t>
      </w:r>
      <w:r w:rsidR="00473279" w:rsidRPr="004A72CD">
        <w:rPr>
          <w:rFonts w:asciiTheme="minorHAnsi" w:hAnsiTheme="minorHAnsi" w:cstheme="minorHAnsi"/>
          <w:sz w:val="26"/>
          <w:szCs w:val="26"/>
        </w:rPr>
        <w:t>.</w:t>
      </w:r>
      <w:r w:rsidRPr="004A72CD">
        <w:rPr>
          <w:rFonts w:asciiTheme="minorHAnsi" w:hAnsiTheme="minorHAnsi" w:cstheme="minorHAnsi"/>
          <w:sz w:val="26"/>
          <w:szCs w:val="26"/>
        </w:rPr>
        <w:t xml:space="preserve"> urmează să o implementeze în acest sens. Totodată, au fost analizate activitățile desfășurate în anul 2024 și a fost finalizat calendarul activităților pentru anul 2025 în materie civilă.</w:t>
      </w:r>
    </w:p>
    <w:p w14:paraId="4DFB687A" w14:textId="0BF6A93A" w:rsidR="00796FEB" w:rsidRPr="004A72CD" w:rsidRDefault="00796FEB"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În perioada 29</w:t>
      </w:r>
      <w:r w:rsidR="00473279" w:rsidRPr="004A72CD">
        <w:rPr>
          <w:rFonts w:asciiTheme="minorHAnsi" w:hAnsiTheme="minorHAnsi" w:cstheme="minorHAnsi"/>
          <w:sz w:val="26"/>
          <w:szCs w:val="26"/>
        </w:rPr>
        <w:t>.02</w:t>
      </w:r>
      <w:r w:rsidR="00AF4228" w:rsidRPr="004A72CD">
        <w:rPr>
          <w:rFonts w:asciiTheme="minorHAnsi" w:hAnsiTheme="minorHAnsi" w:cstheme="minorHAnsi"/>
          <w:sz w:val="26"/>
          <w:szCs w:val="26"/>
        </w:rPr>
        <w:t xml:space="preserve"> </w:t>
      </w:r>
      <w:r w:rsidR="007B4275" w:rsidRPr="004A72CD">
        <w:rPr>
          <w:rFonts w:asciiTheme="minorHAnsi" w:hAnsiTheme="minorHAnsi" w:cstheme="minorHAnsi"/>
          <w:sz w:val="26"/>
          <w:szCs w:val="26"/>
        </w:rPr>
        <w:t>–</w:t>
      </w:r>
      <w:r w:rsidR="00AF4228" w:rsidRPr="004A72CD">
        <w:rPr>
          <w:rFonts w:asciiTheme="minorHAnsi" w:hAnsiTheme="minorHAnsi" w:cstheme="minorHAnsi"/>
          <w:sz w:val="26"/>
          <w:szCs w:val="26"/>
        </w:rPr>
        <w:t xml:space="preserve"> </w:t>
      </w:r>
      <w:r w:rsidR="00131A1B" w:rsidRPr="004A72CD">
        <w:rPr>
          <w:rFonts w:asciiTheme="minorHAnsi" w:hAnsiTheme="minorHAnsi" w:cstheme="minorHAnsi"/>
          <w:sz w:val="26"/>
          <w:szCs w:val="26"/>
        </w:rPr>
        <w:t>0</w:t>
      </w:r>
      <w:r w:rsidRPr="004A72CD">
        <w:rPr>
          <w:rFonts w:asciiTheme="minorHAnsi" w:hAnsiTheme="minorHAnsi" w:cstheme="minorHAnsi"/>
          <w:sz w:val="26"/>
          <w:szCs w:val="26"/>
        </w:rPr>
        <w:t>1</w:t>
      </w:r>
      <w:r w:rsidR="007B4275" w:rsidRPr="004A72CD">
        <w:rPr>
          <w:rFonts w:asciiTheme="minorHAnsi" w:hAnsiTheme="minorHAnsi" w:cstheme="minorHAnsi"/>
          <w:sz w:val="26"/>
          <w:szCs w:val="26"/>
        </w:rPr>
        <w:t>.03.</w:t>
      </w:r>
      <w:r w:rsidRPr="004A72CD">
        <w:rPr>
          <w:rFonts w:asciiTheme="minorHAnsi" w:hAnsiTheme="minorHAnsi" w:cstheme="minorHAnsi"/>
          <w:sz w:val="26"/>
          <w:szCs w:val="26"/>
        </w:rPr>
        <w:t>2024, un reprezentant al Departamentului Relații Internaționale a participat la întâlnirea online cu membri E</w:t>
      </w:r>
      <w:r w:rsidR="007B4275" w:rsidRPr="004A72CD">
        <w:rPr>
          <w:rFonts w:asciiTheme="minorHAnsi" w:hAnsiTheme="minorHAnsi" w:cstheme="minorHAnsi"/>
          <w:sz w:val="26"/>
          <w:szCs w:val="26"/>
        </w:rPr>
        <w:t>.</w:t>
      </w:r>
      <w:r w:rsidRPr="004A72CD">
        <w:rPr>
          <w:rFonts w:asciiTheme="minorHAnsi" w:hAnsiTheme="minorHAnsi" w:cstheme="minorHAnsi"/>
          <w:sz w:val="26"/>
          <w:szCs w:val="26"/>
        </w:rPr>
        <w:t>J</w:t>
      </w:r>
      <w:r w:rsidR="007B4275" w:rsidRPr="004A72CD">
        <w:rPr>
          <w:rFonts w:asciiTheme="minorHAnsi" w:hAnsiTheme="minorHAnsi" w:cstheme="minorHAnsi"/>
          <w:sz w:val="26"/>
          <w:szCs w:val="26"/>
        </w:rPr>
        <w:t>.</w:t>
      </w:r>
      <w:r w:rsidRPr="004A72CD">
        <w:rPr>
          <w:rFonts w:asciiTheme="minorHAnsi" w:hAnsiTheme="minorHAnsi" w:cstheme="minorHAnsi"/>
          <w:sz w:val="26"/>
          <w:szCs w:val="26"/>
        </w:rPr>
        <w:t>T</w:t>
      </w:r>
      <w:r w:rsidR="007B4275" w:rsidRPr="004A72CD">
        <w:rPr>
          <w:rFonts w:asciiTheme="minorHAnsi" w:hAnsiTheme="minorHAnsi" w:cstheme="minorHAnsi"/>
          <w:sz w:val="26"/>
          <w:szCs w:val="26"/>
        </w:rPr>
        <w:t>.</w:t>
      </w:r>
      <w:r w:rsidRPr="004A72CD">
        <w:rPr>
          <w:rFonts w:asciiTheme="minorHAnsi" w:hAnsiTheme="minorHAnsi" w:cstheme="minorHAnsi"/>
          <w:sz w:val="26"/>
          <w:szCs w:val="26"/>
        </w:rPr>
        <w:t>N</w:t>
      </w:r>
      <w:r w:rsidR="007B4275" w:rsidRPr="004A72CD">
        <w:rPr>
          <w:rFonts w:asciiTheme="minorHAnsi" w:hAnsiTheme="minorHAnsi" w:cstheme="minorHAnsi"/>
          <w:sz w:val="26"/>
          <w:szCs w:val="26"/>
        </w:rPr>
        <w:t>.</w:t>
      </w:r>
      <w:r w:rsidRPr="004A72CD">
        <w:rPr>
          <w:rFonts w:asciiTheme="minorHAnsi" w:hAnsiTheme="minorHAnsi" w:cstheme="minorHAnsi"/>
          <w:sz w:val="26"/>
          <w:szCs w:val="26"/>
        </w:rPr>
        <w:t xml:space="preserve"> ai subgrupului de lucru dedicat justiției în materie penală, în cadrul căreia au fost repartizate coordonatorilor activitățile care urmează să se desfășoare în anul 2025.</w:t>
      </w:r>
    </w:p>
    <w:p w14:paraId="40E3E045" w14:textId="370A8C21" w:rsidR="00796FEB" w:rsidRPr="004A72CD" w:rsidRDefault="00796FEB"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De asemenea, în perioada 23</w:t>
      </w:r>
      <w:r w:rsidR="00AF4228" w:rsidRPr="004A72CD">
        <w:rPr>
          <w:rFonts w:asciiTheme="minorHAnsi" w:hAnsiTheme="minorHAnsi" w:cstheme="minorHAnsi"/>
          <w:sz w:val="26"/>
          <w:szCs w:val="26"/>
        </w:rPr>
        <w:t xml:space="preserve"> </w:t>
      </w:r>
      <w:r w:rsidR="007B4275" w:rsidRPr="004A72CD">
        <w:rPr>
          <w:rFonts w:asciiTheme="minorHAnsi" w:hAnsiTheme="minorHAnsi" w:cstheme="minorHAnsi"/>
          <w:sz w:val="26"/>
          <w:szCs w:val="26"/>
        </w:rPr>
        <w:t>–</w:t>
      </w:r>
      <w:r w:rsidR="00AF4228" w:rsidRPr="004A72CD">
        <w:rPr>
          <w:rFonts w:asciiTheme="minorHAnsi" w:hAnsiTheme="minorHAnsi" w:cstheme="minorHAnsi"/>
          <w:sz w:val="26"/>
          <w:szCs w:val="26"/>
        </w:rPr>
        <w:t xml:space="preserve"> </w:t>
      </w:r>
      <w:r w:rsidRPr="004A72CD">
        <w:rPr>
          <w:rFonts w:asciiTheme="minorHAnsi" w:hAnsiTheme="minorHAnsi" w:cstheme="minorHAnsi"/>
          <w:sz w:val="26"/>
          <w:szCs w:val="26"/>
        </w:rPr>
        <w:t>24</w:t>
      </w:r>
      <w:r w:rsidR="007B4275" w:rsidRPr="004A72CD">
        <w:rPr>
          <w:rFonts w:asciiTheme="minorHAnsi" w:hAnsiTheme="minorHAnsi" w:cstheme="minorHAnsi"/>
          <w:sz w:val="26"/>
          <w:szCs w:val="26"/>
        </w:rPr>
        <w:t>.09.</w:t>
      </w:r>
      <w:r w:rsidRPr="004A72CD">
        <w:rPr>
          <w:rFonts w:asciiTheme="minorHAnsi" w:hAnsiTheme="minorHAnsi" w:cstheme="minorHAnsi"/>
          <w:sz w:val="26"/>
          <w:szCs w:val="26"/>
        </w:rPr>
        <w:t>2024, un reprezentat S</w:t>
      </w:r>
      <w:r w:rsidR="007B4275" w:rsidRPr="004A72CD">
        <w:rPr>
          <w:rFonts w:asciiTheme="minorHAnsi" w:hAnsiTheme="minorHAnsi" w:cstheme="minorHAnsi"/>
          <w:sz w:val="26"/>
          <w:szCs w:val="26"/>
        </w:rPr>
        <w:t>.</w:t>
      </w:r>
      <w:r w:rsidRPr="004A72CD">
        <w:rPr>
          <w:rFonts w:asciiTheme="minorHAnsi" w:hAnsiTheme="minorHAnsi" w:cstheme="minorHAnsi"/>
          <w:sz w:val="26"/>
          <w:szCs w:val="26"/>
        </w:rPr>
        <w:t>N</w:t>
      </w:r>
      <w:r w:rsidR="007B4275" w:rsidRPr="004A72CD">
        <w:rPr>
          <w:rFonts w:asciiTheme="minorHAnsi" w:hAnsiTheme="minorHAnsi" w:cstheme="minorHAnsi"/>
          <w:sz w:val="26"/>
          <w:szCs w:val="26"/>
        </w:rPr>
        <w:t>.</w:t>
      </w:r>
      <w:r w:rsidRPr="004A72CD">
        <w:rPr>
          <w:rFonts w:asciiTheme="minorHAnsi" w:hAnsiTheme="minorHAnsi" w:cstheme="minorHAnsi"/>
          <w:sz w:val="26"/>
          <w:szCs w:val="26"/>
        </w:rPr>
        <w:t>G</w:t>
      </w:r>
      <w:r w:rsidR="007B4275" w:rsidRPr="004A72CD">
        <w:rPr>
          <w:rFonts w:asciiTheme="minorHAnsi" w:hAnsiTheme="minorHAnsi" w:cstheme="minorHAnsi"/>
          <w:sz w:val="26"/>
          <w:szCs w:val="26"/>
        </w:rPr>
        <w:t>.</w:t>
      </w:r>
      <w:r w:rsidRPr="004A72CD">
        <w:rPr>
          <w:rFonts w:asciiTheme="minorHAnsi" w:hAnsiTheme="minorHAnsi" w:cstheme="minorHAnsi"/>
          <w:sz w:val="26"/>
          <w:szCs w:val="26"/>
        </w:rPr>
        <w:t xml:space="preserve"> a participat la întâlnirea grupului de lucru, întrunit online, în care au fost discutate aspectele organizatorice privind seminarul ce va avea loc în data de </w:t>
      </w:r>
      <w:r w:rsidR="00131A1B" w:rsidRPr="004A72CD">
        <w:rPr>
          <w:rFonts w:asciiTheme="minorHAnsi" w:hAnsiTheme="minorHAnsi" w:cstheme="minorHAnsi"/>
          <w:sz w:val="26"/>
          <w:szCs w:val="26"/>
        </w:rPr>
        <w:t>0</w:t>
      </w:r>
      <w:r w:rsidRPr="004A72CD">
        <w:rPr>
          <w:rFonts w:asciiTheme="minorHAnsi" w:hAnsiTheme="minorHAnsi" w:cstheme="minorHAnsi"/>
          <w:sz w:val="26"/>
          <w:szCs w:val="26"/>
        </w:rPr>
        <w:t>2</w:t>
      </w:r>
      <w:r w:rsidR="00AF4228" w:rsidRPr="004A72CD">
        <w:rPr>
          <w:rFonts w:asciiTheme="minorHAnsi" w:hAnsiTheme="minorHAnsi" w:cstheme="minorHAnsi"/>
          <w:sz w:val="26"/>
          <w:szCs w:val="26"/>
        </w:rPr>
        <w:t xml:space="preserve"> </w:t>
      </w:r>
      <w:r w:rsidR="007B4275" w:rsidRPr="004A72CD">
        <w:rPr>
          <w:rFonts w:asciiTheme="minorHAnsi" w:hAnsiTheme="minorHAnsi" w:cstheme="minorHAnsi"/>
          <w:sz w:val="26"/>
          <w:szCs w:val="26"/>
        </w:rPr>
        <w:t>–</w:t>
      </w:r>
      <w:r w:rsidR="00AF4228" w:rsidRPr="004A72CD">
        <w:rPr>
          <w:rFonts w:asciiTheme="minorHAnsi" w:hAnsiTheme="minorHAnsi" w:cstheme="minorHAnsi"/>
          <w:sz w:val="26"/>
          <w:szCs w:val="26"/>
        </w:rPr>
        <w:t xml:space="preserve"> </w:t>
      </w:r>
      <w:r w:rsidR="00131A1B" w:rsidRPr="004A72CD">
        <w:rPr>
          <w:rFonts w:asciiTheme="minorHAnsi" w:hAnsiTheme="minorHAnsi" w:cstheme="minorHAnsi"/>
          <w:sz w:val="26"/>
          <w:szCs w:val="26"/>
        </w:rPr>
        <w:t>0</w:t>
      </w:r>
      <w:r w:rsidRPr="004A72CD">
        <w:rPr>
          <w:rFonts w:asciiTheme="minorHAnsi" w:hAnsiTheme="minorHAnsi" w:cstheme="minorHAnsi"/>
          <w:sz w:val="26"/>
          <w:szCs w:val="26"/>
        </w:rPr>
        <w:t>3</w:t>
      </w:r>
      <w:r w:rsidR="007B4275" w:rsidRPr="004A72CD">
        <w:rPr>
          <w:rFonts w:asciiTheme="minorHAnsi" w:hAnsiTheme="minorHAnsi" w:cstheme="minorHAnsi"/>
          <w:sz w:val="26"/>
          <w:szCs w:val="26"/>
        </w:rPr>
        <w:t>.12.</w:t>
      </w:r>
      <w:r w:rsidRPr="004A72CD">
        <w:rPr>
          <w:rFonts w:asciiTheme="minorHAnsi" w:hAnsiTheme="minorHAnsi" w:cstheme="minorHAnsi"/>
          <w:sz w:val="26"/>
          <w:szCs w:val="26"/>
        </w:rPr>
        <w:t xml:space="preserve">2024 – </w:t>
      </w:r>
      <w:r w:rsidRPr="004A72CD">
        <w:rPr>
          <w:rFonts w:asciiTheme="minorHAnsi" w:hAnsiTheme="minorHAnsi" w:cstheme="minorHAnsi"/>
          <w:iCs/>
          <w:sz w:val="26"/>
          <w:szCs w:val="26"/>
        </w:rPr>
        <w:t>„Victim’s Rights in the EU in practice: violence against women and children sexual abuse”</w:t>
      </w:r>
      <w:r w:rsidRPr="004A72CD">
        <w:rPr>
          <w:rFonts w:asciiTheme="minorHAnsi" w:hAnsiTheme="minorHAnsi" w:cstheme="minorHAnsi"/>
          <w:sz w:val="26"/>
          <w:szCs w:val="26"/>
        </w:rPr>
        <w:t xml:space="preserve">, organizat de Institutul Naţional al Magistraturii, cu sprijinul Şcolii Naţionale de Grefieri. Totodată, au fost planificate evenimentele care vor fi organizate în anul 2025 în materie penală. </w:t>
      </w:r>
    </w:p>
    <w:p w14:paraId="011F89A4" w14:textId="4F6BE90D" w:rsidR="00796FEB" w:rsidRPr="004A72CD" w:rsidRDefault="00796FEB" w:rsidP="00D51F5A">
      <w:pPr>
        <w:spacing w:line="276" w:lineRule="auto"/>
        <w:ind w:firstLine="720"/>
        <w:jc w:val="both"/>
        <w:rPr>
          <w:rFonts w:asciiTheme="minorHAnsi" w:eastAsia="Calibri" w:hAnsiTheme="minorHAnsi" w:cstheme="minorHAnsi"/>
          <w:iCs/>
          <w:sz w:val="26"/>
          <w:szCs w:val="26"/>
        </w:rPr>
      </w:pPr>
      <w:r w:rsidRPr="004A72CD">
        <w:rPr>
          <w:rFonts w:asciiTheme="minorHAnsi" w:eastAsia="Calibri" w:hAnsiTheme="minorHAnsi" w:cstheme="minorHAnsi"/>
          <w:iCs/>
          <w:sz w:val="26"/>
          <w:szCs w:val="26"/>
        </w:rPr>
        <w:t xml:space="preserve">În privința seminarelor organizate sub egida Grupului de lucru </w:t>
      </w:r>
      <w:r w:rsidR="00AB60F9"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xml:space="preserve">Programe”, în cadrul acțiunilor de formare propuse de subgrupurile de lucru, în cursul anului 2024 Școala Națională de Grefieri a preselectat 61 de grefieri români în vederea participării la diverse seminare. Dintre aceștia, </w:t>
      </w:r>
      <w:r w:rsidR="00E60DC7" w:rsidRPr="0098252F">
        <w:rPr>
          <w:rFonts w:asciiTheme="minorHAnsi" w:eastAsia="Calibri" w:hAnsiTheme="minorHAnsi" w:cstheme="minorHAnsi"/>
          <w:iCs/>
          <w:sz w:val="26"/>
          <w:szCs w:val="26"/>
        </w:rPr>
        <w:t>2</w:t>
      </w:r>
      <w:r w:rsidR="00564269">
        <w:rPr>
          <w:rFonts w:asciiTheme="minorHAnsi" w:eastAsia="Calibri" w:hAnsiTheme="minorHAnsi" w:cstheme="minorHAnsi"/>
          <w:iCs/>
          <w:sz w:val="26"/>
          <w:szCs w:val="26"/>
        </w:rPr>
        <w:t>3</w:t>
      </w:r>
      <w:r w:rsidRPr="0098252F">
        <w:rPr>
          <w:rFonts w:asciiTheme="minorHAnsi" w:eastAsia="Calibri" w:hAnsiTheme="minorHAnsi" w:cstheme="minorHAnsi"/>
          <w:iCs/>
          <w:sz w:val="26"/>
          <w:szCs w:val="26"/>
        </w:rPr>
        <w:t xml:space="preserve"> grefieri </w:t>
      </w:r>
      <w:r w:rsidRPr="004A72CD">
        <w:rPr>
          <w:rFonts w:asciiTheme="minorHAnsi" w:eastAsia="Calibri" w:hAnsiTheme="minorHAnsi" w:cstheme="minorHAnsi"/>
          <w:iCs/>
          <w:sz w:val="26"/>
          <w:szCs w:val="26"/>
        </w:rPr>
        <w:t xml:space="preserve">au participat la acțiunile de formare în perioada </w:t>
      </w:r>
      <w:r w:rsidR="00234EE7" w:rsidRPr="004A72CD">
        <w:rPr>
          <w:rFonts w:asciiTheme="minorHAnsi" w:eastAsia="Calibri" w:hAnsiTheme="minorHAnsi" w:cstheme="minorHAnsi"/>
          <w:iCs/>
          <w:sz w:val="26"/>
          <w:szCs w:val="26"/>
        </w:rPr>
        <w:t>0</w:t>
      </w:r>
      <w:r w:rsidRPr="004A72CD">
        <w:rPr>
          <w:rFonts w:asciiTheme="minorHAnsi" w:eastAsia="Calibri" w:hAnsiTheme="minorHAnsi" w:cstheme="minorHAnsi"/>
          <w:iCs/>
          <w:sz w:val="26"/>
          <w:szCs w:val="26"/>
        </w:rPr>
        <w:t>1</w:t>
      </w:r>
      <w:r w:rsidR="00234EE7" w:rsidRPr="004A72CD">
        <w:rPr>
          <w:rFonts w:asciiTheme="minorHAnsi" w:eastAsia="Calibri" w:hAnsiTheme="minorHAnsi" w:cstheme="minorHAnsi"/>
          <w:iCs/>
          <w:sz w:val="26"/>
          <w:szCs w:val="26"/>
        </w:rPr>
        <w:t>.01</w:t>
      </w:r>
      <w:r w:rsidRPr="004A72CD">
        <w:rPr>
          <w:rFonts w:asciiTheme="minorHAnsi" w:eastAsia="Calibri" w:hAnsiTheme="minorHAnsi" w:cstheme="minorHAnsi"/>
          <w:iCs/>
          <w:sz w:val="26"/>
          <w:szCs w:val="26"/>
        </w:rPr>
        <w:t xml:space="preserve"> </w:t>
      </w:r>
      <w:r w:rsidR="00234EE7"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xml:space="preserve"> </w:t>
      </w:r>
      <w:r w:rsidR="00564269">
        <w:rPr>
          <w:rFonts w:asciiTheme="minorHAnsi" w:eastAsia="Calibri" w:hAnsiTheme="minorHAnsi" w:cstheme="minorHAnsi"/>
          <w:iCs/>
          <w:sz w:val="26"/>
          <w:szCs w:val="26"/>
        </w:rPr>
        <w:t>31</w:t>
      </w:r>
      <w:r w:rsidR="00234EE7" w:rsidRPr="0098252F">
        <w:rPr>
          <w:rFonts w:asciiTheme="minorHAnsi" w:eastAsia="Calibri" w:hAnsiTheme="minorHAnsi" w:cstheme="minorHAnsi"/>
          <w:iCs/>
          <w:sz w:val="26"/>
          <w:szCs w:val="26"/>
        </w:rPr>
        <w:t>.1</w:t>
      </w:r>
      <w:r w:rsidR="00564269">
        <w:rPr>
          <w:rFonts w:asciiTheme="minorHAnsi" w:eastAsia="Calibri" w:hAnsiTheme="minorHAnsi" w:cstheme="minorHAnsi"/>
          <w:iCs/>
          <w:sz w:val="26"/>
          <w:szCs w:val="26"/>
        </w:rPr>
        <w:t>2</w:t>
      </w:r>
      <w:r w:rsidR="009A5594" w:rsidRPr="0098252F">
        <w:rPr>
          <w:rFonts w:asciiTheme="minorHAnsi" w:eastAsia="Calibri" w:hAnsiTheme="minorHAnsi" w:cstheme="minorHAnsi"/>
          <w:iCs/>
          <w:sz w:val="26"/>
          <w:szCs w:val="26"/>
        </w:rPr>
        <w:t>.</w:t>
      </w:r>
      <w:r w:rsidRPr="0098252F">
        <w:rPr>
          <w:rFonts w:asciiTheme="minorHAnsi" w:eastAsia="Calibri" w:hAnsiTheme="minorHAnsi" w:cstheme="minorHAnsi"/>
          <w:iCs/>
          <w:sz w:val="26"/>
          <w:szCs w:val="26"/>
        </w:rPr>
        <w:t>2024</w:t>
      </w:r>
      <w:r w:rsidRPr="004A72CD">
        <w:rPr>
          <w:rFonts w:asciiTheme="minorHAnsi" w:eastAsia="Calibri" w:hAnsiTheme="minorHAnsi" w:cstheme="minorHAnsi"/>
          <w:iCs/>
          <w:sz w:val="26"/>
          <w:szCs w:val="26"/>
        </w:rPr>
        <w:t>, în urma selecției finale organizate de E</w:t>
      </w:r>
      <w:r w:rsidR="00234EE7"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J</w:t>
      </w:r>
      <w:r w:rsidR="00234EE7"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T</w:t>
      </w:r>
      <w:r w:rsidR="00234EE7"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N</w:t>
      </w:r>
      <w:r w:rsidR="00234EE7"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în raport cu numărul de locuri puse la dispoziție pentru grefieri din statele membre ale U</w:t>
      </w:r>
      <w:r w:rsidR="00234EE7"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E</w:t>
      </w:r>
      <w:r w:rsidR="00234EE7"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w:t>
      </w:r>
    </w:p>
    <w:p w14:paraId="31F01280" w14:textId="181E0614" w:rsidR="00796FEB" w:rsidRPr="004A72CD" w:rsidRDefault="00796FEB" w:rsidP="00D51F5A">
      <w:pPr>
        <w:spacing w:line="276" w:lineRule="auto"/>
        <w:ind w:firstLine="720"/>
        <w:jc w:val="both"/>
        <w:rPr>
          <w:rFonts w:asciiTheme="minorHAnsi" w:eastAsia="Calibri" w:hAnsiTheme="minorHAnsi" w:cstheme="minorHAnsi"/>
          <w:iCs/>
          <w:sz w:val="26"/>
          <w:szCs w:val="26"/>
        </w:rPr>
      </w:pPr>
      <w:r w:rsidRPr="004A72CD">
        <w:rPr>
          <w:rFonts w:asciiTheme="minorHAnsi" w:eastAsia="Calibri" w:hAnsiTheme="minorHAnsi" w:cstheme="minorHAnsi"/>
          <w:iCs/>
          <w:sz w:val="26"/>
          <w:szCs w:val="26"/>
        </w:rPr>
        <w:t xml:space="preserve">În data de 15 februarie 2024 a avut loc, online, prima întâlnire a Grupului de lucru </w:t>
      </w:r>
      <w:r w:rsidR="00AB60F9"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Lingvistic” E</w:t>
      </w:r>
      <w:r w:rsidR="00234EE7"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J</w:t>
      </w:r>
      <w:r w:rsidR="00234EE7"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T</w:t>
      </w:r>
      <w:r w:rsidR="00234EE7"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N</w:t>
      </w:r>
      <w:r w:rsidR="00234EE7" w:rsidRPr="004A72CD">
        <w:rPr>
          <w:rFonts w:asciiTheme="minorHAnsi" w:eastAsia="Calibri" w:hAnsiTheme="minorHAnsi" w:cstheme="minorHAnsi"/>
          <w:iCs/>
          <w:sz w:val="26"/>
          <w:szCs w:val="26"/>
        </w:rPr>
        <w:t>.</w:t>
      </w:r>
      <w:r w:rsidRPr="004A72CD">
        <w:rPr>
          <w:rFonts w:asciiTheme="minorHAnsi" w:eastAsia="Calibri" w:hAnsiTheme="minorHAnsi" w:cstheme="minorHAnsi"/>
          <w:iCs/>
          <w:sz w:val="26"/>
          <w:szCs w:val="26"/>
        </w:rPr>
        <w:t>, în cadrul căreia au fost repartizate activitățile pentru anul 2024, precum și activitățile care se vor organiza în anul 2025 în acest domeniu. De asemenea, au fost discutate aspectele organizatorice privind conferința organizată de Institutul Naţional al Magistraturii, cu sprijinul Şcolii Naţionale de Grefieri, în luna septembrie 2024.</w:t>
      </w:r>
    </w:p>
    <w:p w14:paraId="62027BA3" w14:textId="49EA3CA6" w:rsidR="00796FEB" w:rsidRPr="004A72CD" w:rsidRDefault="00796FEB"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A doua întâlnire a Grupului de lucru </w:t>
      </w:r>
      <w:r w:rsidR="00AB60F9" w:rsidRPr="004A72CD">
        <w:rPr>
          <w:rFonts w:asciiTheme="minorHAnsi" w:hAnsiTheme="minorHAnsi" w:cstheme="minorHAnsi"/>
          <w:sz w:val="26"/>
          <w:szCs w:val="26"/>
        </w:rPr>
        <w:t>„</w:t>
      </w:r>
      <w:r w:rsidRPr="004A72CD">
        <w:rPr>
          <w:rFonts w:asciiTheme="minorHAnsi" w:hAnsiTheme="minorHAnsi" w:cstheme="minorHAnsi"/>
          <w:sz w:val="26"/>
          <w:szCs w:val="26"/>
        </w:rPr>
        <w:t>Lingvistic”, întrunit online, a avut loc în data de 19 septembrie 2024, în cadrul căreia au fost planificate evenimentele ce vor fi organizate în domeniu în 2025. În lista de rezervă a evenimentelor care se vor organiza în format face-to-face în anul 2025 a fost trecută conferința care trebuia organizată de Institutul Naţional al Magistraturii, cu sprijinul Şcolii Naţionale de Grefieri, în luna septembrie a anului 2024, amânată din motive financiare.</w:t>
      </w:r>
    </w:p>
    <w:p w14:paraId="144DF7F8" w14:textId="7A68956B" w:rsidR="00796FEB" w:rsidRPr="004A72CD" w:rsidRDefault="00796FEB"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lastRenderedPageBreak/>
        <w:t>În perioada 22</w:t>
      </w:r>
      <w:r w:rsidR="00AB60F9" w:rsidRPr="004A72CD">
        <w:rPr>
          <w:rFonts w:asciiTheme="minorHAnsi" w:hAnsiTheme="minorHAnsi" w:cstheme="minorHAnsi"/>
          <w:sz w:val="26"/>
          <w:szCs w:val="26"/>
        </w:rPr>
        <w:t xml:space="preserve"> </w:t>
      </w:r>
      <w:r w:rsidR="00BC3983" w:rsidRPr="004A72CD">
        <w:rPr>
          <w:rFonts w:asciiTheme="minorHAnsi" w:hAnsiTheme="minorHAnsi" w:cstheme="minorHAnsi"/>
          <w:sz w:val="26"/>
          <w:szCs w:val="26"/>
        </w:rPr>
        <w:t>–</w:t>
      </w:r>
      <w:r w:rsidR="00AB60F9" w:rsidRPr="004A72CD">
        <w:rPr>
          <w:rFonts w:asciiTheme="minorHAnsi" w:hAnsiTheme="minorHAnsi" w:cstheme="minorHAnsi"/>
          <w:sz w:val="26"/>
          <w:szCs w:val="26"/>
        </w:rPr>
        <w:t xml:space="preserve"> </w:t>
      </w:r>
      <w:r w:rsidRPr="004A72CD">
        <w:rPr>
          <w:rFonts w:asciiTheme="minorHAnsi" w:hAnsiTheme="minorHAnsi" w:cstheme="minorHAnsi"/>
          <w:sz w:val="26"/>
          <w:szCs w:val="26"/>
        </w:rPr>
        <w:t>23</w:t>
      </w:r>
      <w:r w:rsidR="00BC3983" w:rsidRPr="004A72CD">
        <w:rPr>
          <w:rFonts w:asciiTheme="minorHAnsi" w:hAnsiTheme="minorHAnsi" w:cstheme="minorHAnsi"/>
          <w:sz w:val="26"/>
          <w:szCs w:val="26"/>
        </w:rPr>
        <w:t>.02.</w:t>
      </w:r>
      <w:r w:rsidRPr="004A72CD">
        <w:rPr>
          <w:rFonts w:asciiTheme="minorHAnsi" w:hAnsiTheme="minorHAnsi" w:cstheme="minorHAnsi"/>
          <w:sz w:val="26"/>
          <w:szCs w:val="26"/>
        </w:rPr>
        <w:t>2024, la Salonic, Școala Națională de Grefieri a jucat un rol semnificativ ca membru asociat în organizarea discuțiilor Grupului de lucru „Metode de Formare Judiciară” sub egida E</w:t>
      </w:r>
      <w:r w:rsidR="00BC3983" w:rsidRPr="004A72CD">
        <w:rPr>
          <w:rFonts w:asciiTheme="minorHAnsi" w:hAnsiTheme="minorHAnsi" w:cstheme="minorHAnsi"/>
          <w:sz w:val="26"/>
          <w:szCs w:val="26"/>
        </w:rPr>
        <w:t>.</w:t>
      </w:r>
      <w:r w:rsidRPr="004A72CD">
        <w:rPr>
          <w:rFonts w:asciiTheme="minorHAnsi" w:hAnsiTheme="minorHAnsi" w:cstheme="minorHAnsi"/>
          <w:sz w:val="26"/>
          <w:szCs w:val="26"/>
        </w:rPr>
        <w:t>J</w:t>
      </w:r>
      <w:r w:rsidR="00BC3983" w:rsidRPr="004A72CD">
        <w:rPr>
          <w:rFonts w:asciiTheme="minorHAnsi" w:hAnsiTheme="minorHAnsi" w:cstheme="minorHAnsi"/>
          <w:sz w:val="26"/>
          <w:szCs w:val="26"/>
        </w:rPr>
        <w:t>.</w:t>
      </w:r>
      <w:r w:rsidRPr="004A72CD">
        <w:rPr>
          <w:rFonts w:asciiTheme="minorHAnsi" w:hAnsiTheme="minorHAnsi" w:cstheme="minorHAnsi"/>
          <w:sz w:val="26"/>
          <w:szCs w:val="26"/>
        </w:rPr>
        <w:t>T</w:t>
      </w:r>
      <w:r w:rsidR="00BC3983" w:rsidRPr="004A72CD">
        <w:rPr>
          <w:rFonts w:asciiTheme="minorHAnsi" w:hAnsiTheme="minorHAnsi" w:cstheme="minorHAnsi"/>
          <w:sz w:val="26"/>
          <w:szCs w:val="26"/>
        </w:rPr>
        <w:t>.</w:t>
      </w:r>
      <w:r w:rsidRPr="004A72CD">
        <w:rPr>
          <w:rFonts w:asciiTheme="minorHAnsi" w:hAnsiTheme="minorHAnsi" w:cstheme="minorHAnsi"/>
          <w:sz w:val="26"/>
          <w:szCs w:val="26"/>
        </w:rPr>
        <w:t>N</w:t>
      </w:r>
      <w:r w:rsidR="00BC3983" w:rsidRPr="004A72CD">
        <w:rPr>
          <w:rFonts w:asciiTheme="minorHAnsi" w:hAnsiTheme="minorHAnsi" w:cstheme="minorHAnsi"/>
          <w:sz w:val="26"/>
          <w:szCs w:val="26"/>
        </w:rPr>
        <w:t>.</w:t>
      </w:r>
      <w:r w:rsidRPr="004A72CD">
        <w:rPr>
          <w:rFonts w:asciiTheme="minorHAnsi" w:hAnsiTheme="minorHAnsi" w:cstheme="minorHAnsi"/>
          <w:sz w:val="26"/>
          <w:szCs w:val="26"/>
        </w:rPr>
        <w:t>. Întâlnirea a inclus prezentarea unui videoclip elaborat de doi reprezentanți ai Școlii, destinat responsabililor de formare din cadrul E</w:t>
      </w:r>
      <w:r w:rsidR="00BC3983" w:rsidRPr="004A72CD">
        <w:rPr>
          <w:rFonts w:asciiTheme="minorHAnsi" w:hAnsiTheme="minorHAnsi" w:cstheme="minorHAnsi"/>
          <w:sz w:val="26"/>
          <w:szCs w:val="26"/>
        </w:rPr>
        <w:t>.</w:t>
      </w:r>
      <w:r w:rsidRPr="004A72CD">
        <w:rPr>
          <w:rFonts w:asciiTheme="minorHAnsi" w:hAnsiTheme="minorHAnsi" w:cstheme="minorHAnsi"/>
          <w:sz w:val="26"/>
          <w:szCs w:val="26"/>
        </w:rPr>
        <w:t>J</w:t>
      </w:r>
      <w:r w:rsidR="00BC3983" w:rsidRPr="004A72CD">
        <w:rPr>
          <w:rFonts w:asciiTheme="minorHAnsi" w:hAnsiTheme="minorHAnsi" w:cstheme="minorHAnsi"/>
          <w:sz w:val="26"/>
          <w:szCs w:val="26"/>
        </w:rPr>
        <w:t>.</w:t>
      </w:r>
      <w:r w:rsidRPr="004A72CD">
        <w:rPr>
          <w:rFonts w:asciiTheme="minorHAnsi" w:hAnsiTheme="minorHAnsi" w:cstheme="minorHAnsi"/>
          <w:sz w:val="26"/>
          <w:szCs w:val="26"/>
        </w:rPr>
        <w:t>T</w:t>
      </w:r>
      <w:r w:rsidR="00BC3983" w:rsidRPr="004A72CD">
        <w:rPr>
          <w:rFonts w:asciiTheme="minorHAnsi" w:hAnsiTheme="minorHAnsi" w:cstheme="minorHAnsi"/>
          <w:sz w:val="26"/>
          <w:szCs w:val="26"/>
        </w:rPr>
        <w:t>.</w:t>
      </w:r>
      <w:r w:rsidRPr="004A72CD">
        <w:rPr>
          <w:rFonts w:asciiTheme="minorHAnsi" w:hAnsiTheme="minorHAnsi" w:cstheme="minorHAnsi"/>
          <w:sz w:val="26"/>
          <w:szCs w:val="26"/>
        </w:rPr>
        <w:t>N</w:t>
      </w:r>
      <w:r w:rsidR="00BC3983" w:rsidRPr="004A72CD">
        <w:rPr>
          <w:rFonts w:asciiTheme="minorHAnsi" w:hAnsiTheme="minorHAnsi" w:cstheme="minorHAnsi"/>
          <w:sz w:val="26"/>
          <w:szCs w:val="26"/>
        </w:rPr>
        <w:t>.</w:t>
      </w:r>
      <w:r w:rsidRPr="004A72CD">
        <w:rPr>
          <w:rFonts w:asciiTheme="minorHAnsi" w:hAnsiTheme="minorHAnsi" w:cstheme="minorHAnsi"/>
          <w:sz w:val="26"/>
          <w:szCs w:val="26"/>
        </w:rPr>
        <w:t>, stabilindu-se totodată inițiativele grupului pentru anul 2025.</w:t>
      </w:r>
    </w:p>
    <w:p w14:paraId="0E2E9580" w14:textId="673CBB36" w:rsidR="00796FEB" w:rsidRPr="004A72CD" w:rsidRDefault="00796FEB"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În intervalul 26</w:t>
      </w:r>
      <w:r w:rsidR="00AB60F9" w:rsidRPr="004A72CD">
        <w:rPr>
          <w:rFonts w:asciiTheme="minorHAnsi" w:hAnsiTheme="minorHAnsi" w:cstheme="minorHAnsi"/>
          <w:sz w:val="26"/>
          <w:szCs w:val="26"/>
        </w:rPr>
        <w:t xml:space="preserve"> </w:t>
      </w:r>
      <w:r w:rsidR="00BC3983" w:rsidRPr="004A72CD">
        <w:rPr>
          <w:rFonts w:asciiTheme="minorHAnsi" w:hAnsiTheme="minorHAnsi" w:cstheme="minorHAnsi"/>
          <w:sz w:val="26"/>
          <w:szCs w:val="26"/>
        </w:rPr>
        <w:t>–</w:t>
      </w:r>
      <w:r w:rsidR="00AB60F9" w:rsidRPr="004A72CD">
        <w:rPr>
          <w:rFonts w:asciiTheme="minorHAnsi" w:hAnsiTheme="minorHAnsi" w:cstheme="minorHAnsi"/>
          <w:sz w:val="26"/>
          <w:szCs w:val="26"/>
        </w:rPr>
        <w:t xml:space="preserve"> </w:t>
      </w:r>
      <w:r w:rsidRPr="004A72CD">
        <w:rPr>
          <w:rFonts w:asciiTheme="minorHAnsi" w:hAnsiTheme="minorHAnsi" w:cstheme="minorHAnsi"/>
          <w:sz w:val="26"/>
          <w:szCs w:val="26"/>
        </w:rPr>
        <w:t>27</w:t>
      </w:r>
      <w:r w:rsidR="00BC3983" w:rsidRPr="004A72CD">
        <w:rPr>
          <w:rFonts w:asciiTheme="minorHAnsi" w:hAnsiTheme="minorHAnsi" w:cstheme="minorHAnsi"/>
          <w:sz w:val="26"/>
          <w:szCs w:val="26"/>
        </w:rPr>
        <w:t>.09.</w:t>
      </w:r>
      <w:r w:rsidRPr="004A72CD">
        <w:rPr>
          <w:rFonts w:asciiTheme="minorHAnsi" w:hAnsiTheme="minorHAnsi" w:cstheme="minorHAnsi"/>
          <w:sz w:val="26"/>
          <w:szCs w:val="26"/>
        </w:rPr>
        <w:t>2024 s-a desfășurat online a doua conferință a Grupului de lucru dedicat metodelor de formare judiciară. Aceasta a cuprins o revizuire a activităților anului 2024 și a planurilor pentru 2025, inclusiv detaliile unui webinar pe care S</w:t>
      </w:r>
      <w:r w:rsidR="00D5348A" w:rsidRPr="004A72CD">
        <w:rPr>
          <w:rFonts w:asciiTheme="minorHAnsi" w:hAnsiTheme="minorHAnsi" w:cstheme="minorHAnsi"/>
          <w:sz w:val="26"/>
          <w:szCs w:val="26"/>
        </w:rPr>
        <w:t>.</w:t>
      </w:r>
      <w:r w:rsidRPr="004A72CD">
        <w:rPr>
          <w:rFonts w:asciiTheme="minorHAnsi" w:hAnsiTheme="minorHAnsi" w:cstheme="minorHAnsi"/>
          <w:sz w:val="26"/>
          <w:szCs w:val="26"/>
        </w:rPr>
        <w:t>N</w:t>
      </w:r>
      <w:r w:rsidR="00D5348A" w:rsidRPr="004A72CD">
        <w:rPr>
          <w:rFonts w:asciiTheme="minorHAnsi" w:hAnsiTheme="minorHAnsi" w:cstheme="minorHAnsi"/>
          <w:sz w:val="26"/>
          <w:szCs w:val="26"/>
        </w:rPr>
        <w:t>.</w:t>
      </w:r>
      <w:r w:rsidRPr="004A72CD">
        <w:rPr>
          <w:rFonts w:asciiTheme="minorHAnsi" w:hAnsiTheme="minorHAnsi" w:cstheme="minorHAnsi"/>
          <w:sz w:val="26"/>
          <w:szCs w:val="26"/>
        </w:rPr>
        <w:t>G</w:t>
      </w:r>
      <w:r w:rsidR="00D5348A" w:rsidRPr="004A72CD">
        <w:rPr>
          <w:rFonts w:asciiTheme="minorHAnsi" w:hAnsiTheme="minorHAnsi" w:cstheme="minorHAnsi"/>
          <w:sz w:val="26"/>
          <w:szCs w:val="26"/>
        </w:rPr>
        <w:t>.</w:t>
      </w:r>
      <w:r w:rsidRPr="004A72CD">
        <w:rPr>
          <w:rFonts w:asciiTheme="minorHAnsi" w:hAnsiTheme="minorHAnsi" w:cstheme="minorHAnsi"/>
          <w:sz w:val="26"/>
          <w:szCs w:val="26"/>
        </w:rPr>
        <w:t xml:space="preserve"> îl va organiza în 2025. S-au abordat, de asemenea, etapele preliminare pentru efectuarea unui sondaj comparativ asupra metodelor de formare judiciară între membri, membrii asociați și observatorii E</w:t>
      </w:r>
      <w:r w:rsidR="00D5348A" w:rsidRPr="004A72CD">
        <w:rPr>
          <w:rFonts w:asciiTheme="minorHAnsi" w:hAnsiTheme="minorHAnsi" w:cstheme="minorHAnsi"/>
          <w:sz w:val="26"/>
          <w:szCs w:val="26"/>
        </w:rPr>
        <w:t>.</w:t>
      </w:r>
      <w:r w:rsidRPr="004A72CD">
        <w:rPr>
          <w:rFonts w:asciiTheme="minorHAnsi" w:hAnsiTheme="minorHAnsi" w:cstheme="minorHAnsi"/>
          <w:sz w:val="26"/>
          <w:szCs w:val="26"/>
        </w:rPr>
        <w:t>J</w:t>
      </w:r>
      <w:r w:rsidR="00D5348A" w:rsidRPr="004A72CD">
        <w:rPr>
          <w:rFonts w:asciiTheme="minorHAnsi" w:hAnsiTheme="minorHAnsi" w:cstheme="minorHAnsi"/>
          <w:sz w:val="26"/>
          <w:szCs w:val="26"/>
        </w:rPr>
        <w:t>.</w:t>
      </w:r>
      <w:r w:rsidRPr="004A72CD">
        <w:rPr>
          <w:rFonts w:asciiTheme="minorHAnsi" w:hAnsiTheme="minorHAnsi" w:cstheme="minorHAnsi"/>
          <w:sz w:val="26"/>
          <w:szCs w:val="26"/>
        </w:rPr>
        <w:t>T</w:t>
      </w:r>
      <w:r w:rsidR="00D5348A" w:rsidRPr="004A72CD">
        <w:rPr>
          <w:rFonts w:asciiTheme="minorHAnsi" w:hAnsiTheme="minorHAnsi" w:cstheme="minorHAnsi"/>
          <w:sz w:val="26"/>
          <w:szCs w:val="26"/>
        </w:rPr>
        <w:t>.</w:t>
      </w:r>
      <w:r w:rsidRPr="004A72CD">
        <w:rPr>
          <w:rFonts w:asciiTheme="minorHAnsi" w:hAnsiTheme="minorHAnsi" w:cstheme="minorHAnsi"/>
          <w:sz w:val="26"/>
          <w:szCs w:val="26"/>
        </w:rPr>
        <w:t>N</w:t>
      </w:r>
      <w:r w:rsidR="00D5348A" w:rsidRPr="004A72CD">
        <w:rPr>
          <w:rFonts w:asciiTheme="minorHAnsi" w:hAnsiTheme="minorHAnsi" w:cstheme="minorHAnsi"/>
          <w:sz w:val="26"/>
          <w:szCs w:val="26"/>
        </w:rPr>
        <w:t>.</w:t>
      </w:r>
      <w:r w:rsidRPr="004A72CD">
        <w:rPr>
          <w:rFonts w:asciiTheme="minorHAnsi" w:hAnsiTheme="minorHAnsi" w:cstheme="minorHAnsi"/>
          <w:sz w:val="26"/>
          <w:szCs w:val="26"/>
        </w:rPr>
        <w:t>, cu suportul întregului grup de lucru, având contribuția activă a Școlii Naționale de Grefieri prin reprezentantul său.</w:t>
      </w:r>
    </w:p>
    <w:p w14:paraId="2C2A1004" w14:textId="087FED17" w:rsidR="00796FEB" w:rsidRPr="004A72CD" w:rsidRDefault="00796FEB"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În perioada 15</w:t>
      </w:r>
      <w:r w:rsidR="00AB60F9" w:rsidRPr="004A72CD">
        <w:rPr>
          <w:rFonts w:asciiTheme="minorHAnsi" w:hAnsiTheme="minorHAnsi" w:cstheme="minorHAnsi"/>
          <w:sz w:val="26"/>
          <w:szCs w:val="26"/>
        </w:rPr>
        <w:t xml:space="preserve"> </w:t>
      </w:r>
      <w:r w:rsidR="00D5348A" w:rsidRPr="004A72CD">
        <w:rPr>
          <w:rFonts w:asciiTheme="minorHAnsi" w:hAnsiTheme="minorHAnsi" w:cstheme="minorHAnsi"/>
          <w:sz w:val="26"/>
          <w:szCs w:val="26"/>
        </w:rPr>
        <w:t>–</w:t>
      </w:r>
      <w:r w:rsidR="00AB60F9" w:rsidRPr="004A72CD">
        <w:rPr>
          <w:rFonts w:asciiTheme="minorHAnsi" w:hAnsiTheme="minorHAnsi" w:cstheme="minorHAnsi"/>
          <w:sz w:val="26"/>
          <w:szCs w:val="26"/>
        </w:rPr>
        <w:t xml:space="preserve"> </w:t>
      </w:r>
      <w:r w:rsidRPr="004A72CD">
        <w:rPr>
          <w:rFonts w:asciiTheme="minorHAnsi" w:hAnsiTheme="minorHAnsi" w:cstheme="minorHAnsi"/>
          <w:sz w:val="26"/>
          <w:szCs w:val="26"/>
        </w:rPr>
        <w:t>16</w:t>
      </w:r>
      <w:r w:rsidR="00D5348A" w:rsidRPr="004A72CD">
        <w:rPr>
          <w:rFonts w:asciiTheme="minorHAnsi" w:hAnsiTheme="minorHAnsi" w:cstheme="minorHAnsi"/>
          <w:sz w:val="26"/>
          <w:szCs w:val="26"/>
        </w:rPr>
        <w:t>.04.</w:t>
      </w:r>
      <w:r w:rsidRPr="004A72CD">
        <w:rPr>
          <w:rFonts w:asciiTheme="minorHAnsi" w:hAnsiTheme="minorHAnsi" w:cstheme="minorHAnsi"/>
          <w:sz w:val="26"/>
          <w:szCs w:val="26"/>
        </w:rPr>
        <w:t>2024, la Paris, Școala Națională de Grefieri a fost prezentă la prima întâlnire a noului Grup de lucru dedicat Digitalizării. Cu această ocazie, reprezentantul S</w:t>
      </w:r>
      <w:r w:rsidR="00D5348A" w:rsidRPr="004A72CD">
        <w:rPr>
          <w:rFonts w:asciiTheme="minorHAnsi" w:hAnsiTheme="minorHAnsi" w:cstheme="minorHAnsi"/>
          <w:sz w:val="26"/>
          <w:szCs w:val="26"/>
        </w:rPr>
        <w:t>.</w:t>
      </w:r>
      <w:r w:rsidRPr="004A72CD">
        <w:rPr>
          <w:rFonts w:asciiTheme="minorHAnsi" w:hAnsiTheme="minorHAnsi" w:cstheme="minorHAnsi"/>
          <w:sz w:val="26"/>
          <w:szCs w:val="26"/>
        </w:rPr>
        <w:t>N</w:t>
      </w:r>
      <w:r w:rsidR="00D5348A" w:rsidRPr="004A72CD">
        <w:rPr>
          <w:rFonts w:asciiTheme="minorHAnsi" w:hAnsiTheme="minorHAnsi" w:cstheme="minorHAnsi"/>
          <w:sz w:val="26"/>
          <w:szCs w:val="26"/>
        </w:rPr>
        <w:t>.</w:t>
      </w:r>
      <w:r w:rsidRPr="004A72CD">
        <w:rPr>
          <w:rFonts w:asciiTheme="minorHAnsi" w:hAnsiTheme="minorHAnsi" w:cstheme="minorHAnsi"/>
          <w:sz w:val="26"/>
          <w:szCs w:val="26"/>
        </w:rPr>
        <w:t>G</w:t>
      </w:r>
      <w:r w:rsidR="00D5348A" w:rsidRPr="004A72CD">
        <w:rPr>
          <w:rFonts w:asciiTheme="minorHAnsi" w:hAnsiTheme="minorHAnsi" w:cstheme="minorHAnsi"/>
          <w:sz w:val="26"/>
          <w:szCs w:val="26"/>
        </w:rPr>
        <w:t>.</w:t>
      </w:r>
      <w:r w:rsidRPr="004A72CD">
        <w:rPr>
          <w:rFonts w:asciiTheme="minorHAnsi" w:hAnsiTheme="minorHAnsi" w:cstheme="minorHAnsi"/>
          <w:sz w:val="26"/>
          <w:szCs w:val="26"/>
        </w:rPr>
        <w:t xml:space="preserve"> a solicitat participarea activă în cadrul Subgrupului de lucru nr. 3, care se concentrează pe schimbul de bune practici în digitalizare și metodele de formare asociate. De asemenea, delegatul Școlii Naționale de Grefieri s-a angajat să dezvolte până în octombrie 2025 un tutorial audio-video care va ilustra cele mai eficiente practici pentru utilizarea e-codex, prevăzut a fi implementat începând cu mai 2025.</w:t>
      </w:r>
    </w:p>
    <w:p w14:paraId="64B52BFD" w14:textId="67440BE1" w:rsidR="00796FEB" w:rsidRPr="004A72CD" w:rsidRDefault="00796FEB"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Suplimentar, urmând recomandările E</w:t>
      </w:r>
      <w:r w:rsidR="00D5348A" w:rsidRPr="004A72CD">
        <w:rPr>
          <w:rFonts w:asciiTheme="minorHAnsi" w:hAnsiTheme="minorHAnsi" w:cstheme="minorHAnsi"/>
          <w:sz w:val="26"/>
          <w:szCs w:val="26"/>
        </w:rPr>
        <w:t>.</w:t>
      </w:r>
      <w:r w:rsidRPr="004A72CD">
        <w:rPr>
          <w:rFonts w:asciiTheme="minorHAnsi" w:hAnsiTheme="minorHAnsi" w:cstheme="minorHAnsi"/>
          <w:sz w:val="26"/>
          <w:szCs w:val="26"/>
        </w:rPr>
        <w:t>J</w:t>
      </w:r>
      <w:r w:rsidR="00D5348A" w:rsidRPr="004A72CD">
        <w:rPr>
          <w:rFonts w:asciiTheme="minorHAnsi" w:hAnsiTheme="minorHAnsi" w:cstheme="minorHAnsi"/>
          <w:sz w:val="26"/>
          <w:szCs w:val="26"/>
        </w:rPr>
        <w:t>.</w:t>
      </w:r>
      <w:r w:rsidRPr="004A72CD">
        <w:rPr>
          <w:rFonts w:asciiTheme="minorHAnsi" w:hAnsiTheme="minorHAnsi" w:cstheme="minorHAnsi"/>
          <w:sz w:val="26"/>
          <w:szCs w:val="26"/>
        </w:rPr>
        <w:t>T</w:t>
      </w:r>
      <w:r w:rsidR="00D5348A" w:rsidRPr="004A72CD">
        <w:rPr>
          <w:rFonts w:asciiTheme="minorHAnsi" w:hAnsiTheme="minorHAnsi" w:cstheme="minorHAnsi"/>
          <w:sz w:val="26"/>
          <w:szCs w:val="26"/>
        </w:rPr>
        <w:t>.</w:t>
      </w:r>
      <w:r w:rsidRPr="004A72CD">
        <w:rPr>
          <w:rFonts w:asciiTheme="minorHAnsi" w:hAnsiTheme="minorHAnsi" w:cstheme="minorHAnsi"/>
          <w:sz w:val="26"/>
          <w:szCs w:val="26"/>
        </w:rPr>
        <w:t>N</w:t>
      </w:r>
      <w:r w:rsidR="00D5348A" w:rsidRPr="004A72CD">
        <w:rPr>
          <w:rFonts w:asciiTheme="minorHAnsi" w:hAnsiTheme="minorHAnsi" w:cstheme="minorHAnsi"/>
          <w:sz w:val="26"/>
          <w:szCs w:val="26"/>
        </w:rPr>
        <w:t>.</w:t>
      </w:r>
      <w:r w:rsidRPr="004A72CD">
        <w:rPr>
          <w:rFonts w:asciiTheme="minorHAnsi" w:hAnsiTheme="minorHAnsi" w:cstheme="minorHAnsi"/>
          <w:sz w:val="26"/>
          <w:szCs w:val="26"/>
        </w:rPr>
        <w:t>, reprezentantul S</w:t>
      </w:r>
      <w:r w:rsidR="00D5348A" w:rsidRPr="004A72CD">
        <w:rPr>
          <w:rFonts w:asciiTheme="minorHAnsi" w:hAnsiTheme="minorHAnsi" w:cstheme="minorHAnsi"/>
          <w:sz w:val="26"/>
          <w:szCs w:val="26"/>
        </w:rPr>
        <w:t>.</w:t>
      </w:r>
      <w:r w:rsidRPr="004A72CD">
        <w:rPr>
          <w:rFonts w:asciiTheme="minorHAnsi" w:hAnsiTheme="minorHAnsi" w:cstheme="minorHAnsi"/>
          <w:sz w:val="26"/>
          <w:szCs w:val="26"/>
        </w:rPr>
        <w:t>N</w:t>
      </w:r>
      <w:r w:rsidR="00D5348A" w:rsidRPr="004A72CD">
        <w:rPr>
          <w:rFonts w:asciiTheme="minorHAnsi" w:hAnsiTheme="minorHAnsi" w:cstheme="minorHAnsi"/>
          <w:sz w:val="26"/>
          <w:szCs w:val="26"/>
        </w:rPr>
        <w:t>.</w:t>
      </w:r>
      <w:r w:rsidRPr="004A72CD">
        <w:rPr>
          <w:rFonts w:asciiTheme="minorHAnsi" w:hAnsiTheme="minorHAnsi" w:cstheme="minorHAnsi"/>
          <w:sz w:val="26"/>
          <w:szCs w:val="26"/>
        </w:rPr>
        <w:t>G</w:t>
      </w:r>
      <w:r w:rsidR="00D5348A" w:rsidRPr="004A72CD">
        <w:rPr>
          <w:rFonts w:asciiTheme="minorHAnsi" w:hAnsiTheme="minorHAnsi" w:cstheme="minorHAnsi"/>
          <w:sz w:val="26"/>
          <w:szCs w:val="26"/>
        </w:rPr>
        <w:t>.</w:t>
      </w:r>
      <w:r w:rsidRPr="004A72CD">
        <w:rPr>
          <w:rFonts w:asciiTheme="minorHAnsi" w:hAnsiTheme="minorHAnsi" w:cstheme="minorHAnsi"/>
          <w:sz w:val="26"/>
          <w:szCs w:val="26"/>
        </w:rPr>
        <w:t xml:space="preserve"> a participat la următoarele două inițiative axate pe formarea formatorilor:</w:t>
      </w:r>
    </w:p>
    <w:p w14:paraId="15656E24" w14:textId="77777777" w:rsidR="00796FEB" w:rsidRPr="004A72CD" w:rsidRDefault="00796FEB">
      <w:pPr>
        <w:numPr>
          <w:ilvl w:val="0"/>
          <w:numId w:val="25"/>
        </w:numPr>
        <w:tabs>
          <w:tab w:val="left" w:pos="993"/>
        </w:tabs>
        <w:spacing w:line="276" w:lineRule="auto"/>
        <w:ind w:left="0"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în luna iulie 2024, la Siracuza, într-un format interactiv face-to-face, inițiativa concentrându-se pe cadrul de implementare, instrumente și contextul utilizării inteligenței artificiale în sectorul judiciar;</w:t>
      </w:r>
    </w:p>
    <w:p w14:paraId="6F3F1DC3" w14:textId="77777777" w:rsidR="00796FEB" w:rsidRPr="004A72CD" w:rsidRDefault="00796FEB">
      <w:pPr>
        <w:numPr>
          <w:ilvl w:val="0"/>
          <w:numId w:val="25"/>
        </w:numPr>
        <w:tabs>
          <w:tab w:val="left" w:pos="993"/>
        </w:tabs>
        <w:spacing w:line="276" w:lineRule="auto"/>
        <w:ind w:left="0"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în luna octombrie 2024, în format online, inițiativa fiind focalizată pe aprofundarea și stăpânirea instrumentelor digitale de cooperare judiciară propuse de Comisia Europeană.</w:t>
      </w:r>
    </w:p>
    <w:p w14:paraId="6365B501" w14:textId="64E2F1F8" w:rsidR="00796FEB" w:rsidRPr="004A72CD" w:rsidRDefault="00796FEB"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În intervalul 26</w:t>
      </w:r>
      <w:r w:rsidR="00AB60F9" w:rsidRPr="004A72CD">
        <w:rPr>
          <w:rFonts w:asciiTheme="minorHAnsi" w:hAnsiTheme="minorHAnsi" w:cstheme="minorHAnsi"/>
          <w:sz w:val="26"/>
          <w:szCs w:val="26"/>
        </w:rPr>
        <w:t xml:space="preserve"> </w:t>
      </w:r>
      <w:r w:rsidR="00D5348A" w:rsidRPr="004A72CD">
        <w:rPr>
          <w:rFonts w:asciiTheme="minorHAnsi" w:hAnsiTheme="minorHAnsi" w:cstheme="minorHAnsi"/>
          <w:sz w:val="26"/>
          <w:szCs w:val="26"/>
        </w:rPr>
        <w:t>–</w:t>
      </w:r>
      <w:r w:rsidR="00AB60F9" w:rsidRPr="004A72CD">
        <w:rPr>
          <w:rFonts w:asciiTheme="minorHAnsi" w:hAnsiTheme="minorHAnsi" w:cstheme="minorHAnsi"/>
          <w:sz w:val="26"/>
          <w:szCs w:val="26"/>
        </w:rPr>
        <w:t xml:space="preserve"> </w:t>
      </w:r>
      <w:r w:rsidRPr="004A72CD">
        <w:rPr>
          <w:rFonts w:asciiTheme="minorHAnsi" w:hAnsiTheme="minorHAnsi" w:cstheme="minorHAnsi"/>
          <w:sz w:val="26"/>
          <w:szCs w:val="26"/>
        </w:rPr>
        <w:t>27</w:t>
      </w:r>
      <w:r w:rsidR="00D5348A" w:rsidRPr="004A72CD">
        <w:rPr>
          <w:rFonts w:asciiTheme="minorHAnsi" w:hAnsiTheme="minorHAnsi" w:cstheme="minorHAnsi"/>
          <w:sz w:val="26"/>
          <w:szCs w:val="26"/>
        </w:rPr>
        <w:t>.09.</w:t>
      </w:r>
      <w:r w:rsidRPr="004A72CD">
        <w:rPr>
          <w:rFonts w:asciiTheme="minorHAnsi" w:hAnsiTheme="minorHAnsi" w:cstheme="minorHAnsi"/>
          <w:sz w:val="26"/>
          <w:szCs w:val="26"/>
        </w:rPr>
        <w:t>2024 s-a desfășurat online a doua conferință a grupului Digitalizare. În cadrul acestei întâlniri, s-au definitivat activitățile programate pentru anul 2025 și s-a transmis o descriere detaliată a tutorialului audio-video care va fi elaborat de reprezentantul Școlii Naționale de Grefieri în 2025.</w:t>
      </w:r>
    </w:p>
    <w:p w14:paraId="4FDDC83F" w14:textId="7F4A388D" w:rsidR="00796FEB" w:rsidRPr="004A72CD" w:rsidRDefault="00796FEB"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La data de </w:t>
      </w:r>
      <w:r w:rsidR="00631F0D" w:rsidRPr="004A72CD">
        <w:rPr>
          <w:rFonts w:asciiTheme="minorHAnsi" w:hAnsiTheme="minorHAnsi" w:cstheme="minorHAnsi"/>
          <w:sz w:val="26"/>
          <w:szCs w:val="26"/>
        </w:rPr>
        <w:t>0</w:t>
      </w:r>
      <w:r w:rsidRPr="004A72CD">
        <w:rPr>
          <w:rFonts w:asciiTheme="minorHAnsi" w:hAnsiTheme="minorHAnsi" w:cstheme="minorHAnsi"/>
          <w:sz w:val="26"/>
          <w:szCs w:val="26"/>
        </w:rPr>
        <w:t xml:space="preserve">7 octombrie 2024 a avut loc, online, a doua întâlnire a Punctelor Naționale de Contact dedicată Grupurilor de lucru Programe, Lingvistic și Metode de Formare Judiciară. În cadrul discuțiilor, au fost abordate aspecte referitoare la procedura de selecție a participanților pentru webinare, informarea participanților care nu sunt selectați să participe la seminare, precum și la participarea grefierilor în cadrul acțiunilor de formare coordonate de aceste grupuri de lucru. De asemenea, au fost discutate aspecte legate de oferta de găzduire și planificarea activităților pentru anul 2025. </w:t>
      </w:r>
    </w:p>
    <w:p w14:paraId="6A3B846C" w14:textId="3AD24EAB" w:rsidR="00796FEB" w:rsidRPr="004A72CD" w:rsidRDefault="00796FEB" w:rsidP="00D51F5A">
      <w:pPr>
        <w:spacing w:line="276" w:lineRule="auto"/>
        <w:ind w:right="26" w:firstLine="720"/>
        <w:jc w:val="both"/>
        <w:rPr>
          <w:rFonts w:asciiTheme="minorHAnsi" w:hAnsiTheme="minorHAnsi" w:cstheme="minorHAnsi"/>
          <w:b/>
          <w:sz w:val="26"/>
          <w:szCs w:val="26"/>
        </w:rPr>
      </w:pPr>
      <w:r w:rsidRPr="004A72CD">
        <w:rPr>
          <w:rFonts w:asciiTheme="minorHAnsi" w:hAnsiTheme="minorHAnsi" w:cstheme="minorHAnsi"/>
          <w:b/>
          <w:sz w:val="26"/>
          <w:szCs w:val="26"/>
        </w:rPr>
        <w:t>Proiecte coordonate de Academia de Drept European (E</w:t>
      </w:r>
      <w:r w:rsidR="00FC113D" w:rsidRPr="004A72CD">
        <w:rPr>
          <w:rFonts w:asciiTheme="minorHAnsi" w:hAnsiTheme="minorHAnsi" w:cstheme="minorHAnsi"/>
          <w:b/>
          <w:sz w:val="26"/>
          <w:szCs w:val="26"/>
        </w:rPr>
        <w:t>.</w:t>
      </w:r>
      <w:r w:rsidRPr="004A72CD">
        <w:rPr>
          <w:rFonts w:asciiTheme="minorHAnsi" w:hAnsiTheme="minorHAnsi" w:cstheme="minorHAnsi"/>
          <w:b/>
          <w:sz w:val="26"/>
          <w:szCs w:val="26"/>
        </w:rPr>
        <w:t>R</w:t>
      </w:r>
      <w:r w:rsidR="00FC113D" w:rsidRPr="004A72CD">
        <w:rPr>
          <w:rFonts w:asciiTheme="minorHAnsi" w:hAnsiTheme="minorHAnsi" w:cstheme="minorHAnsi"/>
          <w:b/>
          <w:sz w:val="26"/>
          <w:szCs w:val="26"/>
        </w:rPr>
        <w:t>.</w:t>
      </w:r>
      <w:r w:rsidRPr="004A72CD">
        <w:rPr>
          <w:rFonts w:asciiTheme="minorHAnsi" w:hAnsiTheme="minorHAnsi" w:cstheme="minorHAnsi"/>
          <w:b/>
          <w:sz w:val="26"/>
          <w:szCs w:val="26"/>
        </w:rPr>
        <w:t>A</w:t>
      </w:r>
      <w:r w:rsidR="00FC113D" w:rsidRPr="004A72CD">
        <w:rPr>
          <w:rFonts w:asciiTheme="minorHAnsi" w:hAnsiTheme="minorHAnsi" w:cstheme="minorHAnsi"/>
          <w:b/>
          <w:sz w:val="26"/>
          <w:szCs w:val="26"/>
        </w:rPr>
        <w:t>.</w:t>
      </w:r>
      <w:r w:rsidRPr="004A72CD">
        <w:rPr>
          <w:rFonts w:asciiTheme="minorHAnsi" w:hAnsiTheme="minorHAnsi" w:cstheme="minorHAnsi"/>
          <w:b/>
          <w:sz w:val="26"/>
          <w:szCs w:val="26"/>
        </w:rPr>
        <w:t>)</w:t>
      </w:r>
    </w:p>
    <w:p w14:paraId="085414AE" w14:textId="77D1B0D6" w:rsidR="00796FEB" w:rsidRPr="004A72CD" w:rsidRDefault="00796FEB" w:rsidP="00D51F5A">
      <w:pPr>
        <w:spacing w:line="276" w:lineRule="auto"/>
        <w:ind w:firstLine="720"/>
        <w:jc w:val="both"/>
        <w:rPr>
          <w:rFonts w:asciiTheme="minorHAnsi" w:hAnsiTheme="minorHAnsi" w:cstheme="minorHAnsi"/>
          <w:iCs/>
          <w:sz w:val="26"/>
          <w:szCs w:val="26"/>
        </w:rPr>
      </w:pPr>
      <w:r w:rsidRPr="004A72CD">
        <w:rPr>
          <w:rFonts w:asciiTheme="minorHAnsi" w:hAnsiTheme="minorHAnsi" w:cstheme="minorHAnsi"/>
          <w:iCs/>
          <w:sz w:val="26"/>
          <w:szCs w:val="26"/>
        </w:rPr>
        <w:t xml:space="preserve">La data de 22 martie 2022 a fost depusă în cadrul solicitării de propuneri a Comisiei Europene pentru co-finanțare prin Programul </w:t>
      </w:r>
      <w:r w:rsidR="00AB60F9" w:rsidRPr="004A72CD">
        <w:rPr>
          <w:rFonts w:asciiTheme="minorHAnsi" w:hAnsiTheme="minorHAnsi" w:cstheme="minorHAnsi"/>
          <w:iCs/>
          <w:sz w:val="26"/>
          <w:szCs w:val="26"/>
        </w:rPr>
        <w:t>„</w:t>
      </w:r>
      <w:r w:rsidRPr="004A72CD">
        <w:rPr>
          <w:rFonts w:asciiTheme="minorHAnsi" w:hAnsiTheme="minorHAnsi" w:cstheme="minorHAnsi"/>
          <w:iCs/>
          <w:sz w:val="26"/>
          <w:szCs w:val="26"/>
        </w:rPr>
        <w:t>Justiție” al Uniunii Europene (JUST-2022-JTRA) candidatura consorțiului coordonat de Academia de Drept European (E</w:t>
      </w:r>
      <w:r w:rsidR="00270423" w:rsidRPr="004A72CD">
        <w:rPr>
          <w:rFonts w:asciiTheme="minorHAnsi" w:hAnsiTheme="minorHAnsi" w:cstheme="minorHAnsi"/>
          <w:iCs/>
          <w:sz w:val="26"/>
          <w:szCs w:val="26"/>
        </w:rPr>
        <w:t>.</w:t>
      </w:r>
      <w:r w:rsidRPr="004A72CD">
        <w:rPr>
          <w:rFonts w:asciiTheme="minorHAnsi" w:hAnsiTheme="minorHAnsi" w:cstheme="minorHAnsi"/>
          <w:iCs/>
          <w:sz w:val="26"/>
          <w:szCs w:val="26"/>
        </w:rPr>
        <w:t>R</w:t>
      </w:r>
      <w:r w:rsidR="00270423" w:rsidRPr="004A72CD">
        <w:rPr>
          <w:rFonts w:asciiTheme="minorHAnsi" w:hAnsiTheme="minorHAnsi" w:cstheme="minorHAnsi"/>
          <w:iCs/>
          <w:sz w:val="26"/>
          <w:szCs w:val="26"/>
        </w:rPr>
        <w:t>.</w:t>
      </w:r>
      <w:r w:rsidRPr="004A72CD">
        <w:rPr>
          <w:rFonts w:asciiTheme="minorHAnsi" w:hAnsiTheme="minorHAnsi" w:cstheme="minorHAnsi"/>
          <w:iCs/>
          <w:sz w:val="26"/>
          <w:szCs w:val="26"/>
        </w:rPr>
        <w:t>A</w:t>
      </w:r>
      <w:r w:rsidR="00270423" w:rsidRPr="004A72CD">
        <w:rPr>
          <w:rFonts w:asciiTheme="minorHAnsi" w:hAnsiTheme="minorHAnsi" w:cstheme="minorHAnsi"/>
          <w:iCs/>
          <w:sz w:val="26"/>
          <w:szCs w:val="26"/>
        </w:rPr>
        <w:t>.</w:t>
      </w:r>
      <w:r w:rsidRPr="004A72CD">
        <w:rPr>
          <w:rFonts w:asciiTheme="minorHAnsi" w:hAnsiTheme="minorHAnsi" w:cstheme="minorHAnsi"/>
          <w:iCs/>
          <w:sz w:val="26"/>
          <w:szCs w:val="26"/>
        </w:rPr>
        <w:t>) și Rețeaua Europeană de Formare Judiciară (E</w:t>
      </w:r>
      <w:r w:rsidR="00270423" w:rsidRPr="004A72CD">
        <w:rPr>
          <w:rFonts w:asciiTheme="minorHAnsi" w:hAnsiTheme="minorHAnsi" w:cstheme="minorHAnsi"/>
          <w:iCs/>
          <w:sz w:val="26"/>
          <w:szCs w:val="26"/>
        </w:rPr>
        <w:t>.</w:t>
      </w:r>
      <w:r w:rsidRPr="004A72CD">
        <w:rPr>
          <w:rFonts w:asciiTheme="minorHAnsi" w:hAnsiTheme="minorHAnsi" w:cstheme="minorHAnsi"/>
          <w:iCs/>
          <w:sz w:val="26"/>
          <w:szCs w:val="26"/>
        </w:rPr>
        <w:t>J</w:t>
      </w:r>
      <w:r w:rsidR="00270423" w:rsidRPr="004A72CD">
        <w:rPr>
          <w:rFonts w:asciiTheme="minorHAnsi" w:hAnsiTheme="minorHAnsi" w:cstheme="minorHAnsi"/>
          <w:iCs/>
          <w:sz w:val="26"/>
          <w:szCs w:val="26"/>
        </w:rPr>
        <w:t>.</w:t>
      </w:r>
      <w:r w:rsidRPr="004A72CD">
        <w:rPr>
          <w:rFonts w:asciiTheme="minorHAnsi" w:hAnsiTheme="minorHAnsi" w:cstheme="minorHAnsi"/>
          <w:iCs/>
          <w:sz w:val="26"/>
          <w:szCs w:val="26"/>
        </w:rPr>
        <w:t>T</w:t>
      </w:r>
      <w:r w:rsidR="00270423" w:rsidRPr="004A72CD">
        <w:rPr>
          <w:rFonts w:asciiTheme="minorHAnsi" w:hAnsiTheme="minorHAnsi" w:cstheme="minorHAnsi"/>
          <w:iCs/>
          <w:sz w:val="26"/>
          <w:szCs w:val="26"/>
        </w:rPr>
        <w:t>.</w:t>
      </w:r>
      <w:r w:rsidRPr="004A72CD">
        <w:rPr>
          <w:rFonts w:asciiTheme="minorHAnsi" w:hAnsiTheme="minorHAnsi" w:cstheme="minorHAnsi"/>
          <w:iCs/>
          <w:sz w:val="26"/>
          <w:szCs w:val="26"/>
        </w:rPr>
        <w:t>N</w:t>
      </w:r>
      <w:r w:rsidR="00270423" w:rsidRPr="004A72CD">
        <w:rPr>
          <w:rFonts w:asciiTheme="minorHAnsi" w:hAnsiTheme="minorHAnsi" w:cstheme="minorHAnsi"/>
          <w:iCs/>
          <w:sz w:val="26"/>
          <w:szCs w:val="26"/>
        </w:rPr>
        <w:t>.</w:t>
      </w:r>
      <w:r w:rsidRPr="004A72CD">
        <w:rPr>
          <w:rFonts w:asciiTheme="minorHAnsi" w:hAnsiTheme="minorHAnsi" w:cstheme="minorHAnsi"/>
          <w:iCs/>
          <w:sz w:val="26"/>
          <w:szCs w:val="26"/>
        </w:rPr>
        <w:t xml:space="preserve">) pentru dezvoltarea proiectului „Training court staff and bailiffs in cross-border civil and criminal law procedures” (Pregătirea profesională a grefierilor și </w:t>
      </w:r>
      <w:r w:rsidRPr="004A72CD">
        <w:rPr>
          <w:rFonts w:asciiTheme="minorHAnsi" w:hAnsiTheme="minorHAnsi" w:cstheme="minorHAnsi"/>
          <w:iCs/>
          <w:sz w:val="26"/>
          <w:szCs w:val="26"/>
        </w:rPr>
        <w:lastRenderedPageBreak/>
        <w:t>a executorilor judecătorești cu privire la procedurile transfrontaliere în dreptul civil și dreptul penal).</w:t>
      </w:r>
    </w:p>
    <w:p w14:paraId="1CAA0AD7" w14:textId="16273C51" w:rsidR="00796FEB" w:rsidRPr="004A72CD" w:rsidRDefault="00796FEB" w:rsidP="00D51F5A">
      <w:pPr>
        <w:spacing w:line="276" w:lineRule="auto"/>
        <w:ind w:firstLine="720"/>
        <w:jc w:val="both"/>
        <w:rPr>
          <w:rFonts w:asciiTheme="minorHAnsi" w:hAnsiTheme="minorHAnsi" w:cstheme="minorHAnsi"/>
          <w:iCs/>
          <w:sz w:val="26"/>
          <w:szCs w:val="26"/>
        </w:rPr>
      </w:pPr>
      <w:r w:rsidRPr="004A72CD">
        <w:rPr>
          <w:rFonts w:asciiTheme="minorHAnsi" w:hAnsiTheme="minorHAnsi" w:cstheme="minorHAnsi"/>
          <w:iCs/>
          <w:sz w:val="26"/>
          <w:szCs w:val="26"/>
        </w:rPr>
        <w:t>Participarea Școlii Naționale de Grefieri în cadrul proiectului a fost aprobată de către Consiliul de conducere prin Hotărârea nr. 8/17</w:t>
      </w:r>
      <w:r w:rsidR="00CD3633" w:rsidRPr="004A72CD">
        <w:rPr>
          <w:rFonts w:asciiTheme="minorHAnsi" w:hAnsiTheme="minorHAnsi" w:cstheme="minorHAnsi"/>
          <w:iCs/>
          <w:sz w:val="26"/>
          <w:szCs w:val="26"/>
        </w:rPr>
        <w:t>.02.</w:t>
      </w:r>
      <w:r w:rsidRPr="004A72CD">
        <w:rPr>
          <w:rFonts w:asciiTheme="minorHAnsi" w:hAnsiTheme="minorHAnsi" w:cstheme="minorHAnsi"/>
          <w:iCs/>
          <w:sz w:val="26"/>
          <w:szCs w:val="26"/>
        </w:rPr>
        <w:t>2022 și de către Plenul Consiliului Superior al Magistraturii prin Hotărârea nr. 43/17</w:t>
      </w:r>
      <w:r w:rsidR="002D161B" w:rsidRPr="004A72CD">
        <w:rPr>
          <w:rFonts w:asciiTheme="minorHAnsi" w:hAnsiTheme="minorHAnsi" w:cstheme="minorHAnsi"/>
          <w:iCs/>
          <w:sz w:val="26"/>
          <w:szCs w:val="26"/>
        </w:rPr>
        <w:t>.03.</w:t>
      </w:r>
      <w:r w:rsidRPr="004A72CD">
        <w:rPr>
          <w:rFonts w:asciiTheme="minorHAnsi" w:hAnsiTheme="minorHAnsi" w:cstheme="minorHAnsi"/>
          <w:iCs/>
          <w:sz w:val="26"/>
          <w:szCs w:val="26"/>
        </w:rPr>
        <w:t>2022.</w:t>
      </w:r>
    </w:p>
    <w:p w14:paraId="426E935A" w14:textId="73099F11" w:rsidR="00796FEB" w:rsidRPr="004A72CD" w:rsidRDefault="00796FEB" w:rsidP="00D51F5A">
      <w:pPr>
        <w:spacing w:line="276" w:lineRule="auto"/>
        <w:ind w:right="26" w:firstLine="720"/>
        <w:jc w:val="both"/>
        <w:rPr>
          <w:rFonts w:asciiTheme="minorHAnsi" w:hAnsiTheme="minorHAnsi" w:cstheme="minorHAnsi"/>
          <w:iCs/>
          <w:sz w:val="26"/>
          <w:szCs w:val="26"/>
        </w:rPr>
      </w:pPr>
      <w:r w:rsidRPr="004A72CD">
        <w:rPr>
          <w:rFonts w:asciiTheme="minorHAnsi" w:hAnsiTheme="minorHAnsi" w:cstheme="minorHAnsi"/>
          <w:iCs/>
          <w:sz w:val="26"/>
          <w:szCs w:val="26"/>
        </w:rPr>
        <w:t xml:space="preserve">Proiectul urmărește crearea unui </w:t>
      </w:r>
      <w:r w:rsidR="00AB60F9" w:rsidRPr="004A72CD">
        <w:rPr>
          <w:rFonts w:asciiTheme="minorHAnsi" w:hAnsiTheme="minorHAnsi" w:cstheme="minorHAnsi"/>
          <w:iCs/>
          <w:sz w:val="26"/>
          <w:szCs w:val="26"/>
        </w:rPr>
        <w:t>„</w:t>
      </w:r>
      <w:r w:rsidRPr="004A72CD">
        <w:rPr>
          <w:rFonts w:asciiTheme="minorHAnsi" w:hAnsiTheme="minorHAnsi" w:cstheme="minorHAnsi"/>
          <w:iCs/>
          <w:sz w:val="26"/>
          <w:szCs w:val="26"/>
        </w:rPr>
        <w:t>pachet de instruire” standardizat şi actualizat, precum și organizarea unei serii de seminare juridice și seminare de formare lingvistică pentru grefieri, în chestiuni</w:t>
      </w:r>
      <w:r w:rsidR="00AB60F9" w:rsidRPr="004A72CD">
        <w:rPr>
          <w:rFonts w:asciiTheme="minorHAnsi" w:hAnsiTheme="minorHAnsi" w:cstheme="minorHAnsi"/>
          <w:iCs/>
          <w:sz w:val="26"/>
          <w:szCs w:val="26"/>
        </w:rPr>
        <w:t xml:space="preserve"> </w:t>
      </w:r>
      <w:r w:rsidRPr="004A72CD">
        <w:rPr>
          <w:rFonts w:asciiTheme="minorHAnsi" w:hAnsiTheme="minorHAnsi" w:cstheme="minorHAnsi"/>
          <w:iCs/>
          <w:sz w:val="26"/>
          <w:szCs w:val="26"/>
        </w:rPr>
        <w:t>de Drept civil și Drept penal al Uniunii Europene relevante pentru activitatea lor profesională. De asemenea, va oferi o platformă pentru schimbul de bune practici, informații și cunoștințe și pentru crearea de legături între personalul instanțelor din diferite State Membre ale U</w:t>
      </w:r>
      <w:r w:rsidR="00AB60F9" w:rsidRPr="004A72CD">
        <w:rPr>
          <w:rFonts w:asciiTheme="minorHAnsi" w:hAnsiTheme="minorHAnsi" w:cstheme="minorHAnsi"/>
          <w:iCs/>
          <w:sz w:val="26"/>
          <w:szCs w:val="26"/>
        </w:rPr>
        <w:t xml:space="preserve">niunii </w:t>
      </w:r>
      <w:r w:rsidRPr="004A72CD">
        <w:rPr>
          <w:rFonts w:asciiTheme="minorHAnsi" w:hAnsiTheme="minorHAnsi" w:cstheme="minorHAnsi"/>
          <w:iCs/>
          <w:sz w:val="26"/>
          <w:szCs w:val="26"/>
        </w:rPr>
        <w:t>E</w:t>
      </w:r>
      <w:r w:rsidR="00AB60F9" w:rsidRPr="004A72CD">
        <w:rPr>
          <w:rFonts w:asciiTheme="minorHAnsi" w:hAnsiTheme="minorHAnsi" w:cstheme="minorHAnsi"/>
          <w:iCs/>
          <w:sz w:val="26"/>
          <w:szCs w:val="26"/>
        </w:rPr>
        <w:t>uropene</w:t>
      </w:r>
      <w:r w:rsidRPr="004A72CD">
        <w:rPr>
          <w:rFonts w:asciiTheme="minorHAnsi" w:hAnsiTheme="minorHAnsi" w:cstheme="minorHAnsi"/>
          <w:iCs/>
          <w:sz w:val="26"/>
          <w:szCs w:val="26"/>
        </w:rPr>
        <w:t>.</w:t>
      </w:r>
    </w:p>
    <w:p w14:paraId="2717B4D8" w14:textId="77777777" w:rsidR="00796FEB" w:rsidRPr="004A72CD" w:rsidRDefault="00796FEB" w:rsidP="00D51F5A">
      <w:pPr>
        <w:spacing w:line="276" w:lineRule="auto"/>
        <w:ind w:right="26" w:firstLine="720"/>
        <w:jc w:val="both"/>
        <w:rPr>
          <w:rFonts w:asciiTheme="minorHAnsi" w:hAnsiTheme="minorHAnsi" w:cstheme="minorHAnsi"/>
          <w:iCs/>
          <w:sz w:val="26"/>
          <w:szCs w:val="26"/>
        </w:rPr>
      </w:pPr>
      <w:r w:rsidRPr="004A72CD">
        <w:rPr>
          <w:rFonts w:asciiTheme="minorHAnsi" w:hAnsiTheme="minorHAnsi" w:cstheme="minorHAnsi"/>
          <w:iCs/>
          <w:sz w:val="26"/>
          <w:szCs w:val="26"/>
        </w:rPr>
        <w:t>Un nou element al acestui proiect este crearea unui instrument electronic autonom pentru limba engleză juridică în materie penală. Pe baza manualului dezvoltat, care a fost utilizat cu succes în timpul seriei de seminare lingvistice derulate în proiectele anterioare, această aplicaţie va oferi o posibilitate de învățare online interactivă. Scopul principal al aplicaţiei va fi de a ajuta utilizatorii care doresc să-şi îmbunătățească nivelul de limba engleză în acest domeniu de drept.</w:t>
      </w:r>
    </w:p>
    <w:p w14:paraId="53819171" w14:textId="177499F8" w:rsidR="00796FEB" w:rsidRPr="004A72CD" w:rsidRDefault="00796FEB" w:rsidP="00D51F5A">
      <w:pPr>
        <w:spacing w:line="276" w:lineRule="auto"/>
        <w:ind w:right="26" w:firstLine="720"/>
        <w:jc w:val="both"/>
        <w:rPr>
          <w:rFonts w:asciiTheme="minorHAnsi" w:hAnsiTheme="minorHAnsi" w:cstheme="minorHAnsi"/>
          <w:iCs/>
          <w:sz w:val="26"/>
          <w:szCs w:val="26"/>
        </w:rPr>
      </w:pPr>
      <w:r w:rsidRPr="004A72CD">
        <w:rPr>
          <w:rFonts w:asciiTheme="minorHAnsi" w:hAnsiTheme="minorHAnsi" w:cstheme="minorHAnsi"/>
          <w:iCs/>
          <w:sz w:val="26"/>
          <w:szCs w:val="26"/>
        </w:rPr>
        <w:t>Ca rezultat, proiectul va contribui la îmbunătățirea cunoștințelor și abilităților personalului instanțelor şi parchetelor prin crearea unor materiale personalizate și prin asigurarea unei instruiri practice. Acesta va crește gradul de conștientizare și va spori încrederea profesioniştilor din U</w:t>
      </w:r>
      <w:r w:rsidR="00AD36E3" w:rsidRPr="004A72CD">
        <w:rPr>
          <w:rFonts w:asciiTheme="minorHAnsi" w:hAnsiTheme="minorHAnsi" w:cstheme="minorHAnsi"/>
          <w:iCs/>
          <w:sz w:val="26"/>
          <w:szCs w:val="26"/>
        </w:rPr>
        <w:t xml:space="preserve">niunea </w:t>
      </w:r>
      <w:r w:rsidRPr="004A72CD">
        <w:rPr>
          <w:rFonts w:asciiTheme="minorHAnsi" w:hAnsiTheme="minorHAnsi" w:cstheme="minorHAnsi"/>
          <w:iCs/>
          <w:sz w:val="26"/>
          <w:szCs w:val="26"/>
        </w:rPr>
        <w:t>E</w:t>
      </w:r>
      <w:r w:rsidR="00AD36E3" w:rsidRPr="004A72CD">
        <w:rPr>
          <w:rFonts w:asciiTheme="minorHAnsi" w:hAnsiTheme="minorHAnsi" w:cstheme="minorHAnsi"/>
          <w:iCs/>
          <w:sz w:val="26"/>
          <w:szCs w:val="26"/>
        </w:rPr>
        <w:t>uropeană</w:t>
      </w:r>
      <w:r w:rsidRPr="004A72CD">
        <w:rPr>
          <w:rFonts w:asciiTheme="minorHAnsi" w:hAnsiTheme="minorHAnsi" w:cstheme="minorHAnsi"/>
          <w:iCs/>
          <w:sz w:val="26"/>
          <w:szCs w:val="26"/>
        </w:rPr>
        <w:t xml:space="preserve"> în utilizarea anumitor instrumente </w:t>
      </w:r>
      <w:r w:rsidR="00AD36E3" w:rsidRPr="004A72CD">
        <w:rPr>
          <w:rFonts w:asciiTheme="minorHAnsi" w:hAnsiTheme="minorHAnsi" w:cstheme="minorHAnsi"/>
          <w:iCs/>
          <w:sz w:val="26"/>
          <w:szCs w:val="26"/>
        </w:rPr>
        <w:t xml:space="preserve">europene </w:t>
      </w:r>
      <w:r w:rsidRPr="004A72CD">
        <w:rPr>
          <w:rFonts w:asciiTheme="minorHAnsi" w:hAnsiTheme="minorHAnsi" w:cstheme="minorHAnsi"/>
          <w:iCs/>
          <w:sz w:val="26"/>
          <w:szCs w:val="26"/>
        </w:rPr>
        <w:t xml:space="preserve">în materie civilă și penală, contribuind și la îmbunătățirea abilităților de comunicare în limba engleză. </w:t>
      </w:r>
    </w:p>
    <w:p w14:paraId="2CB58720" w14:textId="1DB06E74" w:rsidR="00796FEB" w:rsidRPr="004A72CD" w:rsidRDefault="00796FEB" w:rsidP="00D51F5A">
      <w:pPr>
        <w:spacing w:line="276" w:lineRule="auto"/>
        <w:ind w:right="26" w:firstLine="720"/>
        <w:jc w:val="both"/>
        <w:rPr>
          <w:rFonts w:asciiTheme="minorHAnsi" w:hAnsiTheme="minorHAnsi" w:cstheme="minorHAnsi"/>
          <w:iCs/>
          <w:sz w:val="26"/>
          <w:szCs w:val="26"/>
        </w:rPr>
      </w:pPr>
      <w:r w:rsidRPr="004A72CD">
        <w:rPr>
          <w:rFonts w:asciiTheme="minorHAnsi" w:hAnsiTheme="minorHAnsi" w:cstheme="minorHAnsi"/>
          <w:iCs/>
          <w:sz w:val="26"/>
          <w:szCs w:val="26"/>
        </w:rPr>
        <w:t>La acțiunile de formare din cadrul proiectului vor participa și un număr de aproximativ 37</w:t>
      </w:r>
      <w:r w:rsidR="00AD36E3" w:rsidRPr="004A72CD">
        <w:rPr>
          <w:rFonts w:asciiTheme="minorHAnsi" w:hAnsiTheme="minorHAnsi" w:cstheme="minorHAnsi"/>
          <w:iCs/>
          <w:sz w:val="26"/>
          <w:szCs w:val="26"/>
        </w:rPr>
        <w:t xml:space="preserve"> de </w:t>
      </w:r>
      <w:r w:rsidRPr="004A72CD">
        <w:rPr>
          <w:rFonts w:asciiTheme="minorHAnsi" w:hAnsiTheme="minorHAnsi" w:cstheme="minorHAnsi"/>
          <w:iCs/>
          <w:sz w:val="26"/>
          <w:szCs w:val="26"/>
        </w:rPr>
        <w:t>grefieri români.</w:t>
      </w:r>
    </w:p>
    <w:p w14:paraId="4B0D9FC1" w14:textId="5BA096B1" w:rsidR="00796FEB" w:rsidRPr="004A72CD" w:rsidRDefault="00796FEB" w:rsidP="00D51F5A">
      <w:pPr>
        <w:spacing w:line="276" w:lineRule="auto"/>
        <w:ind w:right="26" w:firstLine="720"/>
        <w:jc w:val="both"/>
        <w:rPr>
          <w:rFonts w:asciiTheme="minorHAnsi" w:hAnsiTheme="minorHAnsi" w:cstheme="minorHAnsi"/>
          <w:iCs/>
          <w:sz w:val="26"/>
          <w:szCs w:val="26"/>
        </w:rPr>
      </w:pPr>
      <w:r w:rsidRPr="004A72CD">
        <w:rPr>
          <w:rFonts w:asciiTheme="minorHAnsi" w:hAnsiTheme="minorHAnsi" w:cstheme="minorHAnsi"/>
          <w:iCs/>
          <w:sz w:val="26"/>
          <w:szCs w:val="26"/>
        </w:rPr>
        <w:t>În cursul anului 2024, Școala Națională de Grefieri a asigurat selecția unui număr de 3</w:t>
      </w:r>
      <w:r w:rsidR="00521A35">
        <w:rPr>
          <w:rFonts w:asciiTheme="minorHAnsi" w:hAnsiTheme="minorHAnsi" w:cstheme="minorHAnsi"/>
          <w:iCs/>
          <w:sz w:val="26"/>
          <w:szCs w:val="26"/>
        </w:rPr>
        <w:t>3</w:t>
      </w:r>
      <w:r w:rsidRPr="004A72CD">
        <w:rPr>
          <w:rFonts w:asciiTheme="minorHAnsi" w:hAnsiTheme="minorHAnsi" w:cstheme="minorHAnsi"/>
          <w:iCs/>
          <w:sz w:val="26"/>
          <w:szCs w:val="26"/>
        </w:rPr>
        <w:t xml:space="preserve"> de grefieri români în vederea participării la </w:t>
      </w:r>
      <w:r w:rsidR="006F2024">
        <w:rPr>
          <w:rFonts w:asciiTheme="minorHAnsi" w:hAnsiTheme="minorHAnsi" w:cstheme="minorHAnsi"/>
          <w:iCs/>
          <w:sz w:val="26"/>
          <w:szCs w:val="26"/>
        </w:rPr>
        <w:t>10</w:t>
      </w:r>
      <w:r w:rsidRPr="004A72CD">
        <w:rPr>
          <w:rFonts w:asciiTheme="minorHAnsi" w:hAnsiTheme="minorHAnsi" w:cstheme="minorHAnsi"/>
          <w:iCs/>
          <w:sz w:val="26"/>
          <w:szCs w:val="26"/>
        </w:rPr>
        <w:t xml:space="preserve"> acțiuni de formare, de cele mai multe ori numărul inițial alocat grefierilor români fiind suplimentat și cu grefierii aflați pe listele de rezervă, aceștia din urmă fiind invitați la rândul lor să participe la seminare.</w:t>
      </w:r>
    </w:p>
    <w:p w14:paraId="4B4EB7B0" w14:textId="77777777" w:rsidR="00796FEB" w:rsidRPr="004A72CD" w:rsidRDefault="00796FEB" w:rsidP="00D51F5A">
      <w:pPr>
        <w:spacing w:line="276" w:lineRule="auto"/>
        <w:ind w:left="644"/>
        <w:contextualSpacing/>
        <w:rPr>
          <w:rFonts w:asciiTheme="minorHAnsi" w:hAnsiTheme="minorHAnsi" w:cstheme="minorHAnsi"/>
          <w:b/>
          <w:sz w:val="26"/>
          <w:szCs w:val="26"/>
        </w:rPr>
      </w:pPr>
      <w:r w:rsidRPr="004A72CD">
        <w:rPr>
          <w:rFonts w:asciiTheme="minorHAnsi" w:hAnsiTheme="minorHAnsi" w:cstheme="minorHAnsi"/>
          <w:b/>
          <w:sz w:val="26"/>
          <w:szCs w:val="26"/>
        </w:rPr>
        <w:t>Mecanismul Financiar Norvegian 2014-2021</w:t>
      </w:r>
    </w:p>
    <w:p w14:paraId="25E9C8B6" w14:textId="0FAD1569" w:rsidR="00796FEB" w:rsidRPr="004A72CD" w:rsidRDefault="00796FEB" w:rsidP="00D51F5A">
      <w:pPr>
        <w:spacing w:line="276" w:lineRule="auto"/>
        <w:ind w:firstLine="644"/>
        <w:jc w:val="both"/>
        <w:rPr>
          <w:rFonts w:asciiTheme="minorHAnsi" w:hAnsiTheme="minorHAnsi" w:cstheme="minorHAnsi"/>
          <w:iCs/>
          <w:sz w:val="26"/>
          <w:szCs w:val="26"/>
        </w:rPr>
      </w:pPr>
      <w:r w:rsidRPr="004A72CD">
        <w:rPr>
          <w:rFonts w:asciiTheme="minorHAnsi" w:hAnsiTheme="minorHAnsi" w:cstheme="minorHAnsi"/>
          <w:sz w:val="26"/>
          <w:szCs w:val="26"/>
        </w:rPr>
        <w:t>Școala Națională de Grefieri participă, sub coordonarea Consiliului Superior al Magistraturii, la implementarea proiectului „Judicial Training and Capacity Building”,</w:t>
      </w:r>
      <w:r w:rsidRPr="004A72CD">
        <w:rPr>
          <w:rFonts w:asciiTheme="minorHAnsi" w:hAnsiTheme="minorHAnsi" w:cstheme="minorHAnsi"/>
          <w:iCs/>
          <w:sz w:val="26"/>
          <w:szCs w:val="26"/>
        </w:rPr>
        <w:t xml:space="preserve"> co-finanțat prin Programul Justiție aferent Mecanismului Financiar Norvegian 2014</w:t>
      </w:r>
      <w:r w:rsidR="00AD36E3" w:rsidRPr="004A72CD">
        <w:rPr>
          <w:rFonts w:asciiTheme="minorHAnsi" w:hAnsiTheme="minorHAnsi" w:cstheme="minorHAnsi"/>
          <w:iCs/>
          <w:sz w:val="26"/>
          <w:szCs w:val="26"/>
        </w:rPr>
        <w:t xml:space="preserve"> </w:t>
      </w:r>
      <w:r w:rsidRPr="004A72CD">
        <w:rPr>
          <w:rFonts w:asciiTheme="minorHAnsi" w:hAnsiTheme="minorHAnsi" w:cstheme="minorHAnsi"/>
          <w:iCs/>
          <w:sz w:val="26"/>
          <w:szCs w:val="26"/>
        </w:rPr>
        <w:t>-</w:t>
      </w:r>
      <w:r w:rsidR="00AD36E3" w:rsidRPr="004A72CD">
        <w:rPr>
          <w:rFonts w:asciiTheme="minorHAnsi" w:hAnsiTheme="minorHAnsi" w:cstheme="minorHAnsi"/>
          <w:iCs/>
          <w:sz w:val="26"/>
          <w:szCs w:val="26"/>
        </w:rPr>
        <w:t xml:space="preserve"> </w:t>
      </w:r>
      <w:r w:rsidRPr="004A72CD">
        <w:rPr>
          <w:rFonts w:asciiTheme="minorHAnsi" w:hAnsiTheme="minorHAnsi" w:cstheme="minorHAnsi"/>
          <w:iCs/>
          <w:sz w:val="26"/>
          <w:szCs w:val="26"/>
        </w:rPr>
        <w:t>2021.</w:t>
      </w:r>
    </w:p>
    <w:p w14:paraId="14C5A591" w14:textId="306D06E0" w:rsidR="00796FEB" w:rsidRPr="004A72CD" w:rsidRDefault="00796FEB"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iCs/>
          <w:sz w:val="26"/>
          <w:szCs w:val="26"/>
        </w:rPr>
        <w:t xml:space="preserve">În cadrul componentei proiectului privind formarea personalului auxiliar de specialitate din cadrul instanțelor judecătorești, </w:t>
      </w:r>
      <w:r w:rsidRPr="004A72CD">
        <w:rPr>
          <w:rFonts w:asciiTheme="minorHAnsi" w:hAnsiTheme="minorHAnsi" w:cstheme="minorHAnsi"/>
          <w:sz w:val="26"/>
          <w:szCs w:val="26"/>
        </w:rPr>
        <w:t xml:space="preserve">în perioada martie - octombrie 2021 s-au derulat </w:t>
      </w:r>
      <w:r w:rsidRPr="004A72CD">
        <w:rPr>
          <w:rFonts w:asciiTheme="minorHAnsi" w:hAnsiTheme="minorHAnsi" w:cstheme="minorHAnsi"/>
          <w:iCs/>
          <w:sz w:val="26"/>
          <w:szCs w:val="26"/>
        </w:rPr>
        <w:t>toate</w:t>
      </w:r>
      <w:r w:rsidRPr="004A72CD">
        <w:rPr>
          <w:rFonts w:asciiTheme="minorHAnsi" w:hAnsiTheme="minorHAnsi" w:cstheme="minorHAnsi"/>
          <w:sz w:val="26"/>
          <w:szCs w:val="26"/>
        </w:rPr>
        <w:t xml:space="preserve"> cele 20 acțiuni de formare, în format </w:t>
      </w:r>
      <w:r w:rsidRPr="004A72CD">
        <w:rPr>
          <w:rFonts w:asciiTheme="minorHAnsi" w:hAnsiTheme="minorHAnsi" w:cstheme="minorHAnsi"/>
          <w:iCs/>
          <w:sz w:val="26"/>
          <w:szCs w:val="26"/>
        </w:rPr>
        <w:t>fa</w:t>
      </w:r>
      <w:r w:rsidR="00682C16" w:rsidRPr="004A72CD">
        <w:rPr>
          <w:rFonts w:asciiTheme="minorHAnsi" w:hAnsiTheme="minorHAnsi" w:cstheme="minorHAnsi"/>
          <w:iCs/>
          <w:sz w:val="26"/>
          <w:szCs w:val="26"/>
        </w:rPr>
        <w:t>ţă în faţă</w:t>
      </w:r>
      <w:r w:rsidRPr="004A72CD">
        <w:rPr>
          <w:rFonts w:asciiTheme="minorHAnsi" w:hAnsiTheme="minorHAnsi" w:cstheme="minorHAnsi"/>
          <w:iCs/>
          <w:sz w:val="26"/>
          <w:szCs w:val="26"/>
        </w:rPr>
        <w:t xml:space="preserve">, </w:t>
      </w:r>
      <w:r w:rsidRPr="004A72CD">
        <w:rPr>
          <w:rFonts w:asciiTheme="minorHAnsi" w:hAnsiTheme="minorHAnsi" w:cstheme="minorHAnsi"/>
          <w:sz w:val="26"/>
          <w:szCs w:val="26"/>
        </w:rPr>
        <w:t xml:space="preserve">în total fiind </w:t>
      </w:r>
      <w:r w:rsidR="00682C16" w:rsidRPr="004A72CD">
        <w:rPr>
          <w:rFonts w:asciiTheme="minorHAnsi" w:hAnsiTheme="minorHAnsi" w:cstheme="minorHAnsi"/>
          <w:sz w:val="26"/>
          <w:szCs w:val="26"/>
        </w:rPr>
        <w:t xml:space="preserve">instruiţi </w:t>
      </w:r>
      <w:r w:rsidRPr="004A72CD">
        <w:rPr>
          <w:rFonts w:asciiTheme="minorHAnsi" w:hAnsiTheme="minorHAnsi" w:cstheme="minorHAnsi"/>
          <w:sz w:val="26"/>
          <w:szCs w:val="26"/>
        </w:rPr>
        <w:t>un număr de 308 grefieri</w:t>
      </w:r>
      <w:r w:rsidRPr="004A72CD">
        <w:rPr>
          <w:rFonts w:asciiTheme="minorHAnsi" w:hAnsiTheme="minorHAnsi" w:cstheme="minorHAnsi"/>
          <w:iCs/>
          <w:sz w:val="26"/>
          <w:szCs w:val="26"/>
        </w:rPr>
        <w:t>. Sesiunile de formare au fost structurate pe două paliere – managementul activității grefierului de ședință la început de carieră (distinct, în materie civilă, respectiv penală), respectiv managementul activității grefierului după ședința de judecată - tehnici/standarde comune pentru redactarea încheierilor și a hotărârilor judecătorești</w:t>
      </w:r>
      <w:r w:rsidR="00682C16" w:rsidRPr="004A72CD">
        <w:rPr>
          <w:rFonts w:asciiTheme="minorHAnsi" w:hAnsiTheme="minorHAnsi" w:cstheme="minorHAnsi"/>
          <w:iCs/>
          <w:sz w:val="26"/>
          <w:szCs w:val="26"/>
        </w:rPr>
        <w:t xml:space="preserve">, </w:t>
      </w:r>
      <w:r w:rsidRPr="004A72CD">
        <w:rPr>
          <w:rFonts w:asciiTheme="minorHAnsi" w:hAnsiTheme="minorHAnsi" w:cstheme="minorHAnsi"/>
          <w:iCs/>
          <w:sz w:val="26"/>
          <w:szCs w:val="26"/>
        </w:rPr>
        <w:t>distinct, în materie civilă, respectiv în materie penală. De aceste acțiuni de formare au beneficiat grefieri din instanțele judecătorești, inclusiv grefieri la început de carieră</w:t>
      </w:r>
      <w:r w:rsidR="00682C16" w:rsidRPr="004A72CD">
        <w:rPr>
          <w:rFonts w:asciiTheme="minorHAnsi" w:hAnsiTheme="minorHAnsi" w:cstheme="minorHAnsi"/>
          <w:iCs/>
          <w:sz w:val="26"/>
          <w:szCs w:val="26"/>
        </w:rPr>
        <w:t xml:space="preserve">, respectiv </w:t>
      </w:r>
      <w:r w:rsidRPr="004A72CD">
        <w:rPr>
          <w:rFonts w:asciiTheme="minorHAnsi" w:hAnsiTheme="minorHAnsi" w:cstheme="minorHAnsi"/>
          <w:sz w:val="26"/>
          <w:szCs w:val="26"/>
        </w:rPr>
        <w:t>grefieri de ședință care au studii medii sau studii superioare juridice și care nu au absolvit cursurile S</w:t>
      </w:r>
      <w:r w:rsidR="0018646B" w:rsidRPr="004A72CD">
        <w:rPr>
          <w:rFonts w:asciiTheme="minorHAnsi" w:hAnsiTheme="minorHAnsi" w:cstheme="minorHAnsi"/>
          <w:sz w:val="26"/>
          <w:szCs w:val="26"/>
        </w:rPr>
        <w:t>.</w:t>
      </w:r>
      <w:r w:rsidRPr="004A72CD">
        <w:rPr>
          <w:rFonts w:asciiTheme="minorHAnsi" w:hAnsiTheme="minorHAnsi" w:cstheme="minorHAnsi"/>
          <w:sz w:val="26"/>
          <w:szCs w:val="26"/>
        </w:rPr>
        <w:t>N</w:t>
      </w:r>
      <w:r w:rsidR="0018646B" w:rsidRPr="004A72CD">
        <w:rPr>
          <w:rFonts w:asciiTheme="minorHAnsi" w:hAnsiTheme="minorHAnsi" w:cstheme="minorHAnsi"/>
          <w:sz w:val="26"/>
          <w:szCs w:val="26"/>
        </w:rPr>
        <w:t>.</w:t>
      </w:r>
      <w:r w:rsidRPr="004A72CD">
        <w:rPr>
          <w:rFonts w:asciiTheme="minorHAnsi" w:hAnsiTheme="minorHAnsi" w:cstheme="minorHAnsi"/>
          <w:sz w:val="26"/>
          <w:szCs w:val="26"/>
        </w:rPr>
        <w:t>G</w:t>
      </w:r>
      <w:r w:rsidR="0018646B" w:rsidRPr="004A72CD">
        <w:rPr>
          <w:rFonts w:asciiTheme="minorHAnsi" w:hAnsiTheme="minorHAnsi" w:cstheme="minorHAnsi"/>
          <w:sz w:val="26"/>
          <w:szCs w:val="26"/>
        </w:rPr>
        <w:t>.</w:t>
      </w:r>
      <w:r w:rsidRPr="004A72CD">
        <w:rPr>
          <w:rFonts w:asciiTheme="minorHAnsi" w:hAnsiTheme="minorHAnsi" w:cstheme="minorHAnsi"/>
          <w:sz w:val="26"/>
          <w:szCs w:val="26"/>
        </w:rPr>
        <w:t xml:space="preserve"> și nici nu au o vechime mai mare de 5 ani în sistemul judiciar, pentru care activitățile de formare sunt concepute în așa fel încât să se urmărească înlăturarea </w:t>
      </w:r>
      <w:r w:rsidRPr="004A72CD">
        <w:rPr>
          <w:rFonts w:asciiTheme="minorHAnsi" w:hAnsiTheme="minorHAnsi" w:cstheme="minorHAnsi"/>
          <w:sz w:val="26"/>
          <w:szCs w:val="26"/>
        </w:rPr>
        <w:lastRenderedPageBreak/>
        <w:t>disparităților de pregătire profesională față de absolvenții S</w:t>
      </w:r>
      <w:r w:rsidR="0018646B" w:rsidRPr="004A72CD">
        <w:rPr>
          <w:rFonts w:asciiTheme="minorHAnsi" w:hAnsiTheme="minorHAnsi" w:cstheme="minorHAnsi"/>
          <w:sz w:val="26"/>
          <w:szCs w:val="26"/>
        </w:rPr>
        <w:t>.</w:t>
      </w:r>
      <w:r w:rsidRPr="004A72CD">
        <w:rPr>
          <w:rFonts w:asciiTheme="minorHAnsi" w:hAnsiTheme="minorHAnsi" w:cstheme="minorHAnsi"/>
          <w:sz w:val="26"/>
          <w:szCs w:val="26"/>
        </w:rPr>
        <w:t>N</w:t>
      </w:r>
      <w:r w:rsidR="0018646B" w:rsidRPr="004A72CD">
        <w:rPr>
          <w:rFonts w:asciiTheme="minorHAnsi" w:hAnsiTheme="minorHAnsi" w:cstheme="minorHAnsi"/>
          <w:sz w:val="26"/>
          <w:szCs w:val="26"/>
        </w:rPr>
        <w:t>.</w:t>
      </w:r>
      <w:r w:rsidRPr="004A72CD">
        <w:rPr>
          <w:rFonts w:asciiTheme="minorHAnsi" w:hAnsiTheme="minorHAnsi" w:cstheme="minorHAnsi"/>
          <w:sz w:val="26"/>
          <w:szCs w:val="26"/>
        </w:rPr>
        <w:t>G</w:t>
      </w:r>
      <w:r w:rsidR="0018646B" w:rsidRPr="004A72CD">
        <w:rPr>
          <w:rFonts w:asciiTheme="minorHAnsi" w:hAnsiTheme="minorHAnsi" w:cstheme="minorHAnsi"/>
          <w:sz w:val="26"/>
          <w:szCs w:val="26"/>
        </w:rPr>
        <w:t>.</w:t>
      </w:r>
      <w:r w:rsidRPr="004A72CD">
        <w:rPr>
          <w:rFonts w:asciiTheme="minorHAnsi" w:hAnsiTheme="minorHAnsi" w:cstheme="minorHAnsi"/>
          <w:sz w:val="26"/>
          <w:szCs w:val="26"/>
        </w:rPr>
        <w:t xml:space="preserve"> și de grefierii cu o vechime mai mare de 5 ani în sistemul judiciar.</w:t>
      </w:r>
    </w:p>
    <w:p w14:paraId="7D6D6F08" w14:textId="717274ED" w:rsidR="00796FEB" w:rsidRPr="004A72CD" w:rsidRDefault="00796FEB" w:rsidP="00D51F5A">
      <w:pPr>
        <w:spacing w:line="276" w:lineRule="auto"/>
        <w:ind w:right="26" w:firstLine="720"/>
        <w:jc w:val="both"/>
        <w:rPr>
          <w:rFonts w:asciiTheme="minorHAnsi" w:hAnsiTheme="minorHAnsi" w:cstheme="minorHAnsi"/>
          <w:sz w:val="26"/>
          <w:szCs w:val="26"/>
        </w:rPr>
      </w:pPr>
      <w:r w:rsidRPr="004A72CD">
        <w:rPr>
          <w:rFonts w:asciiTheme="minorHAnsi" w:hAnsiTheme="minorHAnsi" w:cstheme="minorHAnsi"/>
          <w:sz w:val="26"/>
          <w:szCs w:val="26"/>
        </w:rPr>
        <w:t>În cadrul aceluiași proiect au fost achiziționate de către promotorul de proiect, Consiliul Superior al Magistraturii, o serie de echipamente IT destinate creșterii capacității logistice și operaționale a Școlii Naționale de Grefieri în susținerea acțiunilor sale de formare profesională, în perioada 2021</w:t>
      </w:r>
      <w:r w:rsidR="00682C16" w:rsidRPr="004A72CD">
        <w:rPr>
          <w:rFonts w:asciiTheme="minorHAnsi" w:hAnsiTheme="minorHAnsi" w:cstheme="minorHAnsi"/>
          <w:sz w:val="26"/>
          <w:szCs w:val="26"/>
        </w:rPr>
        <w:t xml:space="preserve"> </w:t>
      </w:r>
      <w:r w:rsidRPr="004A72CD">
        <w:rPr>
          <w:rFonts w:asciiTheme="minorHAnsi" w:hAnsiTheme="minorHAnsi" w:cstheme="minorHAnsi"/>
          <w:sz w:val="26"/>
          <w:szCs w:val="26"/>
        </w:rPr>
        <w:t>-</w:t>
      </w:r>
      <w:r w:rsidR="00682C16" w:rsidRPr="004A72CD">
        <w:rPr>
          <w:rFonts w:asciiTheme="minorHAnsi" w:hAnsiTheme="minorHAnsi" w:cstheme="minorHAnsi"/>
          <w:sz w:val="26"/>
          <w:szCs w:val="26"/>
        </w:rPr>
        <w:t xml:space="preserve"> </w:t>
      </w:r>
      <w:r w:rsidRPr="004A72CD">
        <w:rPr>
          <w:rFonts w:asciiTheme="minorHAnsi" w:hAnsiTheme="minorHAnsi" w:cstheme="minorHAnsi"/>
          <w:sz w:val="26"/>
          <w:szCs w:val="26"/>
        </w:rPr>
        <w:t>2022 fiind predate partenerului S</w:t>
      </w:r>
      <w:r w:rsidR="0018646B" w:rsidRPr="004A72CD">
        <w:rPr>
          <w:rFonts w:asciiTheme="minorHAnsi" w:hAnsiTheme="minorHAnsi" w:cstheme="minorHAnsi"/>
          <w:sz w:val="26"/>
          <w:szCs w:val="26"/>
        </w:rPr>
        <w:t>.</w:t>
      </w:r>
      <w:r w:rsidRPr="004A72CD">
        <w:rPr>
          <w:rFonts w:asciiTheme="minorHAnsi" w:hAnsiTheme="minorHAnsi" w:cstheme="minorHAnsi"/>
          <w:sz w:val="26"/>
          <w:szCs w:val="26"/>
        </w:rPr>
        <w:t>N</w:t>
      </w:r>
      <w:r w:rsidR="0018646B" w:rsidRPr="004A72CD">
        <w:rPr>
          <w:rFonts w:asciiTheme="minorHAnsi" w:hAnsiTheme="minorHAnsi" w:cstheme="minorHAnsi"/>
          <w:sz w:val="26"/>
          <w:szCs w:val="26"/>
        </w:rPr>
        <w:t>.</w:t>
      </w:r>
      <w:r w:rsidRPr="004A72CD">
        <w:rPr>
          <w:rFonts w:asciiTheme="minorHAnsi" w:hAnsiTheme="minorHAnsi" w:cstheme="minorHAnsi"/>
          <w:sz w:val="26"/>
          <w:szCs w:val="26"/>
        </w:rPr>
        <w:t>G</w:t>
      </w:r>
      <w:r w:rsidR="0018646B" w:rsidRPr="004A72CD">
        <w:rPr>
          <w:rFonts w:asciiTheme="minorHAnsi" w:hAnsiTheme="minorHAnsi" w:cstheme="minorHAnsi"/>
          <w:sz w:val="26"/>
          <w:szCs w:val="26"/>
        </w:rPr>
        <w:t>.</w:t>
      </w:r>
      <w:r w:rsidRPr="004A72CD">
        <w:rPr>
          <w:rFonts w:asciiTheme="minorHAnsi" w:hAnsiTheme="minorHAnsi" w:cstheme="minorHAnsi"/>
          <w:sz w:val="26"/>
          <w:szCs w:val="26"/>
        </w:rPr>
        <w:t xml:space="preserve"> 3 video-proiectoare wireless și 15 laptopuri.</w:t>
      </w:r>
    </w:p>
    <w:p w14:paraId="6A49916C" w14:textId="77777777" w:rsidR="00796FEB" w:rsidRPr="004A72CD" w:rsidRDefault="00796FEB" w:rsidP="00D51F5A">
      <w:pPr>
        <w:spacing w:line="276" w:lineRule="auto"/>
        <w:ind w:right="26" w:firstLine="720"/>
        <w:jc w:val="both"/>
        <w:rPr>
          <w:rFonts w:asciiTheme="minorHAnsi" w:hAnsiTheme="minorHAnsi" w:cstheme="minorHAnsi"/>
          <w:sz w:val="26"/>
          <w:szCs w:val="26"/>
        </w:rPr>
      </w:pPr>
      <w:r w:rsidRPr="004A72CD">
        <w:rPr>
          <w:rFonts w:asciiTheme="minorHAnsi" w:hAnsiTheme="minorHAnsi" w:cstheme="minorHAnsi"/>
          <w:sz w:val="26"/>
          <w:szCs w:val="26"/>
        </w:rPr>
        <w:t>În luna septembrie a anului 2023 a fost semnat actul adițional nr. 9/2023 la Acordul de parteneriat nr. 47/11358/2016/12.04.2019, modificările vizând aspecte de natură financiară în ceea ce privește partenerul Școala Națională de Grefieri, constând în demararea procedurilor în vederea achiziționării unei multifuncționale cu opțiune de capsare. Aceasta a fost achiziționată în luna martie a anului 2024, fiind deja utilizată pentru organizarea concursului de admitere la Școala Națională de Grefieri, în mai 2024.</w:t>
      </w:r>
    </w:p>
    <w:p w14:paraId="235CBE78" w14:textId="60A75001" w:rsidR="00796FEB" w:rsidRPr="004A72CD" w:rsidRDefault="00796FEB" w:rsidP="00D51F5A">
      <w:pPr>
        <w:spacing w:line="276" w:lineRule="auto"/>
        <w:ind w:right="26" w:firstLine="720"/>
        <w:jc w:val="both"/>
        <w:rPr>
          <w:rFonts w:asciiTheme="minorHAnsi" w:hAnsiTheme="minorHAnsi" w:cstheme="minorHAnsi"/>
          <w:sz w:val="26"/>
          <w:szCs w:val="26"/>
        </w:rPr>
      </w:pPr>
      <w:r w:rsidRPr="004A72CD">
        <w:rPr>
          <w:rFonts w:asciiTheme="minorHAnsi" w:hAnsiTheme="minorHAnsi" w:cstheme="minorHAnsi"/>
          <w:sz w:val="26"/>
          <w:szCs w:val="26"/>
        </w:rPr>
        <w:t>La data de 22 ianuarie 2024, a avut loc Conferin</w:t>
      </w:r>
      <w:r w:rsidR="00682C16" w:rsidRPr="004A72CD">
        <w:rPr>
          <w:rFonts w:asciiTheme="minorHAnsi" w:hAnsiTheme="minorHAnsi" w:cstheme="minorHAnsi"/>
          <w:sz w:val="26"/>
          <w:szCs w:val="26"/>
        </w:rPr>
        <w:t>ţ</w:t>
      </w:r>
      <w:r w:rsidRPr="004A72CD">
        <w:rPr>
          <w:rFonts w:asciiTheme="minorHAnsi" w:hAnsiTheme="minorHAnsi" w:cstheme="minorHAnsi"/>
          <w:sz w:val="26"/>
          <w:szCs w:val="26"/>
        </w:rPr>
        <w:t>a de progres, în cadrul căreia s-a evaluat progresul realizat de instituțiile partenere în implementarea activităților asumate.</w:t>
      </w:r>
    </w:p>
    <w:p w14:paraId="3803BA17" w14:textId="60034A9F" w:rsidR="00796FEB" w:rsidRPr="004A72CD" w:rsidRDefault="00796FEB" w:rsidP="00D51F5A">
      <w:pPr>
        <w:spacing w:line="276" w:lineRule="auto"/>
        <w:ind w:right="26"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Totodată, în luna martie 2024 a avut loc Conferința de închidere a proiectului </w:t>
      </w:r>
      <w:r w:rsidR="00682C16" w:rsidRPr="004A72CD">
        <w:rPr>
          <w:rFonts w:asciiTheme="minorHAnsi" w:hAnsiTheme="minorHAnsi" w:cstheme="minorHAnsi"/>
          <w:sz w:val="26"/>
          <w:szCs w:val="26"/>
        </w:rPr>
        <w:t>„</w:t>
      </w:r>
      <w:r w:rsidRPr="004A72CD">
        <w:rPr>
          <w:rFonts w:asciiTheme="minorHAnsi" w:hAnsiTheme="minorHAnsi" w:cstheme="minorHAnsi"/>
          <w:sz w:val="26"/>
          <w:szCs w:val="26"/>
        </w:rPr>
        <w:t>Formarea profesională și consolidarea capacității la nivelul sistemului judiciar” finanțat în cadrul Mecanismului Financiar Norvegian 2014</w:t>
      </w:r>
      <w:r w:rsidR="00682C16" w:rsidRPr="004A72CD">
        <w:rPr>
          <w:rFonts w:asciiTheme="minorHAnsi" w:hAnsiTheme="minorHAnsi" w:cstheme="minorHAnsi"/>
          <w:sz w:val="26"/>
          <w:szCs w:val="26"/>
        </w:rPr>
        <w:t xml:space="preserve"> </w:t>
      </w:r>
      <w:r w:rsidRPr="004A72CD">
        <w:rPr>
          <w:rFonts w:asciiTheme="minorHAnsi" w:hAnsiTheme="minorHAnsi" w:cstheme="minorHAnsi"/>
          <w:sz w:val="26"/>
          <w:szCs w:val="26"/>
        </w:rPr>
        <w:t>-</w:t>
      </w:r>
      <w:r w:rsidR="00682C16" w:rsidRPr="004A72CD">
        <w:rPr>
          <w:rFonts w:asciiTheme="minorHAnsi" w:hAnsiTheme="minorHAnsi" w:cstheme="minorHAnsi"/>
          <w:sz w:val="26"/>
          <w:szCs w:val="26"/>
        </w:rPr>
        <w:t xml:space="preserve"> </w:t>
      </w:r>
      <w:r w:rsidRPr="004A72CD">
        <w:rPr>
          <w:rFonts w:asciiTheme="minorHAnsi" w:hAnsiTheme="minorHAnsi" w:cstheme="minorHAnsi"/>
          <w:sz w:val="26"/>
          <w:szCs w:val="26"/>
        </w:rPr>
        <w:t>2021, în cadrul căreia au fost prezentate activitățile gestionate de Școala Națională de Grefieri.</w:t>
      </w:r>
    </w:p>
    <w:p w14:paraId="5C47B8AE" w14:textId="77777777" w:rsidR="00796FEB" w:rsidRPr="004A72CD" w:rsidRDefault="00796FEB" w:rsidP="00D51F5A">
      <w:pPr>
        <w:spacing w:line="276" w:lineRule="auto"/>
        <w:jc w:val="both"/>
        <w:rPr>
          <w:rFonts w:asciiTheme="minorHAnsi" w:hAnsiTheme="minorHAnsi" w:cstheme="minorHAnsi"/>
          <w:b/>
          <w:bCs/>
          <w:sz w:val="26"/>
          <w:szCs w:val="26"/>
        </w:rPr>
      </w:pPr>
      <w:r w:rsidRPr="004A72CD">
        <w:rPr>
          <w:rFonts w:asciiTheme="minorHAnsi" w:hAnsiTheme="minorHAnsi" w:cstheme="minorHAnsi"/>
          <w:sz w:val="26"/>
          <w:szCs w:val="26"/>
        </w:rPr>
        <w:tab/>
      </w:r>
      <w:r w:rsidRPr="004A72CD">
        <w:rPr>
          <w:rFonts w:asciiTheme="minorHAnsi" w:hAnsiTheme="minorHAnsi" w:cstheme="minorHAnsi"/>
          <w:b/>
          <w:bCs/>
          <w:sz w:val="26"/>
          <w:szCs w:val="26"/>
        </w:rPr>
        <w:t>CiviLink: Connecting Borders through e-CODEX Judicial Training (Conectarea frontierelor prin formare judiciară e-CODEX)</w:t>
      </w:r>
    </w:p>
    <w:p w14:paraId="4684D28A" w14:textId="36CA95B6" w:rsidR="00796FEB" w:rsidRPr="004A72CD" w:rsidRDefault="00796FEB"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În luna martie a anului 2024, Consiliul Superior al Magistraturii</w:t>
      </w:r>
      <w:r w:rsidRPr="004A72CD">
        <w:rPr>
          <w:rFonts w:asciiTheme="minorHAnsi" w:hAnsiTheme="minorHAnsi" w:cstheme="minorHAnsi"/>
          <w:b/>
          <w:bCs/>
          <w:i/>
          <w:iCs/>
          <w:sz w:val="26"/>
          <w:szCs w:val="26"/>
        </w:rPr>
        <w:t xml:space="preserve"> </w:t>
      </w:r>
      <w:r w:rsidRPr="004A72CD">
        <w:rPr>
          <w:rFonts w:asciiTheme="minorHAnsi" w:hAnsiTheme="minorHAnsi" w:cstheme="minorHAnsi"/>
          <w:sz w:val="26"/>
          <w:szCs w:val="26"/>
        </w:rPr>
        <w:t>a aprobat</w:t>
      </w:r>
      <w:r w:rsidRPr="004A72CD">
        <w:rPr>
          <w:rFonts w:asciiTheme="minorHAnsi" w:hAnsiTheme="minorHAnsi" w:cstheme="minorHAnsi"/>
          <w:b/>
          <w:bCs/>
          <w:i/>
          <w:iCs/>
          <w:sz w:val="26"/>
          <w:szCs w:val="26"/>
        </w:rPr>
        <w:t xml:space="preserve"> </w:t>
      </w:r>
      <w:r w:rsidRPr="004A72CD">
        <w:rPr>
          <w:rFonts w:asciiTheme="minorHAnsi" w:hAnsiTheme="minorHAnsi" w:cstheme="minorHAnsi"/>
          <w:iCs/>
          <w:sz w:val="26"/>
          <w:szCs w:val="26"/>
        </w:rPr>
        <w:t>solicitarea Școlii Naționale de Grefieri de a participa în calitate de partener beneficiar la proiectul „CiviLink: Connecting Borders through e-CODEX Judicial Training</w:t>
      </w:r>
      <w:r w:rsidR="00682C16" w:rsidRPr="004A72CD">
        <w:rPr>
          <w:rFonts w:asciiTheme="minorHAnsi" w:hAnsiTheme="minorHAnsi" w:cstheme="minorHAnsi"/>
          <w:iCs/>
          <w:sz w:val="26"/>
          <w:szCs w:val="26"/>
        </w:rPr>
        <w:t xml:space="preserve">”, </w:t>
      </w:r>
      <w:r w:rsidRPr="004A72CD">
        <w:rPr>
          <w:rFonts w:asciiTheme="minorHAnsi" w:hAnsiTheme="minorHAnsi" w:cstheme="minorHAnsi"/>
          <w:sz w:val="26"/>
          <w:szCs w:val="26"/>
        </w:rPr>
        <w:t>propus spre finanțare de Institutul Național al Magistraturii</w:t>
      </w:r>
      <w:r w:rsidRPr="004A72CD">
        <w:rPr>
          <w:rFonts w:asciiTheme="minorHAnsi" w:hAnsiTheme="minorHAnsi" w:cstheme="minorHAnsi"/>
          <w:b/>
          <w:bCs/>
          <w:sz w:val="26"/>
          <w:szCs w:val="26"/>
        </w:rPr>
        <w:t xml:space="preserve"> </w:t>
      </w:r>
      <w:r w:rsidRPr="004A72CD">
        <w:rPr>
          <w:rFonts w:asciiTheme="minorHAnsi" w:hAnsiTheme="minorHAnsi" w:cstheme="minorHAnsi"/>
          <w:sz w:val="26"/>
          <w:szCs w:val="26"/>
        </w:rPr>
        <w:t xml:space="preserve">în cadrul apelului de proiecte </w:t>
      </w:r>
      <w:r w:rsidRPr="004A72CD">
        <w:rPr>
          <w:rFonts w:asciiTheme="minorHAnsi" w:hAnsiTheme="minorHAnsi" w:cstheme="minorHAnsi"/>
          <w:i/>
          <w:iCs/>
          <w:sz w:val="26"/>
          <w:szCs w:val="26"/>
        </w:rPr>
        <w:t>„</w:t>
      </w:r>
      <w:r w:rsidRPr="004A72CD">
        <w:rPr>
          <w:rFonts w:asciiTheme="minorHAnsi" w:hAnsiTheme="minorHAnsi" w:cstheme="minorHAnsi"/>
          <w:sz w:val="26"/>
          <w:szCs w:val="26"/>
        </w:rPr>
        <w:t>Call for proposals for action grants to support transnational projects on training of justice professionals covering civil law, criminal law or fundamental rights” (JUST-2024-JTRA), lansat de Comisia Europeană în decembrie 2023.</w:t>
      </w:r>
    </w:p>
    <w:p w14:paraId="708DD51E" w14:textId="77777777" w:rsidR="00796FEB" w:rsidRPr="004A72CD" w:rsidRDefault="00796FEB"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Proiectul a fost selectat pentru finanțare de Comisia Europeană, iar la sfârșitul lunii octombrie 2024 a fost semnat Acordul de Grant pe portalul EU Funding &amp; Tenders.</w:t>
      </w:r>
    </w:p>
    <w:p w14:paraId="6740F4C6" w14:textId="0DFF9F4C" w:rsidR="009D5605" w:rsidRPr="00DA3EDD" w:rsidRDefault="006C1588" w:rsidP="00D35E09">
      <w:pPr>
        <w:pStyle w:val="Heading2"/>
        <w:rPr>
          <w:lang w:val="ro-RO"/>
        </w:rPr>
      </w:pPr>
      <w:bookmarkStart w:id="54" w:name="_Toc187824362"/>
      <w:r w:rsidRPr="00DA3EDD">
        <w:rPr>
          <w:lang w:val="ro-RO"/>
        </w:rPr>
        <w:t>I.6.</w:t>
      </w:r>
      <w:bookmarkStart w:id="55" w:name="_Toc430867110"/>
      <w:r w:rsidR="004C16C8" w:rsidRPr="00DA3EDD">
        <w:rPr>
          <w:lang w:val="ro-RO"/>
        </w:rPr>
        <w:t xml:space="preserve"> </w:t>
      </w:r>
      <w:r w:rsidRPr="00DA3EDD">
        <w:rPr>
          <w:lang w:val="ro-RO"/>
        </w:rPr>
        <w:t>Apărarea independenţei, imparţialităţii şi a reputaţiei profesionale</w:t>
      </w:r>
      <w:bookmarkStart w:id="56" w:name="_Toc430867111"/>
      <w:bookmarkEnd w:id="54"/>
      <w:bookmarkEnd w:id="55"/>
    </w:p>
    <w:p w14:paraId="42BE164D" w14:textId="77777777" w:rsidR="009D5605" w:rsidRPr="004A72CD" w:rsidRDefault="009D5605"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Consiliul Superior al Magistraturii este garantul independenței justiţiei, aspect consacrat atât la nivelul legii fundamentale, cât şi în art. 1 din Legea nr. 305/2022 privind Consiliul Superior al Magistraturii.</w:t>
      </w:r>
    </w:p>
    <w:p w14:paraId="116A597F" w14:textId="77777777" w:rsidR="009D5605" w:rsidRPr="004A72CD" w:rsidRDefault="009D5605"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 xml:space="preserve">În îndeplinirea rolului său de garant al independenței justiţiei, Consiliul întreprinde demersuri nu doar pentru asigurarea independenței instituționale, ci şi pentru apărarea reputaţiei profesionale, a independenţei şi a imparţialităţii judecătorilor şi procurorilor. </w:t>
      </w:r>
    </w:p>
    <w:p w14:paraId="37F82897" w14:textId="77777777" w:rsidR="009D5605" w:rsidRPr="004A72CD" w:rsidRDefault="009D5605"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 xml:space="preserve">Independenţa judecătorului şi a procurorului reprezintă garanţia fundamentală a realizării actului de justiţie şi premisa statului de drept, respectarea garanţiilor de independenţă asigurând imparțialitatea în soluţionarea cauzelor. </w:t>
      </w:r>
    </w:p>
    <w:p w14:paraId="4639FF53" w14:textId="2F2B9FF6" w:rsidR="009D5605" w:rsidRPr="004A72CD" w:rsidRDefault="009D5605"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Publicul trebuie să aibă încredere în capacitatea judecătorilor şi procurorilor de</w:t>
      </w:r>
      <w:r w:rsidR="00F80473" w:rsidRPr="004A72CD">
        <w:rPr>
          <w:rFonts w:asciiTheme="minorHAnsi" w:hAnsiTheme="minorHAnsi" w:cstheme="minorHAnsi"/>
          <w:sz w:val="26"/>
          <w:szCs w:val="26"/>
        </w:rPr>
        <w:t xml:space="preserve"> </w:t>
      </w:r>
      <w:r w:rsidRPr="004A72CD">
        <w:rPr>
          <w:rFonts w:asciiTheme="minorHAnsi" w:hAnsiTheme="minorHAnsi" w:cstheme="minorHAnsi"/>
          <w:sz w:val="26"/>
          <w:szCs w:val="26"/>
        </w:rPr>
        <w:t xml:space="preserve">a-și îndeplini funcțiile în mod independent şi imparțial, astfel că, ori de câte ori această încredere începe să fie erodată, percepţia publicului va fi diferită, fiind afectată cel puţin aparenţa de </w:t>
      </w:r>
      <w:r w:rsidRPr="004A72CD">
        <w:rPr>
          <w:rFonts w:asciiTheme="minorHAnsi" w:hAnsiTheme="minorHAnsi" w:cstheme="minorHAnsi"/>
          <w:sz w:val="26"/>
          <w:szCs w:val="26"/>
        </w:rPr>
        <w:lastRenderedPageBreak/>
        <w:t>imparţialitate, dacă nu chiar independenţa sau imparţialitatea judecătorilor sau procurorilor ori chiar independenţa sistemului judiciar în ansamblul său.</w:t>
      </w:r>
    </w:p>
    <w:p w14:paraId="3A04DE28" w14:textId="77777777" w:rsidR="009D5605" w:rsidRPr="004A72CD" w:rsidRDefault="009D5605"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Totodată, reputaţia profesională a judecătorilor şi procurorilor trebuie circumscrisă aceloraşi repere în scopul asigurării unui act de justiţie de calitate.</w:t>
      </w:r>
    </w:p>
    <w:p w14:paraId="67CB778D" w14:textId="77777777" w:rsidR="009D5605" w:rsidRPr="004A72CD" w:rsidRDefault="009D5605"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 xml:space="preserve">În acest scop, în situaţia în care anumite circumstanţe o impun, Consiliul Superior al Magistraturii întreprinde măsuri pentru oferirea unui cadru optim de desăşurare a activităţii judecătorilor şi procurorilor prin apărarea reputaţiei, a independenţei şi a imparţialităţii acestora, dar şi prin apărarea independenţei sistemului judiciar în ansamblul său. </w:t>
      </w:r>
    </w:p>
    <w:p w14:paraId="03B63FF5" w14:textId="771D5728" w:rsidR="009D5605" w:rsidRPr="004A72CD" w:rsidRDefault="009D5605" w:rsidP="00F17FEF">
      <w:pPr>
        <w:tabs>
          <w:tab w:val="left" w:pos="851"/>
        </w:tabs>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În mod corelativ, judecătorilor şi procurorilor din sistem le revine obligaţia integrităţii profesionale şi morale, aceasta conferind magistratului credibilitate şi siguranţă în exercitarea profesiei, autoritate în exprimarea opiniilor, cu precădere a celor profesionale, reprezentând, totodată, impresia pe care magistratul o creează în conştiinţa colectivă despre modul în care îşi exercită profesia.</w:t>
      </w:r>
    </w:p>
    <w:p w14:paraId="01C0446B" w14:textId="091A102E" w:rsidR="009D5605" w:rsidRPr="004A72CD" w:rsidRDefault="009D5605" w:rsidP="003E29B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Prin urmare, deplin conştient de rolul său esenţial în asigurarea unui sistem juridic bazat pe respectul statului de drept, în anul 2024, Consiliul Superior al Magistraturii a adoptat 1</w:t>
      </w:r>
      <w:r w:rsidR="000D2D63">
        <w:rPr>
          <w:rFonts w:asciiTheme="minorHAnsi" w:hAnsiTheme="minorHAnsi" w:cstheme="minorHAnsi"/>
          <w:sz w:val="26"/>
          <w:szCs w:val="26"/>
        </w:rPr>
        <w:t>6</w:t>
      </w:r>
      <w:r w:rsidRPr="004A72CD">
        <w:rPr>
          <w:rFonts w:asciiTheme="minorHAnsi" w:hAnsiTheme="minorHAnsi" w:cstheme="minorHAnsi"/>
          <w:sz w:val="26"/>
          <w:szCs w:val="26"/>
        </w:rPr>
        <w:t xml:space="preserve"> astfel de hotărâri.</w:t>
      </w:r>
    </w:p>
    <w:p w14:paraId="480D6901" w14:textId="33016BB0" w:rsidR="009D5605" w:rsidRPr="0098252F" w:rsidRDefault="009D5605" w:rsidP="00D51F5A">
      <w:pPr>
        <w:spacing w:line="276" w:lineRule="auto"/>
        <w:ind w:firstLine="851"/>
        <w:jc w:val="both"/>
        <w:rPr>
          <w:rFonts w:asciiTheme="minorHAnsi" w:hAnsiTheme="minorHAnsi" w:cstheme="minorHAnsi"/>
          <w:sz w:val="26"/>
          <w:szCs w:val="26"/>
        </w:rPr>
      </w:pPr>
      <w:r w:rsidRPr="0098252F">
        <w:rPr>
          <w:rFonts w:asciiTheme="minorHAnsi" w:hAnsiTheme="minorHAnsi" w:cstheme="minorHAnsi"/>
          <w:sz w:val="26"/>
          <w:szCs w:val="26"/>
        </w:rPr>
        <w:t>Secţia pentru judecători a Consiliului Superior al Magistraturii, în perioada ianuarie 2024</w:t>
      </w:r>
      <w:r w:rsidR="00F55585" w:rsidRPr="0098252F">
        <w:rPr>
          <w:rFonts w:asciiTheme="minorHAnsi" w:hAnsiTheme="minorHAnsi" w:cstheme="minorHAnsi"/>
          <w:sz w:val="26"/>
          <w:szCs w:val="26"/>
        </w:rPr>
        <w:t xml:space="preserve"> -</w:t>
      </w:r>
      <w:r w:rsidRPr="0098252F">
        <w:rPr>
          <w:rFonts w:asciiTheme="minorHAnsi" w:hAnsiTheme="minorHAnsi" w:cstheme="minorHAnsi"/>
          <w:sz w:val="26"/>
          <w:szCs w:val="26"/>
        </w:rPr>
        <w:t xml:space="preserve"> </w:t>
      </w:r>
      <w:r w:rsidR="009D38CF">
        <w:rPr>
          <w:rFonts w:asciiTheme="minorHAnsi" w:hAnsiTheme="minorHAnsi" w:cstheme="minorHAnsi"/>
          <w:sz w:val="26"/>
          <w:szCs w:val="26"/>
        </w:rPr>
        <w:t>dec</w:t>
      </w:r>
      <w:r w:rsidR="005D1C71" w:rsidRPr="0098252F">
        <w:rPr>
          <w:rFonts w:asciiTheme="minorHAnsi" w:hAnsiTheme="minorHAnsi" w:cstheme="minorHAnsi"/>
          <w:sz w:val="26"/>
          <w:szCs w:val="26"/>
        </w:rPr>
        <w:t>e</w:t>
      </w:r>
      <w:r w:rsidRPr="0098252F">
        <w:rPr>
          <w:rFonts w:asciiTheme="minorHAnsi" w:hAnsiTheme="minorHAnsi" w:cstheme="minorHAnsi"/>
          <w:sz w:val="26"/>
          <w:szCs w:val="26"/>
        </w:rPr>
        <w:t xml:space="preserve">mbrie 2024, a soluţionat </w:t>
      </w:r>
      <w:r w:rsidR="009D38CF">
        <w:rPr>
          <w:rFonts w:asciiTheme="minorHAnsi" w:hAnsiTheme="minorHAnsi" w:cstheme="minorHAnsi"/>
          <w:sz w:val="26"/>
          <w:szCs w:val="26"/>
        </w:rPr>
        <w:t>8</w:t>
      </w:r>
      <w:r w:rsidRPr="0098252F">
        <w:rPr>
          <w:rFonts w:asciiTheme="minorHAnsi" w:hAnsiTheme="minorHAnsi" w:cstheme="minorHAnsi"/>
          <w:sz w:val="26"/>
          <w:szCs w:val="26"/>
        </w:rPr>
        <w:t xml:space="preserve"> sesizări având ca obiect apărarea reputaţiei profesionale şi/sau a independenţei şi imparţialităţii judecătorilor. Au fost pronunţate 4 hotărâri de admitere şi </w:t>
      </w:r>
      <w:r w:rsidR="009D38CF">
        <w:rPr>
          <w:rFonts w:asciiTheme="minorHAnsi" w:hAnsiTheme="minorHAnsi" w:cstheme="minorHAnsi"/>
          <w:sz w:val="26"/>
          <w:szCs w:val="26"/>
        </w:rPr>
        <w:t>4</w:t>
      </w:r>
      <w:r w:rsidRPr="0098252F">
        <w:rPr>
          <w:rFonts w:asciiTheme="minorHAnsi" w:hAnsiTheme="minorHAnsi" w:cstheme="minorHAnsi"/>
          <w:sz w:val="26"/>
          <w:szCs w:val="26"/>
        </w:rPr>
        <w:t xml:space="preserve"> hotărâri de respingere, astfel:</w:t>
      </w:r>
    </w:p>
    <w:p w14:paraId="458224AE" w14:textId="1F99CCD4" w:rsidR="009D5605" w:rsidRPr="004A72CD" w:rsidRDefault="009D5605" w:rsidP="00D51F5A">
      <w:pPr>
        <w:spacing w:line="276" w:lineRule="auto"/>
        <w:ind w:firstLine="851"/>
        <w:jc w:val="both"/>
        <w:rPr>
          <w:rFonts w:asciiTheme="minorHAnsi" w:hAnsiTheme="minorHAnsi" w:cstheme="minorHAnsi"/>
          <w:sz w:val="26"/>
          <w:szCs w:val="26"/>
          <w:lang w:eastAsia="ro-RO"/>
        </w:rPr>
      </w:pPr>
      <w:r w:rsidRPr="004A72CD">
        <w:rPr>
          <w:rFonts w:asciiTheme="minorHAnsi" w:hAnsiTheme="minorHAnsi" w:cstheme="minorHAnsi"/>
          <w:sz w:val="26"/>
          <w:szCs w:val="26"/>
        </w:rPr>
        <w:t>1. Prin Hotărârea nr. 384</w:t>
      </w:r>
      <w:r w:rsidR="00504C2E" w:rsidRPr="004A72CD">
        <w:rPr>
          <w:rFonts w:asciiTheme="minorHAnsi" w:hAnsiTheme="minorHAnsi" w:cstheme="minorHAnsi"/>
          <w:sz w:val="26"/>
          <w:szCs w:val="26"/>
        </w:rPr>
        <w:t>/</w:t>
      </w:r>
      <w:r w:rsidRPr="004A72CD">
        <w:rPr>
          <w:rFonts w:asciiTheme="minorHAnsi" w:hAnsiTheme="minorHAnsi" w:cstheme="minorHAnsi"/>
          <w:sz w:val="26"/>
          <w:szCs w:val="26"/>
        </w:rPr>
        <w:t>29.02.2024, Secţia pentru judecători a Consiliului Superior al Magistraturii, cu unanimitate, a hotărât apărarea independenței și imparțialității judecătorilor din cadrul Tribunalului Brașov, față de afirmaţiile f</w:t>
      </w:r>
      <w:r w:rsidR="00F55585" w:rsidRPr="004A72CD">
        <w:rPr>
          <w:rFonts w:asciiTheme="minorHAnsi" w:hAnsiTheme="minorHAnsi" w:cstheme="minorHAnsi"/>
          <w:sz w:val="26"/>
          <w:szCs w:val="26"/>
        </w:rPr>
        <w:t>ormulate</w:t>
      </w:r>
      <w:r w:rsidRPr="004A72CD">
        <w:rPr>
          <w:rFonts w:asciiTheme="minorHAnsi" w:hAnsiTheme="minorHAnsi" w:cstheme="minorHAnsi"/>
          <w:sz w:val="26"/>
          <w:szCs w:val="26"/>
        </w:rPr>
        <w:t xml:space="preserve"> de unii consilieri din cadrul Consiliului Național pentru Soluționarea Contestațiilor (C.N.S.C.) în cadrul ședinței din 18</w:t>
      </w:r>
      <w:r w:rsidR="00FC0CFD" w:rsidRPr="004A72CD">
        <w:rPr>
          <w:rFonts w:asciiTheme="minorHAnsi" w:hAnsiTheme="minorHAnsi" w:cstheme="minorHAnsi"/>
          <w:sz w:val="26"/>
          <w:szCs w:val="26"/>
        </w:rPr>
        <w:t xml:space="preserve"> august </w:t>
      </w:r>
      <w:r w:rsidRPr="004A72CD">
        <w:rPr>
          <w:rFonts w:asciiTheme="minorHAnsi" w:hAnsiTheme="minorHAnsi" w:cstheme="minorHAnsi"/>
          <w:sz w:val="26"/>
          <w:szCs w:val="26"/>
        </w:rPr>
        <w:t>2023, publicate în articolele de presă din data de 06 decembrie 2023. Cu</w:t>
      </w:r>
      <w:r w:rsidRPr="004A72CD">
        <w:rPr>
          <w:rStyle w:val="Strong"/>
          <w:rFonts w:asciiTheme="minorHAnsi" w:hAnsiTheme="minorHAnsi" w:cstheme="minorHAnsi"/>
          <w:sz w:val="26"/>
          <w:szCs w:val="26"/>
        </w:rPr>
        <w:t xml:space="preserve"> </w:t>
      </w:r>
      <w:r w:rsidRPr="004A72CD">
        <w:rPr>
          <w:rStyle w:val="Strong"/>
          <w:rFonts w:asciiTheme="minorHAnsi" w:hAnsiTheme="minorHAnsi" w:cstheme="minorHAnsi"/>
          <w:b w:val="0"/>
          <w:bCs w:val="0"/>
          <w:sz w:val="26"/>
          <w:szCs w:val="26"/>
        </w:rPr>
        <w:t>privire la cererea menţionată, verificările efectuate de Inspecția Judiciară au fost expuse în Raportul</w:t>
      </w:r>
      <w:r w:rsidRPr="004A72CD">
        <w:rPr>
          <w:rStyle w:val="Strong"/>
          <w:rFonts w:asciiTheme="minorHAnsi" w:hAnsiTheme="minorHAnsi" w:cstheme="minorHAnsi"/>
          <w:sz w:val="26"/>
          <w:szCs w:val="26"/>
        </w:rPr>
        <w:t xml:space="preserve"> </w:t>
      </w:r>
      <w:r w:rsidRPr="004A72CD">
        <w:rPr>
          <w:rFonts w:asciiTheme="minorHAnsi" w:hAnsiTheme="minorHAnsi" w:cstheme="minorHAnsi"/>
          <w:sz w:val="26"/>
          <w:szCs w:val="26"/>
          <w:lang w:eastAsia="ro-RO"/>
        </w:rPr>
        <w:t>Direcţiei de Inspecţie pentru</w:t>
      </w:r>
      <w:r w:rsidRPr="004A72CD">
        <w:rPr>
          <w:rStyle w:val="Strong"/>
          <w:rFonts w:asciiTheme="minorHAnsi" w:hAnsiTheme="minorHAnsi" w:cstheme="minorHAnsi"/>
          <w:sz w:val="26"/>
          <w:szCs w:val="26"/>
        </w:rPr>
        <w:t xml:space="preserve"> </w:t>
      </w:r>
      <w:r w:rsidRPr="004A72CD">
        <w:rPr>
          <w:rStyle w:val="Strong"/>
          <w:rFonts w:asciiTheme="minorHAnsi" w:hAnsiTheme="minorHAnsi" w:cstheme="minorHAnsi"/>
          <w:b w:val="0"/>
          <w:bCs w:val="0"/>
          <w:sz w:val="26"/>
          <w:szCs w:val="26"/>
        </w:rPr>
        <w:t>judecători nr.</w:t>
      </w:r>
      <w:r w:rsidRPr="004A72CD">
        <w:rPr>
          <w:rStyle w:val="Strong"/>
          <w:rFonts w:asciiTheme="minorHAnsi" w:hAnsiTheme="minorHAnsi" w:cstheme="minorHAnsi"/>
          <w:sz w:val="26"/>
          <w:szCs w:val="26"/>
        </w:rPr>
        <w:t xml:space="preserve"> </w:t>
      </w:r>
      <w:r w:rsidRPr="004A72CD">
        <w:rPr>
          <w:rFonts w:asciiTheme="minorHAnsi" w:hAnsiTheme="minorHAnsi" w:cstheme="minorHAnsi"/>
          <w:sz w:val="26"/>
          <w:szCs w:val="26"/>
          <w:lang w:eastAsia="ro-RO"/>
        </w:rPr>
        <w:t>24-36/2024.</w:t>
      </w:r>
    </w:p>
    <w:p w14:paraId="2CC60579" w14:textId="0E116EBE" w:rsidR="009D5605" w:rsidRPr="004A72CD" w:rsidRDefault="009D5605" w:rsidP="00D51F5A">
      <w:pPr>
        <w:spacing w:line="276" w:lineRule="auto"/>
        <w:ind w:firstLine="851"/>
        <w:jc w:val="both"/>
        <w:rPr>
          <w:rFonts w:asciiTheme="minorHAnsi" w:hAnsiTheme="minorHAnsi" w:cstheme="minorHAnsi"/>
          <w:sz w:val="26"/>
          <w:szCs w:val="26"/>
        </w:rPr>
      </w:pPr>
      <w:r w:rsidRPr="004A72CD">
        <w:rPr>
          <w:rFonts w:asciiTheme="minorHAnsi" w:hAnsiTheme="minorHAnsi" w:cstheme="minorHAnsi"/>
          <w:sz w:val="26"/>
          <w:szCs w:val="26"/>
        </w:rPr>
        <w:t>2. Prin Hotărârea nr. 430</w:t>
      </w:r>
      <w:r w:rsidR="00504C2E" w:rsidRPr="004A72CD">
        <w:rPr>
          <w:rFonts w:asciiTheme="minorHAnsi" w:hAnsiTheme="minorHAnsi" w:cstheme="minorHAnsi"/>
          <w:sz w:val="26"/>
          <w:szCs w:val="26"/>
        </w:rPr>
        <w:t>/</w:t>
      </w:r>
      <w:r w:rsidRPr="004A72CD">
        <w:rPr>
          <w:rFonts w:asciiTheme="minorHAnsi" w:hAnsiTheme="minorHAnsi" w:cstheme="minorHAnsi"/>
          <w:sz w:val="26"/>
          <w:szCs w:val="26"/>
        </w:rPr>
        <w:t>12.03.2024, Secţia pentru judecători a Consiliului Superior al Magistraturii a constatat, cu majoritate, încălcarea independenței judecătorilor față de opiniile exprimate în spațiul public de către primarul unui sector al Municipiului București și preluate ulterior în mass-media.</w:t>
      </w:r>
    </w:p>
    <w:p w14:paraId="43CCB9C4" w14:textId="0A72D709" w:rsidR="009D5605" w:rsidRPr="004A72CD" w:rsidRDefault="009D5605" w:rsidP="00D51F5A">
      <w:pPr>
        <w:spacing w:line="276" w:lineRule="auto"/>
        <w:ind w:firstLine="851"/>
        <w:jc w:val="both"/>
        <w:rPr>
          <w:rFonts w:asciiTheme="minorHAnsi" w:hAnsiTheme="minorHAnsi" w:cstheme="minorHAnsi"/>
          <w:sz w:val="26"/>
          <w:szCs w:val="26"/>
        </w:rPr>
      </w:pPr>
      <w:r w:rsidRPr="004A72CD">
        <w:rPr>
          <w:rFonts w:asciiTheme="minorHAnsi" w:hAnsiTheme="minorHAnsi" w:cstheme="minorHAnsi"/>
          <w:sz w:val="26"/>
          <w:szCs w:val="26"/>
        </w:rPr>
        <w:t>3. Prin Hotărârea nr. 1017</w:t>
      </w:r>
      <w:r w:rsidR="00504C2E" w:rsidRPr="004A72CD">
        <w:rPr>
          <w:rFonts w:asciiTheme="minorHAnsi" w:hAnsiTheme="minorHAnsi" w:cstheme="minorHAnsi"/>
          <w:sz w:val="26"/>
          <w:szCs w:val="26"/>
        </w:rPr>
        <w:t>/</w:t>
      </w:r>
      <w:r w:rsidRPr="004A72CD">
        <w:rPr>
          <w:rFonts w:asciiTheme="minorHAnsi" w:hAnsiTheme="minorHAnsi" w:cstheme="minorHAnsi"/>
          <w:sz w:val="26"/>
          <w:szCs w:val="26"/>
        </w:rPr>
        <w:t>21.05.2024, Secţia pentru judecători a Consiliului Superior al Magistraturii a hotărât, cu unanimitate, că afirmațiile apărute în publicațiile online, în perioada 22 – 25</w:t>
      </w:r>
      <w:r w:rsidR="00782699" w:rsidRPr="004A72CD">
        <w:rPr>
          <w:rFonts w:asciiTheme="minorHAnsi" w:hAnsiTheme="minorHAnsi" w:cstheme="minorHAnsi"/>
          <w:sz w:val="26"/>
          <w:szCs w:val="26"/>
        </w:rPr>
        <w:t>.03.</w:t>
      </w:r>
      <w:r w:rsidRPr="004A72CD">
        <w:rPr>
          <w:rFonts w:asciiTheme="minorHAnsi" w:hAnsiTheme="minorHAnsi" w:cstheme="minorHAnsi"/>
          <w:sz w:val="26"/>
          <w:szCs w:val="26"/>
        </w:rPr>
        <w:t xml:space="preserve">2024, prin care s-a întărit ideea imixtiunii politicului în justiție, cu referire atât la judecătorii care au pronunțat hotărârea judecătorească în dosarul înregistrat pe rolul Curții de Apel Târgu Mureș sub nr. 86/43/2023, menționați în articolele online, cât și la cei învestiți cu soluționarea dosarului nr. 28/43/2024, aflat pe rolul aceleiași instanțe, afectează independența și imparțialitatea acestora. Cu privire la cererea menţionată, </w:t>
      </w:r>
      <w:r w:rsidRPr="004A72CD">
        <w:rPr>
          <w:rStyle w:val="Strong"/>
          <w:rFonts w:asciiTheme="minorHAnsi" w:hAnsiTheme="minorHAnsi" w:cstheme="minorHAnsi"/>
          <w:b w:val="0"/>
          <w:bCs w:val="0"/>
          <w:sz w:val="26"/>
          <w:szCs w:val="26"/>
        </w:rPr>
        <w:t xml:space="preserve">verificările efectuate de Inspecția Judiciară au fost redate în </w:t>
      </w:r>
      <w:r w:rsidRPr="004A72CD">
        <w:rPr>
          <w:rFonts w:asciiTheme="minorHAnsi" w:hAnsiTheme="minorHAnsi" w:cstheme="minorHAnsi"/>
          <w:sz w:val="26"/>
          <w:szCs w:val="26"/>
        </w:rPr>
        <w:t>Raportul Direcţiei de Inspecţie pentru judecători nr. 24-663/2024.</w:t>
      </w:r>
    </w:p>
    <w:p w14:paraId="416B5AA9" w14:textId="07C79E62" w:rsidR="000E105B" w:rsidRPr="004A72CD" w:rsidRDefault="009D5605" w:rsidP="00D51F5A">
      <w:pPr>
        <w:spacing w:line="276" w:lineRule="auto"/>
        <w:ind w:firstLine="851"/>
        <w:jc w:val="both"/>
        <w:rPr>
          <w:rFonts w:asciiTheme="minorHAnsi" w:hAnsiTheme="minorHAnsi" w:cstheme="minorHAnsi"/>
          <w:sz w:val="26"/>
          <w:szCs w:val="26"/>
        </w:rPr>
      </w:pPr>
      <w:r w:rsidRPr="004A72CD">
        <w:rPr>
          <w:rFonts w:asciiTheme="minorHAnsi" w:hAnsiTheme="minorHAnsi" w:cstheme="minorHAnsi"/>
          <w:sz w:val="26"/>
          <w:szCs w:val="26"/>
        </w:rPr>
        <w:t xml:space="preserve">4. </w:t>
      </w:r>
      <w:r w:rsidR="000E105B" w:rsidRPr="004A72CD">
        <w:rPr>
          <w:rFonts w:asciiTheme="minorHAnsi" w:hAnsiTheme="minorHAnsi" w:cstheme="minorHAnsi"/>
          <w:sz w:val="26"/>
          <w:szCs w:val="26"/>
        </w:rPr>
        <w:t>Prin Hotărârea nr. 1571</w:t>
      </w:r>
      <w:r w:rsidR="004E1E22" w:rsidRPr="004A72CD">
        <w:rPr>
          <w:rFonts w:asciiTheme="minorHAnsi" w:hAnsiTheme="minorHAnsi" w:cstheme="minorHAnsi"/>
          <w:sz w:val="26"/>
          <w:szCs w:val="26"/>
        </w:rPr>
        <w:t>/</w:t>
      </w:r>
      <w:r w:rsidR="000E105B" w:rsidRPr="004A72CD">
        <w:rPr>
          <w:rFonts w:asciiTheme="minorHAnsi" w:hAnsiTheme="minorHAnsi" w:cstheme="minorHAnsi"/>
          <w:sz w:val="26"/>
          <w:szCs w:val="26"/>
        </w:rPr>
        <w:t xml:space="preserve">05.09.2024, Secţia pentru judecători a Consiliului Superior al Magistraturii a hotărât, cu majoritate, respingerea cererii de apărare a independenței și imparțialității formulate de domnul </w:t>
      </w:r>
      <w:r w:rsidR="003D2A2A" w:rsidRPr="004A72CD">
        <w:rPr>
          <w:rFonts w:asciiTheme="minorHAnsi" w:hAnsiTheme="minorHAnsi" w:cstheme="minorHAnsi"/>
          <w:sz w:val="26"/>
          <w:szCs w:val="26"/>
        </w:rPr>
        <w:t>Lungu Cristian</w:t>
      </w:r>
      <w:r w:rsidR="000E105B" w:rsidRPr="004A72CD">
        <w:rPr>
          <w:rFonts w:asciiTheme="minorHAnsi" w:hAnsiTheme="minorHAnsi" w:cstheme="minorHAnsi"/>
          <w:sz w:val="26"/>
          <w:szCs w:val="26"/>
        </w:rPr>
        <w:t xml:space="preserve">, judecător în cadrul Tribunalului Galați. Cu </w:t>
      </w:r>
      <w:r w:rsidR="000E105B" w:rsidRPr="004A72CD">
        <w:rPr>
          <w:rFonts w:asciiTheme="minorHAnsi" w:hAnsiTheme="minorHAnsi" w:cstheme="minorHAnsi"/>
          <w:sz w:val="26"/>
          <w:szCs w:val="26"/>
        </w:rPr>
        <w:lastRenderedPageBreak/>
        <w:t xml:space="preserve">privire la cererea menţionată, </w:t>
      </w:r>
      <w:r w:rsidR="000E105B" w:rsidRPr="004A72CD">
        <w:rPr>
          <w:rStyle w:val="Strong"/>
          <w:rFonts w:asciiTheme="minorHAnsi" w:hAnsiTheme="minorHAnsi" w:cstheme="minorHAnsi"/>
          <w:b w:val="0"/>
          <w:bCs w:val="0"/>
          <w:sz w:val="26"/>
          <w:szCs w:val="26"/>
        </w:rPr>
        <w:t>verificările efectuate de Inspecția Judiciară au fost expuse în</w:t>
      </w:r>
      <w:r w:rsidR="000E105B" w:rsidRPr="004A72CD">
        <w:rPr>
          <w:rStyle w:val="Strong"/>
          <w:rFonts w:asciiTheme="minorHAnsi" w:hAnsiTheme="minorHAnsi" w:cstheme="minorHAnsi"/>
          <w:sz w:val="26"/>
          <w:szCs w:val="26"/>
        </w:rPr>
        <w:t xml:space="preserve"> </w:t>
      </w:r>
      <w:r w:rsidR="000E105B" w:rsidRPr="004A72CD">
        <w:rPr>
          <w:rFonts w:asciiTheme="minorHAnsi" w:hAnsiTheme="minorHAnsi" w:cstheme="minorHAnsi"/>
          <w:sz w:val="26"/>
          <w:szCs w:val="26"/>
        </w:rPr>
        <w:t>Raportul Direcţiei de Inspecţie pentru judecători nr. 24-1114.</w:t>
      </w:r>
    </w:p>
    <w:p w14:paraId="6BDC5EAC" w14:textId="096D4B47" w:rsidR="000E105B" w:rsidRPr="004A72CD" w:rsidRDefault="000E105B" w:rsidP="00D51F5A">
      <w:pPr>
        <w:spacing w:line="276" w:lineRule="auto"/>
        <w:ind w:firstLine="851"/>
        <w:jc w:val="both"/>
        <w:rPr>
          <w:rFonts w:asciiTheme="minorHAnsi" w:hAnsiTheme="minorHAnsi" w:cstheme="minorHAnsi"/>
          <w:sz w:val="26"/>
          <w:szCs w:val="26"/>
        </w:rPr>
      </w:pPr>
      <w:r w:rsidRPr="004A72CD">
        <w:rPr>
          <w:rFonts w:asciiTheme="minorHAnsi" w:hAnsiTheme="minorHAnsi" w:cstheme="minorHAnsi"/>
          <w:sz w:val="26"/>
          <w:szCs w:val="26"/>
        </w:rPr>
        <w:t>5. Prin Hotărârea nr. 1572</w:t>
      </w:r>
      <w:r w:rsidR="004E1E22" w:rsidRPr="004A72CD">
        <w:rPr>
          <w:rFonts w:asciiTheme="minorHAnsi" w:hAnsiTheme="minorHAnsi" w:cstheme="minorHAnsi"/>
          <w:sz w:val="26"/>
          <w:szCs w:val="26"/>
        </w:rPr>
        <w:t>/</w:t>
      </w:r>
      <w:r w:rsidRPr="004A72CD">
        <w:rPr>
          <w:rFonts w:asciiTheme="minorHAnsi" w:hAnsiTheme="minorHAnsi" w:cstheme="minorHAnsi"/>
          <w:sz w:val="26"/>
          <w:szCs w:val="26"/>
        </w:rPr>
        <w:t xml:space="preserve">05.09.2024, Secţia pentru judecători a Consiliului Superior al Magistraturii a hotărât, cu majoritate, respingerea cererii de apărare a reputației profesionale formulate de domnul </w:t>
      </w:r>
      <w:r w:rsidR="003D2A2A" w:rsidRPr="004A72CD">
        <w:rPr>
          <w:rFonts w:asciiTheme="minorHAnsi" w:hAnsiTheme="minorHAnsi" w:cstheme="minorHAnsi"/>
          <w:sz w:val="26"/>
          <w:szCs w:val="26"/>
        </w:rPr>
        <w:t>Cotuț Doru Alexandru</w:t>
      </w:r>
      <w:r w:rsidRPr="004A72CD">
        <w:rPr>
          <w:rFonts w:asciiTheme="minorHAnsi" w:hAnsiTheme="minorHAnsi" w:cstheme="minorHAnsi"/>
          <w:sz w:val="26"/>
          <w:szCs w:val="26"/>
        </w:rPr>
        <w:t xml:space="preserve">, judecător în cadrul Judecătoriei Reghin. Cu privire la cererea menţionată, </w:t>
      </w:r>
      <w:r w:rsidRPr="004A72CD">
        <w:rPr>
          <w:rStyle w:val="Strong"/>
          <w:rFonts w:asciiTheme="minorHAnsi" w:hAnsiTheme="minorHAnsi" w:cstheme="minorHAnsi"/>
          <w:b w:val="0"/>
          <w:bCs w:val="0"/>
          <w:sz w:val="26"/>
          <w:szCs w:val="26"/>
        </w:rPr>
        <w:t>verificările efectuate de Inspecția Judiciară au fost expuse în</w:t>
      </w:r>
      <w:r w:rsidRPr="004A72CD">
        <w:rPr>
          <w:rStyle w:val="Strong"/>
          <w:rFonts w:asciiTheme="minorHAnsi" w:hAnsiTheme="minorHAnsi" w:cstheme="minorHAnsi"/>
          <w:sz w:val="26"/>
          <w:szCs w:val="26"/>
        </w:rPr>
        <w:t xml:space="preserve"> </w:t>
      </w:r>
      <w:r w:rsidRPr="004A72CD">
        <w:rPr>
          <w:rFonts w:asciiTheme="minorHAnsi" w:hAnsiTheme="minorHAnsi" w:cstheme="minorHAnsi"/>
          <w:sz w:val="26"/>
          <w:szCs w:val="26"/>
        </w:rPr>
        <w:t>Raportul Direcţiei de Inspecţie pentru judecători nr. 24-1422.</w:t>
      </w:r>
    </w:p>
    <w:p w14:paraId="3724A17E" w14:textId="5A64E789" w:rsidR="009A7803" w:rsidRDefault="009A7803" w:rsidP="00D51F5A">
      <w:pPr>
        <w:spacing w:line="276" w:lineRule="auto"/>
        <w:ind w:firstLine="851"/>
        <w:jc w:val="both"/>
        <w:rPr>
          <w:rFonts w:asciiTheme="minorHAnsi" w:hAnsiTheme="minorHAnsi" w:cstheme="minorHAnsi"/>
          <w:sz w:val="26"/>
          <w:szCs w:val="26"/>
        </w:rPr>
      </w:pPr>
      <w:r w:rsidRPr="004A72CD">
        <w:rPr>
          <w:rFonts w:asciiTheme="minorHAnsi" w:hAnsiTheme="minorHAnsi" w:cstheme="minorHAnsi"/>
          <w:sz w:val="26"/>
          <w:szCs w:val="26"/>
        </w:rPr>
        <w:t xml:space="preserve">6. Prin Hotărârea nr. 1716/03.10.2024, Secţia pentru judecători a Consiliului Superior al Magistraturii a hotărât, cu unanimitate, admiterea cererii privind apărarea reputației profesionale formulate de domnul judecător </w:t>
      </w:r>
      <w:r w:rsidR="003D2A2A" w:rsidRPr="004A72CD">
        <w:rPr>
          <w:rFonts w:asciiTheme="minorHAnsi" w:hAnsiTheme="minorHAnsi" w:cstheme="minorHAnsi"/>
          <w:sz w:val="26"/>
          <w:szCs w:val="26"/>
        </w:rPr>
        <w:t xml:space="preserve">Antik Levente Farkas </w:t>
      </w:r>
      <w:r w:rsidRPr="004A72CD">
        <w:rPr>
          <w:rFonts w:asciiTheme="minorHAnsi" w:hAnsiTheme="minorHAnsi" w:cstheme="minorHAnsi"/>
          <w:sz w:val="26"/>
          <w:szCs w:val="26"/>
        </w:rPr>
        <w:t xml:space="preserve">și de doamna judecător </w:t>
      </w:r>
      <w:r w:rsidR="003D2A2A" w:rsidRPr="004A72CD">
        <w:rPr>
          <w:rFonts w:asciiTheme="minorHAnsi" w:hAnsiTheme="minorHAnsi" w:cstheme="minorHAnsi"/>
          <w:sz w:val="26"/>
          <w:szCs w:val="26"/>
        </w:rPr>
        <w:t>Țarcă Gabriela Ana</w:t>
      </w:r>
      <w:r w:rsidRPr="004A72CD">
        <w:rPr>
          <w:rFonts w:asciiTheme="minorHAnsi" w:hAnsiTheme="minorHAnsi" w:cstheme="minorHAnsi"/>
          <w:sz w:val="26"/>
          <w:szCs w:val="26"/>
        </w:rPr>
        <w:t xml:space="preserve"> din cadrul Curții de Apel Oradea, precum și publicarea soluției privind cererea de apărare a reputației perofesionale pe site-urile </w:t>
      </w:r>
      <w:r w:rsidR="003D2A2A" w:rsidRPr="004A72CD">
        <w:rPr>
          <w:rFonts w:asciiTheme="minorHAnsi" w:hAnsiTheme="minorHAnsi" w:cstheme="minorHAnsi"/>
          <w:sz w:val="26"/>
          <w:szCs w:val="26"/>
        </w:rPr>
        <w:t>„</w:t>
      </w:r>
      <w:r w:rsidRPr="004A72CD">
        <w:rPr>
          <w:rFonts w:asciiTheme="minorHAnsi" w:hAnsiTheme="minorHAnsi" w:cstheme="minorHAnsi"/>
          <w:sz w:val="26"/>
          <w:szCs w:val="26"/>
        </w:rPr>
        <w:t xml:space="preserve">Bursa.ro”, </w:t>
      </w:r>
      <w:r w:rsidR="003D2A2A" w:rsidRPr="004A72CD">
        <w:rPr>
          <w:rFonts w:asciiTheme="minorHAnsi" w:hAnsiTheme="minorHAnsi" w:cstheme="minorHAnsi"/>
          <w:sz w:val="26"/>
          <w:szCs w:val="26"/>
        </w:rPr>
        <w:t>„</w:t>
      </w:r>
      <w:r w:rsidRPr="004A72CD">
        <w:rPr>
          <w:rFonts w:asciiTheme="minorHAnsi" w:hAnsiTheme="minorHAnsi" w:cstheme="minorHAnsi"/>
          <w:sz w:val="26"/>
          <w:szCs w:val="26"/>
        </w:rPr>
        <w:t xml:space="preserve">Revista Presei pe Scurt și Ziare 24 on line”, www.libnet.ro. Cu privire la cererea menţionată, </w:t>
      </w:r>
      <w:r w:rsidRPr="004A72CD">
        <w:rPr>
          <w:rStyle w:val="Strong"/>
          <w:rFonts w:asciiTheme="minorHAnsi" w:hAnsiTheme="minorHAnsi" w:cstheme="minorHAnsi"/>
          <w:b w:val="0"/>
          <w:bCs w:val="0"/>
          <w:sz w:val="26"/>
          <w:szCs w:val="26"/>
        </w:rPr>
        <w:t>verificările efectuate de Inspecția Judiciară au fost expuse în</w:t>
      </w:r>
      <w:r w:rsidRPr="004A72CD">
        <w:rPr>
          <w:rStyle w:val="Strong"/>
          <w:rFonts w:asciiTheme="minorHAnsi" w:hAnsiTheme="minorHAnsi" w:cstheme="minorHAnsi"/>
          <w:sz w:val="26"/>
          <w:szCs w:val="26"/>
        </w:rPr>
        <w:t xml:space="preserve"> </w:t>
      </w:r>
      <w:r w:rsidRPr="004A72CD">
        <w:rPr>
          <w:rFonts w:asciiTheme="minorHAnsi" w:hAnsiTheme="minorHAnsi" w:cstheme="minorHAnsi"/>
          <w:sz w:val="26"/>
          <w:szCs w:val="26"/>
        </w:rPr>
        <w:t>Raportul Direcţiei de Inspecţie pentru judecători nr. 24-1547.</w:t>
      </w:r>
    </w:p>
    <w:p w14:paraId="3AEB18BA" w14:textId="77777777" w:rsidR="00D44534" w:rsidRDefault="00D442AA" w:rsidP="00D44534">
      <w:pPr>
        <w:spacing w:line="276" w:lineRule="auto"/>
        <w:ind w:firstLine="851"/>
        <w:jc w:val="both"/>
        <w:rPr>
          <w:rFonts w:asciiTheme="minorHAnsi" w:hAnsiTheme="minorHAnsi" w:cstheme="minorHAnsi"/>
          <w:sz w:val="26"/>
          <w:szCs w:val="26"/>
        </w:rPr>
      </w:pPr>
      <w:r w:rsidRPr="0098252F">
        <w:rPr>
          <w:rFonts w:asciiTheme="minorHAnsi" w:hAnsiTheme="minorHAnsi" w:cstheme="minorHAnsi"/>
          <w:sz w:val="26"/>
          <w:szCs w:val="26"/>
        </w:rPr>
        <w:t xml:space="preserve">7. Prin Hotărârea nr. 1851/29.10.2024, Secţia pentru judecători a Consiliului Superior al Magistraturii a hotărât, cu unanimitate, respingerea cererii de apărare a reputației profesionale formulate de doamna Prahanca Emilia Maria, judecător în cadrul Judecătoriei Beiuș. Cu privire la cererea menţionată, </w:t>
      </w:r>
      <w:r w:rsidRPr="00FB7918">
        <w:rPr>
          <w:rStyle w:val="Strong"/>
          <w:rFonts w:asciiTheme="minorHAnsi" w:hAnsiTheme="minorHAnsi" w:cstheme="minorHAnsi"/>
          <w:b w:val="0"/>
          <w:bCs w:val="0"/>
          <w:sz w:val="26"/>
          <w:szCs w:val="26"/>
        </w:rPr>
        <w:t>verificările efectuate de Inspecția Judiciară au fost expuse în</w:t>
      </w:r>
      <w:r w:rsidRPr="0098252F">
        <w:rPr>
          <w:rStyle w:val="Strong"/>
          <w:rFonts w:asciiTheme="minorHAnsi" w:hAnsiTheme="minorHAnsi" w:cstheme="minorHAnsi"/>
          <w:sz w:val="26"/>
          <w:szCs w:val="26"/>
        </w:rPr>
        <w:t xml:space="preserve"> </w:t>
      </w:r>
      <w:r w:rsidRPr="0098252F">
        <w:rPr>
          <w:rFonts w:asciiTheme="minorHAnsi" w:hAnsiTheme="minorHAnsi" w:cstheme="minorHAnsi"/>
          <w:sz w:val="26"/>
          <w:szCs w:val="26"/>
        </w:rPr>
        <w:t>Raportul Direcţiei de Inspecţie pentru judecători nr. 24-1865.</w:t>
      </w:r>
    </w:p>
    <w:p w14:paraId="6EEA6C28" w14:textId="448845D0" w:rsidR="00D44534" w:rsidRPr="0098252F" w:rsidRDefault="00D44534" w:rsidP="00D44534">
      <w:pPr>
        <w:spacing w:line="276" w:lineRule="auto"/>
        <w:ind w:firstLine="851"/>
        <w:jc w:val="both"/>
        <w:rPr>
          <w:rFonts w:asciiTheme="minorHAnsi" w:hAnsiTheme="minorHAnsi" w:cstheme="minorHAnsi"/>
          <w:sz w:val="26"/>
          <w:szCs w:val="26"/>
        </w:rPr>
      </w:pPr>
      <w:r w:rsidRPr="00EC046C">
        <w:rPr>
          <w:rFonts w:asciiTheme="minorHAnsi" w:hAnsiTheme="minorHAnsi" w:cstheme="minorHAnsi"/>
          <w:sz w:val="26"/>
          <w:szCs w:val="26"/>
        </w:rPr>
        <w:t xml:space="preserve">8. Prin Hotărârea nr. 2433/17.12.2024, Secţia pentru judecători a Consiliului Superior al Magistraturii a hotărât, cu unanimitate, respingerea cererii de apărare a reputației profesionale formulate de domnul Miu Matei, fost judecător în cadrul Judecătoriei Caracal. Cu privire la cererea menţionată, </w:t>
      </w:r>
      <w:r w:rsidRPr="00020488">
        <w:rPr>
          <w:rStyle w:val="Strong"/>
          <w:rFonts w:asciiTheme="minorHAnsi" w:hAnsiTheme="minorHAnsi" w:cstheme="minorHAnsi"/>
          <w:b w:val="0"/>
          <w:bCs w:val="0"/>
          <w:sz w:val="26"/>
          <w:szCs w:val="26"/>
        </w:rPr>
        <w:t>verificările efectuate de Inspecția Judiciară au fost expuse în</w:t>
      </w:r>
      <w:r w:rsidRPr="00EC046C">
        <w:rPr>
          <w:rStyle w:val="Strong"/>
          <w:rFonts w:asciiTheme="minorHAnsi" w:hAnsiTheme="minorHAnsi" w:cstheme="minorHAnsi"/>
          <w:sz w:val="26"/>
          <w:szCs w:val="26"/>
        </w:rPr>
        <w:t xml:space="preserve"> </w:t>
      </w:r>
      <w:r w:rsidRPr="00EC046C">
        <w:rPr>
          <w:rFonts w:asciiTheme="minorHAnsi" w:hAnsiTheme="minorHAnsi" w:cstheme="minorHAnsi"/>
          <w:sz w:val="26"/>
          <w:szCs w:val="26"/>
        </w:rPr>
        <w:t>Raportul Direcţiei de Inspecţie pentru judecători nr. 24-886.</w:t>
      </w:r>
    </w:p>
    <w:p w14:paraId="6CD7E584" w14:textId="60937616" w:rsidR="009D5605" w:rsidRPr="004A72CD" w:rsidRDefault="009D5605" w:rsidP="00D51F5A">
      <w:pPr>
        <w:spacing w:line="276" w:lineRule="auto"/>
        <w:ind w:firstLine="851"/>
        <w:jc w:val="both"/>
        <w:rPr>
          <w:rFonts w:asciiTheme="minorHAnsi" w:hAnsiTheme="minorHAnsi" w:cstheme="minorHAnsi"/>
          <w:bCs/>
          <w:sz w:val="26"/>
          <w:szCs w:val="26"/>
          <w:lang w:eastAsia="ro-RO"/>
        </w:rPr>
      </w:pPr>
      <w:r w:rsidRPr="0098252F">
        <w:rPr>
          <w:rFonts w:asciiTheme="minorHAnsi" w:hAnsiTheme="minorHAnsi" w:cstheme="minorHAnsi"/>
          <w:sz w:val="26"/>
          <w:szCs w:val="26"/>
        </w:rPr>
        <w:t>În aceeaşi perioadă de referinţă, 01.01</w:t>
      </w:r>
      <w:r w:rsidR="00F55585" w:rsidRPr="0098252F">
        <w:rPr>
          <w:rFonts w:asciiTheme="minorHAnsi" w:hAnsiTheme="minorHAnsi" w:cstheme="minorHAnsi"/>
          <w:sz w:val="26"/>
          <w:szCs w:val="26"/>
        </w:rPr>
        <w:t xml:space="preserve"> </w:t>
      </w:r>
      <w:r w:rsidRPr="0098252F">
        <w:rPr>
          <w:rFonts w:asciiTheme="minorHAnsi" w:hAnsiTheme="minorHAnsi" w:cstheme="minorHAnsi"/>
          <w:sz w:val="26"/>
          <w:szCs w:val="26"/>
        </w:rPr>
        <w:t>-</w:t>
      </w:r>
      <w:r w:rsidR="00F55585" w:rsidRPr="0098252F">
        <w:rPr>
          <w:rFonts w:asciiTheme="minorHAnsi" w:hAnsiTheme="minorHAnsi" w:cstheme="minorHAnsi"/>
          <w:sz w:val="26"/>
          <w:szCs w:val="26"/>
        </w:rPr>
        <w:t xml:space="preserve"> </w:t>
      </w:r>
      <w:r w:rsidR="00582950">
        <w:rPr>
          <w:rFonts w:asciiTheme="minorHAnsi" w:hAnsiTheme="minorHAnsi" w:cstheme="minorHAnsi"/>
          <w:sz w:val="26"/>
          <w:szCs w:val="26"/>
        </w:rPr>
        <w:t>31</w:t>
      </w:r>
      <w:r w:rsidRPr="0098252F">
        <w:rPr>
          <w:rFonts w:asciiTheme="minorHAnsi" w:hAnsiTheme="minorHAnsi" w:cstheme="minorHAnsi"/>
          <w:sz w:val="26"/>
          <w:szCs w:val="26"/>
        </w:rPr>
        <w:t>.1</w:t>
      </w:r>
      <w:r w:rsidR="00582950">
        <w:rPr>
          <w:rFonts w:asciiTheme="minorHAnsi" w:hAnsiTheme="minorHAnsi" w:cstheme="minorHAnsi"/>
          <w:sz w:val="26"/>
          <w:szCs w:val="26"/>
        </w:rPr>
        <w:t>2</w:t>
      </w:r>
      <w:r w:rsidRPr="0098252F">
        <w:rPr>
          <w:rFonts w:asciiTheme="minorHAnsi" w:hAnsiTheme="minorHAnsi" w:cstheme="minorHAnsi"/>
          <w:sz w:val="26"/>
          <w:szCs w:val="26"/>
        </w:rPr>
        <w:t>.2024, Secţia pentru procurori a pronunțat 8 hotărâri</w:t>
      </w:r>
      <w:r w:rsidRPr="0098252F">
        <w:rPr>
          <w:rFonts w:asciiTheme="minorHAnsi" w:hAnsiTheme="minorHAnsi" w:cstheme="minorHAnsi"/>
          <w:b/>
          <w:bCs/>
          <w:sz w:val="26"/>
          <w:szCs w:val="26"/>
        </w:rPr>
        <w:t xml:space="preserve"> </w:t>
      </w:r>
      <w:r w:rsidRPr="0098252F">
        <w:rPr>
          <w:rFonts w:asciiTheme="minorHAnsi" w:hAnsiTheme="minorHAnsi" w:cstheme="minorHAnsi"/>
          <w:sz w:val="26"/>
          <w:szCs w:val="26"/>
        </w:rPr>
        <w:t xml:space="preserve">având ca obiect cereri privind apărarea reputaţiei profesionale şi/sau a independenţei şi imparţialităţii procurorilor, </w:t>
      </w:r>
      <w:r w:rsidRPr="0098252F">
        <w:rPr>
          <w:rFonts w:asciiTheme="minorHAnsi" w:hAnsiTheme="minorHAnsi" w:cstheme="minorHAnsi"/>
          <w:bCs/>
          <w:sz w:val="26"/>
          <w:szCs w:val="26"/>
          <w:lang w:eastAsia="ro-RO"/>
        </w:rPr>
        <w:t xml:space="preserve">dintre care 4 hotărâri de admitere și 4 hotărâri </w:t>
      </w:r>
      <w:r w:rsidRPr="004A72CD">
        <w:rPr>
          <w:rFonts w:asciiTheme="minorHAnsi" w:hAnsiTheme="minorHAnsi" w:cstheme="minorHAnsi"/>
          <w:bCs/>
          <w:sz w:val="26"/>
          <w:szCs w:val="26"/>
          <w:lang w:eastAsia="ro-RO"/>
        </w:rPr>
        <w:t xml:space="preserve">de respingere, astfel: </w:t>
      </w:r>
    </w:p>
    <w:p w14:paraId="2975D5B5" w14:textId="205B7722" w:rsidR="00C2115A" w:rsidRPr="004A72CD" w:rsidRDefault="00C2115A" w:rsidP="00D51F5A">
      <w:pPr>
        <w:spacing w:line="276" w:lineRule="auto"/>
        <w:ind w:firstLine="851"/>
        <w:jc w:val="both"/>
        <w:rPr>
          <w:rFonts w:asciiTheme="minorHAnsi" w:hAnsiTheme="minorHAnsi" w:cstheme="minorHAnsi"/>
          <w:b/>
          <w:sz w:val="26"/>
          <w:szCs w:val="26"/>
        </w:rPr>
      </w:pPr>
      <w:r w:rsidRPr="004A72CD">
        <w:rPr>
          <w:rStyle w:val="Strong"/>
          <w:rFonts w:asciiTheme="minorHAnsi" w:hAnsiTheme="minorHAnsi" w:cstheme="minorHAnsi"/>
          <w:b w:val="0"/>
          <w:bCs w:val="0"/>
          <w:sz w:val="26"/>
          <w:szCs w:val="26"/>
        </w:rPr>
        <w:t xml:space="preserve">1. Prin Hotărârea nr. 32/09.01.2024, Secţia pentru procurori a Consiliului Superior al Magistraturii, cu unanimitatea voturilor membrilor prezenţi, a hotărât </w:t>
      </w:r>
      <w:r w:rsidRPr="004A72CD">
        <w:rPr>
          <w:rFonts w:asciiTheme="minorHAnsi" w:hAnsiTheme="minorHAnsi" w:cstheme="minorHAnsi"/>
          <w:sz w:val="26"/>
          <w:szCs w:val="26"/>
        </w:rPr>
        <w:t xml:space="preserve">respingerea cererii de apărare a reputaţiei profesionale formulată de către domnul procuror </w:t>
      </w:r>
      <w:r w:rsidR="003D2A2A" w:rsidRPr="004A72CD">
        <w:rPr>
          <w:rFonts w:asciiTheme="minorHAnsi" w:hAnsiTheme="minorHAnsi" w:cstheme="minorHAnsi"/>
          <w:sz w:val="26"/>
          <w:szCs w:val="26"/>
        </w:rPr>
        <w:t xml:space="preserve">Niţă Teodor </w:t>
      </w:r>
      <w:r w:rsidRPr="004A72CD">
        <w:rPr>
          <w:rFonts w:asciiTheme="minorHAnsi" w:hAnsiTheme="minorHAnsi" w:cstheme="minorHAnsi"/>
          <w:sz w:val="26"/>
          <w:szCs w:val="26"/>
        </w:rPr>
        <w:t>din cadrul Parchetului de pe lângă Curtea de Apel Constanţa.</w:t>
      </w:r>
      <w:r w:rsidRPr="004A72CD">
        <w:rPr>
          <w:rStyle w:val="Strong"/>
          <w:rFonts w:asciiTheme="minorHAnsi" w:hAnsiTheme="minorHAnsi" w:cstheme="minorHAnsi"/>
          <w:sz w:val="26"/>
          <w:szCs w:val="26"/>
        </w:rPr>
        <w:t xml:space="preserve"> </w:t>
      </w:r>
      <w:r w:rsidRPr="004A72CD">
        <w:rPr>
          <w:rStyle w:val="Strong"/>
          <w:rFonts w:asciiTheme="minorHAnsi" w:hAnsiTheme="minorHAnsi" w:cstheme="minorHAnsi"/>
          <w:b w:val="0"/>
          <w:bCs w:val="0"/>
          <w:sz w:val="26"/>
          <w:szCs w:val="26"/>
        </w:rPr>
        <w:t>Urmare a formulării cererii de către domnul procuror, aceasta a fost înaintată Inspecției Judiciare, care a întocmit Raportul Direcţiei de Inspecţie pentru procurori nr</w:t>
      </w:r>
      <w:r w:rsidRPr="004A72CD">
        <w:rPr>
          <w:rStyle w:val="Strong"/>
          <w:rFonts w:asciiTheme="minorHAnsi" w:hAnsiTheme="minorHAnsi" w:cstheme="minorHAnsi"/>
          <w:sz w:val="26"/>
          <w:szCs w:val="26"/>
        </w:rPr>
        <w:t xml:space="preserve">. </w:t>
      </w:r>
      <w:r w:rsidRPr="004A72CD">
        <w:rPr>
          <w:rFonts w:asciiTheme="minorHAnsi" w:hAnsiTheme="minorHAnsi" w:cstheme="minorHAnsi"/>
          <w:sz w:val="26"/>
          <w:szCs w:val="26"/>
        </w:rPr>
        <w:t>23-1711/2023.</w:t>
      </w:r>
    </w:p>
    <w:p w14:paraId="355631EA" w14:textId="0D65E9C3" w:rsidR="00C2115A" w:rsidRPr="004A72CD" w:rsidRDefault="00C2115A" w:rsidP="00D51F5A">
      <w:pPr>
        <w:spacing w:line="276" w:lineRule="auto"/>
        <w:ind w:firstLine="851"/>
        <w:jc w:val="both"/>
        <w:rPr>
          <w:rStyle w:val="Strong"/>
          <w:rFonts w:asciiTheme="minorHAnsi" w:hAnsiTheme="minorHAnsi" w:cstheme="minorHAnsi"/>
          <w:b w:val="0"/>
          <w:bCs w:val="0"/>
          <w:sz w:val="26"/>
          <w:szCs w:val="26"/>
        </w:rPr>
      </w:pPr>
      <w:r w:rsidRPr="004A72CD">
        <w:rPr>
          <w:rStyle w:val="Strong"/>
          <w:rFonts w:asciiTheme="minorHAnsi" w:hAnsiTheme="minorHAnsi" w:cstheme="minorHAnsi"/>
          <w:b w:val="0"/>
          <w:bCs w:val="0"/>
          <w:sz w:val="26"/>
          <w:szCs w:val="26"/>
        </w:rPr>
        <w:t>2. Prin Hotărârea nr. 490/14.03.2024, Secţia pentru procurori a Consiliului Superior al Magistraturii, cu unanimitatea voturilor membrilor prezenţi, a hotărât</w:t>
      </w:r>
      <w:r w:rsidRPr="004A72CD">
        <w:rPr>
          <w:rStyle w:val="Strong"/>
          <w:rFonts w:asciiTheme="minorHAnsi" w:hAnsiTheme="minorHAnsi" w:cstheme="minorHAnsi"/>
          <w:sz w:val="26"/>
          <w:szCs w:val="26"/>
        </w:rPr>
        <w:t xml:space="preserve"> </w:t>
      </w:r>
      <w:r w:rsidRPr="004A72CD">
        <w:rPr>
          <w:rFonts w:asciiTheme="minorHAnsi" w:hAnsiTheme="minorHAnsi" w:cstheme="minorHAnsi"/>
          <w:sz w:val="26"/>
          <w:szCs w:val="26"/>
        </w:rPr>
        <w:t xml:space="preserve">admiterea cererii de apărare a reputaţiei profesionale formulată de domnul </w:t>
      </w:r>
      <w:r w:rsidR="003D2A2A" w:rsidRPr="004A72CD">
        <w:rPr>
          <w:rFonts w:asciiTheme="minorHAnsi" w:hAnsiTheme="minorHAnsi" w:cstheme="minorHAnsi"/>
          <w:sz w:val="26"/>
          <w:szCs w:val="26"/>
        </w:rPr>
        <w:t>Marius Ionuț Voineag</w:t>
      </w:r>
      <w:r w:rsidRPr="004A72CD">
        <w:rPr>
          <w:rFonts w:asciiTheme="minorHAnsi" w:hAnsiTheme="minorHAnsi" w:cstheme="minorHAnsi"/>
          <w:sz w:val="26"/>
          <w:szCs w:val="26"/>
        </w:rPr>
        <w:t>, procuror șef al Direcției Naționale Anticorupție.</w:t>
      </w:r>
      <w:r w:rsidRPr="004A72CD">
        <w:rPr>
          <w:rStyle w:val="Strong"/>
          <w:rFonts w:asciiTheme="minorHAnsi" w:hAnsiTheme="minorHAnsi" w:cstheme="minorHAnsi"/>
          <w:sz w:val="26"/>
          <w:szCs w:val="26"/>
        </w:rPr>
        <w:t xml:space="preserve"> </w:t>
      </w:r>
      <w:r w:rsidRPr="004A72CD">
        <w:rPr>
          <w:rStyle w:val="Strong"/>
          <w:rFonts w:asciiTheme="minorHAnsi" w:hAnsiTheme="minorHAnsi" w:cstheme="minorHAnsi"/>
          <w:b w:val="0"/>
          <w:bCs w:val="0"/>
          <w:sz w:val="26"/>
          <w:szCs w:val="26"/>
        </w:rPr>
        <w:t>Pentru efectuarea de verificări, cererea domnului procuror a fost înaintată Inspecției Judiciare, care a întocmit Raportul Direcţiei de Inspecţie pentru procurori nr. 24-288.</w:t>
      </w:r>
    </w:p>
    <w:p w14:paraId="35625BAC" w14:textId="77777777" w:rsidR="009D5605" w:rsidRPr="004A72CD" w:rsidRDefault="009D5605" w:rsidP="00D51F5A">
      <w:pPr>
        <w:spacing w:line="276" w:lineRule="auto"/>
        <w:ind w:firstLine="851"/>
        <w:jc w:val="both"/>
        <w:rPr>
          <w:rStyle w:val="Strong"/>
          <w:rFonts w:asciiTheme="minorHAnsi" w:hAnsiTheme="minorHAnsi" w:cstheme="minorHAnsi"/>
          <w:b w:val="0"/>
          <w:bCs w:val="0"/>
          <w:sz w:val="26"/>
          <w:szCs w:val="26"/>
        </w:rPr>
      </w:pPr>
      <w:r w:rsidRPr="004A72CD">
        <w:rPr>
          <w:rStyle w:val="Strong"/>
          <w:rFonts w:asciiTheme="minorHAnsi" w:hAnsiTheme="minorHAnsi" w:cstheme="minorHAnsi"/>
          <w:b w:val="0"/>
          <w:bCs w:val="0"/>
          <w:sz w:val="26"/>
          <w:szCs w:val="26"/>
        </w:rPr>
        <w:t xml:space="preserve">3. Prin Hotărârea nr. 491/14.03.2024, Secţia pentru procurori a Consiliului Superior al Magistraturii, cu unanimitatea voturilor membrilor prezenţi, a hotărât apărarea independenței procurorilor din cadrul Parchetului de pe lângă Judecătoria Sectorului 1 București, precum și </w:t>
      </w:r>
      <w:r w:rsidRPr="004A72CD">
        <w:rPr>
          <w:rStyle w:val="Strong"/>
          <w:rFonts w:asciiTheme="minorHAnsi" w:hAnsiTheme="minorHAnsi" w:cstheme="minorHAnsi"/>
          <w:b w:val="0"/>
          <w:bCs w:val="0"/>
          <w:sz w:val="26"/>
          <w:szCs w:val="26"/>
        </w:rPr>
        <w:lastRenderedPageBreak/>
        <w:t>apărarea reputației profesionale a procurorului care instrumentează dosarul penal, ca urmare a declarațiilor exprimate în spațiul public de către primarul unui sector al Municipiului București.</w:t>
      </w:r>
    </w:p>
    <w:p w14:paraId="33CBF7DD" w14:textId="37C96060" w:rsidR="003C1CCC" w:rsidRPr="004A72CD" w:rsidRDefault="003C1CCC" w:rsidP="00D51F5A">
      <w:pPr>
        <w:spacing w:line="276" w:lineRule="auto"/>
        <w:ind w:firstLine="851"/>
        <w:jc w:val="both"/>
        <w:rPr>
          <w:rStyle w:val="Strong"/>
          <w:rFonts w:asciiTheme="minorHAnsi" w:hAnsiTheme="minorHAnsi" w:cstheme="minorHAnsi"/>
          <w:b w:val="0"/>
          <w:bCs w:val="0"/>
          <w:sz w:val="26"/>
          <w:szCs w:val="26"/>
        </w:rPr>
      </w:pPr>
      <w:r w:rsidRPr="004A72CD">
        <w:rPr>
          <w:rStyle w:val="Strong"/>
          <w:rFonts w:asciiTheme="minorHAnsi" w:hAnsiTheme="minorHAnsi" w:cstheme="minorHAnsi"/>
          <w:b w:val="0"/>
          <w:bCs w:val="0"/>
          <w:sz w:val="26"/>
          <w:szCs w:val="26"/>
        </w:rPr>
        <w:t xml:space="preserve">4. Prin Hotărârea nr. 595/16.04.2024, Secţia pentru procurori a Consiliului Superior al Magistraturii, cu majoritatea voturilor membrilor prezenţi, a hotărât respingerea cererii de apărare a reputaţiei profesionale formulată de domnul </w:t>
      </w:r>
      <w:r w:rsidR="003D2A2A" w:rsidRPr="004A72CD">
        <w:rPr>
          <w:rStyle w:val="Strong"/>
          <w:rFonts w:asciiTheme="minorHAnsi" w:hAnsiTheme="minorHAnsi" w:cstheme="minorHAnsi"/>
          <w:b w:val="0"/>
          <w:bCs w:val="0"/>
          <w:sz w:val="26"/>
          <w:szCs w:val="26"/>
        </w:rPr>
        <w:t>Lascu Liviu Alexandru</w:t>
      </w:r>
      <w:r w:rsidRPr="004A72CD">
        <w:rPr>
          <w:rStyle w:val="Strong"/>
          <w:rFonts w:asciiTheme="minorHAnsi" w:hAnsiTheme="minorHAnsi" w:cstheme="minorHAnsi"/>
          <w:b w:val="0"/>
          <w:bCs w:val="0"/>
          <w:sz w:val="26"/>
          <w:szCs w:val="26"/>
        </w:rPr>
        <w:t>, prim</w:t>
      </w:r>
      <w:r w:rsidR="003F6930" w:rsidRPr="004A72CD">
        <w:rPr>
          <w:rStyle w:val="Strong"/>
          <w:rFonts w:asciiTheme="minorHAnsi" w:hAnsiTheme="minorHAnsi" w:cstheme="minorHAnsi"/>
          <w:b w:val="0"/>
          <w:bCs w:val="0"/>
          <w:sz w:val="26"/>
          <w:szCs w:val="26"/>
        </w:rPr>
        <w:t xml:space="preserve"> </w:t>
      </w:r>
      <w:r w:rsidRPr="004A72CD">
        <w:rPr>
          <w:rStyle w:val="Strong"/>
          <w:rFonts w:asciiTheme="minorHAnsi" w:hAnsiTheme="minorHAnsi" w:cstheme="minorHAnsi"/>
          <w:b w:val="0"/>
          <w:bCs w:val="0"/>
          <w:sz w:val="26"/>
          <w:szCs w:val="26"/>
        </w:rPr>
        <w:t>procuror al Parchetului Militar de pe lângă Tribunalul Militar Cluj. Urmare a formulării cererii de către domnul procuror, verificările efectuate de Inspecția Judiciară au fost expuse în Raportul Direcţiei de Inspecţie pentru procurori nr. 24-271.</w:t>
      </w:r>
    </w:p>
    <w:p w14:paraId="02A91A97" w14:textId="1C4F37D2" w:rsidR="0013757A" w:rsidRPr="004A72CD" w:rsidRDefault="0013757A" w:rsidP="00D51F5A">
      <w:pPr>
        <w:spacing w:line="276" w:lineRule="auto"/>
        <w:ind w:firstLine="851"/>
        <w:jc w:val="both"/>
        <w:rPr>
          <w:rStyle w:val="Strong"/>
          <w:rFonts w:asciiTheme="minorHAnsi" w:hAnsiTheme="minorHAnsi" w:cstheme="minorHAnsi"/>
          <w:b w:val="0"/>
          <w:bCs w:val="0"/>
          <w:sz w:val="26"/>
          <w:szCs w:val="26"/>
        </w:rPr>
      </w:pPr>
      <w:r w:rsidRPr="004A72CD">
        <w:rPr>
          <w:rStyle w:val="Strong"/>
          <w:rFonts w:asciiTheme="minorHAnsi" w:hAnsiTheme="minorHAnsi" w:cstheme="minorHAnsi"/>
          <w:b w:val="0"/>
          <w:bCs w:val="0"/>
          <w:sz w:val="26"/>
          <w:szCs w:val="26"/>
        </w:rPr>
        <w:t xml:space="preserve">5. Prin Hotărârea nr. 743/03.06.2024, Secţia pentru procurori a Consiliului Superior al Magistraturii, cu unanimitatea voturilor membrilor prezenţi, a hotărât admiterea cererii de apărare a reputației profesionale formulată de domnul </w:t>
      </w:r>
      <w:r w:rsidR="003F6930" w:rsidRPr="004A72CD">
        <w:rPr>
          <w:rStyle w:val="Strong"/>
          <w:rFonts w:asciiTheme="minorHAnsi" w:hAnsiTheme="minorHAnsi" w:cstheme="minorHAnsi"/>
          <w:b w:val="0"/>
          <w:bCs w:val="0"/>
          <w:sz w:val="26"/>
          <w:szCs w:val="26"/>
        </w:rPr>
        <w:t>Alex Florin Florența</w:t>
      </w:r>
      <w:r w:rsidRPr="004A72CD">
        <w:rPr>
          <w:rStyle w:val="Strong"/>
          <w:rFonts w:asciiTheme="minorHAnsi" w:hAnsiTheme="minorHAnsi" w:cstheme="minorHAnsi"/>
          <w:b w:val="0"/>
          <w:bCs w:val="0"/>
          <w:sz w:val="26"/>
          <w:szCs w:val="26"/>
        </w:rPr>
        <w:t>, procuror general al Parchetului de pe lângă Înalta Curte de Casație și Justiție.</w:t>
      </w:r>
    </w:p>
    <w:p w14:paraId="2C6DB613" w14:textId="18A02DBA" w:rsidR="0013757A" w:rsidRPr="004A72CD" w:rsidRDefault="0013757A" w:rsidP="00D51F5A">
      <w:pPr>
        <w:spacing w:line="276" w:lineRule="auto"/>
        <w:ind w:firstLine="851"/>
        <w:jc w:val="both"/>
        <w:rPr>
          <w:rStyle w:val="Strong"/>
          <w:rFonts w:asciiTheme="minorHAnsi" w:hAnsiTheme="minorHAnsi" w:cstheme="minorHAnsi"/>
          <w:b w:val="0"/>
          <w:bCs w:val="0"/>
          <w:sz w:val="26"/>
          <w:szCs w:val="26"/>
        </w:rPr>
      </w:pPr>
      <w:r w:rsidRPr="004A72CD">
        <w:rPr>
          <w:rStyle w:val="Strong"/>
          <w:rFonts w:asciiTheme="minorHAnsi" w:hAnsiTheme="minorHAnsi" w:cstheme="minorHAnsi"/>
          <w:b w:val="0"/>
          <w:bCs w:val="0"/>
          <w:sz w:val="26"/>
          <w:szCs w:val="26"/>
        </w:rPr>
        <w:t xml:space="preserve">6. Prin Hotărârea nr. 809/11.06.2024, Secţia pentru procurori a Consiliului Superior al Magistraturii, cu majoritatea voturilor membrilor prezenţi, a hotărât respingerea cererii de apărare a reputaţiei profesionale formulate de domnul </w:t>
      </w:r>
      <w:r w:rsidR="003F6930" w:rsidRPr="004A72CD">
        <w:rPr>
          <w:rStyle w:val="Strong"/>
          <w:rFonts w:asciiTheme="minorHAnsi" w:hAnsiTheme="minorHAnsi" w:cstheme="minorHAnsi"/>
          <w:b w:val="0"/>
          <w:bCs w:val="0"/>
          <w:sz w:val="26"/>
          <w:szCs w:val="26"/>
        </w:rPr>
        <w:t>Ardelean Cristian-Marius</w:t>
      </w:r>
      <w:r w:rsidRPr="004A72CD">
        <w:rPr>
          <w:rStyle w:val="Strong"/>
          <w:rFonts w:asciiTheme="minorHAnsi" w:hAnsiTheme="minorHAnsi" w:cstheme="minorHAnsi"/>
          <w:b w:val="0"/>
          <w:bCs w:val="0"/>
          <w:sz w:val="26"/>
          <w:szCs w:val="26"/>
        </w:rPr>
        <w:t>, procuror la Parchetul de pe lângă Tribunalul Bihor. Urmare a formulării cererii de către domnul procuror, a fost întocmit Raportul Direcţiei de Inspecţie pentru procurori nr. 23-963/2024.</w:t>
      </w:r>
    </w:p>
    <w:p w14:paraId="07EEB89F" w14:textId="5B8A5508" w:rsidR="0013757A" w:rsidRPr="004A72CD" w:rsidRDefault="0013757A" w:rsidP="00D51F5A">
      <w:pPr>
        <w:spacing w:line="276" w:lineRule="auto"/>
        <w:ind w:firstLine="851"/>
        <w:jc w:val="both"/>
        <w:rPr>
          <w:rStyle w:val="Strong"/>
          <w:rFonts w:asciiTheme="minorHAnsi" w:hAnsiTheme="minorHAnsi" w:cstheme="minorHAnsi"/>
          <w:b w:val="0"/>
          <w:bCs w:val="0"/>
          <w:sz w:val="26"/>
          <w:szCs w:val="26"/>
        </w:rPr>
      </w:pPr>
      <w:r w:rsidRPr="004A72CD">
        <w:rPr>
          <w:rStyle w:val="Strong"/>
          <w:rFonts w:asciiTheme="minorHAnsi" w:hAnsiTheme="minorHAnsi" w:cstheme="minorHAnsi"/>
          <w:b w:val="0"/>
          <w:bCs w:val="0"/>
          <w:sz w:val="26"/>
          <w:szCs w:val="26"/>
        </w:rPr>
        <w:t xml:space="preserve">7. Prin Hotărârea nr. 1175/01.10.2024, Secţia pentru procurori a Consiliului Superior al Magistraturii, cu unanimitatea voturilor membrilor prezenţi, a hotărât respingerea cererii de apărare a reputaţiei profesionale formulată de domnul </w:t>
      </w:r>
      <w:r w:rsidR="003F6930" w:rsidRPr="004A72CD">
        <w:rPr>
          <w:rStyle w:val="Strong"/>
          <w:rFonts w:asciiTheme="minorHAnsi" w:hAnsiTheme="minorHAnsi" w:cstheme="minorHAnsi"/>
          <w:b w:val="0"/>
          <w:bCs w:val="0"/>
          <w:sz w:val="26"/>
          <w:szCs w:val="26"/>
        </w:rPr>
        <w:t>Florea Bogdan Daniel</w:t>
      </w:r>
      <w:r w:rsidRPr="004A72CD">
        <w:rPr>
          <w:rStyle w:val="Strong"/>
          <w:rFonts w:asciiTheme="minorHAnsi" w:hAnsiTheme="minorHAnsi" w:cstheme="minorHAnsi"/>
          <w:b w:val="0"/>
          <w:bCs w:val="0"/>
          <w:sz w:val="26"/>
          <w:szCs w:val="26"/>
        </w:rPr>
        <w:t>, procuror la Parchetul de pe lângă Judecătoria Găești. Urmare a formulării cererii de către domnul procuror, a fost întocmit Raportul Direcţiei de Inspecţie pentru procurori nr. 22-855.</w:t>
      </w:r>
    </w:p>
    <w:p w14:paraId="6C2D5B57" w14:textId="0C2A8365" w:rsidR="0013757A" w:rsidRPr="004A72CD" w:rsidRDefault="0013757A" w:rsidP="00D51F5A">
      <w:pPr>
        <w:spacing w:line="276" w:lineRule="auto"/>
        <w:ind w:firstLine="851"/>
        <w:jc w:val="both"/>
        <w:rPr>
          <w:rStyle w:val="Strong"/>
          <w:rFonts w:asciiTheme="minorHAnsi" w:hAnsiTheme="minorHAnsi" w:cstheme="minorHAnsi"/>
          <w:b w:val="0"/>
          <w:bCs w:val="0"/>
          <w:sz w:val="26"/>
          <w:szCs w:val="26"/>
        </w:rPr>
      </w:pPr>
      <w:r w:rsidRPr="004A72CD">
        <w:rPr>
          <w:rStyle w:val="Strong"/>
          <w:rFonts w:asciiTheme="minorHAnsi" w:hAnsiTheme="minorHAnsi" w:cstheme="minorHAnsi"/>
          <w:b w:val="0"/>
          <w:bCs w:val="0"/>
          <w:sz w:val="26"/>
          <w:szCs w:val="26"/>
        </w:rPr>
        <w:t xml:space="preserve">8. Prin Hotărârea nr. 1176/01.10.2024, Secţia pentru procurori a Consiliului Superior al Magistraturii, cu unanimitatea voturilor membrilor prezenţi, a hotărât admiterea cererii de apărare a reputaţiei profesionale formulate de domnul </w:t>
      </w:r>
      <w:r w:rsidR="003F6930" w:rsidRPr="004A72CD">
        <w:rPr>
          <w:rStyle w:val="Strong"/>
          <w:rFonts w:asciiTheme="minorHAnsi" w:hAnsiTheme="minorHAnsi" w:cstheme="minorHAnsi"/>
          <w:b w:val="0"/>
          <w:bCs w:val="0"/>
          <w:sz w:val="26"/>
          <w:szCs w:val="26"/>
        </w:rPr>
        <w:t>Onea Lucian Gabriel</w:t>
      </w:r>
      <w:r w:rsidRPr="004A72CD">
        <w:rPr>
          <w:rStyle w:val="Strong"/>
          <w:rFonts w:asciiTheme="minorHAnsi" w:hAnsiTheme="minorHAnsi" w:cstheme="minorHAnsi"/>
          <w:b w:val="0"/>
          <w:bCs w:val="0"/>
          <w:sz w:val="26"/>
          <w:szCs w:val="26"/>
        </w:rPr>
        <w:t>, procuror în cadrul Direcției Naționale Anticorupție - Serviciul teritorial Ploiești. Urmare a formulării cererii de către domnul procuror, a fost întocmit Raportul Direcţiei de Inspecţie pentru procurori nr. 24-1076.</w:t>
      </w:r>
    </w:p>
    <w:p w14:paraId="54ECC9D8" w14:textId="02E178EB" w:rsidR="006C1588" w:rsidRPr="001819E7" w:rsidRDefault="006C1588" w:rsidP="00D35E09">
      <w:pPr>
        <w:pStyle w:val="Heading2"/>
        <w:jc w:val="both"/>
        <w:rPr>
          <w:lang w:val="pt-PT"/>
        </w:rPr>
      </w:pPr>
      <w:bookmarkStart w:id="57" w:name="_Toc187824363"/>
      <w:r w:rsidRPr="001819E7">
        <w:rPr>
          <w:lang w:val="pt-PT"/>
        </w:rPr>
        <w:t>I.7.</w:t>
      </w:r>
      <w:r w:rsidR="004C16C8" w:rsidRPr="001819E7">
        <w:rPr>
          <w:lang w:val="pt-PT"/>
        </w:rPr>
        <w:t xml:space="preserve"> </w:t>
      </w:r>
      <w:r w:rsidRPr="001819E7">
        <w:rPr>
          <w:lang w:val="pt-PT"/>
        </w:rPr>
        <w:t xml:space="preserve">Raporturile Consiliului Superior al Magistraturii cu puterea legislativă şi cea </w:t>
      </w:r>
      <w:r w:rsidR="00B30BCF" w:rsidRPr="001819E7">
        <w:rPr>
          <w:lang w:val="pt-PT"/>
        </w:rPr>
        <w:t xml:space="preserve"> </w:t>
      </w:r>
      <w:r w:rsidRPr="001819E7">
        <w:rPr>
          <w:lang w:val="pt-PT"/>
        </w:rPr>
        <w:t>executivă</w:t>
      </w:r>
      <w:bookmarkStart w:id="58" w:name="_Toc375653690"/>
      <w:bookmarkStart w:id="59" w:name="_Toc430867112"/>
      <w:bookmarkEnd w:id="56"/>
      <w:bookmarkEnd w:id="57"/>
    </w:p>
    <w:p w14:paraId="40434F5B" w14:textId="4C1907A5" w:rsidR="00C707CD" w:rsidRPr="004A72CD" w:rsidRDefault="00C707CD"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b/>
          <w:sz w:val="26"/>
          <w:szCs w:val="26"/>
        </w:rPr>
        <w:t>A.</w:t>
      </w:r>
      <w:r w:rsidRPr="004A72CD">
        <w:rPr>
          <w:rFonts w:asciiTheme="minorHAnsi" w:hAnsiTheme="minorHAnsi" w:cstheme="minorHAnsi"/>
          <w:sz w:val="26"/>
          <w:szCs w:val="26"/>
        </w:rPr>
        <w:t xml:space="preserve"> În cursul anului 2024, </w:t>
      </w:r>
      <w:r w:rsidRPr="004A72CD">
        <w:rPr>
          <w:rFonts w:asciiTheme="minorHAnsi" w:hAnsiTheme="minorHAnsi" w:cstheme="minorHAnsi"/>
          <w:b/>
          <w:sz w:val="26"/>
          <w:szCs w:val="26"/>
        </w:rPr>
        <w:t>raporturile Consiliului Superior al Magistraturii cu Parlamentul României</w:t>
      </w:r>
      <w:r w:rsidRPr="004A72CD">
        <w:rPr>
          <w:rFonts w:asciiTheme="minorHAnsi" w:hAnsiTheme="minorHAnsi" w:cstheme="minorHAnsi"/>
          <w:sz w:val="26"/>
          <w:szCs w:val="26"/>
        </w:rPr>
        <w:t xml:space="preserve"> s-au concretizat, în principal, în avizarea propunerilor legislative aflate în dezbatere parlamentară, despre care se va face vorbire în cuprinsul Secţiunii 1 a Capitolului III, şi în exprimarea unor puncte de vedere faţă de o serie de propuneri legislative, atât de către Plen, cât şi prin intermediul comisiilor de specialitate.</w:t>
      </w:r>
    </w:p>
    <w:p w14:paraId="71482255" w14:textId="77777777" w:rsidR="00C707CD" w:rsidRPr="004A72CD" w:rsidRDefault="00C707CD"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Consiliul Superior al Magistraturii, prin comisiile sale de specialitate, a transmis o serie de puncte de vedere cu observații şi propuneri referitoare la unele acte normative aflate în dezbatere parlamentară. </w:t>
      </w:r>
    </w:p>
    <w:p w14:paraId="775A13A2" w14:textId="63BEA757" w:rsidR="00C707CD" w:rsidRPr="004A72CD" w:rsidRDefault="00C707CD"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Dintre acestea, menționăm adresa nr. 23615/2023 din 17</w:t>
      </w:r>
      <w:r w:rsidR="000852CC" w:rsidRPr="004A72CD">
        <w:rPr>
          <w:rFonts w:asciiTheme="minorHAnsi" w:hAnsiTheme="minorHAnsi" w:cstheme="minorHAnsi"/>
          <w:sz w:val="26"/>
          <w:szCs w:val="26"/>
        </w:rPr>
        <w:t xml:space="preserve"> ianuarie </w:t>
      </w:r>
      <w:r w:rsidRPr="004A72CD">
        <w:rPr>
          <w:rFonts w:asciiTheme="minorHAnsi" w:hAnsiTheme="minorHAnsi" w:cstheme="minorHAnsi"/>
          <w:sz w:val="26"/>
          <w:szCs w:val="26"/>
        </w:rPr>
        <w:t xml:space="preserve">2024 prin care Consiliul Superior al Magistraturii a comunicat Senatului României observațiile sale referitoare la Propunerea legislativă pentru modificarea şi completarea Legii nr. 143/2000 privind prevenirea şi combaterea traficului şi consumului ilicit de droguri şi pentru modificarea Legii nr. 286/2009 privind Codul penal, cu modificările şi completările ulterioare (697/28.11.2023). Proiectul, care a urmărit majorarea limitelor de pedeapsă stabilite de lege în privinţa infracţiunilor prevăzute la </w:t>
      </w:r>
      <w:r w:rsidRPr="004A72CD">
        <w:rPr>
          <w:rFonts w:asciiTheme="minorHAnsi" w:hAnsiTheme="minorHAnsi" w:cstheme="minorHAnsi"/>
          <w:sz w:val="26"/>
          <w:szCs w:val="26"/>
        </w:rPr>
        <w:lastRenderedPageBreak/>
        <w:t xml:space="preserve">art. 2 și art. 4 din Legea nr. 143/2000 privind prevenirea şi combaterea traficului şi consumului ilicit de droguri, republicată, a fost analizat în ședința Comisiei nr. 1 - reunită „Legislație și cooperare interinstituțională” din data de </w:t>
      </w:r>
      <w:r w:rsidR="000852CC" w:rsidRPr="004A72CD">
        <w:rPr>
          <w:rFonts w:asciiTheme="minorHAnsi" w:hAnsiTheme="minorHAnsi" w:cstheme="minorHAnsi"/>
          <w:sz w:val="26"/>
          <w:szCs w:val="26"/>
        </w:rPr>
        <w:t>0</w:t>
      </w:r>
      <w:r w:rsidRPr="004A72CD">
        <w:rPr>
          <w:rFonts w:asciiTheme="minorHAnsi" w:hAnsiTheme="minorHAnsi" w:cstheme="minorHAnsi"/>
          <w:sz w:val="26"/>
          <w:szCs w:val="26"/>
        </w:rPr>
        <w:t xml:space="preserve">9 ianuarie 2024. </w:t>
      </w:r>
    </w:p>
    <w:p w14:paraId="55B01853" w14:textId="2DE51AE7" w:rsidR="00C707CD" w:rsidRPr="004A72CD" w:rsidRDefault="00C707CD" w:rsidP="00D51F5A">
      <w:pPr>
        <w:spacing w:line="276" w:lineRule="auto"/>
        <w:ind w:firstLine="708"/>
        <w:jc w:val="both"/>
        <w:rPr>
          <w:rFonts w:asciiTheme="minorHAnsi" w:hAnsiTheme="minorHAnsi" w:cstheme="minorHAnsi"/>
          <w:iCs/>
          <w:sz w:val="26"/>
          <w:szCs w:val="26"/>
        </w:rPr>
      </w:pPr>
      <w:r w:rsidRPr="004A72CD">
        <w:rPr>
          <w:rFonts w:asciiTheme="minorHAnsi" w:hAnsiTheme="minorHAnsi" w:cstheme="minorHAnsi"/>
          <w:sz w:val="26"/>
          <w:szCs w:val="26"/>
        </w:rPr>
        <w:t xml:space="preserve">La solicitarea Senatului României – Comisia pentru constituţionalitate, în ședința din data de </w:t>
      </w:r>
      <w:r w:rsidR="000852CC" w:rsidRPr="004A72CD">
        <w:rPr>
          <w:rFonts w:asciiTheme="minorHAnsi" w:hAnsiTheme="minorHAnsi" w:cstheme="minorHAnsi"/>
          <w:sz w:val="26"/>
          <w:szCs w:val="26"/>
        </w:rPr>
        <w:t>0</w:t>
      </w:r>
      <w:r w:rsidRPr="004A72CD">
        <w:rPr>
          <w:rFonts w:asciiTheme="minorHAnsi" w:hAnsiTheme="minorHAnsi" w:cstheme="minorHAnsi"/>
          <w:sz w:val="26"/>
          <w:szCs w:val="26"/>
        </w:rPr>
        <w:t>9 ianuarie 2024, Comisia nr. 1 - reunită „Legislație și cooperare interinstituțională” a analizat Legea acvaculturii (L301/2021</w:t>
      </w:r>
      <w:r w:rsidRPr="004A72CD">
        <w:rPr>
          <w:rFonts w:asciiTheme="minorHAnsi" w:hAnsiTheme="minorHAnsi" w:cstheme="minorHAnsi"/>
          <w:iCs/>
          <w:sz w:val="26"/>
          <w:szCs w:val="26"/>
        </w:rPr>
        <w:t>)</w:t>
      </w:r>
      <w:r w:rsidRPr="004A72CD">
        <w:rPr>
          <w:rFonts w:asciiTheme="minorHAnsi" w:hAnsiTheme="minorHAnsi" w:cstheme="minorHAnsi"/>
          <w:sz w:val="26"/>
          <w:szCs w:val="26"/>
        </w:rPr>
        <w:t xml:space="preserve">, în vederea exprimării unui punct de vedere cu privire la amendamentele care au ca obiect instituirea infracţiunilor și regimul confiscării speciale și al confiscării în materie contravențională. Observaţiile formulate au fost comunicate Senatului cu adresa nr. 23413/2023 din </w:t>
      </w:r>
      <w:r w:rsidR="00B91C63" w:rsidRPr="004A72CD">
        <w:rPr>
          <w:rFonts w:asciiTheme="minorHAnsi" w:hAnsiTheme="minorHAnsi" w:cstheme="minorHAnsi"/>
          <w:sz w:val="26"/>
          <w:szCs w:val="26"/>
        </w:rPr>
        <w:t xml:space="preserve">data de </w:t>
      </w:r>
      <w:r w:rsidRPr="004A72CD">
        <w:rPr>
          <w:rFonts w:asciiTheme="minorHAnsi" w:hAnsiTheme="minorHAnsi" w:cstheme="minorHAnsi"/>
          <w:sz w:val="26"/>
          <w:szCs w:val="26"/>
        </w:rPr>
        <w:t>17</w:t>
      </w:r>
      <w:r w:rsidR="00B91C63" w:rsidRPr="004A72CD">
        <w:rPr>
          <w:rFonts w:asciiTheme="minorHAnsi" w:hAnsiTheme="minorHAnsi" w:cstheme="minorHAnsi"/>
          <w:sz w:val="26"/>
          <w:szCs w:val="26"/>
        </w:rPr>
        <w:t xml:space="preserve"> ianuarie </w:t>
      </w:r>
      <w:r w:rsidRPr="004A72CD">
        <w:rPr>
          <w:rFonts w:asciiTheme="minorHAnsi" w:hAnsiTheme="minorHAnsi" w:cstheme="minorHAnsi"/>
          <w:sz w:val="26"/>
          <w:szCs w:val="26"/>
        </w:rPr>
        <w:t>2024.</w:t>
      </w:r>
    </w:p>
    <w:p w14:paraId="5FA20656" w14:textId="1BFD453C" w:rsidR="00C707CD" w:rsidRPr="004A72CD" w:rsidRDefault="00C707CD"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În ședința din data de 30 ianuarie 2024, Comisia nr. 1 - reunită „Legislație şi cooperare interinstituțională”, la solicitarea Senatului României, a analizat Propunerea legislativă pentru completarea art</w:t>
      </w:r>
      <w:r w:rsidR="00775384" w:rsidRPr="004A72CD">
        <w:rPr>
          <w:rFonts w:asciiTheme="minorHAnsi" w:hAnsiTheme="minorHAnsi" w:cstheme="minorHAnsi"/>
          <w:sz w:val="26"/>
          <w:szCs w:val="26"/>
        </w:rPr>
        <w:t>.</w:t>
      </w:r>
      <w:r w:rsidRPr="004A72CD">
        <w:rPr>
          <w:rFonts w:asciiTheme="minorHAnsi" w:hAnsiTheme="minorHAnsi" w:cstheme="minorHAnsi"/>
          <w:sz w:val="26"/>
          <w:szCs w:val="26"/>
        </w:rPr>
        <w:t xml:space="preserve"> 420 din Legea nr. 135/2010 privind Codul de procedură penală și modificarea și completarea Legii nr. 146/2021 privind monitorizarea electronică în cadrul unor proceduri judiciare și execuțional penale (b787/28.12.2023). Observaţiile formulate au fost comunicate Senatului cu adresa nr. 250 din</w:t>
      </w:r>
      <w:r w:rsidR="00A62694" w:rsidRPr="004A72CD">
        <w:rPr>
          <w:rFonts w:asciiTheme="minorHAnsi" w:hAnsiTheme="minorHAnsi" w:cstheme="minorHAnsi"/>
          <w:sz w:val="26"/>
          <w:szCs w:val="26"/>
        </w:rPr>
        <w:t xml:space="preserve"> data de </w:t>
      </w:r>
      <w:r w:rsidRPr="004A72CD">
        <w:rPr>
          <w:rFonts w:asciiTheme="minorHAnsi" w:hAnsiTheme="minorHAnsi" w:cstheme="minorHAnsi"/>
          <w:sz w:val="26"/>
          <w:szCs w:val="26"/>
        </w:rPr>
        <w:t>01</w:t>
      </w:r>
      <w:r w:rsidR="00A62694" w:rsidRPr="004A72CD">
        <w:rPr>
          <w:rFonts w:asciiTheme="minorHAnsi" w:hAnsiTheme="minorHAnsi" w:cstheme="minorHAnsi"/>
          <w:sz w:val="26"/>
          <w:szCs w:val="26"/>
        </w:rPr>
        <w:t xml:space="preserve"> februarie </w:t>
      </w:r>
      <w:r w:rsidRPr="004A72CD">
        <w:rPr>
          <w:rFonts w:asciiTheme="minorHAnsi" w:hAnsiTheme="minorHAnsi" w:cstheme="minorHAnsi"/>
          <w:sz w:val="26"/>
          <w:szCs w:val="26"/>
        </w:rPr>
        <w:t>2024.</w:t>
      </w:r>
    </w:p>
    <w:p w14:paraId="65D9F771" w14:textId="7764B01D" w:rsidR="00C707CD" w:rsidRPr="004A72CD" w:rsidRDefault="00C707CD" w:rsidP="003E29BA">
      <w:pPr>
        <w:spacing w:line="276" w:lineRule="auto"/>
        <w:ind w:right="34" w:firstLine="540"/>
        <w:jc w:val="both"/>
        <w:rPr>
          <w:rFonts w:asciiTheme="minorHAnsi" w:hAnsiTheme="minorHAnsi" w:cstheme="minorHAnsi"/>
          <w:sz w:val="26"/>
          <w:szCs w:val="26"/>
        </w:rPr>
      </w:pPr>
      <w:r w:rsidRPr="004A72CD">
        <w:rPr>
          <w:rFonts w:asciiTheme="minorHAnsi" w:hAnsiTheme="minorHAnsi" w:cstheme="minorHAnsi"/>
          <w:sz w:val="26"/>
          <w:szCs w:val="26"/>
        </w:rPr>
        <w:t xml:space="preserve">La solicitarea Senatului României, în ședința din data de 21 martie 2024, Comisia nr. 1 - reunită „Legislație și cooperare interinstituțională” a analizat </w:t>
      </w:r>
      <w:r w:rsidRPr="004A72CD">
        <w:rPr>
          <w:rFonts w:asciiTheme="minorHAnsi" w:hAnsiTheme="minorHAnsi" w:cstheme="minorHAnsi"/>
          <w:iCs/>
          <w:sz w:val="26"/>
          <w:szCs w:val="26"/>
        </w:rPr>
        <w:t xml:space="preserve">Propunerea legislativă pentru completarea art. 91 alin. (3) din Legea nr. 286/2009 privind Codul penal </w:t>
      </w:r>
      <w:r w:rsidRPr="004A72CD">
        <w:rPr>
          <w:rFonts w:asciiTheme="minorHAnsi" w:hAnsiTheme="minorHAnsi" w:cstheme="minorHAnsi"/>
          <w:bCs/>
          <w:iCs/>
          <w:sz w:val="26"/>
          <w:szCs w:val="26"/>
          <w:lang w:eastAsia="ro-RO"/>
        </w:rPr>
        <w:t>(b54/12.02.2024)</w:t>
      </w:r>
      <w:r w:rsidRPr="004A72CD">
        <w:rPr>
          <w:rFonts w:asciiTheme="minorHAnsi" w:hAnsiTheme="minorHAnsi" w:cstheme="minorHAnsi"/>
          <w:sz w:val="26"/>
          <w:szCs w:val="26"/>
        </w:rPr>
        <w:t>, care a urmărit înlăturarea posibilităţii instanţei de a dispune suspendarea sub supraveghere a executării pedepsei în cazul infracţiunilor prevăzute de art. 209 din Codul penal (sclavia), art. 210 din Codul penal (traficul de persoane), art. 211 din Codul penal (traficul de minori). Comisia a apreciat că adoptarea unei astfel de soluţii legislative este o chestiune ce ţine de politica penală a legiuitorului, care poate decide, datorită gravităţii sporite a infracţiunilor vizate și în vederea realizării unei politici penale mai ferme, excluderea anumitor infracţiuni de la aplicarea acestei modalităţi de individualizare a pedepsei. Pe de altă parte, s-a considerat că ar trebui analizat dacă modalitatea de individualizare a executării pedepsei aplicate pentru aceste infracţiuni nu ar trebui să fie lăsată în continuare la aprecierea instanţei de judecată, care urmează a analiza fiecare cauză în funcţie de particularităţile acesteia. Punctul de vedere fost comunicat Senatului</w:t>
      </w:r>
      <w:r w:rsidR="00AC2204" w:rsidRPr="004A72CD">
        <w:rPr>
          <w:rFonts w:asciiTheme="minorHAnsi" w:hAnsiTheme="minorHAnsi" w:cstheme="minorHAnsi"/>
          <w:sz w:val="26"/>
          <w:szCs w:val="26"/>
        </w:rPr>
        <w:t xml:space="preserve"> prin</w:t>
      </w:r>
      <w:r w:rsidRPr="004A72CD">
        <w:rPr>
          <w:rFonts w:asciiTheme="minorHAnsi" w:hAnsiTheme="minorHAnsi" w:cstheme="minorHAnsi"/>
          <w:sz w:val="26"/>
          <w:szCs w:val="26"/>
        </w:rPr>
        <w:t xml:space="preserve"> adresa nr. 3418/2024 din</w:t>
      </w:r>
      <w:r w:rsidR="006E1B2D" w:rsidRPr="004A72CD">
        <w:rPr>
          <w:rFonts w:asciiTheme="minorHAnsi" w:hAnsiTheme="minorHAnsi" w:cstheme="minorHAnsi"/>
          <w:sz w:val="26"/>
          <w:szCs w:val="26"/>
        </w:rPr>
        <w:t xml:space="preserve"> data de </w:t>
      </w:r>
      <w:r w:rsidRPr="004A72CD">
        <w:rPr>
          <w:rFonts w:asciiTheme="minorHAnsi" w:hAnsiTheme="minorHAnsi" w:cstheme="minorHAnsi"/>
          <w:sz w:val="26"/>
          <w:szCs w:val="26"/>
        </w:rPr>
        <w:t>26</w:t>
      </w:r>
      <w:r w:rsidR="006E1B2D" w:rsidRPr="004A72CD">
        <w:rPr>
          <w:rFonts w:asciiTheme="minorHAnsi" w:hAnsiTheme="minorHAnsi" w:cstheme="minorHAnsi"/>
          <w:sz w:val="26"/>
          <w:szCs w:val="26"/>
        </w:rPr>
        <w:t xml:space="preserve"> martie </w:t>
      </w:r>
      <w:r w:rsidRPr="004A72CD">
        <w:rPr>
          <w:rFonts w:asciiTheme="minorHAnsi" w:hAnsiTheme="minorHAnsi" w:cstheme="minorHAnsi"/>
          <w:sz w:val="26"/>
          <w:szCs w:val="26"/>
        </w:rPr>
        <w:t>2024.</w:t>
      </w:r>
    </w:p>
    <w:p w14:paraId="75F6A0F6" w14:textId="4815F791" w:rsidR="00C707CD" w:rsidRPr="004A72CD" w:rsidRDefault="00C707CD"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Ulterior, cu adresa nr. 3418/2024 din</w:t>
      </w:r>
      <w:r w:rsidR="00E42848" w:rsidRPr="004A72CD">
        <w:rPr>
          <w:rFonts w:asciiTheme="minorHAnsi" w:hAnsiTheme="minorHAnsi" w:cstheme="minorHAnsi"/>
          <w:sz w:val="26"/>
          <w:szCs w:val="26"/>
        </w:rPr>
        <w:t xml:space="preserve"> data de </w:t>
      </w:r>
      <w:r w:rsidRPr="004A72CD">
        <w:rPr>
          <w:rFonts w:asciiTheme="minorHAnsi" w:hAnsiTheme="minorHAnsi" w:cstheme="minorHAnsi"/>
          <w:sz w:val="26"/>
          <w:szCs w:val="26"/>
        </w:rPr>
        <w:t>28</w:t>
      </w:r>
      <w:r w:rsidR="00E42848" w:rsidRPr="004A72CD">
        <w:rPr>
          <w:rFonts w:asciiTheme="minorHAnsi" w:hAnsiTheme="minorHAnsi" w:cstheme="minorHAnsi"/>
          <w:sz w:val="26"/>
          <w:szCs w:val="26"/>
        </w:rPr>
        <w:t xml:space="preserve"> mai </w:t>
      </w:r>
      <w:r w:rsidRPr="004A72CD">
        <w:rPr>
          <w:rFonts w:asciiTheme="minorHAnsi" w:hAnsiTheme="minorHAnsi" w:cstheme="minorHAnsi"/>
          <w:sz w:val="26"/>
          <w:szCs w:val="26"/>
        </w:rPr>
        <w:t>2024, Consiliul Superior al Magistraturii a comunicat Comisiei juridice, de numiri, disciplină, imunităţi și validări a Senatului României</w:t>
      </w:r>
      <w:r w:rsidRPr="004A72CD">
        <w:rPr>
          <w:rFonts w:asciiTheme="minorHAnsi" w:hAnsiTheme="minorHAnsi" w:cstheme="minorHAnsi"/>
          <w:b/>
          <w:sz w:val="26"/>
          <w:szCs w:val="26"/>
        </w:rPr>
        <w:t xml:space="preserve"> </w:t>
      </w:r>
      <w:r w:rsidRPr="004A72CD">
        <w:rPr>
          <w:rFonts w:asciiTheme="minorHAnsi" w:hAnsiTheme="minorHAnsi" w:cstheme="minorHAnsi"/>
          <w:sz w:val="26"/>
          <w:szCs w:val="26"/>
        </w:rPr>
        <w:t>observațiile sale referitoare la amendamentele depuse la</w:t>
      </w:r>
      <w:r w:rsidRPr="004A72CD">
        <w:rPr>
          <w:rFonts w:asciiTheme="minorHAnsi" w:hAnsiTheme="minorHAnsi" w:cstheme="minorHAnsi"/>
          <w:i/>
          <w:sz w:val="26"/>
          <w:szCs w:val="26"/>
        </w:rPr>
        <w:t xml:space="preserve"> </w:t>
      </w:r>
      <w:r w:rsidRPr="004A72CD">
        <w:rPr>
          <w:rFonts w:asciiTheme="minorHAnsi" w:hAnsiTheme="minorHAnsi" w:cstheme="minorHAnsi"/>
          <w:sz w:val="26"/>
          <w:szCs w:val="26"/>
        </w:rPr>
        <w:t>Propunerea legislativă pentru completarea</w:t>
      </w:r>
      <w:r w:rsidRPr="004A72CD">
        <w:rPr>
          <w:rFonts w:asciiTheme="minorHAnsi" w:hAnsiTheme="minorHAnsi" w:cstheme="minorHAnsi"/>
          <w:bCs/>
          <w:sz w:val="26"/>
          <w:szCs w:val="26"/>
          <w:lang w:eastAsia="ro-RO"/>
        </w:rPr>
        <w:t xml:space="preserve"> art. 91 alin. (3) din Legea nr. 286/2009 privind Codul penal</w:t>
      </w:r>
      <w:r w:rsidRPr="004A72CD">
        <w:rPr>
          <w:rFonts w:asciiTheme="minorHAnsi" w:hAnsiTheme="minorHAnsi" w:cstheme="minorHAnsi"/>
          <w:sz w:val="26"/>
          <w:szCs w:val="26"/>
        </w:rPr>
        <w:t xml:space="preserve">, acestea fiind analizate în ședința din data de 21 mai 2024 a Comisiei nr. 1 - reunită „Legislație și cooperare interinstituțională”. </w:t>
      </w:r>
    </w:p>
    <w:p w14:paraId="1189E153" w14:textId="0DAEF4FA" w:rsidR="00C707CD" w:rsidRPr="004A72CD" w:rsidRDefault="00C707CD" w:rsidP="00D51F5A">
      <w:pPr>
        <w:tabs>
          <w:tab w:val="left" w:pos="709"/>
        </w:tabs>
        <w:spacing w:line="276" w:lineRule="auto"/>
        <w:ind w:firstLine="708"/>
        <w:jc w:val="both"/>
        <w:rPr>
          <w:rStyle w:val="NoSpacingChar"/>
          <w:rFonts w:asciiTheme="minorHAnsi" w:hAnsiTheme="minorHAnsi" w:cstheme="minorHAnsi"/>
          <w:sz w:val="26"/>
          <w:szCs w:val="26"/>
          <w:lang w:val="ro-RO"/>
        </w:rPr>
      </w:pPr>
      <w:r w:rsidRPr="004A72CD">
        <w:rPr>
          <w:rFonts w:asciiTheme="minorHAnsi" w:hAnsiTheme="minorHAnsi" w:cstheme="minorHAnsi"/>
          <w:sz w:val="26"/>
          <w:szCs w:val="26"/>
        </w:rPr>
        <w:t>La solicitarea Senatului României, în ședința din data de 21 martie 2024, Comisia nr. 1 - reunită „Legislație și cooperare interinstituțională” a analizat</w:t>
      </w:r>
      <w:r w:rsidRPr="004A72CD">
        <w:rPr>
          <w:rFonts w:asciiTheme="minorHAnsi" w:hAnsiTheme="minorHAnsi" w:cstheme="minorHAnsi"/>
          <w:i/>
          <w:sz w:val="26"/>
          <w:szCs w:val="26"/>
        </w:rPr>
        <w:t xml:space="preserve"> </w:t>
      </w:r>
      <w:r w:rsidRPr="004A72CD">
        <w:rPr>
          <w:rFonts w:asciiTheme="minorHAnsi" w:hAnsiTheme="minorHAnsi" w:cstheme="minorHAnsi"/>
          <w:sz w:val="26"/>
          <w:szCs w:val="26"/>
        </w:rPr>
        <w:t xml:space="preserve">Propunerea legislativă pentru completarea Legii nr. 286/2009 privind Codul penal, pentru modificarea art. 77 din Legea nr. 253/2013 privind executarea pedepselor, a măsurilor educative şi a altor măsuri neprivative de libertate dispuse de organele judiciare în cursul procesului penal, precum şi pentru modificarea şi completarea Legii nr. 135/2010 privind Codul de procedură penală </w:t>
      </w:r>
      <w:r w:rsidRPr="004A72CD">
        <w:rPr>
          <w:rFonts w:asciiTheme="minorHAnsi" w:hAnsiTheme="minorHAnsi" w:cstheme="minorHAnsi"/>
          <w:iCs/>
          <w:sz w:val="26"/>
          <w:szCs w:val="26"/>
        </w:rPr>
        <w:t>(b105/28.02.2024)</w:t>
      </w:r>
      <w:r w:rsidRPr="004A72CD">
        <w:rPr>
          <w:rFonts w:asciiTheme="minorHAnsi" w:hAnsiTheme="minorHAnsi" w:cstheme="minorHAnsi"/>
          <w:bCs/>
          <w:iCs/>
          <w:sz w:val="26"/>
          <w:szCs w:val="26"/>
          <w:lang w:eastAsia="ro-RO"/>
        </w:rPr>
        <w:t>.</w:t>
      </w:r>
      <w:r w:rsidRPr="004A72CD">
        <w:rPr>
          <w:rFonts w:asciiTheme="minorHAnsi" w:hAnsiTheme="minorHAnsi" w:cstheme="minorHAnsi"/>
          <w:sz w:val="26"/>
          <w:szCs w:val="26"/>
        </w:rPr>
        <w:t xml:space="preserve"> Propunerea legislativă a fost analizată de comisia de specialitate a Consiliului Superior al Magistraturii din perspectiva exprimării unui punct de vedere, reținându-se că aceasta vizează, în </w:t>
      </w:r>
      <w:r w:rsidRPr="004A72CD">
        <w:rPr>
          <w:rFonts w:asciiTheme="minorHAnsi" w:hAnsiTheme="minorHAnsi" w:cstheme="minorHAnsi"/>
          <w:sz w:val="26"/>
          <w:szCs w:val="26"/>
        </w:rPr>
        <w:lastRenderedPageBreak/>
        <w:t>esență, reglementarea unei noi măsuri de siguranță – castrarea chimică, care ar urma să poată fi dispusă faţă de persoana care a săvârşit una dintre faptele prevăzute la art. 218</w:t>
      </w:r>
      <w:r w:rsidRPr="004A72CD">
        <w:rPr>
          <w:rFonts w:asciiTheme="minorHAnsi" w:hAnsiTheme="minorHAnsi" w:cstheme="minorHAnsi"/>
          <w:sz w:val="26"/>
          <w:szCs w:val="26"/>
          <w:vertAlign w:val="superscript"/>
        </w:rPr>
        <w:t>1</w:t>
      </w:r>
      <w:r w:rsidRPr="004A72CD">
        <w:rPr>
          <w:rFonts w:asciiTheme="minorHAnsi" w:hAnsiTheme="minorHAnsi" w:cstheme="minorHAnsi"/>
          <w:sz w:val="26"/>
          <w:szCs w:val="26"/>
        </w:rPr>
        <w:t xml:space="preserve"> (violul săvârşit asupra unui minor), art. 219</w:t>
      </w:r>
      <w:r w:rsidRPr="004A72CD">
        <w:rPr>
          <w:rFonts w:asciiTheme="minorHAnsi" w:hAnsiTheme="minorHAnsi" w:cstheme="minorHAnsi"/>
          <w:sz w:val="26"/>
          <w:szCs w:val="26"/>
          <w:vertAlign w:val="superscript"/>
        </w:rPr>
        <w:t>1</w:t>
      </w:r>
      <w:r w:rsidRPr="004A72CD">
        <w:rPr>
          <w:rFonts w:asciiTheme="minorHAnsi" w:hAnsiTheme="minorHAnsi" w:cstheme="minorHAnsi"/>
          <w:sz w:val="26"/>
          <w:szCs w:val="26"/>
        </w:rPr>
        <w:t xml:space="preserve"> (agresiunea sexuală săvârşită asupra unui minor) sau la art. 222 (racolarea minorilor în scopuri sexuale) din Codul penal, fără a fi necesară exprimarea consimțământului persoanei față de care se dispune măsura.</w:t>
      </w:r>
      <w:r w:rsidRPr="004A72CD">
        <w:rPr>
          <w:rStyle w:val="NoSpacingChar"/>
          <w:rFonts w:asciiTheme="minorHAnsi" w:hAnsiTheme="minorHAnsi" w:cstheme="minorHAnsi"/>
          <w:sz w:val="26"/>
          <w:szCs w:val="26"/>
          <w:lang w:val="ro-RO"/>
        </w:rPr>
        <w:t xml:space="preserve"> Punctul de vedere al Comisiei a fost comunicat Senatului României, împreună cu argumentele care au fost avute în vedere, prin adresa nr. 4571 din data de 27</w:t>
      </w:r>
      <w:r w:rsidR="00EA5CC2" w:rsidRPr="004A72CD">
        <w:rPr>
          <w:rStyle w:val="NoSpacingChar"/>
          <w:rFonts w:asciiTheme="minorHAnsi" w:hAnsiTheme="minorHAnsi" w:cstheme="minorHAnsi"/>
          <w:sz w:val="26"/>
          <w:szCs w:val="26"/>
          <w:lang w:val="ro-RO"/>
        </w:rPr>
        <w:t xml:space="preserve"> martie </w:t>
      </w:r>
      <w:r w:rsidRPr="004A72CD">
        <w:rPr>
          <w:rStyle w:val="NoSpacingChar"/>
          <w:rFonts w:asciiTheme="minorHAnsi" w:hAnsiTheme="minorHAnsi" w:cstheme="minorHAnsi"/>
          <w:sz w:val="26"/>
          <w:szCs w:val="26"/>
          <w:lang w:val="ro-RO"/>
        </w:rPr>
        <w:t>2024.</w:t>
      </w:r>
    </w:p>
    <w:p w14:paraId="7195EC9D" w14:textId="2777C2CE" w:rsidR="00C707CD" w:rsidRPr="004A72CD" w:rsidRDefault="00C707CD" w:rsidP="00D51F5A">
      <w:pPr>
        <w:tabs>
          <w:tab w:val="left" w:pos="709"/>
        </w:tabs>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În ședința din data de 21 martie 2024, Comisia nr. 1 - reunită „Legislație şi cooperare interinstituțională”, la solicitarea Senatului României, a analizat Propunerea legislativă privind obligativitatea folosirii camerelor de corp în timpul controalelor și/sau inspecțiilor realizate de către instituțiile publice de control din România</w:t>
      </w:r>
      <w:r w:rsidRPr="004A72CD">
        <w:rPr>
          <w:rFonts w:asciiTheme="minorHAnsi" w:hAnsiTheme="minorHAnsi" w:cstheme="minorHAnsi"/>
          <w:iCs/>
          <w:sz w:val="26"/>
          <w:szCs w:val="26"/>
        </w:rPr>
        <w:t xml:space="preserve"> (b72/20.02.2024)</w:t>
      </w:r>
      <w:r w:rsidRPr="004A72CD">
        <w:rPr>
          <w:rFonts w:asciiTheme="minorHAnsi" w:hAnsiTheme="minorHAnsi" w:cstheme="minorHAnsi"/>
          <w:bCs/>
          <w:iCs/>
          <w:sz w:val="26"/>
          <w:szCs w:val="26"/>
          <w:lang w:eastAsia="ro-RO"/>
        </w:rPr>
        <w:t>.</w:t>
      </w:r>
      <w:r w:rsidRPr="004A72CD">
        <w:rPr>
          <w:rFonts w:asciiTheme="minorHAnsi" w:hAnsiTheme="minorHAnsi" w:cstheme="minorHAnsi"/>
          <w:sz w:val="26"/>
          <w:szCs w:val="26"/>
        </w:rPr>
        <w:t xml:space="preserve"> Observaţiile formulate au fost comunicate Senatului </w:t>
      </w:r>
      <w:r w:rsidR="00AC2204"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4109 din data de 27</w:t>
      </w:r>
      <w:r w:rsidR="00EA5CC2" w:rsidRPr="004A72CD">
        <w:rPr>
          <w:rFonts w:asciiTheme="minorHAnsi" w:hAnsiTheme="minorHAnsi" w:cstheme="minorHAnsi"/>
          <w:sz w:val="26"/>
          <w:szCs w:val="26"/>
        </w:rPr>
        <w:t xml:space="preserve"> martie </w:t>
      </w:r>
      <w:r w:rsidRPr="004A72CD">
        <w:rPr>
          <w:rFonts w:asciiTheme="minorHAnsi" w:hAnsiTheme="minorHAnsi" w:cstheme="minorHAnsi"/>
          <w:sz w:val="26"/>
          <w:szCs w:val="26"/>
        </w:rPr>
        <w:t>2024.</w:t>
      </w:r>
    </w:p>
    <w:p w14:paraId="1FA33D78" w14:textId="78948E28" w:rsidR="00C707CD" w:rsidRPr="004A72CD" w:rsidRDefault="00C707CD"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La solicitarea Senatului României, în ședința din data de 11 aprilie 2024, Comisia nr. 1 - reunită „Legislație și cooperare interinstituțională” a analizat</w:t>
      </w:r>
      <w:r w:rsidRPr="004A72CD">
        <w:rPr>
          <w:rFonts w:asciiTheme="minorHAnsi" w:hAnsiTheme="minorHAnsi" w:cstheme="minorHAnsi"/>
          <w:bCs/>
          <w:i/>
          <w:iCs/>
          <w:sz w:val="26"/>
          <w:szCs w:val="26"/>
        </w:rPr>
        <w:t xml:space="preserve"> </w:t>
      </w:r>
      <w:r w:rsidRPr="004A72CD">
        <w:rPr>
          <w:rFonts w:asciiTheme="minorHAnsi" w:hAnsiTheme="minorHAnsi" w:cstheme="minorHAnsi"/>
          <w:bCs/>
          <w:iCs/>
          <w:sz w:val="26"/>
          <w:szCs w:val="26"/>
        </w:rPr>
        <w:t>Propunerea legislativă privind protecţia şi promovarea drepturilor fundamentale ale copiilor cetăţeni români domiciliaţi sau cu reşedinţa în străinătate – Legea Pia (b57/12.02.2024 şi b71/20.02.2024).</w:t>
      </w:r>
      <w:r w:rsidRPr="004A72CD">
        <w:rPr>
          <w:rFonts w:asciiTheme="minorHAnsi" w:hAnsiTheme="minorHAnsi" w:cstheme="minorHAnsi"/>
          <w:sz w:val="26"/>
          <w:szCs w:val="26"/>
        </w:rPr>
        <w:t xml:space="preserve"> Punctul de vedere cu o singură observaţie punctuală a fost comunicat Senatului României </w:t>
      </w:r>
      <w:r w:rsidR="00AC2204"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3615 din data de 17</w:t>
      </w:r>
      <w:r w:rsidR="0031603A" w:rsidRPr="004A72CD">
        <w:rPr>
          <w:rFonts w:asciiTheme="minorHAnsi" w:hAnsiTheme="minorHAnsi" w:cstheme="minorHAnsi"/>
          <w:sz w:val="26"/>
          <w:szCs w:val="26"/>
        </w:rPr>
        <w:t xml:space="preserve"> aprilie </w:t>
      </w:r>
      <w:r w:rsidRPr="004A72CD">
        <w:rPr>
          <w:rFonts w:asciiTheme="minorHAnsi" w:hAnsiTheme="minorHAnsi" w:cstheme="minorHAnsi"/>
          <w:sz w:val="26"/>
          <w:szCs w:val="26"/>
        </w:rPr>
        <w:t>2024.</w:t>
      </w:r>
    </w:p>
    <w:p w14:paraId="5479F6F0" w14:textId="425C450D" w:rsidR="00C707CD" w:rsidRPr="004A72CD" w:rsidRDefault="00C707CD" w:rsidP="00D51F5A">
      <w:pPr>
        <w:tabs>
          <w:tab w:val="left" w:pos="709"/>
        </w:tabs>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În ședința din data de 11 aprilie 2024, Comisia nr. 1 - reunită „Legislație şi cooperare interinstituțională”, la solicitarea Senatului României, a analizat Propunerea legislativă privind modificarea Legii nr. 254/2013 privind executarea pedepselor şi a măsurilor privative de libertate dispuse de organele judiciare în cursul procesului penal, cu modificările şi completările ulterioare (b83/26.02.2024)</w:t>
      </w:r>
      <w:r w:rsidRPr="004A72CD">
        <w:rPr>
          <w:rFonts w:asciiTheme="minorHAnsi" w:hAnsiTheme="minorHAnsi" w:cstheme="minorHAnsi"/>
          <w:bCs/>
          <w:iCs/>
          <w:sz w:val="26"/>
          <w:szCs w:val="26"/>
          <w:lang w:eastAsia="ro-RO"/>
        </w:rPr>
        <w:t xml:space="preserve">. </w:t>
      </w:r>
      <w:r w:rsidRPr="004A72CD">
        <w:rPr>
          <w:rFonts w:asciiTheme="minorHAnsi" w:hAnsiTheme="minorHAnsi" w:cstheme="minorHAnsi"/>
          <w:sz w:val="26"/>
          <w:szCs w:val="26"/>
        </w:rPr>
        <w:t>Propunerea legislativă a fost analizată de comisia de specialitate a Consiliului Superior al Magistraturii din perspectiva exprimării unui punct de vedere, reținându-se că aceasta prezintă deficiențe semnificative care ar trebui să împiedice adoptarea în forma propusă.</w:t>
      </w:r>
      <w:r w:rsidRPr="004A72CD">
        <w:rPr>
          <w:rStyle w:val="NoSpacingChar"/>
          <w:rFonts w:asciiTheme="minorHAnsi" w:hAnsiTheme="minorHAnsi" w:cstheme="minorHAnsi"/>
          <w:sz w:val="26"/>
          <w:szCs w:val="26"/>
          <w:lang w:val="ro-RO"/>
        </w:rPr>
        <w:t xml:space="preserve"> Punctul de vedere al Comisiei a fost comunicat Senatului României, împreună cu argumentele care au fost avute în vedere, prin adresa nr. 4562 din data de 17</w:t>
      </w:r>
      <w:r w:rsidR="0031603A" w:rsidRPr="004A72CD">
        <w:rPr>
          <w:rStyle w:val="NoSpacingChar"/>
          <w:rFonts w:asciiTheme="minorHAnsi" w:hAnsiTheme="minorHAnsi" w:cstheme="minorHAnsi"/>
          <w:sz w:val="26"/>
          <w:szCs w:val="26"/>
          <w:lang w:val="ro-RO"/>
        </w:rPr>
        <w:t xml:space="preserve"> aprilie </w:t>
      </w:r>
      <w:r w:rsidRPr="004A72CD">
        <w:rPr>
          <w:rStyle w:val="NoSpacingChar"/>
          <w:rFonts w:asciiTheme="minorHAnsi" w:hAnsiTheme="minorHAnsi" w:cstheme="minorHAnsi"/>
          <w:sz w:val="26"/>
          <w:szCs w:val="26"/>
          <w:lang w:val="ro-RO"/>
        </w:rPr>
        <w:t>2024.</w:t>
      </w:r>
    </w:p>
    <w:p w14:paraId="660346ED" w14:textId="31236455" w:rsidR="00C707CD" w:rsidRPr="004A72CD" w:rsidRDefault="00C707CD" w:rsidP="00D51F5A">
      <w:pPr>
        <w:tabs>
          <w:tab w:val="left" w:pos="709"/>
        </w:tabs>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La solicitarea Senatului României, în ședința din data de 11 aprilie 2024, Comisia nr. 1 - reunită „Legislație și cooperare interinstituțională” a analizat</w:t>
      </w:r>
      <w:r w:rsidRPr="004A72CD">
        <w:rPr>
          <w:rFonts w:asciiTheme="minorHAnsi" w:hAnsiTheme="minorHAnsi" w:cstheme="minorHAnsi"/>
          <w:bCs/>
          <w:sz w:val="26"/>
          <w:szCs w:val="26"/>
        </w:rPr>
        <w:t xml:space="preserve"> Propunerea legislativă pentru modificarea și completarea Legii nr. 143/2000 privind prevenirea și combaterea traficului și consumului ilicit de droguri</w:t>
      </w:r>
      <w:r w:rsidRPr="004A72CD">
        <w:rPr>
          <w:rFonts w:asciiTheme="minorHAnsi" w:hAnsiTheme="minorHAnsi" w:cstheme="minorHAnsi"/>
          <w:sz w:val="26"/>
          <w:szCs w:val="26"/>
        </w:rPr>
        <w:t>, cu modificările și completările ulterioare (b84/26.02.2024), care a urmărit înăsprirea tratamentului sancționator în cazul infracțiunilor de trafic internațional de droguri de risc și de mare risc (art. 3 din Legea nr. 143/2000), de administrare de droguri de mare risc unei persoane (art. 7 din Legea nr. 143/2000) și de furnizare, în vederea consumului, de inhalanți chimici toxici unui minor (art. 8 din Legea nr. 143/2000). Observaţiile formulate au fost comunicate Senatului cu adresa nr. 4567 din data de 19</w:t>
      </w:r>
      <w:r w:rsidR="0085042F" w:rsidRPr="004A72CD">
        <w:rPr>
          <w:rFonts w:asciiTheme="minorHAnsi" w:hAnsiTheme="minorHAnsi" w:cstheme="minorHAnsi"/>
          <w:sz w:val="26"/>
          <w:szCs w:val="26"/>
        </w:rPr>
        <w:t xml:space="preserve"> aprilie </w:t>
      </w:r>
      <w:r w:rsidRPr="004A72CD">
        <w:rPr>
          <w:rFonts w:asciiTheme="minorHAnsi" w:hAnsiTheme="minorHAnsi" w:cstheme="minorHAnsi"/>
          <w:sz w:val="26"/>
          <w:szCs w:val="26"/>
        </w:rPr>
        <w:t>2024, apreciindu-se că, deși politica penală a statului este lăsată la latitudinea legiuitorului, modificarea legislativă propusă nu poate fi adoptată în forma în care a fost transmisă.</w:t>
      </w:r>
    </w:p>
    <w:p w14:paraId="26C4E7F6" w14:textId="2D1C2AC6" w:rsidR="00C707CD" w:rsidRPr="004A72CD" w:rsidRDefault="00C707CD"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La solicitarea Senatului României, în ședința din data de 11 aprilie 2024, Comisia nr. 1 - reunită „Legislație și cooperare interinstituțională” a analizat</w:t>
      </w:r>
      <w:r w:rsidRPr="004A72CD">
        <w:rPr>
          <w:rFonts w:asciiTheme="minorHAnsi" w:hAnsiTheme="minorHAnsi" w:cstheme="minorHAnsi"/>
          <w:bCs/>
          <w:i/>
          <w:iCs/>
          <w:sz w:val="26"/>
          <w:szCs w:val="26"/>
        </w:rPr>
        <w:t xml:space="preserve"> </w:t>
      </w:r>
      <w:r w:rsidRPr="004A72CD">
        <w:rPr>
          <w:rFonts w:asciiTheme="minorHAnsi" w:hAnsiTheme="minorHAnsi" w:cstheme="minorHAnsi"/>
          <w:bCs/>
          <w:iCs/>
          <w:sz w:val="26"/>
          <w:szCs w:val="26"/>
        </w:rPr>
        <w:t>Propunerea legislativă privind organizarea activității</w:t>
      </w:r>
      <w:r w:rsidR="00915523" w:rsidRPr="004A72CD">
        <w:rPr>
          <w:rFonts w:asciiTheme="minorHAnsi" w:hAnsiTheme="minorHAnsi" w:cstheme="minorHAnsi"/>
          <w:bCs/>
          <w:iCs/>
          <w:sz w:val="26"/>
          <w:szCs w:val="26"/>
        </w:rPr>
        <w:t xml:space="preserve"> </w:t>
      </w:r>
      <w:r w:rsidRPr="004A72CD">
        <w:rPr>
          <w:rFonts w:asciiTheme="minorHAnsi" w:hAnsiTheme="minorHAnsi" w:cstheme="minorHAnsi"/>
          <w:bCs/>
          <w:iCs/>
          <w:sz w:val="26"/>
          <w:szCs w:val="26"/>
        </w:rPr>
        <w:t xml:space="preserve">de intermediere imobiliară </w:t>
      </w:r>
      <w:r w:rsidRPr="004A72CD">
        <w:rPr>
          <w:rFonts w:asciiTheme="minorHAnsi" w:hAnsiTheme="minorHAnsi" w:cstheme="minorHAnsi"/>
          <w:sz w:val="26"/>
          <w:szCs w:val="26"/>
        </w:rPr>
        <w:t xml:space="preserve">(b130/06.03.2024). </w:t>
      </w:r>
      <w:r w:rsidRPr="004A72CD">
        <w:rPr>
          <w:rFonts w:asciiTheme="minorHAnsi" w:hAnsiTheme="minorHAnsi" w:cstheme="minorHAnsi"/>
          <w:iCs/>
          <w:sz w:val="26"/>
          <w:szCs w:val="26"/>
        </w:rPr>
        <w:t xml:space="preserve">Răspunsul Consiliului Superior al Magistraturii a fost comunicat Senatului României </w:t>
      </w:r>
      <w:r w:rsidR="00AC2204"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4668 din</w:t>
      </w:r>
      <w:r w:rsidR="002D1E4D" w:rsidRPr="004A72CD">
        <w:rPr>
          <w:rFonts w:asciiTheme="minorHAnsi" w:hAnsiTheme="minorHAnsi" w:cstheme="minorHAnsi"/>
          <w:sz w:val="26"/>
          <w:szCs w:val="26"/>
        </w:rPr>
        <w:t xml:space="preserve"> data de </w:t>
      </w:r>
      <w:r w:rsidRPr="004A72CD">
        <w:rPr>
          <w:rFonts w:asciiTheme="minorHAnsi" w:hAnsiTheme="minorHAnsi" w:cstheme="minorHAnsi"/>
          <w:sz w:val="26"/>
          <w:szCs w:val="26"/>
        </w:rPr>
        <w:t>19</w:t>
      </w:r>
      <w:r w:rsidR="002D1E4D" w:rsidRPr="004A72CD">
        <w:rPr>
          <w:rFonts w:asciiTheme="minorHAnsi" w:hAnsiTheme="minorHAnsi" w:cstheme="minorHAnsi"/>
          <w:sz w:val="26"/>
          <w:szCs w:val="26"/>
        </w:rPr>
        <w:t xml:space="preserve"> aprilie </w:t>
      </w:r>
      <w:r w:rsidRPr="004A72CD">
        <w:rPr>
          <w:rFonts w:asciiTheme="minorHAnsi" w:hAnsiTheme="minorHAnsi" w:cstheme="minorHAnsi"/>
          <w:sz w:val="26"/>
          <w:szCs w:val="26"/>
        </w:rPr>
        <w:t>2024.</w:t>
      </w:r>
    </w:p>
    <w:p w14:paraId="6B03977D" w14:textId="2B838C75" w:rsidR="00C707CD" w:rsidRPr="004A72CD" w:rsidRDefault="00C707CD" w:rsidP="00D51F5A">
      <w:pPr>
        <w:spacing w:line="276" w:lineRule="auto"/>
        <w:ind w:firstLine="708"/>
        <w:jc w:val="both"/>
        <w:rPr>
          <w:rFonts w:asciiTheme="minorHAnsi" w:hAnsiTheme="minorHAnsi" w:cstheme="minorHAnsi"/>
          <w:iCs/>
          <w:sz w:val="26"/>
          <w:szCs w:val="26"/>
        </w:rPr>
      </w:pPr>
      <w:r w:rsidRPr="004A72CD">
        <w:rPr>
          <w:rFonts w:asciiTheme="minorHAnsi" w:hAnsiTheme="minorHAnsi" w:cstheme="minorHAnsi"/>
          <w:sz w:val="26"/>
          <w:szCs w:val="26"/>
        </w:rPr>
        <w:lastRenderedPageBreak/>
        <w:t>La solicitarea Senatului României, în ședința din data de 11 aprilie 2024, Comisia nr. 1 - judecători „Legislație și cooperare interinstituțională” a analizat</w:t>
      </w:r>
      <w:r w:rsidRPr="004A72CD">
        <w:rPr>
          <w:rFonts w:asciiTheme="minorHAnsi" w:hAnsiTheme="minorHAnsi" w:cstheme="minorHAnsi"/>
          <w:bCs/>
          <w:iCs/>
          <w:sz w:val="26"/>
          <w:szCs w:val="26"/>
        </w:rPr>
        <w:t xml:space="preserve"> Propunerea</w:t>
      </w:r>
      <w:r w:rsidRPr="004A72CD">
        <w:rPr>
          <w:rFonts w:asciiTheme="minorHAnsi" w:hAnsiTheme="minorHAnsi" w:cstheme="minorHAnsi"/>
          <w:sz w:val="26"/>
          <w:szCs w:val="26"/>
        </w:rPr>
        <w:t xml:space="preserve"> </w:t>
      </w:r>
      <w:r w:rsidRPr="004A72CD">
        <w:rPr>
          <w:rFonts w:asciiTheme="minorHAnsi" w:hAnsiTheme="minorHAnsi" w:cstheme="minorHAnsi"/>
          <w:bCs/>
          <w:iCs/>
          <w:sz w:val="26"/>
          <w:szCs w:val="26"/>
        </w:rPr>
        <w:t>legislativă pentru modificarea și completarea Legii nr. 207/2015 privind Codul de procedură fiscală (b74/20.02.2024)</w:t>
      </w:r>
      <w:r w:rsidRPr="004A72CD">
        <w:rPr>
          <w:rFonts w:asciiTheme="minorHAnsi" w:hAnsiTheme="minorHAnsi" w:cstheme="minorHAnsi"/>
          <w:sz w:val="26"/>
          <w:szCs w:val="26"/>
        </w:rPr>
        <w:t xml:space="preserve">. Comisia a reținut în esenţă că oportunitatea propunerii de modificare a Legii nr. 207/2015 privind Codul de procedură fiscală, în sensul instituirii unei competențe alternative în materia executării fiscale, trebuie privită din perspectiva necesității asigurării unei soluții unitare pentru executarea silită a creanțelor bugetare care, potrivit legii, se administrează de autorităţile sau instituţiile publice. Observaţiile formulate au fost comunicate Senatului </w:t>
      </w:r>
      <w:r w:rsidR="00AC2204"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4111 din data de 15</w:t>
      </w:r>
      <w:r w:rsidR="002D1E4D" w:rsidRPr="004A72CD">
        <w:rPr>
          <w:rFonts w:asciiTheme="minorHAnsi" w:hAnsiTheme="minorHAnsi" w:cstheme="minorHAnsi"/>
          <w:sz w:val="26"/>
          <w:szCs w:val="26"/>
        </w:rPr>
        <w:t xml:space="preserve"> aprilie </w:t>
      </w:r>
      <w:r w:rsidRPr="004A72CD">
        <w:rPr>
          <w:rFonts w:asciiTheme="minorHAnsi" w:hAnsiTheme="minorHAnsi" w:cstheme="minorHAnsi"/>
          <w:sz w:val="26"/>
          <w:szCs w:val="26"/>
        </w:rPr>
        <w:t>2024.</w:t>
      </w:r>
    </w:p>
    <w:p w14:paraId="03D78F6C" w14:textId="29BE449E" w:rsidR="00C707CD" w:rsidRPr="004A72CD" w:rsidRDefault="00C707CD" w:rsidP="00D51F5A">
      <w:pPr>
        <w:tabs>
          <w:tab w:val="left" w:pos="709"/>
        </w:tabs>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 xml:space="preserve">În ședința din data de 18 aprilie 2024, Comisia nr. 1 - reunită „Legislație şi cooperare interinstituțională”, la solicitarea Senatului României, a analizat Propunerea legislativă </w:t>
      </w:r>
      <w:r w:rsidRPr="004A72CD">
        <w:rPr>
          <w:rFonts w:asciiTheme="minorHAnsi" w:hAnsiTheme="minorHAnsi" w:cstheme="minorHAnsi"/>
          <w:bCs/>
          <w:sz w:val="26"/>
          <w:szCs w:val="26"/>
          <w:lang w:eastAsia="ro-RO"/>
        </w:rPr>
        <w:t>pentru modificarea şi completarea Ordonanţei de urgenţă a Guvernului nr. 195/2002 privind circulaţia pe drumurile publice şi pentru modificarea şi completarea art. 337 din Legea nr. 286/2009 privind Codul penal</w:t>
      </w:r>
      <w:r w:rsidRPr="004A72CD">
        <w:rPr>
          <w:rFonts w:asciiTheme="minorHAnsi" w:hAnsiTheme="minorHAnsi" w:cstheme="minorHAnsi"/>
          <w:sz w:val="26"/>
          <w:szCs w:val="26"/>
        </w:rPr>
        <w:t xml:space="preserve"> (b91/27.02.2024). Observaţiile formulate au fost comunicate Senatului </w:t>
      </w:r>
      <w:r w:rsidR="002078E3"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4570 din data de 24</w:t>
      </w:r>
      <w:r w:rsidR="007A6324" w:rsidRPr="004A72CD">
        <w:rPr>
          <w:rFonts w:asciiTheme="minorHAnsi" w:hAnsiTheme="minorHAnsi" w:cstheme="minorHAnsi"/>
          <w:sz w:val="26"/>
          <w:szCs w:val="26"/>
        </w:rPr>
        <w:t xml:space="preserve"> aprilie </w:t>
      </w:r>
      <w:r w:rsidRPr="004A72CD">
        <w:rPr>
          <w:rFonts w:asciiTheme="minorHAnsi" w:hAnsiTheme="minorHAnsi" w:cstheme="minorHAnsi"/>
          <w:sz w:val="26"/>
          <w:szCs w:val="26"/>
        </w:rPr>
        <w:t>2024, apreciindu-se că modificarea legislativă propusă nu poate fi adoptată în forma în care a fost transmisă.</w:t>
      </w:r>
    </w:p>
    <w:p w14:paraId="7FA5E332" w14:textId="550141AA" w:rsidR="00C707CD" w:rsidRPr="004A72CD" w:rsidRDefault="00C707CD" w:rsidP="00D51F5A">
      <w:pPr>
        <w:tabs>
          <w:tab w:val="left" w:pos="709"/>
        </w:tabs>
        <w:spacing w:line="276" w:lineRule="auto"/>
        <w:ind w:firstLine="708"/>
        <w:jc w:val="both"/>
        <w:rPr>
          <w:rStyle w:val="NoSpacingChar"/>
          <w:rFonts w:asciiTheme="minorHAnsi" w:hAnsiTheme="minorHAnsi" w:cstheme="minorHAnsi"/>
          <w:sz w:val="26"/>
          <w:szCs w:val="26"/>
          <w:lang w:val="ro-RO"/>
        </w:rPr>
      </w:pPr>
      <w:r w:rsidRPr="004A72CD">
        <w:rPr>
          <w:rFonts w:asciiTheme="minorHAnsi" w:hAnsiTheme="minorHAnsi" w:cstheme="minorHAnsi"/>
          <w:sz w:val="26"/>
          <w:szCs w:val="26"/>
        </w:rPr>
        <w:t>În ședința din data de 18 aprilie 2024, Comisia nr. 1 - reunită „Legislație şi cooperare interinstituțională”, la solicitarea Senatului României – Comisia juridică, de numiri, disciplină, imunităţi și validări, a analizat Propunerea legislativă pentru modificarea şi completarea unor acte normative în vederea prevenirii şi combaterii traficului şi consumului ilicit de droguri (L143/2024).</w:t>
      </w:r>
      <w:r w:rsidRPr="004A72CD">
        <w:rPr>
          <w:rStyle w:val="NoSpacingChar"/>
          <w:rFonts w:asciiTheme="minorHAnsi" w:hAnsiTheme="minorHAnsi" w:cstheme="minorHAnsi"/>
          <w:sz w:val="26"/>
          <w:szCs w:val="26"/>
          <w:lang w:val="ro-RO"/>
        </w:rPr>
        <w:t xml:space="preserve"> Punctul de vedere al Comisiei a fost comunicat Senatului României, împreună cu argumentele care au fost avute în vedere, prin adresa nr. 5151 din data de 25</w:t>
      </w:r>
      <w:r w:rsidR="0022191F" w:rsidRPr="004A72CD">
        <w:rPr>
          <w:rStyle w:val="NoSpacingChar"/>
          <w:rFonts w:asciiTheme="minorHAnsi" w:hAnsiTheme="minorHAnsi" w:cstheme="minorHAnsi"/>
          <w:sz w:val="26"/>
          <w:szCs w:val="26"/>
          <w:lang w:val="ro-RO"/>
        </w:rPr>
        <w:t xml:space="preserve"> aprilie </w:t>
      </w:r>
      <w:r w:rsidRPr="004A72CD">
        <w:rPr>
          <w:rStyle w:val="NoSpacingChar"/>
          <w:rFonts w:asciiTheme="minorHAnsi" w:hAnsiTheme="minorHAnsi" w:cstheme="minorHAnsi"/>
          <w:sz w:val="26"/>
          <w:szCs w:val="26"/>
          <w:lang w:val="ro-RO"/>
        </w:rPr>
        <w:t>2024.</w:t>
      </w:r>
    </w:p>
    <w:p w14:paraId="1A09E183" w14:textId="504EE4CC" w:rsidR="00C707CD" w:rsidRPr="004A72CD" w:rsidRDefault="00C707CD" w:rsidP="00D51F5A">
      <w:pPr>
        <w:tabs>
          <w:tab w:val="left" w:pos="709"/>
        </w:tabs>
        <w:spacing w:line="276" w:lineRule="auto"/>
        <w:ind w:firstLine="708"/>
        <w:jc w:val="both"/>
        <w:rPr>
          <w:rStyle w:val="NoSpacingChar"/>
          <w:rFonts w:asciiTheme="minorHAnsi" w:hAnsiTheme="minorHAnsi" w:cstheme="minorHAnsi"/>
          <w:sz w:val="26"/>
          <w:szCs w:val="26"/>
          <w:lang w:val="ro-RO"/>
        </w:rPr>
      </w:pPr>
      <w:r w:rsidRPr="004A72CD">
        <w:rPr>
          <w:rFonts w:asciiTheme="minorHAnsi" w:hAnsiTheme="minorHAnsi" w:cstheme="minorHAnsi"/>
          <w:sz w:val="26"/>
          <w:szCs w:val="26"/>
        </w:rPr>
        <w:t xml:space="preserve">În ședința din data de 18 aprilie 2024, Comisia nr. 1 - reunită „Legislație şi cooperare interinstituțională”, la solicitarea Senatului României, a analizat Propunerea legislativă </w:t>
      </w:r>
      <w:r w:rsidRPr="004A72CD">
        <w:rPr>
          <w:rFonts w:asciiTheme="minorHAnsi" w:hAnsiTheme="minorHAnsi" w:cstheme="minorHAnsi"/>
          <w:bCs/>
          <w:sz w:val="26"/>
          <w:szCs w:val="26"/>
          <w:lang w:eastAsia="ro-RO"/>
        </w:rPr>
        <w:t>pentru modificarea şi completarea Legii nr. 286/2009 privind Codul Penal (b82/26.02.2024).</w:t>
      </w:r>
      <w:r w:rsidRPr="004A72CD">
        <w:rPr>
          <w:rStyle w:val="NoSpacingChar"/>
          <w:rFonts w:asciiTheme="minorHAnsi" w:hAnsiTheme="minorHAnsi" w:cstheme="minorHAnsi"/>
          <w:sz w:val="26"/>
          <w:szCs w:val="26"/>
          <w:lang w:val="ro-RO"/>
        </w:rPr>
        <w:t xml:space="preserve"> Punctul de vedere al Comisiei în sensul că proiectul nu poate fi adoptat în forma propusă a fost comunicat Senatului României, împreună cu argumentele care au fost avute în vedere, prin adresa nr. 4416 din data de 23</w:t>
      </w:r>
      <w:r w:rsidR="007A6324" w:rsidRPr="004A72CD">
        <w:rPr>
          <w:rStyle w:val="NoSpacingChar"/>
          <w:rFonts w:asciiTheme="minorHAnsi" w:hAnsiTheme="minorHAnsi" w:cstheme="minorHAnsi"/>
          <w:sz w:val="26"/>
          <w:szCs w:val="26"/>
          <w:lang w:val="ro-RO"/>
        </w:rPr>
        <w:t xml:space="preserve"> aprilie </w:t>
      </w:r>
      <w:r w:rsidRPr="004A72CD">
        <w:rPr>
          <w:rStyle w:val="NoSpacingChar"/>
          <w:rFonts w:asciiTheme="minorHAnsi" w:hAnsiTheme="minorHAnsi" w:cstheme="minorHAnsi"/>
          <w:sz w:val="26"/>
          <w:szCs w:val="26"/>
          <w:lang w:val="ro-RO"/>
        </w:rPr>
        <w:t>2024.</w:t>
      </w:r>
    </w:p>
    <w:p w14:paraId="081D2B3F" w14:textId="00EE38FF" w:rsidR="00C707CD" w:rsidRPr="004A72CD" w:rsidRDefault="00C707CD" w:rsidP="00D51F5A">
      <w:pPr>
        <w:spacing w:line="276" w:lineRule="auto"/>
        <w:ind w:firstLine="708"/>
        <w:jc w:val="both"/>
        <w:rPr>
          <w:rStyle w:val="NoSpacingChar"/>
          <w:rFonts w:asciiTheme="minorHAnsi" w:hAnsiTheme="minorHAnsi" w:cstheme="minorHAnsi"/>
          <w:sz w:val="26"/>
          <w:szCs w:val="26"/>
          <w:lang w:val="ro-RO"/>
        </w:rPr>
      </w:pPr>
      <w:r w:rsidRPr="004A72CD">
        <w:rPr>
          <w:rFonts w:asciiTheme="minorHAnsi" w:hAnsiTheme="minorHAnsi" w:cstheme="minorHAnsi"/>
          <w:sz w:val="26"/>
          <w:szCs w:val="26"/>
        </w:rPr>
        <w:t xml:space="preserve">În ședința din data de 18 aprilie 2024, Comisia nr. 1 - reunită „Legislație şi cooperare interinstituțională”, la solicitarea Senatului României – Comisia juridică, de numiri, disciplină, imunităţi și validări, a analizat Propunerea legislativă pentru modificarea şi completarea Legii nr. 554/2004 a contenciosului administrativ </w:t>
      </w:r>
      <w:r w:rsidRPr="004A72CD">
        <w:rPr>
          <w:rFonts w:asciiTheme="minorHAnsi" w:hAnsiTheme="minorHAnsi" w:cstheme="minorHAnsi"/>
          <w:iCs/>
          <w:sz w:val="26"/>
          <w:szCs w:val="26"/>
        </w:rPr>
        <w:t>(L115/2024)</w:t>
      </w:r>
      <w:r w:rsidRPr="004A72CD">
        <w:rPr>
          <w:rFonts w:asciiTheme="minorHAnsi" w:hAnsiTheme="minorHAnsi" w:cstheme="minorHAnsi"/>
          <w:bCs/>
          <w:iCs/>
          <w:sz w:val="26"/>
          <w:szCs w:val="26"/>
          <w:lang w:eastAsia="ro-RO"/>
        </w:rPr>
        <w:t xml:space="preserve">. </w:t>
      </w:r>
      <w:r w:rsidRPr="004A72CD">
        <w:rPr>
          <w:rFonts w:asciiTheme="minorHAnsi" w:hAnsiTheme="minorHAnsi" w:cstheme="minorHAnsi"/>
          <w:sz w:val="26"/>
          <w:szCs w:val="26"/>
        </w:rPr>
        <w:t>Pentru argumentele expuse – comunicate Senatului României cu adresa nr. 5150 din data de 25</w:t>
      </w:r>
      <w:r w:rsidR="006216F9" w:rsidRPr="004A72CD">
        <w:rPr>
          <w:rFonts w:asciiTheme="minorHAnsi" w:hAnsiTheme="minorHAnsi" w:cstheme="minorHAnsi"/>
          <w:sz w:val="26"/>
          <w:szCs w:val="26"/>
        </w:rPr>
        <w:t xml:space="preserve"> aprilie </w:t>
      </w:r>
      <w:r w:rsidRPr="004A72CD">
        <w:rPr>
          <w:rFonts w:asciiTheme="minorHAnsi" w:hAnsiTheme="minorHAnsi" w:cstheme="minorHAnsi"/>
          <w:sz w:val="26"/>
          <w:szCs w:val="26"/>
        </w:rPr>
        <w:t xml:space="preserve">2024 – </w:t>
      </w:r>
      <w:r w:rsidRPr="004A72CD">
        <w:rPr>
          <w:rFonts w:asciiTheme="minorHAnsi" w:hAnsiTheme="minorHAnsi" w:cstheme="minorHAnsi"/>
          <w:bCs/>
          <w:sz w:val="26"/>
          <w:szCs w:val="26"/>
        </w:rPr>
        <w:t>Comisia de specialitate a Consiliului a apreciat că nu este oportună adoptarea propunerii legislative referitoare la modificarea Legii nr. 554/2004.</w:t>
      </w:r>
    </w:p>
    <w:p w14:paraId="6210BC64" w14:textId="547195DD" w:rsidR="00C707CD" w:rsidRPr="004A72CD" w:rsidRDefault="00C707CD" w:rsidP="00D51F5A">
      <w:pPr>
        <w:tabs>
          <w:tab w:val="left" w:pos="709"/>
        </w:tabs>
        <w:spacing w:line="276" w:lineRule="auto"/>
        <w:ind w:firstLine="708"/>
        <w:jc w:val="both"/>
        <w:rPr>
          <w:rStyle w:val="NoSpacingChar"/>
          <w:rFonts w:asciiTheme="minorHAnsi" w:hAnsiTheme="minorHAnsi" w:cstheme="minorHAnsi"/>
          <w:sz w:val="26"/>
          <w:szCs w:val="26"/>
          <w:lang w:val="ro-RO"/>
        </w:rPr>
      </w:pPr>
      <w:r w:rsidRPr="004A72CD">
        <w:rPr>
          <w:rFonts w:asciiTheme="minorHAnsi" w:hAnsiTheme="minorHAnsi" w:cstheme="minorHAnsi"/>
          <w:sz w:val="26"/>
          <w:szCs w:val="26"/>
        </w:rPr>
        <w:t xml:space="preserve">În ședința din data de 21 mai 2024, Comisia nr. 1 - reunită „Legislație şi cooperare interinstituțională”, la solicitarea Senatului României – Comisia juridică, de numiri, disciplină, imunităţi și validări, a analizat </w:t>
      </w:r>
      <w:r w:rsidRPr="004A72CD">
        <w:rPr>
          <w:rFonts w:asciiTheme="minorHAnsi" w:hAnsiTheme="minorHAnsi" w:cstheme="minorHAnsi"/>
          <w:iCs/>
          <w:sz w:val="26"/>
          <w:szCs w:val="26"/>
        </w:rPr>
        <w:t xml:space="preserve">Propunerea legislativă pentru completarea art. 2 și pentru modificarea și completarea art. 14 din Legea contenciosului administrativ nr. 554/2004 </w:t>
      </w:r>
      <w:r w:rsidRPr="004A72CD">
        <w:rPr>
          <w:rFonts w:asciiTheme="minorHAnsi" w:hAnsiTheme="minorHAnsi" w:cstheme="minorHAnsi"/>
          <w:bCs/>
          <w:sz w:val="26"/>
          <w:szCs w:val="26"/>
        </w:rPr>
        <w:t>(L114/2024)</w:t>
      </w:r>
      <w:r w:rsidRPr="004A72CD">
        <w:rPr>
          <w:rFonts w:asciiTheme="minorHAnsi" w:hAnsiTheme="minorHAnsi" w:cstheme="minorHAnsi"/>
          <w:sz w:val="26"/>
          <w:szCs w:val="26"/>
        </w:rPr>
        <w:t>.</w:t>
      </w:r>
      <w:r w:rsidRPr="004A72CD">
        <w:rPr>
          <w:rStyle w:val="NoSpacingChar"/>
          <w:rFonts w:asciiTheme="minorHAnsi" w:hAnsiTheme="minorHAnsi" w:cstheme="minorHAnsi"/>
          <w:sz w:val="26"/>
          <w:szCs w:val="26"/>
          <w:lang w:val="ro-RO"/>
        </w:rPr>
        <w:t xml:space="preserve"> Punctul de vedere al Comisiei, care cuprinde observații punctuale atât în legătură cu fondul propunerii, cât şi referitoare la abateri de la tehnica legislativă, a fost comunicat Senatului României </w:t>
      </w:r>
      <w:r w:rsidR="002078E3" w:rsidRPr="004A72CD">
        <w:rPr>
          <w:rStyle w:val="NoSpacingChar"/>
          <w:rFonts w:asciiTheme="minorHAnsi" w:hAnsiTheme="minorHAnsi" w:cstheme="minorHAnsi"/>
          <w:sz w:val="26"/>
          <w:szCs w:val="26"/>
          <w:lang w:val="ro-RO"/>
        </w:rPr>
        <w:t>prin</w:t>
      </w:r>
      <w:r w:rsidRPr="004A72CD">
        <w:rPr>
          <w:rStyle w:val="NoSpacingChar"/>
          <w:rFonts w:asciiTheme="minorHAnsi" w:hAnsiTheme="minorHAnsi" w:cstheme="minorHAnsi"/>
          <w:sz w:val="26"/>
          <w:szCs w:val="26"/>
          <w:lang w:val="ro-RO"/>
        </w:rPr>
        <w:t xml:space="preserve"> adresa nr. 5152 din data de 29</w:t>
      </w:r>
      <w:r w:rsidR="007A6324" w:rsidRPr="004A72CD">
        <w:rPr>
          <w:rStyle w:val="NoSpacingChar"/>
          <w:rFonts w:asciiTheme="minorHAnsi" w:hAnsiTheme="minorHAnsi" w:cstheme="minorHAnsi"/>
          <w:sz w:val="26"/>
          <w:szCs w:val="26"/>
          <w:lang w:val="ro-RO"/>
        </w:rPr>
        <w:t xml:space="preserve"> mai </w:t>
      </w:r>
      <w:r w:rsidRPr="004A72CD">
        <w:rPr>
          <w:rStyle w:val="NoSpacingChar"/>
          <w:rFonts w:asciiTheme="minorHAnsi" w:hAnsiTheme="minorHAnsi" w:cstheme="minorHAnsi"/>
          <w:sz w:val="26"/>
          <w:szCs w:val="26"/>
          <w:lang w:val="ro-RO"/>
        </w:rPr>
        <w:t>2024.</w:t>
      </w:r>
    </w:p>
    <w:p w14:paraId="3718447C" w14:textId="432E5642" w:rsidR="00C707CD" w:rsidRPr="004A72CD" w:rsidRDefault="00C707CD" w:rsidP="00D51F5A">
      <w:pPr>
        <w:tabs>
          <w:tab w:val="left" w:pos="709"/>
        </w:tabs>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lastRenderedPageBreak/>
        <w:t>La solicitarea Senatului României, în ședința din data de 21 mai 2024, Comisia nr. 1 - reunită „Legislație și cooperare interinstituțională” a analizat</w:t>
      </w:r>
      <w:r w:rsidRPr="004A72CD">
        <w:rPr>
          <w:rFonts w:asciiTheme="minorHAnsi" w:hAnsiTheme="minorHAnsi" w:cstheme="minorHAnsi"/>
          <w:bCs/>
          <w:iCs/>
          <w:sz w:val="26"/>
          <w:szCs w:val="26"/>
        </w:rPr>
        <w:t xml:space="preserve"> Propunerea</w:t>
      </w:r>
      <w:r w:rsidRPr="004A72CD">
        <w:rPr>
          <w:rFonts w:asciiTheme="minorHAnsi" w:hAnsiTheme="minorHAnsi" w:cstheme="minorHAnsi"/>
          <w:sz w:val="26"/>
          <w:szCs w:val="26"/>
        </w:rPr>
        <w:t xml:space="preserve"> </w:t>
      </w:r>
      <w:r w:rsidRPr="004A72CD">
        <w:rPr>
          <w:rFonts w:asciiTheme="minorHAnsi" w:hAnsiTheme="minorHAnsi" w:cstheme="minorHAnsi"/>
          <w:bCs/>
          <w:iCs/>
          <w:sz w:val="26"/>
          <w:szCs w:val="26"/>
        </w:rPr>
        <w:t>legislativă pentru modificarea și completarea Legii nr. 134/2010 privind Codul de procedură civilă (b176/27.03.2024)</w:t>
      </w:r>
      <w:r w:rsidRPr="004A72CD">
        <w:rPr>
          <w:rFonts w:asciiTheme="minorHAnsi" w:hAnsiTheme="minorHAnsi" w:cstheme="minorHAnsi"/>
          <w:sz w:val="26"/>
          <w:szCs w:val="26"/>
        </w:rPr>
        <w:t>. În raport de toate considerentele expuse şi transmise Senatului cu adresa nr. 6125 din data de 28</w:t>
      </w:r>
      <w:r w:rsidR="00872D9D" w:rsidRPr="004A72CD">
        <w:rPr>
          <w:rFonts w:asciiTheme="minorHAnsi" w:hAnsiTheme="minorHAnsi" w:cstheme="minorHAnsi"/>
          <w:sz w:val="26"/>
          <w:szCs w:val="26"/>
        </w:rPr>
        <w:t xml:space="preserve"> mai </w:t>
      </w:r>
      <w:r w:rsidRPr="004A72CD">
        <w:rPr>
          <w:rFonts w:asciiTheme="minorHAnsi" w:hAnsiTheme="minorHAnsi" w:cstheme="minorHAnsi"/>
          <w:sz w:val="26"/>
          <w:szCs w:val="26"/>
        </w:rPr>
        <w:t>2024, Comisia de specialitate a Consiliului a apreciat că, pe lângă deficiențele de formulare, în analiza oportunității propunerii legislative trebuie să se țină cont că limitarea regimului probator în apel în modalitatea popusă de inițiatori, respectiv doar la probele noi care nu au putut fi propuse în fața primei instanțe, întrucât au apărut ulterior pronunțării hotărârii, la cele care au fost respinse de prima instanță sau asupra cărora aceasta a omis să se pronunțe, poate conduce la imposibilitatea părții de a dovedi motivele apelului și, implicit, la anularea efectului devolutiv al acestei căi de atac și nerespectarea principiului aflării adevărului, care nu poate fi anihilat în unicul scop al soluționării cauzei într-un termen rezonabil.</w:t>
      </w:r>
    </w:p>
    <w:p w14:paraId="39082210" w14:textId="101A5ADD" w:rsidR="00C707CD" w:rsidRPr="004A72CD" w:rsidRDefault="00C707CD" w:rsidP="00D51F5A">
      <w:pPr>
        <w:spacing w:line="276" w:lineRule="auto"/>
        <w:ind w:firstLine="708"/>
        <w:jc w:val="both"/>
        <w:rPr>
          <w:rStyle w:val="NoSpacingChar"/>
          <w:rFonts w:asciiTheme="minorHAnsi" w:hAnsiTheme="minorHAnsi" w:cstheme="minorHAnsi"/>
          <w:sz w:val="26"/>
          <w:szCs w:val="26"/>
          <w:lang w:val="ro-RO"/>
        </w:rPr>
      </w:pPr>
      <w:r w:rsidRPr="004A72CD">
        <w:rPr>
          <w:rFonts w:asciiTheme="minorHAnsi" w:hAnsiTheme="minorHAnsi" w:cstheme="minorHAnsi"/>
          <w:sz w:val="26"/>
          <w:szCs w:val="26"/>
        </w:rPr>
        <w:t xml:space="preserve">La solicitarea Senatului României, în ședința din data de </w:t>
      </w:r>
      <w:r w:rsidR="007A6324" w:rsidRPr="004A72CD">
        <w:rPr>
          <w:rFonts w:asciiTheme="minorHAnsi" w:hAnsiTheme="minorHAnsi" w:cstheme="minorHAnsi"/>
          <w:sz w:val="26"/>
          <w:szCs w:val="26"/>
        </w:rPr>
        <w:t>0</w:t>
      </w:r>
      <w:r w:rsidRPr="004A72CD">
        <w:rPr>
          <w:rFonts w:asciiTheme="minorHAnsi" w:hAnsiTheme="minorHAnsi" w:cstheme="minorHAnsi"/>
          <w:sz w:val="26"/>
          <w:szCs w:val="26"/>
        </w:rPr>
        <w:t xml:space="preserve">4 iunie 2024, Comisia nr. 1 - judecători „Legislație și cooperare interinstituțională” a analizat </w:t>
      </w:r>
      <w:r w:rsidRPr="004A72CD">
        <w:rPr>
          <w:rFonts w:asciiTheme="minorHAnsi" w:hAnsiTheme="minorHAnsi" w:cstheme="minorHAnsi"/>
          <w:bCs/>
          <w:iCs/>
          <w:sz w:val="26"/>
          <w:szCs w:val="26"/>
        </w:rPr>
        <w:t>Propunerea</w:t>
      </w:r>
      <w:r w:rsidRPr="004A72CD">
        <w:rPr>
          <w:rFonts w:asciiTheme="minorHAnsi" w:hAnsiTheme="minorHAnsi" w:cstheme="minorHAnsi"/>
          <w:sz w:val="26"/>
          <w:szCs w:val="26"/>
        </w:rPr>
        <w:t xml:space="preserve"> </w:t>
      </w:r>
      <w:r w:rsidRPr="004A72CD">
        <w:rPr>
          <w:rFonts w:asciiTheme="minorHAnsi" w:hAnsiTheme="minorHAnsi" w:cstheme="minorHAnsi"/>
          <w:bCs/>
          <w:iCs/>
          <w:sz w:val="26"/>
          <w:szCs w:val="26"/>
        </w:rPr>
        <w:t xml:space="preserve">legislativă pentru modificarea art. 40 din </w:t>
      </w:r>
      <w:r w:rsidR="00807B28" w:rsidRPr="004A72CD">
        <w:rPr>
          <w:rFonts w:asciiTheme="minorHAnsi" w:hAnsiTheme="minorHAnsi" w:cstheme="minorHAnsi"/>
          <w:sz w:val="26"/>
          <w:szCs w:val="26"/>
        </w:rPr>
        <w:t>Ordonanța de urgență a Guvernului</w:t>
      </w:r>
      <w:r w:rsidRPr="004A72CD">
        <w:rPr>
          <w:rFonts w:asciiTheme="minorHAnsi" w:hAnsiTheme="minorHAnsi" w:cstheme="minorHAnsi"/>
          <w:bCs/>
          <w:iCs/>
          <w:sz w:val="26"/>
          <w:szCs w:val="26"/>
        </w:rPr>
        <w:t xml:space="preserve"> nr. 80/2013 privind taxele judiciare de timbru (b162/25.03.2024)</w:t>
      </w:r>
      <w:r w:rsidRPr="004A72CD">
        <w:rPr>
          <w:rFonts w:asciiTheme="minorHAnsi" w:hAnsiTheme="minorHAnsi" w:cstheme="minorHAnsi"/>
          <w:sz w:val="26"/>
          <w:szCs w:val="26"/>
        </w:rPr>
        <w:t xml:space="preserve">. </w:t>
      </w:r>
      <w:r w:rsidRPr="004A72CD">
        <w:rPr>
          <w:rFonts w:asciiTheme="minorHAnsi" w:hAnsiTheme="minorHAnsi" w:cstheme="minorHAnsi"/>
          <w:sz w:val="26"/>
          <w:szCs w:val="26"/>
          <w:shd w:val="clear" w:color="auto" w:fill="FFFFFF"/>
          <w14:ligatures w14:val="standardContextual"/>
        </w:rPr>
        <w:t xml:space="preserve">Ţinând cont de deficiențele de fond și de formă ale propunerii legislative, s-a apreciat că modificarea dispozițiilor </w:t>
      </w:r>
      <w:r w:rsidRPr="004A72CD">
        <w:rPr>
          <w:rFonts w:asciiTheme="minorHAnsi" w:hAnsiTheme="minorHAnsi" w:cstheme="minorHAnsi"/>
          <w:bCs/>
          <w:sz w:val="26"/>
          <w:szCs w:val="26"/>
          <w14:ligatures w14:val="standardContextual"/>
        </w:rPr>
        <w:t xml:space="preserve">art. 40 din </w:t>
      </w:r>
      <w:r w:rsidR="000E26C0" w:rsidRPr="004A72CD">
        <w:rPr>
          <w:rFonts w:asciiTheme="minorHAnsi" w:hAnsiTheme="minorHAnsi" w:cstheme="minorHAnsi"/>
          <w:sz w:val="26"/>
          <w:szCs w:val="26"/>
        </w:rPr>
        <w:t>Ordonanța de urgență a Guvernului</w:t>
      </w:r>
      <w:r w:rsidRPr="004A72CD">
        <w:rPr>
          <w:rFonts w:asciiTheme="minorHAnsi" w:hAnsiTheme="minorHAnsi" w:cstheme="minorHAnsi"/>
          <w:bCs/>
          <w:sz w:val="26"/>
          <w:szCs w:val="26"/>
          <w14:ligatures w14:val="standardContextual"/>
        </w:rPr>
        <w:t xml:space="preserve">. nr. 80/2013 privind taxele judiciare de timbru nu poate fi adoptată în forma propusă de inițiatori. </w:t>
      </w:r>
      <w:r w:rsidRPr="004A72CD">
        <w:rPr>
          <w:rFonts w:asciiTheme="minorHAnsi" w:hAnsiTheme="minorHAnsi" w:cstheme="minorHAnsi"/>
          <w:iCs/>
          <w:sz w:val="26"/>
          <w:szCs w:val="26"/>
        </w:rPr>
        <w:t xml:space="preserve">Răspunsul Consiliului Superior al Magistraturii a fost comunicat Senatului României </w:t>
      </w:r>
      <w:r w:rsidR="002078E3"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7978 din</w:t>
      </w:r>
      <w:r w:rsidR="003B35A6" w:rsidRPr="004A72CD">
        <w:rPr>
          <w:rFonts w:asciiTheme="minorHAnsi" w:hAnsiTheme="minorHAnsi" w:cstheme="minorHAnsi"/>
          <w:sz w:val="26"/>
          <w:szCs w:val="26"/>
        </w:rPr>
        <w:t xml:space="preserve"> data de </w:t>
      </w:r>
      <w:r w:rsidRPr="004A72CD">
        <w:rPr>
          <w:rFonts w:asciiTheme="minorHAnsi" w:hAnsiTheme="minorHAnsi" w:cstheme="minorHAnsi"/>
          <w:sz w:val="26"/>
          <w:szCs w:val="26"/>
        </w:rPr>
        <w:t>07</w:t>
      </w:r>
      <w:r w:rsidR="003B35A6" w:rsidRPr="004A72CD">
        <w:rPr>
          <w:rFonts w:asciiTheme="minorHAnsi" w:hAnsiTheme="minorHAnsi" w:cstheme="minorHAnsi"/>
          <w:sz w:val="26"/>
          <w:szCs w:val="26"/>
        </w:rPr>
        <w:t xml:space="preserve"> iunie </w:t>
      </w:r>
      <w:r w:rsidRPr="004A72CD">
        <w:rPr>
          <w:rFonts w:asciiTheme="minorHAnsi" w:hAnsiTheme="minorHAnsi" w:cstheme="minorHAnsi"/>
          <w:sz w:val="26"/>
          <w:szCs w:val="26"/>
        </w:rPr>
        <w:t>2024.</w:t>
      </w:r>
    </w:p>
    <w:p w14:paraId="080F9190" w14:textId="787AF32D" w:rsidR="00C707CD" w:rsidRPr="004A72CD" w:rsidRDefault="00C707CD" w:rsidP="00D51F5A">
      <w:pPr>
        <w:tabs>
          <w:tab w:val="left" w:pos="709"/>
        </w:tabs>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 xml:space="preserve">În ședința din data de 19 iunie 2024, Comisia nr. 1 - reunită „Legislație şi cooperare interinstituțională”, la solicitarea Senatului României – Comisia juridică, de numiri, disciplină, imunităţi și validări, a analizat Propunerea legislativă pentru modificarea și completarea unor acte normative în domeniul prevenirii și combaterii criminalității organizate și al prevenirii și combaterii traficului și consumului ilicit de droguri (b146/13.03.2024). </w:t>
      </w:r>
      <w:r w:rsidRPr="004A72CD">
        <w:rPr>
          <w:rFonts w:asciiTheme="minorHAnsi" w:hAnsiTheme="minorHAnsi" w:cstheme="minorHAnsi"/>
          <w:iCs/>
          <w:sz w:val="26"/>
          <w:szCs w:val="26"/>
        </w:rPr>
        <w:t xml:space="preserve">Răspunsul Consiliului Superior al Magistraturii a fost comunicat Senatului României </w:t>
      </w:r>
      <w:r w:rsidR="002078E3"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5266 din</w:t>
      </w:r>
      <w:r w:rsidR="003B35A6" w:rsidRPr="004A72CD">
        <w:rPr>
          <w:rFonts w:asciiTheme="minorHAnsi" w:hAnsiTheme="minorHAnsi" w:cstheme="minorHAnsi"/>
          <w:sz w:val="26"/>
          <w:szCs w:val="26"/>
        </w:rPr>
        <w:t xml:space="preserve"> data de </w:t>
      </w:r>
      <w:r w:rsidRPr="004A72CD">
        <w:rPr>
          <w:rFonts w:asciiTheme="minorHAnsi" w:hAnsiTheme="minorHAnsi" w:cstheme="minorHAnsi"/>
          <w:sz w:val="26"/>
          <w:szCs w:val="26"/>
        </w:rPr>
        <w:t>20</w:t>
      </w:r>
      <w:r w:rsidR="003B35A6" w:rsidRPr="004A72CD">
        <w:rPr>
          <w:rFonts w:asciiTheme="minorHAnsi" w:hAnsiTheme="minorHAnsi" w:cstheme="minorHAnsi"/>
          <w:sz w:val="26"/>
          <w:szCs w:val="26"/>
        </w:rPr>
        <w:t xml:space="preserve"> iunie </w:t>
      </w:r>
      <w:r w:rsidRPr="004A72CD">
        <w:rPr>
          <w:rFonts w:asciiTheme="minorHAnsi" w:hAnsiTheme="minorHAnsi" w:cstheme="minorHAnsi"/>
          <w:sz w:val="26"/>
          <w:szCs w:val="26"/>
        </w:rPr>
        <w:t>2024.</w:t>
      </w:r>
    </w:p>
    <w:p w14:paraId="584FFB4E" w14:textId="263BB2E7" w:rsidR="00C707CD" w:rsidRPr="004A72CD" w:rsidRDefault="00C707CD" w:rsidP="00D51F5A">
      <w:pPr>
        <w:tabs>
          <w:tab w:val="left" w:pos="709"/>
        </w:tabs>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În ședința din data de 19 iunie 2024, Comisia nr. 1 - reunită „Legislație şi cooperare interinstituțională”, la solicitarea Senatului României, a analizat Propunerea legislativă pentru modificarea și completarea art</w:t>
      </w:r>
      <w:r w:rsidR="0028586E" w:rsidRPr="004A72CD">
        <w:rPr>
          <w:rFonts w:asciiTheme="minorHAnsi" w:hAnsiTheme="minorHAnsi" w:cstheme="minorHAnsi"/>
          <w:sz w:val="26"/>
          <w:szCs w:val="26"/>
        </w:rPr>
        <w:t>.</w:t>
      </w:r>
      <w:r w:rsidRPr="004A72CD">
        <w:rPr>
          <w:rFonts w:asciiTheme="minorHAnsi" w:hAnsiTheme="minorHAnsi" w:cstheme="minorHAnsi"/>
          <w:sz w:val="26"/>
          <w:szCs w:val="26"/>
        </w:rPr>
        <w:t xml:space="preserve"> 197 din Legea nr. 286/2009 privind Codul de penal (b275/27.05.2024). Observaţiile formulate au fost comunicate Senatului </w:t>
      </w:r>
      <w:r w:rsidR="002078E3"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10034 din data de 20</w:t>
      </w:r>
      <w:r w:rsidR="004E310F" w:rsidRPr="004A72CD">
        <w:rPr>
          <w:rFonts w:asciiTheme="minorHAnsi" w:hAnsiTheme="minorHAnsi" w:cstheme="minorHAnsi"/>
          <w:sz w:val="26"/>
          <w:szCs w:val="26"/>
        </w:rPr>
        <w:t xml:space="preserve"> iunie </w:t>
      </w:r>
      <w:r w:rsidRPr="004A72CD">
        <w:rPr>
          <w:rFonts w:asciiTheme="minorHAnsi" w:hAnsiTheme="minorHAnsi" w:cstheme="minorHAnsi"/>
          <w:sz w:val="26"/>
          <w:szCs w:val="26"/>
        </w:rPr>
        <w:t>2024.</w:t>
      </w:r>
    </w:p>
    <w:p w14:paraId="0F68CFCE" w14:textId="057FBCFA" w:rsidR="00C707CD" w:rsidRPr="004A72CD" w:rsidRDefault="00C707CD" w:rsidP="00D51F5A">
      <w:pPr>
        <w:tabs>
          <w:tab w:val="left" w:pos="709"/>
        </w:tabs>
        <w:spacing w:line="276" w:lineRule="auto"/>
        <w:ind w:firstLine="708"/>
        <w:jc w:val="both"/>
        <w:rPr>
          <w:rStyle w:val="NoSpacingChar"/>
          <w:rFonts w:asciiTheme="minorHAnsi" w:hAnsiTheme="minorHAnsi" w:cstheme="minorHAnsi"/>
          <w:sz w:val="26"/>
          <w:szCs w:val="26"/>
          <w:lang w:val="ro-RO"/>
        </w:rPr>
      </w:pPr>
      <w:r w:rsidRPr="004A72CD">
        <w:rPr>
          <w:rFonts w:asciiTheme="minorHAnsi" w:hAnsiTheme="minorHAnsi" w:cstheme="minorHAnsi"/>
          <w:sz w:val="26"/>
          <w:szCs w:val="26"/>
        </w:rPr>
        <w:t>La solicitarea Senatului României, în ședința din data de 25 iunie 2024, Comisia nr. 1 - reunită „Legislație și cooperare interinstituțională” a analizat Propunerea legislativă pentru modificarea şi completarea Legii nr. 4/2008 privind prevenirea şi combaterea violenței cu ocazia competițiilor şi a jocurilor sportive (b278/29.05.2024).</w:t>
      </w:r>
      <w:r w:rsidRPr="004A72CD">
        <w:rPr>
          <w:rStyle w:val="NoSpacingChar"/>
          <w:rFonts w:asciiTheme="minorHAnsi" w:hAnsiTheme="minorHAnsi" w:cstheme="minorHAnsi"/>
          <w:sz w:val="26"/>
          <w:szCs w:val="26"/>
          <w:lang w:val="ro-RO"/>
        </w:rPr>
        <w:t xml:space="preserve"> Punctul de vedere al Comisiei în sensul că proiectul nu poate fi adoptat în forma propusă a fost comunicat Senatului României, împreună cu argumentele care au fost avute în vedere, prin adresa nr. 10035 din data de 28</w:t>
      </w:r>
      <w:r w:rsidR="004E310F" w:rsidRPr="004A72CD">
        <w:rPr>
          <w:rStyle w:val="NoSpacingChar"/>
          <w:rFonts w:asciiTheme="minorHAnsi" w:hAnsiTheme="minorHAnsi" w:cstheme="minorHAnsi"/>
          <w:sz w:val="26"/>
          <w:szCs w:val="26"/>
          <w:lang w:val="ro-RO"/>
        </w:rPr>
        <w:t xml:space="preserve"> iunie </w:t>
      </w:r>
      <w:r w:rsidRPr="004A72CD">
        <w:rPr>
          <w:rStyle w:val="NoSpacingChar"/>
          <w:rFonts w:asciiTheme="minorHAnsi" w:hAnsiTheme="minorHAnsi" w:cstheme="minorHAnsi"/>
          <w:sz w:val="26"/>
          <w:szCs w:val="26"/>
          <w:lang w:val="ro-RO"/>
        </w:rPr>
        <w:t>2024.</w:t>
      </w:r>
    </w:p>
    <w:p w14:paraId="42F8DDF7" w14:textId="40D1261D" w:rsidR="00C707CD" w:rsidRPr="004A72CD" w:rsidRDefault="00C707CD" w:rsidP="00D51F5A">
      <w:pPr>
        <w:tabs>
          <w:tab w:val="left" w:pos="709"/>
        </w:tabs>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La solicitarea Senatului României, în ședința din data de 23 iulie 2024, Comisia nr. 1 - reunită „Legislație și cooperare interinstituțională” a analizat</w:t>
      </w:r>
      <w:r w:rsidRPr="004A72CD">
        <w:rPr>
          <w:rFonts w:asciiTheme="minorHAnsi" w:hAnsiTheme="minorHAnsi" w:cstheme="minorHAnsi"/>
          <w:i/>
          <w:sz w:val="26"/>
          <w:szCs w:val="26"/>
        </w:rPr>
        <w:t xml:space="preserve"> </w:t>
      </w:r>
      <w:r w:rsidRPr="004A72CD">
        <w:rPr>
          <w:rFonts w:asciiTheme="minorHAnsi" w:hAnsiTheme="minorHAnsi" w:cstheme="minorHAnsi"/>
          <w:iCs/>
          <w:sz w:val="26"/>
          <w:szCs w:val="26"/>
        </w:rPr>
        <w:t>Propunerea legislativă pentru modificarea şi completarea Legii nr. 211/2004 privind unele măsuri pentru asigurarea informării, sprijinirii şi protecţiei victimelor infracţiunilor (b298/12.06.2024)</w:t>
      </w:r>
      <w:r w:rsidRPr="004A72CD">
        <w:rPr>
          <w:rFonts w:asciiTheme="minorHAnsi" w:hAnsiTheme="minorHAnsi" w:cstheme="minorHAnsi"/>
          <w:i/>
          <w:sz w:val="26"/>
          <w:szCs w:val="26"/>
        </w:rPr>
        <w:t>.</w:t>
      </w:r>
      <w:r w:rsidRPr="004A72CD">
        <w:rPr>
          <w:rFonts w:asciiTheme="minorHAnsi" w:hAnsiTheme="minorHAnsi" w:cstheme="minorHAnsi"/>
          <w:sz w:val="26"/>
          <w:szCs w:val="26"/>
        </w:rPr>
        <w:t xml:space="preserve"> Observaţiile formulate au fost comunicate Senatului </w:t>
      </w:r>
      <w:r w:rsidR="002078E3"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11024 din data de 26</w:t>
      </w:r>
      <w:r w:rsidR="000C4718" w:rsidRPr="004A72CD">
        <w:rPr>
          <w:rFonts w:asciiTheme="minorHAnsi" w:hAnsiTheme="minorHAnsi" w:cstheme="minorHAnsi"/>
          <w:sz w:val="26"/>
          <w:szCs w:val="26"/>
        </w:rPr>
        <w:t xml:space="preserve"> iulie </w:t>
      </w:r>
      <w:r w:rsidRPr="004A72CD">
        <w:rPr>
          <w:rFonts w:asciiTheme="minorHAnsi" w:hAnsiTheme="minorHAnsi" w:cstheme="minorHAnsi"/>
          <w:sz w:val="26"/>
          <w:szCs w:val="26"/>
        </w:rPr>
        <w:t>2024.</w:t>
      </w:r>
    </w:p>
    <w:p w14:paraId="6068152F" w14:textId="292B05DD" w:rsidR="00C707CD" w:rsidRPr="004A72CD" w:rsidRDefault="00C707CD" w:rsidP="00D51F5A">
      <w:pPr>
        <w:tabs>
          <w:tab w:val="left" w:pos="709"/>
        </w:tabs>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lastRenderedPageBreak/>
        <w:t xml:space="preserve">În ședința din data de 23 iulie 2024, Comisia nr. 1 - reunită „Legislație şi cooperare interinstituțională”, la solicitarea Comisiei juridice, de numiri, disciplină, imunităţi și validări a Senatului României, a analizat </w:t>
      </w:r>
      <w:r w:rsidRPr="004A72CD">
        <w:rPr>
          <w:rFonts w:asciiTheme="minorHAnsi" w:hAnsiTheme="minorHAnsi" w:cstheme="minorHAnsi"/>
          <w:iCs/>
          <w:sz w:val="26"/>
          <w:szCs w:val="26"/>
        </w:rPr>
        <w:t>Proiectul de lege privind căutarea persoanelor dispărute</w:t>
      </w:r>
      <w:r w:rsidRPr="004A72CD">
        <w:rPr>
          <w:rFonts w:asciiTheme="minorHAnsi" w:hAnsiTheme="minorHAnsi" w:cstheme="minorHAnsi"/>
          <w:sz w:val="26"/>
          <w:szCs w:val="26"/>
        </w:rPr>
        <w:t xml:space="preserve"> în forma adoptată de Camera Deputaților, cu amendamentele admise prin raportul suplimentar preliminar al Comisiei pentru apărare, ordine publică și siguranță națională și cu amendamentele propuse de un domn senator. Observaţiile formulate au fost comunicate Comisiei juridice, de numiri, disciplină, imunităţi și validări </w:t>
      </w:r>
      <w:r w:rsidR="002078E3"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11664 din data de 01</w:t>
      </w:r>
      <w:r w:rsidR="000C4718" w:rsidRPr="004A72CD">
        <w:rPr>
          <w:rFonts w:asciiTheme="minorHAnsi" w:hAnsiTheme="minorHAnsi" w:cstheme="minorHAnsi"/>
          <w:sz w:val="26"/>
          <w:szCs w:val="26"/>
        </w:rPr>
        <w:t xml:space="preserve"> august </w:t>
      </w:r>
      <w:r w:rsidRPr="004A72CD">
        <w:rPr>
          <w:rFonts w:asciiTheme="minorHAnsi" w:hAnsiTheme="minorHAnsi" w:cstheme="minorHAnsi"/>
          <w:sz w:val="26"/>
          <w:szCs w:val="26"/>
        </w:rPr>
        <w:t>2024.</w:t>
      </w:r>
    </w:p>
    <w:p w14:paraId="14019EB8" w14:textId="2C68EACE" w:rsidR="00C707CD" w:rsidRPr="004A72CD" w:rsidRDefault="00C707CD" w:rsidP="00D51F5A">
      <w:pPr>
        <w:tabs>
          <w:tab w:val="left" w:pos="709"/>
        </w:tabs>
        <w:spacing w:line="276" w:lineRule="auto"/>
        <w:ind w:firstLine="708"/>
        <w:jc w:val="both"/>
        <w:rPr>
          <w:rFonts w:asciiTheme="minorHAnsi" w:hAnsiTheme="minorHAnsi" w:cstheme="minorHAnsi"/>
          <w:color w:val="FF0000"/>
          <w:sz w:val="26"/>
          <w:szCs w:val="26"/>
        </w:rPr>
      </w:pPr>
      <w:r w:rsidRPr="004A72CD">
        <w:rPr>
          <w:rFonts w:asciiTheme="minorHAnsi" w:hAnsiTheme="minorHAnsi" w:cstheme="minorHAnsi"/>
          <w:sz w:val="26"/>
          <w:szCs w:val="26"/>
        </w:rPr>
        <w:t xml:space="preserve">La solicitarea Senatului României, în ședința din data de 23 iulie 2024, Comisia nr. 1 - reunită „Legislație și cooperare interinstituțională” a analizat </w:t>
      </w:r>
      <w:r w:rsidRPr="004A72CD">
        <w:rPr>
          <w:rFonts w:asciiTheme="minorHAnsi" w:hAnsiTheme="minorHAnsi" w:cstheme="minorHAnsi"/>
          <w:bCs/>
          <w:iCs/>
          <w:sz w:val="26"/>
          <w:szCs w:val="26"/>
        </w:rPr>
        <w:t>Propunerea legislativă pentru modificarea și completarea Ordonanței de urgență a Guvernului nr. 57/2019 privind Codul administrativ (b302/12.06.2024).</w:t>
      </w:r>
      <w:r w:rsidRPr="004A72CD">
        <w:rPr>
          <w:rFonts w:asciiTheme="minorHAnsi" w:hAnsiTheme="minorHAnsi" w:cstheme="minorHAnsi"/>
          <w:iCs/>
          <w:sz w:val="26"/>
          <w:szCs w:val="26"/>
        </w:rPr>
        <w:t xml:space="preserve"> Răspunsul Consiliului Superior al Magistraturii a fost comunicat Senatului României </w:t>
      </w:r>
      <w:r w:rsidR="00E128D1"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11078 din</w:t>
      </w:r>
      <w:r w:rsidR="00131039" w:rsidRPr="004A72CD">
        <w:rPr>
          <w:rFonts w:asciiTheme="minorHAnsi" w:hAnsiTheme="minorHAnsi" w:cstheme="minorHAnsi"/>
          <w:sz w:val="26"/>
          <w:szCs w:val="26"/>
        </w:rPr>
        <w:t xml:space="preserve"> data de </w:t>
      </w:r>
      <w:r w:rsidRPr="004A72CD">
        <w:rPr>
          <w:rFonts w:asciiTheme="minorHAnsi" w:hAnsiTheme="minorHAnsi" w:cstheme="minorHAnsi"/>
          <w:sz w:val="26"/>
          <w:szCs w:val="26"/>
        </w:rPr>
        <w:t>25</w:t>
      </w:r>
      <w:r w:rsidR="00131039" w:rsidRPr="004A72CD">
        <w:rPr>
          <w:rFonts w:asciiTheme="minorHAnsi" w:hAnsiTheme="minorHAnsi" w:cstheme="minorHAnsi"/>
          <w:sz w:val="26"/>
          <w:szCs w:val="26"/>
        </w:rPr>
        <w:t xml:space="preserve"> iulie </w:t>
      </w:r>
      <w:r w:rsidRPr="004A72CD">
        <w:rPr>
          <w:rFonts w:asciiTheme="minorHAnsi" w:hAnsiTheme="minorHAnsi" w:cstheme="minorHAnsi"/>
          <w:sz w:val="26"/>
          <w:szCs w:val="26"/>
        </w:rPr>
        <w:t>2024.</w:t>
      </w:r>
    </w:p>
    <w:p w14:paraId="1D32A8E0" w14:textId="480CBCB7" w:rsidR="00C707CD" w:rsidRPr="004A72CD" w:rsidRDefault="00C707CD" w:rsidP="00D51F5A">
      <w:pPr>
        <w:tabs>
          <w:tab w:val="left" w:pos="709"/>
        </w:tabs>
        <w:spacing w:line="276" w:lineRule="auto"/>
        <w:ind w:firstLine="708"/>
        <w:jc w:val="both"/>
        <w:rPr>
          <w:rStyle w:val="NoSpacingChar"/>
          <w:rFonts w:asciiTheme="minorHAnsi" w:hAnsiTheme="minorHAnsi" w:cstheme="minorHAnsi"/>
          <w:sz w:val="26"/>
          <w:szCs w:val="26"/>
          <w:lang w:val="ro-RO"/>
        </w:rPr>
      </w:pPr>
      <w:r w:rsidRPr="004A72CD">
        <w:rPr>
          <w:rFonts w:asciiTheme="minorHAnsi" w:hAnsiTheme="minorHAnsi" w:cstheme="minorHAnsi"/>
          <w:sz w:val="26"/>
          <w:szCs w:val="26"/>
        </w:rPr>
        <w:t>La solicitarea Senatului României, în ședința din data de 23 iulie 2024, Comisia nr. 1 - reunită „Legislație și cooperare interinstituțională” a analizat Propunerea legislativă pentru modificarea și completarea Codului penal (b299/12.06.2024).</w:t>
      </w:r>
      <w:r w:rsidRPr="004A72CD">
        <w:rPr>
          <w:rStyle w:val="NoSpacingChar"/>
          <w:rFonts w:asciiTheme="minorHAnsi" w:hAnsiTheme="minorHAnsi" w:cstheme="minorHAnsi"/>
          <w:sz w:val="26"/>
          <w:szCs w:val="26"/>
          <w:lang w:val="ro-RO"/>
        </w:rPr>
        <w:t xml:space="preserve"> Punctul de vedere al Comisiei în sensul că proiectul nu poate fi adoptat în forma propusă a fost comunicat Senatului României, împreună cu argumentele care au fost avute în vedere, prin adresa nr. 11072 din data de 26</w:t>
      </w:r>
      <w:r w:rsidR="00131039" w:rsidRPr="004A72CD">
        <w:rPr>
          <w:rStyle w:val="NoSpacingChar"/>
          <w:rFonts w:asciiTheme="minorHAnsi" w:hAnsiTheme="minorHAnsi" w:cstheme="minorHAnsi"/>
          <w:sz w:val="26"/>
          <w:szCs w:val="26"/>
          <w:lang w:val="ro-RO"/>
        </w:rPr>
        <w:t xml:space="preserve"> iulie </w:t>
      </w:r>
      <w:r w:rsidRPr="004A72CD">
        <w:rPr>
          <w:rStyle w:val="NoSpacingChar"/>
          <w:rFonts w:asciiTheme="minorHAnsi" w:hAnsiTheme="minorHAnsi" w:cstheme="minorHAnsi"/>
          <w:sz w:val="26"/>
          <w:szCs w:val="26"/>
          <w:lang w:val="ro-RO"/>
        </w:rPr>
        <w:t>2024.</w:t>
      </w:r>
    </w:p>
    <w:p w14:paraId="3B855D69" w14:textId="1F534482" w:rsidR="00C707CD" w:rsidRPr="004A72CD" w:rsidRDefault="00E128D1"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Prin</w:t>
      </w:r>
      <w:r w:rsidR="00C707CD" w:rsidRPr="004A72CD">
        <w:rPr>
          <w:rFonts w:asciiTheme="minorHAnsi" w:hAnsiTheme="minorHAnsi" w:cstheme="minorHAnsi"/>
          <w:sz w:val="26"/>
          <w:szCs w:val="26"/>
        </w:rPr>
        <w:t xml:space="preserve"> adresa nr. 12550 din 23</w:t>
      </w:r>
      <w:r w:rsidR="00131039" w:rsidRPr="004A72CD">
        <w:rPr>
          <w:rFonts w:asciiTheme="minorHAnsi" w:hAnsiTheme="minorHAnsi" w:cstheme="minorHAnsi"/>
          <w:sz w:val="26"/>
          <w:szCs w:val="26"/>
        </w:rPr>
        <w:t xml:space="preserve"> august </w:t>
      </w:r>
      <w:r w:rsidR="00C707CD" w:rsidRPr="004A72CD">
        <w:rPr>
          <w:rFonts w:asciiTheme="minorHAnsi" w:hAnsiTheme="minorHAnsi" w:cstheme="minorHAnsi"/>
          <w:sz w:val="26"/>
          <w:szCs w:val="26"/>
        </w:rPr>
        <w:t xml:space="preserve">2024, Consiliul Superior al Magistraturii a comunicat Senatului României observațiile sale referitoare la </w:t>
      </w:r>
      <w:r w:rsidR="00C707CD" w:rsidRPr="004A72CD">
        <w:rPr>
          <w:rFonts w:asciiTheme="minorHAnsi" w:hAnsiTheme="minorHAnsi" w:cstheme="minorHAnsi"/>
          <w:bCs/>
          <w:iCs/>
          <w:sz w:val="26"/>
          <w:szCs w:val="26"/>
        </w:rPr>
        <w:t>Propunerea legislativă privind completarea Legii nr. 272/2004 privind protecția și promovarea drepturilor copilului (b347/27.06.2024</w:t>
      </w:r>
      <w:r w:rsidR="00C707CD" w:rsidRPr="004A72CD">
        <w:rPr>
          <w:rFonts w:asciiTheme="minorHAnsi" w:hAnsiTheme="minorHAnsi" w:cstheme="minorHAnsi"/>
          <w:bCs/>
          <w:sz w:val="26"/>
          <w:szCs w:val="26"/>
        </w:rPr>
        <w:t xml:space="preserve">). </w:t>
      </w:r>
      <w:r w:rsidR="00C707CD" w:rsidRPr="004A72CD">
        <w:rPr>
          <w:rFonts w:asciiTheme="minorHAnsi" w:hAnsiTheme="minorHAnsi" w:cstheme="minorHAnsi"/>
          <w:sz w:val="26"/>
          <w:szCs w:val="26"/>
        </w:rPr>
        <w:t xml:space="preserve">Proiectul a fost analizat în ședința Comisiei nr. 1 - reunită „Legislație și cooperare interinstituțională” din data de 22 august 2024. </w:t>
      </w:r>
    </w:p>
    <w:p w14:paraId="065D5C4A" w14:textId="203D0B53" w:rsidR="00C707CD" w:rsidRPr="004A72CD" w:rsidRDefault="00C707CD" w:rsidP="00D51F5A">
      <w:pPr>
        <w:tabs>
          <w:tab w:val="left" w:pos="709"/>
        </w:tabs>
        <w:spacing w:line="276" w:lineRule="auto"/>
        <w:ind w:firstLine="708"/>
        <w:jc w:val="both"/>
        <w:rPr>
          <w:rStyle w:val="NoSpacingChar"/>
          <w:rFonts w:asciiTheme="minorHAnsi" w:hAnsiTheme="minorHAnsi" w:cstheme="minorHAnsi"/>
          <w:sz w:val="26"/>
          <w:szCs w:val="26"/>
          <w:lang w:val="ro-RO"/>
        </w:rPr>
      </w:pPr>
      <w:r w:rsidRPr="004A72CD">
        <w:rPr>
          <w:rFonts w:asciiTheme="minorHAnsi" w:hAnsiTheme="minorHAnsi" w:cstheme="minorHAnsi"/>
          <w:sz w:val="26"/>
          <w:szCs w:val="26"/>
        </w:rPr>
        <w:t>La solicitarea Senatului României, în ședința din data de 22 august 2024, Comisia nr. 1 - reunită „Legislație și cooperare interinstituțională” a analizat</w:t>
      </w:r>
      <w:r w:rsidRPr="004A72CD">
        <w:rPr>
          <w:rFonts w:asciiTheme="minorHAnsi" w:hAnsiTheme="minorHAnsi" w:cstheme="minorHAnsi"/>
          <w:i/>
          <w:sz w:val="26"/>
          <w:szCs w:val="26"/>
        </w:rPr>
        <w:t xml:space="preserve"> </w:t>
      </w:r>
      <w:r w:rsidRPr="004A72CD">
        <w:rPr>
          <w:rFonts w:asciiTheme="minorHAnsi" w:hAnsiTheme="minorHAnsi" w:cstheme="minorHAnsi"/>
          <w:sz w:val="26"/>
          <w:szCs w:val="26"/>
        </w:rPr>
        <w:t xml:space="preserve">Propunerea legislativă pentru completarea Legii nr. 53/2003 – Codul muncii, a </w:t>
      </w:r>
      <w:bookmarkStart w:id="60" w:name="_Hlk181952135"/>
      <w:r w:rsidRPr="004A72CD">
        <w:rPr>
          <w:rFonts w:asciiTheme="minorHAnsi" w:hAnsiTheme="minorHAnsi" w:cstheme="minorHAnsi"/>
          <w:sz w:val="26"/>
          <w:szCs w:val="26"/>
        </w:rPr>
        <w:t>Ordonanței de urgență a Guvernului</w:t>
      </w:r>
      <w:bookmarkEnd w:id="60"/>
      <w:r w:rsidRPr="004A72CD">
        <w:rPr>
          <w:rFonts w:asciiTheme="minorHAnsi" w:hAnsiTheme="minorHAnsi" w:cstheme="minorHAnsi"/>
          <w:sz w:val="26"/>
          <w:szCs w:val="26"/>
        </w:rPr>
        <w:t xml:space="preserve"> nr. 57/2019 privind Codul administrativ și a Legii nr. 134/2010 privind Codul de procedură civilă </w:t>
      </w:r>
      <w:r w:rsidRPr="004A72CD">
        <w:rPr>
          <w:rFonts w:asciiTheme="minorHAnsi" w:hAnsiTheme="minorHAnsi" w:cstheme="minorHAnsi"/>
          <w:iCs/>
          <w:sz w:val="26"/>
          <w:szCs w:val="26"/>
        </w:rPr>
        <w:t>(b320/21.06.2024).</w:t>
      </w:r>
      <w:r w:rsidRPr="004A72CD">
        <w:rPr>
          <w:rStyle w:val="NoSpacingChar"/>
          <w:rFonts w:asciiTheme="minorHAnsi" w:hAnsiTheme="minorHAnsi" w:cstheme="minorHAnsi"/>
          <w:sz w:val="26"/>
          <w:szCs w:val="26"/>
          <w:lang w:val="ro-RO"/>
        </w:rPr>
        <w:t xml:space="preserve"> Punctul de vedere al Comisiei în sensul că proiectul nu poate fi adoptat în forma propusă a fost comunicat Senatului României, împreună cu argumentele care au fost avute în vedere, prin adresa nr. 11512 din data de 27</w:t>
      </w:r>
      <w:r w:rsidR="00D61506" w:rsidRPr="004A72CD">
        <w:rPr>
          <w:rStyle w:val="NoSpacingChar"/>
          <w:rFonts w:asciiTheme="minorHAnsi" w:hAnsiTheme="minorHAnsi" w:cstheme="minorHAnsi"/>
          <w:sz w:val="26"/>
          <w:szCs w:val="26"/>
          <w:lang w:val="ro-RO"/>
        </w:rPr>
        <w:t xml:space="preserve"> august </w:t>
      </w:r>
      <w:r w:rsidRPr="004A72CD">
        <w:rPr>
          <w:rStyle w:val="NoSpacingChar"/>
          <w:rFonts w:asciiTheme="minorHAnsi" w:hAnsiTheme="minorHAnsi" w:cstheme="minorHAnsi"/>
          <w:sz w:val="26"/>
          <w:szCs w:val="26"/>
          <w:lang w:val="ro-RO"/>
        </w:rPr>
        <w:t>2024.</w:t>
      </w:r>
    </w:p>
    <w:p w14:paraId="46AA3FE0" w14:textId="40FE0484" w:rsidR="00C707CD" w:rsidRPr="004A72CD" w:rsidRDefault="00C707CD" w:rsidP="00D51F5A">
      <w:pPr>
        <w:spacing w:line="276" w:lineRule="auto"/>
        <w:ind w:firstLine="708"/>
        <w:jc w:val="both"/>
        <w:rPr>
          <w:rFonts w:asciiTheme="minorHAnsi" w:hAnsiTheme="minorHAnsi" w:cstheme="minorHAnsi"/>
          <w:bCs/>
          <w:sz w:val="26"/>
          <w:szCs w:val="26"/>
          <w:lang w:eastAsia="ro-RO"/>
        </w:rPr>
      </w:pPr>
      <w:r w:rsidRPr="004A72CD">
        <w:rPr>
          <w:rFonts w:asciiTheme="minorHAnsi" w:hAnsiTheme="minorHAnsi" w:cstheme="minorHAnsi"/>
          <w:sz w:val="26"/>
          <w:szCs w:val="26"/>
        </w:rPr>
        <w:t>În ședința din data de 22 august 2024, Comisia nr. 1 - reunită „Legislație şi cooperare interinstituțională”, la solicitarea Senatului României, a analizat</w:t>
      </w:r>
      <w:r w:rsidRPr="004A72CD">
        <w:rPr>
          <w:rFonts w:asciiTheme="minorHAnsi" w:hAnsiTheme="minorHAnsi" w:cstheme="minorHAnsi"/>
          <w:i/>
          <w:sz w:val="26"/>
          <w:szCs w:val="26"/>
        </w:rPr>
        <w:t xml:space="preserve"> </w:t>
      </w:r>
      <w:r w:rsidRPr="004A72CD">
        <w:rPr>
          <w:rFonts w:asciiTheme="minorHAnsi" w:hAnsiTheme="minorHAnsi" w:cstheme="minorHAnsi"/>
          <w:sz w:val="26"/>
          <w:szCs w:val="26"/>
        </w:rPr>
        <w:t xml:space="preserve">Propunerea legislativă pentru modificarea și completarea Legii nr. 134/2010 privind Codul de procedură civilă </w:t>
      </w:r>
      <w:r w:rsidRPr="004A72CD">
        <w:rPr>
          <w:rFonts w:asciiTheme="minorHAnsi" w:hAnsiTheme="minorHAnsi" w:cstheme="minorHAnsi"/>
          <w:iCs/>
          <w:sz w:val="26"/>
          <w:szCs w:val="26"/>
        </w:rPr>
        <w:t>(b331/26.06.2024)</w:t>
      </w:r>
      <w:r w:rsidRPr="004A72CD">
        <w:rPr>
          <w:rFonts w:asciiTheme="minorHAnsi" w:hAnsiTheme="minorHAnsi" w:cstheme="minorHAnsi"/>
          <w:bCs/>
          <w:iCs/>
          <w:sz w:val="26"/>
          <w:szCs w:val="26"/>
          <w:lang w:eastAsia="ro-RO"/>
        </w:rPr>
        <w:t>.</w:t>
      </w:r>
      <w:r w:rsidRPr="004A72CD">
        <w:rPr>
          <w:rFonts w:asciiTheme="minorHAnsi" w:hAnsiTheme="minorHAnsi" w:cstheme="minorHAnsi"/>
          <w:bCs/>
          <w:sz w:val="26"/>
          <w:szCs w:val="26"/>
          <w:lang w:eastAsia="ro-RO"/>
        </w:rPr>
        <w:t xml:space="preserve"> Comisia a considerat că propunerea de stabilire a sumei definitive aferent</w:t>
      </w:r>
      <w:r w:rsidR="00046B61" w:rsidRPr="004A72CD">
        <w:rPr>
          <w:rFonts w:asciiTheme="minorHAnsi" w:hAnsiTheme="minorHAnsi" w:cstheme="minorHAnsi"/>
          <w:bCs/>
          <w:sz w:val="26"/>
          <w:szCs w:val="26"/>
          <w:lang w:eastAsia="ro-RO"/>
        </w:rPr>
        <w:t>e</w:t>
      </w:r>
      <w:r w:rsidRPr="004A72CD">
        <w:rPr>
          <w:rFonts w:asciiTheme="minorHAnsi" w:hAnsiTheme="minorHAnsi" w:cstheme="minorHAnsi"/>
          <w:bCs/>
          <w:sz w:val="26"/>
          <w:szCs w:val="26"/>
          <w:lang w:eastAsia="ro-RO"/>
        </w:rPr>
        <w:t xml:space="preserve"> numărului de zile până ce debitorul a executat integral obligaţia</w:t>
      </w:r>
      <w:r w:rsidR="00046B61" w:rsidRPr="004A72CD">
        <w:rPr>
          <w:rFonts w:asciiTheme="minorHAnsi" w:hAnsiTheme="minorHAnsi" w:cstheme="minorHAnsi"/>
          <w:bCs/>
          <w:sz w:val="26"/>
          <w:szCs w:val="26"/>
          <w:lang w:eastAsia="ro-RO"/>
        </w:rPr>
        <w:t xml:space="preserve">, </w:t>
      </w:r>
      <w:r w:rsidRPr="004A72CD">
        <w:rPr>
          <w:rFonts w:asciiTheme="minorHAnsi" w:hAnsiTheme="minorHAnsi" w:cstheme="minorHAnsi"/>
          <w:bCs/>
          <w:sz w:val="26"/>
          <w:szCs w:val="26"/>
          <w:lang w:eastAsia="ro-RO"/>
        </w:rPr>
        <w:t>dacă executarea a intervenit în intervalul de 3 luni</w:t>
      </w:r>
      <w:r w:rsidR="00046B61" w:rsidRPr="004A72CD">
        <w:rPr>
          <w:rFonts w:asciiTheme="minorHAnsi" w:hAnsiTheme="minorHAnsi" w:cstheme="minorHAnsi"/>
          <w:bCs/>
          <w:sz w:val="26"/>
          <w:szCs w:val="26"/>
          <w:lang w:eastAsia="ro-RO"/>
        </w:rPr>
        <w:t xml:space="preserve">, </w:t>
      </w:r>
      <w:r w:rsidRPr="004A72CD">
        <w:rPr>
          <w:rFonts w:asciiTheme="minorHAnsi" w:hAnsiTheme="minorHAnsi" w:cstheme="minorHAnsi"/>
          <w:bCs/>
          <w:sz w:val="26"/>
          <w:szCs w:val="26"/>
          <w:lang w:eastAsia="ro-RO"/>
        </w:rPr>
        <w:t xml:space="preserve">nu este în acord cu viziunea legiuitorului care a stat la baza reglementării penalităţilor, respectiv aceea de a-l constrânge pe debitor să execute obligaţia. Totodată, </w:t>
      </w:r>
      <w:r w:rsidRPr="004A72CD">
        <w:rPr>
          <w:rFonts w:asciiTheme="minorHAnsi" w:hAnsiTheme="minorHAnsi" w:cstheme="minorHAnsi"/>
          <w:bCs/>
          <w:sz w:val="26"/>
          <w:szCs w:val="26"/>
        </w:rPr>
        <w:t>s-a apreciat că Propunerea legislativă pentru modificarea şi completarea Legii nr. 134/2010 privind Codul de procedură civilă (b331/26.06.2024) nu este în acord cu Deciziile Înaltei Curţi de Casaţie şi Justiţie nr. 30/2023</w:t>
      </w:r>
      <w:r w:rsidRPr="004A72CD">
        <w:rPr>
          <w:rFonts w:asciiTheme="minorHAnsi" w:hAnsiTheme="minorHAnsi" w:cstheme="minorHAnsi"/>
          <w:bCs/>
          <w:color w:val="000000"/>
          <w:sz w:val="26"/>
          <w:szCs w:val="26"/>
          <w:shd w:val="clear" w:color="auto" w:fill="FFFFFF"/>
        </w:rPr>
        <w:t xml:space="preserve"> </w:t>
      </w:r>
      <w:r w:rsidRPr="004A72CD">
        <w:rPr>
          <w:rFonts w:asciiTheme="minorHAnsi" w:hAnsiTheme="minorHAnsi" w:cstheme="minorHAnsi"/>
          <w:bCs/>
          <w:sz w:val="26"/>
          <w:szCs w:val="26"/>
        </w:rPr>
        <w:t>şi nr. 37/2023</w:t>
      </w:r>
      <w:r w:rsidRPr="004A72CD">
        <w:rPr>
          <w:rFonts w:asciiTheme="minorHAnsi" w:hAnsiTheme="minorHAnsi" w:cstheme="minorHAnsi"/>
          <w:bCs/>
          <w:color w:val="000000"/>
          <w:sz w:val="26"/>
          <w:szCs w:val="26"/>
          <w:shd w:val="clear" w:color="auto" w:fill="FFFFFF"/>
        </w:rPr>
        <w:t xml:space="preserve"> şi nici nu respectă </w:t>
      </w:r>
      <w:r w:rsidRPr="004A72CD">
        <w:rPr>
          <w:rFonts w:asciiTheme="minorHAnsi" w:hAnsiTheme="minorHAnsi" w:cstheme="minorHAnsi"/>
          <w:bCs/>
          <w:sz w:val="26"/>
          <w:szCs w:val="26"/>
          <w:lang w:eastAsia="ro-RO"/>
        </w:rPr>
        <w:t>cerinţa corelării cu ansamblul reglementărilor interne.</w:t>
      </w:r>
      <w:r w:rsidRPr="004A72CD">
        <w:rPr>
          <w:rFonts w:asciiTheme="minorHAnsi" w:hAnsiTheme="minorHAnsi" w:cstheme="minorHAnsi"/>
          <w:sz w:val="26"/>
          <w:szCs w:val="26"/>
        </w:rPr>
        <w:t xml:space="preserve"> Observaţiile formulate au fost comunicate Senatului </w:t>
      </w:r>
      <w:r w:rsidR="00E128D1"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12429 din data de 26</w:t>
      </w:r>
      <w:r w:rsidR="00236D53" w:rsidRPr="004A72CD">
        <w:rPr>
          <w:rFonts w:asciiTheme="minorHAnsi" w:hAnsiTheme="minorHAnsi" w:cstheme="minorHAnsi"/>
          <w:sz w:val="26"/>
          <w:szCs w:val="26"/>
        </w:rPr>
        <w:t xml:space="preserve"> august </w:t>
      </w:r>
      <w:r w:rsidRPr="004A72CD">
        <w:rPr>
          <w:rFonts w:asciiTheme="minorHAnsi" w:hAnsiTheme="minorHAnsi" w:cstheme="minorHAnsi"/>
          <w:sz w:val="26"/>
          <w:szCs w:val="26"/>
        </w:rPr>
        <w:t>2024.</w:t>
      </w:r>
    </w:p>
    <w:p w14:paraId="0C6148AC" w14:textId="7A49888E" w:rsidR="00C707CD" w:rsidRPr="004A72CD" w:rsidRDefault="00C707CD" w:rsidP="00D51F5A">
      <w:pPr>
        <w:tabs>
          <w:tab w:val="left" w:pos="709"/>
        </w:tabs>
        <w:spacing w:line="276" w:lineRule="auto"/>
        <w:ind w:firstLine="708"/>
        <w:jc w:val="both"/>
        <w:rPr>
          <w:rStyle w:val="NoSpacingChar"/>
          <w:rFonts w:asciiTheme="minorHAnsi" w:hAnsiTheme="minorHAnsi" w:cstheme="minorHAnsi"/>
          <w:sz w:val="26"/>
          <w:szCs w:val="26"/>
          <w:lang w:val="ro-RO"/>
        </w:rPr>
      </w:pPr>
      <w:r w:rsidRPr="004A72CD">
        <w:rPr>
          <w:rFonts w:asciiTheme="minorHAnsi" w:hAnsiTheme="minorHAnsi" w:cstheme="minorHAnsi"/>
          <w:sz w:val="26"/>
          <w:szCs w:val="26"/>
        </w:rPr>
        <w:lastRenderedPageBreak/>
        <w:t>La solicitarea Senatului României, în ședința din data de 22 august 2024, Comisia nr. 1 - reunită „Legislație și cooperare interinstituțională” a analizat</w:t>
      </w:r>
      <w:r w:rsidRPr="004A72CD">
        <w:rPr>
          <w:rFonts w:asciiTheme="minorHAnsi" w:hAnsiTheme="minorHAnsi" w:cstheme="minorHAnsi"/>
          <w:i/>
          <w:iCs/>
          <w:sz w:val="26"/>
          <w:szCs w:val="26"/>
        </w:rPr>
        <w:t xml:space="preserve"> </w:t>
      </w:r>
      <w:r w:rsidRPr="004A72CD">
        <w:rPr>
          <w:rFonts w:asciiTheme="minorHAnsi" w:hAnsiTheme="minorHAnsi" w:cstheme="minorHAnsi"/>
          <w:iCs/>
          <w:sz w:val="26"/>
          <w:szCs w:val="26"/>
        </w:rPr>
        <w:t>Propunerea legislativă pentru reglementarea activității de videochat și combaterea publicității (b339/26.06.2024</w:t>
      </w:r>
      <w:r w:rsidRPr="004A72CD">
        <w:rPr>
          <w:rFonts w:asciiTheme="minorHAnsi" w:hAnsiTheme="minorHAnsi" w:cstheme="minorHAnsi"/>
          <w:sz w:val="26"/>
          <w:szCs w:val="26"/>
        </w:rPr>
        <w:t>).</w:t>
      </w:r>
      <w:r w:rsidRPr="004A72CD">
        <w:rPr>
          <w:rStyle w:val="NoSpacingChar"/>
          <w:rFonts w:asciiTheme="minorHAnsi" w:hAnsiTheme="minorHAnsi" w:cstheme="minorHAnsi"/>
          <w:sz w:val="26"/>
          <w:szCs w:val="26"/>
          <w:lang w:val="ro-RO"/>
        </w:rPr>
        <w:t xml:space="preserve"> Punctul de vedere al Comisiei în sensul că proiectul nu poate fi adoptat în forma propusă a fost comunicat Senatului României, împreună cu argumentele care au fost avute în vedere, prin adresa nr. 12546 din data de 23</w:t>
      </w:r>
      <w:r w:rsidR="00236D53" w:rsidRPr="004A72CD">
        <w:rPr>
          <w:rStyle w:val="NoSpacingChar"/>
          <w:rFonts w:asciiTheme="minorHAnsi" w:hAnsiTheme="minorHAnsi" w:cstheme="minorHAnsi"/>
          <w:sz w:val="26"/>
          <w:szCs w:val="26"/>
          <w:lang w:val="ro-RO"/>
        </w:rPr>
        <w:t xml:space="preserve"> iulie </w:t>
      </w:r>
      <w:r w:rsidRPr="004A72CD">
        <w:rPr>
          <w:rStyle w:val="NoSpacingChar"/>
          <w:rFonts w:asciiTheme="minorHAnsi" w:hAnsiTheme="minorHAnsi" w:cstheme="minorHAnsi"/>
          <w:sz w:val="26"/>
          <w:szCs w:val="26"/>
          <w:lang w:val="ro-RO"/>
        </w:rPr>
        <w:t>2024.</w:t>
      </w:r>
    </w:p>
    <w:p w14:paraId="0B2DAF3A" w14:textId="59AB586B" w:rsidR="00C707CD" w:rsidRPr="004A72CD" w:rsidRDefault="00C707CD" w:rsidP="00D51F5A">
      <w:pPr>
        <w:tabs>
          <w:tab w:val="left" w:pos="709"/>
        </w:tabs>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 xml:space="preserve">La solicitarea </w:t>
      </w:r>
      <w:r w:rsidRPr="004A72CD">
        <w:rPr>
          <w:rFonts w:asciiTheme="minorHAnsi" w:hAnsiTheme="minorHAnsi" w:cstheme="minorHAnsi"/>
          <w:bCs/>
          <w:iCs/>
          <w:color w:val="000000"/>
          <w:sz w:val="26"/>
          <w:szCs w:val="26"/>
        </w:rPr>
        <w:t xml:space="preserve">Comisiei speciale comune a Camerei Deputaților și Senatului pentru combaterea traficului de persoane, </w:t>
      </w:r>
      <w:r w:rsidRPr="004A72CD">
        <w:rPr>
          <w:rFonts w:asciiTheme="minorHAnsi" w:hAnsiTheme="minorHAnsi" w:cstheme="minorHAnsi"/>
          <w:sz w:val="26"/>
          <w:szCs w:val="26"/>
        </w:rPr>
        <w:t xml:space="preserve">în ședința din data de 19 septembrie 2024 a Comisiei nr. 1 - reunită „Legislație și cooperare interinstituțională” au fost analizate amendamentele admise de Comisia juridică, de numiri, disciplină, imunități și validări a Senatului la Propunerea legislativă pentru modificarea și completarea Codului penal (L420/2024). Observaţiile formulate au fost comunicate </w:t>
      </w:r>
      <w:r w:rsidRPr="004A72CD">
        <w:rPr>
          <w:rFonts w:asciiTheme="minorHAnsi" w:hAnsiTheme="minorHAnsi" w:cstheme="minorHAnsi"/>
          <w:bCs/>
          <w:iCs/>
          <w:color w:val="000000"/>
          <w:sz w:val="26"/>
          <w:szCs w:val="26"/>
        </w:rPr>
        <w:t>Comisiei speciale comune a Camerei Deputaților și Senatului pentru combaterea traficului de persoane</w:t>
      </w:r>
      <w:r w:rsidRPr="004A72CD">
        <w:rPr>
          <w:rFonts w:asciiTheme="minorHAnsi" w:hAnsiTheme="minorHAnsi" w:cstheme="minorHAnsi"/>
          <w:sz w:val="26"/>
          <w:szCs w:val="26"/>
        </w:rPr>
        <w:t xml:space="preserve"> </w:t>
      </w:r>
      <w:r w:rsidR="005820DD"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14728 din data de 25</w:t>
      </w:r>
      <w:r w:rsidR="003D4398" w:rsidRPr="004A72CD">
        <w:rPr>
          <w:rFonts w:asciiTheme="minorHAnsi" w:hAnsiTheme="minorHAnsi" w:cstheme="minorHAnsi"/>
          <w:sz w:val="26"/>
          <w:szCs w:val="26"/>
        </w:rPr>
        <w:t xml:space="preserve"> septembrie </w:t>
      </w:r>
      <w:r w:rsidRPr="004A72CD">
        <w:rPr>
          <w:rFonts w:asciiTheme="minorHAnsi" w:hAnsiTheme="minorHAnsi" w:cstheme="minorHAnsi"/>
          <w:sz w:val="26"/>
          <w:szCs w:val="26"/>
        </w:rPr>
        <w:t>2024.</w:t>
      </w:r>
    </w:p>
    <w:p w14:paraId="72A7F525" w14:textId="3179361C" w:rsidR="00C707CD" w:rsidRPr="004A72CD" w:rsidRDefault="00C707CD" w:rsidP="00D51F5A">
      <w:pPr>
        <w:tabs>
          <w:tab w:val="left" w:pos="709"/>
        </w:tabs>
        <w:spacing w:line="276" w:lineRule="auto"/>
        <w:ind w:firstLine="708"/>
        <w:jc w:val="both"/>
        <w:rPr>
          <w:rStyle w:val="NoSpacingChar"/>
          <w:rFonts w:asciiTheme="minorHAnsi" w:hAnsiTheme="minorHAnsi" w:cstheme="minorHAnsi"/>
          <w:sz w:val="26"/>
          <w:szCs w:val="26"/>
          <w:lang w:val="ro-RO"/>
        </w:rPr>
      </w:pPr>
      <w:r w:rsidRPr="004A72CD">
        <w:rPr>
          <w:rFonts w:asciiTheme="minorHAnsi" w:hAnsiTheme="minorHAnsi" w:cstheme="minorHAnsi"/>
          <w:sz w:val="26"/>
          <w:szCs w:val="26"/>
        </w:rPr>
        <w:t xml:space="preserve">În ședința din data de </w:t>
      </w:r>
      <w:r w:rsidR="006E1C13" w:rsidRPr="004A72CD">
        <w:rPr>
          <w:rFonts w:asciiTheme="minorHAnsi" w:hAnsiTheme="minorHAnsi" w:cstheme="minorHAnsi"/>
          <w:sz w:val="26"/>
          <w:szCs w:val="26"/>
        </w:rPr>
        <w:t>0</w:t>
      </w:r>
      <w:r w:rsidRPr="004A72CD">
        <w:rPr>
          <w:rFonts w:asciiTheme="minorHAnsi" w:hAnsiTheme="minorHAnsi" w:cstheme="minorHAnsi"/>
          <w:sz w:val="26"/>
          <w:szCs w:val="26"/>
        </w:rPr>
        <w:t>3 octombrie 2024, Comisia nr. 1 - reunită „Legislație şi cooperare interinstituțională”, la solicitarea Senatului României – Comisia juridică, de numiri, disciplină, imunităţi și validări, a analizat Proiectul de lege pentru aprobarea Ordonanţei de Urgenţă a Guvernului nr. 97/2024 pentru stabilirea unor măsuri în domeniul siguranţei rutiere (L396/2024).</w:t>
      </w:r>
      <w:r w:rsidRPr="004A72CD">
        <w:rPr>
          <w:rStyle w:val="NoSpacingChar"/>
          <w:rFonts w:asciiTheme="minorHAnsi" w:hAnsiTheme="minorHAnsi" w:cstheme="minorHAnsi"/>
          <w:sz w:val="26"/>
          <w:szCs w:val="26"/>
          <w:lang w:val="ro-RO"/>
        </w:rPr>
        <w:t xml:space="preserve"> Punctul de vedere al Comisiei a fost comunicat </w:t>
      </w:r>
      <w:r w:rsidRPr="004A72CD">
        <w:rPr>
          <w:rFonts w:asciiTheme="minorHAnsi" w:hAnsiTheme="minorHAnsi" w:cstheme="minorHAnsi"/>
          <w:sz w:val="26"/>
          <w:szCs w:val="26"/>
        </w:rPr>
        <w:t>Comisiei juridice, de numiri, disciplină, imunităţi și validări</w:t>
      </w:r>
      <w:r w:rsidRPr="004A72CD">
        <w:rPr>
          <w:rStyle w:val="NoSpacingChar"/>
          <w:rFonts w:asciiTheme="minorHAnsi" w:hAnsiTheme="minorHAnsi" w:cstheme="minorHAnsi"/>
          <w:sz w:val="26"/>
          <w:szCs w:val="26"/>
          <w:lang w:val="ro-RO"/>
        </w:rPr>
        <w:t xml:space="preserve"> a Senatului României, împreună cu argumentele care au fost avute în vedere, prin adresa nr. 14881 din data de 04</w:t>
      </w:r>
      <w:r w:rsidR="003D4398" w:rsidRPr="004A72CD">
        <w:rPr>
          <w:rStyle w:val="NoSpacingChar"/>
          <w:rFonts w:asciiTheme="minorHAnsi" w:hAnsiTheme="minorHAnsi" w:cstheme="minorHAnsi"/>
          <w:sz w:val="26"/>
          <w:szCs w:val="26"/>
          <w:lang w:val="ro-RO"/>
        </w:rPr>
        <w:t xml:space="preserve"> octombrie </w:t>
      </w:r>
      <w:r w:rsidRPr="004A72CD">
        <w:rPr>
          <w:rStyle w:val="NoSpacingChar"/>
          <w:rFonts w:asciiTheme="minorHAnsi" w:hAnsiTheme="minorHAnsi" w:cstheme="minorHAnsi"/>
          <w:sz w:val="26"/>
          <w:szCs w:val="26"/>
          <w:lang w:val="ro-RO"/>
        </w:rPr>
        <w:t>2024.</w:t>
      </w:r>
    </w:p>
    <w:p w14:paraId="30748BAC" w14:textId="6880DB1D" w:rsidR="00C707CD" w:rsidRPr="004A72CD" w:rsidRDefault="00C707CD" w:rsidP="00D51F5A">
      <w:pPr>
        <w:tabs>
          <w:tab w:val="left" w:pos="709"/>
        </w:tabs>
        <w:spacing w:line="276" w:lineRule="auto"/>
        <w:ind w:firstLine="708"/>
        <w:jc w:val="both"/>
        <w:rPr>
          <w:rStyle w:val="NoSpacingChar"/>
          <w:rFonts w:asciiTheme="minorHAnsi" w:hAnsiTheme="minorHAnsi" w:cstheme="minorHAnsi"/>
          <w:sz w:val="26"/>
          <w:szCs w:val="26"/>
          <w:lang w:val="ro-RO"/>
        </w:rPr>
      </w:pPr>
      <w:r w:rsidRPr="004A72CD">
        <w:rPr>
          <w:rFonts w:asciiTheme="minorHAnsi" w:hAnsiTheme="minorHAnsi" w:cstheme="minorHAnsi"/>
          <w:sz w:val="26"/>
          <w:szCs w:val="26"/>
        </w:rPr>
        <w:t xml:space="preserve">În ședința din data de </w:t>
      </w:r>
      <w:r w:rsidR="009769CB" w:rsidRPr="004A72CD">
        <w:rPr>
          <w:rFonts w:asciiTheme="minorHAnsi" w:hAnsiTheme="minorHAnsi" w:cstheme="minorHAnsi"/>
          <w:sz w:val="26"/>
          <w:szCs w:val="26"/>
        </w:rPr>
        <w:t>0</w:t>
      </w:r>
      <w:r w:rsidRPr="004A72CD">
        <w:rPr>
          <w:rFonts w:asciiTheme="minorHAnsi" w:hAnsiTheme="minorHAnsi" w:cstheme="minorHAnsi"/>
          <w:sz w:val="26"/>
          <w:szCs w:val="26"/>
        </w:rPr>
        <w:t>3 octombrie 2024, Comisia nr. 1 - reunită „Legislație şi cooperare interinstituțională”, la solicitarea Senatului României – Comisia juridică, de numiri, disciplină, imunităţi și validări, a analizat Proiectul de lege pentru aprobarea Ordonanţei de Urgenţă a Guvernului nr. 84/2024 pentru modificarea şi completarea unor acte normative în scopul creşterii siguranţei rutiere (L386/2024).</w:t>
      </w:r>
      <w:r w:rsidRPr="004A72CD">
        <w:rPr>
          <w:rStyle w:val="NoSpacingChar"/>
          <w:rFonts w:asciiTheme="minorHAnsi" w:hAnsiTheme="minorHAnsi" w:cstheme="minorHAnsi"/>
          <w:sz w:val="26"/>
          <w:szCs w:val="26"/>
          <w:lang w:val="ro-RO"/>
        </w:rPr>
        <w:t xml:space="preserve"> Punctul de vedere al Comisiei a fost comunicat </w:t>
      </w:r>
      <w:r w:rsidRPr="004A72CD">
        <w:rPr>
          <w:rFonts w:asciiTheme="minorHAnsi" w:hAnsiTheme="minorHAnsi" w:cstheme="minorHAnsi"/>
          <w:sz w:val="26"/>
          <w:szCs w:val="26"/>
        </w:rPr>
        <w:t>Comisiei juridice, de numiri, disciplină, imunităţi și validări</w:t>
      </w:r>
      <w:r w:rsidRPr="004A72CD">
        <w:rPr>
          <w:rStyle w:val="NoSpacingChar"/>
          <w:rFonts w:asciiTheme="minorHAnsi" w:hAnsiTheme="minorHAnsi" w:cstheme="minorHAnsi"/>
          <w:sz w:val="26"/>
          <w:szCs w:val="26"/>
          <w:lang w:val="ro-RO"/>
        </w:rPr>
        <w:t xml:space="preserve"> a Senatului României, împreună cu argumentele care au fost avute în vedere, prin adresa nr. 14880 din data de 08</w:t>
      </w:r>
      <w:r w:rsidR="003D4398" w:rsidRPr="004A72CD">
        <w:rPr>
          <w:rStyle w:val="NoSpacingChar"/>
          <w:rFonts w:asciiTheme="minorHAnsi" w:hAnsiTheme="minorHAnsi" w:cstheme="minorHAnsi"/>
          <w:sz w:val="26"/>
          <w:szCs w:val="26"/>
          <w:lang w:val="ro-RO"/>
        </w:rPr>
        <w:t xml:space="preserve"> octombrie </w:t>
      </w:r>
      <w:r w:rsidRPr="004A72CD">
        <w:rPr>
          <w:rStyle w:val="NoSpacingChar"/>
          <w:rFonts w:asciiTheme="minorHAnsi" w:hAnsiTheme="minorHAnsi" w:cstheme="minorHAnsi"/>
          <w:sz w:val="26"/>
          <w:szCs w:val="26"/>
          <w:lang w:val="ro-RO"/>
        </w:rPr>
        <w:t>2024.</w:t>
      </w:r>
    </w:p>
    <w:p w14:paraId="021F0973" w14:textId="0415BD42" w:rsidR="00C707CD" w:rsidRPr="004A72CD" w:rsidRDefault="00C707CD"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 xml:space="preserve">La solicitarea Senatului României, în ședința din data de </w:t>
      </w:r>
      <w:r w:rsidR="009769CB" w:rsidRPr="004A72CD">
        <w:rPr>
          <w:rFonts w:asciiTheme="minorHAnsi" w:hAnsiTheme="minorHAnsi" w:cstheme="minorHAnsi"/>
          <w:sz w:val="26"/>
          <w:szCs w:val="26"/>
        </w:rPr>
        <w:t>0</w:t>
      </w:r>
      <w:r w:rsidRPr="004A72CD">
        <w:rPr>
          <w:rFonts w:asciiTheme="minorHAnsi" w:hAnsiTheme="minorHAnsi" w:cstheme="minorHAnsi"/>
          <w:sz w:val="26"/>
          <w:szCs w:val="26"/>
        </w:rPr>
        <w:t xml:space="preserve">3 octombrie 2024, Comisia nr. 1 - reunită „Legislație şi cooperare interinstituțională” a analizat Propunerea legislativă pentru completarea art. 222 din Legea nr. 286/2009 privind Codul Penal (b410/21.08.2024). Observaţiile formulate au fost comunicate Senatului </w:t>
      </w:r>
      <w:r w:rsidR="005820DD"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14366 din data de 07</w:t>
      </w:r>
      <w:r w:rsidR="00F13CE2" w:rsidRPr="004A72CD">
        <w:rPr>
          <w:rFonts w:asciiTheme="minorHAnsi" w:hAnsiTheme="minorHAnsi" w:cstheme="minorHAnsi"/>
          <w:sz w:val="26"/>
          <w:szCs w:val="26"/>
        </w:rPr>
        <w:t xml:space="preserve"> octombrie </w:t>
      </w:r>
      <w:r w:rsidRPr="004A72CD">
        <w:rPr>
          <w:rFonts w:asciiTheme="minorHAnsi" w:hAnsiTheme="minorHAnsi" w:cstheme="minorHAnsi"/>
          <w:sz w:val="26"/>
          <w:szCs w:val="26"/>
        </w:rPr>
        <w:t>2024.</w:t>
      </w:r>
    </w:p>
    <w:p w14:paraId="7BBA2A96" w14:textId="131700BD" w:rsidR="00C707CD" w:rsidRPr="004A72CD" w:rsidRDefault="00C707CD" w:rsidP="00D51F5A">
      <w:pPr>
        <w:spacing w:line="276" w:lineRule="auto"/>
        <w:ind w:firstLine="708"/>
        <w:jc w:val="both"/>
        <w:rPr>
          <w:rFonts w:asciiTheme="minorHAnsi" w:hAnsiTheme="minorHAnsi" w:cstheme="minorHAnsi"/>
          <w:sz w:val="26"/>
          <w:szCs w:val="26"/>
          <w14:ligatures w14:val="standardContextual"/>
        </w:rPr>
      </w:pPr>
      <w:r w:rsidRPr="004A72CD">
        <w:rPr>
          <w:rFonts w:asciiTheme="minorHAnsi" w:hAnsiTheme="minorHAnsi" w:cstheme="minorHAnsi"/>
          <w:sz w:val="26"/>
          <w:szCs w:val="26"/>
        </w:rPr>
        <w:t xml:space="preserve">La solicitarea Senatului României, în ședința din data de </w:t>
      </w:r>
      <w:r w:rsidR="009769CB" w:rsidRPr="004A72CD">
        <w:rPr>
          <w:rFonts w:asciiTheme="minorHAnsi" w:hAnsiTheme="minorHAnsi" w:cstheme="minorHAnsi"/>
          <w:sz w:val="26"/>
          <w:szCs w:val="26"/>
        </w:rPr>
        <w:t>0</w:t>
      </w:r>
      <w:r w:rsidRPr="004A72CD">
        <w:rPr>
          <w:rFonts w:asciiTheme="minorHAnsi" w:hAnsiTheme="minorHAnsi" w:cstheme="minorHAnsi"/>
          <w:sz w:val="26"/>
          <w:szCs w:val="26"/>
        </w:rPr>
        <w:t xml:space="preserve">3 octombrie 2024, Comisia nr. 1 - reunită „Legislație şi cooperare interinstituțională” a analizat </w:t>
      </w:r>
      <w:r w:rsidRPr="004A72CD">
        <w:rPr>
          <w:rFonts w:asciiTheme="minorHAnsi" w:hAnsiTheme="minorHAnsi" w:cstheme="minorHAnsi"/>
          <w:bCs/>
          <w:iCs/>
          <w:sz w:val="26"/>
          <w:szCs w:val="26"/>
        </w:rPr>
        <w:t xml:space="preserve">Propunerea legislativă pentru modificarea și completarea Legii nr. 134/2010 privind Codul de procedură civilă (b416/29.08.2024). </w:t>
      </w:r>
      <w:r w:rsidRPr="004A72CD">
        <w:rPr>
          <w:rStyle w:val="NoSpacingChar"/>
          <w:rFonts w:asciiTheme="minorHAnsi" w:hAnsiTheme="minorHAnsi" w:cstheme="minorHAnsi"/>
          <w:sz w:val="26"/>
          <w:szCs w:val="26"/>
          <w:lang w:val="ro-RO"/>
        </w:rPr>
        <w:t>Punctul de vedere al Comisiei a fost comunicat Senatului României, împreună cu argumentele care au fost avute în vedere, prin adresa nr. 14610 din data de 08</w:t>
      </w:r>
      <w:r w:rsidR="00352594" w:rsidRPr="004A72CD">
        <w:rPr>
          <w:rStyle w:val="NoSpacingChar"/>
          <w:rFonts w:asciiTheme="minorHAnsi" w:hAnsiTheme="minorHAnsi" w:cstheme="minorHAnsi"/>
          <w:sz w:val="26"/>
          <w:szCs w:val="26"/>
          <w:lang w:val="ro-RO"/>
        </w:rPr>
        <w:t xml:space="preserve"> octombrie </w:t>
      </w:r>
      <w:r w:rsidRPr="004A72CD">
        <w:rPr>
          <w:rStyle w:val="NoSpacingChar"/>
          <w:rFonts w:asciiTheme="minorHAnsi" w:hAnsiTheme="minorHAnsi" w:cstheme="minorHAnsi"/>
          <w:sz w:val="26"/>
          <w:szCs w:val="26"/>
          <w:lang w:val="ro-RO"/>
        </w:rPr>
        <w:t>2024.</w:t>
      </w:r>
      <w:r w:rsidRPr="004A72CD">
        <w:rPr>
          <w:rFonts w:asciiTheme="minorHAnsi" w:hAnsiTheme="minorHAnsi" w:cstheme="minorHAnsi"/>
          <w:sz w:val="26"/>
          <w:szCs w:val="26"/>
          <w14:ligatures w14:val="standardContextual"/>
        </w:rPr>
        <w:t xml:space="preserve"> </w:t>
      </w:r>
    </w:p>
    <w:p w14:paraId="3000A3F9" w14:textId="74840708" w:rsidR="00C707CD" w:rsidRPr="004A72CD" w:rsidRDefault="00C707CD" w:rsidP="00D51F5A">
      <w:pPr>
        <w:spacing w:line="276" w:lineRule="auto"/>
        <w:ind w:firstLine="708"/>
        <w:jc w:val="both"/>
        <w:rPr>
          <w:rFonts w:asciiTheme="minorHAnsi" w:hAnsiTheme="minorHAnsi" w:cstheme="minorHAnsi"/>
          <w:sz w:val="26"/>
          <w:szCs w:val="26"/>
          <w14:ligatures w14:val="standardContextual"/>
        </w:rPr>
      </w:pPr>
      <w:r w:rsidRPr="004A72CD">
        <w:rPr>
          <w:rFonts w:asciiTheme="minorHAnsi" w:hAnsiTheme="minorHAnsi" w:cstheme="minorHAnsi"/>
          <w:sz w:val="26"/>
          <w:szCs w:val="26"/>
        </w:rPr>
        <w:t xml:space="preserve">La solicitarea Senatului României, în ședința din data de </w:t>
      </w:r>
      <w:r w:rsidR="009769CB" w:rsidRPr="004A72CD">
        <w:rPr>
          <w:rFonts w:asciiTheme="minorHAnsi" w:hAnsiTheme="minorHAnsi" w:cstheme="minorHAnsi"/>
          <w:sz w:val="26"/>
          <w:szCs w:val="26"/>
        </w:rPr>
        <w:t>0</w:t>
      </w:r>
      <w:r w:rsidRPr="004A72CD">
        <w:rPr>
          <w:rFonts w:asciiTheme="minorHAnsi" w:hAnsiTheme="minorHAnsi" w:cstheme="minorHAnsi"/>
          <w:sz w:val="26"/>
          <w:szCs w:val="26"/>
        </w:rPr>
        <w:t xml:space="preserve">3 octombrie 2024, Comisia nr. 1 - judecători „Legislație şi cooperare interinstituțională” a analizat </w:t>
      </w:r>
      <w:r w:rsidRPr="004A72CD">
        <w:rPr>
          <w:rFonts w:asciiTheme="minorHAnsi" w:hAnsiTheme="minorHAnsi" w:cstheme="minorHAnsi"/>
          <w:bCs/>
          <w:iCs/>
          <w:sz w:val="26"/>
          <w:szCs w:val="26"/>
        </w:rPr>
        <w:t xml:space="preserve">Propunerea legislativă pentru completarea art. 453 din Legea nr. 134/2010 privind Codul de procedură civilă (b250/14.05.2024). </w:t>
      </w:r>
      <w:r w:rsidRPr="004A72CD">
        <w:rPr>
          <w:rStyle w:val="NoSpacingChar"/>
          <w:rFonts w:asciiTheme="minorHAnsi" w:hAnsiTheme="minorHAnsi" w:cstheme="minorHAnsi"/>
          <w:sz w:val="26"/>
          <w:szCs w:val="26"/>
          <w:lang w:val="ro-RO"/>
        </w:rPr>
        <w:t>Punctul de vedere al Comisiei a fost comunicat Senatului României, împreună cu argumentele care au fost avute în vedere, prin adresa nr. 9016 din data de 07</w:t>
      </w:r>
      <w:r w:rsidR="00DC0C82" w:rsidRPr="004A72CD">
        <w:rPr>
          <w:rStyle w:val="NoSpacingChar"/>
          <w:rFonts w:asciiTheme="minorHAnsi" w:hAnsiTheme="minorHAnsi" w:cstheme="minorHAnsi"/>
          <w:sz w:val="26"/>
          <w:szCs w:val="26"/>
          <w:lang w:val="ro-RO"/>
        </w:rPr>
        <w:t xml:space="preserve"> octombrie </w:t>
      </w:r>
      <w:r w:rsidRPr="004A72CD">
        <w:rPr>
          <w:rStyle w:val="NoSpacingChar"/>
          <w:rFonts w:asciiTheme="minorHAnsi" w:hAnsiTheme="minorHAnsi" w:cstheme="minorHAnsi"/>
          <w:sz w:val="26"/>
          <w:szCs w:val="26"/>
          <w:lang w:val="ro-RO"/>
        </w:rPr>
        <w:t>2024.</w:t>
      </w:r>
      <w:r w:rsidRPr="004A72CD">
        <w:rPr>
          <w:rFonts w:asciiTheme="minorHAnsi" w:hAnsiTheme="minorHAnsi" w:cstheme="minorHAnsi"/>
          <w:sz w:val="26"/>
          <w:szCs w:val="26"/>
          <w14:ligatures w14:val="standardContextual"/>
        </w:rPr>
        <w:t xml:space="preserve"> </w:t>
      </w:r>
    </w:p>
    <w:p w14:paraId="239F4C05" w14:textId="080EBCD7" w:rsidR="00C707CD" w:rsidRPr="004A72CD" w:rsidRDefault="00C707CD" w:rsidP="00D51F5A">
      <w:pPr>
        <w:tabs>
          <w:tab w:val="left" w:pos="709"/>
        </w:tabs>
        <w:spacing w:line="276" w:lineRule="auto"/>
        <w:ind w:firstLine="708"/>
        <w:jc w:val="both"/>
        <w:rPr>
          <w:rStyle w:val="NoSpacingChar"/>
          <w:rFonts w:asciiTheme="minorHAnsi" w:hAnsiTheme="minorHAnsi" w:cstheme="minorHAnsi"/>
          <w:sz w:val="26"/>
          <w:szCs w:val="26"/>
          <w:lang w:val="ro-RO"/>
        </w:rPr>
      </w:pPr>
      <w:r w:rsidRPr="004A72CD">
        <w:rPr>
          <w:rFonts w:asciiTheme="minorHAnsi" w:hAnsiTheme="minorHAnsi" w:cstheme="minorHAnsi"/>
          <w:sz w:val="26"/>
          <w:szCs w:val="26"/>
        </w:rPr>
        <w:t xml:space="preserve">În ședința din data de </w:t>
      </w:r>
      <w:r w:rsidR="009769CB" w:rsidRPr="004A72CD">
        <w:rPr>
          <w:rFonts w:asciiTheme="minorHAnsi" w:hAnsiTheme="minorHAnsi" w:cstheme="minorHAnsi"/>
          <w:sz w:val="26"/>
          <w:szCs w:val="26"/>
        </w:rPr>
        <w:t>0</w:t>
      </w:r>
      <w:r w:rsidRPr="004A72CD">
        <w:rPr>
          <w:rFonts w:asciiTheme="minorHAnsi" w:hAnsiTheme="minorHAnsi" w:cstheme="minorHAnsi"/>
          <w:sz w:val="26"/>
          <w:szCs w:val="26"/>
        </w:rPr>
        <w:t xml:space="preserve">3 octombrie 2024, Comisia nr. 1 - reunită „Legislație şi cooperare interinstituțională”, la solicitarea Senatului României, a analizat Propunerea legislativă pentru </w:t>
      </w:r>
      <w:r w:rsidRPr="004A72CD">
        <w:rPr>
          <w:rFonts w:asciiTheme="minorHAnsi" w:hAnsiTheme="minorHAnsi" w:cstheme="minorHAnsi"/>
          <w:sz w:val="26"/>
          <w:szCs w:val="26"/>
        </w:rPr>
        <w:lastRenderedPageBreak/>
        <w:t xml:space="preserve">modificarea şi completarea Legii nr. 286/2009 privind Codul penal (b402/12.08.2024). </w:t>
      </w:r>
      <w:r w:rsidRPr="004A72CD">
        <w:rPr>
          <w:rStyle w:val="NoSpacingChar"/>
          <w:rFonts w:asciiTheme="minorHAnsi" w:hAnsiTheme="minorHAnsi" w:cstheme="minorHAnsi"/>
          <w:sz w:val="26"/>
          <w:szCs w:val="26"/>
          <w:lang w:val="ro-RO"/>
        </w:rPr>
        <w:t>Punctul de vedere al Comisiei în sensul că proiectul nu poate fi adoptat în forma propusă a fost comunicat Senatului României, împreună cu argumentele care au fost avute în vedere, prin adresa nr. 14211 din data de 08</w:t>
      </w:r>
      <w:r w:rsidR="00DC0C82" w:rsidRPr="004A72CD">
        <w:rPr>
          <w:rStyle w:val="NoSpacingChar"/>
          <w:rFonts w:asciiTheme="minorHAnsi" w:hAnsiTheme="minorHAnsi" w:cstheme="minorHAnsi"/>
          <w:sz w:val="26"/>
          <w:szCs w:val="26"/>
          <w:lang w:val="ro-RO"/>
        </w:rPr>
        <w:t xml:space="preserve"> octombrie </w:t>
      </w:r>
      <w:r w:rsidRPr="004A72CD">
        <w:rPr>
          <w:rStyle w:val="NoSpacingChar"/>
          <w:rFonts w:asciiTheme="minorHAnsi" w:hAnsiTheme="minorHAnsi" w:cstheme="minorHAnsi"/>
          <w:sz w:val="26"/>
          <w:szCs w:val="26"/>
          <w:lang w:val="ro-RO"/>
        </w:rPr>
        <w:t xml:space="preserve">2024. </w:t>
      </w:r>
    </w:p>
    <w:p w14:paraId="31341703" w14:textId="50A82A7A" w:rsidR="00C707CD" w:rsidRDefault="00C707CD" w:rsidP="00D51F5A">
      <w:pPr>
        <w:tabs>
          <w:tab w:val="left" w:pos="709"/>
        </w:tabs>
        <w:spacing w:line="276" w:lineRule="auto"/>
        <w:ind w:firstLine="708"/>
        <w:jc w:val="both"/>
        <w:rPr>
          <w:rStyle w:val="NoSpacingChar"/>
          <w:rFonts w:asciiTheme="minorHAnsi" w:hAnsiTheme="minorHAnsi" w:cstheme="minorHAnsi"/>
          <w:sz w:val="26"/>
          <w:szCs w:val="26"/>
          <w:lang w:val="ro-RO"/>
        </w:rPr>
      </w:pPr>
      <w:r w:rsidRPr="004A72CD">
        <w:rPr>
          <w:rFonts w:asciiTheme="minorHAnsi" w:hAnsiTheme="minorHAnsi" w:cstheme="minorHAnsi"/>
          <w:sz w:val="26"/>
          <w:szCs w:val="26"/>
        </w:rPr>
        <w:tab/>
        <w:t xml:space="preserve">În ședința Comisiei nr. 1 reunită – „Legislație și cooperare interinstituțională” din data de 17 octombrie 2024 a fost analizată </w:t>
      </w:r>
      <w:r w:rsidRPr="004A72CD">
        <w:rPr>
          <w:rFonts w:asciiTheme="minorHAnsi" w:hAnsiTheme="minorHAnsi" w:cstheme="minorHAnsi"/>
          <w:iCs/>
          <w:sz w:val="26"/>
          <w:szCs w:val="26"/>
        </w:rPr>
        <w:t>Propunerea legislativă pentru modificarea și completarea Legii nr. 134/2010 privind Codul de procedură civilă și a Legii nr. 514/2003 privind organizarea și exercitarea profesiei de consilier juridic</w:t>
      </w:r>
      <w:r w:rsidRPr="004A72CD">
        <w:rPr>
          <w:rFonts w:asciiTheme="minorHAnsi" w:hAnsiTheme="minorHAnsi" w:cstheme="minorHAnsi"/>
          <w:sz w:val="26"/>
          <w:szCs w:val="26"/>
        </w:rPr>
        <w:t xml:space="preserve"> (b457/16.09.2024). </w:t>
      </w:r>
      <w:r w:rsidRPr="004A72CD">
        <w:rPr>
          <w:rStyle w:val="NoSpacingChar"/>
          <w:rFonts w:asciiTheme="minorHAnsi" w:hAnsiTheme="minorHAnsi" w:cstheme="minorHAnsi"/>
          <w:sz w:val="26"/>
          <w:szCs w:val="26"/>
          <w:lang w:val="ro-RO"/>
        </w:rPr>
        <w:t>Punctul de vedere al Comisiei în sensul că proiectul nu poate fi adoptat în forma propusă a fost comunicat Senatului României, împreună cu argumentele care au fost avute în vedere, prin adresa nr. 15828 din data de 21</w:t>
      </w:r>
      <w:r w:rsidR="00800E13" w:rsidRPr="004A72CD">
        <w:rPr>
          <w:rStyle w:val="NoSpacingChar"/>
          <w:rFonts w:asciiTheme="minorHAnsi" w:hAnsiTheme="minorHAnsi" w:cstheme="minorHAnsi"/>
          <w:sz w:val="26"/>
          <w:szCs w:val="26"/>
          <w:lang w:val="ro-RO"/>
        </w:rPr>
        <w:t xml:space="preserve"> octombrie </w:t>
      </w:r>
      <w:r w:rsidRPr="004A72CD">
        <w:rPr>
          <w:rStyle w:val="NoSpacingChar"/>
          <w:rFonts w:asciiTheme="minorHAnsi" w:hAnsiTheme="minorHAnsi" w:cstheme="minorHAnsi"/>
          <w:sz w:val="26"/>
          <w:szCs w:val="26"/>
          <w:lang w:val="ro-RO"/>
        </w:rPr>
        <w:t xml:space="preserve">2024. </w:t>
      </w:r>
    </w:p>
    <w:p w14:paraId="2B013DA4" w14:textId="1B52AB8A" w:rsidR="00B3669C" w:rsidRPr="00B3669C" w:rsidRDefault="00B3669C" w:rsidP="00B3669C">
      <w:pPr>
        <w:tabs>
          <w:tab w:val="left" w:pos="709"/>
        </w:tabs>
        <w:spacing w:line="276" w:lineRule="auto"/>
        <w:ind w:firstLine="708"/>
        <w:jc w:val="both"/>
        <w:rPr>
          <w:rStyle w:val="NoSpacingChar"/>
          <w:rFonts w:asciiTheme="minorHAnsi" w:hAnsiTheme="minorHAnsi" w:cstheme="minorHAnsi"/>
          <w:sz w:val="26"/>
          <w:szCs w:val="26"/>
          <w:lang w:val="ro-RO"/>
        </w:rPr>
      </w:pPr>
      <w:r w:rsidRPr="00B3669C">
        <w:rPr>
          <w:rStyle w:val="NoSpacingChar"/>
          <w:rFonts w:asciiTheme="minorHAnsi" w:hAnsiTheme="minorHAnsi" w:cstheme="minorHAnsi"/>
          <w:sz w:val="26"/>
          <w:szCs w:val="26"/>
          <w:lang w:val="ro-RO"/>
        </w:rPr>
        <w:t>La solicitarea Senatului României, în ședința din data de 17 octombrie 2024, Comisia nr. 1 - reunită „Legislație şi cooperare interinstituțională” a analizat Propunerea legislativă pentru modificarea și completarea Legii nr. 134/2010 privind Codul de procedură civilă și a Legii nr. 514/2003 privind organizarea și exercitarea profesiei de consilier juridic (b457/16.09.2024). Potrivit celor reţinute de Comisie, cheltuielile persoanei juridice de drept public sau privat generate de raportul juridic de serviciu sau de muncă al consilierului juridic nu pot fi calificate ca fiind cheltuieli de judecată, în condițiile în care acestea nu sunt generate de un eventual litigiu în care persoana juridică a fost reprezentată de consilierul juridic, ci de raportul juridic de muncă al acestuia, salariul fiind stabilit pentru întreaga activitate prestată de consilierul juridic pentru angajatorul său. Punctul de vedere al Comisiei în sensul că proiectul nu poate fi adoptat în forma propusă a fost comunicat Senatului României, împreună cu argumentele care au fost avute în vedere, prin adresa nr. 15828 din data de 21</w:t>
      </w:r>
      <w:r w:rsidR="008A38AA">
        <w:rPr>
          <w:rStyle w:val="NoSpacingChar"/>
          <w:rFonts w:asciiTheme="minorHAnsi" w:hAnsiTheme="minorHAnsi" w:cstheme="minorHAnsi"/>
          <w:sz w:val="26"/>
          <w:szCs w:val="26"/>
          <w:lang w:val="ro-RO"/>
        </w:rPr>
        <w:t xml:space="preserve"> octombrie </w:t>
      </w:r>
      <w:r w:rsidRPr="00B3669C">
        <w:rPr>
          <w:rStyle w:val="NoSpacingChar"/>
          <w:rFonts w:asciiTheme="minorHAnsi" w:hAnsiTheme="minorHAnsi" w:cstheme="minorHAnsi"/>
          <w:sz w:val="26"/>
          <w:szCs w:val="26"/>
          <w:lang w:val="ro-RO"/>
        </w:rPr>
        <w:t xml:space="preserve">2024. </w:t>
      </w:r>
    </w:p>
    <w:p w14:paraId="69A6773F" w14:textId="7C1117AE" w:rsidR="00B3669C" w:rsidRPr="0098252F" w:rsidRDefault="00B3669C" w:rsidP="00B3669C">
      <w:pPr>
        <w:tabs>
          <w:tab w:val="left" w:pos="709"/>
        </w:tabs>
        <w:spacing w:line="276" w:lineRule="auto"/>
        <w:ind w:firstLine="708"/>
        <w:jc w:val="both"/>
        <w:rPr>
          <w:rStyle w:val="NoSpacingChar"/>
          <w:rFonts w:asciiTheme="minorHAnsi" w:hAnsiTheme="minorHAnsi" w:cstheme="minorHAnsi"/>
          <w:sz w:val="26"/>
          <w:szCs w:val="26"/>
          <w:lang w:val="ro-RO"/>
        </w:rPr>
      </w:pPr>
      <w:r w:rsidRPr="0098252F">
        <w:rPr>
          <w:rStyle w:val="NoSpacingChar"/>
          <w:rFonts w:asciiTheme="minorHAnsi" w:hAnsiTheme="minorHAnsi" w:cstheme="minorHAnsi"/>
          <w:sz w:val="26"/>
          <w:szCs w:val="26"/>
          <w:lang w:val="ro-RO"/>
        </w:rPr>
        <w:t xml:space="preserve">La solicitarea Senatului României, în ședința din data de 31 octombrie 2024, Comisia nr. 1 - reunită „Legislație şi cooperare interinstituțională” a analizat Propunerea legislativă pentru completarea Legii nr. 544/2001 privind liberul acces la informații de interes public (b485/24.09.2024). Comisia de specialitate a reţinut că în prezent este reglementată obligația publicării anumitor informații de interes public pe pagina de internet proprie potrivit unui model prestabilit, fiind asigurate toate garanțiile privind accesul cetățenilor la informațiile de interes public și transparența instituțiilor publice (obiective menționate în expunerea de motive). În consecință, Comisia a apreciat că nu este oportună includerea instituțiilor din sistemul judiciar (Consiliul Superior al Magistraturii, instituții coordonate, instanțe și parchete) într-o bază de date națională care să conțină informaţiile de interes public aparţinând acestora. Răspunsul Consiliului Superior al Magistraturii a fost comunicat Senatului României </w:t>
      </w:r>
      <w:r w:rsidR="00D508AB" w:rsidRPr="0098252F">
        <w:rPr>
          <w:rStyle w:val="NoSpacingChar"/>
          <w:rFonts w:asciiTheme="minorHAnsi" w:hAnsiTheme="minorHAnsi" w:cstheme="minorHAnsi"/>
          <w:sz w:val="26"/>
          <w:szCs w:val="26"/>
          <w:lang w:val="ro-RO"/>
        </w:rPr>
        <w:t>prin</w:t>
      </w:r>
      <w:r w:rsidRPr="0098252F">
        <w:rPr>
          <w:rStyle w:val="NoSpacingChar"/>
          <w:rFonts w:asciiTheme="minorHAnsi" w:hAnsiTheme="minorHAnsi" w:cstheme="minorHAnsi"/>
          <w:sz w:val="26"/>
          <w:szCs w:val="26"/>
          <w:lang w:val="ro-RO"/>
        </w:rPr>
        <w:t xml:space="preserve"> adresa nr. 16653 din 01</w:t>
      </w:r>
      <w:r w:rsidR="008A38AA">
        <w:rPr>
          <w:rStyle w:val="NoSpacingChar"/>
          <w:rFonts w:asciiTheme="minorHAnsi" w:hAnsiTheme="minorHAnsi" w:cstheme="minorHAnsi"/>
          <w:sz w:val="26"/>
          <w:szCs w:val="26"/>
          <w:lang w:val="ro-RO"/>
        </w:rPr>
        <w:t xml:space="preserve"> noiembrie </w:t>
      </w:r>
      <w:r w:rsidRPr="0098252F">
        <w:rPr>
          <w:rStyle w:val="NoSpacingChar"/>
          <w:rFonts w:asciiTheme="minorHAnsi" w:hAnsiTheme="minorHAnsi" w:cstheme="minorHAnsi"/>
          <w:sz w:val="26"/>
          <w:szCs w:val="26"/>
          <w:lang w:val="ro-RO"/>
        </w:rPr>
        <w:t>2024.</w:t>
      </w:r>
    </w:p>
    <w:p w14:paraId="32398E58" w14:textId="77777777" w:rsidR="00B3669C" w:rsidRPr="0098252F" w:rsidRDefault="00B3669C" w:rsidP="00B3669C">
      <w:pPr>
        <w:tabs>
          <w:tab w:val="left" w:pos="709"/>
        </w:tabs>
        <w:spacing w:line="276" w:lineRule="auto"/>
        <w:ind w:firstLine="708"/>
        <w:jc w:val="both"/>
        <w:rPr>
          <w:rStyle w:val="NoSpacingChar"/>
          <w:rFonts w:asciiTheme="minorHAnsi" w:hAnsiTheme="minorHAnsi" w:cstheme="minorHAnsi"/>
          <w:sz w:val="26"/>
          <w:szCs w:val="26"/>
          <w:lang w:val="ro-RO"/>
        </w:rPr>
      </w:pPr>
      <w:r w:rsidRPr="0098252F">
        <w:rPr>
          <w:rStyle w:val="NoSpacingChar"/>
          <w:rFonts w:asciiTheme="minorHAnsi" w:hAnsiTheme="minorHAnsi" w:cstheme="minorHAnsi"/>
          <w:sz w:val="26"/>
          <w:szCs w:val="26"/>
          <w:lang w:val="ro-RO"/>
        </w:rPr>
        <w:tab/>
        <w:t xml:space="preserve">În ședința din data de 31 octombrie 2024, Comisia nr. 1 - reunită „Legislație şi cooperare interinstituțională”, la solicitarea Senatului României, a analizat Propunerea legislativă pentru modificarea şi completarea unor acte normative în vederea combaterii violenţei - România fără violenţă (b479/23.09.2024). În ceea ce privește propunerile care vizează agravarea tratamentului sancționator, Comisia a reținut că, chiar dacă stabilirea pedepselor pentru faptele ce constituie infracțiuni este un aspect care ține de politica penală a statului, totuși propunerea de introducere a pedepsei complementare a interzicerii exercitării unor drepturi pentru cea de a doua variantă agravată a infracțiunii prevăzute la art. 193 din Codul penal ar trebui reanalizată întrucât nu este </w:t>
      </w:r>
      <w:r w:rsidRPr="0098252F">
        <w:rPr>
          <w:rStyle w:val="NoSpacingChar"/>
          <w:rFonts w:asciiTheme="minorHAnsi" w:hAnsiTheme="minorHAnsi" w:cstheme="minorHAnsi"/>
          <w:sz w:val="26"/>
          <w:szCs w:val="26"/>
          <w:lang w:val="ro-RO"/>
        </w:rPr>
        <w:lastRenderedPageBreak/>
        <w:t xml:space="preserve">corelată cu alte reglementări din același act normativ, de vreme ce Codul penal în vigoare nu prevede o astfel de pedeapsă pentru infracțiuni mai grave, precum cea de vătămare corporală, prevăzută la art. 194, sau cea de loviri sau vătămări cauzatoare de moarte, prevăzută la art. 195. Referitor la propunerile de modificare a regimului punerii în mișcare a acțiunii penale în ipotezele vizate de art. 157 alin. (4), art. 193 și art. 199 din Codul penal, Comisia a apreciat că acestea nu sunt în acord cu concepția de ansamblu a legislației actuale, referitoare la instituția plângerii prealabile. Pentru motivele expuse în adresa cu nr. 16382 din data de 04.11.2024, comisia de specialitate a Consiliului Superior al Magistraturii a apreciat că dispozițiile din cuprinsul propunerii legislative, care nu sunt în acord cu regimul juridic al plângerii prealabile, ar trebui eliminate. În ceea ce privește propunerile de modificare și completare a Legii nr. 26/2024, Comisia a semnalat doar faptul că, dacă aceste propuneri vor fi promovate, din rațiuni similare ar fi necesară și modificarea și completarea în același sens a Legii nr. 217/2003 pentru prevenirea şi combaterea violenţei domestice, republicată, cu modificările și completările ulterioare.  </w:t>
      </w:r>
    </w:p>
    <w:p w14:paraId="6516935E" w14:textId="538C103D" w:rsidR="00B3669C" w:rsidRPr="0098252F" w:rsidRDefault="00B3669C" w:rsidP="00B3669C">
      <w:pPr>
        <w:tabs>
          <w:tab w:val="left" w:pos="709"/>
        </w:tabs>
        <w:spacing w:line="276" w:lineRule="auto"/>
        <w:ind w:firstLine="708"/>
        <w:jc w:val="both"/>
        <w:rPr>
          <w:rStyle w:val="NoSpacingChar"/>
          <w:rFonts w:asciiTheme="minorHAnsi" w:hAnsiTheme="minorHAnsi" w:cstheme="minorHAnsi"/>
          <w:sz w:val="26"/>
          <w:szCs w:val="26"/>
          <w:lang w:val="ro-RO"/>
        </w:rPr>
      </w:pPr>
      <w:r w:rsidRPr="0098252F">
        <w:rPr>
          <w:rStyle w:val="NoSpacingChar"/>
          <w:rFonts w:asciiTheme="minorHAnsi" w:hAnsiTheme="minorHAnsi" w:cstheme="minorHAnsi"/>
          <w:sz w:val="26"/>
          <w:szCs w:val="26"/>
          <w:lang w:val="ro-RO"/>
        </w:rPr>
        <w:t xml:space="preserve">  La solicitarea Senatului României, în ședința din data de 31 octombrie 2024, Comisia nr. 1 - reunită „Legislație şi cooperare interinstituțională” a analizat Propunerea legislativă pentru modificarea şi completarea Legii nr. 143/2000 pentru prevenirea şi combaterea traficului şi consumului ilicit de droguri (b489/24.09.2024). Punctul de vedere al Comisiei a fost comunicat Senatului României, împreună cu argumentele care au fost avute în vedere, prin adresa nr. 16654 din data de 04</w:t>
      </w:r>
      <w:r w:rsidR="00E756BA">
        <w:rPr>
          <w:rStyle w:val="NoSpacingChar"/>
          <w:rFonts w:asciiTheme="minorHAnsi" w:hAnsiTheme="minorHAnsi" w:cstheme="minorHAnsi"/>
          <w:sz w:val="26"/>
          <w:szCs w:val="26"/>
          <w:lang w:val="ro-RO"/>
        </w:rPr>
        <w:t xml:space="preserve"> noiembrie </w:t>
      </w:r>
      <w:r w:rsidRPr="0098252F">
        <w:rPr>
          <w:rStyle w:val="NoSpacingChar"/>
          <w:rFonts w:asciiTheme="minorHAnsi" w:hAnsiTheme="minorHAnsi" w:cstheme="minorHAnsi"/>
          <w:sz w:val="26"/>
          <w:szCs w:val="26"/>
          <w:lang w:val="ro-RO"/>
        </w:rPr>
        <w:t>2024.</w:t>
      </w:r>
    </w:p>
    <w:p w14:paraId="2E206F57" w14:textId="1EC6C8EE" w:rsidR="00B3669C" w:rsidRPr="0098252F" w:rsidRDefault="00B3669C" w:rsidP="00B3669C">
      <w:pPr>
        <w:tabs>
          <w:tab w:val="left" w:pos="709"/>
        </w:tabs>
        <w:spacing w:line="276" w:lineRule="auto"/>
        <w:ind w:firstLine="708"/>
        <w:jc w:val="both"/>
        <w:rPr>
          <w:rStyle w:val="NoSpacingChar"/>
          <w:rFonts w:asciiTheme="minorHAnsi" w:hAnsiTheme="minorHAnsi" w:cstheme="minorHAnsi"/>
          <w:sz w:val="26"/>
          <w:szCs w:val="26"/>
          <w:lang w:val="ro-RO"/>
        </w:rPr>
      </w:pPr>
      <w:r w:rsidRPr="0098252F">
        <w:rPr>
          <w:rStyle w:val="NoSpacingChar"/>
          <w:rFonts w:asciiTheme="minorHAnsi" w:hAnsiTheme="minorHAnsi" w:cstheme="minorHAnsi"/>
          <w:sz w:val="26"/>
          <w:szCs w:val="26"/>
          <w:lang w:val="ro-RO"/>
        </w:rPr>
        <w:tab/>
        <w:t>În ședința din data de 14 noiembrie 2024, Comisia nr. 1 - reunită „Legislație şi cooperare interinstituțională”, la solicitarea Senatului României, a analizat Propunerea legislativă pentru modificarea şi completarea Legii nr. 50/1991 privind autorizarea executării lucrărilor de construcţii, a Legii contenciosului administrativ nr. 554/2004, precum şi pentru completarea art. 64 din Legea nr. 350/2001 privind amenajarea teritoriului şi urbanismul (b531/16.10.2024). Punctul de vedere al Comisiei a fost comunicat Senatului României, împreună cu argumentele care au fost avute în vedere, prin adresa nr. 17650 din data de 19</w:t>
      </w:r>
      <w:r w:rsidR="00E756BA">
        <w:rPr>
          <w:rStyle w:val="NoSpacingChar"/>
          <w:rFonts w:asciiTheme="minorHAnsi" w:hAnsiTheme="minorHAnsi" w:cstheme="minorHAnsi"/>
          <w:sz w:val="26"/>
          <w:szCs w:val="26"/>
          <w:lang w:val="ro-RO"/>
        </w:rPr>
        <w:t xml:space="preserve"> noiembrie </w:t>
      </w:r>
      <w:r w:rsidRPr="0098252F">
        <w:rPr>
          <w:rStyle w:val="NoSpacingChar"/>
          <w:rFonts w:asciiTheme="minorHAnsi" w:hAnsiTheme="minorHAnsi" w:cstheme="minorHAnsi"/>
          <w:sz w:val="26"/>
          <w:szCs w:val="26"/>
          <w:lang w:val="ro-RO"/>
        </w:rPr>
        <w:t>2024.</w:t>
      </w:r>
    </w:p>
    <w:p w14:paraId="1AA9D40E" w14:textId="45398F16" w:rsidR="00B3669C" w:rsidRDefault="00B3669C" w:rsidP="00B3669C">
      <w:pPr>
        <w:tabs>
          <w:tab w:val="left" w:pos="709"/>
        </w:tabs>
        <w:spacing w:line="276" w:lineRule="auto"/>
        <w:ind w:firstLine="708"/>
        <w:jc w:val="both"/>
        <w:rPr>
          <w:rStyle w:val="NoSpacingChar"/>
          <w:rFonts w:asciiTheme="minorHAnsi" w:hAnsiTheme="minorHAnsi" w:cstheme="minorHAnsi"/>
          <w:sz w:val="26"/>
          <w:szCs w:val="26"/>
          <w:lang w:val="ro-RO"/>
        </w:rPr>
      </w:pPr>
      <w:r w:rsidRPr="0098252F">
        <w:rPr>
          <w:rStyle w:val="NoSpacingChar"/>
          <w:rFonts w:asciiTheme="minorHAnsi" w:hAnsiTheme="minorHAnsi" w:cstheme="minorHAnsi"/>
          <w:sz w:val="26"/>
          <w:szCs w:val="26"/>
          <w:lang w:val="ro-RO"/>
        </w:rPr>
        <w:t>La solicitarea Senatului României, în ședința din data de 14 noiembrie 2024, Comisia nr. 1 - reunită „Legislație şi cooperare interinstituțională” a analizat Propunerea legislativă pentru modificarea Legii nr. 370/2004 pentru alegerea Președintelui României (b518/08.10.2024). Punctul de vedere al Comisiei a fost comunicat Senatului României, împreună cu argumentele care au fost avute în vedere, prin adresa nr. 17264 din data de 19</w:t>
      </w:r>
      <w:r w:rsidR="00E756BA">
        <w:rPr>
          <w:rStyle w:val="NoSpacingChar"/>
          <w:rFonts w:asciiTheme="minorHAnsi" w:hAnsiTheme="minorHAnsi" w:cstheme="minorHAnsi"/>
          <w:sz w:val="26"/>
          <w:szCs w:val="26"/>
          <w:lang w:val="ro-RO"/>
        </w:rPr>
        <w:t xml:space="preserve"> noiembrie </w:t>
      </w:r>
      <w:r w:rsidRPr="0098252F">
        <w:rPr>
          <w:rStyle w:val="NoSpacingChar"/>
          <w:rFonts w:asciiTheme="minorHAnsi" w:hAnsiTheme="minorHAnsi" w:cstheme="minorHAnsi"/>
          <w:sz w:val="26"/>
          <w:szCs w:val="26"/>
          <w:lang w:val="ro-RO"/>
        </w:rPr>
        <w:t>2024.</w:t>
      </w:r>
    </w:p>
    <w:p w14:paraId="49347A41" w14:textId="383D536F" w:rsidR="00260B76" w:rsidRPr="00B526C8" w:rsidRDefault="00260B76" w:rsidP="00B26E70">
      <w:pPr>
        <w:tabs>
          <w:tab w:val="left" w:pos="709"/>
        </w:tabs>
        <w:spacing w:line="276" w:lineRule="auto"/>
        <w:ind w:firstLine="708"/>
        <w:jc w:val="both"/>
        <w:rPr>
          <w:rFonts w:asciiTheme="minorHAnsi" w:hAnsiTheme="minorHAnsi" w:cstheme="minorHAnsi"/>
          <w:sz w:val="26"/>
          <w:szCs w:val="26"/>
        </w:rPr>
      </w:pPr>
      <w:r w:rsidRPr="00B526C8">
        <w:rPr>
          <w:rFonts w:asciiTheme="minorHAnsi" w:hAnsiTheme="minorHAnsi" w:cstheme="minorHAnsi"/>
          <w:sz w:val="26"/>
          <w:szCs w:val="26"/>
        </w:rPr>
        <w:t>La solicitarea Senatului României, în ședința din data de 18 decembrie 2024, Comisia nr. 1 - reunită „Legislație şi cooperare interinstituțională” a analizat Propunerea legislativă pentru modificarea şi completarea Legii nr. 135/2010 privind Codul de procedură penală (b565/04.11.2024). Punctul de vedere al Comisiei a fost comunicat Senatului României, împreună cu argumentele care au fost avute în vedere, prin adresa nr. 18553 din data de 20</w:t>
      </w:r>
      <w:r w:rsidR="00E756BA" w:rsidRPr="00B526C8">
        <w:rPr>
          <w:rFonts w:asciiTheme="minorHAnsi" w:hAnsiTheme="minorHAnsi" w:cstheme="minorHAnsi"/>
          <w:sz w:val="26"/>
          <w:szCs w:val="26"/>
        </w:rPr>
        <w:t xml:space="preserve"> decembrie </w:t>
      </w:r>
      <w:r w:rsidRPr="00B526C8">
        <w:rPr>
          <w:rFonts w:asciiTheme="minorHAnsi" w:hAnsiTheme="minorHAnsi" w:cstheme="minorHAnsi"/>
          <w:sz w:val="26"/>
          <w:szCs w:val="26"/>
        </w:rPr>
        <w:t>2024.</w:t>
      </w:r>
    </w:p>
    <w:p w14:paraId="7D42D9F0" w14:textId="2CE57615" w:rsidR="00260B76" w:rsidRPr="00B526C8" w:rsidRDefault="00260B76" w:rsidP="00B26E70">
      <w:pPr>
        <w:tabs>
          <w:tab w:val="left" w:pos="709"/>
        </w:tabs>
        <w:spacing w:line="276" w:lineRule="auto"/>
        <w:ind w:firstLine="708"/>
        <w:jc w:val="both"/>
        <w:rPr>
          <w:rFonts w:asciiTheme="minorHAnsi" w:hAnsiTheme="minorHAnsi" w:cstheme="minorHAnsi"/>
          <w:sz w:val="26"/>
          <w:szCs w:val="26"/>
        </w:rPr>
      </w:pPr>
      <w:r w:rsidRPr="00B526C8">
        <w:rPr>
          <w:rFonts w:asciiTheme="minorHAnsi" w:hAnsiTheme="minorHAnsi" w:cstheme="minorHAnsi"/>
          <w:sz w:val="26"/>
          <w:szCs w:val="26"/>
        </w:rPr>
        <w:t>La solicitarea Senatului României, în ședința din data de 18 decembrie 2024, Comisia nr. 1 - reunită „Legislație şi cooperare interinstituțională” a analizat</w:t>
      </w:r>
      <w:r w:rsidRPr="004554D5">
        <w:rPr>
          <w:rStyle w:val="NoSpacingChar"/>
          <w:rFonts w:asciiTheme="minorHAnsi" w:hAnsiTheme="minorHAnsi" w:cstheme="minorHAnsi"/>
          <w:sz w:val="26"/>
          <w:szCs w:val="26"/>
          <w:lang w:val="ro-RO"/>
        </w:rPr>
        <w:t xml:space="preserve"> </w:t>
      </w:r>
      <w:r w:rsidRPr="00B526C8">
        <w:rPr>
          <w:rFonts w:asciiTheme="minorHAnsi" w:hAnsiTheme="minorHAnsi" w:cstheme="minorHAnsi"/>
          <w:sz w:val="26"/>
          <w:szCs w:val="26"/>
        </w:rPr>
        <w:t>Propunerea legislativă privind modificarea şi completarea Legii nr. 286/2009 privind Codul penal, cu modificările și completările ulterioare (b590/11.11.2024). Punctul de vedere al Comisiei a fost comunicat Senatului României, împreună cu argumentele care au fost avute în vedere, prin adresa nr. 19318 din data de 20</w:t>
      </w:r>
      <w:r w:rsidR="00E756BA" w:rsidRPr="00B526C8">
        <w:rPr>
          <w:rFonts w:asciiTheme="minorHAnsi" w:hAnsiTheme="minorHAnsi" w:cstheme="minorHAnsi"/>
          <w:sz w:val="26"/>
          <w:szCs w:val="26"/>
        </w:rPr>
        <w:t xml:space="preserve"> decembrie </w:t>
      </w:r>
      <w:r w:rsidRPr="00B526C8">
        <w:rPr>
          <w:rFonts w:asciiTheme="minorHAnsi" w:hAnsiTheme="minorHAnsi" w:cstheme="minorHAnsi"/>
          <w:sz w:val="26"/>
          <w:szCs w:val="26"/>
        </w:rPr>
        <w:t>2024.</w:t>
      </w:r>
    </w:p>
    <w:p w14:paraId="08AFD396" w14:textId="026BAD62" w:rsidR="00260B76" w:rsidRPr="00B526C8" w:rsidRDefault="00260B76" w:rsidP="00B26E70">
      <w:pPr>
        <w:tabs>
          <w:tab w:val="left" w:pos="709"/>
        </w:tabs>
        <w:spacing w:line="276" w:lineRule="auto"/>
        <w:ind w:firstLine="708"/>
        <w:jc w:val="both"/>
        <w:rPr>
          <w:rFonts w:asciiTheme="minorHAnsi" w:hAnsiTheme="minorHAnsi" w:cstheme="minorHAnsi"/>
          <w:sz w:val="26"/>
          <w:szCs w:val="26"/>
        </w:rPr>
      </w:pPr>
      <w:r w:rsidRPr="00B526C8">
        <w:rPr>
          <w:rFonts w:asciiTheme="minorHAnsi" w:hAnsiTheme="minorHAnsi" w:cstheme="minorHAnsi"/>
          <w:sz w:val="26"/>
          <w:szCs w:val="26"/>
        </w:rPr>
        <w:lastRenderedPageBreak/>
        <w:t>La solicitarea Senatului României, în ședința din data de 18 decembrie 2024, Comisia nr. 1 - reunită „Legislație şi cooperare interinstituțională” a analizat Propunerea legislativă pentru modificarea art. 226 alin. (1) din Legea nr. 286/2009 privind Codul penal (b618/25.11.2024). Punctul de vedere al Comisiei a fost comunicat Senatului României, împreună cu argumentele care au fost avute în vedere, prin adresa nr. 19501 din data de 20</w:t>
      </w:r>
      <w:r w:rsidR="00E756BA" w:rsidRPr="00B526C8">
        <w:rPr>
          <w:rFonts w:asciiTheme="minorHAnsi" w:hAnsiTheme="minorHAnsi" w:cstheme="minorHAnsi"/>
          <w:sz w:val="26"/>
          <w:szCs w:val="26"/>
        </w:rPr>
        <w:t xml:space="preserve"> decembrie </w:t>
      </w:r>
      <w:r w:rsidRPr="00B526C8">
        <w:rPr>
          <w:rFonts w:asciiTheme="minorHAnsi" w:hAnsiTheme="minorHAnsi" w:cstheme="minorHAnsi"/>
          <w:sz w:val="26"/>
          <w:szCs w:val="26"/>
        </w:rPr>
        <w:t>2024.</w:t>
      </w:r>
    </w:p>
    <w:p w14:paraId="5C54DDA9" w14:textId="74C10FDE" w:rsidR="00260B76" w:rsidRPr="00B526C8" w:rsidRDefault="00260B76" w:rsidP="00B26E70">
      <w:pPr>
        <w:tabs>
          <w:tab w:val="left" w:pos="709"/>
        </w:tabs>
        <w:spacing w:line="276" w:lineRule="auto"/>
        <w:ind w:firstLine="708"/>
        <w:jc w:val="both"/>
        <w:rPr>
          <w:rFonts w:asciiTheme="minorHAnsi" w:hAnsiTheme="minorHAnsi" w:cstheme="minorHAnsi"/>
          <w:sz w:val="26"/>
          <w:szCs w:val="26"/>
        </w:rPr>
      </w:pPr>
      <w:r w:rsidRPr="004554D5">
        <w:rPr>
          <w:rStyle w:val="NoSpacingChar"/>
          <w:rFonts w:asciiTheme="minorHAnsi" w:hAnsiTheme="minorHAnsi" w:cstheme="minorHAnsi"/>
          <w:sz w:val="26"/>
          <w:szCs w:val="26"/>
          <w:lang w:val="ro-RO"/>
        </w:rPr>
        <w:tab/>
      </w:r>
      <w:r w:rsidRPr="00B526C8">
        <w:rPr>
          <w:rFonts w:asciiTheme="minorHAnsi" w:hAnsiTheme="minorHAnsi" w:cstheme="minorHAnsi"/>
          <w:sz w:val="26"/>
          <w:szCs w:val="26"/>
        </w:rPr>
        <w:t>În ședința din data de 18 decembrie 2024, Comisia nr. 1 - reunită „Legislație şi cooperare interinstituțională”, la solicitarea Senatului României, a analizat Propunerea legislativă pentru completarea art. 378 din Legea nr. 286/2009 privind Codul penal, precum şi a art. 530 din Legea nr. 287/2009 privind Codul civil (b537/21.10.2024). Punctul de vedere al Comisiei a fost comunicat Senatului României, împreună cu argumentele care au fost avute în vedere, prin adresa nr. 18064 din data de 20</w:t>
      </w:r>
      <w:r w:rsidR="00E756BA" w:rsidRPr="00B526C8">
        <w:rPr>
          <w:rFonts w:asciiTheme="minorHAnsi" w:hAnsiTheme="minorHAnsi" w:cstheme="minorHAnsi"/>
          <w:sz w:val="26"/>
          <w:szCs w:val="26"/>
        </w:rPr>
        <w:t xml:space="preserve"> decembrie </w:t>
      </w:r>
      <w:r w:rsidRPr="00B526C8">
        <w:rPr>
          <w:rFonts w:asciiTheme="minorHAnsi" w:hAnsiTheme="minorHAnsi" w:cstheme="minorHAnsi"/>
          <w:sz w:val="26"/>
          <w:szCs w:val="26"/>
        </w:rPr>
        <w:t>2024.</w:t>
      </w:r>
    </w:p>
    <w:p w14:paraId="3EC870C4" w14:textId="750144D5" w:rsidR="00260B76" w:rsidRPr="004554D5" w:rsidRDefault="00260B76" w:rsidP="00B26E70">
      <w:pPr>
        <w:tabs>
          <w:tab w:val="left" w:pos="709"/>
        </w:tabs>
        <w:spacing w:line="276" w:lineRule="auto"/>
        <w:ind w:firstLine="708"/>
        <w:jc w:val="both"/>
        <w:rPr>
          <w:rStyle w:val="NoSpacingChar"/>
          <w:rFonts w:asciiTheme="minorHAnsi" w:hAnsiTheme="minorHAnsi" w:cstheme="minorHAnsi"/>
          <w:sz w:val="26"/>
          <w:szCs w:val="26"/>
          <w:lang w:val="ro-RO"/>
        </w:rPr>
      </w:pPr>
      <w:r w:rsidRPr="00B526C8">
        <w:rPr>
          <w:rFonts w:asciiTheme="minorHAnsi" w:hAnsiTheme="minorHAnsi" w:cstheme="minorHAnsi"/>
          <w:sz w:val="26"/>
          <w:szCs w:val="26"/>
        </w:rPr>
        <w:t>În ședința din data de 18 decembrie 2024, Comisia nr. 1 - reunită „Legislație şi cooperare interinstituțională”, la solicitarea Senatului României, a analizat Propunerea legislativă pentru modificarea şi completarea Legii contenciosului administrativ nr. 554/2004, cu modificările și completările ulterioare (b591/11.11.2024). Punctul de vedere al Comisiei în sensul că proiectul nu poate fi adoptat în forma propusă a fost comunicat Senatului României, împreună cu argumentele care au fost avute în vedere, prin adresa nr. 19319 din data de 20</w:t>
      </w:r>
      <w:r w:rsidR="00E756BA" w:rsidRPr="00B526C8">
        <w:rPr>
          <w:rFonts w:asciiTheme="minorHAnsi" w:hAnsiTheme="minorHAnsi" w:cstheme="minorHAnsi"/>
          <w:sz w:val="26"/>
          <w:szCs w:val="26"/>
        </w:rPr>
        <w:t xml:space="preserve"> decembrie </w:t>
      </w:r>
      <w:r w:rsidRPr="00B526C8">
        <w:rPr>
          <w:rFonts w:asciiTheme="minorHAnsi" w:hAnsiTheme="minorHAnsi" w:cstheme="minorHAnsi"/>
          <w:sz w:val="26"/>
          <w:szCs w:val="26"/>
        </w:rPr>
        <w:t>2024.</w:t>
      </w:r>
      <w:r w:rsidRPr="004554D5">
        <w:rPr>
          <w:rStyle w:val="NoSpacingChar"/>
          <w:rFonts w:asciiTheme="minorHAnsi" w:hAnsiTheme="minorHAnsi" w:cstheme="minorHAnsi"/>
          <w:sz w:val="26"/>
          <w:szCs w:val="26"/>
          <w:lang w:val="ro-RO"/>
        </w:rPr>
        <w:t xml:space="preserve"> </w:t>
      </w:r>
    </w:p>
    <w:p w14:paraId="6AA964F3" w14:textId="0F2F9612" w:rsidR="00C707CD" w:rsidRPr="004A72CD" w:rsidRDefault="00C707CD"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b/>
          <w:sz w:val="26"/>
          <w:szCs w:val="26"/>
        </w:rPr>
        <w:t xml:space="preserve">B. </w:t>
      </w:r>
      <w:r w:rsidRPr="004A72CD">
        <w:rPr>
          <w:rFonts w:asciiTheme="minorHAnsi" w:hAnsiTheme="minorHAnsi" w:cstheme="minorHAnsi"/>
          <w:sz w:val="26"/>
          <w:szCs w:val="26"/>
        </w:rPr>
        <w:t>În ceea ce privește</w:t>
      </w:r>
      <w:r w:rsidRPr="004A72CD">
        <w:rPr>
          <w:rFonts w:asciiTheme="minorHAnsi" w:hAnsiTheme="minorHAnsi" w:cstheme="minorHAnsi"/>
          <w:b/>
          <w:sz w:val="26"/>
          <w:szCs w:val="26"/>
        </w:rPr>
        <w:t xml:space="preserve"> raporturile Consiliului Superior al Magistraturii cu puterea executivă</w:t>
      </w:r>
      <w:r w:rsidRPr="004A72CD">
        <w:rPr>
          <w:rFonts w:asciiTheme="minorHAnsi" w:hAnsiTheme="minorHAnsi" w:cstheme="minorHAnsi"/>
          <w:sz w:val="26"/>
          <w:szCs w:val="26"/>
        </w:rPr>
        <w:t>, din perspectiva procesului legislativ, Consiliul şi-a exercitat atribuţiile referitoare la avizarea actelor normative care privesc activitatea autorităţii judecătoreşti, prevăzute de art. 39 alin. (3) din Legea nr. 305/2022 privind Consiliul Superior al Magistraturii, prezentate în cadrul Secţiunii 1 a Capitolului III.</w:t>
      </w:r>
    </w:p>
    <w:p w14:paraId="7F929EEE" w14:textId="77777777" w:rsidR="00C707CD" w:rsidRPr="004A72CD" w:rsidRDefault="00C707CD"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O altă componentă importantă a acestor raporturi se referă la sesizările transmise Ministerului Justiţiei prin intermediul Plenului sau comisiilor sale de specialitate, în contextul cooperării dintre aceste instituţii şi al necesităţii asigurării unei bune funcționări a autorității judecătorești.</w:t>
      </w:r>
    </w:p>
    <w:p w14:paraId="36E81CCD" w14:textId="02CC474C" w:rsidR="00C707CD" w:rsidRPr="004A72CD" w:rsidRDefault="00C707CD" w:rsidP="00D51F5A">
      <w:pPr>
        <w:widowControl w:val="0"/>
        <w:spacing w:line="276" w:lineRule="auto"/>
        <w:ind w:firstLine="708"/>
        <w:jc w:val="both"/>
        <w:rPr>
          <w:rFonts w:asciiTheme="minorHAnsi" w:hAnsiTheme="minorHAnsi" w:cstheme="minorHAnsi"/>
          <w:color w:val="000000"/>
          <w:sz w:val="26"/>
          <w:szCs w:val="26"/>
        </w:rPr>
      </w:pPr>
      <w:r w:rsidRPr="004A72CD">
        <w:rPr>
          <w:rFonts w:asciiTheme="minorHAnsi" w:hAnsiTheme="minorHAnsi" w:cstheme="minorHAnsi"/>
          <w:sz w:val="26"/>
          <w:szCs w:val="26"/>
        </w:rPr>
        <w:t>Astfel, prin Hotărârea nr. 103</w:t>
      </w:r>
      <w:r w:rsidR="00063374" w:rsidRPr="004A72CD">
        <w:rPr>
          <w:rFonts w:asciiTheme="minorHAnsi" w:hAnsiTheme="minorHAnsi" w:cstheme="minorHAnsi"/>
          <w:sz w:val="26"/>
          <w:szCs w:val="26"/>
        </w:rPr>
        <w:t>/</w:t>
      </w:r>
      <w:r w:rsidRPr="004A72CD">
        <w:rPr>
          <w:rFonts w:asciiTheme="minorHAnsi" w:hAnsiTheme="minorHAnsi" w:cstheme="minorHAnsi"/>
          <w:sz w:val="26"/>
          <w:szCs w:val="26"/>
        </w:rPr>
        <w:t>13</w:t>
      </w:r>
      <w:r w:rsidR="00B113EF" w:rsidRPr="004A72CD">
        <w:rPr>
          <w:rFonts w:asciiTheme="minorHAnsi" w:hAnsiTheme="minorHAnsi" w:cstheme="minorHAnsi"/>
          <w:sz w:val="26"/>
          <w:szCs w:val="26"/>
        </w:rPr>
        <w:t>.05.</w:t>
      </w:r>
      <w:r w:rsidRPr="004A72CD">
        <w:rPr>
          <w:rFonts w:asciiTheme="minorHAnsi" w:hAnsiTheme="minorHAnsi" w:cstheme="minorHAnsi"/>
          <w:sz w:val="26"/>
          <w:szCs w:val="26"/>
        </w:rPr>
        <w:t xml:space="preserve">2024, Plenul Consiliului Superior al Magistraturii a sesizat ministrul justiţiei în vederea </w:t>
      </w:r>
      <w:r w:rsidRPr="004A72CD">
        <w:rPr>
          <w:rFonts w:asciiTheme="minorHAnsi" w:hAnsiTheme="minorHAnsi" w:cstheme="minorHAnsi"/>
          <w:color w:val="000000"/>
          <w:sz w:val="26"/>
          <w:szCs w:val="26"/>
        </w:rPr>
        <w:t>efectuării demersurilor necesare modificării art. 283 alin. (1) și (3) și a art. 294 alin. (2) din Legea nr. 303/2022 privind statutul judecătorilor și procurorilor.</w:t>
      </w:r>
    </w:p>
    <w:p w14:paraId="01A5C68F" w14:textId="0863D50D" w:rsidR="00C707CD" w:rsidRPr="004A72CD" w:rsidRDefault="00C707CD" w:rsidP="00D51F5A">
      <w:pPr>
        <w:spacing w:line="276" w:lineRule="auto"/>
        <w:ind w:firstLine="720"/>
        <w:jc w:val="both"/>
        <w:rPr>
          <w:rFonts w:asciiTheme="minorHAnsi" w:eastAsia="Calibri" w:hAnsiTheme="minorHAnsi" w:cstheme="minorHAnsi"/>
          <w:kern w:val="2"/>
          <w:sz w:val="26"/>
          <w:szCs w:val="26"/>
          <w14:ligatures w14:val="standardContextual"/>
        </w:rPr>
      </w:pPr>
      <w:r w:rsidRPr="004A72CD">
        <w:rPr>
          <w:rFonts w:asciiTheme="minorHAnsi" w:hAnsiTheme="minorHAnsi" w:cstheme="minorHAnsi"/>
          <w:bCs/>
          <w:sz w:val="26"/>
          <w:szCs w:val="26"/>
        </w:rPr>
        <w:t xml:space="preserve">În concret, propunerea referitoare la </w:t>
      </w:r>
      <w:r w:rsidRPr="004A72CD">
        <w:rPr>
          <w:rFonts w:asciiTheme="minorHAnsi" w:hAnsiTheme="minorHAnsi" w:cstheme="minorHAnsi"/>
          <w:color w:val="000000"/>
          <w:sz w:val="26"/>
          <w:szCs w:val="26"/>
        </w:rPr>
        <w:t xml:space="preserve">art. 283 alin. (1) și (3) a privit menţinerea duratei de 2 ani a cursurilor Institutului Naţional al Magistraturii pentru auditorii de justiţie admişi până în anul 2026 inclusiv, în timp ce propunerea referitoare la </w:t>
      </w:r>
      <w:r w:rsidRPr="004A72CD">
        <w:rPr>
          <w:rFonts w:asciiTheme="minorHAnsi" w:hAnsiTheme="minorHAnsi" w:cstheme="minorHAnsi"/>
          <w:bCs/>
          <w:color w:val="000000"/>
          <w:sz w:val="26"/>
          <w:szCs w:val="26"/>
        </w:rPr>
        <w:t xml:space="preserve">art. 294 alin. (2) a vizat prorogarea datei de intrare în vigoare a dispoziţiilor din Legea nr. 303/2022, care privesc calculul vechimilor fără luarea în considerare a perioadei cât judecătorul sau procurorul a avut calitatea de auditor de justiţie, considerată </w:t>
      </w:r>
      <w:r w:rsidRPr="004A72CD">
        <w:rPr>
          <w:rFonts w:asciiTheme="minorHAnsi" w:eastAsia="Calibri" w:hAnsiTheme="minorHAnsi" w:cstheme="minorHAnsi"/>
          <w:kern w:val="2"/>
          <w:sz w:val="26"/>
          <w:szCs w:val="26"/>
          <w14:ligatures w14:val="standardContextual"/>
        </w:rPr>
        <w:t>necesară pentru a facilita demersurile de reducere a dificultăților cu care se confruntă tribunalele și parchetele de pe lângă aceste instanțe, în privința resurselor umane.</w:t>
      </w:r>
    </w:p>
    <w:p w14:paraId="4FBF0682" w14:textId="3B9F4A36" w:rsidR="00C707CD" w:rsidRPr="004A72CD" w:rsidRDefault="00C707CD" w:rsidP="00D51F5A">
      <w:pPr>
        <w:widowControl w:val="0"/>
        <w:spacing w:line="276" w:lineRule="auto"/>
        <w:ind w:firstLine="708"/>
        <w:jc w:val="both"/>
        <w:rPr>
          <w:rFonts w:asciiTheme="minorHAnsi" w:hAnsiTheme="minorHAnsi" w:cstheme="minorHAnsi"/>
          <w:bCs/>
          <w:sz w:val="26"/>
          <w:szCs w:val="26"/>
        </w:rPr>
      </w:pPr>
      <w:r w:rsidRPr="004A72CD">
        <w:rPr>
          <w:rFonts w:asciiTheme="minorHAnsi" w:hAnsiTheme="minorHAnsi" w:cstheme="minorHAnsi"/>
          <w:bCs/>
          <w:sz w:val="26"/>
          <w:szCs w:val="26"/>
        </w:rPr>
        <w:t>De asemenea, prin adresa nr. 2194 din data de 10</w:t>
      </w:r>
      <w:r w:rsidR="00B113EF" w:rsidRPr="004A72CD">
        <w:rPr>
          <w:rFonts w:asciiTheme="minorHAnsi" w:hAnsiTheme="minorHAnsi" w:cstheme="minorHAnsi"/>
          <w:bCs/>
          <w:sz w:val="26"/>
          <w:szCs w:val="26"/>
        </w:rPr>
        <w:t xml:space="preserve"> septembrie </w:t>
      </w:r>
      <w:r w:rsidRPr="004A72CD">
        <w:rPr>
          <w:rFonts w:asciiTheme="minorHAnsi" w:hAnsiTheme="minorHAnsi" w:cstheme="minorHAnsi"/>
          <w:bCs/>
          <w:sz w:val="26"/>
          <w:szCs w:val="26"/>
        </w:rPr>
        <w:t xml:space="preserve">2024 comunicată Ministerului Justiţiei, Consiliul Superior al Magistraturii a subliniat necesitatea promovării urgente a propunerii anterior menţionate, în contextul dificultăţilor cu care se confruntă sistemul judiciar din perspectiva asigurării resurselor umane, dar şi a situaţiei complexe pe care Institutul Naţional al Magistraturii a întâmpinat-o în ultimii ani şi pe care trebuie să o gestioneze şi în perioada imediat următoare (resursele financiare pe care le implică activitatea Institutului; situaţia infrastructurii de care dispune acesta; demersurile necesare pentru dezvoltarea capacităţii </w:t>
      </w:r>
      <w:r w:rsidRPr="004A72CD">
        <w:rPr>
          <w:rFonts w:asciiTheme="minorHAnsi" w:hAnsiTheme="minorHAnsi" w:cstheme="minorHAnsi"/>
          <w:bCs/>
          <w:sz w:val="26"/>
          <w:szCs w:val="26"/>
        </w:rPr>
        <w:lastRenderedPageBreak/>
        <w:t>instituţionale).</w:t>
      </w:r>
    </w:p>
    <w:p w14:paraId="6E6989A8" w14:textId="749533EA" w:rsidR="00C707CD" w:rsidRPr="004A72CD" w:rsidRDefault="00C707CD" w:rsidP="00D51F5A">
      <w:pPr>
        <w:widowControl w:val="0"/>
        <w:spacing w:line="276" w:lineRule="auto"/>
        <w:ind w:firstLine="708"/>
        <w:jc w:val="both"/>
        <w:rPr>
          <w:rFonts w:asciiTheme="minorHAnsi" w:hAnsiTheme="minorHAnsi" w:cstheme="minorHAnsi"/>
          <w:bCs/>
          <w:sz w:val="26"/>
          <w:szCs w:val="26"/>
        </w:rPr>
      </w:pPr>
      <w:r w:rsidRPr="004A72CD">
        <w:rPr>
          <w:rFonts w:asciiTheme="minorHAnsi" w:hAnsiTheme="minorHAnsi" w:cstheme="minorHAnsi"/>
          <w:bCs/>
          <w:sz w:val="26"/>
          <w:szCs w:val="26"/>
        </w:rPr>
        <w:t xml:space="preserve">De asemenea, </w:t>
      </w:r>
      <w:r w:rsidRPr="004A72CD">
        <w:rPr>
          <w:rFonts w:asciiTheme="minorHAnsi" w:hAnsiTheme="minorHAnsi" w:cstheme="minorHAnsi"/>
          <w:sz w:val="26"/>
          <w:szCs w:val="26"/>
        </w:rPr>
        <w:t>prin Hotărârea nr. 102</w:t>
      </w:r>
      <w:r w:rsidR="00B113EF" w:rsidRPr="004A72CD">
        <w:rPr>
          <w:rFonts w:asciiTheme="minorHAnsi" w:hAnsiTheme="minorHAnsi" w:cstheme="minorHAnsi"/>
          <w:sz w:val="26"/>
          <w:szCs w:val="26"/>
        </w:rPr>
        <w:t>/</w:t>
      </w:r>
      <w:r w:rsidRPr="004A72CD">
        <w:rPr>
          <w:rFonts w:asciiTheme="minorHAnsi" w:hAnsiTheme="minorHAnsi" w:cstheme="minorHAnsi"/>
          <w:sz w:val="26"/>
          <w:szCs w:val="26"/>
        </w:rPr>
        <w:t>13</w:t>
      </w:r>
      <w:r w:rsidR="00B113EF" w:rsidRPr="004A72CD">
        <w:rPr>
          <w:rFonts w:asciiTheme="minorHAnsi" w:hAnsiTheme="minorHAnsi" w:cstheme="minorHAnsi"/>
          <w:sz w:val="26"/>
          <w:szCs w:val="26"/>
        </w:rPr>
        <w:t>.05.</w:t>
      </w:r>
      <w:r w:rsidRPr="004A72CD">
        <w:rPr>
          <w:rFonts w:asciiTheme="minorHAnsi" w:hAnsiTheme="minorHAnsi" w:cstheme="minorHAnsi"/>
          <w:sz w:val="26"/>
          <w:szCs w:val="26"/>
        </w:rPr>
        <w:t xml:space="preserve">2024, Plenul Consiliului Superior al Magistraturii a sesizat ministrul justiţiei în vederea </w:t>
      </w:r>
      <w:r w:rsidRPr="004A72CD">
        <w:rPr>
          <w:rFonts w:asciiTheme="minorHAnsi" w:hAnsiTheme="minorHAnsi" w:cstheme="minorHAnsi"/>
          <w:color w:val="000000"/>
          <w:sz w:val="26"/>
          <w:szCs w:val="26"/>
        </w:rPr>
        <w:t>efectuării demersurilor necesare</w:t>
      </w:r>
      <w:r w:rsidRPr="004A72CD">
        <w:rPr>
          <w:rFonts w:asciiTheme="minorHAnsi" w:hAnsiTheme="minorHAnsi" w:cstheme="minorHAnsi"/>
          <w:bCs/>
          <w:color w:val="000000"/>
          <w:sz w:val="26"/>
          <w:szCs w:val="26"/>
        </w:rPr>
        <w:t xml:space="preserve"> completării art. 392 și art. 395 din Legea nr. 135/2010 privind Codul de procedură penală.</w:t>
      </w:r>
    </w:p>
    <w:p w14:paraId="61D2F4EE" w14:textId="77777777" w:rsidR="00C707CD" w:rsidRPr="004A72CD" w:rsidRDefault="00C707CD" w:rsidP="00D51F5A">
      <w:pPr>
        <w:widowControl w:val="0"/>
        <w:spacing w:line="276" w:lineRule="auto"/>
        <w:ind w:firstLine="708"/>
        <w:jc w:val="both"/>
        <w:rPr>
          <w:rFonts w:asciiTheme="minorHAnsi" w:hAnsiTheme="minorHAnsi" w:cstheme="minorHAnsi"/>
          <w:sz w:val="26"/>
          <w:szCs w:val="26"/>
        </w:rPr>
      </w:pPr>
      <w:r w:rsidRPr="004A72CD">
        <w:rPr>
          <w:rFonts w:asciiTheme="minorHAnsi" w:hAnsiTheme="minorHAnsi" w:cstheme="minorHAnsi"/>
          <w:bCs/>
          <w:color w:val="000000"/>
          <w:sz w:val="26"/>
          <w:szCs w:val="26"/>
        </w:rPr>
        <w:t xml:space="preserve">La baza demersului de analizare a oportunității </w:t>
      </w:r>
      <w:r w:rsidRPr="004A72CD">
        <w:rPr>
          <w:rFonts w:asciiTheme="minorHAnsi" w:hAnsiTheme="minorHAnsi" w:cstheme="minorHAnsi"/>
          <w:sz w:val="26"/>
          <w:szCs w:val="26"/>
        </w:rPr>
        <w:t xml:space="preserve">completării Codului de procedură penală în sensul reglementării posibilității judecătorului care a luat parte la judecată de a pronunța și motiva hotărârea chiar dacă nu mai este judecător al acelei instanțe </w:t>
      </w:r>
      <w:r w:rsidRPr="004A72CD">
        <w:rPr>
          <w:rFonts w:asciiTheme="minorHAnsi" w:hAnsiTheme="minorHAnsi" w:cstheme="minorHAnsi"/>
          <w:bCs/>
          <w:color w:val="000000"/>
          <w:sz w:val="26"/>
          <w:szCs w:val="26"/>
        </w:rPr>
        <w:t xml:space="preserve">a stat </w:t>
      </w:r>
      <w:r w:rsidRPr="004A72CD">
        <w:rPr>
          <w:rFonts w:asciiTheme="minorHAnsi" w:hAnsiTheme="minorHAnsi" w:cstheme="minorHAnsi"/>
          <w:sz w:val="26"/>
          <w:szCs w:val="26"/>
        </w:rPr>
        <w:t>Raportul Inspecției Judiciare nr. 23-2131/2023 întocmit în urma efectuării unui control tematic cu privire la practica instanțelor judecătorești privind posibilitatea unui judecător din cadrul secției penale care a promovat efectiv la instanța superioară de a pronunța și motiva hotărârile a căror deliberare nu se consemnează într-o minută.</w:t>
      </w:r>
    </w:p>
    <w:p w14:paraId="750B34E3" w14:textId="77777777" w:rsidR="00C707CD" w:rsidRPr="004A72CD" w:rsidRDefault="00C707CD"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Având în vedere faptul că, în lipsa unor norme exprese prevăzute de Codul de procedură penală, la nivelul instanțelor judecătorești nu a existat o practică unitară în ceea ce privește posibilitatea judecătorului care a luat parte la judecată de a pronunța hotărârea chiar dacă nu mai este judecător al acelei instanțe, Plenul a apreciat că este necesară preluarea în legea procesuală penală a soluției prevăzute de art. 395 din Codul de procedură civilă.</w:t>
      </w:r>
    </w:p>
    <w:p w14:paraId="49F8CDEB" w14:textId="4E646A14" w:rsidR="00C707CD" w:rsidRDefault="00C707CD" w:rsidP="00D51F5A">
      <w:pPr>
        <w:widowControl w:val="0"/>
        <w:spacing w:line="276" w:lineRule="auto"/>
        <w:ind w:firstLine="708"/>
        <w:jc w:val="both"/>
        <w:rPr>
          <w:rFonts w:asciiTheme="minorHAnsi" w:hAnsiTheme="minorHAnsi" w:cstheme="minorHAnsi"/>
          <w:bCs/>
          <w:color w:val="000000"/>
          <w:sz w:val="26"/>
          <w:szCs w:val="26"/>
        </w:rPr>
      </w:pPr>
      <w:r w:rsidRPr="004A72CD">
        <w:rPr>
          <w:rFonts w:asciiTheme="minorHAnsi" w:hAnsiTheme="minorHAnsi" w:cstheme="minorHAnsi"/>
          <w:bCs/>
          <w:sz w:val="26"/>
          <w:szCs w:val="26"/>
        </w:rPr>
        <w:t>P</w:t>
      </w:r>
      <w:r w:rsidRPr="004A72CD">
        <w:rPr>
          <w:rFonts w:asciiTheme="minorHAnsi" w:hAnsiTheme="minorHAnsi" w:cstheme="minorHAnsi"/>
          <w:bCs/>
          <w:color w:val="000000"/>
          <w:sz w:val="26"/>
          <w:szCs w:val="26"/>
        </w:rPr>
        <w:t>rin Hotărârea nr. 170</w:t>
      </w:r>
      <w:r w:rsidR="00B74403" w:rsidRPr="004A72CD">
        <w:rPr>
          <w:rFonts w:asciiTheme="minorHAnsi" w:hAnsiTheme="minorHAnsi" w:cstheme="minorHAnsi"/>
          <w:bCs/>
          <w:color w:val="000000"/>
          <w:sz w:val="26"/>
          <w:szCs w:val="26"/>
        </w:rPr>
        <w:t>/</w:t>
      </w:r>
      <w:r w:rsidRPr="004A72CD">
        <w:rPr>
          <w:rFonts w:asciiTheme="minorHAnsi" w:hAnsiTheme="minorHAnsi" w:cstheme="minorHAnsi"/>
          <w:bCs/>
          <w:color w:val="000000"/>
          <w:sz w:val="26"/>
          <w:szCs w:val="26"/>
        </w:rPr>
        <w:t>10</w:t>
      </w:r>
      <w:r w:rsidR="007F1238" w:rsidRPr="004A72CD">
        <w:rPr>
          <w:rFonts w:asciiTheme="minorHAnsi" w:hAnsiTheme="minorHAnsi" w:cstheme="minorHAnsi"/>
          <w:bCs/>
          <w:color w:val="000000"/>
          <w:sz w:val="26"/>
          <w:szCs w:val="26"/>
        </w:rPr>
        <w:t>.09.</w:t>
      </w:r>
      <w:r w:rsidRPr="004A72CD">
        <w:rPr>
          <w:rFonts w:asciiTheme="minorHAnsi" w:hAnsiTheme="minorHAnsi" w:cstheme="minorHAnsi"/>
          <w:bCs/>
          <w:color w:val="000000"/>
          <w:sz w:val="26"/>
          <w:szCs w:val="26"/>
        </w:rPr>
        <w:t xml:space="preserve">2024, Plenul Consiliului Superior al Magistraturii a sesizat ministrul justiției cu propunerea de </w:t>
      </w:r>
      <w:bookmarkStart w:id="61" w:name="_Hlk176954044"/>
      <w:r w:rsidRPr="004A72CD">
        <w:rPr>
          <w:rFonts w:asciiTheme="minorHAnsi" w:hAnsiTheme="minorHAnsi" w:cstheme="minorHAnsi"/>
          <w:bCs/>
          <w:color w:val="000000"/>
          <w:sz w:val="26"/>
          <w:szCs w:val="26"/>
        </w:rPr>
        <w:t>inițiere a unei hotărâri a Guvernului prin care să se aprobe plata de către Consiliul Superior al Magistraturii, începând cu anul 2025, a unei cotizații de membru al Rețelei Europene a Consiliilor Judiciare.</w:t>
      </w:r>
      <w:bookmarkEnd w:id="61"/>
    </w:p>
    <w:p w14:paraId="27957C3B" w14:textId="77777777" w:rsidR="00921011" w:rsidRPr="00921011" w:rsidRDefault="00921011" w:rsidP="00921011">
      <w:pPr>
        <w:spacing w:line="276" w:lineRule="auto"/>
        <w:ind w:firstLine="708"/>
        <w:jc w:val="both"/>
        <w:rPr>
          <w:rFonts w:ascii="Calibri" w:eastAsia="Calibri" w:hAnsi="Calibri" w:cs="Calibri"/>
          <w:noProof w:val="0"/>
          <w:sz w:val="26"/>
          <w:szCs w:val="26"/>
        </w:rPr>
      </w:pPr>
      <w:r w:rsidRPr="00921011">
        <w:rPr>
          <w:rFonts w:ascii="Calibri" w:eastAsia="Calibri" w:hAnsi="Calibri" w:cs="Calibri"/>
          <w:bCs/>
          <w:noProof w:val="0"/>
          <w:sz w:val="26"/>
          <w:szCs w:val="26"/>
        </w:rPr>
        <w:t>Prin Hotărârea nr. 232 din 5 decembrie 2024, Plenul Consiliului Superior al Magistraturii a sesizat ministrul justiției cu propunerea de modificare a O.U.G. nr. 80/2013 privind taxele judiciare de timbru, cu modificările şi completările ulterioare.</w:t>
      </w:r>
    </w:p>
    <w:p w14:paraId="54728EE9" w14:textId="77777777" w:rsidR="00C707CD" w:rsidRPr="004A72CD" w:rsidRDefault="00C707CD" w:rsidP="00D51F5A">
      <w:pPr>
        <w:pStyle w:val="NormalWeb"/>
        <w:shd w:val="clear" w:color="auto" w:fill="FFFFFF"/>
        <w:spacing w:before="0" w:beforeAutospacing="0" w:after="0" w:afterAutospacing="0"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 xml:space="preserve">La solicitarea Ministerului Justiției, </w:t>
      </w:r>
      <w:r w:rsidRPr="004A72CD">
        <w:rPr>
          <w:rFonts w:asciiTheme="minorHAnsi" w:hAnsiTheme="minorHAnsi" w:cstheme="minorHAnsi"/>
          <w:bCs/>
          <w:sz w:val="26"/>
          <w:szCs w:val="26"/>
        </w:rPr>
        <w:t>comisia de specialitate</w:t>
      </w:r>
      <w:r w:rsidRPr="004A72CD">
        <w:rPr>
          <w:rFonts w:asciiTheme="minorHAnsi" w:hAnsiTheme="minorHAnsi" w:cstheme="minorHAnsi"/>
          <w:sz w:val="26"/>
          <w:szCs w:val="26"/>
        </w:rPr>
        <w:t xml:space="preserve"> din cadrul Consiliului Superior al Magistraturii a transmis o serie de </w:t>
      </w:r>
      <w:r w:rsidRPr="004A72CD">
        <w:rPr>
          <w:rFonts w:asciiTheme="minorHAnsi" w:hAnsiTheme="minorHAnsi" w:cstheme="minorHAnsi"/>
          <w:bCs/>
          <w:sz w:val="26"/>
          <w:szCs w:val="26"/>
        </w:rPr>
        <w:t>puncte de vedere</w:t>
      </w:r>
      <w:r w:rsidRPr="004A72CD">
        <w:rPr>
          <w:rFonts w:asciiTheme="minorHAnsi" w:hAnsiTheme="minorHAnsi" w:cstheme="minorHAnsi"/>
          <w:sz w:val="26"/>
          <w:szCs w:val="26"/>
        </w:rPr>
        <w:t xml:space="preserve"> referitoare la adoptarea, modificarea sau completarea unor acte normative. Dintre acestea, menționăm: </w:t>
      </w:r>
    </w:p>
    <w:p w14:paraId="49E15A55" w14:textId="1AF57F09" w:rsidR="00C707CD" w:rsidRPr="004A72CD" w:rsidRDefault="00C707CD"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 xml:space="preserve">- punctul de vedere referitor la </w:t>
      </w:r>
      <w:bookmarkStart w:id="62" w:name="_Hlk154572085"/>
      <w:r w:rsidRPr="004A72CD">
        <w:rPr>
          <w:rFonts w:asciiTheme="minorHAnsi" w:hAnsiTheme="minorHAnsi" w:cstheme="minorHAnsi"/>
          <w:sz w:val="26"/>
          <w:szCs w:val="26"/>
        </w:rPr>
        <w:t>proiectul de Lege pentru modificarea şi completarea Legii nr. 49/2022 privind desfiinţarea Secţiei pentru investigarea infracţiunilor din justiţie, precum şi pentru modificarea Legii nr. 135/2010 privind Codul de procedură penală</w:t>
      </w:r>
      <w:bookmarkEnd w:id="62"/>
      <w:r w:rsidRPr="004A72CD">
        <w:rPr>
          <w:rFonts w:asciiTheme="minorHAnsi" w:hAnsiTheme="minorHAnsi" w:cstheme="minorHAnsi"/>
          <w:sz w:val="26"/>
          <w:szCs w:val="26"/>
        </w:rPr>
        <w:t xml:space="preserve">, analizat în ședința din data de </w:t>
      </w:r>
      <w:r w:rsidR="00B113EF" w:rsidRPr="004A72CD">
        <w:rPr>
          <w:rFonts w:asciiTheme="minorHAnsi" w:hAnsiTheme="minorHAnsi" w:cstheme="minorHAnsi"/>
          <w:sz w:val="26"/>
          <w:szCs w:val="26"/>
        </w:rPr>
        <w:t>0</w:t>
      </w:r>
      <w:r w:rsidRPr="004A72CD">
        <w:rPr>
          <w:rFonts w:asciiTheme="minorHAnsi" w:hAnsiTheme="minorHAnsi" w:cstheme="minorHAnsi"/>
          <w:sz w:val="26"/>
          <w:szCs w:val="26"/>
        </w:rPr>
        <w:t>9 ianuarie 2024 a Comisiei nr. 1 - reunită „Legislație și cooperare interinstituțională”.</w:t>
      </w:r>
    </w:p>
    <w:p w14:paraId="4941491B" w14:textId="57174CD1" w:rsidR="00403F7B" w:rsidRPr="004A72CD" w:rsidRDefault="00C707CD" w:rsidP="00D51F5A">
      <w:pPr>
        <w:spacing w:line="276" w:lineRule="auto"/>
        <w:ind w:firstLine="708"/>
        <w:jc w:val="both"/>
        <w:rPr>
          <w:rFonts w:asciiTheme="minorHAnsi" w:hAnsiTheme="minorHAnsi" w:cstheme="minorHAnsi"/>
          <w:bCs/>
          <w:i/>
          <w:iCs/>
          <w:sz w:val="26"/>
          <w:szCs w:val="26"/>
        </w:rPr>
      </w:pPr>
      <w:r w:rsidRPr="004A72CD">
        <w:rPr>
          <w:rFonts w:asciiTheme="minorHAnsi" w:hAnsiTheme="minorHAnsi" w:cstheme="minorHAnsi"/>
          <w:iCs/>
          <w:sz w:val="26"/>
          <w:szCs w:val="26"/>
        </w:rPr>
        <w:t xml:space="preserve">- </w:t>
      </w:r>
      <w:r w:rsidRPr="004A72CD">
        <w:rPr>
          <w:rFonts w:asciiTheme="minorHAnsi" w:hAnsiTheme="minorHAnsi" w:cstheme="minorHAnsi"/>
          <w:sz w:val="26"/>
          <w:szCs w:val="26"/>
        </w:rPr>
        <w:t xml:space="preserve">punctul de vedere referitor la </w:t>
      </w:r>
      <w:r w:rsidRPr="004A72CD">
        <w:rPr>
          <w:rFonts w:asciiTheme="minorHAnsi" w:hAnsiTheme="minorHAnsi" w:cstheme="minorHAnsi"/>
          <w:bCs/>
          <w:iCs/>
          <w:sz w:val="26"/>
          <w:szCs w:val="26"/>
        </w:rPr>
        <w:t>proiectul de Lege pentru modificarea şi completarea Ordonanţei de urgenţă a Guvernului nr. 80/2013 privind taxele judiciare de timbru, precum şi a Ordonanţei de urgenţă a Guvernului nr. 51/2008 privind ajutorul public judiciar în materie civilă</w:t>
      </w:r>
      <w:r w:rsidRPr="004A72CD">
        <w:rPr>
          <w:rFonts w:asciiTheme="minorHAnsi" w:hAnsiTheme="minorHAnsi" w:cstheme="minorHAnsi"/>
          <w:bCs/>
          <w:sz w:val="26"/>
          <w:szCs w:val="26"/>
        </w:rPr>
        <w:t xml:space="preserve">, </w:t>
      </w:r>
      <w:r w:rsidRPr="004A72CD">
        <w:rPr>
          <w:rFonts w:asciiTheme="minorHAnsi" w:hAnsiTheme="minorHAnsi" w:cstheme="minorHAnsi"/>
          <w:bCs/>
          <w:sz w:val="26"/>
          <w:szCs w:val="26"/>
          <w:lang w:eastAsia="ro-RO"/>
        </w:rPr>
        <w:t>analizat</w:t>
      </w:r>
      <w:r w:rsidRPr="004A72CD">
        <w:rPr>
          <w:rFonts w:asciiTheme="minorHAnsi" w:hAnsiTheme="minorHAnsi" w:cstheme="minorHAnsi"/>
          <w:sz w:val="26"/>
          <w:szCs w:val="26"/>
        </w:rPr>
        <w:t xml:space="preserve"> în ședința din data de 22 februarie</w:t>
      </w:r>
      <w:r w:rsidR="00B113EF" w:rsidRPr="004A72CD">
        <w:rPr>
          <w:rFonts w:asciiTheme="minorHAnsi" w:hAnsiTheme="minorHAnsi" w:cstheme="minorHAnsi"/>
          <w:sz w:val="26"/>
          <w:szCs w:val="26"/>
        </w:rPr>
        <w:t xml:space="preserve"> </w:t>
      </w:r>
      <w:r w:rsidRPr="004A72CD">
        <w:rPr>
          <w:rFonts w:asciiTheme="minorHAnsi" w:hAnsiTheme="minorHAnsi" w:cstheme="minorHAnsi"/>
          <w:sz w:val="26"/>
          <w:szCs w:val="26"/>
        </w:rPr>
        <w:t>2024 a Comisiei nr. 1 - reunită „Legislație şi cooperare interinstituțională”.</w:t>
      </w:r>
      <w:r w:rsidRPr="004A72CD">
        <w:rPr>
          <w:rFonts w:asciiTheme="minorHAnsi" w:hAnsiTheme="minorHAnsi" w:cstheme="minorHAnsi"/>
          <w:bCs/>
          <w:i/>
          <w:iCs/>
          <w:sz w:val="26"/>
          <w:szCs w:val="26"/>
        </w:rPr>
        <w:t xml:space="preserve"> </w:t>
      </w:r>
      <w:r w:rsidRPr="004A72CD">
        <w:rPr>
          <w:rFonts w:asciiTheme="minorHAnsi" w:hAnsiTheme="minorHAnsi" w:cstheme="minorHAnsi"/>
          <w:sz w:val="26"/>
          <w:szCs w:val="26"/>
        </w:rPr>
        <w:t>Observațiile formulate la nivelul Consiliului Superior al Magistraturii au fost transmise Ministerului Justiţie</w:t>
      </w:r>
      <w:r w:rsidR="007911F2" w:rsidRPr="004A72CD">
        <w:rPr>
          <w:rFonts w:asciiTheme="minorHAnsi" w:hAnsiTheme="minorHAnsi" w:cstheme="minorHAnsi"/>
          <w:sz w:val="26"/>
          <w:szCs w:val="26"/>
        </w:rPr>
        <w:t>i</w:t>
      </w:r>
      <w:r w:rsidRPr="004A72CD">
        <w:rPr>
          <w:rFonts w:asciiTheme="minorHAnsi" w:hAnsiTheme="minorHAnsi" w:cstheme="minorHAnsi"/>
          <w:sz w:val="26"/>
          <w:szCs w:val="26"/>
        </w:rPr>
        <w:t xml:space="preserve"> în tabelul atașat adresei nr. 1209 din data de 29 februarie 2024.</w:t>
      </w:r>
      <w:r w:rsidRPr="004A72CD">
        <w:rPr>
          <w:rFonts w:asciiTheme="minorHAnsi" w:hAnsiTheme="minorHAnsi" w:cstheme="minorHAnsi"/>
          <w:bCs/>
          <w:i/>
          <w:iCs/>
          <w:sz w:val="26"/>
          <w:szCs w:val="26"/>
        </w:rPr>
        <w:t xml:space="preserve"> </w:t>
      </w:r>
      <w:r w:rsidRPr="004A72CD">
        <w:rPr>
          <w:rFonts w:asciiTheme="minorHAnsi" w:eastAsia="Calibri" w:hAnsiTheme="minorHAnsi" w:cstheme="minorHAnsi"/>
          <w:sz w:val="26"/>
          <w:szCs w:val="26"/>
        </w:rPr>
        <w:t>În analiza proiectului de lege au fost avute în vedere propunerile și observațiile formulate de instanțe cu ocazia consultării acestora.</w:t>
      </w:r>
    </w:p>
    <w:p w14:paraId="37967B3C" w14:textId="7242B0FC" w:rsidR="00403F7B" w:rsidRPr="004A72CD" w:rsidRDefault="00403F7B" w:rsidP="00D51F5A">
      <w:pPr>
        <w:spacing w:line="276" w:lineRule="auto"/>
        <w:ind w:firstLine="708"/>
        <w:jc w:val="both"/>
        <w:rPr>
          <w:rFonts w:asciiTheme="minorHAnsi" w:hAnsiTheme="minorHAnsi" w:cstheme="minorHAnsi"/>
          <w:bCs/>
          <w:i/>
          <w:iCs/>
          <w:sz w:val="26"/>
          <w:szCs w:val="26"/>
        </w:rPr>
      </w:pPr>
      <w:r w:rsidRPr="004A72CD">
        <w:rPr>
          <w:rFonts w:asciiTheme="minorHAnsi" w:hAnsiTheme="minorHAnsi" w:cstheme="minorHAnsi"/>
          <w:bCs/>
          <w:sz w:val="26"/>
          <w:szCs w:val="26"/>
        </w:rPr>
        <w:t xml:space="preserve">- </w:t>
      </w:r>
      <w:r w:rsidR="00C707CD" w:rsidRPr="004A72CD">
        <w:rPr>
          <w:rFonts w:asciiTheme="minorHAnsi" w:hAnsiTheme="minorHAnsi" w:cstheme="minorHAnsi"/>
          <w:sz w:val="26"/>
          <w:szCs w:val="26"/>
        </w:rPr>
        <w:t xml:space="preserve">punctul de vedere referitor la </w:t>
      </w:r>
      <w:r w:rsidR="00ED4C72" w:rsidRPr="004A72CD">
        <w:rPr>
          <w:rFonts w:asciiTheme="minorHAnsi" w:hAnsiTheme="minorHAnsi" w:cstheme="minorHAnsi"/>
          <w:bCs/>
          <w:iCs/>
          <w:sz w:val="26"/>
          <w:szCs w:val="26"/>
        </w:rPr>
        <w:t>P</w:t>
      </w:r>
      <w:r w:rsidR="00C707CD" w:rsidRPr="004A72CD">
        <w:rPr>
          <w:rFonts w:asciiTheme="minorHAnsi" w:hAnsiTheme="minorHAnsi" w:cstheme="minorHAnsi"/>
          <w:bCs/>
          <w:iCs/>
          <w:sz w:val="26"/>
          <w:szCs w:val="26"/>
        </w:rPr>
        <w:t xml:space="preserve">roiectul de Hotărâre a Guvernului privind stabilirea măsurilor speciale de protecţie a magistraţilor, condiţiile şi modul de realizare a acestora, precum şi pentru modificarea Hotărârii Guvernului nr. 719/2005 privind paza sediilor instanţelor judecătoreşti, parchetelor şi Consiliului Superior al Magistraturii, a bunurilor şi valorilor aparţinând acestora, supravegherea accesului şi menţinerea ordinii interioare necesare </w:t>
      </w:r>
      <w:r w:rsidR="00C707CD" w:rsidRPr="004A72CD">
        <w:rPr>
          <w:rFonts w:asciiTheme="minorHAnsi" w:hAnsiTheme="minorHAnsi" w:cstheme="minorHAnsi"/>
          <w:bCs/>
          <w:iCs/>
          <w:sz w:val="26"/>
          <w:szCs w:val="26"/>
        </w:rPr>
        <w:lastRenderedPageBreak/>
        <w:t xml:space="preserve">desfăşurării normale a activităţii în aceste sedii, precum şi protecţia magistraţilor, analizat în şedinţa din data de 22 februarie 2024 a Comisiei nr. 1 – reunită „Legislaţie şi cooperare interinstituţională” şi </w:t>
      </w:r>
      <w:r w:rsidR="00C707CD" w:rsidRPr="004A72CD">
        <w:rPr>
          <w:rFonts w:asciiTheme="minorHAnsi" w:hAnsiTheme="minorHAnsi" w:cstheme="minorHAnsi"/>
          <w:sz w:val="26"/>
          <w:szCs w:val="26"/>
        </w:rPr>
        <w:t>comunicat Ministerului Justiţiei cu adresa nr. 1813 din data de 21</w:t>
      </w:r>
      <w:r w:rsidR="007B4E56" w:rsidRPr="004A72CD">
        <w:rPr>
          <w:rFonts w:asciiTheme="minorHAnsi" w:hAnsiTheme="minorHAnsi" w:cstheme="minorHAnsi"/>
          <w:sz w:val="26"/>
          <w:szCs w:val="26"/>
        </w:rPr>
        <w:t xml:space="preserve"> februarie </w:t>
      </w:r>
      <w:r w:rsidR="00C707CD" w:rsidRPr="004A72CD">
        <w:rPr>
          <w:rFonts w:asciiTheme="minorHAnsi" w:hAnsiTheme="minorHAnsi" w:cstheme="minorHAnsi"/>
          <w:sz w:val="26"/>
          <w:szCs w:val="26"/>
        </w:rPr>
        <w:t>2024.</w:t>
      </w:r>
    </w:p>
    <w:p w14:paraId="7E333F14" w14:textId="211011FA" w:rsidR="00403F7B" w:rsidRPr="004A72CD" w:rsidRDefault="00403F7B" w:rsidP="00D51F5A">
      <w:pPr>
        <w:spacing w:line="276" w:lineRule="auto"/>
        <w:ind w:firstLine="708"/>
        <w:jc w:val="both"/>
        <w:rPr>
          <w:rFonts w:asciiTheme="minorHAnsi" w:hAnsiTheme="minorHAnsi" w:cstheme="minorHAnsi"/>
          <w:bCs/>
          <w:i/>
          <w:iCs/>
          <w:sz w:val="26"/>
          <w:szCs w:val="26"/>
        </w:rPr>
      </w:pPr>
      <w:r w:rsidRPr="004A72CD">
        <w:rPr>
          <w:rFonts w:asciiTheme="minorHAnsi" w:hAnsiTheme="minorHAnsi" w:cstheme="minorHAnsi"/>
          <w:bCs/>
          <w:sz w:val="26"/>
          <w:szCs w:val="26"/>
        </w:rPr>
        <w:t xml:space="preserve">- </w:t>
      </w:r>
      <w:r w:rsidR="00C707CD" w:rsidRPr="004A72CD">
        <w:rPr>
          <w:rFonts w:asciiTheme="minorHAnsi" w:hAnsiTheme="minorHAnsi" w:cstheme="minorHAnsi"/>
          <w:sz w:val="26"/>
          <w:szCs w:val="26"/>
        </w:rPr>
        <w:t xml:space="preserve">punctul de vedere referitor la </w:t>
      </w:r>
      <w:r w:rsidR="00B20EE1" w:rsidRPr="004A72CD">
        <w:rPr>
          <w:rFonts w:asciiTheme="minorHAnsi" w:hAnsiTheme="minorHAnsi" w:cstheme="minorHAnsi"/>
          <w:bCs/>
          <w:iCs/>
          <w:sz w:val="26"/>
          <w:szCs w:val="26"/>
        </w:rPr>
        <w:t>p</w:t>
      </w:r>
      <w:r w:rsidR="00C707CD" w:rsidRPr="004A72CD">
        <w:rPr>
          <w:rFonts w:asciiTheme="minorHAnsi" w:hAnsiTheme="minorHAnsi" w:cstheme="minorHAnsi"/>
          <w:bCs/>
          <w:iCs/>
          <w:sz w:val="26"/>
          <w:szCs w:val="26"/>
        </w:rPr>
        <w:t xml:space="preserve">roiectul </w:t>
      </w:r>
      <w:r w:rsidR="00C707CD" w:rsidRPr="004A72CD">
        <w:rPr>
          <w:rFonts w:asciiTheme="minorHAnsi" w:hAnsiTheme="minorHAnsi" w:cstheme="minorHAnsi"/>
          <w:sz w:val="26"/>
          <w:szCs w:val="26"/>
        </w:rPr>
        <w:t xml:space="preserve">de </w:t>
      </w:r>
      <w:r w:rsidR="00C707CD" w:rsidRPr="004A72CD">
        <w:rPr>
          <w:rFonts w:asciiTheme="minorHAnsi" w:hAnsiTheme="minorHAnsi" w:cstheme="minorHAnsi"/>
          <w:iCs/>
          <w:sz w:val="26"/>
          <w:szCs w:val="26"/>
        </w:rPr>
        <w:t xml:space="preserve">Ordonanţă de </w:t>
      </w:r>
      <w:r w:rsidR="007B4E56" w:rsidRPr="004A72CD">
        <w:rPr>
          <w:rFonts w:asciiTheme="minorHAnsi" w:hAnsiTheme="minorHAnsi" w:cstheme="minorHAnsi"/>
          <w:iCs/>
          <w:sz w:val="26"/>
          <w:szCs w:val="26"/>
        </w:rPr>
        <w:t>U</w:t>
      </w:r>
      <w:r w:rsidR="00C707CD" w:rsidRPr="004A72CD">
        <w:rPr>
          <w:rFonts w:asciiTheme="minorHAnsi" w:hAnsiTheme="minorHAnsi" w:cstheme="minorHAnsi"/>
          <w:iCs/>
          <w:sz w:val="26"/>
          <w:szCs w:val="26"/>
        </w:rPr>
        <w:t xml:space="preserve">rgenţă a Guvernului pentru aprobarea unor măsuri temporare referitoare la salarizarea grefierilor şi a altor categorii de personal din cadrul instanţelor judecătoreşti şi al parchetelor de pe lângă acestea, a personalului de instruire propriu şi a personalului de instruire colaborator din cadrul Şcolii Naţionale de Grefieri, </w:t>
      </w:r>
      <w:r w:rsidR="00C707CD" w:rsidRPr="004A72CD">
        <w:rPr>
          <w:rFonts w:asciiTheme="minorHAnsi" w:hAnsiTheme="minorHAnsi" w:cstheme="minorHAnsi"/>
          <w:sz w:val="26"/>
          <w:szCs w:val="26"/>
        </w:rPr>
        <w:t xml:space="preserve">analizat în ședința din data de 19 iunie 2024 a Comisiei nr. 1 reunită – </w:t>
      </w:r>
      <w:r w:rsidR="00C707CD" w:rsidRPr="004A72CD">
        <w:rPr>
          <w:rFonts w:asciiTheme="minorHAnsi" w:hAnsiTheme="minorHAnsi" w:cstheme="minorHAnsi"/>
          <w:iCs/>
          <w:sz w:val="26"/>
          <w:szCs w:val="26"/>
        </w:rPr>
        <w:t>Legislație și cooperare interinstituțională</w:t>
      </w:r>
      <w:r w:rsidR="00C707CD" w:rsidRPr="004A72CD">
        <w:rPr>
          <w:rFonts w:asciiTheme="minorHAnsi" w:hAnsiTheme="minorHAnsi" w:cstheme="minorHAnsi"/>
          <w:sz w:val="26"/>
          <w:szCs w:val="26"/>
        </w:rPr>
        <w:t xml:space="preserve"> din cadrul Consiliului Superior al Magistraturii şi comunicat Ministerului Justiţiei </w:t>
      </w:r>
      <w:r w:rsidR="009B4DE8" w:rsidRPr="004A72CD">
        <w:rPr>
          <w:rFonts w:asciiTheme="minorHAnsi" w:hAnsiTheme="minorHAnsi" w:cstheme="minorHAnsi"/>
          <w:sz w:val="26"/>
          <w:szCs w:val="26"/>
        </w:rPr>
        <w:t>prin</w:t>
      </w:r>
      <w:r w:rsidR="00C707CD" w:rsidRPr="004A72CD">
        <w:rPr>
          <w:rFonts w:asciiTheme="minorHAnsi" w:hAnsiTheme="minorHAnsi" w:cstheme="minorHAnsi"/>
          <w:sz w:val="26"/>
          <w:szCs w:val="26"/>
        </w:rPr>
        <w:t xml:space="preserve"> adresa nr. 10631 din data de 19</w:t>
      </w:r>
      <w:r w:rsidR="00B20EE1" w:rsidRPr="004A72CD">
        <w:rPr>
          <w:rFonts w:asciiTheme="minorHAnsi" w:hAnsiTheme="minorHAnsi" w:cstheme="minorHAnsi"/>
          <w:sz w:val="26"/>
          <w:szCs w:val="26"/>
        </w:rPr>
        <w:t xml:space="preserve"> iunie </w:t>
      </w:r>
      <w:r w:rsidR="00C707CD" w:rsidRPr="004A72CD">
        <w:rPr>
          <w:rFonts w:asciiTheme="minorHAnsi" w:hAnsiTheme="minorHAnsi" w:cstheme="minorHAnsi"/>
          <w:sz w:val="26"/>
          <w:szCs w:val="26"/>
        </w:rPr>
        <w:t>2024.</w:t>
      </w:r>
    </w:p>
    <w:p w14:paraId="3CF56332" w14:textId="203F0A43" w:rsidR="00C707CD" w:rsidRPr="004A72CD" w:rsidRDefault="00403F7B" w:rsidP="00D51F5A">
      <w:pPr>
        <w:spacing w:line="276" w:lineRule="auto"/>
        <w:ind w:firstLine="708"/>
        <w:jc w:val="both"/>
        <w:rPr>
          <w:rFonts w:asciiTheme="minorHAnsi" w:hAnsiTheme="minorHAnsi" w:cstheme="minorHAnsi"/>
          <w:bCs/>
          <w:i/>
          <w:iCs/>
          <w:sz w:val="26"/>
          <w:szCs w:val="26"/>
        </w:rPr>
      </w:pPr>
      <w:r w:rsidRPr="004A72CD">
        <w:rPr>
          <w:rFonts w:asciiTheme="minorHAnsi" w:hAnsiTheme="minorHAnsi" w:cstheme="minorHAnsi"/>
          <w:bCs/>
          <w:sz w:val="26"/>
          <w:szCs w:val="26"/>
        </w:rPr>
        <w:t xml:space="preserve">- </w:t>
      </w:r>
      <w:r w:rsidR="00C707CD" w:rsidRPr="004A72CD">
        <w:rPr>
          <w:rFonts w:asciiTheme="minorHAnsi" w:hAnsiTheme="minorHAnsi" w:cstheme="minorHAnsi"/>
          <w:sz w:val="26"/>
          <w:szCs w:val="26"/>
        </w:rPr>
        <w:t xml:space="preserve">punctul de vedere referitor la </w:t>
      </w:r>
      <w:r w:rsidR="00C707CD" w:rsidRPr="004A72CD">
        <w:rPr>
          <w:rFonts w:asciiTheme="minorHAnsi" w:hAnsiTheme="minorHAnsi" w:cstheme="minorHAnsi"/>
          <w:bCs/>
          <w:iCs/>
          <w:sz w:val="26"/>
          <w:szCs w:val="26"/>
        </w:rPr>
        <w:t xml:space="preserve">proiectul </w:t>
      </w:r>
      <w:r w:rsidR="00C707CD" w:rsidRPr="004A72CD">
        <w:rPr>
          <w:rFonts w:asciiTheme="minorHAnsi" w:hAnsiTheme="minorHAnsi" w:cstheme="minorHAnsi"/>
          <w:sz w:val="26"/>
          <w:szCs w:val="26"/>
        </w:rPr>
        <w:t xml:space="preserve">de </w:t>
      </w:r>
      <w:r w:rsidR="00C707CD" w:rsidRPr="004A72CD">
        <w:rPr>
          <w:rFonts w:asciiTheme="minorHAnsi" w:hAnsiTheme="minorHAnsi" w:cstheme="minorHAnsi"/>
          <w:iCs/>
          <w:sz w:val="26"/>
          <w:szCs w:val="26"/>
        </w:rPr>
        <w:t xml:space="preserve">Ordonanță de </w:t>
      </w:r>
      <w:r w:rsidR="00B20EE1" w:rsidRPr="004A72CD">
        <w:rPr>
          <w:rFonts w:asciiTheme="minorHAnsi" w:hAnsiTheme="minorHAnsi" w:cstheme="minorHAnsi"/>
          <w:iCs/>
          <w:sz w:val="26"/>
          <w:szCs w:val="26"/>
        </w:rPr>
        <w:t>U</w:t>
      </w:r>
      <w:r w:rsidR="00C707CD" w:rsidRPr="004A72CD">
        <w:rPr>
          <w:rFonts w:asciiTheme="minorHAnsi" w:hAnsiTheme="minorHAnsi" w:cstheme="minorHAnsi"/>
          <w:iCs/>
          <w:sz w:val="26"/>
          <w:szCs w:val="26"/>
        </w:rPr>
        <w:t>rgență a Guvernului privind unele măsuri pentru soluționarea proceselor privind salarizarea personalului plătit din fonduri publice, precum și a proceselor privind prestații de asigurări sociale</w:t>
      </w:r>
      <w:r w:rsidR="00C707CD" w:rsidRPr="004A72CD">
        <w:rPr>
          <w:rFonts w:asciiTheme="minorHAnsi" w:hAnsiTheme="minorHAnsi" w:cstheme="minorHAnsi"/>
          <w:sz w:val="26"/>
          <w:szCs w:val="26"/>
        </w:rPr>
        <w:t xml:space="preserve">, </w:t>
      </w:r>
      <w:r w:rsidR="00C707CD" w:rsidRPr="004A72CD">
        <w:rPr>
          <w:rFonts w:asciiTheme="minorHAnsi" w:hAnsiTheme="minorHAnsi" w:cstheme="minorHAnsi"/>
          <w:bCs/>
          <w:sz w:val="26"/>
          <w:szCs w:val="26"/>
          <w:lang w:eastAsia="ro-RO"/>
        </w:rPr>
        <w:t>analizat</w:t>
      </w:r>
      <w:r w:rsidR="00C707CD" w:rsidRPr="004A72CD">
        <w:rPr>
          <w:rFonts w:asciiTheme="minorHAnsi" w:hAnsiTheme="minorHAnsi" w:cstheme="minorHAnsi"/>
          <w:sz w:val="26"/>
          <w:szCs w:val="26"/>
        </w:rPr>
        <w:t xml:space="preserve"> în ședința din data de 13 iunie 2023 a Comisiei nr. 1 - reunită „Legislație şi cooperare interinstituțională” şi comunicat Ministerului Justiţiei </w:t>
      </w:r>
      <w:r w:rsidR="009B4DE8" w:rsidRPr="004A72CD">
        <w:rPr>
          <w:rFonts w:asciiTheme="minorHAnsi" w:hAnsiTheme="minorHAnsi" w:cstheme="minorHAnsi"/>
          <w:sz w:val="26"/>
          <w:szCs w:val="26"/>
        </w:rPr>
        <w:t>prin</w:t>
      </w:r>
      <w:r w:rsidR="00C707CD" w:rsidRPr="004A72CD">
        <w:rPr>
          <w:rFonts w:asciiTheme="minorHAnsi" w:hAnsiTheme="minorHAnsi" w:cstheme="minorHAnsi"/>
          <w:sz w:val="26"/>
          <w:szCs w:val="26"/>
        </w:rPr>
        <w:t xml:space="preserve"> adresa nr. 9899 din data de 19</w:t>
      </w:r>
      <w:r w:rsidR="00EB50FF" w:rsidRPr="004A72CD">
        <w:rPr>
          <w:rFonts w:asciiTheme="minorHAnsi" w:hAnsiTheme="minorHAnsi" w:cstheme="minorHAnsi"/>
          <w:sz w:val="26"/>
          <w:szCs w:val="26"/>
        </w:rPr>
        <w:t xml:space="preserve"> iunie </w:t>
      </w:r>
      <w:r w:rsidR="00C707CD" w:rsidRPr="004A72CD">
        <w:rPr>
          <w:rFonts w:asciiTheme="minorHAnsi" w:hAnsiTheme="minorHAnsi" w:cstheme="minorHAnsi"/>
          <w:sz w:val="26"/>
          <w:szCs w:val="26"/>
        </w:rPr>
        <w:t>2024.</w:t>
      </w:r>
    </w:p>
    <w:p w14:paraId="2CEB43FD" w14:textId="3E606D65" w:rsidR="00C707CD" w:rsidRPr="004A72CD" w:rsidRDefault="00C707CD" w:rsidP="00D51F5A">
      <w:pPr>
        <w:spacing w:before="47" w:line="276" w:lineRule="auto"/>
        <w:ind w:firstLine="708"/>
        <w:jc w:val="both"/>
        <w:rPr>
          <w:rFonts w:asciiTheme="minorHAnsi" w:hAnsiTheme="minorHAnsi" w:cstheme="minorHAnsi"/>
          <w:bCs/>
          <w:iCs/>
          <w:sz w:val="26"/>
          <w:szCs w:val="26"/>
        </w:rPr>
      </w:pPr>
      <w:r w:rsidRPr="004A72CD">
        <w:rPr>
          <w:rFonts w:asciiTheme="minorHAnsi" w:hAnsiTheme="minorHAnsi" w:cstheme="minorHAnsi"/>
          <w:bCs/>
          <w:iCs/>
          <w:sz w:val="26"/>
          <w:szCs w:val="26"/>
        </w:rPr>
        <w:t xml:space="preserve">- </w:t>
      </w:r>
      <w:r w:rsidRPr="004A72CD">
        <w:rPr>
          <w:rFonts w:asciiTheme="minorHAnsi" w:hAnsiTheme="minorHAnsi" w:cstheme="minorHAnsi"/>
          <w:sz w:val="26"/>
          <w:szCs w:val="26"/>
        </w:rPr>
        <w:t>punctul de vedere referitor la</w:t>
      </w:r>
      <w:r w:rsidRPr="004A72CD">
        <w:rPr>
          <w:rFonts w:asciiTheme="minorHAnsi" w:hAnsiTheme="minorHAnsi" w:cstheme="minorHAnsi"/>
          <w:bCs/>
          <w:iCs/>
          <w:sz w:val="26"/>
          <w:szCs w:val="26"/>
        </w:rPr>
        <w:t xml:space="preserve"> </w:t>
      </w:r>
      <w:r w:rsidRPr="004A72CD">
        <w:rPr>
          <w:rFonts w:asciiTheme="minorHAnsi" w:hAnsiTheme="minorHAnsi" w:cstheme="minorHAnsi"/>
          <w:sz w:val="26"/>
          <w:szCs w:val="26"/>
        </w:rPr>
        <w:t xml:space="preserve">propunerea de modificare a Regulamentului privind organizarea şi desfăşurarea concursului pentru ocuparea posturilor vacante de grefieri informaticieni din cadrul instanţelor judecătoreşti şi al parchetelor de pe lângă acestea, aprobat prin Hotărârea Plenului Consiliului Superior al Magistraturii nr. 184 din 29 martie 2007, cu modificările şi completările ulterioare, analizată în şedinţa din data de 23 iulie 2024 a Comisiei nr. 2 Reunită – „Resurse umane şi organizare” şi comunicat Ministerului Justiţiei </w:t>
      </w:r>
      <w:r w:rsidR="009B4DE8"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10748 din data de 30</w:t>
      </w:r>
      <w:r w:rsidR="00EB50FF" w:rsidRPr="004A72CD">
        <w:rPr>
          <w:rFonts w:asciiTheme="minorHAnsi" w:hAnsiTheme="minorHAnsi" w:cstheme="minorHAnsi"/>
          <w:sz w:val="26"/>
          <w:szCs w:val="26"/>
        </w:rPr>
        <w:t xml:space="preserve"> iulie </w:t>
      </w:r>
      <w:r w:rsidRPr="004A72CD">
        <w:rPr>
          <w:rFonts w:asciiTheme="minorHAnsi" w:hAnsiTheme="minorHAnsi" w:cstheme="minorHAnsi"/>
          <w:sz w:val="26"/>
          <w:szCs w:val="26"/>
        </w:rPr>
        <w:t>2024.</w:t>
      </w:r>
    </w:p>
    <w:p w14:paraId="589C1E0B" w14:textId="34A2A93B" w:rsidR="00C707CD" w:rsidRPr="004A72CD" w:rsidRDefault="00C707CD" w:rsidP="00D51F5A">
      <w:pPr>
        <w:spacing w:before="47" w:line="276" w:lineRule="auto"/>
        <w:ind w:firstLine="708"/>
        <w:jc w:val="both"/>
        <w:rPr>
          <w:rFonts w:asciiTheme="minorHAnsi" w:hAnsiTheme="minorHAnsi" w:cstheme="minorHAnsi"/>
          <w:bCs/>
          <w:iCs/>
          <w:sz w:val="26"/>
          <w:szCs w:val="26"/>
        </w:rPr>
      </w:pPr>
      <w:r w:rsidRPr="004A72CD">
        <w:rPr>
          <w:rFonts w:asciiTheme="minorHAnsi" w:hAnsiTheme="minorHAnsi" w:cstheme="minorHAnsi"/>
          <w:bCs/>
          <w:iCs/>
          <w:sz w:val="26"/>
          <w:szCs w:val="26"/>
        </w:rPr>
        <w:t xml:space="preserve">- punctul de vedere referitor la </w:t>
      </w:r>
      <w:r w:rsidRPr="004A72CD">
        <w:rPr>
          <w:rFonts w:asciiTheme="minorHAnsi" w:hAnsiTheme="minorHAnsi" w:cstheme="minorHAnsi"/>
          <w:sz w:val="26"/>
          <w:szCs w:val="26"/>
        </w:rPr>
        <w:t xml:space="preserve">proiectul de Ordin al ministrului justiţiei, al preşedintelui Consiliului Superior al Magistraturii, al preşedintelui Înaltei Curţi de Casaţie şi Justiţie, al procurorului general al Parchetului de pe lângă Înalta Curte de Casaţie şi Justiţie, al procurorului - şef al Direcţiei Naţionale Anticorupţie şi al procurorului - şef al Direcţiei de Investigare a Infracţiunilor de Criminalitate Organizată şi Terorism pentru modificarea şi completarea Ordinului ministrului justiţiei, al preşedintelui Consiliului Superior al Magistraturii, al preşedintelui Înaltei Curţi de Casaţie şi Justiţie, al procurorului general al Parchetului de pe lângă Înalta Curte de Casaţie şi Justiţie şi al procurorului - şef al Direcţiei Naţionale Anticorupţie 545/C-1/4.794/1.154-259-300/C-379/C/2012 privind procedura de acordare a compensaţiei lunare pentru chirie, precum şi pentru stabilirea plafonului maxim în limita căruia se poate deconta chiria pentru unele categorii de personal din sistemul justiţiei, analizat în şedinţa din 23 iulie 2024 a Comisiei nr. 1 – reunită „Legislaţie şi cooperare interinstituţională” şi comunicat Ministerului Justiţiei </w:t>
      </w:r>
      <w:r w:rsidR="009B4DE8"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11800 din data de 26</w:t>
      </w:r>
      <w:r w:rsidR="000C7BEC" w:rsidRPr="004A72CD">
        <w:rPr>
          <w:rFonts w:asciiTheme="minorHAnsi" w:hAnsiTheme="minorHAnsi" w:cstheme="minorHAnsi"/>
          <w:sz w:val="26"/>
          <w:szCs w:val="26"/>
        </w:rPr>
        <w:t xml:space="preserve"> iulie </w:t>
      </w:r>
      <w:r w:rsidRPr="004A72CD">
        <w:rPr>
          <w:rFonts w:asciiTheme="minorHAnsi" w:hAnsiTheme="minorHAnsi" w:cstheme="minorHAnsi"/>
          <w:sz w:val="26"/>
          <w:szCs w:val="26"/>
        </w:rPr>
        <w:t>2024.</w:t>
      </w:r>
    </w:p>
    <w:p w14:paraId="783983BA" w14:textId="1C2D30D8" w:rsidR="00C707CD" w:rsidRDefault="00C707CD"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 xml:space="preserve">- </w:t>
      </w:r>
      <w:r w:rsidRPr="004A72CD">
        <w:rPr>
          <w:rFonts w:asciiTheme="minorHAnsi" w:hAnsiTheme="minorHAnsi" w:cstheme="minorHAnsi"/>
          <w:bCs/>
          <w:iCs/>
          <w:sz w:val="26"/>
          <w:szCs w:val="26"/>
        </w:rPr>
        <w:t xml:space="preserve">punctul de vedere referitor la </w:t>
      </w:r>
      <w:r w:rsidRPr="004A72CD">
        <w:rPr>
          <w:rFonts w:asciiTheme="minorHAnsi" w:hAnsiTheme="minorHAnsi" w:cstheme="minorHAnsi"/>
          <w:sz w:val="26"/>
          <w:szCs w:val="26"/>
        </w:rPr>
        <w:t xml:space="preserve">soluțiile legislative propuse prin </w:t>
      </w:r>
      <w:r w:rsidRPr="004A72CD">
        <w:rPr>
          <w:rFonts w:asciiTheme="minorHAnsi" w:hAnsiTheme="minorHAnsi" w:cstheme="minorHAnsi"/>
          <w:iCs/>
          <w:sz w:val="26"/>
          <w:szCs w:val="26"/>
        </w:rPr>
        <w:t xml:space="preserve">Proiectul de Hotărâre a Guvernului pentru aprobarea Normelor metodologice de aplicare a prevederilor referitoare la stabilirea pensiilor de serviciu din Legea nr. 11/2024 privind statutul grefierilor şi al altor categorii de personal care ocupă funcţii de specialitate în cadrul instanţelor judecătoreşti, al parchetelor de pe lângă acestea şi al Institutului Naţional de Expertize Criminalistice, </w:t>
      </w:r>
      <w:r w:rsidRPr="004A72CD">
        <w:rPr>
          <w:rFonts w:asciiTheme="minorHAnsi" w:hAnsiTheme="minorHAnsi" w:cstheme="minorHAnsi"/>
          <w:sz w:val="26"/>
          <w:szCs w:val="26"/>
        </w:rPr>
        <w:t xml:space="preserve">analizat în ședința din data de 22 august 2024 a Comisiei nr. 1 reunită – </w:t>
      </w:r>
      <w:r w:rsidRPr="004A72CD">
        <w:rPr>
          <w:rFonts w:asciiTheme="minorHAnsi" w:hAnsiTheme="minorHAnsi" w:cstheme="minorHAnsi"/>
          <w:iCs/>
          <w:sz w:val="26"/>
          <w:szCs w:val="26"/>
        </w:rPr>
        <w:t>Legislație și cooperare interinstituțională</w:t>
      </w:r>
      <w:r w:rsidRPr="004A72CD">
        <w:rPr>
          <w:rFonts w:asciiTheme="minorHAnsi" w:hAnsiTheme="minorHAnsi" w:cstheme="minorHAnsi"/>
          <w:sz w:val="26"/>
          <w:szCs w:val="26"/>
        </w:rPr>
        <w:t xml:space="preserve"> din </w:t>
      </w:r>
      <w:r w:rsidRPr="004A72CD">
        <w:rPr>
          <w:rFonts w:asciiTheme="minorHAnsi" w:hAnsiTheme="minorHAnsi" w:cstheme="minorHAnsi"/>
          <w:sz w:val="26"/>
          <w:szCs w:val="26"/>
        </w:rPr>
        <w:lastRenderedPageBreak/>
        <w:t xml:space="preserve">cadrul Consiliului Superior al Magistraturii şi comunicat Ministerului Justiţiei </w:t>
      </w:r>
      <w:r w:rsidR="009B4DE8"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13174 din data de 26</w:t>
      </w:r>
      <w:r w:rsidR="002C1E1E" w:rsidRPr="004A72CD">
        <w:rPr>
          <w:rFonts w:asciiTheme="minorHAnsi" w:hAnsiTheme="minorHAnsi" w:cstheme="minorHAnsi"/>
          <w:sz w:val="26"/>
          <w:szCs w:val="26"/>
        </w:rPr>
        <w:t xml:space="preserve"> august </w:t>
      </w:r>
      <w:r w:rsidRPr="004A72CD">
        <w:rPr>
          <w:rFonts w:asciiTheme="minorHAnsi" w:hAnsiTheme="minorHAnsi" w:cstheme="minorHAnsi"/>
          <w:sz w:val="26"/>
          <w:szCs w:val="26"/>
        </w:rPr>
        <w:t>2024.</w:t>
      </w:r>
    </w:p>
    <w:p w14:paraId="5CB6EA83" w14:textId="2B4DB1DC" w:rsidR="00B21FFF" w:rsidRPr="00B21FFF" w:rsidRDefault="00B21FFF" w:rsidP="00B21FFF">
      <w:pPr>
        <w:spacing w:line="276" w:lineRule="auto"/>
        <w:ind w:firstLine="708"/>
        <w:jc w:val="both"/>
        <w:rPr>
          <w:rFonts w:ascii="Calibri" w:eastAsia="Calibri" w:hAnsi="Calibri" w:cs="Calibri"/>
          <w:iCs/>
          <w:noProof w:val="0"/>
          <w:sz w:val="26"/>
          <w:szCs w:val="26"/>
        </w:rPr>
      </w:pPr>
      <w:r w:rsidRPr="00B21FFF">
        <w:rPr>
          <w:rFonts w:ascii="Calibri" w:eastAsia="Calibri" w:hAnsi="Calibri" w:cs="Calibri"/>
          <w:iCs/>
          <w:noProof w:val="0"/>
          <w:sz w:val="26"/>
          <w:szCs w:val="26"/>
        </w:rPr>
        <w:t xml:space="preserve">- punctul de vedere cu privire la soluțiile legislative propuse prin </w:t>
      </w:r>
      <w:r w:rsidRPr="00B21FFF">
        <w:rPr>
          <w:rFonts w:ascii="Calibri" w:eastAsia="Calibri" w:hAnsi="Calibri" w:cs="Calibri"/>
          <w:noProof w:val="0"/>
          <w:sz w:val="26"/>
          <w:szCs w:val="26"/>
        </w:rPr>
        <w:t xml:space="preserve">proiectul de Hotărâre a Guvernului pentru modificarea şi completarea Anexei la Hotărârea Guvernului nr. 706/2015 pentru aprobarea Normelor metodologice de aplicare a prevederilor referitoare la stabilirea pensiilor de serviciu din Legea nr. 567/2004 privind statutul personalului auxiliar de specialitate al instanţelor judecătoreşti şi al parchetelor de pe lângă acestea şi al personalului care funcţionează în cadrul Institutului Naţional de Expertize Criminalistice, </w:t>
      </w:r>
      <w:r w:rsidRPr="00B21FFF">
        <w:rPr>
          <w:rFonts w:ascii="Calibri" w:eastAsia="Calibri" w:hAnsi="Calibri" w:cs="Calibri"/>
          <w:iCs/>
          <w:noProof w:val="0"/>
          <w:sz w:val="26"/>
          <w:szCs w:val="26"/>
        </w:rPr>
        <w:t>analizate în ședința din data de 18 decembrie 2024 a Comisiei nr. 1 – reunită -  „Legislație şi cooperare interinstituțională” şi comunicat Ministerului Justiţiei cu adresa nr. 19295 din data de 20</w:t>
      </w:r>
      <w:r w:rsidRPr="005626DC">
        <w:rPr>
          <w:rFonts w:ascii="Calibri" w:eastAsia="Calibri" w:hAnsi="Calibri" w:cs="Calibri"/>
          <w:iCs/>
          <w:noProof w:val="0"/>
          <w:sz w:val="26"/>
          <w:szCs w:val="26"/>
        </w:rPr>
        <w:t xml:space="preserve"> decembrie </w:t>
      </w:r>
      <w:r w:rsidRPr="00B21FFF">
        <w:rPr>
          <w:rFonts w:ascii="Calibri" w:eastAsia="Calibri" w:hAnsi="Calibri" w:cs="Calibri"/>
          <w:iCs/>
          <w:noProof w:val="0"/>
          <w:sz w:val="26"/>
          <w:szCs w:val="26"/>
        </w:rPr>
        <w:t>2024.</w:t>
      </w:r>
    </w:p>
    <w:p w14:paraId="517F80D0" w14:textId="1712E927" w:rsidR="00C707CD" w:rsidRPr="004A72CD" w:rsidRDefault="00C707CD" w:rsidP="00D51F5A">
      <w:pPr>
        <w:spacing w:line="276" w:lineRule="auto"/>
        <w:ind w:firstLine="720"/>
        <w:jc w:val="both"/>
        <w:rPr>
          <w:rFonts w:asciiTheme="minorHAnsi" w:eastAsia="Calibri" w:hAnsiTheme="minorHAnsi" w:cstheme="minorHAnsi"/>
          <w:kern w:val="2"/>
          <w:sz w:val="26"/>
          <w:szCs w:val="26"/>
          <w14:ligatures w14:val="standardContextual"/>
        </w:rPr>
      </w:pPr>
      <w:r w:rsidRPr="004A72CD">
        <w:rPr>
          <w:rFonts w:asciiTheme="minorHAnsi" w:hAnsiTheme="minorHAnsi" w:cstheme="minorHAnsi"/>
          <w:sz w:val="26"/>
          <w:szCs w:val="26"/>
        </w:rPr>
        <w:t>În contextul colaborării cu Ministerul Justiţiei din perspectiva procesului legislativ şi a îndatoririi Consiliului de a se implica activ în aspectele care privesc autoritatea judecătorească, menţionăm şi demersul Consiliului în semnalarea deficienţelor Legii nr. 11/2024</w:t>
      </w:r>
      <w:bookmarkStart w:id="63" w:name="_Hlk164070583"/>
      <w:r w:rsidRPr="004A72CD">
        <w:rPr>
          <w:rFonts w:asciiTheme="minorHAnsi" w:hAnsiTheme="minorHAnsi" w:cstheme="minorHAnsi"/>
          <w:sz w:val="26"/>
          <w:szCs w:val="26"/>
        </w:rPr>
        <w:t xml:space="preserve"> </w:t>
      </w:r>
      <w:r w:rsidRPr="004A72CD">
        <w:rPr>
          <w:rFonts w:asciiTheme="minorHAnsi" w:hAnsiTheme="minorHAnsi" w:cstheme="minorHAnsi"/>
          <w:bCs/>
          <w:sz w:val="26"/>
          <w:szCs w:val="26"/>
        </w:rPr>
        <w:t>privind statutul grefierilor şi al altor categorii de personal care ocupă funcţii de specialitate în cadrul instanţelor judecătoreşti, al parchetelor de pe lângă acestea şi al Institutului Naţional de Expertize Criminalistice</w:t>
      </w:r>
      <w:bookmarkEnd w:id="63"/>
      <w:r w:rsidRPr="004A72CD">
        <w:rPr>
          <w:rFonts w:asciiTheme="minorHAnsi" w:hAnsiTheme="minorHAnsi" w:cstheme="minorHAnsi"/>
          <w:bCs/>
          <w:sz w:val="26"/>
          <w:szCs w:val="26"/>
        </w:rPr>
        <w:t xml:space="preserve">. Argumentele pentru care s-a apreciat că se impune </w:t>
      </w:r>
      <w:r w:rsidRPr="004A72CD">
        <w:rPr>
          <w:rFonts w:asciiTheme="minorHAnsi" w:eastAsia="Calibri" w:hAnsiTheme="minorHAnsi" w:cstheme="minorHAnsi"/>
          <w:bCs/>
          <w:kern w:val="2"/>
          <w:sz w:val="26"/>
          <w:szCs w:val="26"/>
          <w14:ligatures w14:val="standardContextual"/>
        </w:rPr>
        <w:t>amânarea intrării în vigoare a acestei legi, astfel încât să fie asigurat timpul necesar pentru modificarea și completarea cadrului normativ primar și, ulterior, pentru elaborarea legislației secundare, cât și pentru luarea tuturor măsurilor care se impun în domeniul resurselor umane și materiale în vederea aplicării corespunzătoare a acestor reglementări</w:t>
      </w:r>
      <w:r w:rsidRPr="004A72CD">
        <w:rPr>
          <w:rFonts w:asciiTheme="minorHAnsi" w:hAnsiTheme="minorHAnsi" w:cstheme="minorHAnsi"/>
          <w:bCs/>
          <w:sz w:val="26"/>
          <w:szCs w:val="26"/>
        </w:rPr>
        <w:t xml:space="preserve">, au fost comunicate Ministerului Justiţiei şi Guvernului României </w:t>
      </w:r>
      <w:r w:rsidR="005E346D" w:rsidRPr="004A72CD">
        <w:rPr>
          <w:rFonts w:asciiTheme="minorHAnsi" w:hAnsiTheme="minorHAnsi" w:cstheme="minorHAnsi"/>
          <w:bCs/>
          <w:sz w:val="26"/>
          <w:szCs w:val="26"/>
        </w:rPr>
        <w:t>prin</w:t>
      </w:r>
      <w:r w:rsidRPr="004A72CD">
        <w:rPr>
          <w:rFonts w:asciiTheme="minorHAnsi" w:hAnsiTheme="minorHAnsi" w:cstheme="minorHAnsi"/>
          <w:sz w:val="26"/>
          <w:szCs w:val="26"/>
        </w:rPr>
        <w:t xml:space="preserve"> adresele nr. 3873 din data de 07</w:t>
      </w:r>
      <w:r w:rsidR="00F9542D" w:rsidRPr="004A72CD">
        <w:rPr>
          <w:rFonts w:asciiTheme="minorHAnsi" w:hAnsiTheme="minorHAnsi" w:cstheme="minorHAnsi"/>
          <w:sz w:val="26"/>
          <w:szCs w:val="26"/>
        </w:rPr>
        <w:t xml:space="preserve"> martie </w:t>
      </w:r>
      <w:r w:rsidRPr="004A72CD">
        <w:rPr>
          <w:rFonts w:asciiTheme="minorHAnsi" w:hAnsiTheme="minorHAnsi" w:cstheme="minorHAnsi"/>
          <w:sz w:val="26"/>
          <w:szCs w:val="26"/>
        </w:rPr>
        <w:t>2024 şi nr. 3873 din data de 07</w:t>
      </w:r>
      <w:r w:rsidR="00F9542D" w:rsidRPr="004A72CD">
        <w:rPr>
          <w:rFonts w:asciiTheme="minorHAnsi" w:hAnsiTheme="minorHAnsi" w:cstheme="minorHAnsi"/>
          <w:sz w:val="26"/>
          <w:szCs w:val="26"/>
        </w:rPr>
        <w:t xml:space="preserve"> iunie </w:t>
      </w:r>
      <w:r w:rsidRPr="004A72CD">
        <w:rPr>
          <w:rFonts w:asciiTheme="minorHAnsi" w:hAnsiTheme="minorHAnsi" w:cstheme="minorHAnsi"/>
          <w:sz w:val="26"/>
          <w:szCs w:val="26"/>
        </w:rPr>
        <w:t xml:space="preserve">2024. </w:t>
      </w:r>
      <w:r w:rsidRPr="004A72CD">
        <w:rPr>
          <w:rFonts w:asciiTheme="minorHAnsi" w:eastAsia="Calibri" w:hAnsiTheme="minorHAnsi" w:cstheme="minorHAnsi"/>
          <w:kern w:val="2"/>
          <w:sz w:val="26"/>
          <w:szCs w:val="26"/>
          <w14:ligatures w14:val="standardContextual"/>
        </w:rPr>
        <w:t xml:space="preserve">Consecvent rolului său constituțional de garant al independenței justiției și conștient de importanța cooperării interinstituționale în vederea asigurării tuturor condițiilor pentru funcționarea corespunzătoare a autorității judecătorești, Consiliul Superior al Magistraturii şi-a exprimat totodată disponibilitatea de a sprijini demersurile pentru identificarea soluțiilor optime de modificare și completare a Legii nr. 11/2024 și pentru implementarea celorlalte măsuri necesare aplicării noului cadru normativ. </w:t>
      </w:r>
    </w:p>
    <w:p w14:paraId="237D8A59" w14:textId="77777777" w:rsidR="00C707CD" w:rsidRPr="004A72CD" w:rsidRDefault="00C707CD" w:rsidP="00D51F5A">
      <w:pPr>
        <w:spacing w:line="276" w:lineRule="auto"/>
        <w:ind w:firstLine="720"/>
        <w:jc w:val="both"/>
        <w:rPr>
          <w:rFonts w:asciiTheme="minorHAnsi" w:eastAsia="Calibri" w:hAnsiTheme="minorHAnsi" w:cstheme="minorHAnsi"/>
          <w:kern w:val="2"/>
          <w:sz w:val="26"/>
          <w:szCs w:val="26"/>
          <w14:ligatures w14:val="standardContextual"/>
        </w:rPr>
      </w:pPr>
      <w:r w:rsidRPr="004A72CD">
        <w:rPr>
          <w:rFonts w:asciiTheme="minorHAnsi" w:hAnsiTheme="minorHAnsi" w:cstheme="minorHAnsi"/>
          <w:sz w:val="26"/>
          <w:szCs w:val="26"/>
        </w:rPr>
        <w:t xml:space="preserve">Ulterior, în ședința din data de 19 septembrie 2024, Curtea Constituțională, în cadrul controlului de constituționalitate </w:t>
      </w:r>
      <w:r w:rsidRPr="004A72CD">
        <w:rPr>
          <w:rFonts w:asciiTheme="minorHAnsi" w:hAnsiTheme="minorHAnsi" w:cstheme="minorHAnsi"/>
          <w:i/>
          <w:iCs/>
          <w:sz w:val="26"/>
          <w:szCs w:val="26"/>
        </w:rPr>
        <w:t>a posteriori</w:t>
      </w:r>
      <w:r w:rsidRPr="004A72CD">
        <w:rPr>
          <w:rFonts w:asciiTheme="minorHAnsi" w:hAnsiTheme="minorHAnsi" w:cstheme="minorHAnsi"/>
          <w:sz w:val="26"/>
          <w:szCs w:val="26"/>
        </w:rPr>
        <w:t>, cu unanimitate de voturi, a admis excepția de neconstituționalitate și a constatat că Legea nr. 11/2024 este neconstituțională, în ansamblul său.</w:t>
      </w:r>
    </w:p>
    <w:p w14:paraId="2231498E" w14:textId="0E14C50C" w:rsidR="00C707CD" w:rsidRPr="004A72CD" w:rsidRDefault="00C707CD" w:rsidP="00D51F5A">
      <w:pPr>
        <w:spacing w:line="276" w:lineRule="auto"/>
        <w:ind w:firstLine="708"/>
        <w:jc w:val="both"/>
        <w:rPr>
          <w:rFonts w:asciiTheme="minorHAnsi" w:hAnsiTheme="minorHAnsi" w:cstheme="minorHAnsi"/>
          <w:bCs/>
          <w:iCs/>
          <w:sz w:val="26"/>
          <w:szCs w:val="26"/>
        </w:rPr>
      </w:pPr>
      <w:r w:rsidRPr="004A72CD">
        <w:rPr>
          <w:rFonts w:asciiTheme="minorHAnsi" w:hAnsiTheme="minorHAnsi" w:cstheme="minorHAnsi"/>
          <w:sz w:val="26"/>
          <w:szCs w:val="26"/>
        </w:rPr>
        <w:t xml:space="preserve">Tot din perspectiva cooperării dintre aceste instituţii în procesul legislativ se impune a fi menţionat şi sprijinul acordat de </w:t>
      </w:r>
      <w:r w:rsidRPr="004A72CD">
        <w:rPr>
          <w:rFonts w:asciiTheme="minorHAnsi" w:hAnsiTheme="minorHAnsi" w:cstheme="minorHAnsi"/>
          <w:bCs/>
          <w:sz w:val="26"/>
          <w:szCs w:val="26"/>
        </w:rPr>
        <w:t>Consiliul Superior al Magistraturii</w:t>
      </w:r>
      <w:r w:rsidR="00125222" w:rsidRPr="004A72CD">
        <w:rPr>
          <w:rFonts w:asciiTheme="minorHAnsi" w:hAnsiTheme="minorHAnsi" w:cstheme="minorHAnsi"/>
          <w:bCs/>
          <w:sz w:val="26"/>
          <w:szCs w:val="26"/>
        </w:rPr>
        <w:t>,</w:t>
      </w:r>
      <w:r w:rsidRPr="004A72CD">
        <w:rPr>
          <w:rFonts w:asciiTheme="minorHAnsi" w:hAnsiTheme="minorHAnsi" w:cstheme="minorHAnsi"/>
          <w:bCs/>
          <w:sz w:val="26"/>
          <w:szCs w:val="26"/>
        </w:rPr>
        <w:t xml:space="preserve"> Ministerului Justiţiei în demersul acestuia din urmă de modificare și completare a actelor normative privind expertiza judiciară și extrajudiciară. În ședința din data de 11 aprilie 2024, Comisia nr. 1 - reunită „Legislație şi cooperare interinstituțională” a decis transmiterea către Ministerul Justiției a observațiilor și propunerilor formulate de instanțele și parchetele consultate cu privire la această temă, pentru a fi avute în vedere în cadrul grupului de lucru constituit la nivelul ministerului. Propunerile </w:t>
      </w:r>
      <w:r w:rsidRPr="004A72CD">
        <w:rPr>
          <w:rFonts w:asciiTheme="minorHAnsi" w:hAnsiTheme="minorHAnsi" w:cstheme="minorHAnsi"/>
          <w:bCs/>
          <w:iCs/>
          <w:sz w:val="26"/>
          <w:szCs w:val="26"/>
        </w:rPr>
        <w:t>instanțelor judecătorești și a parchetelor de pe lângă acestea rezultate în urma procesului de consultare au fost transmise Ministerului Justiţiei cu adresa nr. 1734 din data de 17</w:t>
      </w:r>
      <w:r w:rsidR="00CA5002" w:rsidRPr="004A72CD">
        <w:rPr>
          <w:rFonts w:asciiTheme="minorHAnsi" w:hAnsiTheme="minorHAnsi" w:cstheme="minorHAnsi"/>
          <w:bCs/>
          <w:iCs/>
          <w:sz w:val="26"/>
          <w:szCs w:val="26"/>
        </w:rPr>
        <w:t xml:space="preserve"> aprilie </w:t>
      </w:r>
      <w:r w:rsidRPr="004A72CD">
        <w:rPr>
          <w:rFonts w:asciiTheme="minorHAnsi" w:hAnsiTheme="minorHAnsi" w:cstheme="minorHAnsi"/>
          <w:bCs/>
          <w:iCs/>
          <w:sz w:val="26"/>
          <w:szCs w:val="26"/>
        </w:rPr>
        <w:t>2024.</w:t>
      </w:r>
    </w:p>
    <w:p w14:paraId="57DFA287" w14:textId="77777777" w:rsidR="00C707CD" w:rsidRPr="004A72CD" w:rsidRDefault="00C707CD" w:rsidP="00D51F5A">
      <w:pPr>
        <w:pStyle w:val="NormalWeb"/>
        <w:shd w:val="clear" w:color="auto" w:fill="FFFFFF"/>
        <w:spacing w:before="0" w:beforeAutospacing="0" w:after="0" w:afterAutospacing="0"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De asemenea, ca urmare a adreselor Ministerului Justiției vizând mai multe interpelări formulate de deputaţi/senatori, Consiliul Superior al Magistraturii a furnizat o serie de informaţii care se</w:t>
      </w:r>
      <w:r w:rsidRPr="004A72CD">
        <w:rPr>
          <w:rFonts w:asciiTheme="minorHAnsi" w:hAnsiTheme="minorHAnsi" w:cstheme="minorHAnsi"/>
          <w:b/>
          <w:sz w:val="26"/>
          <w:szCs w:val="26"/>
        </w:rPr>
        <w:t xml:space="preserve"> </w:t>
      </w:r>
      <w:r w:rsidRPr="004A72CD">
        <w:rPr>
          <w:rFonts w:asciiTheme="minorHAnsi" w:hAnsiTheme="minorHAnsi" w:cstheme="minorHAnsi"/>
          <w:sz w:val="26"/>
          <w:szCs w:val="26"/>
        </w:rPr>
        <w:t>circumscriu competenţei, rolului şi modului de funcţionare consacrate de dispoziţiile legale cu privire la această instituţie.</w:t>
      </w:r>
    </w:p>
    <w:p w14:paraId="396AFBFF" w14:textId="72B3A9CB" w:rsidR="00C707CD" w:rsidRPr="004A72CD" w:rsidRDefault="00C707CD" w:rsidP="00D51F5A">
      <w:pPr>
        <w:pStyle w:val="NormalWeb"/>
        <w:shd w:val="clear" w:color="auto" w:fill="FFFFFF"/>
        <w:spacing w:before="0" w:beforeAutospacing="0" w:after="0" w:afterAutospacing="0"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lastRenderedPageBreak/>
        <w:t xml:space="preserve">Dată fiind îndatorirea Consiliului de a se implica activ în aspectele care privesc autoritatea judecătorească în directă conlucrare cu celelalte puteri ale statului, reţinând rolul Ministerului Justiţiei de a contribui la buna funcţionare a sistemului judiciar şi la asigurarea condiţiilor înfăptuirii justiţiei ca serviciu public, Consiliul Superior al Magistraturii a înaintat către Guvernul României o serie de memorandumuri având ca obiect aprobarea înfiinţării de noi posturi la instituţiile aflate în coordonarea sa. Dintre acestea, menţionăm „Memorandumul cu tema: Aprobarea înfiinţării a 25 de noi posturi la Şcoala Naţională de Grefieri, începând cu data de 1 iulie 2024” şi „Memorandumul cu tema: Aprobarea înfiinţării de 10 noi posturi la Institutul Naţional al Magistraturii, începând cu data de </w:t>
      </w:r>
      <w:r w:rsidR="00233C7B" w:rsidRPr="004A72CD">
        <w:rPr>
          <w:rFonts w:asciiTheme="minorHAnsi" w:hAnsiTheme="minorHAnsi" w:cstheme="minorHAnsi"/>
          <w:sz w:val="26"/>
          <w:szCs w:val="26"/>
        </w:rPr>
        <w:t>0</w:t>
      </w:r>
      <w:r w:rsidRPr="004A72CD">
        <w:rPr>
          <w:rFonts w:asciiTheme="minorHAnsi" w:hAnsiTheme="minorHAnsi" w:cstheme="minorHAnsi"/>
          <w:sz w:val="26"/>
          <w:szCs w:val="26"/>
        </w:rPr>
        <w:t>1 iulie 2024”.</w:t>
      </w:r>
    </w:p>
    <w:p w14:paraId="58522F24" w14:textId="4D09E24F" w:rsidR="00C707CD" w:rsidRPr="004A72CD" w:rsidRDefault="00C707CD" w:rsidP="00D51F5A">
      <w:pPr>
        <w:spacing w:line="276" w:lineRule="auto"/>
        <w:ind w:firstLine="708"/>
        <w:jc w:val="both"/>
        <w:rPr>
          <w:rFonts w:asciiTheme="minorHAnsi" w:hAnsiTheme="minorHAnsi" w:cstheme="minorHAnsi"/>
          <w:bCs/>
          <w:sz w:val="26"/>
          <w:szCs w:val="26"/>
        </w:rPr>
      </w:pPr>
      <w:r w:rsidRPr="004A72CD">
        <w:rPr>
          <w:rFonts w:asciiTheme="minorHAnsi" w:hAnsiTheme="minorHAnsi" w:cstheme="minorHAnsi"/>
          <w:bCs/>
          <w:sz w:val="26"/>
          <w:szCs w:val="26"/>
        </w:rPr>
        <w:t>În contextul demersului inițiat de Ministerul Justiției vizând centralizarea întregii infrastructuri IT din instanțe la nivelul acestui minister, Consiliul Superior al Magistraturii a semnalat vulnerabilitățile inacceptabile pe care un astfel de demers le creează pentru activitatea</w:t>
      </w:r>
      <w:r w:rsidR="00125222" w:rsidRPr="004A72CD">
        <w:rPr>
          <w:rFonts w:asciiTheme="minorHAnsi" w:hAnsiTheme="minorHAnsi" w:cstheme="minorHAnsi"/>
          <w:bCs/>
          <w:sz w:val="26"/>
          <w:szCs w:val="26"/>
        </w:rPr>
        <w:t xml:space="preserve"> independentă a</w:t>
      </w:r>
      <w:r w:rsidRPr="004A72CD">
        <w:rPr>
          <w:rFonts w:asciiTheme="minorHAnsi" w:hAnsiTheme="minorHAnsi" w:cstheme="minorHAnsi"/>
          <w:bCs/>
          <w:sz w:val="26"/>
          <w:szCs w:val="26"/>
        </w:rPr>
        <w:t xml:space="preserve"> instanțelor judecătorești. </w:t>
      </w:r>
    </w:p>
    <w:p w14:paraId="63E7592F" w14:textId="77777777" w:rsidR="00C707CD" w:rsidRPr="004A72CD" w:rsidRDefault="00C707CD" w:rsidP="00D51F5A">
      <w:pPr>
        <w:widowControl w:val="0"/>
        <w:spacing w:line="276" w:lineRule="auto"/>
        <w:ind w:firstLine="708"/>
        <w:jc w:val="both"/>
        <w:rPr>
          <w:rFonts w:asciiTheme="minorHAnsi" w:hAnsiTheme="minorHAnsi" w:cstheme="minorHAnsi"/>
          <w:bCs/>
          <w:color w:val="000000"/>
          <w:sz w:val="26"/>
          <w:szCs w:val="26"/>
          <w:lang w:eastAsia="ro-RO"/>
        </w:rPr>
      </w:pPr>
      <w:r w:rsidRPr="004A72CD">
        <w:rPr>
          <w:rFonts w:asciiTheme="minorHAnsi" w:hAnsiTheme="minorHAnsi" w:cstheme="minorHAnsi"/>
          <w:bCs/>
          <w:sz w:val="26"/>
          <w:szCs w:val="26"/>
        </w:rPr>
        <w:t xml:space="preserve">Mai mult, pentru a preveni asemenea consecințe negative, Consiliul Superior al Magistraturii a intervenit ferm, hotărând </w:t>
      </w:r>
      <w:r w:rsidRPr="004A72CD">
        <w:rPr>
          <w:rFonts w:asciiTheme="minorHAnsi" w:hAnsiTheme="minorHAnsi" w:cstheme="minorHAnsi"/>
          <w:bCs/>
          <w:color w:val="000000"/>
          <w:sz w:val="26"/>
          <w:szCs w:val="26"/>
          <w:lang w:eastAsia="ro-RO"/>
        </w:rPr>
        <w:t>suspendarea procesului de înrolare în domeniul just.ro a calculatoarelor și serverelor din instanțele de judecată, precum și a conturilor judecătorilor și revenirea la situația anterioară înrolării, pentru situațiile în care acest demers a fost deja început sau finalizat.</w:t>
      </w:r>
    </w:p>
    <w:p w14:paraId="3D554980" w14:textId="6DE1428B" w:rsidR="00C707CD" w:rsidRPr="004A72CD" w:rsidRDefault="00C707CD" w:rsidP="00D51F5A">
      <w:pPr>
        <w:widowControl w:val="0"/>
        <w:spacing w:line="276" w:lineRule="auto"/>
        <w:ind w:firstLine="708"/>
        <w:jc w:val="both"/>
        <w:rPr>
          <w:rFonts w:asciiTheme="minorHAnsi" w:hAnsiTheme="minorHAnsi" w:cstheme="minorHAnsi"/>
          <w:bCs/>
          <w:color w:val="000000"/>
          <w:sz w:val="26"/>
          <w:szCs w:val="26"/>
          <w:lang w:eastAsia="ro-RO"/>
        </w:rPr>
      </w:pPr>
      <w:r w:rsidRPr="004A72CD">
        <w:rPr>
          <w:rFonts w:asciiTheme="minorHAnsi" w:hAnsiTheme="minorHAnsi" w:cstheme="minorHAnsi"/>
          <w:bCs/>
          <w:color w:val="000000"/>
          <w:sz w:val="26"/>
          <w:szCs w:val="26"/>
          <w:lang w:eastAsia="ro-RO"/>
        </w:rPr>
        <w:t>De asemenea, prin Hotărârea nr. 1519</w:t>
      </w:r>
      <w:r w:rsidR="00E859B1" w:rsidRPr="004A72CD">
        <w:rPr>
          <w:rFonts w:asciiTheme="minorHAnsi" w:hAnsiTheme="minorHAnsi" w:cstheme="minorHAnsi"/>
          <w:bCs/>
          <w:color w:val="000000"/>
          <w:sz w:val="26"/>
          <w:szCs w:val="26"/>
          <w:lang w:eastAsia="ro-RO"/>
        </w:rPr>
        <w:t>/</w:t>
      </w:r>
      <w:r w:rsidR="00233C7B" w:rsidRPr="004A72CD">
        <w:rPr>
          <w:rFonts w:asciiTheme="minorHAnsi" w:hAnsiTheme="minorHAnsi" w:cstheme="minorHAnsi"/>
          <w:bCs/>
          <w:color w:val="000000"/>
          <w:sz w:val="26"/>
          <w:szCs w:val="26"/>
          <w:lang w:eastAsia="ro-RO"/>
        </w:rPr>
        <w:t>0</w:t>
      </w:r>
      <w:r w:rsidRPr="004A72CD">
        <w:rPr>
          <w:rFonts w:asciiTheme="minorHAnsi" w:hAnsiTheme="minorHAnsi" w:cstheme="minorHAnsi"/>
          <w:bCs/>
          <w:color w:val="000000"/>
          <w:sz w:val="26"/>
          <w:szCs w:val="26"/>
          <w:lang w:eastAsia="ro-RO"/>
        </w:rPr>
        <w:t>5</w:t>
      </w:r>
      <w:r w:rsidR="007F1238" w:rsidRPr="004A72CD">
        <w:rPr>
          <w:rFonts w:asciiTheme="minorHAnsi" w:hAnsiTheme="minorHAnsi" w:cstheme="minorHAnsi"/>
          <w:bCs/>
          <w:color w:val="000000"/>
          <w:sz w:val="26"/>
          <w:szCs w:val="26"/>
          <w:lang w:eastAsia="ro-RO"/>
        </w:rPr>
        <w:t>.09.</w:t>
      </w:r>
      <w:r w:rsidRPr="004A72CD">
        <w:rPr>
          <w:rFonts w:asciiTheme="minorHAnsi" w:hAnsiTheme="minorHAnsi" w:cstheme="minorHAnsi"/>
          <w:bCs/>
          <w:color w:val="000000"/>
          <w:sz w:val="26"/>
          <w:szCs w:val="26"/>
          <w:lang w:eastAsia="ro-RO"/>
        </w:rPr>
        <w:t>2024, Secția pentru judecători a Consiliului Superior al Magistraturii, în exercitarea atribuției constituționale de a veghea la respectarea independenței justiției, a constatat că</w:t>
      </w:r>
      <w:r w:rsidR="00D43A6F">
        <w:rPr>
          <w:rFonts w:asciiTheme="minorHAnsi" w:hAnsiTheme="minorHAnsi" w:cstheme="minorHAnsi"/>
          <w:bCs/>
          <w:color w:val="000000"/>
          <w:sz w:val="26"/>
          <w:szCs w:val="26"/>
          <w:lang w:eastAsia="ro-RO"/>
        </w:rPr>
        <w:t>,</w:t>
      </w:r>
      <w:r w:rsidRPr="004A72CD">
        <w:rPr>
          <w:rFonts w:asciiTheme="minorHAnsi" w:hAnsiTheme="minorHAnsi" w:cstheme="minorHAnsi"/>
          <w:bCs/>
          <w:color w:val="000000"/>
          <w:sz w:val="26"/>
          <w:szCs w:val="26"/>
          <w:lang w:eastAsia="ro-RO"/>
        </w:rPr>
        <w:t xml:space="preserve"> prin înrolarea calculatoarelor și serverelor din instanțele judecătorești în domeniul just.ro, gestionat de către Ministerul Justiției, se creează o vulnerabilitate de natură să afecteze independența justiției.</w:t>
      </w:r>
    </w:p>
    <w:p w14:paraId="0BF17CC9" w14:textId="77777777" w:rsidR="00C707CD" w:rsidRPr="004A72CD" w:rsidRDefault="00C707CD" w:rsidP="00D51F5A">
      <w:pPr>
        <w:widowControl w:val="0"/>
        <w:spacing w:line="276" w:lineRule="auto"/>
        <w:ind w:firstLine="708"/>
        <w:jc w:val="both"/>
        <w:rPr>
          <w:rFonts w:asciiTheme="minorHAnsi" w:hAnsiTheme="minorHAnsi" w:cstheme="minorHAnsi"/>
          <w:bCs/>
          <w:color w:val="000000"/>
          <w:sz w:val="26"/>
          <w:szCs w:val="26"/>
          <w:lang w:eastAsia="ro-RO"/>
        </w:rPr>
      </w:pPr>
      <w:r w:rsidRPr="004A72CD">
        <w:rPr>
          <w:rFonts w:asciiTheme="minorHAnsi" w:hAnsiTheme="minorHAnsi" w:cstheme="minorHAnsi"/>
          <w:bCs/>
          <w:color w:val="000000"/>
          <w:sz w:val="26"/>
          <w:szCs w:val="26"/>
          <w:lang w:eastAsia="ro-RO"/>
        </w:rPr>
        <w:t>În cuprinsul acestei hotărâri a fost evidențiată și necesitatea luării unor măsuri de natură tehnică apte să înlăture o astfel de vulnerabilitate, respectiv încetarea procesului de înrolare a calculatoarelor și serverelor din instanțele judecătorești în domeniul administrat de Ministerul Justiției – just.ro, iar în cazul în care demersul a fost deja început sau finalizat, revenirea la situația anterioară înrolării, precum și reconfigurarea serverelor ECRIS fără a fi în relație de dependență cu domeniul just.ro.</w:t>
      </w:r>
    </w:p>
    <w:p w14:paraId="4A4CD0DC" w14:textId="77777777" w:rsidR="00C707CD" w:rsidRPr="004A72CD" w:rsidRDefault="00C707CD" w:rsidP="00D51F5A">
      <w:pPr>
        <w:widowControl w:val="0"/>
        <w:spacing w:line="276" w:lineRule="auto"/>
        <w:ind w:firstLine="708"/>
        <w:jc w:val="both"/>
        <w:rPr>
          <w:rFonts w:asciiTheme="minorHAnsi" w:hAnsiTheme="minorHAnsi" w:cstheme="minorHAnsi"/>
          <w:bCs/>
          <w:color w:val="000000"/>
          <w:sz w:val="26"/>
          <w:szCs w:val="26"/>
          <w:lang w:eastAsia="ro-RO"/>
        </w:rPr>
      </w:pPr>
      <w:r w:rsidRPr="004A72CD">
        <w:rPr>
          <w:rFonts w:asciiTheme="minorHAnsi" w:hAnsiTheme="minorHAnsi" w:cstheme="minorHAnsi"/>
          <w:bCs/>
          <w:color w:val="000000"/>
          <w:sz w:val="26"/>
          <w:szCs w:val="26"/>
          <w:lang w:eastAsia="ro-RO"/>
        </w:rPr>
        <w:t>Totodată, în baza principiului cooperării loiale, Secția pentru judecători a solicitat Ministerului Justiției să demareze procesul de transfer către Consiliul Superior al Magistraturii al tuturor atribuțiilor ce îi revin în domeniul IT vizând instanțele judecătorești, apreciind că acest proces reprezintă nu doar o măsură de conformare cu standardele europene, ci și un pas necesar pentru asigurarea unei justiții independente și eficiente.</w:t>
      </w:r>
    </w:p>
    <w:p w14:paraId="7FF55758" w14:textId="77777777" w:rsidR="00C707CD" w:rsidRPr="004A72CD" w:rsidRDefault="00C707CD" w:rsidP="00D51F5A">
      <w:pPr>
        <w:widowControl w:val="0"/>
        <w:spacing w:line="276" w:lineRule="auto"/>
        <w:ind w:firstLine="708"/>
        <w:jc w:val="both"/>
        <w:rPr>
          <w:rFonts w:asciiTheme="minorHAnsi" w:hAnsiTheme="minorHAnsi" w:cstheme="minorHAnsi"/>
          <w:bCs/>
          <w:color w:val="000000"/>
          <w:sz w:val="26"/>
          <w:szCs w:val="26"/>
          <w:lang w:eastAsia="ro-RO"/>
        </w:rPr>
      </w:pPr>
      <w:r w:rsidRPr="004A72CD">
        <w:rPr>
          <w:rFonts w:asciiTheme="minorHAnsi" w:hAnsiTheme="minorHAnsi" w:cstheme="minorHAnsi"/>
          <w:bCs/>
          <w:color w:val="000000"/>
          <w:sz w:val="26"/>
          <w:szCs w:val="26"/>
          <w:lang w:eastAsia="ro-RO"/>
        </w:rPr>
        <w:t>Consecvent unei abordări constructive, care să asigure implementarea unor soluții informatice în acord cu principiul independenței justiției, Consiliul Superior al Magistraturii a dat curs și invitației Ministerului Justiției de a participa la un grup de lucru tehnic, care să identifice modalitățile tehnice adecvate pentru atingerea acestui scop.</w:t>
      </w:r>
    </w:p>
    <w:p w14:paraId="0224B97E" w14:textId="288C7072" w:rsidR="00C707CD" w:rsidRPr="004A72CD" w:rsidRDefault="00C707CD" w:rsidP="00D51F5A">
      <w:pPr>
        <w:widowControl w:val="0"/>
        <w:spacing w:line="276" w:lineRule="auto"/>
        <w:ind w:firstLine="708"/>
        <w:jc w:val="both"/>
        <w:rPr>
          <w:rFonts w:asciiTheme="minorHAnsi" w:hAnsiTheme="minorHAnsi" w:cstheme="minorHAnsi"/>
          <w:bCs/>
          <w:color w:val="000000"/>
          <w:sz w:val="26"/>
          <w:szCs w:val="26"/>
          <w:lang w:eastAsia="ro-RO"/>
        </w:rPr>
      </w:pPr>
      <w:r w:rsidRPr="004A72CD">
        <w:rPr>
          <w:rFonts w:asciiTheme="minorHAnsi" w:hAnsiTheme="minorHAnsi" w:cstheme="minorHAnsi"/>
          <w:bCs/>
          <w:color w:val="000000"/>
          <w:sz w:val="26"/>
          <w:szCs w:val="26"/>
          <w:lang w:eastAsia="ro-RO"/>
        </w:rPr>
        <w:t>Astfel, în cadrul întâlnirii din data de 24</w:t>
      </w:r>
      <w:r w:rsidR="00A035B7" w:rsidRPr="004A72CD">
        <w:rPr>
          <w:rFonts w:asciiTheme="minorHAnsi" w:hAnsiTheme="minorHAnsi" w:cstheme="minorHAnsi"/>
          <w:bCs/>
          <w:color w:val="000000"/>
          <w:sz w:val="26"/>
          <w:szCs w:val="26"/>
          <w:lang w:eastAsia="ro-RO"/>
        </w:rPr>
        <w:t xml:space="preserve"> septembrie </w:t>
      </w:r>
      <w:r w:rsidRPr="004A72CD">
        <w:rPr>
          <w:rFonts w:asciiTheme="minorHAnsi" w:hAnsiTheme="minorHAnsi" w:cstheme="minorHAnsi"/>
          <w:bCs/>
          <w:color w:val="000000"/>
          <w:sz w:val="26"/>
          <w:szCs w:val="26"/>
          <w:lang w:eastAsia="ro-RO"/>
        </w:rPr>
        <w:t>2024 ce s-a desfășurat online, au fost prezentate și analizate mai multe scenarii care aveau drept scop remedierea vulnerabilităților în administrarea echipamentelor IT din instanțele judecătorești, în acord cu principiul independenței justiției.</w:t>
      </w:r>
    </w:p>
    <w:p w14:paraId="55ECC740" w14:textId="75631D32" w:rsidR="00C707CD" w:rsidRPr="004A72CD" w:rsidRDefault="00C707CD" w:rsidP="00D51F5A">
      <w:pPr>
        <w:pStyle w:val="NormalWeb"/>
        <w:shd w:val="clear" w:color="auto" w:fill="FFFFFF"/>
        <w:spacing w:before="0" w:beforeAutospacing="0" w:after="0" w:afterAutospacing="0" w:line="276" w:lineRule="auto"/>
        <w:ind w:firstLine="708"/>
        <w:jc w:val="both"/>
        <w:rPr>
          <w:rFonts w:asciiTheme="minorHAnsi" w:hAnsiTheme="minorHAnsi" w:cstheme="minorHAnsi"/>
          <w:sz w:val="26"/>
          <w:szCs w:val="26"/>
        </w:rPr>
      </w:pPr>
      <w:r w:rsidRPr="004A72CD">
        <w:rPr>
          <w:rFonts w:asciiTheme="minorHAnsi" w:hAnsiTheme="minorHAnsi" w:cstheme="minorHAnsi"/>
          <w:bCs/>
          <w:color w:val="000000"/>
          <w:sz w:val="26"/>
          <w:szCs w:val="26"/>
        </w:rPr>
        <w:lastRenderedPageBreak/>
        <w:t xml:space="preserve">În considerarea tuturor argumentelor prezentate de Consiliu şi comunicate Ministerului Justiţiei </w:t>
      </w:r>
      <w:r w:rsidR="001C45FA" w:rsidRPr="004A72CD">
        <w:rPr>
          <w:rFonts w:asciiTheme="minorHAnsi" w:hAnsiTheme="minorHAnsi" w:cstheme="minorHAnsi"/>
          <w:bCs/>
          <w:color w:val="000000"/>
          <w:sz w:val="26"/>
          <w:szCs w:val="26"/>
        </w:rPr>
        <w:t>prin</w:t>
      </w:r>
      <w:r w:rsidRPr="004A72CD">
        <w:rPr>
          <w:rFonts w:asciiTheme="minorHAnsi" w:hAnsiTheme="minorHAnsi" w:cstheme="minorHAnsi"/>
          <w:bCs/>
          <w:color w:val="000000"/>
          <w:sz w:val="26"/>
          <w:szCs w:val="26"/>
        </w:rPr>
        <w:t xml:space="preserve"> </w:t>
      </w:r>
      <w:r w:rsidRPr="004A72CD">
        <w:rPr>
          <w:rFonts w:asciiTheme="minorHAnsi" w:hAnsiTheme="minorHAnsi" w:cstheme="minorHAnsi"/>
          <w:bCs/>
          <w:sz w:val="26"/>
          <w:szCs w:val="26"/>
        </w:rPr>
        <w:t>adres</w:t>
      </w:r>
      <w:r w:rsidR="001C45FA" w:rsidRPr="004A72CD">
        <w:rPr>
          <w:rFonts w:asciiTheme="minorHAnsi" w:hAnsiTheme="minorHAnsi" w:cstheme="minorHAnsi"/>
          <w:bCs/>
          <w:sz w:val="26"/>
          <w:szCs w:val="26"/>
        </w:rPr>
        <w:t>ele</w:t>
      </w:r>
      <w:r w:rsidRPr="004A72CD">
        <w:rPr>
          <w:rFonts w:asciiTheme="minorHAnsi" w:hAnsiTheme="minorHAnsi" w:cstheme="minorHAnsi"/>
          <w:bCs/>
          <w:sz w:val="26"/>
          <w:szCs w:val="26"/>
        </w:rPr>
        <w:t xml:space="preserve"> nr.</w:t>
      </w:r>
      <w:r w:rsidRPr="004A72CD">
        <w:rPr>
          <w:rFonts w:asciiTheme="minorHAnsi" w:hAnsiTheme="minorHAnsi" w:cstheme="minorHAnsi"/>
          <w:sz w:val="26"/>
          <w:szCs w:val="26"/>
        </w:rPr>
        <w:t xml:space="preserve"> 13760/2024</w:t>
      </w:r>
      <w:r w:rsidR="001C45FA" w:rsidRPr="004A72CD">
        <w:rPr>
          <w:rFonts w:asciiTheme="minorHAnsi" w:hAnsiTheme="minorHAnsi" w:cstheme="minorHAnsi"/>
          <w:sz w:val="26"/>
          <w:szCs w:val="26"/>
        </w:rPr>
        <w:t xml:space="preserve"> și</w:t>
      </w:r>
      <w:r w:rsidRPr="004A72CD">
        <w:rPr>
          <w:rFonts w:asciiTheme="minorHAnsi" w:hAnsiTheme="minorHAnsi" w:cstheme="minorHAnsi"/>
          <w:sz w:val="26"/>
          <w:szCs w:val="26"/>
        </w:rPr>
        <w:t xml:space="preserve"> </w:t>
      </w:r>
      <w:r w:rsidR="001C45FA" w:rsidRPr="004A72CD">
        <w:rPr>
          <w:rFonts w:asciiTheme="minorHAnsi" w:hAnsiTheme="minorHAnsi" w:cstheme="minorHAnsi"/>
          <w:sz w:val="26"/>
          <w:szCs w:val="26"/>
        </w:rPr>
        <w:t xml:space="preserve">nr. </w:t>
      </w:r>
      <w:r w:rsidRPr="004A72CD">
        <w:rPr>
          <w:rFonts w:asciiTheme="minorHAnsi" w:hAnsiTheme="minorHAnsi" w:cstheme="minorHAnsi"/>
          <w:sz w:val="26"/>
          <w:szCs w:val="26"/>
        </w:rPr>
        <w:t>15678/2024 din data de 02</w:t>
      </w:r>
      <w:r w:rsidR="00A035B7" w:rsidRPr="004A72CD">
        <w:rPr>
          <w:rFonts w:asciiTheme="minorHAnsi" w:hAnsiTheme="minorHAnsi" w:cstheme="minorHAnsi"/>
          <w:sz w:val="26"/>
          <w:szCs w:val="26"/>
        </w:rPr>
        <w:t xml:space="preserve"> octombrie </w:t>
      </w:r>
      <w:r w:rsidRPr="004A72CD">
        <w:rPr>
          <w:rFonts w:asciiTheme="minorHAnsi" w:hAnsiTheme="minorHAnsi" w:cstheme="minorHAnsi"/>
          <w:sz w:val="26"/>
          <w:szCs w:val="26"/>
        </w:rPr>
        <w:t>2024</w:t>
      </w:r>
      <w:r w:rsidRPr="004A72CD">
        <w:rPr>
          <w:rFonts w:asciiTheme="minorHAnsi" w:hAnsiTheme="minorHAnsi" w:cstheme="minorHAnsi"/>
          <w:bCs/>
          <w:color w:val="000000"/>
          <w:sz w:val="26"/>
          <w:szCs w:val="26"/>
        </w:rPr>
        <w:t xml:space="preserve">, la nivelul Consiliului Superior al Magistraturii au fost formulate mai multe propuneri de modificare a legislației incidente, </w:t>
      </w:r>
      <w:r w:rsidRPr="004A72CD">
        <w:rPr>
          <w:rFonts w:asciiTheme="minorHAnsi" w:hAnsiTheme="minorHAnsi" w:cstheme="minorHAnsi"/>
          <w:bCs/>
          <w:sz w:val="26"/>
          <w:szCs w:val="26"/>
          <w14:ligatures w14:val="standardContextual"/>
        </w:rPr>
        <w:t>pentru a preveni orice situație viitoare care, ca urmare a unei interpretări eronate a cadrului normativ actual, ar avea potențialul de afectare a independenței justiției.</w:t>
      </w:r>
    </w:p>
    <w:p w14:paraId="08D02481" w14:textId="77777777" w:rsidR="00C707CD" w:rsidRPr="004A72CD" w:rsidRDefault="00C707CD" w:rsidP="00D51F5A">
      <w:pPr>
        <w:pStyle w:val="NormalWeb"/>
        <w:shd w:val="clear" w:color="auto" w:fill="FFFFFF"/>
        <w:spacing w:before="0" w:beforeAutospacing="0" w:after="0" w:afterAutospacing="0"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Referitor la colaborarea cu puterea executivă, Consiliul Superior al Magistraturii a exprimat şi </w:t>
      </w:r>
      <w:r w:rsidRPr="004A72CD">
        <w:rPr>
          <w:rFonts w:asciiTheme="minorHAnsi" w:hAnsiTheme="minorHAnsi" w:cstheme="minorHAnsi"/>
          <w:b/>
          <w:sz w:val="26"/>
          <w:szCs w:val="26"/>
        </w:rPr>
        <w:t xml:space="preserve">puncte de vedere la solicitarea unor ministere </w:t>
      </w:r>
      <w:r w:rsidRPr="004A72CD">
        <w:rPr>
          <w:rFonts w:asciiTheme="minorHAnsi" w:hAnsiTheme="minorHAnsi" w:cstheme="minorHAnsi"/>
          <w:sz w:val="26"/>
          <w:szCs w:val="26"/>
        </w:rPr>
        <w:t>(altele decât Ministerul Justiției) sau a altor autorități publice.</w:t>
      </w:r>
    </w:p>
    <w:p w14:paraId="34151F0A" w14:textId="77777777" w:rsidR="00C707CD" w:rsidRPr="004A72CD" w:rsidRDefault="00C707CD" w:rsidP="00D51F5A">
      <w:pPr>
        <w:spacing w:line="276" w:lineRule="auto"/>
        <w:ind w:firstLine="709"/>
        <w:jc w:val="both"/>
        <w:rPr>
          <w:rFonts w:asciiTheme="minorHAnsi" w:hAnsiTheme="minorHAnsi" w:cstheme="minorHAnsi"/>
          <w:b/>
          <w:sz w:val="26"/>
          <w:szCs w:val="26"/>
          <w:u w:val="single"/>
        </w:rPr>
      </w:pPr>
      <w:r w:rsidRPr="004A72CD">
        <w:rPr>
          <w:rFonts w:asciiTheme="minorHAnsi" w:hAnsiTheme="minorHAnsi" w:cstheme="minorHAnsi"/>
          <w:sz w:val="26"/>
          <w:szCs w:val="26"/>
        </w:rPr>
        <w:t>În acest sens, putem exemplifica:</w:t>
      </w:r>
      <w:r w:rsidRPr="004A72CD">
        <w:rPr>
          <w:rFonts w:asciiTheme="minorHAnsi" w:hAnsiTheme="minorHAnsi" w:cstheme="minorHAnsi"/>
          <w:b/>
          <w:sz w:val="26"/>
          <w:szCs w:val="26"/>
          <w:u w:val="single"/>
        </w:rPr>
        <w:t xml:space="preserve"> </w:t>
      </w:r>
    </w:p>
    <w:p w14:paraId="295482A0" w14:textId="50661F1C" w:rsidR="00C707CD" w:rsidRPr="004A72CD" w:rsidRDefault="00C707CD"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 xml:space="preserve">- punctul de vedere cu privire la proiectul vizând Obiectivele strategice și specifice ale Strategiei Naționale împotriva Traficului de Persoane 2024-2028, analizat în ședința din data de 09 ianuarie 2024 a Comisiei nr. 1 – reunită </w:t>
      </w:r>
      <w:r w:rsidR="00FD18A0" w:rsidRPr="004A72CD">
        <w:rPr>
          <w:rFonts w:asciiTheme="minorHAnsi" w:hAnsiTheme="minorHAnsi" w:cstheme="minorHAnsi"/>
          <w:sz w:val="26"/>
          <w:szCs w:val="26"/>
        </w:rPr>
        <w:t>„</w:t>
      </w:r>
      <w:r w:rsidRPr="004A72CD">
        <w:rPr>
          <w:rFonts w:asciiTheme="minorHAnsi" w:hAnsiTheme="minorHAnsi" w:cstheme="minorHAnsi"/>
          <w:sz w:val="26"/>
          <w:szCs w:val="26"/>
        </w:rPr>
        <w:t xml:space="preserve">Legislație și cooperare interinstituțională”, a fost transmis Agenției Naționale împotriva Traficului de Persoane </w:t>
      </w:r>
      <w:r w:rsidR="00031984"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18423 din data de 17</w:t>
      </w:r>
      <w:r w:rsidR="00E351C3" w:rsidRPr="004A72CD">
        <w:rPr>
          <w:rFonts w:asciiTheme="minorHAnsi" w:hAnsiTheme="minorHAnsi" w:cstheme="minorHAnsi"/>
          <w:sz w:val="26"/>
          <w:szCs w:val="26"/>
        </w:rPr>
        <w:t xml:space="preserve"> ianuarie </w:t>
      </w:r>
      <w:r w:rsidRPr="004A72CD">
        <w:rPr>
          <w:rFonts w:asciiTheme="minorHAnsi" w:hAnsiTheme="minorHAnsi" w:cstheme="minorHAnsi"/>
          <w:sz w:val="26"/>
          <w:szCs w:val="26"/>
        </w:rPr>
        <w:t>2024.</w:t>
      </w:r>
    </w:p>
    <w:p w14:paraId="2A23EC3F" w14:textId="144FE355" w:rsidR="00C707CD" w:rsidRPr="004A72CD" w:rsidRDefault="00C707CD" w:rsidP="00D51F5A">
      <w:pPr>
        <w:spacing w:line="276" w:lineRule="auto"/>
        <w:ind w:firstLine="708"/>
        <w:jc w:val="both"/>
        <w:rPr>
          <w:rFonts w:asciiTheme="minorHAnsi" w:hAnsiTheme="minorHAnsi" w:cstheme="minorHAnsi"/>
          <w:i/>
          <w:iCs/>
          <w:sz w:val="26"/>
          <w:szCs w:val="26"/>
          <w14:ligatures w14:val="standardContextual"/>
        </w:rPr>
      </w:pPr>
      <w:r w:rsidRPr="004A72CD">
        <w:rPr>
          <w:rFonts w:asciiTheme="minorHAnsi" w:hAnsiTheme="minorHAnsi" w:cstheme="minorHAnsi"/>
          <w:sz w:val="26"/>
          <w:szCs w:val="26"/>
        </w:rPr>
        <w:t xml:space="preserve">- punctul de vedere cu privire la proiectul </w:t>
      </w:r>
      <w:r w:rsidRPr="004A72CD">
        <w:rPr>
          <w:rFonts w:asciiTheme="minorHAnsi" w:hAnsiTheme="minorHAnsi" w:cstheme="minorHAnsi"/>
          <w:bCs/>
          <w:iCs/>
          <w:sz w:val="26"/>
          <w:szCs w:val="26"/>
          <w14:ligatures w14:val="standardContextual"/>
        </w:rPr>
        <w:t>de</w:t>
      </w:r>
      <w:r w:rsidRPr="004A72CD">
        <w:rPr>
          <w:rFonts w:asciiTheme="minorHAnsi" w:hAnsiTheme="minorHAnsi" w:cstheme="minorHAnsi"/>
          <w:bCs/>
          <w:i/>
          <w:iCs/>
          <w:sz w:val="26"/>
          <w:szCs w:val="26"/>
          <w14:ligatures w14:val="standardContextual"/>
        </w:rPr>
        <w:t xml:space="preserve"> </w:t>
      </w:r>
      <w:r w:rsidRPr="004A72CD">
        <w:rPr>
          <w:rFonts w:asciiTheme="minorHAnsi" w:hAnsiTheme="minorHAnsi" w:cstheme="minorHAnsi"/>
          <w:bCs/>
          <w:iCs/>
          <w:sz w:val="26"/>
          <w:szCs w:val="26"/>
          <w14:ligatures w14:val="standardContextual"/>
        </w:rPr>
        <w:t>Hotărâre a Guvernului pentru aprobarea Normelor metodologice de aplicare unitară a dispozițiilor în materie de stare civilă</w:t>
      </w:r>
      <w:r w:rsidRPr="004A72CD">
        <w:rPr>
          <w:rFonts w:asciiTheme="minorHAnsi" w:hAnsiTheme="minorHAnsi" w:cstheme="minorHAnsi"/>
          <w:sz w:val="26"/>
          <w:szCs w:val="26"/>
          <w14:ligatures w14:val="standardContextual"/>
        </w:rPr>
        <w:t xml:space="preserve">, </w:t>
      </w:r>
      <w:r w:rsidRPr="004A72CD">
        <w:rPr>
          <w:rFonts w:asciiTheme="minorHAnsi" w:hAnsiTheme="minorHAnsi" w:cstheme="minorHAnsi"/>
          <w:bCs/>
          <w:sz w:val="26"/>
          <w:szCs w:val="26"/>
          <w:lang w:eastAsia="ro-RO"/>
          <w14:ligatures w14:val="standardContextual"/>
        </w:rPr>
        <w:t>analizat</w:t>
      </w:r>
      <w:r w:rsidRPr="004A72CD">
        <w:rPr>
          <w:rFonts w:asciiTheme="minorHAnsi" w:hAnsiTheme="minorHAnsi" w:cstheme="minorHAnsi"/>
          <w:sz w:val="26"/>
          <w:szCs w:val="26"/>
          <w14:ligatures w14:val="standardContextual"/>
        </w:rPr>
        <w:t xml:space="preserve"> în ședința din data de 21 martie 2024 a Comisiei nr. 1 - reunită </w:t>
      </w:r>
      <w:r w:rsidRPr="004A72CD">
        <w:rPr>
          <w:rFonts w:asciiTheme="minorHAnsi" w:hAnsiTheme="minorHAnsi" w:cstheme="minorHAnsi"/>
          <w:iCs/>
          <w:sz w:val="26"/>
          <w:szCs w:val="26"/>
          <w14:ligatures w14:val="standardContextual"/>
        </w:rPr>
        <w:t xml:space="preserve">„Legislație şi cooperare interinstituțională”, a fost transmis </w:t>
      </w:r>
      <w:r w:rsidRPr="004A72CD">
        <w:rPr>
          <w:rFonts w:asciiTheme="minorHAnsi" w:hAnsiTheme="minorHAnsi" w:cstheme="minorHAnsi"/>
          <w:sz w:val="26"/>
          <w:szCs w:val="26"/>
        </w:rPr>
        <w:t xml:space="preserve">Ministerului Afacerilor Interne </w:t>
      </w:r>
      <w:r w:rsidR="00031984"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4378 din data de 26</w:t>
      </w:r>
      <w:r w:rsidR="00E351C3" w:rsidRPr="004A72CD">
        <w:rPr>
          <w:rFonts w:asciiTheme="minorHAnsi" w:hAnsiTheme="minorHAnsi" w:cstheme="minorHAnsi"/>
          <w:sz w:val="26"/>
          <w:szCs w:val="26"/>
        </w:rPr>
        <w:t xml:space="preserve"> </w:t>
      </w:r>
      <w:r w:rsidR="00EF4FE7" w:rsidRPr="004A72CD">
        <w:rPr>
          <w:rFonts w:asciiTheme="minorHAnsi" w:hAnsiTheme="minorHAnsi" w:cstheme="minorHAnsi"/>
          <w:sz w:val="26"/>
          <w:szCs w:val="26"/>
        </w:rPr>
        <w:t>martie</w:t>
      </w:r>
      <w:r w:rsidR="00E351C3" w:rsidRPr="004A72CD">
        <w:rPr>
          <w:rFonts w:asciiTheme="minorHAnsi" w:hAnsiTheme="minorHAnsi" w:cstheme="minorHAnsi"/>
          <w:sz w:val="26"/>
          <w:szCs w:val="26"/>
        </w:rPr>
        <w:t xml:space="preserve"> </w:t>
      </w:r>
      <w:r w:rsidRPr="004A72CD">
        <w:rPr>
          <w:rFonts w:asciiTheme="minorHAnsi" w:hAnsiTheme="minorHAnsi" w:cstheme="minorHAnsi"/>
          <w:sz w:val="26"/>
          <w:szCs w:val="26"/>
        </w:rPr>
        <w:t>2024.</w:t>
      </w:r>
    </w:p>
    <w:p w14:paraId="3F2B0899" w14:textId="31D2F6E1" w:rsidR="00C707CD" w:rsidRPr="004A72CD" w:rsidRDefault="00C707CD" w:rsidP="00D51F5A">
      <w:pPr>
        <w:spacing w:line="276" w:lineRule="auto"/>
        <w:ind w:firstLine="720"/>
        <w:jc w:val="both"/>
        <w:rPr>
          <w:rFonts w:asciiTheme="minorHAnsi" w:hAnsiTheme="minorHAnsi" w:cstheme="minorHAnsi"/>
          <w:bCs/>
          <w:sz w:val="26"/>
          <w:szCs w:val="26"/>
          <w14:ligatures w14:val="standardContextual"/>
        </w:rPr>
      </w:pPr>
      <w:r w:rsidRPr="004A72CD">
        <w:rPr>
          <w:rFonts w:asciiTheme="minorHAnsi" w:hAnsiTheme="minorHAnsi" w:cstheme="minorHAnsi"/>
          <w:sz w:val="26"/>
          <w:szCs w:val="26"/>
        </w:rPr>
        <w:t xml:space="preserve">- punctul de vedere cu privire la </w:t>
      </w:r>
      <w:r w:rsidRPr="004A72CD">
        <w:rPr>
          <w:rFonts w:asciiTheme="minorHAnsi" w:hAnsiTheme="minorHAnsi" w:cstheme="minorHAnsi"/>
          <w:bCs/>
          <w:sz w:val="26"/>
          <w:szCs w:val="26"/>
        </w:rPr>
        <w:t>proiectul de Lege pentru aprobarea Codului de procedură administrativă</w:t>
      </w:r>
      <w:r w:rsidRPr="004A72CD">
        <w:rPr>
          <w:rFonts w:asciiTheme="minorHAnsi" w:hAnsiTheme="minorHAnsi" w:cstheme="minorHAnsi"/>
          <w:sz w:val="26"/>
          <w:szCs w:val="26"/>
        </w:rPr>
        <w:t xml:space="preserve">, </w:t>
      </w:r>
      <w:r w:rsidRPr="004A72CD">
        <w:rPr>
          <w:rFonts w:asciiTheme="minorHAnsi" w:hAnsiTheme="minorHAnsi" w:cstheme="minorHAnsi"/>
          <w:bCs/>
          <w:sz w:val="26"/>
          <w:szCs w:val="26"/>
          <w:lang w:eastAsia="ro-RO"/>
        </w:rPr>
        <w:t>analizat</w:t>
      </w:r>
      <w:r w:rsidRPr="004A72CD">
        <w:rPr>
          <w:rFonts w:asciiTheme="minorHAnsi" w:hAnsiTheme="minorHAnsi" w:cstheme="minorHAnsi"/>
          <w:sz w:val="26"/>
          <w:szCs w:val="26"/>
        </w:rPr>
        <w:t xml:space="preserve"> în ședința din data de 11 aprilie 2024 a Comisiei nr. 1 - judecători „Legislație şi cooperare interinstituțională”. </w:t>
      </w:r>
      <w:r w:rsidRPr="004A72CD">
        <w:rPr>
          <w:rFonts w:asciiTheme="minorHAnsi" w:hAnsiTheme="minorHAnsi" w:cstheme="minorHAnsi"/>
          <w:sz w:val="26"/>
          <w:szCs w:val="26"/>
          <w14:ligatures w14:val="standardContextual"/>
        </w:rPr>
        <w:t xml:space="preserve">Așa cum s-a arătat și în cuprinsul adresei nr. 2/2995/04.03.2024, în vederea analizării proiectului de lege, s-a procedat la consultarea </w:t>
      </w:r>
      <w:r w:rsidRPr="004A72CD">
        <w:rPr>
          <w:rFonts w:asciiTheme="minorHAnsi" w:hAnsiTheme="minorHAnsi" w:cstheme="minorHAnsi"/>
          <w:bCs/>
          <w:sz w:val="26"/>
          <w:szCs w:val="26"/>
          <w14:ligatures w14:val="standardContextual"/>
        </w:rPr>
        <w:t>instanțelor care au competențe în materia contenciosului administrativ. Observațiile și propunerile formulate de acestea au fost avute în vedere cu ocazia analizării proiectului la nivelul Consiliului Superior al Magistraturii, observațiile reținute de comisia de specialitate a Consiliului fiind prezentate structurat în tabelul atașat adresei comunicate Ministerului Dezvoltării, Lucrărilor Publice şi Administraţiei cu nr. 6/2995/2024 din data de 19</w:t>
      </w:r>
      <w:r w:rsidR="00EE2C17" w:rsidRPr="004A72CD">
        <w:rPr>
          <w:rFonts w:asciiTheme="minorHAnsi" w:hAnsiTheme="minorHAnsi" w:cstheme="minorHAnsi"/>
          <w:bCs/>
          <w:sz w:val="26"/>
          <w:szCs w:val="26"/>
          <w14:ligatures w14:val="standardContextual"/>
        </w:rPr>
        <w:t xml:space="preserve"> august </w:t>
      </w:r>
      <w:r w:rsidRPr="004A72CD">
        <w:rPr>
          <w:rFonts w:asciiTheme="minorHAnsi" w:hAnsiTheme="minorHAnsi" w:cstheme="minorHAnsi"/>
          <w:bCs/>
          <w:sz w:val="26"/>
          <w:szCs w:val="26"/>
          <w14:ligatures w14:val="standardContextual"/>
        </w:rPr>
        <w:t xml:space="preserve">2024. </w:t>
      </w:r>
      <w:r w:rsidRPr="004A72CD">
        <w:rPr>
          <w:rFonts w:asciiTheme="minorHAnsi" w:hAnsiTheme="minorHAnsi" w:cstheme="minorHAnsi"/>
          <w:bCs/>
          <w:color w:val="000000"/>
          <w:sz w:val="26"/>
          <w:szCs w:val="26"/>
          <w:bdr w:val="none" w:sz="0" w:space="0" w:color="auto" w:frame="1"/>
        </w:rPr>
        <w:t>Observațiile au evidențiat faptul că proiectul prezenta deficiențe semnificative care împiedicau adoptarea acestuia în forma propusă. Pentru a răspunde exigențelor de claritate și predictibilitate care trebuie să caracterizeze cadrul normativ, Comisia a apreciat că proiectul trebuie revizuit în ansamblul său, astfel încât să asigure reglementarea corespunzătoare a relațiilor sociale pe care le vizează, iar dispozițiile acestuia să fie riguros corelate între ele și în acord cu normele de tehnică legislativă.</w:t>
      </w:r>
    </w:p>
    <w:p w14:paraId="70F5BC02" w14:textId="23488F63" w:rsidR="00C707CD" w:rsidRPr="004A72CD" w:rsidRDefault="00C707CD"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 xml:space="preserve">- punctul de vedere cu privire la proiectul Ordonanţei de Urgenţă a Guvernului pentru modificarea şi completarea Legii nr. 146/2021 privind monitorizarea electronică în cadrul unor proceduri judiciare şi execuţional penale. Proiectul de act normativ a fost analizat în ședința din data de 19 iunie 2024 a Comisiei nr. 1 – reunită </w:t>
      </w:r>
      <w:r w:rsidR="00FD18A0" w:rsidRPr="004A72CD">
        <w:rPr>
          <w:rFonts w:asciiTheme="minorHAnsi" w:hAnsiTheme="minorHAnsi" w:cstheme="minorHAnsi"/>
          <w:sz w:val="26"/>
          <w:szCs w:val="26"/>
        </w:rPr>
        <w:t>„</w:t>
      </w:r>
      <w:r w:rsidRPr="004A72CD">
        <w:rPr>
          <w:rFonts w:asciiTheme="minorHAnsi" w:hAnsiTheme="minorHAnsi" w:cstheme="minorHAnsi"/>
          <w:sz w:val="26"/>
          <w:szCs w:val="26"/>
        </w:rPr>
        <w:t xml:space="preserve">Legislație și cooperare interinstituțională” în limitele competențelor ce revin Consiliului Superior al Magistraturii, potrivit Legii fundamentale și legii sale organice. Răspunsul a fost transmis Ministerului Afacerilor Interne </w:t>
      </w:r>
      <w:r w:rsidR="00031984"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7934 din data de 20</w:t>
      </w:r>
      <w:r w:rsidR="00E23F2B" w:rsidRPr="004A72CD">
        <w:rPr>
          <w:rFonts w:asciiTheme="minorHAnsi" w:hAnsiTheme="minorHAnsi" w:cstheme="minorHAnsi"/>
          <w:sz w:val="26"/>
          <w:szCs w:val="26"/>
        </w:rPr>
        <w:t xml:space="preserve"> iunie </w:t>
      </w:r>
      <w:r w:rsidRPr="004A72CD">
        <w:rPr>
          <w:rFonts w:asciiTheme="minorHAnsi" w:hAnsiTheme="minorHAnsi" w:cstheme="minorHAnsi"/>
          <w:sz w:val="26"/>
          <w:szCs w:val="26"/>
        </w:rPr>
        <w:t>2024.</w:t>
      </w:r>
    </w:p>
    <w:p w14:paraId="1E3A7E2F" w14:textId="1FA9D901" w:rsidR="00C707CD" w:rsidRPr="004A72CD" w:rsidRDefault="00C707CD" w:rsidP="00D51F5A">
      <w:pPr>
        <w:spacing w:before="67" w:line="276" w:lineRule="auto"/>
        <w:ind w:firstLine="708"/>
        <w:jc w:val="both"/>
        <w:rPr>
          <w:rFonts w:asciiTheme="minorHAnsi" w:hAnsiTheme="minorHAnsi" w:cstheme="minorHAnsi"/>
          <w:bCs/>
          <w:sz w:val="26"/>
          <w:szCs w:val="26"/>
        </w:rPr>
      </w:pPr>
      <w:r w:rsidRPr="004A72CD">
        <w:rPr>
          <w:rFonts w:asciiTheme="minorHAnsi" w:hAnsiTheme="minorHAnsi" w:cstheme="minorHAnsi"/>
          <w:sz w:val="26"/>
          <w:szCs w:val="26"/>
        </w:rPr>
        <w:t xml:space="preserve">- punctul de vedere cu privire </w:t>
      </w:r>
      <w:r w:rsidRPr="004A72CD">
        <w:rPr>
          <w:rFonts w:asciiTheme="minorHAnsi" w:hAnsiTheme="minorHAnsi" w:cstheme="minorHAnsi"/>
          <w:bCs/>
          <w:sz w:val="26"/>
          <w:szCs w:val="26"/>
        </w:rPr>
        <w:t xml:space="preserve">la solicitarea Inspectoratului General al Jandarmeriei Române vizând existenţa unui </w:t>
      </w:r>
      <w:r w:rsidRPr="004A72CD">
        <w:rPr>
          <w:rFonts w:asciiTheme="minorHAnsi" w:hAnsiTheme="minorHAnsi" w:cstheme="minorHAnsi"/>
          <w:sz w:val="26"/>
          <w:szCs w:val="26"/>
        </w:rPr>
        <w:t>eventual</w:t>
      </w:r>
      <w:r w:rsidRPr="004A72CD">
        <w:rPr>
          <w:rFonts w:asciiTheme="minorHAnsi" w:hAnsiTheme="minorHAnsi" w:cstheme="minorHAnsi"/>
          <w:bCs/>
          <w:sz w:val="26"/>
          <w:szCs w:val="26"/>
        </w:rPr>
        <w:t xml:space="preserve"> conflict de natură constituţională între Înalta Curte de Casaţie şi </w:t>
      </w:r>
      <w:r w:rsidRPr="004A72CD">
        <w:rPr>
          <w:rFonts w:asciiTheme="minorHAnsi" w:hAnsiTheme="minorHAnsi" w:cstheme="minorHAnsi"/>
          <w:bCs/>
          <w:sz w:val="26"/>
          <w:szCs w:val="26"/>
        </w:rPr>
        <w:lastRenderedPageBreak/>
        <w:t xml:space="preserve">Justiţie şi Guvernul României, în vederea sesizării Curţii Constituţionale conform prevederilor art. 24 alin. (5) lit. f) din Legea nr. 305/2022 privind Consiliul Superior al Magistraturii. Aspectele invocate în cuprinsul sesizării </w:t>
      </w:r>
      <w:r w:rsidRPr="004A72CD">
        <w:rPr>
          <w:rFonts w:asciiTheme="minorHAnsi" w:hAnsiTheme="minorHAnsi" w:cstheme="minorHAnsi"/>
          <w:sz w:val="26"/>
          <w:szCs w:val="26"/>
        </w:rPr>
        <w:t>au fost analizate din perspectiva dispozițiilor art. 146 lit. e) din Constituția României, republicată, ale art. 11 alin. (1) pct. A lit. e) și art. 34 alin. (1) din Legea nr. 47/1992 privind organizarea şi funcţionarea Curţii Constituţionale, republicată, cu modificările și completările ulterioare, precum și ale art. 24 alin. (5) lit. f) din Legea nr. 305/2022 privind Consiliul Superior al Magistraturii, care consacră atribuția președintelui Consiliului Superior al Magistraturii de a sesiza Curtea Constituţională, în vederea soluţionării conflictelor juridice de natură constituţională dintre autorităţile publice. În esenţă, s-a reţinut că Decizia nr. 24 din 14</w:t>
      </w:r>
      <w:r w:rsidR="00DD5018" w:rsidRPr="004A72CD">
        <w:rPr>
          <w:rFonts w:asciiTheme="minorHAnsi" w:hAnsiTheme="minorHAnsi" w:cstheme="minorHAnsi"/>
          <w:sz w:val="26"/>
          <w:szCs w:val="26"/>
        </w:rPr>
        <w:t xml:space="preserve"> noiembrie </w:t>
      </w:r>
      <w:r w:rsidRPr="004A72CD">
        <w:rPr>
          <w:rFonts w:asciiTheme="minorHAnsi" w:hAnsiTheme="minorHAnsi" w:cstheme="minorHAnsi"/>
          <w:sz w:val="26"/>
          <w:szCs w:val="26"/>
        </w:rPr>
        <w:t xml:space="preserve">2022, adoptată în considerarea competenței recunoscute expres Înaltei Curți de Casație și Justiție, nu ar putea constitui un temei pentru sesizarea Curții Constituționale cu un conflict juridic de natură constituțională. Răspunsul Consiliului Superior al Magistraturii a fost comunicat </w:t>
      </w:r>
      <w:r w:rsidRPr="004A72CD">
        <w:rPr>
          <w:rFonts w:asciiTheme="minorHAnsi" w:hAnsiTheme="minorHAnsi" w:cstheme="minorHAnsi"/>
          <w:bCs/>
          <w:sz w:val="26"/>
          <w:szCs w:val="26"/>
        </w:rPr>
        <w:t xml:space="preserve">Inspectoratului General al Jandarmeriei Române </w:t>
      </w:r>
      <w:r w:rsidR="00031984" w:rsidRPr="004A72CD">
        <w:rPr>
          <w:rFonts w:asciiTheme="minorHAnsi" w:hAnsiTheme="minorHAnsi" w:cstheme="minorHAnsi"/>
          <w:bCs/>
          <w:sz w:val="26"/>
          <w:szCs w:val="26"/>
        </w:rPr>
        <w:t>prin</w:t>
      </w:r>
      <w:r w:rsidRPr="004A72CD">
        <w:rPr>
          <w:rFonts w:asciiTheme="minorHAnsi" w:hAnsiTheme="minorHAnsi" w:cstheme="minorHAnsi"/>
          <w:bCs/>
          <w:sz w:val="26"/>
          <w:szCs w:val="26"/>
        </w:rPr>
        <w:t xml:space="preserve"> adresa nr. 12748 din data de 19</w:t>
      </w:r>
      <w:r w:rsidR="00CE771B" w:rsidRPr="004A72CD">
        <w:rPr>
          <w:rFonts w:asciiTheme="minorHAnsi" w:hAnsiTheme="minorHAnsi" w:cstheme="minorHAnsi"/>
          <w:bCs/>
          <w:sz w:val="26"/>
          <w:szCs w:val="26"/>
        </w:rPr>
        <w:t xml:space="preserve"> august </w:t>
      </w:r>
      <w:r w:rsidRPr="004A72CD">
        <w:rPr>
          <w:rFonts w:asciiTheme="minorHAnsi" w:hAnsiTheme="minorHAnsi" w:cstheme="minorHAnsi"/>
          <w:bCs/>
          <w:sz w:val="26"/>
          <w:szCs w:val="26"/>
        </w:rPr>
        <w:t>2024.</w:t>
      </w:r>
    </w:p>
    <w:p w14:paraId="5E4AD424" w14:textId="091E6656" w:rsidR="007247C5" w:rsidRPr="004A72CD" w:rsidRDefault="00C707CD"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bCs/>
          <w:sz w:val="26"/>
          <w:szCs w:val="26"/>
        </w:rPr>
        <w:t xml:space="preserve">- </w:t>
      </w:r>
      <w:r w:rsidRPr="004A72CD">
        <w:rPr>
          <w:rFonts w:asciiTheme="minorHAnsi" w:hAnsiTheme="minorHAnsi" w:cstheme="minorHAnsi"/>
          <w:sz w:val="26"/>
          <w:szCs w:val="26"/>
        </w:rPr>
        <w:t xml:space="preserve">punctul de vedere cu privire la anteproiectul Legii privind cooperarea poliţienească internaţională şi pentru modificarera unor acte normative în domeniu, </w:t>
      </w:r>
      <w:r w:rsidRPr="004A72CD">
        <w:rPr>
          <w:rFonts w:asciiTheme="minorHAnsi" w:hAnsiTheme="minorHAnsi" w:cstheme="minorHAnsi"/>
          <w:bCs/>
          <w:sz w:val="26"/>
          <w:szCs w:val="26"/>
          <w:lang w:eastAsia="ro-RO"/>
          <w14:ligatures w14:val="standardContextual"/>
        </w:rPr>
        <w:t>analizat</w:t>
      </w:r>
      <w:r w:rsidRPr="004A72CD">
        <w:rPr>
          <w:rFonts w:asciiTheme="minorHAnsi" w:hAnsiTheme="minorHAnsi" w:cstheme="minorHAnsi"/>
          <w:sz w:val="26"/>
          <w:szCs w:val="26"/>
          <w14:ligatures w14:val="standardContextual"/>
        </w:rPr>
        <w:t xml:space="preserve"> în ședința din data de 3 octombrie 2024 a Comisiei nr. 1 - reunită </w:t>
      </w:r>
      <w:r w:rsidRPr="004A72CD">
        <w:rPr>
          <w:rFonts w:asciiTheme="minorHAnsi" w:hAnsiTheme="minorHAnsi" w:cstheme="minorHAnsi"/>
          <w:iCs/>
          <w:sz w:val="26"/>
          <w:szCs w:val="26"/>
          <w14:ligatures w14:val="standardContextual"/>
        </w:rPr>
        <w:t xml:space="preserve">„Legislație şi cooperare interinstituțională”, a fost transmis </w:t>
      </w:r>
      <w:r w:rsidRPr="004A72CD">
        <w:rPr>
          <w:rFonts w:asciiTheme="minorHAnsi" w:hAnsiTheme="minorHAnsi" w:cstheme="minorHAnsi"/>
          <w:sz w:val="26"/>
          <w:szCs w:val="26"/>
        </w:rPr>
        <w:t xml:space="preserve">Ministerului Afacerilor Interne </w:t>
      </w:r>
      <w:r w:rsidR="00031984" w:rsidRPr="004A72CD">
        <w:rPr>
          <w:rFonts w:asciiTheme="minorHAnsi" w:hAnsiTheme="minorHAnsi" w:cstheme="minorHAnsi"/>
          <w:sz w:val="26"/>
          <w:szCs w:val="26"/>
        </w:rPr>
        <w:t>prin</w:t>
      </w:r>
      <w:r w:rsidRPr="004A72CD">
        <w:rPr>
          <w:rFonts w:asciiTheme="minorHAnsi" w:hAnsiTheme="minorHAnsi" w:cstheme="minorHAnsi"/>
          <w:sz w:val="26"/>
          <w:szCs w:val="26"/>
        </w:rPr>
        <w:t xml:space="preserve"> adresa nr. 14524 din data de 08</w:t>
      </w:r>
      <w:r w:rsidR="00267F0E" w:rsidRPr="004A72CD">
        <w:rPr>
          <w:rFonts w:asciiTheme="minorHAnsi" w:hAnsiTheme="minorHAnsi" w:cstheme="minorHAnsi"/>
          <w:sz w:val="26"/>
          <w:szCs w:val="26"/>
        </w:rPr>
        <w:t xml:space="preserve"> octombrie </w:t>
      </w:r>
      <w:r w:rsidRPr="004A72CD">
        <w:rPr>
          <w:rFonts w:asciiTheme="minorHAnsi" w:hAnsiTheme="minorHAnsi" w:cstheme="minorHAnsi"/>
          <w:sz w:val="26"/>
          <w:szCs w:val="26"/>
        </w:rPr>
        <w:t>2024.</w:t>
      </w:r>
    </w:p>
    <w:p w14:paraId="4C246A84" w14:textId="528D500E" w:rsidR="00C707CD" w:rsidRPr="004A72CD" w:rsidRDefault="007247C5"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 xml:space="preserve">- </w:t>
      </w:r>
      <w:r w:rsidR="00C707CD" w:rsidRPr="004A72CD">
        <w:rPr>
          <w:rFonts w:asciiTheme="minorHAnsi" w:hAnsiTheme="minorHAnsi" w:cstheme="minorHAnsi"/>
          <w:sz w:val="26"/>
          <w:szCs w:val="26"/>
        </w:rPr>
        <w:t xml:space="preserve">punctul de vedere cu privire la </w:t>
      </w:r>
      <w:r w:rsidR="00C707CD" w:rsidRPr="004A72CD">
        <w:rPr>
          <w:rFonts w:asciiTheme="minorHAnsi" w:hAnsiTheme="minorHAnsi" w:cstheme="minorHAnsi"/>
          <w:bCs/>
          <w:iCs/>
          <w:sz w:val="26"/>
          <w:szCs w:val="26"/>
          <w14:ligatures w14:val="standardContextual"/>
        </w:rPr>
        <w:t xml:space="preserve">Proiectul de lege pentru modificarea și completarea Legii nr. 24/2017 privind emitenții de instrumente financiare și operațiuni de piață – </w:t>
      </w:r>
      <w:r w:rsidR="00C707CD" w:rsidRPr="004A72CD">
        <w:rPr>
          <w:rFonts w:asciiTheme="minorHAnsi" w:hAnsiTheme="minorHAnsi" w:cstheme="minorHAnsi"/>
          <w:bCs/>
          <w:sz w:val="26"/>
          <w:szCs w:val="26"/>
          <w14:ligatures w14:val="standardContextual"/>
        </w:rPr>
        <w:t>soluțiile propuse la art. 89</w:t>
      </w:r>
      <w:r w:rsidR="00C707CD" w:rsidRPr="004A72CD">
        <w:rPr>
          <w:rFonts w:asciiTheme="minorHAnsi" w:hAnsiTheme="minorHAnsi" w:cstheme="minorHAnsi"/>
          <w:bCs/>
          <w:sz w:val="26"/>
          <w:szCs w:val="26"/>
          <w:vertAlign w:val="superscript"/>
          <w14:ligatures w14:val="standardContextual"/>
        </w:rPr>
        <w:t>1</w:t>
      </w:r>
      <w:r w:rsidR="00C707CD" w:rsidRPr="004A72CD">
        <w:rPr>
          <w:rFonts w:asciiTheme="minorHAnsi" w:hAnsiTheme="minorHAnsi" w:cstheme="minorHAnsi"/>
          <w:bCs/>
          <w:sz w:val="26"/>
          <w:szCs w:val="26"/>
          <w14:ligatures w14:val="standardContextual"/>
        </w:rPr>
        <w:t xml:space="preserve"> și art. 109</w:t>
      </w:r>
      <w:r w:rsidR="00C707CD" w:rsidRPr="004A72CD">
        <w:rPr>
          <w:rFonts w:asciiTheme="minorHAnsi" w:hAnsiTheme="minorHAnsi" w:cstheme="minorHAnsi"/>
          <w:bCs/>
          <w:sz w:val="26"/>
          <w:szCs w:val="26"/>
          <w:vertAlign w:val="superscript"/>
          <w14:ligatures w14:val="standardContextual"/>
        </w:rPr>
        <w:t>4</w:t>
      </w:r>
      <w:r w:rsidR="00C707CD" w:rsidRPr="004A72CD">
        <w:rPr>
          <w:rFonts w:asciiTheme="minorHAnsi" w:hAnsiTheme="minorHAnsi" w:cstheme="minorHAnsi"/>
          <w:bCs/>
          <w:sz w:val="26"/>
          <w:szCs w:val="26"/>
          <w14:ligatures w14:val="standardContextual"/>
        </w:rPr>
        <w:t xml:space="preserve"> alin. (6) din proiect</w:t>
      </w:r>
      <w:r w:rsidR="00C707CD" w:rsidRPr="004A72CD">
        <w:rPr>
          <w:rFonts w:asciiTheme="minorHAnsi" w:hAnsiTheme="minorHAnsi" w:cstheme="minorHAnsi"/>
          <w:sz w:val="26"/>
          <w:szCs w:val="26"/>
          <w14:ligatures w14:val="standardContextual"/>
        </w:rPr>
        <w:t xml:space="preserve">, </w:t>
      </w:r>
      <w:r w:rsidR="00C707CD" w:rsidRPr="004A72CD">
        <w:rPr>
          <w:rFonts w:asciiTheme="minorHAnsi" w:hAnsiTheme="minorHAnsi" w:cstheme="minorHAnsi"/>
          <w:bCs/>
          <w:sz w:val="26"/>
          <w:szCs w:val="26"/>
          <w:lang w:eastAsia="ro-RO"/>
          <w14:ligatures w14:val="standardContextual"/>
        </w:rPr>
        <w:t>analizat</w:t>
      </w:r>
      <w:r w:rsidR="00C707CD" w:rsidRPr="004A72CD">
        <w:rPr>
          <w:rFonts w:asciiTheme="minorHAnsi" w:hAnsiTheme="minorHAnsi" w:cstheme="minorHAnsi"/>
          <w:sz w:val="26"/>
          <w:szCs w:val="26"/>
          <w14:ligatures w14:val="standardContextual"/>
        </w:rPr>
        <w:t xml:space="preserve"> în ședința din data de 03</w:t>
      </w:r>
      <w:r w:rsidR="00267F0E" w:rsidRPr="004A72CD">
        <w:rPr>
          <w:rFonts w:asciiTheme="minorHAnsi" w:hAnsiTheme="minorHAnsi" w:cstheme="minorHAnsi"/>
          <w:sz w:val="26"/>
          <w:szCs w:val="26"/>
          <w14:ligatures w14:val="standardContextual"/>
        </w:rPr>
        <w:t xml:space="preserve"> octombrie </w:t>
      </w:r>
      <w:r w:rsidR="00C707CD" w:rsidRPr="004A72CD">
        <w:rPr>
          <w:rFonts w:asciiTheme="minorHAnsi" w:hAnsiTheme="minorHAnsi" w:cstheme="minorHAnsi"/>
          <w:sz w:val="26"/>
          <w:szCs w:val="26"/>
          <w14:ligatures w14:val="standardContextual"/>
        </w:rPr>
        <w:t xml:space="preserve">2024 a Comisiei nr. 1 - judecători „Legislație şi cooperare interinstituțională”, a fost comunicat Ministerului Finanţelor </w:t>
      </w:r>
      <w:r w:rsidR="00031984" w:rsidRPr="004A72CD">
        <w:rPr>
          <w:rFonts w:asciiTheme="minorHAnsi" w:hAnsiTheme="minorHAnsi" w:cstheme="minorHAnsi"/>
          <w:sz w:val="26"/>
          <w:szCs w:val="26"/>
          <w14:ligatures w14:val="standardContextual"/>
        </w:rPr>
        <w:t>prin</w:t>
      </w:r>
      <w:r w:rsidR="00C707CD" w:rsidRPr="004A72CD">
        <w:rPr>
          <w:rFonts w:asciiTheme="minorHAnsi" w:hAnsiTheme="minorHAnsi" w:cstheme="minorHAnsi"/>
          <w:sz w:val="26"/>
          <w:szCs w:val="26"/>
          <w14:ligatures w14:val="standardContextual"/>
        </w:rPr>
        <w:t xml:space="preserve"> adresa nr. 12790 din data de 07</w:t>
      </w:r>
      <w:r w:rsidR="00267F0E" w:rsidRPr="004A72CD">
        <w:rPr>
          <w:rFonts w:asciiTheme="minorHAnsi" w:hAnsiTheme="minorHAnsi" w:cstheme="minorHAnsi"/>
          <w:sz w:val="26"/>
          <w:szCs w:val="26"/>
          <w14:ligatures w14:val="standardContextual"/>
        </w:rPr>
        <w:t xml:space="preserve"> octombrie </w:t>
      </w:r>
      <w:r w:rsidR="00C707CD" w:rsidRPr="004A72CD">
        <w:rPr>
          <w:rFonts w:asciiTheme="minorHAnsi" w:hAnsiTheme="minorHAnsi" w:cstheme="minorHAnsi"/>
          <w:sz w:val="26"/>
          <w:szCs w:val="26"/>
          <w14:ligatures w14:val="standardContextual"/>
        </w:rPr>
        <w:t>2024.</w:t>
      </w:r>
    </w:p>
    <w:p w14:paraId="2C1723A5" w14:textId="33050A1E" w:rsidR="00C707CD" w:rsidRPr="004A72CD" w:rsidRDefault="00C707CD" w:rsidP="00D51F5A">
      <w:pPr>
        <w:pStyle w:val="NormalWeb"/>
        <w:shd w:val="clear" w:color="auto" w:fill="FFFFFF"/>
        <w:spacing w:before="0" w:beforeAutospacing="0" w:after="0" w:afterAutospacing="0" w:line="276" w:lineRule="auto"/>
        <w:ind w:firstLine="708"/>
        <w:jc w:val="both"/>
        <w:rPr>
          <w:rFonts w:asciiTheme="minorHAnsi" w:hAnsiTheme="minorHAnsi" w:cstheme="minorHAnsi"/>
          <w:iCs/>
          <w:sz w:val="26"/>
          <w:szCs w:val="26"/>
          <w14:shadow w14:blurRad="63500" w14:dist="50800" w14:dir="13500000" w14:sx="0" w14:sy="0" w14:kx="0" w14:ky="0" w14:algn="none">
            <w14:srgbClr w14:val="000000">
              <w14:alpha w14:val="50000"/>
            </w14:srgbClr>
          </w14:shadow>
        </w:rPr>
      </w:pPr>
      <w:r w:rsidRPr="004A72CD">
        <w:rPr>
          <w:rFonts w:asciiTheme="minorHAnsi" w:hAnsiTheme="minorHAnsi" w:cstheme="minorHAnsi"/>
          <w:sz w:val="26"/>
          <w:szCs w:val="26"/>
        </w:rPr>
        <w:t>Totodată, prin adresa nr. 14104 din data de 29</w:t>
      </w:r>
      <w:r w:rsidR="00267F0E" w:rsidRPr="004A72CD">
        <w:rPr>
          <w:rFonts w:asciiTheme="minorHAnsi" w:hAnsiTheme="minorHAnsi" w:cstheme="minorHAnsi"/>
          <w:sz w:val="26"/>
          <w:szCs w:val="26"/>
        </w:rPr>
        <w:t xml:space="preserve"> august </w:t>
      </w:r>
      <w:r w:rsidRPr="004A72CD">
        <w:rPr>
          <w:rFonts w:asciiTheme="minorHAnsi" w:hAnsiTheme="minorHAnsi" w:cstheme="minorHAnsi"/>
          <w:sz w:val="26"/>
          <w:szCs w:val="26"/>
        </w:rPr>
        <w:t xml:space="preserve">2024, </w:t>
      </w: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având în vedere ultima formă a proiectul Ordonanței de </w:t>
      </w:r>
      <w:r w:rsidR="00E531B9"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U</w:t>
      </w: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rgență pentru reglementarea unor măsuri fiscal-bugetare în domeniul gestionării creanțelor bugetare și a deficitului bugetar pentru bugetul general consolidat al României, în anul 2024, precum și pentru modificarea și completarea unor acte normative, </w:t>
      </w:r>
      <w:r w:rsidRPr="004A72CD">
        <w:rPr>
          <w:rFonts w:asciiTheme="minorHAnsi" w:hAnsiTheme="minorHAnsi" w:cstheme="minorHAnsi"/>
          <w:sz w:val="26"/>
          <w:szCs w:val="26"/>
        </w:rPr>
        <w:t xml:space="preserve">Consiliul Superior al Magistraturii a solicitat Ministerului Finanţelor sprijinul în </w:t>
      </w:r>
      <w:r w:rsidRPr="004A72CD">
        <w:rPr>
          <w:rFonts w:asciiTheme="minorHAnsi" w:hAnsiTheme="minorHAnsi" w:cstheme="minorHAnsi"/>
          <w:iCs/>
          <w:sz w:val="26"/>
          <w:szCs w:val="26"/>
          <w14:shadow w14:blurRad="63500" w14:dist="50800" w14:dir="13500000" w14:sx="0" w14:sy="0" w14:kx="0" w14:ky="0" w14:algn="none">
            <w14:srgbClr w14:val="000000">
              <w14:alpha w14:val="50000"/>
            </w14:srgbClr>
          </w14:shadow>
        </w:rPr>
        <w:t xml:space="preserve">vederea completării proiectului de act normativ cu dispoziții care să permită funcționarea instituțiilor din sistemul judiciar în contextul măsurilor fiscal-bugetare propuse. Consiliul a expus în adresa menţionată considerentele pentru care </w:t>
      </w:r>
      <w:r w:rsidRPr="004A72CD">
        <w:rPr>
          <w:rFonts w:asciiTheme="minorHAnsi" w:hAnsiTheme="minorHAnsi" w:cstheme="minorHAnsi"/>
          <w:bCs/>
          <w:sz w:val="26"/>
          <w:szCs w:val="26"/>
          <w14:shadow w14:blurRad="63500" w14:dist="50800" w14:dir="13500000" w14:sx="0" w14:sy="0" w14:kx="0" w14:ky="0" w14:algn="none">
            <w14:srgbClr w14:val="000000">
              <w14:alpha w14:val="50000"/>
            </w14:srgbClr>
          </w14:shadow>
        </w:rPr>
        <w:t>demersul normativ de adoptare a unor măsuri fiscal-bugetare trebuie să se realizeze cu echilibru și cu luarea în considerare a tuturor aspectelor specifice autorității judecătorești, pentru a evita producerea</w:t>
      </w:r>
      <w:r w:rsidR="007247C5" w:rsidRPr="004A72CD">
        <w:rPr>
          <w:rFonts w:asciiTheme="minorHAnsi" w:hAnsiTheme="minorHAnsi" w:cstheme="minorHAnsi"/>
          <w:bCs/>
          <w:sz w:val="26"/>
          <w:szCs w:val="26"/>
          <w14:shadow w14:blurRad="63500" w14:dist="50800" w14:dir="13500000" w14:sx="0" w14:sy="0" w14:kx="0" w14:ky="0" w14:algn="none">
            <w14:srgbClr w14:val="000000">
              <w14:alpha w14:val="50000"/>
            </w14:srgbClr>
          </w14:shadow>
        </w:rPr>
        <w:t xml:space="preserve"> </w:t>
      </w:r>
      <w:r w:rsidRPr="004A72CD">
        <w:rPr>
          <w:rFonts w:asciiTheme="minorHAnsi" w:hAnsiTheme="minorHAnsi" w:cstheme="minorHAnsi"/>
          <w:bCs/>
          <w:sz w:val="26"/>
          <w:szCs w:val="26"/>
          <w14:shadow w14:blurRad="63500" w14:dist="50800" w14:dir="13500000" w14:sx="0" w14:sy="0" w14:kx="0" w14:ky="0" w14:algn="none">
            <w14:srgbClr w14:val="000000">
              <w14:alpha w14:val="50000"/>
            </w14:srgbClr>
          </w14:shadow>
        </w:rPr>
        <w:t>unor</w:t>
      </w:r>
      <w:r w:rsidR="007247C5" w:rsidRPr="004A72CD">
        <w:rPr>
          <w:rFonts w:asciiTheme="minorHAnsi" w:hAnsiTheme="minorHAnsi" w:cstheme="minorHAnsi"/>
          <w:bCs/>
          <w:sz w:val="26"/>
          <w:szCs w:val="26"/>
          <w14:shadow w14:blurRad="63500" w14:dist="50800" w14:dir="13500000" w14:sx="0" w14:sy="0" w14:kx="0" w14:ky="0" w14:algn="none">
            <w14:srgbClr w14:val="000000">
              <w14:alpha w14:val="50000"/>
            </w14:srgbClr>
          </w14:shadow>
        </w:rPr>
        <w:t xml:space="preserve"> </w:t>
      </w:r>
      <w:r w:rsidRPr="004A72CD">
        <w:rPr>
          <w:rFonts w:asciiTheme="minorHAnsi" w:hAnsiTheme="minorHAnsi" w:cstheme="minorHAnsi"/>
          <w:bCs/>
          <w:sz w:val="26"/>
          <w:szCs w:val="26"/>
          <w14:shadow w14:blurRad="63500" w14:dist="50800" w14:dir="13500000" w14:sx="0" w14:sy="0" w14:kx="0" w14:ky="0" w14:algn="none">
            <w14:srgbClr w14:val="000000">
              <w14:alpha w14:val="50000"/>
            </w14:srgbClr>
          </w14:shadow>
        </w:rPr>
        <w:t xml:space="preserve">consecințe grave, pe termen lung, asupra activității instituțiilor din sistemul judiciar. </w:t>
      </w:r>
    </w:p>
    <w:p w14:paraId="5854B27A" w14:textId="77777777" w:rsidR="00C707CD" w:rsidRPr="004A72CD" w:rsidRDefault="00C707CD"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Nu în ultimul rând, trebuie menționată participarea reprezentanților Consiliului la lucrările diverselor</w:t>
      </w:r>
      <w:r w:rsidRPr="004A72CD">
        <w:rPr>
          <w:rFonts w:asciiTheme="minorHAnsi" w:hAnsiTheme="minorHAnsi" w:cstheme="minorHAnsi"/>
          <w:bCs/>
          <w:sz w:val="26"/>
          <w:szCs w:val="26"/>
        </w:rPr>
        <w:t xml:space="preserve"> </w:t>
      </w:r>
      <w:r w:rsidRPr="004A72CD">
        <w:rPr>
          <w:rFonts w:asciiTheme="minorHAnsi" w:hAnsiTheme="minorHAnsi" w:cstheme="minorHAnsi"/>
          <w:b/>
          <w:sz w:val="26"/>
          <w:szCs w:val="26"/>
        </w:rPr>
        <w:t>grupuri de lucru interinstituţionale</w:t>
      </w:r>
      <w:r w:rsidRPr="004A72CD">
        <w:rPr>
          <w:rFonts w:asciiTheme="minorHAnsi" w:hAnsiTheme="minorHAnsi" w:cstheme="minorHAnsi"/>
          <w:bCs/>
          <w:sz w:val="26"/>
          <w:szCs w:val="26"/>
        </w:rPr>
        <w:t xml:space="preserve"> </w:t>
      </w:r>
      <w:r w:rsidRPr="004A72CD">
        <w:rPr>
          <w:rFonts w:asciiTheme="minorHAnsi" w:hAnsiTheme="minorHAnsi" w:cstheme="minorHAnsi"/>
          <w:sz w:val="26"/>
          <w:szCs w:val="26"/>
        </w:rPr>
        <w:t xml:space="preserve">constituite la nivelul Consiliului Superior al Magistraturii, Ministerului Justiţiei sau, după caz, la nivelul altor instituții, pe teme privind sistemul judiciar. De asemenea, reprezentanți ai Consiliului Superior al Magistraturii au participat la mai multe întâlniri de lucru organizate de Ministerul Justiției. </w:t>
      </w:r>
    </w:p>
    <w:p w14:paraId="444FE629" w14:textId="77777777" w:rsidR="00C707CD" w:rsidRPr="004A72CD" w:rsidRDefault="00C707CD"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În contextul preocupărilor Consiliului Superior al Magistraturii pentru reducerea volumului de activitate al judecătorilor, în şedinţa din data de 11 aprilie 2024 a Comisiei nr. 1 judecători – „Legislaţie şi cooperare interinstituţională” s-a decis constituirea unui grup de lucru care să identifice soluţii adecvate şi să formuleze propuneri legislative în vederea degrevării instanţelor judecătoreşti şi a activităţii judecătorilor.</w:t>
      </w:r>
    </w:p>
    <w:p w14:paraId="483D85B1" w14:textId="2E1E9447" w:rsidR="00C707CD" w:rsidRPr="004A72CD" w:rsidRDefault="00C707CD"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lastRenderedPageBreak/>
        <w:t xml:space="preserve">La invitaţia Guvernului României, comunicată prin poştă electronică la data de </w:t>
      </w:r>
      <w:r w:rsidR="00FE268D" w:rsidRPr="004A72CD">
        <w:rPr>
          <w:rFonts w:asciiTheme="minorHAnsi" w:hAnsiTheme="minorHAnsi" w:cstheme="minorHAnsi"/>
          <w:sz w:val="26"/>
          <w:szCs w:val="26"/>
        </w:rPr>
        <w:t>0</w:t>
      </w:r>
      <w:r w:rsidRPr="004A72CD">
        <w:rPr>
          <w:rFonts w:asciiTheme="minorHAnsi" w:hAnsiTheme="minorHAnsi" w:cstheme="minorHAnsi"/>
          <w:sz w:val="26"/>
          <w:szCs w:val="26"/>
        </w:rPr>
        <w:t>5 ianuarie 2024, un reprezentant al Consiliului Superior al Magistraturii a participat la şedinţa din data de 17 ianuarie 2024 a Comitetului interministerial pentru monitorizarea implementării Strategiei naționale pentru prevenirea și combaterea antisemitismului, xenofobiei, radicalizării și discursului instigator la ură, aferente perioadei 2021</w:t>
      </w:r>
      <w:r w:rsidR="007247C5" w:rsidRPr="004A72CD">
        <w:rPr>
          <w:rFonts w:asciiTheme="minorHAnsi" w:hAnsiTheme="minorHAnsi" w:cstheme="minorHAnsi"/>
          <w:sz w:val="26"/>
          <w:szCs w:val="26"/>
        </w:rPr>
        <w:t xml:space="preserve"> </w:t>
      </w:r>
      <w:r w:rsidRPr="004A72CD">
        <w:rPr>
          <w:rFonts w:asciiTheme="minorHAnsi" w:hAnsiTheme="minorHAnsi" w:cstheme="minorHAnsi"/>
          <w:sz w:val="26"/>
          <w:szCs w:val="26"/>
        </w:rPr>
        <w:t>-</w:t>
      </w:r>
      <w:r w:rsidR="007247C5" w:rsidRPr="004A72CD">
        <w:rPr>
          <w:rFonts w:asciiTheme="minorHAnsi" w:hAnsiTheme="minorHAnsi" w:cstheme="minorHAnsi"/>
          <w:sz w:val="26"/>
          <w:szCs w:val="26"/>
        </w:rPr>
        <w:t xml:space="preserve"> </w:t>
      </w:r>
      <w:r w:rsidRPr="004A72CD">
        <w:rPr>
          <w:rFonts w:asciiTheme="minorHAnsi" w:hAnsiTheme="minorHAnsi" w:cstheme="minorHAnsi"/>
          <w:sz w:val="26"/>
          <w:szCs w:val="26"/>
        </w:rPr>
        <w:t>2023 şi, respectiv, a Comitetului interministerial pentru elaborarea Strategiei naţionale pentru prevenirea și combaterea antisemitismului, xenofobiei, radicalizării și discursului instigator la ură, aferentă perioadei 2024</w:t>
      </w:r>
      <w:r w:rsidR="007247C5" w:rsidRPr="004A72CD">
        <w:rPr>
          <w:rFonts w:asciiTheme="minorHAnsi" w:hAnsiTheme="minorHAnsi" w:cstheme="minorHAnsi"/>
          <w:sz w:val="26"/>
          <w:szCs w:val="26"/>
        </w:rPr>
        <w:t xml:space="preserve"> </w:t>
      </w:r>
      <w:r w:rsidRPr="004A72CD">
        <w:rPr>
          <w:rFonts w:asciiTheme="minorHAnsi" w:hAnsiTheme="minorHAnsi" w:cstheme="minorHAnsi"/>
          <w:sz w:val="26"/>
          <w:szCs w:val="26"/>
        </w:rPr>
        <w:t>-</w:t>
      </w:r>
      <w:r w:rsidR="007247C5" w:rsidRPr="004A72CD">
        <w:rPr>
          <w:rFonts w:asciiTheme="minorHAnsi" w:hAnsiTheme="minorHAnsi" w:cstheme="minorHAnsi"/>
          <w:sz w:val="26"/>
          <w:szCs w:val="26"/>
        </w:rPr>
        <w:t xml:space="preserve"> </w:t>
      </w:r>
      <w:r w:rsidRPr="004A72CD">
        <w:rPr>
          <w:rFonts w:asciiTheme="minorHAnsi" w:hAnsiTheme="minorHAnsi" w:cstheme="minorHAnsi"/>
          <w:sz w:val="26"/>
          <w:szCs w:val="26"/>
        </w:rPr>
        <w:t>2027.</w:t>
      </w:r>
    </w:p>
    <w:p w14:paraId="7B3EA61F" w14:textId="77777777" w:rsidR="00C707CD" w:rsidRPr="004A72CD" w:rsidRDefault="00C707CD"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La invitaţia Ministerului Justiţiei, reprezentanţii Consiliului Superior al Magistraturii au participat la evenimentul dedicat validării rezultatelor </w:t>
      </w:r>
      <w:r w:rsidRPr="004A72CD">
        <w:rPr>
          <w:rFonts w:asciiTheme="minorHAnsi" w:hAnsiTheme="minorHAnsi" w:cstheme="minorHAnsi"/>
          <w:bCs/>
          <w:sz w:val="26"/>
          <w:szCs w:val="26"/>
        </w:rPr>
        <w:t>proiectului SECURE – o comunitate sigură, educată și angajată în mod responsabil, organizat la data de 12 martie 2024 în Bucureşti.</w:t>
      </w:r>
    </w:p>
    <w:p w14:paraId="2D77F6C3" w14:textId="26B4848C" w:rsidR="00C707CD" w:rsidRPr="004A72CD" w:rsidRDefault="00C707CD"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Reprezentanţi</w:t>
      </w:r>
      <w:r w:rsidR="007247C5" w:rsidRPr="004A72CD">
        <w:rPr>
          <w:rFonts w:asciiTheme="minorHAnsi" w:hAnsiTheme="minorHAnsi" w:cstheme="minorHAnsi"/>
          <w:sz w:val="26"/>
          <w:szCs w:val="26"/>
        </w:rPr>
        <w:t xml:space="preserve"> </w:t>
      </w:r>
      <w:r w:rsidRPr="004A72CD">
        <w:rPr>
          <w:rFonts w:asciiTheme="minorHAnsi" w:hAnsiTheme="minorHAnsi" w:cstheme="minorHAnsi"/>
          <w:sz w:val="26"/>
          <w:szCs w:val="26"/>
        </w:rPr>
        <w:t>ai</w:t>
      </w:r>
      <w:r w:rsidR="007247C5" w:rsidRPr="004A72CD">
        <w:rPr>
          <w:rFonts w:asciiTheme="minorHAnsi" w:hAnsiTheme="minorHAnsi" w:cstheme="minorHAnsi"/>
          <w:sz w:val="26"/>
          <w:szCs w:val="26"/>
        </w:rPr>
        <w:t xml:space="preserve"> </w:t>
      </w:r>
      <w:r w:rsidRPr="004A72CD">
        <w:rPr>
          <w:rFonts w:asciiTheme="minorHAnsi" w:hAnsiTheme="minorHAnsi" w:cstheme="minorHAnsi"/>
          <w:sz w:val="26"/>
          <w:szCs w:val="26"/>
        </w:rPr>
        <w:t>Consiliului Superior al Magistraturii au participat la discuţiile interinstituţionale organizate de Ministerul Justiţiei în anul 2024 vizând salarizarea personalului din justiţiei, precum şi la cele vizând adoptarea normelor metodologice de aplicare a prevederilor referitoare la stabilirea pensiilor de serviciu din Legea nr. 303/2022 privind statutul judecătorilor şi procurorilor.</w:t>
      </w:r>
    </w:p>
    <w:p w14:paraId="6E426849" w14:textId="24C0C295" w:rsidR="00C707CD" w:rsidRPr="004A72CD" w:rsidRDefault="00C707CD" w:rsidP="00D51F5A">
      <w:pPr>
        <w:tabs>
          <w:tab w:val="left" w:pos="709"/>
        </w:tabs>
        <w:spacing w:line="276" w:lineRule="auto"/>
        <w:ind w:firstLine="708"/>
        <w:jc w:val="both"/>
        <w:rPr>
          <w:rStyle w:val="NoSpacingChar"/>
          <w:rFonts w:asciiTheme="minorHAnsi" w:hAnsiTheme="minorHAnsi" w:cstheme="minorHAnsi"/>
          <w:sz w:val="26"/>
          <w:szCs w:val="26"/>
          <w:lang w:val="ro-RO"/>
        </w:rPr>
      </w:pPr>
      <w:r w:rsidRPr="004A72CD">
        <w:rPr>
          <w:rFonts w:asciiTheme="minorHAnsi" w:hAnsiTheme="minorHAnsi" w:cstheme="minorHAnsi"/>
          <w:bCs/>
          <w:sz w:val="26"/>
          <w:szCs w:val="26"/>
        </w:rPr>
        <w:t xml:space="preserve">Reprezentanţi ai Consiliului Superior al Magistraturii au participat la lucrările grupului tehnic de lucru constituit la nivelul Ministerului Justiţiei pentru analizarea propunerilor formulate de Comisia de la Veneţia. Totodată, în şedinţa din data de 19 septembrie 2024, </w:t>
      </w:r>
      <w:r w:rsidRPr="004A72CD">
        <w:rPr>
          <w:rFonts w:asciiTheme="minorHAnsi" w:hAnsiTheme="minorHAnsi" w:cstheme="minorHAnsi"/>
          <w:sz w:val="26"/>
          <w:szCs w:val="26"/>
        </w:rPr>
        <w:t xml:space="preserve">Comisia nr. 1 – reunită </w:t>
      </w:r>
      <w:r w:rsidR="00B66E27" w:rsidRPr="004A72CD">
        <w:rPr>
          <w:rFonts w:asciiTheme="minorHAnsi" w:hAnsiTheme="minorHAnsi" w:cstheme="minorHAnsi"/>
          <w:sz w:val="26"/>
          <w:szCs w:val="26"/>
        </w:rPr>
        <w:t>„</w:t>
      </w:r>
      <w:r w:rsidRPr="004A72CD">
        <w:rPr>
          <w:rFonts w:asciiTheme="minorHAnsi" w:hAnsiTheme="minorHAnsi" w:cstheme="minorHAnsi"/>
          <w:sz w:val="26"/>
          <w:szCs w:val="26"/>
        </w:rPr>
        <w:t xml:space="preserve">Legislație și cooperare interinstituțională” din cadrul Consiliului a analizat propunerea formulată la nivelul Ministerului Justiţiei vizând durata mandatelor funcţiilor de conducere prevăzute la art. 144 alin. (1) din Legea nr. 303/2022 privind statutul judecătorilor şi procurorilor. În legătură cu această problematică, Consiliul Superior al Magistraturii a apreciat în mod constant că reglementarea legală în vigoare, care prevede durata de 3 ani a mandatului funcţiei de conducere, cu posibilitatea reînvestirii o singură dată pentru un alt mandat de 3 ani, este corespunzătoare. </w:t>
      </w:r>
      <w:r w:rsidRPr="004A72CD">
        <w:rPr>
          <w:rStyle w:val="NoSpacingChar"/>
          <w:rFonts w:asciiTheme="minorHAnsi" w:hAnsiTheme="minorHAnsi" w:cstheme="minorHAnsi"/>
          <w:sz w:val="26"/>
          <w:szCs w:val="26"/>
          <w:lang w:val="ro-RO"/>
        </w:rPr>
        <w:t>Punctul de vedere al Comisiei a fost comunicat Ministerului Justiţiei, împreună cu argumentele care au fost avute în vedere, prin adresa nr. 19540/2023 din data de 23</w:t>
      </w:r>
      <w:r w:rsidR="000B452A" w:rsidRPr="004A72CD">
        <w:rPr>
          <w:rStyle w:val="NoSpacingChar"/>
          <w:rFonts w:asciiTheme="minorHAnsi" w:hAnsiTheme="minorHAnsi" w:cstheme="minorHAnsi"/>
          <w:sz w:val="26"/>
          <w:szCs w:val="26"/>
          <w:lang w:val="ro-RO"/>
        </w:rPr>
        <w:t xml:space="preserve"> septembrie </w:t>
      </w:r>
      <w:r w:rsidRPr="004A72CD">
        <w:rPr>
          <w:rStyle w:val="NoSpacingChar"/>
          <w:rFonts w:asciiTheme="minorHAnsi" w:hAnsiTheme="minorHAnsi" w:cstheme="minorHAnsi"/>
          <w:sz w:val="26"/>
          <w:szCs w:val="26"/>
          <w:lang w:val="ro-RO"/>
        </w:rPr>
        <w:t>2024.</w:t>
      </w:r>
    </w:p>
    <w:p w14:paraId="04A7A35F" w14:textId="1EB63D70" w:rsidR="00C707CD" w:rsidRPr="004A72CD" w:rsidRDefault="00C707CD" w:rsidP="00D51F5A">
      <w:pPr>
        <w:tabs>
          <w:tab w:val="left" w:pos="709"/>
        </w:tabs>
        <w:spacing w:line="276" w:lineRule="auto"/>
        <w:ind w:firstLine="708"/>
        <w:jc w:val="both"/>
        <w:rPr>
          <w:rStyle w:val="NoSpacingChar"/>
          <w:rFonts w:asciiTheme="minorHAnsi" w:hAnsiTheme="minorHAnsi" w:cstheme="minorHAnsi"/>
          <w:sz w:val="26"/>
          <w:szCs w:val="26"/>
          <w:lang w:val="ro-RO"/>
        </w:rPr>
      </w:pPr>
      <w:r w:rsidRPr="004A72CD">
        <w:rPr>
          <w:rStyle w:val="NoSpacingChar"/>
          <w:rFonts w:asciiTheme="minorHAnsi" w:hAnsiTheme="minorHAnsi" w:cstheme="minorHAnsi"/>
          <w:sz w:val="26"/>
          <w:szCs w:val="26"/>
          <w:lang w:val="ro-RO"/>
        </w:rPr>
        <w:t>La invitaţia Agenţiei Naţionale pentru Egalitatea de Şanse între Femei şi Bărbaţi, un reprezentant al Consiliului Superior al Magistraturii a participat la întâlnirile grupului de lucru pentru elaborarea modificărilor la Legea nr. 217/2003 pentru prevenirea şi combaterea violenţei domestice şi a Ordinul Ministerului Afacerilor Interne nr. 146/2018 privind modalitatea de gestionare a cazurilor de violenţă domestică de către poliţişti, din dat</w:t>
      </w:r>
      <w:r w:rsidR="00F8391B" w:rsidRPr="004A72CD">
        <w:rPr>
          <w:rStyle w:val="NoSpacingChar"/>
          <w:rFonts w:asciiTheme="minorHAnsi" w:hAnsiTheme="minorHAnsi" w:cstheme="minorHAnsi"/>
          <w:sz w:val="26"/>
          <w:szCs w:val="26"/>
          <w:lang w:val="ro-RO"/>
        </w:rPr>
        <w:t>ele</w:t>
      </w:r>
      <w:r w:rsidRPr="004A72CD">
        <w:rPr>
          <w:rStyle w:val="NoSpacingChar"/>
          <w:rFonts w:asciiTheme="minorHAnsi" w:hAnsiTheme="minorHAnsi" w:cstheme="minorHAnsi"/>
          <w:sz w:val="26"/>
          <w:szCs w:val="26"/>
          <w:lang w:val="ro-RO"/>
        </w:rPr>
        <w:t xml:space="preserve"> de </w:t>
      </w:r>
      <w:r w:rsidR="00FC6D2E" w:rsidRPr="004A72CD">
        <w:rPr>
          <w:rStyle w:val="NoSpacingChar"/>
          <w:rFonts w:asciiTheme="minorHAnsi" w:hAnsiTheme="minorHAnsi" w:cstheme="minorHAnsi"/>
          <w:sz w:val="26"/>
          <w:szCs w:val="26"/>
          <w:lang w:val="ro-RO"/>
        </w:rPr>
        <w:t>0</w:t>
      </w:r>
      <w:r w:rsidRPr="004A72CD">
        <w:rPr>
          <w:rStyle w:val="NoSpacingChar"/>
          <w:rFonts w:asciiTheme="minorHAnsi" w:hAnsiTheme="minorHAnsi" w:cstheme="minorHAnsi"/>
          <w:sz w:val="26"/>
          <w:szCs w:val="26"/>
          <w:lang w:val="ro-RO"/>
        </w:rPr>
        <w:t xml:space="preserve">5 martie 2024, </w:t>
      </w:r>
      <w:r w:rsidR="00FC6D2E" w:rsidRPr="004A72CD">
        <w:rPr>
          <w:rStyle w:val="NoSpacingChar"/>
          <w:rFonts w:asciiTheme="minorHAnsi" w:hAnsiTheme="minorHAnsi" w:cstheme="minorHAnsi"/>
          <w:sz w:val="26"/>
          <w:szCs w:val="26"/>
          <w:lang w:val="ro-RO"/>
        </w:rPr>
        <w:t>0</w:t>
      </w:r>
      <w:r w:rsidRPr="004A72CD">
        <w:rPr>
          <w:rStyle w:val="NoSpacingChar"/>
          <w:rFonts w:asciiTheme="minorHAnsi" w:hAnsiTheme="minorHAnsi" w:cstheme="minorHAnsi"/>
          <w:sz w:val="26"/>
          <w:szCs w:val="26"/>
          <w:lang w:val="ro-RO"/>
        </w:rPr>
        <w:t>8 mai 2024 şi 11 iunie 2024.</w:t>
      </w:r>
    </w:p>
    <w:p w14:paraId="2E3327E3" w14:textId="21ABC078" w:rsidR="00C707CD" w:rsidRPr="004A72CD" w:rsidRDefault="00C707CD" w:rsidP="00D51F5A">
      <w:pPr>
        <w:tabs>
          <w:tab w:val="left" w:pos="709"/>
        </w:tabs>
        <w:spacing w:line="276" w:lineRule="auto"/>
        <w:ind w:firstLine="708"/>
        <w:jc w:val="both"/>
        <w:rPr>
          <w:rStyle w:val="NoSpacingChar"/>
          <w:rFonts w:asciiTheme="minorHAnsi" w:hAnsiTheme="minorHAnsi" w:cstheme="minorHAnsi"/>
          <w:sz w:val="26"/>
          <w:szCs w:val="26"/>
          <w:lang w:val="ro-RO"/>
        </w:rPr>
      </w:pPr>
      <w:r w:rsidRPr="004A72CD">
        <w:rPr>
          <w:rStyle w:val="NoSpacingChar"/>
          <w:rFonts w:asciiTheme="minorHAnsi" w:hAnsiTheme="minorHAnsi" w:cstheme="minorHAnsi"/>
          <w:sz w:val="26"/>
          <w:szCs w:val="26"/>
          <w:lang w:val="ro-RO"/>
        </w:rPr>
        <w:t xml:space="preserve">La invitaţia Ministerului Justiţiei, </w:t>
      </w:r>
      <w:r w:rsidRPr="004A72CD">
        <w:rPr>
          <w:rFonts w:asciiTheme="minorHAnsi" w:hAnsiTheme="minorHAnsi" w:cstheme="minorHAnsi"/>
          <w:bCs/>
          <w:sz w:val="26"/>
          <w:szCs w:val="26"/>
        </w:rPr>
        <w:t xml:space="preserve">reprezentanţi ai Consiliului Superior al Magistraturii au participat la data de </w:t>
      </w:r>
      <w:r w:rsidR="00FF20E8" w:rsidRPr="004A72CD">
        <w:rPr>
          <w:rFonts w:asciiTheme="minorHAnsi" w:hAnsiTheme="minorHAnsi" w:cstheme="minorHAnsi"/>
          <w:bCs/>
          <w:sz w:val="26"/>
          <w:szCs w:val="26"/>
        </w:rPr>
        <w:t>0</w:t>
      </w:r>
      <w:r w:rsidRPr="004A72CD">
        <w:rPr>
          <w:rFonts w:asciiTheme="minorHAnsi" w:hAnsiTheme="minorHAnsi" w:cstheme="minorHAnsi"/>
          <w:bCs/>
          <w:sz w:val="26"/>
          <w:szCs w:val="26"/>
        </w:rPr>
        <w:t>3 aprilie 2024 la întâlnirea cu sindicatele grefierilor, discuţiile vizând măsurile prevăzute de Legea nr. 11/2024 privind statutul grefierilor şi al altor categorii de personal care ocupă funcţii de specialitate în cadrul instanţelor judecătoreşti, al parchetelor de pe lângă acestea şi al Institutului Naţional de Expertize Criminalistice.</w:t>
      </w:r>
    </w:p>
    <w:p w14:paraId="7B8E0807" w14:textId="31801609" w:rsidR="00C707CD" w:rsidRPr="004A72CD" w:rsidRDefault="00C707CD" w:rsidP="00D51F5A">
      <w:pPr>
        <w:tabs>
          <w:tab w:val="left" w:pos="709"/>
        </w:tabs>
        <w:spacing w:line="276" w:lineRule="auto"/>
        <w:ind w:firstLine="708"/>
        <w:jc w:val="both"/>
        <w:rPr>
          <w:rFonts w:asciiTheme="minorHAnsi" w:hAnsiTheme="minorHAnsi" w:cstheme="minorHAnsi"/>
          <w:sz w:val="26"/>
          <w:szCs w:val="26"/>
        </w:rPr>
      </w:pPr>
      <w:r w:rsidRPr="004A72CD">
        <w:rPr>
          <w:rStyle w:val="NoSpacingChar"/>
          <w:rFonts w:asciiTheme="minorHAnsi" w:hAnsiTheme="minorHAnsi" w:cstheme="minorHAnsi"/>
          <w:sz w:val="26"/>
          <w:szCs w:val="26"/>
          <w:lang w:val="ro-RO"/>
        </w:rPr>
        <w:t xml:space="preserve">Un reprezentant al Consiliului Superior al Magistraturii a participat la conferinţa internaţională „Între Legalitate </w:t>
      </w:r>
      <w:r w:rsidR="00F8391B" w:rsidRPr="004A72CD">
        <w:rPr>
          <w:rStyle w:val="NoSpacingChar"/>
          <w:rFonts w:asciiTheme="minorHAnsi" w:hAnsiTheme="minorHAnsi" w:cstheme="minorHAnsi"/>
          <w:sz w:val="26"/>
          <w:szCs w:val="26"/>
          <w:lang w:val="ro-RO"/>
        </w:rPr>
        <w:t>şi Moralitate</w:t>
      </w:r>
      <w:r w:rsidRPr="004A72CD">
        <w:rPr>
          <w:rStyle w:val="NoSpacingChar"/>
          <w:rFonts w:asciiTheme="minorHAnsi" w:hAnsiTheme="minorHAnsi" w:cstheme="minorHAnsi"/>
          <w:sz w:val="26"/>
          <w:szCs w:val="26"/>
          <w:lang w:val="ro-RO"/>
        </w:rPr>
        <w:t>: Dreptate pentru Persoanele cu Dizabilităţi Mintale. Executarea hotărârilor Curţii Europene Drepturilor Omului”, organizată de Centrul de Resurse Juridice şi Ministerul Public – Parchetul de pe lângă Înalta Curte de Casaţie şi Justiţie în perioada 24</w:t>
      </w:r>
      <w:r w:rsidR="00F8391B" w:rsidRPr="004A72CD">
        <w:rPr>
          <w:rStyle w:val="NoSpacingChar"/>
          <w:rFonts w:asciiTheme="minorHAnsi" w:hAnsiTheme="minorHAnsi" w:cstheme="minorHAnsi"/>
          <w:sz w:val="26"/>
          <w:szCs w:val="26"/>
          <w:lang w:val="ro-RO"/>
        </w:rPr>
        <w:t xml:space="preserve"> </w:t>
      </w:r>
      <w:r w:rsidRPr="004A72CD">
        <w:rPr>
          <w:rStyle w:val="NoSpacingChar"/>
          <w:rFonts w:asciiTheme="minorHAnsi" w:hAnsiTheme="minorHAnsi" w:cstheme="minorHAnsi"/>
          <w:sz w:val="26"/>
          <w:szCs w:val="26"/>
          <w:lang w:val="ro-RO"/>
        </w:rPr>
        <w:t>-</w:t>
      </w:r>
      <w:r w:rsidR="00F8391B" w:rsidRPr="004A72CD">
        <w:rPr>
          <w:rStyle w:val="NoSpacingChar"/>
          <w:rFonts w:asciiTheme="minorHAnsi" w:hAnsiTheme="minorHAnsi" w:cstheme="minorHAnsi"/>
          <w:sz w:val="26"/>
          <w:szCs w:val="26"/>
          <w:lang w:val="ro-RO"/>
        </w:rPr>
        <w:t xml:space="preserve"> </w:t>
      </w:r>
      <w:r w:rsidRPr="004A72CD">
        <w:rPr>
          <w:rStyle w:val="NoSpacingChar"/>
          <w:rFonts w:asciiTheme="minorHAnsi" w:hAnsiTheme="minorHAnsi" w:cstheme="minorHAnsi"/>
          <w:sz w:val="26"/>
          <w:szCs w:val="26"/>
          <w:lang w:val="ro-RO"/>
        </w:rPr>
        <w:t>25</w:t>
      </w:r>
      <w:r w:rsidR="00134A38" w:rsidRPr="004A72CD">
        <w:rPr>
          <w:rStyle w:val="NoSpacingChar"/>
          <w:rFonts w:asciiTheme="minorHAnsi" w:hAnsiTheme="minorHAnsi" w:cstheme="minorHAnsi"/>
          <w:sz w:val="26"/>
          <w:szCs w:val="26"/>
          <w:lang w:val="ro-RO"/>
        </w:rPr>
        <w:t>.04.</w:t>
      </w:r>
      <w:r w:rsidRPr="004A72CD">
        <w:rPr>
          <w:rStyle w:val="NoSpacingChar"/>
          <w:rFonts w:asciiTheme="minorHAnsi" w:hAnsiTheme="minorHAnsi" w:cstheme="minorHAnsi"/>
          <w:sz w:val="26"/>
          <w:szCs w:val="26"/>
          <w:lang w:val="ro-RO"/>
        </w:rPr>
        <w:t>2024 în Bucureşti.</w:t>
      </w:r>
    </w:p>
    <w:p w14:paraId="12D6E936" w14:textId="7970E502" w:rsidR="00C707CD" w:rsidRPr="004A72CD" w:rsidRDefault="00C707CD" w:rsidP="00D51F5A">
      <w:pPr>
        <w:spacing w:line="276" w:lineRule="auto"/>
        <w:ind w:firstLine="709"/>
        <w:jc w:val="both"/>
        <w:rPr>
          <w:rFonts w:asciiTheme="minorHAnsi" w:hAnsiTheme="minorHAnsi" w:cstheme="minorHAnsi"/>
          <w:bCs/>
          <w:sz w:val="26"/>
          <w:szCs w:val="26"/>
        </w:rPr>
      </w:pPr>
      <w:r w:rsidRPr="004A72CD">
        <w:rPr>
          <w:rFonts w:asciiTheme="minorHAnsi" w:hAnsiTheme="minorHAnsi" w:cstheme="minorHAnsi"/>
          <w:bCs/>
          <w:sz w:val="26"/>
          <w:szCs w:val="26"/>
        </w:rPr>
        <w:lastRenderedPageBreak/>
        <w:t>La invitaţia International Justice Mission (I</w:t>
      </w:r>
      <w:r w:rsidR="00DD5018" w:rsidRPr="004A72CD">
        <w:rPr>
          <w:rFonts w:asciiTheme="minorHAnsi" w:hAnsiTheme="minorHAnsi" w:cstheme="minorHAnsi"/>
          <w:bCs/>
          <w:sz w:val="26"/>
          <w:szCs w:val="26"/>
        </w:rPr>
        <w:t>.</w:t>
      </w:r>
      <w:r w:rsidRPr="004A72CD">
        <w:rPr>
          <w:rFonts w:asciiTheme="minorHAnsi" w:hAnsiTheme="minorHAnsi" w:cstheme="minorHAnsi"/>
          <w:bCs/>
          <w:sz w:val="26"/>
          <w:szCs w:val="26"/>
        </w:rPr>
        <w:t>J</w:t>
      </w:r>
      <w:r w:rsidR="00DD5018" w:rsidRPr="004A72CD">
        <w:rPr>
          <w:rFonts w:asciiTheme="minorHAnsi" w:hAnsiTheme="minorHAnsi" w:cstheme="minorHAnsi"/>
          <w:bCs/>
          <w:sz w:val="26"/>
          <w:szCs w:val="26"/>
        </w:rPr>
        <w:t>.</w:t>
      </w:r>
      <w:r w:rsidRPr="004A72CD">
        <w:rPr>
          <w:rFonts w:asciiTheme="minorHAnsi" w:hAnsiTheme="minorHAnsi" w:cstheme="minorHAnsi"/>
          <w:bCs/>
          <w:sz w:val="26"/>
          <w:szCs w:val="26"/>
        </w:rPr>
        <w:t>M</w:t>
      </w:r>
      <w:r w:rsidR="00DD5018" w:rsidRPr="004A72CD">
        <w:rPr>
          <w:rFonts w:asciiTheme="minorHAnsi" w:hAnsiTheme="minorHAnsi" w:cstheme="minorHAnsi"/>
          <w:bCs/>
          <w:sz w:val="26"/>
          <w:szCs w:val="26"/>
        </w:rPr>
        <w:t>.</w:t>
      </w:r>
      <w:r w:rsidRPr="004A72CD">
        <w:rPr>
          <w:rFonts w:asciiTheme="minorHAnsi" w:hAnsiTheme="minorHAnsi" w:cstheme="minorHAnsi"/>
          <w:bCs/>
          <w:sz w:val="26"/>
          <w:szCs w:val="26"/>
        </w:rPr>
        <w:t xml:space="preserve">), reprezentanţi ai </w:t>
      </w:r>
      <w:r w:rsidRPr="004A72CD">
        <w:rPr>
          <w:rStyle w:val="NoSpacingChar"/>
          <w:rFonts w:asciiTheme="minorHAnsi" w:hAnsiTheme="minorHAnsi" w:cstheme="minorHAnsi"/>
          <w:sz w:val="26"/>
          <w:szCs w:val="26"/>
          <w:lang w:val="ro-RO"/>
        </w:rPr>
        <w:t>Consiliului Superior al Magistraturii au participat la masa rotundă pe tema procedurii penale în cazurile de trafic de persoane, organizată în Bucureşti în dat</w:t>
      </w:r>
      <w:r w:rsidR="00F8391B" w:rsidRPr="004A72CD">
        <w:rPr>
          <w:rStyle w:val="NoSpacingChar"/>
          <w:rFonts w:asciiTheme="minorHAnsi" w:hAnsiTheme="minorHAnsi" w:cstheme="minorHAnsi"/>
          <w:sz w:val="26"/>
          <w:szCs w:val="26"/>
          <w:lang w:val="ro-RO"/>
        </w:rPr>
        <w:t>ele</w:t>
      </w:r>
      <w:r w:rsidRPr="004A72CD">
        <w:rPr>
          <w:rStyle w:val="NoSpacingChar"/>
          <w:rFonts w:asciiTheme="minorHAnsi" w:hAnsiTheme="minorHAnsi" w:cstheme="minorHAnsi"/>
          <w:sz w:val="26"/>
          <w:szCs w:val="26"/>
          <w:lang w:val="ro-RO"/>
        </w:rPr>
        <w:t xml:space="preserve"> de 24 aprilie 2024 şi 14 mai 2024.</w:t>
      </w:r>
    </w:p>
    <w:p w14:paraId="59BD690C" w14:textId="77777777" w:rsidR="00C707CD" w:rsidRPr="004A72CD" w:rsidRDefault="00C707CD" w:rsidP="00D51F5A">
      <w:pPr>
        <w:spacing w:line="276" w:lineRule="auto"/>
        <w:ind w:firstLine="709"/>
        <w:jc w:val="both"/>
        <w:rPr>
          <w:rFonts w:asciiTheme="minorHAnsi" w:hAnsiTheme="minorHAnsi" w:cstheme="minorHAnsi"/>
          <w:bCs/>
          <w:sz w:val="26"/>
          <w:szCs w:val="26"/>
        </w:rPr>
      </w:pPr>
      <w:r w:rsidRPr="004A72CD">
        <w:rPr>
          <w:rFonts w:asciiTheme="minorHAnsi" w:hAnsiTheme="minorHAnsi" w:cstheme="minorHAnsi"/>
          <w:bCs/>
          <w:sz w:val="26"/>
          <w:szCs w:val="26"/>
        </w:rPr>
        <w:t xml:space="preserve">La invitaţia United Nations High Commissioner for Refugees, reprezentanţi ai </w:t>
      </w:r>
      <w:r w:rsidRPr="004A72CD">
        <w:rPr>
          <w:rStyle w:val="NoSpacingChar"/>
          <w:rFonts w:asciiTheme="minorHAnsi" w:hAnsiTheme="minorHAnsi" w:cstheme="minorHAnsi"/>
          <w:sz w:val="26"/>
          <w:szCs w:val="26"/>
          <w:lang w:val="ro-RO"/>
        </w:rPr>
        <w:t>Consiliului Superior al Magistraturii au participat la lucrările grupului de lucru privind Apatridia din data de 29 mai 2024.</w:t>
      </w:r>
    </w:p>
    <w:p w14:paraId="5273E68C" w14:textId="77777777" w:rsidR="00C707CD" w:rsidRPr="004A72CD" w:rsidRDefault="00C707CD" w:rsidP="00D51F5A">
      <w:pPr>
        <w:spacing w:line="276" w:lineRule="auto"/>
        <w:ind w:firstLine="709"/>
        <w:jc w:val="both"/>
        <w:rPr>
          <w:rFonts w:asciiTheme="minorHAnsi" w:hAnsiTheme="minorHAnsi" w:cstheme="minorHAnsi"/>
          <w:sz w:val="26"/>
          <w:szCs w:val="26"/>
        </w:rPr>
      </w:pPr>
      <w:r w:rsidRPr="004A72CD">
        <w:rPr>
          <w:rStyle w:val="NoSpacingChar"/>
          <w:rFonts w:asciiTheme="minorHAnsi" w:hAnsiTheme="minorHAnsi" w:cstheme="minorHAnsi"/>
          <w:sz w:val="26"/>
          <w:szCs w:val="26"/>
          <w:lang w:val="ro-RO"/>
        </w:rPr>
        <w:t xml:space="preserve">La invitaţia Ministerului Justiţiei, </w:t>
      </w:r>
      <w:r w:rsidRPr="004A72CD">
        <w:rPr>
          <w:rFonts w:asciiTheme="minorHAnsi" w:hAnsiTheme="minorHAnsi" w:cstheme="minorHAnsi"/>
          <w:bCs/>
          <w:sz w:val="26"/>
          <w:szCs w:val="26"/>
        </w:rPr>
        <w:t>reprezentanţi ai Consiliului Superior al Magistraturii au participat la reuniunea Platformei de cooperare a autorităţilor independente şi a instituţiilor anticorupţie, organizată la data de 18 iunie 2024.</w:t>
      </w:r>
    </w:p>
    <w:p w14:paraId="436065FF" w14:textId="4A98E65D" w:rsidR="00C707CD" w:rsidRPr="004A72CD" w:rsidRDefault="00C707CD"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Instituţii cu atribuţii în domeniu au fost consultate cu privire la Propunerea legislativă pentru modificarea şi completarea Codului Penal (Bp. 299/2024) şi la Propunerea legislativă pentru modificarea şi completarea Legii nr. 211/2004 privind unele măsuri pentru asigurarea informării, sprijinirii şi protecţiei victimelor infracţiunii (Bp. 298/2024). Având în vedere că opiniile exprimate la nivelul Guvernului nu au putut conduce la formularea unor puncte de vedere unitare, s-a organizat un grup de lucru în scopul identificării unor soluţii convergente asupra propunerilor legislative, la care au fost invitaţi şi reprezentanţi ai Consiliului Superior al Magistraturii. Întâlnirea a avut loc la data de </w:t>
      </w:r>
      <w:r w:rsidR="00C5517C" w:rsidRPr="004A72CD">
        <w:rPr>
          <w:rFonts w:asciiTheme="minorHAnsi" w:hAnsiTheme="minorHAnsi" w:cstheme="minorHAnsi"/>
          <w:sz w:val="26"/>
          <w:szCs w:val="26"/>
        </w:rPr>
        <w:t>0</w:t>
      </w:r>
      <w:r w:rsidRPr="004A72CD">
        <w:rPr>
          <w:rFonts w:asciiTheme="minorHAnsi" w:hAnsiTheme="minorHAnsi" w:cstheme="minorHAnsi"/>
          <w:sz w:val="26"/>
          <w:szCs w:val="26"/>
        </w:rPr>
        <w:t>2 septembrie 2024 la Palatul Victoria.</w:t>
      </w:r>
    </w:p>
    <w:p w14:paraId="6435B902" w14:textId="77777777" w:rsidR="00C707CD" w:rsidRPr="004A72CD" w:rsidRDefault="00C707CD" w:rsidP="00D51F5A">
      <w:pPr>
        <w:tabs>
          <w:tab w:val="left" w:pos="709"/>
        </w:tabs>
        <w:spacing w:line="276" w:lineRule="auto"/>
        <w:ind w:firstLine="708"/>
        <w:jc w:val="both"/>
        <w:rPr>
          <w:rFonts w:asciiTheme="minorHAnsi" w:hAnsiTheme="minorHAnsi" w:cstheme="minorHAnsi"/>
          <w:bCs/>
          <w:sz w:val="26"/>
          <w:szCs w:val="26"/>
        </w:rPr>
      </w:pPr>
      <w:r w:rsidRPr="004A72CD">
        <w:rPr>
          <w:rStyle w:val="NoSpacingChar"/>
          <w:rFonts w:asciiTheme="minorHAnsi" w:hAnsiTheme="minorHAnsi" w:cstheme="minorHAnsi"/>
          <w:sz w:val="26"/>
          <w:szCs w:val="26"/>
          <w:lang w:val="ro-RO"/>
        </w:rPr>
        <w:t xml:space="preserve">La invitaţia Ministerului Justiţiei, la data de 12 septembrie 2024, </w:t>
      </w:r>
      <w:r w:rsidRPr="004A72CD">
        <w:rPr>
          <w:rFonts w:asciiTheme="minorHAnsi" w:hAnsiTheme="minorHAnsi" w:cstheme="minorHAnsi"/>
          <w:bCs/>
          <w:sz w:val="26"/>
          <w:szCs w:val="26"/>
        </w:rPr>
        <w:t>reprezentanţi ai Consiliului Superior al Magistraturii au participat la reuniunea de lucru organizată în vederea definitivării Proiectului de Hotărâre a Guvernului pentru aprobarea Normelor Metodologice de aplicare a prevederilor referitoare la stabilirea pensiilor de serviciu din Legea nr. 11/2024 privind statutul grefierilor şi al altor categorii de personal care ocupă funcţii de specialitate în cadrul instanţelor judecătoreşti, al parchetelor de pe lângă acestea şi al Institutului Naţional de Expertize Criminalistice.</w:t>
      </w:r>
    </w:p>
    <w:p w14:paraId="7C07659A" w14:textId="73289483" w:rsidR="00C707CD" w:rsidRDefault="00C707CD" w:rsidP="00D51F5A">
      <w:pPr>
        <w:tabs>
          <w:tab w:val="left" w:pos="709"/>
        </w:tabs>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Reprezentanţi ai Consiliului Superior al Magistraturii au participat, de asemenea, la reuniunile Consiliului de Management Strategic (C</w:t>
      </w:r>
      <w:r w:rsidR="00DD5018" w:rsidRPr="004A72CD">
        <w:rPr>
          <w:rFonts w:asciiTheme="minorHAnsi" w:hAnsiTheme="minorHAnsi" w:cstheme="minorHAnsi"/>
          <w:sz w:val="26"/>
          <w:szCs w:val="26"/>
        </w:rPr>
        <w:t>.</w:t>
      </w:r>
      <w:r w:rsidRPr="004A72CD">
        <w:rPr>
          <w:rFonts w:asciiTheme="minorHAnsi" w:hAnsiTheme="minorHAnsi" w:cstheme="minorHAnsi"/>
          <w:sz w:val="26"/>
          <w:szCs w:val="26"/>
        </w:rPr>
        <w:t>O</w:t>
      </w:r>
      <w:r w:rsidR="00DD5018" w:rsidRPr="004A72CD">
        <w:rPr>
          <w:rFonts w:asciiTheme="minorHAnsi" w:hAnsiTheme="minorHAnsi" w:cstheme="minorHAnsi"/>
          <w:sz w:val="26"/>
          <w:szCs w:val="26"/>
        </w:rPr>
        <w:t>.</w:t>
      </w:r>
      <w:r w:rsidRPr="004A72CD">
        <w:rPr>
          <w:rFonts w:asciiTheme="minorHAnsi" w:hAnsiTheme="minorHAnsi" w:cstheme="minorHAnsi"/>
          <w:sz w:val="26"/>
          <w:szCs w:val="26"/>
        </w:rPr>
        <w:t>M</w:t>
      </w:r>
      <w:r w:rsidR="00DD5018" w:rsidRPr="004A72CD">
        <w:rPr>
          <w:rFonts w:asciiTheme="minorHAnsi" w:hAnsiTheme="minorHAnsi" w:cstheme="minorHAnsi"/>
          <w:sz w:val="26"/>
          <w:szCs w:val="26"/>
        </w:rPr>
        <w:t>.</w:t>
      </w:r>
      <w:r w:rsidRPr="004A72CD">
        <w:rPr>
          <w:rFonts w:asciiTheme="minorHAnsi" w:hAnsiTheme="minorHAnsi" w:cstheme="minorHAnsi"/>
          <w:sz w:val="26"/>
          <w:szCs w:val="26"/>
        </w:rPr>
        <w:t>S</w:t>
      </w:r>
      <w:r w:rsidR="00DD5018" w:rsidRPr="004A72CD">
        <w:rPr>
          <w:rFonts w:asciiTheme="minorHAnsi" w:hAnsiTheme="minorHAnsi" w:cstheme="minorHAnsi"/>
          <w:sz w:val="26"/>
          <w:szCs w:val="26"/>
        </w:rPr>
        <w:t>.</w:t>
      </w:r>
      <w:r w:rsidRPr="004A72CD">
        <w:rPr>
          <w:rFonts w:asciiTheme="minorHAnsi" w:hAnsiTheme="minorHAnsi" w:cstheme="minorHAnsi"/>
          <w:sz w:val="26"/>
          <w:szCs w:val="26"/>
        </w:rPr>
        <w:t>), precum şi la reuniunile grupului tehnic de lucru (GTL) care sprijină activitatea C</w:t>
      </w:r>
      <w:r w:rsidR="00DD5018" w:rsidRPr="004A72CD">
        <w:rPr>
          <w:rFonts w:asciiTheme="minorHAnsi" w:hAnsiTheme="minorHAnsi" w:cstheme="minorHAnsi"/>
          <w:sz w:val="26"/>
          <w:szCs w:val="26"/>
        </w:rPr>
        <w:t>.</w:t>
      </w:r>
      <w:r w:rsidRPr="004A72CD">
        <w:rPr>
          <w:rFonts w:asciiTheme="minorHAnsi" w:hAnsiTheme="minorHAnsi" w:cstheme="minorHAnsi"/>
          <w:sz w:val="26"/>
          <w:szCs w:val="26"/>
        </w:rPr>
        <w:t>O</w:t>
      </w:r>
      <w:r w:rsidR="00DD5018" w:rsidRPr="004A72CD">
        <w:rPr>
          <w:rFonts w:asciiTheme="minorHAnsi" w:hAnsiTheme="minorHAnsi" w:cstheme="minorHAnsi"/>
          <w:sz w:val="26"/>
          <w:szCs w:val="26"/>
        </w:rPr>
        <w:t>.</w:t>
      </w:r>
      <w:r w:rsidRPr="004A72CD">
        <w:rPr>
          <w:rFonts w:asciiTheme="minorHAnsi" w:hAnsiTheme="minorHAnsi" w:cstheme="minorHAnsi"/>
          <w:sz w:val="26"/>
          <w:szCs w:val="26"/>
        </w:rPr>
        <w:t>M</w:t>
      </w:r>
      <w:r w:rsidR="00DD5018" w:rsidRPr="004A72CD">
        <w:rPr>
          <w:rFonts w:asciiTheme="minorHAnsi" w:hAnsiTheme="minorHAnsi" w:cstheme="minorHAnsi"/>
          <w:sz w:val="26"/>
          <w:szCs w:val="26"/>
        </w:rPr>
        <w:t>.</w:t>
      </w:r>
      <w:r w:rsidRPr="004A72CD">
        <w:rPr>
          <w:rFonts w:asciiTheme="minorHAnsi" w:hAnsiTheme="minorHAnsi" w:cstheme="minorHAnsi"/>
          <w:sz w:val="26"/>
          <w:szCs w:val="26"/>
        </w:rPr>
        <w:t>S</w:t>
      </w:r>
      <w:r w:rsidR="00DD5018" w:rsidRPr="004A72CD">
        <w:rPr>
          <w:rFonts w:asciiTheme="minorHAnsi" w:hAnsiTheme="minorHAnsi" w:cstheme="minorHAnsi"/>
          <w:sz w:val="26"/>
          <w:szCs w:val="26"/>
        </w:rPr>
        <w:t>.</w:t>
      </w:r>
      <w:r w:rsidRPr="004A72CD">
        <w:rPr>
          <w:rFonts w:asciiTheme="minorHAnsi" w:hAnsiTheme="minorHAnsi" w:cstheme="minorHAnsi"/>
          <w:sz w:val="26"/>
          <w:szCs w:val="26"/>
        </w:rPr>
        <w:t>.</w:t>
      </w:r>
    </w:p>
    <w:p w14:paraId="7E1A9C0A" w14:textId="1F4CF7AC" w:rsidR="00BF1266" w:rsidRPr="006B7D32" w:rsidRDefault="00BF1266" w:rsidP="00BF1266">
      <w:pPr>
        <w:tabs>
          <w:tab w:val="left" w:pos="709"/>
        </w:tabs>
        <w:spacing w:line="276" w:lineRule="auto"/>
        <w:ind w:firstLine="708"/>
        <w:jc w:val="both"/>
        <w:rPr>
          <w:rFonts w:asciiTheme="minorHAnsi" w:hAnsiTheme="minorHAnsi" w:cstheme="minorHAnsi"/>
          <w:sz w:val="26"/>
          <w:szCs w:val="26"/>
        </w:rPr>
      </w:pPr>
      <w:r w:rsidRPr="006B7D32">
        <w:rPr>
          <w:rFonts w:asciiTheme="minorHAnsi" w:hAnsiTheme="minorHAnsi" w:cstheme="minorHAnsi"/>
          <w:sz w:val="26"/>
          <w:szCs w:val="26"/>
        </w:rPr>
        <w:t>La invitaţia Ministerului Justiţiei, la data de 6 noiembrie 2024, reprezentanţi ai Consiliului Superior al Magistraturii au participat la o întâlnire de lucru vizând revizuirea strategiei de dezvoltare a sistemului judiciar 2022</w:t>
      </w:r>
      <w:r w:rsidR="006B7D32" w:rsidRPr="006B7D32">
        <w:rPr>
          <w:rFonts w:asciiTheme="minorHAnsi" w:hAnsiTheme="minorHAnsi" w:cstheme="minorHAnsi"/>
          <w:sz w:val="26"/>
          <w:szCs w:val="26"/>
        </w:rPr>
        <w:t xml:space="preserve"> </w:t>
      </w:r>
      <w:r w:rsidRPr="006B7D32">
        <w:rPr>
          <w:rFonts w:asciiTheme="minorHAnsi" w:hAnsiTheme="minorHAnsi" w:cstheme="minorHAnsi"/>
          <w:sz w:val="26"/>
          <w:szCs w:val="26"/>
        </w:rPr>
        <w:t>-</w:t>
      </w:r>
      <w:r w:rsidR="006B7D32" w:rsidRPr="006B7D32">
        <w:rPr>
          <w:rFonts w:asciiTheme="minorHAnsi" w:hAnsiTheme="minorHAnsi" w:cstheme="minorHAnsi"/>
          <w:sz w:val="26"/>
          <w:szCs w:val="26"/>
        </w:rPr>
        <w:t xml:space="preserve"> </w:t>
      </w:r>
      <w:r w:rsidRPr="006B7D32">
        <w:rPr>
          <w:rFonts w:asciiTheme="minorHAnsi" w:hAnsiTheme="minorHAnsi" w:cstheme="minorHAnsi"/>
          <w:sz w:val="26"/>
          <w:szCs w:val="26"/>
        </w:rPr>
        <w:t>2025 şi a planului de acţiune aferent, cu luarea în considerare a rezultatelor livrabilelor proiectului „Analiza funcţională şi strategia de dezvoltare a sistemului judiciar post 2020 (ASJ)”.</w:t>
      </w:r>
    </w:p>
    <w:p w14:paraId="10A5B0E5" w14:textId="2435CD14" w:rsidR="00BF1266" w:rsidRPr="00933E3B" w:rsidRDefault="00BF1266" w:rsidP="00BF1266">
      <w:pPr>
        <w:tabs>
          <w:tab w:val="left" w:pos="709"/>
        </w:tabs>
        <w:spacing w:line="276" w:lineRule="auto"/>
        <w:ind w:firstLine="708"/>
        <w:jc w:val="both"/>
        <w:rPr>
          <w:rFonts w:asciiTheme="minorHAnsi" w:hAnsiTheme="minorHAnsi" w:cstheme="minorHAnsi"/>
          <w:sz w:val="26"/>
          <w:szCs w:val="26"/>
        </w:rPr>
      </w:pPr>
      <w:r w:rsidRPr="006B7D32">
        <w:rPr>
          <w:rFonts w:asciiTheme="minorHAnsi" w:hAnsiTheme="minorHAnsi" w:cstheme="minorHAnsi"/>
          <w:sz w:val="26"/>
          <w:szCs w:val="26"/>
        </w:rPr>
        <w:t xml:space="preserve">În luna septembrie a acestui an a fost semnat documentul de formalizare a Parteneriatului Cadru privind Protecţia Copilului (CPCP) între Guvernul României şi Guvernul Statelor Unite ale Americii. CPCP se circumscrie parteneriatului strategic dintre România şi SUA şi are ca scop sprijinirea eforturilor continue şi consolidarea măsurilor adoptate la nivelul Guvernului României în vederea prevenirii şi combaterii traficului de minori. În acest context, în perioada 18-19 noiembrie 2024, un reprezentant al Consiliului Superior al Magistraturii a participat la întâlnirile organizate la sediul Guvernului ca urmare a vizitei delegaţiei CPC Office din cadrul Departamentului de Stat al SUA, având ca scop definitivarea activităţilor ce vor fi implementate </w:t>
      </w:r>
      <w:r w:rsidRPr="00933E3B">
        <w:rPr>
          <w:rFonts w:asciiTheme="minorHAnsi" w:hAnsiTheme="minorHAnsi" w:cstheme="minorHAnsi"/>
          <w:sz w:val="26"/>
          <w:szCs w:val="26"/>
        </w:rPr>
        <w:t>în cadrul CPCP.</w:t>
      </w:r>
    </w:p>
    <w:p w14:paraId="7CC5EB5A" w14:textId="77777777" w:rsidR="00933E3B" w:rsidRPr="00933E3B" w:rsidRDefault="00933E3B" w:rsidP="00933E3B">
      <w:pPr>
        <w:tabs>
          <w:tab w:val="left" w:pos="709"/>
        </w:tabs>
        <w:spacing w:line="276" w:lineRule="auto"/>
        <w:ind w:firstLine="708"/>
        <w:jc w:val="both"/>
        <w:rPr>
          <w:rFonts w:ascii="Calibri" w:eastAsia="Calibri" w:hAnsi="Calibri" w:cs="Calibri"/>
          <w:bCs/>
          <w:noProof w:val="0"/>
          <w:sz w:val="26"/>
          <w:szCs w:val="26"/>
        </w:rPr>
      </w:pPr>
      <w:r w:rsidRPr="00933E3B">
        <w:rPr>
          <w:rFonts w:ascii="Calibri" w:eastAsia="Calibri" w:hAnsi="Calibri" w:cs="Calibri"/>
          <w:noProof w:val="0"/>
          <w:sz w:val="26"/>
          <w:szCs w:val="26"/>
        </w:rPr>
        <w:lastRenderedPageBreak/>
        <w:t xml:space="preserve">La invitaţia Ministerului Justiţiei, la data de 16 decembrie 2024, un </w:t>
      </w:r>
      <w:r w:rsidRPr="00933E3B">
        <w:rPr>
          <w:rFonts w:ascii="Calibri" w:eastAsia="Calibri" w:hAnsi="Calibri" w:cs="Calibri"/>
          <w:bCs/>
          <w:noProof w:val="0"/>
          <w:sz w:val="26"/>
          <w:szCs w:val="26"/>
        </w:rPr>
        <w:t>reprezentant al Consiliului Superior al Magistraturii a participat la reuniunea Platformei de cooperare a autorităţilor independente şi a instituţiilor anticorupţie.</w:t>
      </w:r>
    </w:p>
    <w:p w14:paraId="4FE2CDE3" w14:textId="77777777" w:rsidR="00933E3B" w:rsidRPr="00933E3B" w:rsidRDefault="00933E3B" w:rsidP="00933E3B">
      <w:pPr>
        <w:tabs>
          <w:tab w:val="left" w:pos="709"/>
        </w:tabs>
        <w:spacing w:line="276" w:lineRule="auto"/>
        <w:ind w:firstLine="708"/>
        <w:jc w:val="both"/>
        <w:rPr>
          <w:rFonts w:ascii="Calibri" w:eastAsia="Calibri" w:hAnsi="Calibri" w:cs="Calibri"/>
          <w:noProof w:val="0"/>
          <w:sz w:val="26"/>
          <w:szCs w:val="26"/>
        </w:rPr>
      </w:pPr>
      <w:r w:rsidRPr="00933E3B">
        <w:rPr>
          <w:rFonts w:ascii="Calibri" w:eastAsia="Calibri" w:hAnsi="Calibri" w:cs="Calibri"/>
          <w:bCs/>
          <w:noProof w:val="0"/>
          <w:sz w:val="26"/>
          <w:szCs w:val="26"/>
        </w:rPr>
        <w:t>Având în vedere intenţia Ministerului Justiţiei de a analiza şi, dacă este cazul, de a îmbunătăţi cadrul legislativ în ceea ce priveşte prevenirea şi sancţionarea infracţiunilor de ură, a actelor de violenţă ori a ameninţărilor comise în spaţiul public, precum şi a legislaţiei referitoare la interzicerea organizaţiilor, simbolurilor şi faptelor cu caracter fascist, legionar, rasist sau xenofob şi a promovării cultului persoanelor vinovate de săvârşirea unor infracţiuni de genocid contra umanităţii şi de crime de război, un reprezentant al Consiliului Superior al Magistraturii a participat la întâlnirea grupului de lucru interinstituţional din data de 18 decembrie 2024.</w:t>
      </w:r>
    </w:p>
    <w:p w14:paraId="053FEC13" w14:textId="77777777" w:rsidR="00C707CD" w:rsidRPr="004A72CD" w:rsidRDefault="00C707CD"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b/>
          <w:sz w:val="26"/>
          <w:szCs w:val="26"/>
        </w:rPr>
        <w:t>C.</w:t>
      </w:r>
      <w:r w:rsidRPr="004A72CD">
        <w:rPr>
          <w:rFonts w:asciiTheme="minorHAnsi" w:hAnsiTheme="minorHAnsi" w:cstheme="minorHAnsi"/>
          <w:sz w:val="26"/>
          <w:szCs w:val="26"/>
        </w:rPr>
        <w:t xml:space="preserve"> Referitor la </w:t>
      </w:r>
      <w:r w:rsidRPr="004A72CD">
        <w:rPr>
          <w:rFonts w:asciiTheme="minorHAnsi" w:hAnsiTheme="minorHAnsi" w:cstheme="minorHAnsi"/>
          <w:b/>
          <w:sz w:val="26"/>
          <w:szCs w:val="26"/>
        </w:rPr>
        <w:t>relaţia Consiliului Superior al Magistraturii cu Preşedintele României</w:t>
      </w:r>
      <w:r w:rsidRPr="004A72CD">
        <w:rPr>
          <w:rFonts w:asciiTheme="minorHAnsi" w:hAnsiTheme="minorHAnsi" w:cstheme="minorHAnsi"/>
          <w:sz w:val="26"/>
          <w:szCs w:val="26"/>
        </w:rPr>
        <w:t>, aceasta s-a circumscris prevederilor art. 134 din Constituţia României, republicată, ale Legii nr. 305/2022 privind Consiliul Superior al Magistraturii şi ale Legii nr. 303/2022 privind statutul judecătorilor şi procurorilor.</w:t>
      </w:r>
    </w:p>
    <w:p w14:paraId="4BD79F7D" w14:textId="287AD147" w:rsidR="004A3440" w:rsidRDefault="00C707CD" w:rsidP="0028669F">
      <w:pPr>
        <w:tabs>
          <w:tab w:val="left" w:pos="5475"/>
        </w:tabs>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Astfel, au fost înaintate Președintelui României hotărârile Secțiilor Consiliului Superior al Magistraturii privind propunerile de numire şi eliberare în şi din funcțiile de execuție de judecător şi procuror.</w:t>
      </w:r>
    </w:p>
    <w:p w14:paraId="595D1FAA" w14:textId="77777777" w:rsidR="003D2F75" w:rsidRPr="004A3440" w:rsidRDefault="003D2F75" w:rsidP="00D51F5A">
      <w:pPr>
        <w:tabs>
          <w:tab w:val="left" w:pos="5475"/>
        </w:tabs>
        <w:spacing w:line="276" w:lineRule="auto"/>
        <w:ind w:firstLine="720"/>
        <w:jc w:val="both"/>
        <w:rPr>
          <w:rFonts w:asciiTheme="minorHAnsi" w:hAnsiTheme="minorHAnsi" w:cstheme="minorHAnsi"/>
          <w:b/>
          <w:bCs/>
          <w:sz w:val="26"/>
          <w:szCs w:val="26"/>
        </w:rPr>
      </w:pPr>
      <w:bookmarkStart w:id="64" w:name="_Toc155267880"/>
      <w:r w:rsidRPr="004A3440">
        <w:rPr>
          <w:rFonts w:asciiTheme="minorHAnsi" w:hAnsiTheme="minorHAnsi" w:cstheme="minorHAnsi"/>
          <w:b/>
          <w:bCs/>
          <w:sz w:val="26"/>
          <w:szCs w:val="26"/>
        </w:rPr>
        <w:t>Relația cu celelalte profesii juridice</w:t>
      </w:r>
      <w:bookmarkEnd w:id="64"/>
    </w:p>
    <w:p w14:paraId="6494A641" w14:textId="12F2A09A" w:rsidR="003D2F75" w:rsidRPr="004A3440" w:rsidRDefault="003D2F75" w:rsidP="00D51F5A">
      <w:pPr>
        <w:spacing w:line="276" w:lineRule="auto"/>
        <w:ind w:firstLine="720"/>
        <w:jc w:val="both"/>
        <w:rPr>
          <w:rFonts w:asciiTheme="minorHAnsi" w:hAnsiTheme="minorHAnsi" w:cstheme="minorHAnsi"/>
          <w:sz w:val="26"/>
          <w:szCs w:val="26"/>
        </w:rPr>
      </w:pPr>
      <w:r w:rsidRPr="004A3440">
        <w:rPr>
          <w:rFonts w:asciiTheme="minorHAnsi" w:hAnsiTheme="minorHAnsi" w:cstheme="minorHAnsi"/>
          <w:sz w:val="26"/>
          <w:szCs w:val="26"/>
        </w:rPr>
        <w:t>În cursul anului 202</w:t>
      </w:r>
      <w:r w:rsidR="00C206B1" w:rsidRPr="004A3440">
        <w:rPr>
          <w:rFonts w:asciiTheme="minorHAnsi" w:hAnsiTheme="minorHAnsi" w:cstheme="minorHAnsi"/>
          <w:sz w:val="26"/>
          <w:szCs w:val="26"/>
        </w:rPr>
        <w:t>4</w:t>
      </w:r>
      <w:r w:rsidRPr="004A3440">
        <w:rPr>
          <w:rFonts w:asciiTheme="minorHAnsi" w:hAnsiTheme="minorHAnsi" w:cstheme="minorHAnsi"/>
          <w:sz w:val="26"/>
          <w:szCs w:val="26"/>
        </w:rPr>
        <w:t xml:space="preserve">, în ceea ce privește relația cu celelalte profesii juridice, activitatea Consiliului Superior al Magistraturii a implicat o relaționare mai susținută cu corpul profesional al </w:t>
      </w:r>
      <w:r w:rsidR="009659B6" w:rsidRPr="004A3440">
        <w:rPr>
          <w:rFonts w:asciiTheme="minorHAnsi" w:hAnsiTheme="minorHAnsi" w:cstheme="minorHAnsi"/>
          <w:sz w:val="26"/>
          <w:szCs w:val="26"/>
        </w:rPr>
        <w:t>grefierilor</w:t>
      </w:r>
      <w:r w:rsidRPr="004A3440">
        <w:rPr>
          <w:rFonts w:asciiTheme="minorHAnsi" w:hAnsiTheme="minorHAnsi" w:cstheme="minorHAnsi"/>
          <w:sz w:val="26"/>
          <w:szCs w:val="26"/>
        </w:rPr>
        <w:t>.</w:t>
      </w:r>
    </w:p>
    <w:p w14:paraId="422BCEBA" w14:textId="76F7652D" w:rsidR="00E23BB7" w:rsidRPr="004A3440" w:rsidRDefault="003D2F75" w:rsidP="00D51F5A">
      <w:pPr>
        <w:spacing w:line="276" w:lineRule="auto"/>
        <w:ind w:firstLine="720"/>
        <w:jc w:val="both"/>
        <w:rPr>
          <w:rFonts w:asciiTheme="minorHAnsi" w:hAnsiTheme="minorHAnsi" w:cstheme="minorHAnsi"/>
          <w:bCs/>
          <w:sz w:val="26"/>
          <w:szCs w:val="26"/>
        </w:rPr>
      </w:pPr>
      <w:r w:rsidRPr="004A3440">
        <w:rPr>
          <w:rFonts w:asciiTheme="minorHAnsi" w:hAnsiTheme="minorHAnsi" w:cstheme="minorHAnsi"/>
          <w:bCs/>
          <w:sz w:val="26"/>
          <w:szCs w:val="26"/>
        </w:rPr>
        <w:t xml:space="preserve">La data de </w:t>
      </w:r>
      <w:r w:rsidR="009659B6" w:rsidRPr="004A3440">
        <w:rPr>
          <w:rFonts w:asciiTheme="minorHAnsi" w:hAnsiTheme="minorHAnsi" w:cstheme="minorHAnsi"/>
          <w:bCs/>
          <w:sz w:val="26"/>
          <w:szCs w:val="26"/>
        </w:rPr>
        <w:t>11</w:t>
      </w:r>
      <w:r w:rsidRPr="004A3440">
        <w:rPr>
          <w:rFonts w:asciiTheme="minorHAnsi" w:hAnsiTheme="minorHAnsi" w:cstheme="minorHAnsi"/>
          <w:bCs/>
          <w:sz w:val="26"/>
          <w:szCs w:val="26"/>
        </w:rPr>
        <w:t>.</w:t>
      </w:r>
      <w:r w:rsidR="009659B6" w:rsidRPr="004A3440">
        <w:rPr>
          <w:rFonts w:asciiTheme="minorHAnsi" w:hAnsiTheme="minorHAnsi" w:cstheme="minorHAnsi"/>
          <w:bCs/>
          <w:sz w:val="26"/>
          <w:szCs w:val="26"/>
        </w:rPr>
        <w:t>09</w:t>
      </w:r>
      <w:r w:rsidRPr="004A3440">
        <w:rPr>
          <w:rFonts w:asciiTheme="minorHAnsi" w:hAnsiTheme="minorHAnsi" w:cstheme="minorHAnsi"/>
          <w:bCs/>
          <w:sz w:val="26"/>
          <w:szCs w:val="26"/>
        </w:rPr>
        <w:t>.202</w:t>
      </w:r>
      <w:r w:rsidR="009659B6" w:rsidRPr="004A3440">
        <w:rPr>
          <w:rFonts w:asciiTheme="minorHAnsi" w:hAnsiTheme="minorHAnsi" w:cstheme="minorHAnsi"/>
          <w:bCs/>
          <w:sz w:val="26"/>
          <w:szCs w:val="26"/>
        </w:rPr>
        <w:t>4</w:t>
      </w:r>
      <w:r w:rsidRPr="004A3440">
        <w:rPr>
          <w:rFonts w:asciiTheme="minorHAnsi" w:hAnsiTheme="minorHAnsi" w:cstheme="minorHAnsi"/>
          <w:bCs/>
          <w:sz w:val="26"/>
          <w:szCs w:val="26"/>
        </w:rPr>
        <w:t xml:space="preserve"> a avut loc, la sediul Consiliului Superior al Magistraturii, întâlnire</w:t>
      </w:r>
      <w:r w:rsidR="0069000C" w:rsidRPr="004A3440">
        <w:rPr>
          <w:rFonts w:asciiTheme="minorHAnsi" w:hAnsiTheme="minorHAnsi" w:cstheme="minorHAnsi"/>
          <w:bCs/>
          <w:sz w:val="26"/>
          <w:szCs w:val="26"/>
        </w:rPr>
        <w:t xml:space="preserve">a de dezbatere publică, solicitată de Sindicatul Național al Grefei Judiciare Dicasterial </w:t>
      </w:r>
      <w:r w:rsidR="00EB3E57" w:rsidRPr="004A3440">
        <w:rPr>
          <w:rFonts w:asciiTheme="minorHAnsi" w:hAnsiTheme="minorHAnsi" w:cstheme="minorHAnsi"/>
          <w:bCs/>
          <w:sz w:val="26"/>
          <w:szCs w:val="26"/>
        </w:rPr>
        <w:t xml:space="preserve">care a vizat </w:t>
      </w:r>
      <w:r w:rsidR="00F96780" w:rsidRPr="004A3440">
        <w:rPr>
          <w:rFonts w:asciiTheme="minorHAnsi" w:hAnsiTheme="minorHAnsi" w:cstheme="minorHAnsi"/>
          <w:bCs/>
          <w:sz w:val="26"/>
          <w:szCs w:val="26"/>
        </w:rPr>
        <w:t>următoarele proiecte de acte normative</w:t>
      </w:r>
      <w:r w:rsidR="00872638" w:rsidRPr="004A3440">
        <w:rPr>
          <w:rFonts w:asciiTheme="minorHAnsi" w:hAnsiTheme="minorHAnsi" w:cstheme="minorHAnsi"/>
          <w:bCs/>
          <w:sz w:val="26"/>
          <w:szCs w:val="26"/>
        </w:rPr>
        <w:t>:</w:t>
      </w:r>
    </w:p>
    <w:p w14:paraId="066A8094" w14:textId="77777777" w:rsidR="00872638" w:rsidRPr="004A3440" w:rsidRDefault="00872638">
      <w:pPr>
        <w:numPr>
          <w:ilvl w:val="0"/>
          <w:numId w:val="43"/>
        </w:numPr>
        <w:tabs>
          <w:tab w:val="left" w:pos="986"/>
        </w:tabs>
        <w:spacing w:line="276" w:lineRule="auto"/>
        <w:ind w:firstLine="720"/>
        <w:jc w:val="both"/>
        <w:rPr>
          <w:rFonts w:asciiTheme="minorHAnsi" w:eastAsia="Franklin Gothic Medium" w:hAnsiTheme="minorHAnsi" w:cstheme="minorHAnsi"/>
          <w:sz w:val="26"/>
          <w:szCs w:val="26"/>
        </w:rPr>
      </w:pPr>
      <w:r w:rsidRPr="004A3440">
        <w:rPr>
          <w:rFonts w:asciiTheme="minorHAnsi" w:eastAsia="Franklin Gothic Medium" w:hAnsiTheme="minorHAnsi" w:cstheme="minorHAnsi"/>
          <w:sz w:val="26"/>
          <w:szCs w:val="26"/>
        </w:rPr>
        <w:t>proiectul de Hotărâre a Secţiei pentru judecători a Consiliului Superior al Magistraturii pentru modificarea şi completarea Regulamentului de ordine interioară al instanţelor judecătoreşti, aprobat prin Hotărârea Secţiei pentru judecători a Consiliului Superior al Magistraturii nr. 3243/2022;</w:t>
      </w:r>
    </w:p>
    <w:p w14:paraId="0D6A0B8F" w14:textId="5D1DAF68" w:rsidR="00872638" w:rsidRPr="004A3440" w:rsidRDefault="00872638">
      <w:pPr>
        <w:numPr>
          <w:ilvl w:val="0"/>
          <w:numId w:val="43"/>
        </w:numPr>
        <w:tabs>
          <w:tab w:val="left" w:pos="986"/>
        </w:tabs>
        <w:spacing w:before="5" w:line="276" w:lineRule="auto"/>
        <w:ind w:firstLine="720"/>
        <w:jc w:val="both"/>
        <w:rPr>
          <w:rFonts w:asciiTheme="minorHAnsi" w:eastAsia="Franklin Gothic Medium" w:hAnsiTheme="minorHAnsi" w:cstheme="minorHAnsi"/>
          <w:sz w:val="26"/>
          <w:szCs w:val="26"/>
        </w:rPr>
      </w:pPr>
      <w:r w:rsidRPr="004A3440">
        <w:rPr>
          <w:rFonts w:asciiTheme="minorHAnsi" w:eastAsia="Franklin Gothic Medium" w:hAnsiTheme="minorHAnsi" w:cstheme="minorHAnsi"/>
          <w:sz w:val="26"/>
          <w:szCs w:val="26"/>
        </w:rPr>
        <w:t>proiectul de Hotărâre a Secţiei pentru procurori a Consiliului Superior al Magistraturii pentru modificarea şi completarea Regulamentului de ordine interioară al</w:t>
      </w:r>
      <w:r w:rsidR="004A3440" w:rsidRPr="004A3440">
        <w:rPr>
          <w:rFonts w:asciiTheme="minorHAnsi" w:eastAsia="Franklin Gothic Medium" w:hAnsiTheme="minorHAnsi" w:cstheme="minorHAnsi"/>
          <w:sz w:val="26"/>
          <w:szCs w:val="26"/>
        </w:rPr>
        <w:t xml:space="preserve"> </w:t>
      </w:r>
      <w:r w:rsidRPr="004A3440">
        <w:rPr>
          <w:rFonts w:asciiTheme="minorHAnsi" w:eastAsia="Franklin Gothic Medium" w:hAnsiTheme="minorHAnsi" w:cstheme="minorHAnsi"/>
          <w:sz w:val="26"/>
          <w:szCs w:val="26"/>
        </w:rPr>
        <w:t>parchetelor, aprobat prin Hotărârea Secţiei pentru procurori a Consiliului Superior al Magistraturii nr. 1106/2023;</w:t>
      </w:r>
    </w:p>
    <w:p w14:paraId="384A34BB" w14:textId="77777777" w:rsidR="00872638" w:rsidRPr="004A3440" w:rsidRDefault="00872638">
      <w:pPr>
        <w:numPr>
          <w:ilvl w:val="0"/>
          <w:numId w:val="44"/>
        </w:numPr>
        <w:tabs>
          <w:tab w:val="left" w:pos="950"/>
        </w:tabs>
        <w:spacing w:line="276" w:lineRule="auto"/>
        <w:ind w:firstLine="727"/>
        <w:jc w:val="both"/>
        <w:rPr>
          <w:rFonts w:asciiTheme="minorHAnsi" w:eastAsia="Franklin Gothic Medium" w:hAnsiTheme="minorHAnsi" w:cstheme="minorHAnsi"/>
          <w:sz w:val="26"/>
          <w:szCs w:val="26"/>
        </w:rPr>
      </w:pPr>
      <w:r w:rsidRPr="004A3440">
        <w:rPr>
          <w:rFonts w:asciiTheme="minorHAnsi" w:eastAsia="Franklin Gothic Medium" w:hAnsiTheme="minorHAnsi" w:cstheme="minorHAnsi"/>
          <w:sz w:val="26"/>
          <w:szCs w:val="26"/>
        </w:rPr>
        <w:t>proiectul de Hotărâre a Plenului Consiliului Superior al Magistraturii pentru aprobarea Regulamentului privind organizarea şi desfăşurarea concursului pentru recrutarea grefierilor de şedinţă şi a grefierilor principali;</w:t>
      </w:r>
    </w:p>
    <w:p w14:paraId="11D5C43A" w14:textId="77777777" w:rsidR="00872638" w:rsidRPr="004A3440" w:rsidRDefault="00872638">
      <w:pPr>
        <w:numPr>
          <w:ilvl w:val="0"/>
          <w:numId w:val="44"/>
        </w:numPr>
        <w:tabs>
          <w:tab w:val="left" w:pos="950"/>
        </w:tabs>
        <w:spacing w:line="276" w:lineRule="auto"/>
        <w:ind w:firstLine="727"/>
        <w:jc w:val="both"/>
        <w:rPr>
          <w:rFonts w:asciiTheme="minorHAnsi" w:eastAsia="Franklin Gothic Medium" w:hAnsiTheme="minorHAnsi" w:cstheme="minorHAnsi"/>
          <w:sz w:val="26"/>
          <w:szCs w:val="26"/>
        </w:rPr>
      </w:pPr>
      <w:r w:rsidRPr="004A3440">
        <w:rPr>
          <w:rFonts w:asciiTheme="minorHAnsi" w:eastAsia="Franklin Gothic Medium" w:hAnsiTheme="minorHAnsi" w:cstheme="minorHAnsi"/>
          <w:sz w:val="26"/>
          <w:szCs w:val="26"/>
        </w:rPr>
        <w:t>proiectul de Hotărâre a Secţiei pentru judecători a Consiliului Superior al Magistraturii pentru aprobarea Regulamentului privind delegarea, detaşarea şi transferul grefierilor şi ale altor categorii de personal care ocupă funcţii de specialitate în cadrul instanţelor judecătoreşti;</w:t>
      </w:r>
    </w:p>
    <w:p w14:paraId="50D593D3" w14:textId="77777777" w:rsidR="00872638" w:rsidRPr="004A3440" w:rsidRDefault="00872638">
      <w:pPr>
        <w:numPr>
          <w:ilvl w:val="0"/>
          <w:numId w:val="44"/>
        </w:numPr>
        <w:tabs>
          <w:tab w:val="left" w:pos="950"/>
        </w:tabs>
        <w:spacing w:line="276" w:lineRule="auto"/>
        <w:ind w:firstLine="727"/>
        <w:jc w:val="both"/>
        <w:rPr>
          <w:rFonts w:asciiTheme="minorHAnsi" w:eastAsia="Franklin Gothic Medium" w:hAnsiTheme="minorHAnsi" w:cstheme="minorHAnsi"/>
          <w:sz w:val="26"/>
          <w:szCs w:val="26"/>
        </w:rPr>
      </w:pPr>
      <w:r w:rsidRPr="004A3440">
        <w:rPr>
          <w:rFonts w:asciiTheme="minorHAnsi" w:eastAsia="Franklin Gothic Medium" w:hAnsiTheme="minorHAnsi" w:cstheme="minorHAnsi"/>
          <w:sz w:val="26"/>
          <w:szCs w:val="26"/>
        </w:rPr>
        <w:t>proiectul de Hotărâre a Secţiei pentru procurori a Consiliului Superior al Magistraturii pentru aprobarea Regulamentului privind delegarea, detaşarea şi transferul grefierilor şi ale altor categorii de personal care ocupă funcţii de specialitate în cadrul parchetelor de pe lângă instanţele judecătoreşti;</w:t>
      </w:r>
    </w:p>
    <w:p w14:paraId="2C94ECAE" w14:textId="77777777" w:rsidR="00872638" w:rsidRPr="004A3440" w:rsidRDefault="00872638">
      <w:pPr>
        <w:numPr>
          <w:ilvl w:val="0"/>
          <w:numId w:val="44"/>
        </w:numPr>
        <w:tabs>
          <w:tab w:val="left" w:pos="950"/>
        </w:tabs>
        <w:spacing w:line="276" w:lineRule="auto"/>
        <w:ind w:firstLine="727"/>
        <w:jc w:val="both"/>
        <w:rPr>
          <w:rFonts w:asciiTheme="minorHAnsi" w:eastAsia="Franklin Gothic Medium" w:hAnsiTheme="minorHAnsi" w:cstheme="minorHAnsi"/>
          <w:sz w:val="26"/>
          <w:szCs w:val="26"/>
        </w:rPr>
      </w:pPr>
      <w:r w:rsidRPr="004A3440">
        <w:rPr>
          <w:rFonts w:asciiTheme="minorHAnsi" w:eastAsia="Franklin Gothic Medium" w:hAnsiTheme="minorHAnsi" w:cstheme="minorHAnsi"/>
          <w:sz w:val="26"/>
          <w:szCs w:val="26"/>
        </w:rPr>
        <w:lastRenderedPageBreak/>
        <w:t>proiectul de Hotărâre a Plenului Consiliului Superior al Magistraturii pentru aprobarea Regulamentului privind concediile grefierilor şi ale altor categorii de personal care ocupă funcţii de specialitate în cadrul instanţelor judecătoreşti şi al parchetelor de pe lângă acestea.</w:t>
      </w:r>
    </w:p>
    <w:p w14:paraId="7EF5C20D" w14:textId="6ABF74F8" w:rsidR="00E23BB7" w:rsidRPr="004A3440" w:rsidRDefault="005A52DC" w:rsidP="00D51F5A">
      <w:pPr>
        <w:spacing w:line="276" w:lineRule="auto"/>
        <w:ind w:firstLine="720"/>
        <w:jc w:val="both"/>
        <w:rPr>
          <w:rFonts w:asciiTheme="minorHAnsi" w:hAnsiTheme="minorHAnsi" w:cstheme="minorHAnsi"/>
          <w:bCs/>
          <w:sz w:val="26"/>
          <w:szCs w:val="26"/>
        </w:rPr>
      </w:pPr>
      <w:r w:rsidRPr="004A3440">
        <w:rPr>
          <w:rFonts w:asciiTheme="minorHAnsi" w:hAnsiTheme="minorHAnsi" w:cstheme="minorHAnsi"/>
          <w:bCs/>
          <w:sz w:val="26"/>
          <w:szCs w:val="26"/>
        </w:rPr>
        <w:t>Au fost discutate punctual aspectele semnalate de către reprezentanții Sindicatului Național al Grefei Judiciare Dicasterial</w:t>
      </w:r>
      <w:r w:rsidR="004B4830" w:rsidRPr="004A3440">
        <w:rPr>
          <w:rFonts w:asciiTheme="minorHAnsi" w:hAnsiTheme="minorHAnsi" w:cstheme="minorHAnsi"/>
          <w:bCs/>
          <w:sz w:val="26"/>
          <w:szCs w:val="26"/>
        </w:rPr>
        <w:t>, iar la finalul întâlnirii s-a arătat că toate propunerile și observațiile vor fi analizate în comisiile de specialitate ale Consiliului</w:t>
      </w:r>
      <w:r w:rsidR="00607C95" w:rsidRPr="004A3440">
        <w:rPr>
          <w:rFonts w:asciiTheme="minorHAnsi" w:hAnsiTheme="minorHAnsi" w:cstheme="minorHAnsi"/>
          <w:bCs/>
          <w:sz w:val="26"/>
          <w:szCs w:val="26"/>
        </w:rPr>
        <w:t>.</w:t>
      </w:r>
      <w:r w:rsidR="004B4830" w:rsidRPr="004A3440">
        <w:rPr>
          <w:rFonts w:asciiTheme="minorHAnsi" w:hAnsiTheme="minorHAnsi" w:cstheme="minorHAnsi"/>
          <w:bCs/>
          <w:sz w:val="26"/>
          <w:szCs w:val="26"/>
        </w:rPr>
        <w:t xml:space="preserve"> </w:t>
      </w:r>
    </w:p>
    <w:p w14:paraId="26B1BD64" w14:textId="710832F2" w:rsidR="00E23BB7" w:rsidRPr="004A3440" w:rsidRDefault="00E21C1C" w:rsidP="00D51F5A">
      <w:pPr>
        <w:spacing w:line="276" w:lineRule="auto"/>
        <w:ind w:firstLine="720"/>
        <w:jc w:val="both"/>
        <w:rPr>
          <w:rFonts w:asciiTheme="minorHAnsi" w:hAnsiTheme="minorHAnsi" w:cstheme="minorHAnsi"/>
          <w:bCs/>
          <w:sz w:val="26"/>
          <w:szCs w:val="26"/>
        </w:rPr>
      </w:pPr>
      <w:r w:rsidRPr="004A3440">
        <w:rPr>
          <w:rFonts w:asciiTheme="minorHAnsi" w:hAnsiTheme="minorHAnsi" w:cstheme="minorHAnsi"/>
          <w:bCs/>
          <w:sz w:val="26"/>
          <w:szCs w:val="26"/>
        </w:rPr>
        <w:t>Soluțiile adoptate în ședință s</w:t>
      </w:r>
      <w:r w:rsidR="000572CA" w:rsidRPr="004A3440">
        <w:rPr>
          <w:rFonts w:asciiTheme="minorHAnsi" w:hAnsiTheme="minorHAnsi" w:cstheme="minorHAnsi"/>
          <w:bCs/>
          <w:sz w:val="26"/>
          <w:szCs w:val="26"/>
        </w:rPr>
        <w:t>-au</w:t>
      </w:r>
      <w:r w:rsidRPr="004A3440">
        <w:rPr>
          <w:rFonts w:asciiTheme="minorHAnsi" w:hAnsiTheme="minorHAnsi" w:cstheme="minorHAnsi"/>
          <w:bCs/>
          <w:sz w:val="26"/>
          <w:szCs w:val="26"/>
        </w:rPr>
        <w:t xml:space="preserve"> consemn</w:t>
      </w:r>
      <w:r w:rsidR="001A5B92" w:rsidRPr="004A3440">
        <w:rPr>
          <w:rFonts w:asciiTheme="minorHAnsi" w:hAnsiTheme="minorHAnsi" w:cstheme="minorHAnsi"/>
          <w:bCs/>
          <w:sz w:val="26"/>
          <w:szCs w:val="26"/>
        </w:rPr>
        <w:t>at</w:t>
      </w:r>
      <w:r w:rsidRPr="004A3440">
        <w:rPr>
          <w:rFonts w:asciiTheme="minorHAnsi" w:hAnsiTheme="minorHAnsi" w:cstheme="minorHAnsi"/>
          <w:bCs/>
          <w:sz w:val="26"/>
          <w:szCs w:val="26"/>
        </w:rPr>
        <w:t xml:space="preserve"> într-o minută care</w:t>
      </w:r>
      <w:r w:rsidR="00994973" w:rsidRPr="004A3440">
        <w:rPr>
          <w:rFonts w:asciiTheme="minorHAnsi" w:hAnsiTheme="minorHAnsi" w:cstheme="minorHAnsi"/>
          <w:bCs/>
          <w:sz w:val="26"/>
          <w:szCs w:val="26"/>
        </w:rPr>
        <w:t xml:space="preserve"> este</w:t>
      </w:r>
      <w:r w:rsidRPr="004A3440">
        <w:rPr>
          <w:rFonts w:asciiTheme="minorHAnsi" w:hAnsiTheme="minorHAnsi" w:cstheme="minorHAnsi"/>
          <w:bCs/>
          <w:sz w:val="26"/>
          <w:szCs w:val="26"/>
        </w:rPr>
        <w:t xml:space="preserve"> </w:t>
      </w:r>
      <w:r w:rsidR="001A5B92" w:rsidRPr="004A3440">
        <w:rPr>
          <w:rFonts w:asciiTheme="minorHAnsi" w:hAnsiTheme="minorHAnsi" w:cstheme="minorHAnsi"/>
          <w:bCs/>
          <w:sz w:val="26"/>
          <w:szCs w:val="26"/>
        </w:rPr>
        <w:t xml:space="preserve">publicată pe site-ul </w:t>
      </w:r>
      <w:r w:rsidR="00994973" w:rsidRPr="004A3440">
        <w:rPr>
          <w:rFonts w:asciiTheme="minorHAnsi" w:hAnsiTheme="minorHAnsi" w:cstheme="minorHAnsi"/>
          <w:bCs/>
          <w:sz w:val="26"/>
          <w:szCs w:val="26"/>
        </w:rPr>
        <w:t>Consiliului Superior al Magistraturii.</w:t>
      </w:r>
    </w:p>
    <w:p w14:paraId="5583E336" w14:textId="4652F768" w:rsidR="003133FC" w:rsidRPr="004A3440" w:rsidRDefault="003D2F75" w:rsidP="00D51F5A">
      <w:pPr>
        <w:tabs>
          <w:tab w:val="left" w:pos="5475"/>
        </w:tabs>
        <w:spacing w:line="276" w:lineRule="auto"/>
        <w:ind w:firstLine="720"/>
        <w:jc w:val="both"/>
        <w:rPr>
          <w:rFonts w:asciiTheme="minorHAnsi" w:hAnsiTheme="minorHAnsi" w:cstheme="minorHAnsi"/>
          <w:b/>
          <w:bCs/>
          <w:sz w:val="26"/>
          <w:szCs w:val="26"/>
        </w:rPr>
      </w:pPr>
      <w:bookmarkStart w:id="65" w:name="_Toc155267881"/>
      <w:r w:rsidRPr="004A3440">
        <w:rPr>
          <w:rFonts w:asciiTheme="minorHAnsi" w:hAnsiTheme="minorHAnsi" w:cstheme="minorHAnsi"/>
          <w:b/>
          <w:bCs/>
          <w:sz w:val="26"/>
          <w:szCs w:val="26"/>
        </w:rPr>
        <w:t>Educație juridică</w:t>
      </w:r>
      <w:bookmarkEnd w:id="65"/>
    </w:p>
    <w:p w14:paraId="4555656B" w14:textId="77777777" w:rsidR="0001200A" w:rsidRPr="004A3440" w:rsidRDefault="0001200A" w:rsidP="00D51F5A">
      <w:pPr>
        <w:spacing w:line="276" w:lineRule="auto"/>
        <w:ind w:firstLine="708"/>
        <w:jc w:val="both"/>
        <w:rPr>
          <w:rFonts w:asciiTheme="minorHAnsi" w:hAnsiTheme="minorHAnsi" w:cstheme="minorHAnsi"/>
          <w:sz w:val="26"/>
          <w:szCs w:val="26"/>
        </w:rPr>
      </w:pPr>
      <w:r w:rsidRPr="004A3440">
        <w:rPr>
          <w:rFonts w:asciiTheme="minorHAnsi" w:hAnsiTheme="minorHAnsi" w:cstheme="minorHAnsi"/>
          <w:sz w:val="26"/>
          <w:szCs w:val="26"/>
        </w:rPr>
        <w:t>În 06.02.2024 a avut loc reuniunea comună de lucru a Comitetului de monitorizare și a Grupului tehnic privind educația juridică în școli și universități.</w:t>
      </w:r>
    </w:p>
    <w:p w14:paraId="78209488" w14:textId="77777777" w:rsidR="0001200A" w:rsidRPr="004A3440" w:rsidRDefault="0001200A" w:rsidP="00D51F5A">
      <w:pPr>
        <w:spacing w:line="276" w:lineRule="auto"/>
        <w:ind w:firstLine="708"/>
        <w:jc w:val="both"/>
        <w:rPr>
          <w:rFonts w:asciiTheme="minorHAnsi" w:hAnsiTheme="minorHAnsi" w:cstheme="minorHAnsi"/>
          <w:sz w:val="26"/>
          <w:szCs w:val="26"/>
        </w:rPr>
      </w:pPr>
      <w:r w:rsidRPr="004A3440">
        <w:rPr>
          <w:rFonts w:asciiTheme="minorHAnsi" w:hAnsiTheme="minorHAnsi" w:cstheme="minorHAnsi"/>
          <w:sz w:val="26"/>
          <w:szCs w:val="26"/>
        </w:rPr>
        <w:t>În cadrul  acestei reuniunii participanții au stabilit planul de acțiuni pentru anul 2024 și extinderea proiectului la nivelul universităților, un demers care lărgește aria educației juridice la nivelul tinerilor, prin consolidarea cunoștințelor juridice și orientarea acestora către viitoarele profesii.</w:t>
      </w:r>
    </w:p>
    <w:p w14:paraId="14EF1D5F" w14:textId="77777777" w:rsidR="0001200A" w:rsidRPr="004A3440" w:rsidRDefault="0001200A" w:rsidP="00D51F5A">
      <w:pPr>
        <w:spacing w:line="276" w:lineRule="auto"/>
        <w:ind w:firstLine="708"/>
        <w:jc w:val="both"/>
        <w:rPr>
          <w:rFonts w:asciiTheme="minorHAnsi" w:hAnsiTheme="minorHAnsi" w:cstheme="minorHAnsi"/>
          <w:sz w:val="26"/>
          <w:szCs w:val="26"/>
        </w:rPr>
      </w:pPr>
      <w:r w:rsidRPr="004A3440">
        <w:rPr>
          <w:rFonts w:asciiTheme="minorHAnsi" w:hAnsiTheme="minorHAnsi" w:cstheme="minorHAnsi"/>
          <w:sz w:val="26"/>
          <w:szCs w:val="26"/>
        </w:rPr>
        <w:t>Tot în cursul anului 2024, Ministerul Justiției, Ministerul Educației, Consiliul Superior al Magistraturii, Înalta Curte de Casație și Justiție, Parchetul de pe lângă Înalta Curte de Casație și Justiție și Uniunea Națională a Barourilor din România au organizat Concursul de creație grafică cu tema „Educația juridică” adresat elevilor și studenților din România și Republica Moldova. Regulamentul și anexele acestui concurs au fost aprobate în ședința Comitetului de monitorizare din iunie 2024.</w:t>
      </w:r>
    </w:p>
    <w:p w14:paraId="344671A5" w14:textId="77777777" w:rsidR="0001200A" w:rsidRPr="004A3440" w:rsidRDefault="0001200A" w:rsidP="00D51F5A">
      <w:pPr>
        <w:spacing w:line="276" w:lineRule="auto"/>
        <w:ind w:firstLine="708"/>
        <w:jc w:val="both"/>
        <w:rPr>
          <w:rFonts w:asciiTheme="minorHAnsi" w:hAnsiTheme="minorHAnsi" w:cstheme="minorHAnsi"/>
          <w:sz w:val="26"/>
          <w:szCs w:val="26"/>
        </w:rPr>
      </w:pPr>
      <w:r w:rsidRPr="004A3440">
        <w:rPr>
          <w:rFonts w:asciiTheme="minorHAnsi" w:hAnsiTheme="minorHAnsi" w:cstheme="minorHAnsi"/>
          <w:sz w:val="26"/>
          <w:szCs w:val="26"/>
        </w:rPr>
        <w:t>Concursul a avut două secțiuni:</w:t>
      </w:r>
    </w:p>
    <w:p w14:paraId="0D82A042" w14:textId="529B2FA2" w:rsidR="0001200A" w:rsidRPr="004A3440" w:rsidRDefault="0001200A" w:rsidP="00D51F5A">
      <w:pPr>
        <w:spacing w:line="276" w:lineRule="auto"/>
        <w:jc w:val="both"/>
        <w:rPr>
          <w:rFonts w:asciiTheme="minorHAnsi" w:hAnsiTheme="minorHAnsi" w:cstheme="minorHAnsi"/>
          <w:sz w:val="26"/>
          <w:szCs w:val="26"/>
        </w:rPr>
      </w:pPr>
      <w:r w:rsidRPr="004A3440">
        <w:rPr>
          <w:rFonts w:asciiTheme="minorHAnsi" w:hAnsiTheme="minorHAnsi" w:cstheme="minorHAnsi"/>
          <w:sz w:val="26"/>
          <w:szCs w:val="26"/>
        </w:rPr>
        <w:t xml:space="preserve">a) realizarea unui afiș care să ilustreze tema educației juridice; </w:t>
      </w:r>
    </w:p>
    <w:p w14:paraId="674ACB3B" w14:textId="79CC3503" w:rsidR="0001200A" w:rsidRPr="004A3440" w:rsidRDefault="0001200A" w:rsidP="00D51F5A">
      <w:pPr>
        <w:spacing w:line="276" w:lineRule="auto"/>
        <w:jc w:val="both"/>
        <w:rPr>
          <w:rFonts w:asciiTheme="minorHAnsi" w:hAnsiTheme="minorHAnsi" w:cstheme="minorHAnsi"/>
          <w:sz w:val="26"/>
          <w:szCs w:val="26"/>
        </w:rPr>
      </w:pPr>
      <w:r w:rsidRPr="004A3440">
        <w:rPr>
          <w:rFonts w:asciiTheme="minorHAnsi" w:hAnsiTheme="minorHAnsi" w:cstheme="minorHAnsi"/>
          <w:sz w:val="26"/>
          <w:szCs w:val="26"/>
        </w:rPr>
        <w:t>b) realizarea unui simbol grafic (logo) consacrat educației juridice.</w:t>
      </w:r>
    </w:p>
    <w:p w14:paraId="3B638CAC" w14:textId="2100405C" w:rsidR="0001200A" w:rsidRPr="004A3440" w:rsidRDefault="0001200A" w:rsidP="00D51F5A">
      <w:pPr>
        <w:spacing w:line="276" w:lineRule="auto"/>
        <w:ind w:firstLine="708"/>
        <w:jc w:val="both"/>
        <w:rPr>
          <w:rFonts w:asciiTheme="minorHAnsi" w:hAnsiTheme="minorHAnsi" w:cstheme="minorHAnsi"/>
          <w:sz w:val="26"/>
          <w:szCs w:val="26"/>
        </w:rPr>
      </w:pPr>
      <w:r w:rsidRPr="004A3440">
        <w:rPr>
          <w:rFonts w:asciiTheme="minorHAnsi" w:hAnsiTheme="minorHAnsi" w:cstheme="minorHAnsi"/>
          <w:sz w:val="26"/>
          <w:szCs w:val="26"/>
        </w:rPr>
        <w:t>Festivitatea de premierea a câștigătorilor a avut loc la data de 03.09.2024 la sediul Ministerului Justiției</w:t>
      </w:r>
      <w:r w:rsidR="004A3440" w:rsidRPr="004A3440">
        <w:rPr>
          <w:rFonts w:asciiTheme="minorHAnsi" w:hAnsiTheme="minorHAnsi" w:cstheme="minorHAnsi"/>
          <w:sz w:val="26"/>
          <w:szCs w:val="26"/>
        </w:rPr>
        <w:t xml:space="preserve">, </w:t>
      </w:r>
      <w:r w:rsidRPr="004A3440">
        <w:rPr>
          <w:rFonts w:asciiTheme="minorHAnsi" w:hAnsiTheme="minorHAnsi" w:cstheme="minorHAnsi"/>
          <w:sz w:val="26"/>
          <w:szCs w:val="26"/>
        </w:rPr>
        <w:t>unde au fost prezenți și membrii desemnați din partea Consiliului Superior al Magistraturii în Comitetul de monitorizare.</w:t>
      </w:r>
    </w:p>
    <w:p w14:paraId="75186E16" w14:textId="77777777" w:rsidR="0001200A" w:rsidRPr="004A3440" w:rsidRDefault="0001200A" w:rsidP="00D51F5A">
      <w:pPr>
        <w:spacing w:line="276" w:lineRule="auto"/>
        <w:ind w:firstLine="708"/>
        <w:jc w:val="both"/>
        <w:rPr>
          <w:rFonts w:asciiTheme="minorHAnsi" w:hAnsiTheme="minorHAnsi" w:cstheme="minorHAnsi"/>
          <w:sz w:val="26"/>
          <w:szCs w:val="26"/>
        </w:rPr>
      </w:pPr>
      <w:r w:rsidRPr="004A3440">
        <w:rPr>
          <w:rFonts w:asciiTheme="minorHAnsi" w:hAnsiTheme="minorHAnsi" w:cstheme="minorHAnsi"/>
          <w:sz w:val="26"/>
          <w:szCs w:val="26"/>
        </w:rPr>
        <w:t>Conform celor stabilite la reuniunea comună de lucru a Comitetului de monitorizare și a Grupului tehnic din cadrul Protocolului de colaborare privind educația juridică, a fost creat un grup pe rețeaua de socializare Facebook unde sunt mediatizate activitățile desfășurate de voluntari în cadrul Protocolului.</w:t>
      </w:r>
    </w:p>
    <w:p w14:paraId="3B0A50D4" w14:textId="657E335D" w:rsidR="004A3440" w:rsidRDefault="0001200A" w:rsidP="006B7D32">
      <w:pPr>
        <w:spacing w:line="276" w:lineRule="auto"/>
        <w:ind w:firstLine="708"/>
        <w:jc w:val="both"/>
        <w:rPr>
          <w:rFonts w:asciiTheme="minorHAnsi" w:hAnsiTheme="minorHAnsi" w:cstheme="minorHAnsi"/>
          <w:sz w:val="26"/>
          <w:szCs w:val="26"/>
        </w:rPr>
      </w:pPr>
      <w:r w:rsidRPr="004A3440">
        <w:rPr>
          <w:rFonts w:asciiTheme="minorHAnsi" w:hAnsiTheme="minorHAnsi" w:cstheme="minorHAnsi"/>
          <w:sz w:val="26"/>
          <w:szCs w:val="26"/>
        </w:rPr>
        <w:t>La finalului anului 2024 urmează să se desfășoare o nouă ședință a Comitetului de monitorizare în vederea discutării proiectului Raportului de activitatea referitor la implementarea Protocolului privind educația juridică care se va realiz</w:t>
      </w:r>
      <w:r w:rsidR="00A507C9" w:rsidRPr="004A3440">
        <w:rPr>
          <w:rFonts w:asciiTheme="minorHAnsi" w:hAnsiTheme="minorHAnsi" w:cstheme="minorHAnsi"/>
          <w:sz w:val="26"/>
          <w:szCs w:val="26"/>
        </w:rPr>
        <w:t>a</w:t>
      </w:r>
      <w:r w:rsidRPr="004A3440">
        <w:rPr>
          <w:rFonts w:asciiTheme="minorHAnsi" w:hAnsiTheme="minorHAnsi" w:cstheme="minorHAnsi"/>
          <w:sz w:val="26"/>
          <w:szCs w:val="26"/>
        </w:rPr>
        <w:t xml:space="preserve"> după transmiterea situațiilor centralizatoare existente la Ministerul Educației.</w:t>
      </w:r>
    </w:p>
    <w:p w14:paraId="45604250" w14:textId="77777777" w:rsidR="003D2F75" w:rsidRPr="004A3440" w:rsidRDefault="003D2F75" w:rsidP="00D51F5A">
      <w:pPr>
        <w:tabs>
          <w:tab w:val="left" w:pos="5475"/>
        </w:tabs>
        <w:spacing w:line="276" w:lineRule="auto"/>
        <w:ind w:firstLine="720"/>
        <w:jc w:val="both"/>
        <w:rPr>
          <w:rFonts w:asciiTheme="minorHAnsi" w:hAnsiTheme="minorHAnsi" w:cstheme="minorHAnsi"/>
          <w:b/>
          <w:bCs/>
          <w:sz w:val="26"/>
          <w:szCs w:val="26"/>
        </w:rPr>
      </w:pPr>
      <w:bookmarkStart w:id="66" w:name="_Toc155267882"/>
      <w:r w:rsidRPr="004A3440">
        <w:rPr>
          <w:rFonts w:asciiTheme="minorHAnsi" w:hAnsiTheme="minorHAnsi" w:cstheme="minorHAnsi"/>
          <w:b/>
          <w:bCs/>
          <w:sz w:val="26"/>
          <w:szCs w:val="26"/>
        </w:rPr>
        <w:t>Activitatea membrilor aleși, reprezentanți ai societății civile</w:t>
      </w:r>
      <w:bookmarkEnd w:id="66"/>
    </w:p>
    <w:p w14:paraId="18DCD061" w14:textId="77777777" w:rsidR="003D2F75" w:rsidRPr="004A3440" w:rsidRDefault="003D2F75" w:rsidP="00D51F5A">
      <w:pPr>
        <w:spacing w:line="276" w:lineRule="auto"/>
        <w:jc w:val="both"/>
        <w:rPr>
          <w:rFonts w:asciiTheme="minorHAnsi" w:hAnsiTheme="minorHAnsi" w:cstheme="minorHAnsi"/>
          <w:sz w:val="26"/>
          <w:szCs w:val="26"/>
        </w:rPr>
      </w:pPr>
      <w:r w:rsidRPr="004A3440">
        <w:rPr>
          <w:rFonts w:asciiTheme="minorHAnsi" w:hAnsiTheme="minorHAnsi" w:cstheme="minorHAnsi"/>
          <w:sz w:val="26"/>
          <w:szCs w:val="26"/>
        </w:rPr>
        <w:tab/>
        <w:t xml:space="preserve">Membrii aleși ai Consiliului Superior al Magistraturii, reprezentanți ai societății civile, potrivit art. 56 alin. 8 lit. b din Legea nr. 305/2022 privind Consiliul Superior al Magistraturii, au ca îndatorire specifică consultarea organizațiilor civile cu privire la propunerile și sugestiile acestora privind demersurile necesare la nivelul Consiliului pentru îmbunătățirea activității instituțiilor judiciare ca serviciu public aflat în slujba societății, întocmind în acest sens un raport trimestrial de analiză și sinteză a propunerilor, pe care îl transmit plenului sau secțiilor, după caz, pentru analiză și decizie. </w:t>
      </w:r>
    </w:p>
    <w:p w14:paraId="6A32E07E" w14:textId="77777777" w:rsidR="003D2F75" w:rsidRPr="004A3440" w:rsidRDefault="003D2F75" w:rsidP="00D51F5A">
      <w:pPr>
        <w:spacing w:line="276" w:lineRule="auto"/>
        <w:jc w:val="both"/>
        <w:rPr>
          <w:rFonts w:asciiTheme="minorHAnsi" w:hAnsiTheme="minorHAnsi" w:cstheme="minorHAnsi"/>
          <w:sz w:val="26"/>
          <w:szCs w:val="26"/>
        </w:rPr>
      </w:pPr>
      <w:r w:rsidRPr="004A3440">
        <w:rPr>
          <w:rFonts w:asciiTheme="minorHAnsi" w:hAnsiTheme="minorHAnsi" w:cstheme="minorHAnsi"/>
          <w:sz w:val="26"/>
          <w:szCs w:val="26"/>
        </w:rPr>
        <w:lastRenderedPageBreak/>
        <w:tab/>
        <w:t xml:space="preserve">Aceste atribuții ale membrilor aleși, reprezentanți ai societății civile, au menirea de a realiza o legătură reală cu societatea civilă, dar și de a asigura transparentizarea publică către societate a tuturor activităților și acțiunilor Consiliului Superior al Magistraturii având drept obiectiv eficientizarea și îmbunătățirea activității sistemului judiciar, în ansamblu. </w:t>
      </w:r>
    </w:p>
    <w:p w14:paraId="3CDB3803" w14:textId="77777777" w:rsidR="003D2F75" w:rsidRPr="004A3440" w:rsidRDefault="003D2F75" w:rsidP="00D51F5A">
      <w:pPr>
        <w:spacing w:line="276" w:lineRule="auto"/>
        <w:jc w:val="both"/>
        <w:rPr>
          <w:rFonts w:asciiTheme="minorHAnsi" w:hAnsiTheme="minorHAnsi" w:cstheme="minorHAnsi"/>
          <w:sz w:val="26"/>
          <w:szCs w:val="26"/>
        </w:rPr>
      </w:pPr>
      <w:r w:rsidRPr="004A3440">
        <w:rPr>
          <w:rFonts w:asciiTheme="minorHAnsi" w:hAnsiTheme="minorHAnsi" w:cstheme="minorHAnsi"/>
          <w:sz w:val="26"/>
          <w:szCs w:val="26"/>
        </w:rPr>
        <w:tab/>
        <w:t>Întocmirea și prezentarea rapoartelor prevăzute prin actul normativ enunțat prezintă importanță din perspectiva reflectării transparenței publice în procesul decizional și reprezintă o intermediere funcțională între corpul magistraților și societate, contribuind prin aceasta la consolidarea încrederii societății în justiție, dar și la realizarea unui control civic, public și transparent al justiției în societatea contemporană.</w:t>
      </w:r>
    </w:p>
    <w:p w14:paraId="410096B1" w14:textId="108B49E0" w:rsidR="003D2F75" w:rsidRPr="004A3440" w:rsidRDefault="003D2F75" w:rsidP="00D51F5A">
      <w:pPr>
        <w:spacing w:line="276" w:lineRule="auto"/>
        <w:jc w:val="both"/>
        <w:rPr>
          <w:rFonts w:asciiTheme="minorHAnsi" w:hAnsiTheme="minorHAnsi" w:cstheme="minorHAnsi"/>
          <w:sz w:val="26"/>
          <w:szCs w:val="26"/>
        </w:rPr>
      </w:pPr>
      <w:r w:rsidRPr="004A3440">
        <w:rPr>
          <w:rFonts w:asciiTheme="minorHAnsi" w:hAnsiTheme="minorHAnsi" w:cstheme="minorHAnsi"/>
          <w:sz w:val="26"/>
          <w:szCs w:val="26"/>
        </w:rPr>
        <w:tab/>
        <w:t>În temeiul acestor prerogative, și în anul 202</w:t>
      </w:r>
      <w:r w:rsidR="00305607" w:rsidRPr="004A3440">
        <w:rPr>
          <w:rFonts w:asciiTheme="minorHAnsi" w:hAnsiTheme="minorHAnsi" w:cstheme="minorHAnsi"/>
          <w:sz w:val="26"/>
          <w:szCs w:val="26"/>
        </w:rPr>
        <w:t>4</w:t>
      </w:r>
      <w:r w:rsidRPr="004A3440">
        <w:rPr>
          <w:rFonts w:asciiTheme="minorHAnsi" w:hAnsiTheme="minorHAnsi" w:cstheme="minorHAnsi"/>
          <w:sz w:val="26"/>
          <w:szCs w:val="26"/>
        </w:rPr>
        <w:t>, membrii aleși, reprezentanți ai societății civile, și-au îndeplinit prerogativele conferite de lege, fiind întocmite rapoarte trimestriale referitoare la consultarea organizațiilor societăților civile cu privire la propunerile și sugestiile acestora privind demersurile necesare la nivelul Consiliului Superior al Magistraturii pentru îmbunătățirea activității instituțiilor judiciare ca serviciu public aflat în slujba societății.</w:t>
      </w:r>
    </w:p>
    <w:p w14:paraId="4EA1E8B4" w14:textId="77777777" w:rsidR="003D2F75" w:rsidRPr="004A3440" w:rsidRDefault="003D2F75" w:rsidP="00D51F5A">
      <w:pPr>
        <w:spacing w:line="276" w:lineRule="auto"/>
        <w:jc w:val="both"/>
        <w:rPr>
          <w:rFonts w:asciiTheme="minorHAnsi" w:hAnsiTheme="minorHAnsi" w:cstheme="minorHAnsi"/>
          <w:sz w:val="26"/>
          <w:szCs w:val="26"/>
        </w:rPr>
      </w:pPr>
      <w:r w:rsidRPr="004A3440">
        <w:rPr>
          <w:rFonts w:asciiTheme="minorHAnsi" w:hAnsiTheme="minorHAnsi" w:cstheme="minorHAnsi"/>
          <w:sz w:val="26"/>
          <w:szCs w:val="26"/>
        </w:rPr>
        <w:tab/>
        <w:t>Rapoarte trimestriale au analizat activitatea efectivă a membrilor aleși, reprezentanți ai societății civile, cu referire la întâlnirile de lucru derulate și agenda acestora, numărul de petiții primite din partea cetățenilor și obiectul acestora, proiectele de hotărâri puse în dezbatere publică, precum și mesajele publice transmise cu ocazia diferitelor evenimente de interes, apreciindu-se că în perioadele de referință vizate de rapoarte la nivelul Consiliului Superior al Magistraturii s-a realizat o informare publică constantă și transparentă cu privire la lucrările desfășurate la nivelul instituției.</w:t>
      </w:r>
    </w:p>
    <w:p w14:paraId="1B682B6B" w14:textId="72D6B12C" w:rsidR="00D35E09" w:rsidRPr="00D35E09" w:rsidRDefault="003D2F75" w:rsidP="00D35E09">
      <w:pPr>
        <w:spacing w:line="276" w:lineRule="auto"/>
        <w:jc w:val="both"/>
        <w:rPr>
          <w:rFonts w:asciiTheme="minorHAnsi" w:hAnsiTheme="minorHAnsi" w:cstheme="minorHAnsi"/>
          <w:sz w:val="26"/>
          <w:szCs w:val="26"/>
        </w:rPr>
      </w:pPr>
      <w:r w:rsidRPr="004A3440">
        <w:rPr>
          <w:rFonts w:asciiTheme="minorHAnsi" w:hAnsiTheme="minorHAnsi" w:cstheme="minorHAnsi"/>
          <w:sz w:val="26"/>
          <w:szCs w:val="26"/>
        </w:rPr>
        <w:tab/>
        <w:t>Astfel, se poate concluziona că membrii aleși ai Consiliului Superior al Magistraturii, reprezentanți ai societății civile, au contribuit, prin prisma rolului deținut, la promovarea valorilor democrației, încurajarea implicării sociale a cetățenilor în procesele de dezvoltare, libertatea de exprimare a acestora, societatea civilă fiind un instrument indispensabil pentru realizarea unui stat de drept.</w:t>
      </w:r>
      <w:r w:rsidR="00D35E09">
        <w:rPr>
          <w:rFonts w:asciiTheme="minorHAnsi" w:hAnsiTheme="minorHAnsi" w:cstheme="minorHAnsi"/>
          <w:color w:val="FF0000"/>
          <w:sz w:val="26"/>
          <w:szCs w:val="26"/>
        </w:rPr>
        <w:br w:type="page"/>
      </w:r>
    </w:p>
    <w:p w14:paraId="23DDEEBC" w14:textId="77777777" w:rsidR="00E157CE" w:rsidRPr="004A72CD" w:rsidRDefault="00E157CE" w:rsidP="00D51F5A">
      <w:pPr>
        <w:suppressLineNumbers/>
        <w:suppressAutoHyphens/>
        <w:spacing w:before="240" w:after="240" w:line="276" w:lineRule="auto"/>
        <w:jc w:val="center"/>
        <w:outlineLvl w:val="0"/>
        <w:rPr>
          <w:rFonts w:asciiTheme="minorHAnsi" w:eastAsiaTheme="majorEastAsia" w:hAnsiTheme="minorHAnsi" w:cstheme="minorHAnsi"/>
          <w:b/>
          <w:sz w:val="26"/>
          <w:szCs w:val="26"/>
        </w:rPr>
      </w:pPr>
      <w:bookmarkStart w:id="67" w:name="_Toc187824364"/>
      <w:bookmarkStart w:id="68" w:name="_Toc430867117"/>
      <w:bookmarkEnd w:id="58"/>
      <w:bookmarkEnd w:id="59"/>
      <w:r w:rsidRPr="004A72CD">
        <w:rPr>
          <w:rFonts w:asciiTheme="minorHAnsi" w:eastAsiaTheme="majorEastAsia" w:hAnsiTheme="minorHAnsi" w:cstheme="minorHAnsi"/>
          <w:b/>
          <w:sz w:val="26"/>
          <w:szCs w:val="26"/>
        </w:rPr>
        <w:lastRenderedPageBreak/>
        <w:t>CAPITOLUL II</w:t>
      </w:r>
      <w:bookmarkEnd w:id="67"/>
    </w:p>
    <w:p w14:paraId="141C6F1A" w14:textId="77777777" w:rsidR="00E157CE" w:rsidRPr="004A72CD" w:rsidRDefault="00E157CE" w:rsidP="00D51F5A">
      <w:pPr>
        <w:suppressLineNumbers/>
        <w:suppressAutoHyphens/>
        <w:spacing w:before="240" w:after="240" w:line="276" w:lineRule="auto"/>
        <w:jc w:val="center"/>
        <w:outlineLvl w:val="0"/>
        <w:rPr>
          <w:rFonts w:asciiTheme="minorHAnsi" w:eastAsiaTheme="majorEastAsia" w:hAnsiTheme="minorHAnsi" w:cstheme="minorHAnsi"/>
          <w:b/>
          <w:sz w:val="26"/>
          <w:szCs w:val="26"/>
        </w:rPr>
      </w:pPr>
      <w:bookmarkStart w:id="69" w:name="_Toc187824365"/>
      <w:r w:rsidRPr="004A72CD">
        <w:rPr>
          <w:rFonts w:asciiTheme="minorHAnsi" w:eastAsiaTheme="majorEastAsia" w:hAnsiTheme="minorHAnsi" w:cstheme="minorHAnsi"/>
          <w:b/>
          <w:sz w:val="26"/>
          <w:szCs w:val="26"/>
        </w:rPr>
        <w:t>Activităţi derulate în legătură cu atribuţiile administrative ale Consiliului Superior al Magistraturii</w:t>
      </w:r>
      <w:bookmarkStart w:id="70" w:name="_Toc375653691"/>
      <w:bookmarkStart w:id="71" w:name="_Toc430867113"/>
      <w:bookmarkEnd w:id="69"/>
    </w:p>
    <w:p w14:paraId="21DEF2E4" w14:textId="77777777" w:rsidR="00E157CE" w:rsidRPr="004A72CD" w:rsidRDefault="00E157CE" w:rsidP="00D51F5A">
      <w:pPr>
        <w:spacing w:line="276" w:lineRule="auto"/>
        <w:rPr>
          <w:rFonts w:asciiTheme="minorHAnsi" w:hAnsiTheme="minorHAnsi" w:cstheme="minorHAnsi"/>
          <w:sz w:val="26"/>
          <w:szCs w:val="26"/>
        </w:rPr>
      </w:pPr>
    </w:p>
    <w:p w14:paraId="0118E262" w14:textId="77777777" w:rsidR="00E157CE" w:rsidRPr="004A3440" w:rsidRDefault="00E157CE" w:rsidP="00D51F5A">
      <w:pPr>
        <w:pStyle w:val="Heading2"/>
        <w:rPr>
          <w:lang w:val="ro-RO"/>
        </w:rPr>
      </w:pPr>
      <w:bookmarkStart w:id="72" w:name="_Toc187824366"/>
      <w:bookmarkStart w:id="73" w:name="_Toc430867115"/>
      <w:bookmarkEnd w:id="70"/>
      <w:bookmarkEnd w:id="71"/>
      <w:r w:rsidRPr="004A3440">
        <w:rPr>
          <w:lang w:val="ro-RO"/>
        </w:rPr>
        <w:t>II.1. Gestionarea carierei profesionale a judecătorilor și procurorilor</w:t>
      </w:r>
      <w:bookmarkEnd w:id="72"/>
      <w:r w:rsidRPr="004A3440">
        <w:rPr>
          <w:lang w:val="ro-RO"/>
        </w:rPr>
        <w:t xml:space="preserve"> </w:t>
      </w:r>
    </w:p>
    <w:p w14:paraId="32B17D01" w14:textId="77777777" w:rsidR="00E157CE" w:rsidRPr="004A72CD" w:rsidRDefault="00E157CE" w:rsidP="00D51F5A">
      <w:pPr>
        <w:keepNext/>
        <w:keepLines/>
        <w:spacing w:line="276" w:lineRule="auto"/>
        <w:ind w:right="45" w:firstLine="709"/>
        <w:jc w:val="both"/>
        <w:rPr>
          <w:rFonts w:asciiTheme="minorHAnsi" w:hAnsiTheme="minorHAnsi" w:cstheme="minorHAnsi"/>
          <w:sz w:val="26"/>
          <w:szCs w:val="26"/>
        </w:rPr>
      </w:pPr>
      <w:r w:rsidRPr="004A72CD">
        <w:rPr>
          <w:rFonts w:asciiTheme="minorHAnsi" w:hAnsiTheme="minorHAnsi" w:cstheme="minorHAnsi"/>
          <w:sz w:val="26"/>
          <w:szCs w:val="26"/>
        </w:rPr>
        <w:t>Asigurarea necesarului de resurse umane pentru buna desfăşurare a activităţii la nivelul instanţelor şi parchetelor a reprezentat, şi la nivelul anului 2024, principalul obiectiv al Consiliului Superior al Magistraturii. Ocuparea posturilor vacante de judecător şi procuror s-a realizat potrivit prevederilor legale, astfel cum rezultă din datele ce vor fi prezentate mai jos.</w:t>
      </w:r>
    </w:p>
    <w:p w14:paraId="5E155A11" w14:textId="77777777" w:rsidR="00E157CE" w:rsidRPr="004A72CD" w:rsidRDefault="00E157CE"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În perioada ianuarie - septembrie 2024, la fel ca în anii precedenţi, principalul obiectiv al Consiliului Superior al Magistraturii, legat de activitatea administrativă derulată de acesta, l-a constituit asigurarea necesarului de resurse umane pentru buna desfăşurare a activităţii la nivelul instanţelor şi parchetelor.</w:t>
      </w:r>
    </w:p>
    <w:p w14:paraId="742D272F" w14:textId="77777777" w:rsidR="00E157CE" w:rsidRPr="004A72CD" w:rsidRDefault="00E157CE"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În acest context, ocuparea posturilor vacante de judecător şi procuror s-a realizat prin toate modalităţile prevăzute de lege, astfel cum rezultă din datele ce vor fi prezentate mai jos.  </w:t>
      </w:r>
    </w:p>
    <w:p w14:paraId="11A4AF17" w14:textId="77777777" w:rsidR="00E157CE" w:rsidRPr="004A72CD" w:rsidRDefault="00E157CE">
      <w:pPr>
        <w:numPr>
          <w:ilvl w:val="0"/>
          <w:numId w:val="26"/>
        </w:numPr>
        <w:spacing w:line="276" w:lineRule="auto"/>
        <w:ind w:right="48"/>
        <w:contextualSpacing/>
        <w:jc w:val="both"/>
        <w:rPr>
          <w:rFonts w:asciiTheme="minorHAnsi" w:hAnsiTheme="minorHAnsi" w:cstheme="minorHAnsi"/>
          <w:b/>
          <w:sz w:val="26"/>
          <w:szCs w:val="26"/>
        </w:rPr>
      </w:pPr>
      <w:r w:rsidRPr="004A72CD">
        <w:rPr>
          <w:rFonts w:asciiTheme="minorHAnsi" w:hAnsiTheme="minorHAnsi" w:cstheme="minorHAnsi"/>
          <w:b/>
          <w:sz w:val="26"/>
          <w:szCs w:val="26"/>
        </w:rPr>
        <w:t>Evoluţia gradului de ocupare a posturilor de judecător şi procuror</w:t>
      </w:r>
    </w:p>
    <w:p w14:paraId="75DDCF89" w14:textId="77777777" w:rsidR="00E157CE" w:rsidRPr="004A72CD" w:rsidRDefault="00E157CE" w:rsidP="00D51F5A">
      <w:pPr>
        <w:spacing w:line="276" w:lineRule="auto"/>
        <w:ind w:right="48" w:firstLine="709"/>
        <w:jc w:val="both"/>
        <w:rPr>
          <w:rFonts w:asciiTheme="minorHAnsi" w:hAnsiTheme="minorHAnsi" w:cstheme="minorHAnsi"/>
          <w:b/>
          <w:sz w:val="26"/>
          <w:szCs w:val="26"/>
        </w:rPr>
      </w:pPr>
      <w:r w:rsidRPr="004A72CD">
        <w:rPr>
          <w:rFonts w:asciiTheme="minorHAnsi" w:hAnsiTheme="minorHAnsi" w:cstheme="minorHAnsi"/>
          <w:b/>
          <w:sz w:val="26"/>
          <w:szCs w:val="26"/>
        </w:rPr>
        <w:t>Situaţia posturilor de judecător la începutul anului 2024</w:t>
      </w:r>
    </w:p>
    <w:p w14:paraId="596FA4DE" w14:textId="77777777" w:rsidR="00E157CE" w:rsidRPr="004A72CD" w:rsidRDefault="00E157CE" w:rsidP="00D51F5A">
      <w:pPr>
        <w:spacing w:line="276" w:lineRule="auto"/>
        <w:ind w:right="48"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La data de 31 decembrie 2023, din totalul de 5066 de posturi de judecător, erau ocupate 3902 posturi şi vacante 1164 de posturi, înregistrându-se un grad de ocupare de 77%. Cauza principală a gradului mare de posturi vacante a reprezentat-o insecuritatea legislativă în domeniul atât al pensiei de serviciu, cât şi al salarizării judecătorilor şi procurorilor. </w:t>
      </w:r>
    </w:p>
    <w:p w14:paraId="2B14BA48" w14:textId="77777777" w:rsidR="00E157CE" w:rsidRPr="004A72CD" w:rsidRDefault="00E157CE" w:rsidP="00D51F5A">
      <w:pPr>
        <w:spacing w:line="276" w:lineRule="auto"/>
        <w:ind w:right="45" w:firstLine="708"/>
        <w:jc w:val="both"/>
        <w:rPr>
          <w:rFonts w:asciiTheme="minorHAnsi" w:hAnsiTheme="minorHAnsi" w:cstheme="minorHAnsi"/>
          <w:sz w:val="26"/>
          <w:szCs w:val="26"/>
        </w:rPr>
      </w:pPr>
      <w:r w:rsidRPr="004A72CD">
        <w:rPr>
          <w:rFonts w:asciiTheme="minorHAnsi" w:hAnsiTheme="minorHAnsi" w:cstheme="minorHAnsi"/>
          <w:sz w:val="26"/>
          <w:szCs w:val="26"/>
        </w:rPr>
        <w:t>Din totalul judecătorilor în funcție, cu luarea în calcul inclusiv a acelor judecători care ocupau pe perioadă nedeterminată posturi temporar vacante în condițiile art. 134</w:t>
      </w:r>
      <w:r w:rsidRPr="004A72CD">
        <w:rPr>
          <w:rFonts w:asciiTheme="minorHAnsi" w:hAnsiTheme="minorHAnsi" w:cstheme="minorHAnsi"/>
          <w:sz w:val="26"/>
          <w:szCs w:val="26"/>
          <w:vertAlign w:val="superscript"/>
        </w:rPr>
        <w:t>1</w:t>
      </w:r>
      <w:r w:rsidRPr="004A72CD">
        <w:rPr>
          <w:rFonts w:asciiTheme="minorHAnsi" w:hAnsiTheme="minorHAnsi" w:cstheme="minorHAnsi"/>
          <w:sz w:val="26"/>
          <w:szCs w:val="26"/>
        </w:rPr>
        <w:t xml:space="preserve"> din Legea nr. 304/2004 privind organizarea judiciară, republicată, cu modificările și completările ulterioare, în vigoare până în luna decembrie 2022, la sfârşitul anului 2023, 2986 erau femei și 1180 erau bărbați. Diferenţele aparente între situaţia posturilor ocupate şi numărul efectiv al judecătorilor în funcţie rezultă din ocuparea posturilor în condiţiile art. 134</w:t>
      </w:r>
      <w:r w:rsidRPr="004A72CD">
        <w:rPr>
          <w:rFonts w:asciiTheme="minorHAnsi" w:hAnsiTheme="minorHAnsi" w:cstheme="minorHAnsi"/>
          <w:sz w:val="26"/>
          <w:szCs w:val="26"/>
          <w:vertAlign w:val="superscript"/>
        </w:rPr>
        <w:t>1</w:t>
      </w:r>
      <w:r w:rsidRPr="004A72CD">
        <w:rPr>
          <w:rFonts w:asciiTheme="minorHAnsi" w:hAnsiTheme="minorHAnsi" w:cstheme="minorHAnsi"/>
          <w:sz w:val="26"/>
          <w:szCs w:val="26"/>
        </w:rPr>
        <w:t xml:space="preserve"> anterior menţionat. </w:t>
      </w:r>
    </w:p>
    <w:p w14:paraId="59B8FEA5" w14:textId="684A4833" w:rsidR="00E157CE" w:rsidRPr="004A72CD" w:rsidRDefault="00E157CE" w:rsidP="00D51F5A">
      <w:pPr>
        <w:spacing w:line="276" w:lineRule="auto"/>
        <w:ind w:right="45" w:firstLine="708"/>
        <w:jc w:val="both"/>
        <w:rPr>
          <w:rFonts w:asciiTheme="minorHAnsi" w:hAnsiTheme="minorHAnsi" w:cstheme="minorHAnsi"/>
          <w:sz w:val="26"/>
          <w:szCs w:val="26"/>
        </w:rPr>
      </w:pPr>
      <w:r w:rsidRPr="004A72CD">
        <w:rPr>
          <w:rFonts w:asciiTheme="minorHAnsi" w:hAnsiTheme="minorHAnsi" w:cstheme="minorHAnsi"/>
          <w:sz w:val="26"/>
          <w:szCs w:val="26"/>
        </w:rPr>
        <w:t xml:space="preserve">Pe de altă parte, în raport cu decretele publicate ulterior şi cu măsurile dispuse cu privire la ocuparea posturilor temporar vacante, la data de </w:t>
      </w:r>
      <w:r w:rsidR="00AB190E" w:rsidRPr="004A72CD">
        <w:rPr>
          <w:rFonts w:asciiTheme="minorHAnsi" w:hAnsiTheme="minorHAnsi" w:cstheme="minorHAnsi"/>
          <w:sz w:val="26"/>
          <w:szCs w:val="26"/>
        </w:rPr>
        <w:t>0</w:t>
      </w:r>
      <w:r w:rsidRPr="004A72CD">
        <w:rPr>
          <w:rFonts w:asciiTheme="minorHAnsi" w:hAnsiTheme="minorHAnsi" w:cstheme="minorHAnsi"/>
          <w:sz w:val="26"/>
          <w:szCs w:val="26"/>
        </w:rPr>
        <w:t>1 ianuarie 2024, dintr-o schemă de 5066 de posturi, erau ocupate 3903 posturi şi vacante 1163 de posturi. Astfel,  situaţia posturilor la nivelul instanţelor judecătoreşti se prez</w:t>
      </w:r>
      <w:r w:rsidR="00745653">
        <w:rPr>
          <w:rFonts w:asciiTheme="minorHAnsi" w:hAnsiTheme="minorHAnsi" w:cstheme="minorHAnsi"/>
          <w:sz w:val="26"/>
          <w:szCs w:val="26"/>
        </w:rPr>
        <w:t>e</w:t>
      </w:r>
      <w:r w:rsidRPr="004A72CD">
        <w:rPr>
          <w:rFonts w:asciiTheme="minorHAnsi" w:hAnsiTheme="minorHAnsi" w:cstheme="minorHAnsi"/>
          <w:sz w:val="26"/>
          <w:szCs w:val="26"/>
        </w:rPr>
        <w:t>nta astfel:</w:t>
      </w:r>
    </w:p>
    <w:tbl>
      <w:tblPr>
        <w:tblpPr w:leftFromText="180" w:rightFromText="180" w:vertAnchor="text" w:tblpXSpec="center" w:tblpY="1"/>
        <w:tblOverlap w:val="never"/>
        <w:tblW w:w="0" w:type="auto"/>
        <w:tblCellMar>
          <w:left w:w="10" w:type="dxa"/>
          <w:right w:w="10" w:type="dxa"/>
        </w:tblCellMar>
        <w:tblLook w:val="04A0" w:firstRow="1" w:lastRow="0" w:firstColumn="1" w:lastColumn="0" w:noHBand="0" w:noVBand="1"/>
      </w:tblPr>
      <w:tblGrid>
        <w:gridCol w:w="3114"/>
        <w:gridCol w:w="932"/>
        <w:gridCol w:w="1131"/>
        <w:gridCol w:w="1415"/>
        <w:gridCol w:w="846"/>
        <w:gridCol w:w="1131"/>
        <w:gridCol w:w="1427"/>
      </w:tblGrid>
      <w:tr w:rsidR="00E157CE" w:rsidRPr="00D51F5A" w14:paraId="093D1685" w14:textId="77777777" w:rsidTr="003A167C">
        <w:trPr>
          <w:cantSplit/>
          <w:trHeight w:val="1"/>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90DF522"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b/>
                <w:sz w:val="26"/>
                <w:szCs w:val="26"/>
              </w:rPr>
              <w:t>Categoria</w:t>
            </w:r>
          </w:p>
        </w:tc>
        <w:tc>
          <w:tcPr>
            <w:tcW w:w="34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781D020"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b/>
                <w:sz w:val="26"/>
                <w:szCs w:val="26"/>
              </w:rPr>
              <w:t>Posturi de judecător prevăzute în schemă – 01.01.2024</w:t>
            </w:r>
          </w:p>
        </w:tc>
        <w:tc>
          <w:tcPr>
            <w:tcW w:w="3404"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A1A2CFF"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b/>
                <w:sz w:val="26"/>
                <w:szCs w:val="26"/>
              </w:rPr>
              <w:t>Posturi de judecător vacante – 01.01.2024</w:t>
            </w:r>
          </w:p>
        </w:tc>
      </w:tr>
      <w:tr w:rsidR="00E157CE" w:rsidRPr="00D51F5A" w14:paraId="0E939028" w14:textId="77777777" w:rsidTr="003A167C">
        <w:trPr>
          <w:cantSplit/>
          <w:trHeight w:val="1"/>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0795A4AB" w14:textId="77777777" w:rsidR="00E157CE" w:rsidRPr="00D51F5A" w:rsidRDefault="00E157CE" w:rsidP="00D51F5A">
            <w:pPr>
              <w:spacing w:line="276" w:lineRule="auto"/>
              <w:rPr>
                <w:rFonts w:asciiTheme="minorHAnsi" w:hAnsiTheme="minorHAnsi" w:cstheme="minorHAnsi"/>
                <w:sz w:val="26"/>
                <w:szCs w:val="26"/>
              </w:rPr>
            </w:pPr>
          </w:p>
        </w:tc>
        <w:tc>
          <w:tcPr>
            <w:tcW w:w="93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2DAD804"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b/>
                <w:sz w:val="26"/>
                <w:szCs w:val="26"/>
              </w:rPr>
              <w:t>Total</w:t>
            </w:r>
          </w:p>
        </w:tc>
        <w:tc>
          <w:tcPr>
            <w:tcW w:w="113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09DC527"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Execuție</w:t>
            </w:r>
          </w:p>
        </w:tc>
        <w:tc>
          <w:tcPr>
            <w:tcW w:w="141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FA14FBE"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Conducere</w:t>
            </w:r>
          </w:p>
        </w:tc>
        <w:tc>
          <w:tcPr>
            <w:tcW w:w="8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A7D1F7E"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b/>
                <w:sz w:val="26"/>
                <w:szCs w:val="26"/>
              </w:rPr>
              <w:t>Total</w:t>
            </w:r>
          </w:p>
        </w:tc>
        <w:tc>
          <w:tcPr>
            <w:tcW w:w="113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D2DD4CD"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Execuție</w:t>
            </w:r>
          </w:p>
        </w:tc>
        <w:tc>
          <w:tcPr>
            <w:tcW w:w="14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249A6DE"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Conducere</w:t>
            </w:r>
          </w:p>
        </w:tc>
      </w:tr>
      <w:tr w:rsidR="00E157CE" w:rsidRPr="00D51F5A" w14:paraId="6E8B6BCD" w14:textId="77777777" w:rsidTr="003A167C">
        <w:trPr>
          <w:cantSplit/>
          <w:trHeight w:val="1"/>
        </w:trPr>
        <w:tc>
          <w:tcPr>
            <w:tcW w:w="3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E0E0B99"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Înalta Curte de Casație și Justiție</w:t>
            </w:r>
          </w:p>
        </w:tc>
        <w:tc>
          <w:tcPr>
            <w:tcW w:w="9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BDFC7D9"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122</w:t>
            </w:r>
          </w:p>
        </w:tc>
        <w:tc>
          <w:tcPr>
            <w:tcW w:w="1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3028C73"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115</w:t>
            </w:r>
          </w:p>
        </w:tc>
        <w:tc>
          <w:tcPr>
            <w:tcW w:w="14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3D2EF98"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7</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E3E6F90"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16</w:t>
            </w:r>
          </w:p>
        </w:tc>
        <w:tc>
          <w:tcPr>
            <w:tcW w:w="1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C4ABCE1"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14</w:t>
            </w:r>
          </w:p>
        </w:tc>
        <w:tc>
          <w:tcPr>
            <w:tcW w:w="14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A3CEE36"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2</w:t>
            </w:r>
          </w:p>
        </w:tc>
      </w:tr>
      <w:tr w:rsidR="00E157CE" w:rsidRPr="00D51F5A" w14:paraId="77A7EE4E" w14:textId="77777777" w:rsidTr="004354EE">
        <w:trPr>
          <w:cantSplit/>
          <w:trHeight w:val="1"/>
        </w:trPr>
        <w:tc>
          <w:tcPr>
            <w:tcW w:w="3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5B37DAC"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Curți de apel (inclusiv Curtea Militară de Apel)</w:t>
            </w:r>
          </w:p>
        </w:tc>
        <w:tc>
          <w:tcPr>
            <w:tcW w:w="9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1E92666" w14:textId="77777777" w:rsidR="00E157CE" w:rsidRPr="00D51F5A" w:rsidRDefault="00E157CE" w:rsidP="00D51F5A">
            <w:pPr>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930</w:t>
            </w:r>
          </w:p>
        </w:tc>
        <w:tc>
          <w:tcPr>
            <w:tcW w:w="1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872D4B8"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821</w:t>
            </w:r>
          </w:p>
        </w:tc>
        <w:tc>
          <w:tcPr>
            <w:tcW w:w="14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857837F"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109</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705C51C9" w14:textId="77777777" w:rsidR="00E157CE" w:rsidRPr="004354EE" w:rsidRDefault="00E157CE" w:rsidP="00D51F5A">
            <w:pPr>
              <w:spacing w:line="276" w:lineRule="auto"/>
              <w:jc w:val="both"/>
              <w:rPr>
                <w:rFonts w:asciiTheme="minorHAnsi" w:hAnsiTheme="minorHAnsi" w:cstheme="minorHAnsi"/>
                <w:sz w:val="26"/>
                <w:szCs w:val="26"/>
              </w:rPr>
            </w:pPr>
            <w:r w:rsidRPr="004354EE">
              <w:rPr>
                <w:rFonts w:asciiTheme="minorHAnsi" w:hAnsiTheme="minorHAnsi" w:cstheme="minorHAnsi"/>
                <w:sz w:val="26"/>
                <w:szCs w:val="26"/>
              </w:rPr>
              <w:t>39</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20BA8422" w14:textId="77777777" w:rsidR="00E157CE" w:rsidRPr="004354EE" w:rsidRDefault="00E157CE" w:rsidP="00D51F5A">
            <w:pPr>
              <w:keepNext/>
              <w:keepLines/>
              <w:spacing w:line="276" w:lineRule="auto"/>
              <w:jc w:val="both"/>
              <w:rPr>
                <w:rFonts w:asciiTheme="minorHAnsi" w:hAnsiTheme="minorHAnsi" w:cstheme="minorHAnsi"/>
                <w:sz w:val="26"/>
                <w:szCs w:val="26"/>
              </w:rPr>
            </w:pPr>
            <w:r w:rsidRPr="004354EE">
              <w:rPr>
                <w:rFonts w:asciiTheme="minorHAnsi" w:hAnsiTheme="minorHAnsi" w:cstheme="minorHAnsi"/>
                <w:sz w:val="26"/>
                <w:szCs w:val="26"/>
              </w:rPr>
              <w:t>0</w:t>
            </w: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2E6BC66C" w14:textId="77777777" w:rsidR="00E157CE" w:rsidRPr="004354EE" w:rsidRDefault="00E157CE" w:rsidP="00D51F5A">
            <w:pPr>
              <w:keepNext/>
              <w:keepLines/>
              <w:spacing w:line="276" w:lineRule="auto"/>
              <w:jc w:val="both"/>
              <w:rPr>
                <w:rFonts w:asciiTheme="minorHAnsi" w:hAnsiTheme="minorHAnsi" w:cstheme="minorHAnsi"/>
                <w:sz w:val="26"/>
                <w:szCs w:val="26"/>
              </w:rPr>
            </w:pPr>
            <w:r w:rsidRPr="004354EE">
              <w:rPr>
                <w:rFonts w:asciiTheme="minorHAnsi" w:hAnsiTheme="minorHAnsi" w:cstheme="minorHAnsi"/>
                <w:sz w:val="26"/>
                <w:szCs w:val="26"/>
              </w:rPr>
              <w:t>10</w:t>
            </w:r>
          </w:p>
        </w:tc>
      </w:tr>
      <w:tr w:rsidR="00E157CE" w:rsidRPr="00D51F5A" w14:paraId="1F09EE85" w14:textId="77777777" w:rsidTr="003A167C">
        <w:trPr>
          <w:cantSplit/>
          <w:trHeight w:val="1"/>
        </w:trPr>
        <w:tc>
          <w:tcPr>
            <w:tcW w:w="3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06E14B6"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lastRenderedPageBreak/>
              <w:t>Tribunale (inclusiv instanțele militare și tribunalele specializate)</w:t>
            </w:r>
          </w:p>
        </w:tc>
        <w:tc>
          <w:tcPr>
            <w:tcW w:w="9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A1D2CA9" w14:textId="77777777" w:rsidR="00E157CE" w:rsidRPr="00D51F5A" w:rsidRDefault="00E157CE" w:rsidP="00D51F5A">
            <w:pPr>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1701</w:t>
            </w:r>
          </w:p>
        </w:tc>
        <w:tc>
          <w:tcPr>
            <w:tcW w:w="1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C471F1E"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1463</w:t>
            </w:r>
          </w:p>
        </w:tc>
        <w:tc>
          <w:tcPr>
            <w:tcW w:w="14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F81B16D"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238</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D809E02" w14:textId="77777777" w:rsidR="00E157CE" w:rsidRPr="00D51F5A" w:rsidRDefault="00E157CE" w:rsidP="00D51F5A">
            <w:pPr>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405</w:t>
            </w:r>
          </w:p>
        </w:tc>
        <w:tc>
          <w:tcPr>
            <w:tcW w:w="1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A3A6C7F"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290</w:t>
            </w:r>
          </w:p>
        </w:tc>
        <w:tc>
          <w:tcPr>
            <w:tcW w:w="14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E611FB2"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115</w:t>
            </w:r>
          </w:p>
        </w:tc>
      </w:tr>
      <w:tr w:rsidR="00E157CE" w:rsidRPr="00D51F5A" w14:paraId="306373AE" w14:textId="77777777" w:rsidTr="003A167C">
        <w:trPr>
          <w:cantSplit/>
          <w:trHeight w:val="1"/>
        </w:trPr>
        <w:tc>
          <w:tcPr>
            <w:tcW w:w="3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B102BB9"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Judecătorii</w:t>
            </w:r>
          </w:p>
        </w:tc>
        <w:tc>
          <w:tcPr>
            <w:tcW w:w="9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66A3605" w14:textId="77777777" w:rsidR="00E157CE" w:rsidRPr="00D51F5A" w:rsidRDefault="00E157CE" w:rsidP="00D51F5A">
            <w:pPr>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2313</w:t>
            </w:r>
          </w:p>
        </w:tc>
        <w:tc>
          <w:tcPr>
            <w:tcW w:w="1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3A7212E"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2002</w:t>
            </w:r>
          </w:p>
        </w:tc>
        <w:tc>
          <w:tcPr>
            <w:tcW w:w="14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DB0A080"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311</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C0A3095" w14:textId="77777777" w:rsidR="00E157CE" w:rsidRPr="00D51F5A" w:rsidRDefault="00E157CE" w:rsidP="00D51F5A">
            <w:pPr>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713</w:t>
            </w:r>
          </w:p>
        </w:tc>
        <w:tc>
          <w:tcPr>
            <w:tcW w:w="11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DF6950D"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511</w:t>
            </w:r>
          </w:p>
        </w:tc>
        <w:tc>
          <w:tcPr>
            <w:tcW w:w="14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7C0F428"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202</w:t>
            </w:r>
          </w:p>
        </w:tc>
      </w:tr>
      <w:tr w:rsidR="00E157CE" w:rsidRPr="00D51F5A" w14:paraId="53CE7C7C" w14:textId="77777777" w:rsidTr="003A167C">
        <w:trPr>
          <w:cantSplit/>
          <w:trHeight w:val="1"/>
        </w:trPr>
        <w:tc>
          <w:tcPr>
            <w:tcW w:w="31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7259A92F"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b/>
                <w:sz w:val="26"/>
                <w:szCs w:val="26"/>
              </w:rPr>
              <w:t>Total</w:t>
            </w:r>
          </w:p>
        </w:tc>
        <w:tc>
          <w:tcPr>
            <w:tcW w:w="9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74BC5B25" w14:textId="77777777" w:rsidR="00E157CE" w:rsidRPr="00D51F5A" w:rsidRDefault="00E157CE" w:rsidP="00D51F5A">
            <w:pPr>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5066</w:t>
            </w:r>
          </w:p>
        </w:tc>
        <w:tc>
          <w:tcPr>
            <w:tcW w:w="11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79018A02"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4401</w:t>
            </w:r>
          </w:p>
        </w:tc>
        <w:tc>
          <w:tcPr>
            <w:tcW w:w="141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4B185A66"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665</w:t>
            </w:r>
          </w:p>
        </w:tc>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0050D5A6" w14:textId="77777777" w:rsidR="00E157CE" w:rsidRPr="00D51F5A" w:rsidRDefault="00E157CE" w:rsidP="00D51F5A">
            <w:pPr>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1163</w:t>
            </w:r>
          </w:p>
        </w:tc>
        <w:tc>
          <w:tcPr>
            <w:tcW w:w="11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3820E592"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805</w:t>
            </w:r>
          </w:p>
        </w:tc>
        <w:tc>
          <w:tcPr>
            <w:tcW w:w="14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6113E895" w14:textId="77777777" w:rsidR="00E157CE" w:rsidRPr="00D51F5A" w:rsidRDefault="00E157CE" w:rsidP="00D51F5A">
            <w:pPr>
              <w:keepNext/>
              <w:keepLines/>
              <w:spacing w:line="276" w:lineRule="auto"/>
              <w:jc w:val="both"/>
              <w:rPr>
                <w:rFonts w:asciiTheme="minorHAnsi" w:hAnsiTheme="minorHAnsi" w:cstheme="minorHAnsi"/>
                <w:sz w:val="26"/>
                <w:szCs w:val="26"/>
              </w:rPr>
            </w:pPr>
            <w:r w:rsidRPr="00D51F5A">
              <w:rPr>
                <w:rFonts w:asciiTheme="minorHAnsi" w:hAnsiTheme="minorHAnsi" w:cstheme="minorHAnsi"/>
                <w:sz w:val="26"/>
                <w:szCs w:val="26"/>
              </w:rPr>
              <w:t>358</w:t>
            </w:r>
          </w:p>
        </w:tc>
      </w:tr>
    </w:tbl>
    <w:p w14:paraId="65FD4114" w14:textId="77777777" w:rsidR="00E157CE" w:rsidRPr="004A72CD" w:rsidRDefault="00E157CE" w:rsidP="00D51F5A">
      <w:pPr>
        <w:spacing w:line="276" w:lineRule="auto"/>
        <w:ind w:firstLine="142"/>
        <w:jc w:val="both"/>
        <w:rPr>
          <w:rFonts w:asciiTheme="minorHAnsi" w:hAnsiTheme="minorHAnsi" w:cstheme="minorHAnsi"/>
          <w:b/>
          <w:sz w:val="26"/>
          <w:szCs w:val="26"/>
        </w:rPr>
      </w:pPr>
      <w:r w:rsidRPr="004A72CD">
        <w:rPr>
          <w:rFonts w:asciiTheme="minorHAnsi" w:hAnsiTheme="minorHAnsi" w:cstheme="minorHAnsi"/>
          <w:color w:val="FF0000"/>
          <w:sz w:val="26"/>
          <w:szCs w:val="26"/>
        </w:rPr>
        <w:drawing>
          <wp:inline distT="0" distB="0" distL="0" distR="0" wp14:anchorId="7EB5DF81" wp14:editId="0A84E1CA">
            <wp:extent cx="6086475" cy="2990850"/>
            <wp:effectExtent l="0" t="0" r="0" b="0"/>
            <wp:docPr id="1792359240" name="Chart 17923592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3720875" w14:textId="77777777" w:rsidR="00E157CE" w:rsidRPr="004A72CD" w:rsidRDefault="00E157CE" w:rsidP="00D51F5A">
      <w:pPr>
        <w:spacing w:line="276" w:lineRule="auto"/>
        <w:ind w:firstLine="720"/>
        <w:jc w:val="both"/>
        <w:rPr>
          <w:rFonts w:asciiTheme="minorHAnsi" w:hAnsiTheme="minorHAnsi" w:cstheme="minorHAnsi"/>
          <w:b/>
          <w:sz w:val="26"/>
          <w:szCs w:val="26"/>
        </w:rPr>
      </w:pPr>
      <w:r w:rsidRPr="004A72CD">
        <w:rPr>
          <w:rFonts w:asciiTheme="minorHAnsi" w:hAnsiTheme="minorHAnsi" w:cstheme="minorHAnsi"/>
          <w:b/>
          <w:sz w:val="26"/>
          <w:szCs w:val="26"/>
        </w:rPr>
        <w:t>Situaţia posturilor de procuror la începutul anului 2024</w:t>
      </w:r>
    </w:p>
    <w:p w14:paraId="269B2710" w14:textId="04E597A6" w:rsidR="00E157CE" w:rsidRPr="004A72CD" w:rsidRDefault="00E157CE"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În luna ianuarie 2024, </w:t>
      </w:r>
      <w:r w:rsidRPr="004A72CD">
        <w:rPr>
          <w:rFonts w:asciiTheme="minorHAnsi" w:hAnsiTheme="minorHAnsi" w:cstheme="minorHAnsi"/>
          <w:b/>
          <w:sz w:val="26"/>
          <w:szCs w:val="26"/>
        </w:rPr>
        <w:t xml:space="preserve">la nivelul parchetelor, din totalul de 3039 de posturi de procuror, </w:t>
      </w:r>
      <w:r w:rsidRPr="004A72CD">
        <w:rPr>
          <w:rFonts w:asciiTheme="minorHAnsi" w:hAnsiTheme="minorHAnsi" w:cstheme="minorHAnsi"/>
          <w:bCs/>
          <w:sz w:val="26"/>
          <w:szCs w:val="26"/>
        </w:rPr>
        <w:t xml:space="preserve">fiind </w:t>
      </w:r>
      <w:r w:rsidRPr="004A72CD">
        <w:rPr>
          <w:rFonts w:asciiTheme="minorHAnsi" w:hAnsiTheme="minorHAnsi" w:cstheme="minorHAnsi"/>
          <w:sz w:val="26"/>
          <w:szCs w:val="26"/>
        </w:rPr>
        <w:t xml:space="preserve">incluse şi cele 60 de posturi acordate potrivit art. 147 din Legea nr. 304/2004 privind organizarea judiciară, </w:t>
      </w:r>
      <w:r w:rsidRPr="004A72CD">
        <w:rPr>
          <w:rFonts w:asciiTheme="minorHAnsi" w:hAnsiTheme="minorHAnsi" w:cstheme="minorHAnsi"/>
          <w:b/>
          <w:sz w:val="26"/>
          <w:szCs w:val="26"/>
        </w:rPr>
        <w:t xml:space="preserve">erau ocupate 2057 de posturi, </w:t>
      </w:r>
      <w:r w:rsidRPr="004A72CD">
        <w:rPr>
          <w:rFonts w:asciiTheme="minorHAnsi" w:hAnsiTheme="minorHAnsi" w:cstheme="minorHAnsi"/>
          <w:bCs/>
          <w:sz w:val="26"/>
          <w:szCs w:val="26"/>
        </w:rPr>
        <w:t>care includ</w:t>
      </w:r>
      <w:r w:rsidRPr="004A72CD">
        <w:rPr>
          <w:rFonts w:asciiTheme="minorHAnsi" w:hAnsiTheme="minorHAnsi" w:cstheme="minorHAnsi"/>
          <w:b/>
          <w:sz w:val="26"/>
          <w:szCs w:val="26"/>
        </w:rPr>
        <w:t xml:space="preserve"> </w:t>
      </w:r>
      <w:r w:rsidRPr="004A72CD">
        <w:rPr>
          <w:rFonts w:asciiTheme="minorHAnsi" w:hAnsiTheme="minorHAnsi" w:cstheme="minorHAnsi"/>
          <w:sz w:val="26"/>
          <w:szCs w:val="26"/>
        </w:rPr>
        <w:t>şi cele 25 de posturi acordate potrivit art. 147 din Legea nr. 304/2022</w:t>
      </w:r>
      <w:r w:rsidR="0066139A" w:rsidRPr="004A72CD">
        <w:rPr>
          <w:rFonts w:asciiTheme="minorHAnsi" w:hAnsiTheme="minorHAnsi" w:cstheme="minorHAnsi"/>
          <w:sz w:val="26"/>
          <w:szCs w:val="26"/>
        </w:rPr>
        <w:t xml:space="preserve"> privind organizarea judiciară</w:t>
      </w:r>
      <w:r w:rsidRPr="004A72CD">
        <w:rPr>
          <w:rFonts w:asciiTheme="minorHAnsi" w:hAnsiTheme="minorHAnsi" w:cstheme="minorHAnsi"/>
          <w:sz w:val="26"/>
          <w:szCs w:val="26"/>
        </w:rPr>
        <w:t xml:space="preserve">. Dintre cele 25 de posturi, 4 posturi erau la nivelul parchetelor de pe lângă curțile de apel, 12 la parchetele de pe lângă tribunale şi 9 la parchetele de pe lângă judecătorii. La aceeaşi dată, erau </w:t>
      </w:r>
      <w:r w:rsidRPr="004A72CD">
        <w:rPr>
          <w:rFonts w:asciiTheme="minorHAnsi" w:hAnsiTheme="minorHAnsi" w:cstheme="minorHAnsi"/>
          <w:b/>
          <w:sz w:val="26"/>
          <w:szCs w:val="26"/>
        </w:rPr>
        <w:t>vacante 992 de posturi</w:t>
      </w:r>
      <w:r w:rsidRPr="004A72CD">
        <w:rPr>
          <w:rFonts w:asciiTheme="minorHAnsi" w:hAnsiTheme="minorHAnsi" w:cstheme="minorHAnsi"/>
          <w:sz w:val="26"/>
          <w:szCs w:val="26"/>
        </w:rPr>
        <w:t>, din care 589 de posturi erau corespunzătoare funcţiilor de execuţie, fiind incluse şi 35 de posturi acordate potrivit art. 147 din Legea nr. 304/2022, iar 368 de posturi funcţiilor de conducere.</w:t>
      </w:r>
    </w:p>
    <w:p w14:paraId="29364DCE" w14:textId="77777777" w:rsidR="00E157CE" w:rsidRPr="004A72CD" w:rsidRDefault="00E157CE" w:rsidP="00D51F5A">
      <w:pPr>
        <w:spacing w:line="276" w:lineRule="auto"/>
        <w:jc w:val="both"/>
        <w:rPr>
          <w:rFonts w:asciiTheme="minorHAnsi" w:hAnsiTheme="minorHAnsi" w:cstheme="minorHAnsi"/>
          <w:sz w:val="26"/>
          <w:szCs w:val="26"/>
        </w:rPr>
      </w:pPr>
      <w:r w:rsidRPr="004A72CD">
        <w:rPr>
          <w:rFonts w:asciiTheme="minorHAnsi" w:hAnsiTheme="minorHAnsi" w:cstheme="minorHAnsi"/>
          <w:color w:val="C00000"/>
          <w:sz w:val="26"/>
          <w:szCs w:val="26"/>
        </w:rPr>
        <w:tab/>
      </w:r>
      <w:r w:rsidRPr="004A72CD">
        <w:rPr>
          <w:rFonts w:asciiTheme="minorHAnsi" w:hAnsiTheme="minorHAnsi" w:cstheme="minorHAnsi"/>
          <w:b/>
          <w:sz w:val="26"/>
          <w:szCs w:val="26"/>
        </w:rPr>
        <w:t>Din totalul celor 2057 de posturi de procuror ocupate, 10 procurori funcţionau peste schema prevăzută</w:t>
      </w:r>
      <w:r w:rsidRPr="004A72CD">
        <w:rPr>
          <w:rFonts w:asciiTheme="minorHAnsi" w:hAnsiTheme="minorHAnsi" w:cstheme="minorHAnsi"/>
          <w:sz w:val="26"/>
          <w:szCs w:val="26"/>
        </w:rPr>
        <w:t>, 2 la nivelul parchetelor de pe lângă curțile de apel, 4 la parchetele de pe lângă tribunale și 4 la parchetele de pe lângă judecătorii.</w:t>
      </w:r>
    </w:p>
    <w:p w14:paraId="2353AC22" w14:textId="77777777" w:rsidR="00E157CE" w:rsidRPr="004A72CD" w:rsidRDefault="00E157CE" w:rsidP="00D51F5A">
      <w:pPr>
        <w:spacing w:line="276" w:lineRule="auto"/>
        <w:jc w:val="both"/>
        <w:rPr>
          <w:rFonts w:asciiTheme="minorHAnsi" w:hAnsiTheme="minorHAnsi" w:cstheme="minorHAnsi"/>
          <w:sz w:val="26"/>
          <w:szCs w:val="26"/>
        </w:rPr>
      </w:pPr>
      <w:r w:rsidRPr="004A72CD">
        <w:rPr>
          <w:rFonts w:asciiTheme="minorHAnsi" w:hAnsiTheme="minorHAnsi" w:cstheme="minorHAnsi"/>
          <w:color w:val="C00000"/>
          <w:sz w:val="26"/>
          <w:szCs w:val="26"/>
        </w:rPr>
        <w:tab/>
      </w:r>
      <w:r w:rsidRPr="004A72CD">
        <w:rPr>
          <w:rFonts w:asciiTheme="minorHAnsi" w:hAnsiTheme="minorHAnsi" w:cstheme="minorHAnsi"/>
          <w:sz w:val="26"/>
          <w:szCs w:val="26"/>
        </w:rPr>
        <w:t>Funcţionarea peste schemă se datorează faptului că procurorii respectivi fie şi-au încetat mandatele de conducere, fie şi-au încetat activitatea la cele două structuri din cadrul Parchetului de pe lângă Înalta Curte de Casaţie şi Justiţie, Direcţia Naţională Anticorupţie şi Direcţia de Investigare a Infracţiunilor de Criminalitate Organizată şi Terorism şi, potrivit dispoziţiilor legale, au revenit pe posturile de execuţie de la unităţile de parchet la care au funcţionat anterior numirii.</w:t>
      </w:r>
    </w:p>
    <w:p w14:paraId="6D702ACB" w14:textId="77777777" w:rsidR="00E157CE" w:rsidRPr="004A72CD" w:rsidRDefault="00E157CE" w:rsidP="003A167C">
      <w:pPr>
        <w:keepNext/>
        <w:keepLines/>
        <w:spacing w:line="276" w:lineRule="auto"/>
        <w:ind w:firstLine="720"/>
        <w:jc w:val="both"/>
        <w:rPr>
          <w:rFonts w:asciiTheme="minorHAnsi" w:hAnsiTheme="minorHAnsi" w:cstheme="minorHAnsi"/>
          <w:sz w:val="26"/>
          <w:szCs w:val="26"/>
        </w:rPr>
      </w:pPr>
      <w:r w:rsidRPr="004A72CD">
        <w:rPr>
          <w:rFonts w:asciiTheme="minorHAnsi" w:hAnsiTheme="minorHAnsi" w:cstheme="minorHAnsi"/>
          <w:b/>
          <w:sz w:val="26"/>
          <w:szCs w:val="26"/>
        </w:rPr>
        <w:lastRenderedPageBreak/>
        <w:t xml:space="preserve">Distribuţia posturilor vacante, pe grade de jurisdicţie, în luna ianuarie 2024, </w:t>
      </w:r>
      <w:r w:rsidRPr="004A72CD">
        <w:rPr>
          <w:rFonts w:asciiTheme="minorHAnsi" w:hAnsiTheme="minorHAnsi" w:cstheme="minorHAnsi"/>
          <w:sz w:val="26"/>
          <w:szCs w:val="26"/>
        </w:rPr>
        <w:t>se</w:t>
      </w:r>
      <w:r w:rsidRPr="004A72CD">
        <w:rPr>
          <w:rFonts w:asciiTheme="minorHAnsi" w:hAnsiTheme="minorHAnsi" w:cstheme="minorHAnsi"/>
          <w:b/>
          <w:sz w:val="26"/>
          <w:szCs w:val="26"/>
        </w:rPr>
        <w:t xml:space="preserve"> </w:t>
      </w:r>
      <w:r w:rsidRPr="004A72CD">
        <w:rPr>
          <w:rFonts w:asciiTheme="minorHAnsi" w:hAnsiTheme="minorHAnsi" w:cstheme="minorHAnsi"/>
          <w:sz w:val="26"/>
          <w:szCs w:val="26"/>
        </w:rPr>
        <w:t>prezenta astfel:</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50"/>
        <w:gridCol w:w="851"/>
        <w:gridCol w:w="850"/>
        <w:gridCol w:w="851"/>
        <w:gridCol w:w="850"/>
        <w:gridCol w:w="851"/>
        <w:gridCol w:w="850"/>
        <w:gridCol w:w="850"/>
      </w:tblGrid>
      <w:tr w:rsidR="00E157CE" w:rsidRPr="004A72CD" w14:paraId="76A81FDC" w14:textId="77777777" w:rsidTr="00D51F5A">
        <w:trPr>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DC6B6C7" w14:textId="77777777" w:rsidR="00E157CE" w:rsidRPr="004A72CD" w:rsidRDefault="00E157CE" w:rsidP="003A167C">
            <w:pPr>
              <w:keepNext/>
              <w:keepLines/>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Categoria</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4B5EE6D5" w14:textId="77777777" w:rsidR="00E157CE" w:rsidRPr="004A72CD" w:rsidRDefault="00E157CE" w:rsidP="003A167C">
            <w:pPr>
              <w:keepNext/>
              <w:keepLines/>
              <w:spacing w:line="276" w:lineRule="auto"/>
              <w:jc w:val="center"/>
              <w:rPr>
                <w:rFonts w:asciiTheme="minorHAnsi" w:hAnsiTheme="minorHAnsi" w:cstheme="minorHAnsi"/>
                <w:sz w:val="26"/>
                <w:szCs w:val="26"/>
              </w:rPr>
            </w:pPr>
            <w:r w:rsidRPr="004A72CD">
              <w:rPr>
                <w:rFonts w:asciiTheme="minorHAnsi" w:hAnsiTheme="minorHAnsi" w:cstheme="minorHAnsi"/>
                <w:b/>
                <w:sz w:val="26"/>
                <w:szCs w:val="26"/>
              </w:rPr>
              <w:t>Posturi de procuror prevăzute în  schemă</w:t>
            </w:r>
          </w:p>
        </w:tc>
        <w:tc>
          <w:tcPr>
            <w:tcW w:w="3401"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2CA5193" w14:textId="77777777" w:rsidR="00E157CE" w:rsidRPr="004A72CD" w:rsidRDefault="00E157CE" w:rsidP="003A167C">
            <w:pPr>
              <w:keepNext/>
              <w:keepLines/>
              <w:spacing w:line="276" w:lineRule="auto"/>
              <w:jc w:val="center"/>
              <w:rPr>
                <w:rFonts w:asciiTheme="minorHAnsi" w:hAnsiTheme="minorHAnsi" w:cstheme="minorHAnsi"/>
                <w:sz w:val="26"/>
                <w:szCs w:val="26"/>
              </w:rPr>
            </w:pPr>
            <w:r w:rsidRPr="004A72CD">
              <w:rPr>
                <w:rFonts w:asciiTheme="minorHAnsi" w:hAnsiTheme="minorHAnsi" w:cstheme="minorHAnsi"/>
                <w:b/>
                <w:sz w:val="26"/>
                <w:szCs w:val="26"/>
              </w:rPr>
              <w:t>Posturi de procuror vacante</w:t>
            </w:r>
          </w:p>
        </w:tc>
      </w:tr>
      <w:tr w:rsidR="00E157CE" w:rsidRPr="004A72CD" w14:paraId="3C81BF0B" w14:textId="77777777" w:rsidTr="00D51F5A">
        <w:trPr>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2ADB2240" w14:textId="77777777" w:rsidR="00E157CE" w:rsidRPr="004A72CD" w:rsidRDefault="00E157CE" w:rsidP="003A167C">
            <w:pPr>
              <w:keepNext/>
              <w:keepLines/>
              <w:spacing w:line="276" w:lineRule="auto"/>
              <w:rPr>
                <w:rFonts w:asciiTheme="minorHAnsi" w:hAnsiTheme="minorHAnsi" w:cstheme="minorHAnsi"/>
                <w:b/>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BDB74F" w14:textId="77777777" w:rsidR="00E157CE" w:rsidRPr="004A72CD" w:rsidRDefault="00E157CE" w:rsidP="003A167C">
            <w:pPr>
              <w:keepNext/>
              <w:keepLines/>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02E252C" w14:textId="77777777" w:rsidR="00E157CE" w:rsidRPr="004A72CD" w:rsidRDefault="00E157CE" w:rsidP="003A167C">
            <w:pPr>
              <w:keepNext/>
              <w:keepLines/>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5554C9CC" w14:textId="77777777" w:rsidR="00E157CE" w:rsidRPr="004A72CD" w:rsidRDefault="00E157CE" w:rsidP="003A167C">
            <w:pPr>
              <w:keepNext/>
              <w:keepLines/>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art. 147</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CE7585" w14:textId="77777777" w:rsidR="00E157CE" w:rsidRPr="004A72CD" w:rsidRDefault="00E157CE" w:rsidP="003A167C">
            <w:pPr>
              <w:keepNext/>
              <w:keepLines/>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Cond.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7F440F" w14:textId="77777777" w:rsidR="00E157CE" w:rsidRPr="004A72CD" w:rsidRDefault="00E157CE" w:rsidP="003A167C">
            <w:pPr>
              <w:keepNext/>
              <w:keepLines/>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62DDFF" w14:textId="77777777" w:rsidR="00E157CE" w:rsidRPr="004A72CD" w:rsidRDefault="00E157CE" w:rsidP="003A167C">
            <w:pPr>
              <w:keepNext/>
              <w:keepLines/>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57EB64DD" w14:textId="77777777" w:rsidR="00E157CE" w:rsidRPr="004A72CD" w:rsidRDefault="00E157CE" w:rsidP="003A167C">
            <w:pPr>
              <w:keepNext/>
              <w:keepLines/>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art. 147</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895B55" w14:textId="77777777" w:rsidR="00E157CE" w:rsidRPr="004A72CD" w:rsidRDefault="00E157CE" w:rsidP="003A167C">
            <w:pPr>
              <w:keepNext/>
              <w:keepLines/>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Cond.</w:t>
            </w:r>
          </w:p>
        </w:tc>
      </w:tr>
      <w:tr w:rsidR="00E157CE" w:rsidRPr="004A72CD" w14:paraId="7F4BA5BE" w14:textId="77777777" w:rsidTr="00D51F5A">
        <w:trPr>
          <w:trHeight w:val="847"/>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588AE9E1" w14:textId="03884362" w:rsidR="00E157CE" w:rsidRPr="004A72CD" w:rsidRDefault="00E157CE" w:rsidP="003A167C">
            <w:pPr>
              <w:keepNext/>
              <w:keepLines/>
              <w:spacing w:line="276" w:lineRule="auto"/>
              <w:jc w:val="both"/>
              <w:rPr>
                <w:rFonts w:asciiTheme="minorHAnsi" w:hAnsiTheme="minorHAnsi" w:cstheme="minorHAnsi"/>
                <w:sz w:val="26"/>
                <w:szCs w:val="26"/>
              </w:rPr>
            </w:pPr>
            <w:r w:rsidRPr="004A72CD">
              <w:rPr>
                <w:rFonts w:asciiTheme="minorHAnsi" w:hAnsiTheme="minorHAnsi" w:cstheme="minorHAnsi"/>
                <w:sz w:val="26"/>
                <w:szCs w:val="26"/>
              </w:rPr>
              <w:t>P</w:t>
            </w:r>
            <w:r w:rsidR="0066139A" w:rsidRPr="004A72CD">
              <w:rPr>
                <w:rFonts w:asciiTheme="minorHAnsi" w:hAnsiTheme="minorHAnsi" w:cstheme="minorHAnsi"/>
                <w:sz w:val="26"/>
                <w:szCs w:val="26"/>
              </w:rPr>
              <w:t>.</w:t>
            </w:r>
            <w:r w:rsidRPr="004A72CD">
              <w:rPr>
                <w:rFonts w:asciiTheme="minorHAnsi" w:hAnsiTheme="minorHAnsi" w:cstheme="minorHAnsi"/>
                <w:sz w:val="26"/>
                <w:szCs w:val="26"/>
              </w:rPr>
              <w:t>Î</w:t>
            </w:r>
            <w:r w:rsidR="0066139A" w:rsidRPr="004A72CD">
              <w:rPr>
                <w:rFonts w:asciiTheme="minorHAnsi" w:hAnsiTheme="minorHAnsi" w:cstheme="minorHAnsi"/>
                <w:sz w:val="26"/>
                <w:szCs w:val="26"/>
              </w:rPr>
              <w:t>.</w:t>
            </w:r>
            <w:r w:rsidRPr="004A72CD">
              <w:rPr>
                <w:rFonts w:asciiTheme="minorHAnsi" w:hAnsiTheme="minorHAnsi" w:cstheme="minorHAnsi"/>
                <w:sz w:val="26"/>
                <w:szCs w:val="26"/>
              </w:rPr>
              <w:t>C</w:t>
            </w:r>
            <w:r w:rsidR="0066139A" w:rsidRPr="004A72CD">
              <w:rPr>
                <w:rFonts w:asciiTheme="minorHAnsi" w:hAnsiTheme="minorHAnsi" w:cstheme="minorHAnsi"/>
                <w:sz w:val="26"/>
                <w:szCs w:val="26"/>
              </w:rPr>
              <w:t>.</w:t>
            </w:r>
            <w:r w:rsidRPr="004A72CD">
              <w:rPr>
                <w:rFonts w:asciiTheme="minorHAnsi" w:hAnsiTheme="minorHAnsi" w:cstheme="minorHAnsi"/>
                <w:sz w:val="26"/>
                <w:szCs w:val="26"/>
              </w:rPr>
              <w:t>C</w:t>
            </w:r>
            <w:r w:rsidR="0066139A" w:rsidRPr="004A72CD">
              <w:rPr>
                <w:rFonts w:asciiTheme="minorHAnsi" w:hAnsiTheme="minorHAnsi" w:cstheme="minorHAnsi"/>
                <w:sz w:val="26"/>
                <w:szCs w:val="26"/>
              </w:rPr>
              <w:t>.</w:t>
            </w:r>
            <w:r w:rsidRPr="004A72CD">
              <w:rPr>
                <w:rFonts w:asciiTheme="minorHAnsi" w:hAnsiTheme="minorHAnsi" w:cstheme="minorHAnsi"/>
                <w:sz w:val="26"/>
                <w:szCs w:val="26"/>
              </w:rPr>
              <w:t>J</w:t>
            </w:r>
            <w:r w:rsidR="0066139A" w:rsidRPr="004A72CD">
              <w:rPr>
                <w:rFonts w:asciiTheme="minorHAnsi" w:hAnsiTheme="minorHAnsi" w:cstheme="minorHAnsi"/>
                <w:sz w:val="26"/>
                <w:szCs w:val="26"/>
              </w:rPr>
              <w:t>.</w:t>
            </w:r>
            <w:r w:rsidRPr="004A72CD">
              <w:rPr>
                <w:rFonts w:asciiTheme="minorHAnsi" w:hAnsiTheme="minorHAnsi" w:cstheme="minorHAnsi"/>
                <w:sz w:val="26"/>
                <w:szCs w:val="26"/>
              </w:rPr>
              <w:t xml:space="preserve"> (</w:t>
            </w:r>
            <w:r w:rsidRPr="004A72CD">
              <w:rPr>
                <w:rFonts w:asciiTheme="minorHAnsi" w:hAnsiTheme="minorHAnsi" w:cstheme="minorHAnsi"/>
                <w:i/>
                <w:sz w:val="26"/>
                <w:szCs w:val="26"/>
              </w:rPr>
              <w:t>inclusiv D</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N</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A</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 D</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I</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I</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C</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O</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T</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 xml:space="preserve"> şi Secţia parchetelor militare</w:t>
            </w:r>
            <w:r w:rsidRPr="004A72CD">
              <w:rPr>
                <w:rFonts w:asciiTheme="minorHAnsi" w:hAnsiTheme="minorHAnsi" w:cstheme="minorHAnsi"/>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3B3141" w14:textId="77777777" w:rsidR="00E157CE" w:rsidRPr="004A72CD" w:rsidRDefault="00E157CE" w:rsidP="003A167C">
            <w:pPr>
              <w:keepNext/>
              <w:keepLines/>
              <w:spacing w:line="276" w:lineRule="auto"/>
              <w:jc w:val="both"/>
              <w:rPr>
                <w:rFonts w:asciiTheme="minorHAnsi" w:hAnsiTheme="minorHAnsi" w:cstheme="minorHAnsi"/>
                <w:b/>
                <w:sz w:val="26"/>
                <w:szCs w:val="26"/>
              </w:rPr>
            </w:pPr>
            <w:r w:rsidRPr="004A72CD">
              <w:rPr>
                <w:rFonts w:asciiTheme="minorHAnsi" w:hAnsiTheme="minorHAnsi" w:cstheme="minorHAnsi"/>
                <w:b/>
                <w:sz w:val="26"/>
                <w:szCs w:val="26"/>
              </w:rPr>
              <w:t>660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DD869E" w14:textId="77777777" w:rsidR="00E157CE" w:rsidRPr="004A72CD" w:rsidRDefault="00E157CE" w:rsidP="003A167C">
            <w:pPr>
              <w:keepNext/>
              <w:keepLines/>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515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824CD7" w14:textId="77777777" w:rsidR="00E157CE" w:rsidRPr="004A72CD" w:rsidRDefault="00E157CE" w:rsidP="003A167C">
            <w:pPr>
              <w:keepNext/>
              <w:keepLines/>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CAAE19" w14:textId="77777777" w:rsidR="00E157CE" w:rsidRPr="004A72CD" w:rsidRDefault="00E157CE" w:rsidP="003A167C">
            <w:pPr>
              <w:keepNext/>
              <w:keepLines/>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145</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85AE53" w14:textId="77777777" w:rsidR="00E157CE" w:rsidRPr="004A72CD" w:rsidRDefault="00E157CE" w:rsidP="003A167C">
            <w:pPr>
              <w:keepNext/>
              <w:keepLines/>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189</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7D9DAA" w14:textId="77777777" w:rsidR="00E157CE" w:rsidRPr="004A72CD" w:rsidRDefault="00E157CE" w:rsidP="003A167C">
            <w:pPr>
              <w:keepNext/>
              <w:keepLines/>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120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1651CF" w14:textId="77777777" w:rsidR="00E157CE" w:rsidRPr="004A72CD" w:rsidRDefault="00E157CE" w:rsidP="003A167C">
            <w:pPr>
              <w:keepNext/>
              <w:keepLines/>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4D3DE1" w14:textId="77777777" w:rsidR="00E157CE" w:rsidRPr="004A72CD" w:rsidRDefault="00E157CE" w:rsidP="003A167C">
            <w:pPr>
              <w:keepNext/>
              <w:keepLines/>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69</w:t>
            </w:r>
          </w:p>
        </w:tc>
      </w:tr>
      <w:tr w:rsidR="00E157CE" w:rsidRPr="004A72CD" w14:paraId="76EAA5D4" w14:textId="77777777" w:rsidTr="00D51F5A">
        <w:trPr>
          <w:trHeight w:val="762"/>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14227565" w14:textId="464D3372" w:rsidR="00E157CE" w:rsidRPr="004A72CD" w:rsidRDefault="00E157CE" w:rsidP="00D51F5A">
            <w:pPr>
              <w:spacing w:line="276" w:lineRule="auto"/>
              <w:jc w:val="both"/>
              <w:rPr>
                <w:rFonts w:asciiTheme="minorHAnsi" w:hAnsiTheme="minorHAnsi" w:cstheme="minorHAnsi"/>
                <w:sz w:val="26"/>
                <w:szCs w:val="26"/>
              </w:rPr>
            </w:pPr>
            <w:r w:rsidRPr="004A72CD">
              <w:rPr>
                <w:rFonts w:asciiTheme="minorHAnsi" w:hAnsiTheme="minorHAnsi" w:cstheme="minorHAnsi"/>
                <w:sz w:val="26"/>
                <w:szCs w:val="26"/>
              </w:rPr>
              <w:t>Parchetele de pe lângă curţile de apel (</w:t>
            </w:r>
            <w:r w:rsidRPr="004A72CD">
              <w:rPr>
                <w:rFonts w:asciiTheme="minorHAnsi" w:hAnsiTheme="minorHAnsi" w:cstheme="minorHAnsi"/>
                <w:i/>
                <w:sz w:val="26"/>
                <w:szCs w:val="26"/>
              </w:rPr>
              <w:t>inclusiv P</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C</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M</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A</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FE517A" w14:textId="77777777" w:rsidR="00E157CE" w:rsidRPr="004A72CD" w:rsidRDefault="00E157CE" w:rsidP="00D51F5A">
            <w:pPr>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265</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886820" w14:textId="77777777" w:rsidR="00E157CE" w:rsidRPr="004A72CD" w:rsidRDefault="00E157CE" w:rsidP="00D51F5A">
            <w:pPr>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185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0F4CF2" w14:textId="77777777" w:rsidR="00E157CE" w:rsidRPr="004A72CD" w:rsidRDefault="00E157CE" w:rsidP="00D51F5A">
            <w:pPr>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07B808" w14:textId="77777777" w:rsidR="00E157CE" w:rsidRPr="004A72CD" w:rsidRDefault="00E157CE" w:rsidP="00D51F5A">
            <w:pPr>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75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2BD5C2" w14:textId="77777777" w:rsidR="00E157CE" w:rsidRPr="004A72CD" w:rsidRDefault="00E157CE" w:rsidP="00D51F5A">
            <w:pPr>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57</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B45EED" w14:textId="77777777" w:rsidR="00E157CE" w:rsidRPr="004A72CD" w:rsidRDefault="00E157CE" w:rsidP="00D51F5A">
            <w:pPr>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AA6FB5" w14:textId="77777777" w:rsidR="00E157CE" w:rsidRPr="004A72CD" w:rsidRDefault="00E157CE" w:rsidP="00D51F5A">
            <w:pPr>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38C42C7" w14:textId="77777777" w:rsidR="00E157CE" w:rsidRPr="004A72CD" w:rsidRDefault="00E157CE" w:rsidP="00D51F5A">
            <w:pPr>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36</w:t>
            </w:r>
          </w:p>
        </w:tc>
      </w:tr>
      <w:tr w:rsidR="00E157CE" w:rsidRPr="004A72CD" w14:paraId="1B5CC927" w14:textId="77777777" w:rsidTr="00D51F5A">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22E8B88B" w14:textId="6F3BADAF" w:rsidR="00E157CE" w:rsidRPr="004A72CD" w:rsidRDefault="00E157CE" w:rsidP="00D51F5A">
            <w:pPr>
              <w:spacing w:line="276" w:lineRule="auto"/>
              <w:jc w:val="both"/>
              <w:rPr>
                <w:rFonts w:asciiTheme="minorHAnsi" w:hAnsiTheme="minorHAnsi" w:cstheme="minorHAnsi"/>
                <w:sz w:val="26"/>
                <w:szCs w:val="26"/>
              </w:rPr>
            </w:pPr>
            <w:r w:rsidRPr="004A72CD">
              <w:rPr>
                <w:rFonts w:asciiTheme="minorHAnsi" w:hAnsiTheme="minorHAnsi" w:cstheme="minorHAnsi"/>
                <w:sz w:val="26"/>
                <w:szCs w:val="26"/>
              </w:rPr>
              <w:t>Parchetele de pe lângă  tribunale (</w:t>
            </w:r>
            <w:r w:rsidRPr="004A72CD">
              <w:rPr>
                <w:rFonts w:asciiTheme="minorHAnsi" w:hAnsiTheme="minorHAnsi" w:cstheme="minorHAnsi"/>
                <w:i/>
                <w:sz w:val="26"/>
                <w:szCs w:val="26"/>
              </w:rPr>
              <w:t>inclusiv P</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T</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M</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T</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B</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 xml:space="preserve"> şi P</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T</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M</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F</w:t>
            </w:r>
            <w:r w:rsidR="0066139A" w:rsidRPr="004A72CD">
              <w:rPr>
                <w:rFonts w:asciiTheme="minorHAnsi" w:hAnsiTheme="minorHAnsi" w:cstheme="minorHAnsi"/>
                <w:i/>
                <w:sz w:val="26"/>
                <w:szCs w:val="26"/>
              </w:rPr>
              <w:t>.</w:t>
            </w:r>
            <w:r w:rsidRPr="004A72CD">
              <w:rPr>
                <w:rFonts w:asciiTheme="minorHAnsi" w:hAnsiTheme="minorHAnsi" w:cstheme="minorHAnsi"/>
                <w:i/>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FC7028" w14:textId="77777777" w:rsidR="00E157CE" w:rsidRPr="004A72CD" w:rsidRDefault="00E157CE" w:rsidP="00D51F5A">
            <w:pPr>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725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678931" w14:textId="77777777" w:rsidR="00E157CE" w:rsidRPr="004A72CD" w:rsidRDefault="00E157CE" w:rsidP="00D51F5A">
            <w:pPr>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518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0714C2" w14:textId="77777777" w:rsidR="00E157CE" w:rsidRPr="004A72CD" w:rsidRDefault="00E157CE" w:rsidP="00D51F5A">
            <w:pPr>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14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8B44F56" w14:textId="77777777" w:rsidR="00E157CE" w:rsidRPr="004A72CD" w:rsidRDefault="00E157CE" w:rsidP="00D51F5A">
            <w:pPr>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193</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546F8E" w14:textId="77777777" w:rsidR="00E157CE" w:rsidRPr="004A72CD" w:rsidRDefault="00E157CE" w:rsidP="00D51F5A">
            <w:pPr>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257</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488834" w14:textId="77777777" w:rsidR="00E157CE" w:rsidRPr="004A72CD" w:rsidRDefault="00E157CE" w:rsidP="00D51F5A">
            <w:pPr>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146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9E2934" w14:textId="77777777" w:rsidR="00E157CE" w:rsidRPr="004A72CD" w:rsidRDefault="00E157CE" w:rsidP="00D51F5A">
            <w:pPr>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9F8276" w14:textId="77777777" w:rsidR="00E157CE" w:rsidRPr="004A72CD" w:rsidRDefault="00E157CE" w:rsidP="00D51F5A">
            <w:pPr>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109</w:t>
            </w:r>
          </w:p>
        </w:tc>
      </w:tr>
      <w:tr w:rsidR="00E157CE" w:rsidRPr="004A72CD" w14:paraId="7014A927" w14:textId="77777777" w:rsidTr="00D51F5A">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519DA061" w14:textId="77777777" w:rsidR="00E157CE" w:rsidRPr="004A72CD" w:rsidRDefault="00E157CE" w:rsidP="00D51F5A">
            <w:pPr>
              <w:spacing w:line="276" w:lineRule="auto"/>
              <w:jc w:val="both"/>
              <w:rPr>
                <w:rFonts w:asciiTheme="minorHAnsi" w:hAnsiTheme="minorHAnsi" w:cstheme="minorHAnsi"/>
                <w:sz w:val="26"/>
                <w:szCs w:val="26"/>
              </w:rPr>
            </w:pPr>
            <w:r w:rsidRPr="004A72CD">
              <w:rPr>
                <w:rFonts w:asciiTheme="minorHAnsi" w:hAnsiTheme="minorHAnsi" w:cstheme="minorHAnsi"/>
                <w:sz w:val="26"/>
                <w:szCs w:val="26"/>
              </w:rPr>
              <w:t xml:space="preserve">Parchetele de pe lângă judecătorii </w:t>
            </w:r>
          </w:p>
        </w:tc>
        <w:tc>
          <w:tcPr>
            <w:tcW w:w="850" w:type="dxa"/>
            <w:tcBorders>
              <w:top w:val="single" w:sz="4" w:space="0" w:color="auto"/>
              <w:left w:val="single" w:sz="4" w:space="0" w:color="auto"/>
              <w:bottom w:val="single" w:sz="4" w:space="0" w:color="auto"/>
              <w:right w:val="single" w:sz="4" w:space="0" w:color="auto"/>
            </w:tcBorders>
            <w:vAlign w:val="center"/>
            <w:hideMark/>
          </w:tcPr>
          <w:p w14:paraId="271E8075" w14:textId="77777777" w:rsidR="00E157CE" w:rsidRPr="004A72CD" w:rsidRDefault="00E157CE" w:rsidP="00D51F5A">
            <w:pPr>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1389</w:t>
            </w:r>
          </w:p>
        </w:tc>
        <w:tc>
          <w:tcPr>
            <w:tcW w:w="851" w:type="dxa"/>
            <w:tcBorders>
              <w:top w:val="single" w:sz="4" w:space="0" w:color="auto"/>
              <w:left w:val="single" w:sz="4" w:space="0" w:color="auto"/>
              <w:bottom w:val="single" w:sz="4" w:space="0" w:color="auto"/>
              <w:right w:val="single" w:sz="4" w:space="0" w:color="auto"/>
            </w:tcBorders>
            <w:vAlign w:val="center"/>
            <w:hideMark/>
          </w:tcPr>
          <w:p w14:paraId="5832CC76" w14:textId="77777777" w:rsidR="00E157CE" w:rsidRPr="004A72CD" w:rsidRDefault="00E157CE" w:rsidP="00D51F5A">
            <w:pPr>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1107</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DAC168" w14:textId="77777777" w:rsidR="00E157CE" w:rsidRPr="004A72CD" w:rsidRDefault="00E157CE" w:rsidP="00D51F5A">
            <w:pPr>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41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3A73E4" w14:textId="77777777" w:rsidR="00E157CE" w:rsidRPr="004A72CD" w:rsidRDefault="00E157CE" w:rsidP="00D51F5A">
            <w:pPr>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241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7CEC1D" w14:textId="77777777" w:rsidR="00E157CE" w:rsidRPr="004A72CD" w:rsidRDefault="00E157CE" w:rsidP="00D51F5A">
            <w:pPr>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489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7AD8CC" w14:textId="77777777" w:rsidR="00E157CE" w:rsidRPr="004A72CD" w:rsidRDefault="00E157CE" w:rsidP="00D51F5A">
            <w:pPr>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303</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DBCFCA" w14:textId="77777777" w:rsidR="00E157CE" w:rsidRPr="004A72CD" w:rsidRDefault="00E157CE" w:rsidP="00D51F5A">
            <w:pPr>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BF75BC" w14:textId="77777777" w:rsidR="00E157CE" w:rsidRPr="004A72CD" w:rsidRDefault="00E157CE" w:rsidP="00D51F5A">
            <w:pPr>
              <w:spacing w:line="276" w:lineRule="auto"/>
              <w:jc w:val="center"/>
              <w:rPr>
                <w:rFonts w:asciiTheme="minorHAnsi" w:hAnsiTheme="minorHAnsi" w:cstheme="minorHAnsi"/>
                <w:sz w:val="26"/>
                <w:szCs w:val="26"/>
              </w:rPr>
            </w:pPr>
            <w:r w:rsidRPr="004A72CD">
              <w:rPr>
                <w:rFonts w:asciiTheme="minorHAnsi" w:hAnsiTheme="minorHAnsi" w:cstheme="minorHAnsi"/>
                <w:sz w:val="26"/>
                <w:szCs w:val="26"/>
              </w:rPr>
              <w:t>154</w:t>
            </w:r>
          </w:p>
        </w:tc>
      </w:tr>
      <w:tr w:rsidR="00E157CE" w:rsidRPr="004A72CD" w14:paraId="54685C33" w14:textId="77777777" w:rsidTr="00D51F5A">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63AA20BF" w14:textId="77777777" w:rsidR="00E157CE" w:rsidRPr="004A72CD" w:rsidRDefault="00E157CE" w:rsidP="00D51F5A">
            <w:pPr>
              <w:spacing w:line="276" w:lineRule="auto"/>
              <w:jc w:val="both"/>
              <w:rPr>
                <w:rFonts w:asciiTheme="minorHAnsi" w:hAnsiTheme="minorHAnsi" w:cstheme="minorHAnsi"/>
                <w:b/>
                <w:sz w:val="26"/>
                <w:szCs w:val="26"/>
              </w:rPr>
            </w:pPr>
            <w:r w:rsidRPr="004A72CD">
              <w:rPr>
                <w:rFonts w:asciiTheme="minorHAnsi" w:hAnsiTheme="minorHAnsi" w:cstheme="minorHAnsi"/>
                <w:b/>
                <w:sz w:val="26"/>
                <w:szCs w:val="26"/>
              </w:rPr>
              <w:t xml:space="preserve">          Total </w:t>
            </w:r>
          </w:p>
        </w:tc>
        <w:tc>
          <w:tcPr>
            <w:tcW w:w="850" w:type="dxa"/>
            <w:tcBorders>
              <w:top w:val="single" w:sz="4" w:space="0" w:color="auto"/>
              <w:left w:val="single" w:sz="4" w:space="0" w:color="auto"/>
              <w:bottom w:val="single" w:sz="4" w:space="0" w:color="auto"/>
              <w:right w:val="single" w:sz="4" w:space="0" w:color="auto"/>
            </w:tcBorders>
            <w:vAlign w:val="center"/>
            <w:hideMark/>
          </w:tcPr>
          <w:p w14:paraId="10B728AA" w14:textId="77777777" w:rsidR="00E157CE" w:rsidRPr="004A72CD" w:rsidRDefault="00E157CE" w:rsidP="00D51F5A">
            <w:pPr>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3039</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9FBD19" w14:textId="77777777" w:rsidR="00E157CE" w:rsidRPr="004A72CD" w:rsidRDefault="00E157CE" w:rsidP="00D51F5A">
            <w:pPr>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2325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2662E3" w14:textId="77777777" w:rsidR="00E157CE" w:rsidRPr="004A72CD" w:rsidRDefault="00E157CE" w:rsidP="00D51F5A">
            <w:pPr>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60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AC9380" w14:textId="77777777" w:rsidR="00E157CE" w:rsidRPr="004A72CD" w:rsidRDefault="00E157CE" w:rsidP="00D51F5A">
            <w:pPr>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654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A38B0F" w14:textId="77777777" w:rsidR="00E157CE" w:rsidRPr="004A72CD" w:rsidRDefault="00E157CE" w:rsidP="00D51F5A">
            <w:pPr>
              <w:spacing w:line="276" w:lineRule="auto"/>
              <w:rPr>
                <w:rFonts w:asciiTheme="minorHAnsi" w:hAnsiTheme="minorHAnsi" w:cstheme="minorHAnsi"/>
                <w:b/>
                <w:sz w:val="26"/>
                <w:szCs w:val="26"/>
              </w:rPr>
            </w:pPr>
            <w:r w:rsidRPr="004A72CD">
              <w:rPr>
                <w:rFonts w:asciiTheme="minorHAnsi" w:hAnsiTheme="minorHAnsi" w:cstheme="minorHAnsi"/>
                <w:b/>
                <w:sz w:val="26"/>
                <w:szCs w:val="26"/>
              </w:rPr>
              <w:t>992</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1ABE6D" w14:textId="77777777" w:rsidR="00E157CE" w:rsidRPr="004A72CD" w:rsidRDefault="00E157CE" w:rsidP="00D51F5A">
            <w:pPr>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589</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083EBA" w14:textId="77777777" w:rsidR="00E157CE" w:rsidRPr="004A72CD" w:rsidRDefault="00E157CE" w:rsidP="00D51F5A">
            <w:pPr>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35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5B4B67" w14:textId="77777777" w:rsidR="00E157CE" w:rsidRPr="004A72CD" w:rsidRDefault="00E157CE" w:rsidP="00D51F5A">
            <w:pPr>
              <w:spacing w:line="276" w:lineRule="auto"/>
              <w:jc w:val="center"/>
              <w:rPr>
                <w:rFonts w:asciiTheme="minorHAnsi" w:hAnsiTheme="minorHAnsi" w:cstheme="minorHAnsi"/>
                <w:b/>
                <w:sz w:val="26"/>
                <w:szCs w:val="26"/>
              </w:rPr>
            </w:pPr>
            <w:r w:rsidRPr="004A72CD">
              <w:rPr>
                <w:rFonts w:asciiTheme="minorHAnsi" w:hAnsiTheme="minorHAnsi" w:cstheme="minorHAnsi"/>
                <w:b/>
                <w:sz w:val="26"/>
                <w:szCs w:val="26"/>
              </w:rPr>
              <w:t>368</w:t>
            </w:r>
          </w:p>
        </w:tc>
      </w:tr>
    </w:tbl>
    <w:p w14:paraId="79C93DA9" w14:textId="209855AE" w:rsidR="00E157CE" w:rsidRPr="004A72CD" w:rsidRDefault="00CE05BD" w:rsidP="00640BC2">
      <w:pPr>
        <w:spacing w:line="276" w:lineRule="auto"/>
        <w:jc w:val="center"/>
        <w:rPr>
          <w:rFonts w:asciiTheme="minorHAnsi" w:hAnsiTheme="minorHAnsi" w:cstheme="minorHAnsi"/>
          <w:b/>
          <w:i/>
          <w:color w:val="C00000"/>
          <w:sz w:val="26"/>
          <w:szCs w:val="26"/>
        </w:rPr>
      </w:pPr>
      <w:r w:rsidRPr="0026175C">
        <w:drawing>
          <wp:inline distT="0" distB="0" distL="0" distR="0" wp14:anchorId="0F1BC330" wp14:editId="371BCD26">
            <wp:extent cx="6000750" cy="2752725"/>
            <wp:effectExtent l="0" t="0" r="0" b="0"/>
            <wp:docPr id="4" name="Char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84F6D9D" w14:textId="77777777" w:rsidR="00E157CE" w:rsidRPr="004A72CD" w:rsidRDefault="00E157CE">
      <w:pPr>
        <w:keepNext/>
        <w:numPr>
          <w:ilvl w:val="0"/>
          <w:numId w:val="26"/>
        </w:numPr>
        <w:spacing w:line="276" w:lineRule="auto"/>
        <w:contextualSpacing/>
        <w:jc w:val="both"/>
        <w:rPr>
          <w:rFonts w:asciiTheme="minorHAnsi" w:hAnsiTheme="minorHAnsi" w:cstheme="minorHAnsi"/>
          <w:b/>
          <w:sz w:val="26"/>
          <w:szCs w:val="26"/>
        </w:rPr>
      </w:pPr>
      <w:r w:rsidRPr="004A72CD">
        <w:rPr>
          <w:rFonts w:asciiTheme="minorHAnsi" w:hAnsiTheme="minorHAnsi" w:cstheme="minorHAnsi"/>
          <w:b/>
          <w:sz w:val="26"/>
          <w:szCs w:val="26"/>
        </w:rPr>
        <w:t>Ocuparea posturilor de execuţie de judecător şi procuror</w:t>
      </w:r>
    </w:p>
    <w:p w14:paraId="5A2CE531" w14:textId="77777777" w:rsidR="00E157CE" w:rsidRPr="004A72CD" w:rsidRDefault="00E157CE" w:rsidP="00D51F5A">
      <w:pPr>
        <w:keepNext/>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În cursul anului 2024, ocuparea posturilor de execuţie vacante s-a realizat prin următoarele modalităţi:</w:t>
      </w:r>
    </w:p>
    <w:p w14:paraId="07617BBF" w14:textId="77777777" w:rsidR="00E157CE" w:rsidRPr="004A72CD" w:rsidRDefault="00E157CE" w:rsidP="00D51F5A">
      <w:pPr>
        <w:tabs>
          <w:tab w:val="left" w:pos="720"/>
        </w:tabs>
        <w:spacing w:line="276" w:lineRule="auto"/>
        <w:ind w:left="684"/>
        <w:jc w:val="both"/>
        <w:rPr>
          <w:rFonts w:asciiTheme="minorHAnsi" w:hAnsiTheme="minorHAnsi" w:cstheme="minorHAnsi"/>
          <w:b/>
          <w:sz w:val="26"/>
          <w:szCs w:val="26"/>
        </w:rPr>
      </w:pPr>
      <w:r w:rsidRPr="004A72CD">
        <w:rPr>
          <w:rFonts w:asciiTheme="minorHAnsi" w:hAnsiTheme="minorHAnsi" w:cstheme="minorHAnsi"/>
          <w:b/>
          <w:sz w:val="26"/>
          <w:szCs w:val="26"/>
        </w:rPr>
        <w:t>Repartizarea absolvenţilor Institutului Naţional al Magistraturii</w:t>
      </w:r>
    </w:p>
    <w:p w14:paraId="41D4F3ED" w14:textId="77777777" w:rsidR="00E157CE" w:rsidRPr="004A72CD" w:rsidRDefault="00E157CE" w:rsidP="00D51F5A">
      <w:pPr>
        <w:spacing w:line="276" w:lineRule="auto"/>
        <w:ind w:firstLine="684"/>
        <w:jc w:val="both"/>
        <w:rPr>
          <w:rFonts w:asciiTheme="minorHAnsi" w:hAnsiTheme="minorHAnsi" w:cstheme="minorHAnsi"/>
          <w:bCs/>
          <w:sz w:val="26"/>
          <w:szCs w:val="26"/>
        </w:rPr>
      </w:pPr>
      <w:r w:rsidRPr="004A72CD">
        <w:rPr>
          <w:rFonts w:asciiTheme="minorHAnsi" w:hAnsiTheme="minorHAnsi" w:cstheme="minorHAnsi"/>
          <w:bCs/>
          <w:sz w:val="26"/>
          <w:szCs w:val="26"/>
        </w:rPr>
        <w:t>În şedinţa din data de 21.03.2024, Secţia pentru judecători a Consiliului Superior al Magistraturii a dispus, prin Hotărârea nr. 467/2024, numirea a 163 de absolvenţi ai Institutului Național al Magistraturii - promoţia 2022 - 2024 în funcţia de judecător stagiar, începând cu data de 01 aprilie 2024, potrivit opţiunilor exprimate în cadrul procedurii de repartizare desfăşurate în perioada 18 – 30.03.2024.</w:t>
      </w:r>
    </w:p>
    <w:p w14:paraId="219EA504" w14:textId="4D41169D" w:rsidR="00E157CE" w:rsidRPr="004A72CD" w:rsidRDefault="00E157CE" w:rsidP="00D51F5A">
      <w:pPr>
        <w:spacing w:line="276" w:lineRule="auto"/>
        <w:ind w:firstLine="684"/>
        <w:jc w:val="both"/>
        <w:rPr>
          <w:rFonts w:asciiTheme="minorHAnsi" w:hAnsiTheme="minorHAnsi" w:cstheme="minorHAnsi"/>
          <w:bCs/>
          <w:sz w:val="26"/>
          <w:szCs w:val="26"/>
        </w:rPr>
      </w:pPr>
      <w:r w:rsidRPr="004A72CD">
        <w:rPr>
          <w:rFonts w:asciiTheme="minorHAnsi" w:hAnsiTheme="minorHAnsi" w:cstheme="minorHAnsi"/>
          <w:bCs/>
          <w:sz w:val="26"/>
          <w:szCs w:val="26"/>
        </w:rPr>
        <w:lastRenderedPageBreak/>
        <w:t xml:space="preserve">Totodată, în baza aceloraşi rezultate ale examenului de absolvire a Institutului Naţional al Magistraturii, promoţia 2022 - 2024, prin Hotărârea nr. 509/21.03.2024 a Secției pentru procurori </w:t>
      </w:r>
      <w:r w:rsidR="00965B64" w:rsidRPr="004A72CD">
        <w:rPr>
          <w:rFonts w:asciiTheme="minorHAnsi" w:hAnsiTheme="minorHAnsi" w:cstheme="minorHAnsi"/>
          <w:sz w:val="26"/>
          <w:szCs w:val="26"/>
        </w:rPr>
        <w:t>din cadrul Consiliul</w:t>
      </w:r>
      <w:r w:rsidR="00B525D4" w:rsidRPr="004A72CD">
        <w:rPr>
          <w:rFonts w:asciiTheme="minorHAnsi" w:hAnsiTheme="minorHAnsi" w:cstheme="minorHAnsi"/>
          <w:sz w:val="26"/>
          <w:szCs w:val="26"/>
        </w:rPr>
        <w:t>ui</w:t>
      </w:r>
      <w:r w:rsidR="00965B64" w:rsidRPr="004A72CD">
        <w:rPr>
          <w:rFonts w:asciiTheme="minorHAnsi" w:hAnsiTheme="minorHAnsi" w:cstheme="minorHAnsi"/>
          <w:sz w:val="26"/>
          <w:szCs w:val="26"/>
        </w:rPr>
        <w:t xml:space="preserve"> Superior al Magistraturii</w:t>
      </w:r>
      <w:r w:rsidR="00965B64" w:rsidRPr="004A72CD">
        <w:rPr>
          <w:rFonts w:asciiTheme="minorHAnsi" w:hAnsiTheme="minorHAnsi" w:cstheme="minorHAnsi"/>
          <w:bCs/>
          <w:sz w:val="26"/>
          <w:szCs w:val="26"/>
        </w:rPr>
        <w:t xml:space="preserve"> </w:t>
      </w:r>
      <w:r w:rsidRPr="004A72CD">
        <w:rPr>
          <w:rFonts w:asciiTheme="minorHAnsi" w:hAnsiTheme="minorHAnsi" w:cstheme="minorHAnsi"/>
          <w:bCs/>
          <w:sz w:val="26"/>
          <w:szCs w:val="26"/>
        </w:rPr>
        <w:t>s-a dispus numirea în funcţia de procuror stagiar, începând cu data de 01 aprilie 2024, a 115 absolvenţi ai Institutului Național al Magistraturii.</w:t>
      </w:r>
    </w:p>
    <w:p w14:paraId="5E2D3CBA" w14:textId="77777777" w:rsidR="00E157CE" w:rsidRPr="004A72CD" w:rsidRDefault="00E157CE" w:rsidP="00D51F5A">
      <w:pPr>
        <w:tabs>
          <w:tab w:val="left" w:pos="0"/>
        </w:tabs>
        <w:spacing w:line="276" w:lineRule="auto"/>
        <w:ind w:firstLine="684"/>
        <w:jc w:val="both"/>
        <w:rPr>
          <w:rFonts w:asciiTheme="minorHAnsi" w:hAnsiTheme="minorHAnsi" w:cstheme="minorHAnsi"/>
          <w:sz w:val="26"/>
          <w:szCs w:val="26"/>
        </w:rPr>
      </w:pPr>
      <w:r w:rsidRPr="004A72CD">
        <w:rPr>
          <w:rFonts w:asciiTheme="minorHAnsi" w:hAnsiTheme="minorHAnsi" w:cstheme="minorHAnsi"/>
          <w:b/>
          <w:sz w:val="26"/>
          <w:szCs w:val="26"/>
        </w:rPr>
        <w:t xml:space="preserve">Numirea în magistratură pe bază de concurs </w:t>
      </w:r>
    </w:p>
    <w:p w14:paraId="087FA735" w14:textId="77777777" w:rsidR="00E157CE" w:rsidRPr="004A72CD" w:rsidRDefault="00E157CE" w:rsidP="00D51F5A">
      <w:pPr>
        <w:spacing w:line="276" w:lineRule="auto"/>
        <w:ind w:firstLine="684"/>
        <w:jc w:val="both"/>
        <w:rPr>
          <w:rFonts w:asciiTheme="minorHAnsi" w:hAnsiTheme="minorHAnsi" w:cstheme="minorHAnsi"/>
          <w:sz w:val="26"/>
          <w:szCs w:val="26"/>
        </w:rPr>
      </w:pPr>
      <w:r w:rsidRPr="004A72CD">
        <w:rPr>
          <w:rFonts w:asciiTheme="minorHAnsi" w:hAnsiTheme="minorHAnsi" w:cstheme="minorHAnsi"/>
          <w:sz w:val="26"/>
          <w:szCs w:val="26"/>
        </w:rPr>
        <w:t>În cursul anului 2024 au fost finalizate două noi concursuri de admitere în magistratură, declanşate în anul 2023, respectiv 2024, prin Hotărârea Plenului Consiliului Superior al Magistraturii nr. 119/2023, respectiv prin Hotărârea Plenului Consiliului Superior al Magistraturii nr. 19/2024, fiind ocupate 369 de posturi de judecător la judecătorii, după cum urmează:</w:t>
      </w:r>
    </w:p>
    <w:p w14:paraId="243E447E" w14:textId="3F42E6EC" w:rsidR="00E157CE" w:rsidRPr="004A72CD" w:rsidRDefault="00E157CE">
      <w:pPr>
        <w:numPr>
          <w:ilvl w:val="0"/>
          <w:numId w:val="11"/>
        </w:numPr>
        <w:tabs>
          <w:tab w:val="left" w:pos="993"/>
        </w:tabs>
        <w:spacing w:line="276" w:lineRule="auto"/>
        <w:ind w:left="0"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295 de posturi ca urmare a concursului desfăşurat în perioada 07.07.2023 – 06.03.2024, conform propunerilor de numire formulate prin Hotărârea nr. 466/2024 a Secţiei pentru judecători</w:t>
      </w:r>
      <w:r w:rsidR="003C4FC1" w:rsidRPr="004A72CD">
        <w:rPr>
          <w:rFonts w:asciiTheme="minorHAnsi" w:hAnsiTheme="minorHAnsi" w:cstheme="minorHAnsi"/>
          <w:sz w:val="26"/>
          <w:szCs w:val="26"/>
        </w:rPr>
        <w:t xml:space="preserve"> </w:t>
      </w:r>
      <w:bookmarkStart w:id="74" w:name="_Hlk182208974"/>
      <w:r w:rsidR="003C4FC1" w:rsidRPr="004A72CD">
        <w:rPr>
          <w:rFonts w:asciiTheme="minorHAnsi" w:hAnsiTheme="minorHAnsi" w:cstheme="minorHAnsi"/>
          <w:sz w:val="26"/>
          <w:szCs w:val="26"/>
        </w:rPr>
        <w:t>din cadrul Consiliul</w:t>
      </w:r>
      <w:r w:rsidR="00B525D4" w:rsidRPr="004A72CD">
        <w:rPr>
          <w:rFonts w:asciiTheme="minorHAnsi" w:hAnsiTheme="minorHAnsi" w:cstheme="minorHAnsi"/>
          <w:sz w:val="26"/>
          <w:szCs w:val="26"/>
        </w:rPr>
        <w:t>ui</w:t>
      </w:r>
      <w:r w:rsidR="003C4FC1" w:rsidRPr="004A72CD">
        <w:rPr>
          <w:rFonts w:asciiTheme="minorHAnsi" w:hAnsiTheme="minorHAnsi" w:cstheme="minorHAnsi"/>
          <w:sz w:val="26"/>
          <w:szCs w:val="26"/>
        </w:rPr>
        <w:t xml:space="preserve"> Superior al Magistraturii</w:t>
      </w:r>
      <w:bookmarkEnd w:id="74"/>
      <w:r w:rsidRPr="004A72CD">
        <w:rPr>
          <w:rFonts w:asciiTheme="minorHAnsi" w:hAnsiTheme="minorHAnsi" w:cstheme="minorHAnsi"/>
          <w:sz w:val="26"/>
          <w:szCs w:val="26"/>
        </w:rPr>
        <w:t>.</w:t>
      </w:r>
    </w:p>
    <w:p w14:paraId="03D65E02" w14:textId="0C970C62" w:rsidR="00E157CE" w:rsidRPr="004A72CD" w:rsidRDefault="00E157CE">
      <w:pPr>
        <w:numPr>
          <w:ilvl w:val="0"/>
          <w:numId w:val="11"/>
        </w:numPr>
        <w:tabs>
          <w:tab w:val="left" w:pos="993"/>
        </w:tabs>
        <w:spacing w:line="276" w:lineRule="auto"/>
        <w:ind w:left="0"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74 de posturi ca urmare a concursului desfăşurat în perioada 09.02.2024 – 09.07.2024, conform propunerilor de numire formulate prin Hotărârea nr. 1501/2024 a Secţiei pentru judecători</w:t>
      </w:r>
      <w:r w:rsidR="00965B64" w:rsidRPr="004A72CD">
        <w:rPr>
          <w:rFonts w:asciiTheme="minorHAnsi" w:hAnsiTheme="minorHAnsi" w:cstheme="minorHAnsi"/>
          <w:sz w:val="26"/>
          <w:szCs w:val="26"/>
        </w:rPr>
        <w:t xml:space="preserve"> din cadrul Consiliul</w:t>
      </w:r>
      <w:r w:rsidR="005E3D1F" w:rsidRPr="004A72CD">
        <w:rPr>
          <w:rFonts w:asciiTheme="minorHAnsi" w:hAnsiTheme="minorHAnsi" w:cstheme="minorHAnsi"/>
          <w:sz w:val="26"/>
          <w:szCs w:val="26"/>
        </w:rPr>
        <w:t>ui</w:t>
      </w:r>
      <w:r w:rsidR="00965B64" w:rsidRPr="004A72CD">
        <w:rPr>
          <w:rFonts w:asciiTheme="minorHAnsi" w:hAnsiTheme="minorHAnsi" w:cstheme="minorHAnsi"/>
          <w:sz w:val="26"/>
          <w:szCs w:val="26"/>
        </w:rPr>
        <w:t xml:space="preserve"> Superior al Magistraturii</w:t>
      </w:r>
      <w:r w:rsidRPr="004A72CD">
        <w:rPr>
          <w:rFonts w:asciiTheme="minorHAnsi" w:hAnsiTheme="minorHAnsi" w:cstheme="minorHAnsi"/>
          <w:sz w:val="26"/>
          <w:szCs w:val="26"/>
        </w:rPr>
        <w:t>.</w:t>
      </w:r>
    </w:p>
    <w:p w14:paraId="51E12A19" w14:textId="77777777" w:rsidR="00E157CE" w:rsidRPr="004A72CD" w:rsidRDefault="00E157CE" w:rsidP="00D51F5A">
      <w:pPr>
        <w:spacing w:line="276" w:lineRule="auto"/>
        <w:ind w:firstLine="720"/>
        <w:jc w:val="both"/>
        <w:rPr>
          <w:rFonts w:asciiTheme="minorHAnsi" w:hAnsiTheme="minorHAnsi" w:cstheme="minorHAnsi"/>
          <w:bCs/>
          <w:sz w:val="26"/>
          <w:szCs w:val="26"/>
          <w:lang w:eastAsia="ro-RO"/>
        </w:rPr>
      </w:pPr>
      <w:r w:rsidRPr="004A72CD">
        <w:rPr>
          <w:rFonts w:asciiTheme="minorHAnsi" w:hAnsiTheme="minorHAnsi" w:cstheme="minorHAnsi"/>
          <w:sz w:val="26"/>
          <w:szCs w:val="26"/>
        </w:rPr>
        <w:t>În cursul anului 2024, ocuparea funcţiilor de execuţie ca procuror s-a realizat î</w:t>
      </w:r>
      <w:r w:rsidRPr="004A72CD">
        <w:rPr>
          <w:rFonts w:asciiTheme="minorHAnsi" w:hAnsiTheme="minorHAnsi" w:cstheme="minorHAnsi"/>
          <w:bCs/>
          <w:sz w:val="26"/>
          <w:szCs w:val="26"/>
          <w:lang w:eastAsia="ro-RO"/>
        </w:rPr>
        <w:t>n urma celor două concursuri menţionate anterior, fiind ocupate 200 de posturi de procuror, numirile în funcţie fiind dispuse începând cu data de 09 aprilie 2024, respectiv 14 august 2024.</w:t>
      </w:r>
    </w:p>
    <w:p w14:paraId="4618E3D6" w14:textId="77777777" w:rsidR="00E157CE" w:rsidRPr="004A72CD" w:rsidRDefault="00E157CE"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Totodată, în prezent, este în derulare concursul de admitere în magistratură declanşat prin Hotărârea Plenului Consiliului Superior al Magistraturii nr. 157/2024, pentru ocuparea a 118 de posturi de judecător la judecătorii şi 21 de posturi de procuror la parchetele de pe lângă judecătorii. Concursul urmează a fi finalizat în cursul lunii martie 2025. </w:t>
      </w:r>
    </w:p>
    <w:p w14:paraId="43E97204" w14:textId="77777777" w:rsidR="00E157CE" w:rsidRPr="004A72CD" w:rsidRDefault="00E157CE" w:rsidP="00D51F5A">
      <w:pPr>
        <w:keepNext/>
        <w:tabs>
          <w:tab w:val="left" w:pos="720"/>
        </w:tabs>
        <w:spacing w:line="276" w:lineRule="auto"/>
        <w:jc w:val="both"/>
        <w:rPr>
          <w:rFonts w:asciiTheme="minorHAnsi" w:hAnsiTheme="minorHAnsi" w:cstheme="minorHAnsi"/>
          <w:b/>
          <w:sz w:val="26"/>
          <w:szCs w:val="26"/>
        </w:rPr>
      </w:pPr>
      <w:r w:rsidRPr="004A72CD">
        <w:rPr>
          <w:rFonts w:asciiTheme="minorHAnsi" w:hAnsiTheme="minorHAnsi" w:cstheme="minorHAnsi"/>
          <w:b/>
          <w:color w:val="FF0000"/>
          <w:sz w:val="26"/>
          <w:szCs w:val="26"/>
        </w:rPr>
        <w:tab/>
      </w:r>
      <w:r w:rsidRPr="004A72CD">
        <w:rPr>
          <w:rFonts w:asciiTheme="minorHAnsi" w:hAnsiTheme="minorHAnsi" w:cstheme="minorHAnsi"/>
          <w:b/>
          <w:sz w:val="26"/>
          <w:szCs w:val="26"/>
        </w:rPr>
        <w:t>Numirea, la cerere, a procurorilor în funcţia de judecător şi a judecătorilor în funcţia de procuror</w:t>
      </w:r>
    </w:p>
    <w:p w14:paraId="6DC7E528" w14:textId="77777777" w:rsidR="00E157CE" w:rsidRDefault="00E157CE" w:rsidP="00D51F5A">
      <w:pPr>
        <w:spacing w:line="276" w:lineRule="auto"/>
        <w:ind w:firstLine="684"/>
        <w:jc w:val="both"/>
        <w:rPr>
          <w:rFonts w:asciiTheme="minorHAnsi" w:hAnsiTheme="minorHAnsi" w:cstheme="minorHAnsi"/>
          <w:sz w:val="26"/>
          <w:szCs w:val="26"/>
        </w:rPr>
      </w:pPr>
      <w:r w:rsidRPr="004A72CD">
        <w:rPr>
          <w:rFonts w:asciiTheme="minorHAnsi" w:hAnsiTheme="minorHAnsi" w:cstheme="minorHAnsi"/>
          <w:sz w:val="26"/>
          <w:szCs w:val="26"/>
        </w:rPr>
        <w:t>În perioada de referinţă, Secția pentru procurori a Consiliului Superior al Magistraturii a admis cererile formulate de 8 judecători de eliberare din această funcție și numire în funcția de procuror, decretele Președintelui României fiind emise în luna iunie 2024.</w:t>
      </w:r>
    </w:p>
    <w:p w14:paraId="29E88A16" w14:textId="3872B0D3" w:rsidR="00C93390" w:rsidRPr="00D630DF" w:rsidRDefault="00C93390" w:rsidP="00C93390">
      <w:pPr>
        <w:ind w:firstLine="684"/>
        <w:jc w:val="both"/>
        <w:rPr>
          <w:rFonts w:ascii="Calibri" w:hAnsi="Calibri" w:cs="Calibri"/>
          <w:noProof w:val="0"/>
          <w:sz w:val="26"/>
          <w:szCs w:val="26"/>
        </w:rPr>
      </w:pPr>
      <w:r w:rsidRPr="00D630DF">
        <w:rPr>
          <w:rFonts w:ascii="Calibri" w:hAnsi="Calibri" w:cs="Calibri"/>
          <w:noProof w:val="0"/>
          <w:sz w:val="26"/>
          <w:szCs w:val="26"/>
        </w:rPr>
        <w:t xml:space="preserve">De asemenea, președintele Consiliului Superior al Magistraturii a decis declanșarea unei noi proceduri de numire a judecătorilor în funcția de </w:t>
      </w:r>
      <w:r w:rsidR="00EC14B8">
        <w:rPr>
          <w:rFonts w:ascii="Calibri" w:hAnsi="Calibri" w:cs="Calibri"/>
          <w:noProof w:val="0"/>
          <w:sz w:val="26"/>
          <w:szCs w:val="26"/>
        </w:rPr>
        <w:t>procuror</w:t>
      </w:r>
      <w:r w:rsidRPr="00D630DF">
        <w:rPr>
          <w:rFonts w:ascii="Calibri" w:hAnsi="Calibri" w:cs="Calibri"/>
          <w:noProof w:val="0"/>
          <w:sz w:val="26"/>
          <w:szCs w:val="26"/>
        </w:rPr>
        <w:t>, aceasta debutând la data de 11.12.2024 și urmând a se finaliza în cursul lunii februarie 2025.</w:t>
      </w:r>
    </w:p>
    <w:p w14:paraId="28AF2A57" w14:textId="3D72DED2" w:rsidR="00E157CE" w:rsidRPr="004A72CD" w:rsidRDefault="00E157CE" w:rsidP="00D51F5A">
      <w:pPr>
        <w:spacing w:line="276" w:lineRule="auto"/>
        <w:ind w:firstLine="684"/>
        <w:jc w:val="both"/>
        <w:rPr>
          <w:rFonts w:asciiTheme="minorHAnsi" w:eastAsia="Calibri" w:hAnsiTheme="minorHAnsi" w:cstheme="minorHAnsi"/>
          <w:sz w:val="26"/>
          <w:szCs w:val="26"/>
        </w:rPr>
      </w:pPr>
      <w:r w:rsidRPr="004A72CD">
        <w:rPr>
          <w:rFonts w:asciiTheme="minorHAnsi" w:eastAsia="Calibri" w:hAnsiTheme="minorHAnsi" w:cstheme="minorHAnsi"/>
          <w:sz w:val="26"/>
          <w:szCs w:val="26"/>
        </w:rPr>
        <w:t>Ca urmare a procedurilor declanşate anterior, la datele de 11 mai 2023, respectiv 07 decembrie 2023, în cursul anului 2024, un număr de 2</w:t>
      </w:r>
      <w:r w:rsidR="0087711E">
        <w:rPr>
          <w:rFonts w:asciiTheme="minorHAnsi" w:eastAsia="Calibri" w:hAnsiTheme="minorHAnsi" w:cstheme="minorHAnsi"/>
          <w:sz w:val="26"/>
          <w:szCs w:val="26"/>
        </w:rPr>
        <w:t>5</w:t>
      </w:r>
      <w:r w:rsidRPr="004A72CD">
        <w:rPr>
          <w:rFonts w:asciiTheme="minorHAnsi" w:eastAsia="Calibri" w:hAnsiTheme="minorHAnsi" w:cstheme="minorHAnsi"/>
          <w:sz w:val="26"/>
          <w:szCs w:val="26"/>
        </w:rPr>
        <w:t xml:space="preserve"> de procurori au fost numiţi în funcţia de judecător prin decret al Preşedintelui României.</w:t>
      </w:r>
    </w:p>
    <w:p w14:paraId="62F81A5A" w14:textId="77777777" w:rsidR="00E157CE" w:rsidRPr="004A72CD" w:rsidRDefault="00E157CE" w:rsidP="00D51F5A">
      <w:pPr>
        <w:keepNext/>
        <w:spacing w:line="276" w:lineRule="auto"/>
        <w:ind w:firstLine="684"/>
        <w:jc w:val="both"/>
        <w:rPr>
          <w:rFonts w:asciiTheme="minorHAnsi" w:eastAsia="Calibri" w:hAnsiTheme="minorHAnsi" w:cstheme="minorHAnsi"/>
          <w:sz w:val="26"/>
          <w:szCs w:val="26"/>
        </w:rPr>
      </w:pPr>
      <w:r w:rsidRPr="004A72CD">
        <w:rPr>
          <w:rFonts w:asciiTheme="minorHAnsi" w:eastAsia="Calibri" w:hAnsiTheme="minorHAnsi" w:cstheme="minorHAnsi"/>
          <w:sz w:val="26"/>
          <w:szCs w:val="26"/>
        </w:rPr>
        <w:t>De asemenea, în acord cu prevederile Legii nr. 303/2022</w:t>
      </w:r>
      <w:r w:rsidRPr="004A72CD">
        <w:rPr>
          <w:rFonts w:asciiTheme="minorHAnsi" w:hAnsiTheme="minorHAnsi" w:cstheme="minorHAnsi"/>
          <w:sz w:val="26"/>
          <w:szCs w:val="26"/>
        </w:rPr>
        <w:t xml:space="preserve"> </w:t>
      </w:r>
      <w:r w:rsidRPr="004A72CD">
        <w:rPr>
          <w:rFonts w:asciiTheme="minorHAnsi" w:eastAsia="Calibri" w:hAnsiTheme="minorHAnsi" w:cstheme="minorHAnsi"/>
          <w:sz w:val="26"/>
          <w:szCs w:val="26"/>
        </w:rPr>
        <w:t>privind statutul judecătorilor și procurorilor, la nivelul Consiliului Superior al Magistraturii, în anul 2024, s-a dispus declanșarea unei sesiuni de numire a procurorilor în funcția de judecător, iar anunțul privind declanșarea procedurii a fost publicat pe pagina de internet a Consiliului la data de 12 iunie 2024.</w:t>
      </w:r>
    </w:p>
    <w:p w14:paraId="17A3C117" w14:textId="3F34DE4D" w:rsidR="00C878F1" w:rsidRPr="006B7D32" w:rsidRDefault="00C878F1" w:rsidP="00C878F1">
      <w:pPr>
        <w:tabs>
          <w:tab w:val="left" w:pos="720"/>
        </w:tabs>
        <w:spacing w:line="276" w:lineRule="auto"/>
        <w:jc w:val="both"/>
        <w:rPr>
          <w:rFonts w:asciiTheme="minorHAnsi" w:eastAsia="Calibri" w:hAnsiTheme="minorHAnsi" w:cstheme="minorHAnsi"/>
          <w:sz w:val="26"/>
          <w:szCs w:val="26"/>
        </w:rPr>
      </w:pPr>
      <w:r>
        <w:rPr>
          <w:rFonts w:asciiTheme="minorHAnsi" w:eastAsia="Calibri" w:hAnsiTheme="minorHAnsi" w:cstheme="minorHAnsi"/>
          <w:sz w:val="26"/>
          <w:szCs w:val="26"/>
        </w:rPr>
        <w:tab/>
      </w:r>
      <w:r w:rsidRPr="006B7D32">
        <w:rPr>
          <w:rFonts w:asciiTheme="minorHAnsi" w:eastAsia="Calibri" w:hAnsiTheme="minorHAnsi" w:cstheme="minorHAnsi"/>
          <w:sz w:val="26"/>
          <w:szCs w:val="26"/>
        </w:rPr>
        <w:t>În şedinţa Secţiei pentru judecători din data de 26 septembrie 2024 a avut loc susţinerea interviului în cadrul acestei procedurii, fiind formulate propuneri pentru numirea în funcţia de judecător pentru 4 persoane, la data de 12 noiembrie 2024 fiind publicate decretele de numire.</w:t>
      </w:r>
    </w:p>
    <w:p w14:paraId="27A7E591" w14:textId="77777777" w:rsidR="00E157CE" w:rsidRPr="004A72CD" w:rsidRDefault="00E157CE" w:rsidP="00D51F5A">
      <w:pPr>
        <w:tabs>
          <w:tab w:val="left" w:pos="720"/>
        </w:tabs>
        <w:spacing w:line="276" w:lineRule="auto"/>
        <w:jc w:val="both"/>
        <w:rPr>
          <w:rFonts w:asciiTheme="minorHAnsi" w:hAnsiTheme="minorHAnsi" w:cstheme="minorHAnsi"/>
          <w:b/>
          <w:sz w:val="26"/>
          <w:szCs w:val="26"/>
        </w:rPr>
      </w:pPr>
      <w:r w:rsidRPr="004A72CD">
        <w:rPr>
          <w:rFonts w:asciiTheme="minorHAnsi" w:hAnsiTheme="minorHAnsi" w:cstheme="minorHAnsi"/>
          <w:b/>
          <w:color w:val="FF0000"/>
          <w:sz w:val="26"/>
          <w:szCs w:val="26"/>
        </w:rPr>
        <w:tab/>
      </w:r>
      <w:r w:rsidRPr="004A72CD">
        <w:rPr>
          <w:rFonts w:asciiTheme="minorHAnsi" w:hAnsiTheme="minorHAnsi" w:cstheme="minorHAnsi"/>
          <w:b/>
          <w:sz w:val="26"/>
          <w:szCs w:val="26"/>
        </w:rPr>
        <w:t xml:space="preserve">Numirea în funcţia de judecător sau procuror definitiv, după promovarea examenului de capacitate </w:t>
      </w:r>
    </w:p>
    <w:p w14:paraId="6F1EA8D1" w14:textId="473284B6" w:rsidR="00E157CE" w:rsidRPr="004A72CD" w:rsidRDefault="00E157CE" w:rsidP="00FB4F84">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lastRenderedPageBreak/>
        <w:t>În perioada octombrie 2023 – februarie 2024 s-a desfăşurat examenul de capacitate al judecătorilor şi procurorilor stagiari în acord cu prevederile art. 25 alin. (1) din Legea nr. 303/2004 privind statutul judecătorilor și procurorilor, republicată, cu modificările şi completările ulterioare. Ca urmare a acestui examen, în cursul anului 2024, prin Hotărârea Secţiei pentru judecători</w:t>
      </w:r>
      <w:r w:rsidR="002745E6" w:rsidRPr="004A72CD">
        <w:rPr>
          <w:rFonts w:asciiTheme="minorHAnsi" w:hAnsiTheme="minorHAnsi" w:cstheme="minorHAnsi"/>
          <w:sz w:val="26"/>
          <w:szCs w:val="26"/>
        </w:rPr>
        <w:t xml:space="preserve"> din cadrul Consiliul</w:t>
      </w:r>
      <w:r w:rsidR="00B525D4" w:rsidRPr="004A72CD">
        <w:rPr>
          <w:rFonts w:asciiTheme="minorHAnsi" w:hAnsiTheme="minorHAnsi" w:cstheme="minorHAnsi"/>
          <w:sz w:val="26"/>
          <w:szCs w:val="26"/>
        </w:rPr>
        <w:t>ui</w:t>
      </w:r>
      <w:r w:rsidR="00FB4F84">
        <w:rPr>
          <w:rFonts w:asciiTheme="minorHAnsi" w:hAnsiTheme="minorHAnsi" w:cstheme="minorHAnsi"/>
          <w:sz w:val="26"/>
          <w:szCs w:val="26"/>
        </w:rPr>
        <w:t xml:space="preserve"> </w:t>
      </w:r>
      <w:r w:rsidR="002745E6" w:rsidRPr="004A72CD">
        <w:rPr>
          <w:rFonts w:asciiTheme="minorHAnsi" w:hAnsiTheme="minorHAnsi" w:cstheme="minorHAnsi"/>
          <w:sz w:val="26"/>
          <w:szCs w:val="26"/>
        </w:rPr>
        <w:t>Superior al Magistraturii</w:t>
      </w:r>
      <w:r w:rsidRPr="004A72CD">
        <w:rPr>
          <w:rFonts w:asciiTheme="minorHAnsi" w:hAnsiTheme="minorHAnsi" w:cstheme="minorHAnsi"/>
          <w:sz w:val="26"/>
          <w:szCs w:val="26"/>
        </w:rPr>
        <w:t xml:space="preserve"> nr. 484</w:t>
      </w:r>
      <w:r w:rsidR="003C4FC1" w:rsidRPr="004A72CD">
        <w:rPr>
          <w:rFonts w:asciiTheme="minorHAnsi" w:hAnsiTheme="minorHAnsi" w:cstheme="minorHAnsi"/>
          <w:sz w:val="26"/>
          <w:szCs w:val="26"/>
        </w:rPr>
        <w:t>/</w:t>
      </w:r>
      <w:r w:rsidRPr="004A72CD">
        <w:rPr>
          <w:rFonts w:asciiTheme="minorHAnsi" w:hAnsiTheme="minorHAnsi" w:cstheme="minorHAnsi"/>
          <w:sz w:val="26"/>
          <w:szCs w:val="26"/>
        </w:rPr>
        <w:t>28</w:t>
      </w:r>
      <w:r w:rsidR="005E3D1F" w:rsidRPr="004A72CD">
        <w:rPr>
          <w:rFonts w:asciiTheme="minorHAnsi" w:hAnsiTheme="minorHAnsi" w:cstheme="minorHAnsi"/>
          <w:sz w:val="26"/>
          <w:szCs w:val="26"/>
        </w:rPr>
        <w:t>.03.</w:t>
      </w:r>
      <w:r w:rsidRPr="004A72CD">
        <w:rPr>
          <w:rFonts w:asciiTheme="minorHAnsi" w:hAnsiTheme="minorHAnsi" w:cstheme="minorHAnsi"/>
          <w:sz w:val="26"/>
          <w:szCs w:val="26"/>
        </w:rPr>
        <w:t xml:space="preserve">2024, au fost  formulate propuneri de numire, prin decret al Preşedintelui României, a 2 judecători fără, însă, ca acest aspect să reprezinte efectiv o ocupare de noi posturi vacante. </w:t>
      </w:r>
    </w:p>
    <w:p w14:paraId="063F3C29" w14:textId="77777777" w:rsidR="00E157CE" w:rsidRPr="004A72CD" w:rsidRDefault="00E157CE" w:rsidP="00D51F5A">
      <w:pPr>
        <w:tabs>
          <w:tab w:val="left" w:pos="709"/>
        </w:tabs>
        <w:spacing w:line="276" w:lineRule="auto"/>
        <w:jc w:val="both"/>
        <w:rPr>
          <w:rFonts w:asciiTheme="minorHAnsi" w:hAnsiTheme="minorHAnsi" w:cstheme="minorHAnsi"/>
          <w:i/>
          <w:sz w:val="26"/>
          <w:szCs w:val="26"/>
          <w:lang w:eastAsia="ro-RO"/>
        </w:rPr>
      </w:pPr>
      <w:r w:rsidRPr="004A72CD">
        <w:rPr>
          <w:rFonts w:asciiTheme="minorHAnsi" w:hAnsiTheme="minorHAnsi" w:cstheme="minorHAnsi"/>
          <w:sz w:val="26"/>
          <w:szCs w:val="26"/>
          <w:lang w:eastAsia="ro-RO"/>
        </w:rPr>
        <w:tab/>
        <w:t xml:space="preserve">Potrivit art. 38 alin. (2) din Regulamentul privind examenul de capacitate al judecătorilor stagiari și al procurorilor stagiari, aprobat prin Hotărârea nr. 103/2019 a Plenului Consiliului Superior al Magistraturii, </w:t>
      </w:r>
      <w:r w:rsidRPr="004A72CD">
        <w:rPr>
          <w:rFonts w:asciiTheme="minorHAnsi" w:hAnsiTheme="minorHAnsi" w:cstheme="minorHAnsi"/>
          <w:iCs/>
          <w:sz w:val="26"/>
          <w:szCs w:val="26"/>
          <w:lang w:eastAsia="ro-RO"/>
        </w:rPr>
        <w:t>judecătorii stagiari pot opta doar pentru posturi de judecător, iar procurorii stagiari pot opta doar pentru posturi de procuror.</w:t>
      </w:r>
    </w:p>
    <w:p w14:paraId="42F3A977" w14:textId="77777777" w:rsidR="00E157CE" w:rsidRPr="004A72CD" w:rsidRDefault="00E157CE" w:rsidP="00D51F5A">
      <w:pPr>
        <w:tabs>
          <w:tab w:val="left" w:pos="709"/>
        </w:tabs>
        <w:spacing w:line="276" w:lineRule="auto"/>
        <w:jc w:val="both"/>
        <w:rPr>
          <w:rFonts w:asciiTheme="minorHAnsi" w:hAnsiTheme="minorHAnsi" w:cstheme="minorHAnsi"/>
          <w:sz w:val="26"/>
          <w:szCs w:val="26"/>
          <w:lang w:eastAsia="ro-RO"/>
        </w:rPr>
      </w:pPr>
      <w:r w:rsidRPr="004A72CD">
        <w:rPr>
          <w:rFonts w:asciiTheme="minorHAnsi" w:hAnsiTheme="minorHAnsi" w:cstheme="minorHAnsi"/>
          <w:i/>
          <w:color w:val="C00000"/>
          <w:sz w:val="26"/>
          <w:szCs w:val="26"/>
          <w:lang w:eastAsia="ro-RO"/>
        </w:rPr>
        <w:tab/>
      </w:r>
      <w:r w:rsidRPr="004A72CD">
        <w:rPr>
          <w:rFonts w:asciiTheme="minorHAnsi" w:hAnsiTheme="minorHAnsi" w:cstheme="minorHAnsi"/>
          <w:sz w:val="26"/>
          <w:szCs w:val="26"/>
          <w:lang w:eastAsia="ro-RO"/>
        </w:rPr>
        <w:t>Pe cale de consecință, în raport de dispozițiile legale mai sus menționate, după absolvirea examenului de capacitate, procurorii stagiari nu au mai putut opta pentru funcția de judecător.</w:t>
      </w:r>
    </w:p>
    <w:p w14:paraId="18B91964" w14:textId="1DCB4D04" w:rsidR="00E157CE" w:rsidRDefault="00E157CE" w:rsidP="00D51F5A">
      <w:pPr>
        <w:tabs>
          <w:tab w:val="left" w:pos="709"/>
        </w:tabs>
        <w:spacing w:line="276" w:lineRule="auto"/>
        <w:jc w:val="both"/>
        <w:rPr>
          <w:rFonts w:asciiTheme="minorHAnsi" w:hAnsiTheme="minorHAnsi" w:cstheme="minorHAnsi"/>
          <w:sz w:val="26"/>
          <w:szCs w:val="26"/>
          <w:lang w:eastAsia="ro-RO"/>
        </w:rPr>
      </w:pPr>
      <w:r w:rsidRPr="004A72CD">
        <w:rPr>
          <w:rFonts w:asciiTheme="minorHAnsi" w:hAnsiTheme="minorHAnsi" w:cstheme="minorHAnsi"/>
          <w:color w:val="C00000"/>
          <w:sz w:val="26"/>
          <w:szCs w:val="26"/>
          <w:lang w:eastAsia="ro-RO"/>
        </w:rPr>
        <w:tab/>
      </w:r>
      <w:r w:rsidRPr="004A72CD">
        <w:rPr>
          <w:rFonts w:asciiTheme="minorHAnsi" w:hAnsiTheme="minorHAnsi" w:cstheme="minorHAnsi"/>
          <w:sz w:val="26"/>
          <w:szCs w:val="26"/>
          <w:lang w:eastAsia="ro-RO"/>
        </w:rPr>
        <w:t xml:space="preserve">Prin Hotărârea Secției pentru procurori </w:t>
      </w:r>
      <w:r w:rsidR="002745E6" w:rsidRPr="004A72CD">
        <w:rPr>
          <w:rFonts w:asciiTheme="minorHAnsi" w:hAnsiTheme="minorHAnsi" w:cstheme="minorHAnsi"/>
          <w:sz w:val="26"/>
          <w:szCs w:val="26"/>
        </w:rPr>
        <w:t>din cadrul Co</w:t>
      </w:r>
      <w:r w:rsidR="00D06ABE" w:rsidRPr="004A72CD">
        <w:rPr>
          <w:rFonts w:asciiTheme="minorHAnsi" w:hAnsiTheme="minorHAnsi" w:cstheme="minorHAnsi"/>
          <w:sz w:val="26"/>
          <w:szCs w:val="26"/>
        </w:rPr>
        <w:t>n</w:t>
      </w:r>
      <w:r w:rsidR="002745E6" w:rsidRPr="004A72CD">
        <w:rPr>
          <w:rFonts w:asciiTheme="minorHAnsi" w:hAnsiTheme="minorHAnsi" w:cstheme="minorHAnsi"/>
          <w:sz w:val="26"/>
          <w:szCs w:val="26"/>
        </w:rPr>
        <w:t>ssiliul Superior al Magistraturii</w:t>
      </w:r>
      <w:r w:rsidR="002745E6" w:rsidRPr="004A72CD">
        <w:rPr>
          <w:rFonts w:asciiTheme="minorHAnsi" w:hAnsiTheme="minorHAnsi" w:cstheme="minorHAnsi"/>
          <w:sz w:val="26"/>
          <w:szCs w:val="26"/>
          <w:lang w:eastAsia="ro-RO"/>
        </w:rPr>
        <w:t xml:space="preserve"> </w:t>
      </w:r>
      <w:r w:rsidRPr="004A72CD">
        <w:rPr>
          <w:rFonts w:asciiTheme="minorHAnsi" w:hAnsiTheme="minorHAnsi" w:cstheme="minorHAnsi"/>
          <w:sz w:val="26"/>
          <w:szCs w:val="26"/>
          <w:lang w:eastAsia="ro-RO"/>
        </w:rPr>
        <w:t>nr. 537/26.03.2024 a fost înaintată Președintelui României propunerea de numire în funcția de procuror a unui procuror stagiar, acesta fiind numit în funcție în cursul lunii aprilie 2024.</w:t>
      </w:r>
    </w:p>
    <w:p w14:paraId="07DD5EE3" w14:textId="68292015" w:rsidR="001F3B9B" w:rsidRPr="001F3B9B" w:rsidRDefault="001F3B9B" w:rsidP="006061E6">
      <w:pPr>
        <w:tabs>
          <w:tab w:val="left" w:pos="709"/>
        </w:tabs>
        <w:spacing w:line="276" w:lineRule="auto"/>
        <w:jc w:val="both"/>
        <w:rPr>
          <w:rFonts w:ascii="Calibri" w:hAnsi="Calibri" w:cs="Calibri"/>
          <w:noProof w:val="0"/>
          <w:color w:val="FF0000"/>
          <w:kern w:val="2"/>
          <w:sz w:val="26"/>
          <w:szCs w:val="26"/>
          <w:lang w:eastAsia="ro-RO"/>
          <w14:ligatures w14:val="standardContextual"/>
        </w:rPr>
      </w:pPr>
      <w:r>
        <w:rPr>
          <w:rFonts w:ascii="Calibri" w:hAnsi="Calibri" w:cs="Calibri"/>
          <w:noProof w:val="0"/>
          <w:color w:val="FF0000"/>
          <w:kern w:val="2"/>
          <w:sz w:val="26"/>
          <w:szCs w:val="26"/>
          <w:lang w:eastAsia="ro-RO"/>
          <w14:ligatures w14:val="standardContextual"/>
        </w:rPr>
        <w:tab/>
      </w:r>
      <w:r w:rsidRPr="00184440">
        <w:rPr>
          <w:rFonts w:ascii="Calibri" w:hAnsi="Calibri" w:cs="Calibri"/>
          <w:noProof w:val="0"/>
          <w:kern w:val="2"/>
          <w:sz w:val="26"/>
          <w:szCs w:val="26"/>
          <w:lang w:eastAsia="ro-RO"/>
          <w14:ligatures w14:val="standardContextual"/>
        </w:rPr>
        <w:t>De asemenea, prin Hotărârea Plenului Consiliului Superior al Magistraturii nr. 179/2024, s-a aprobat organizarea, în perioada 10.10.2024 – 04.04.2025, a examenului de capacitate al judecătorilor stagiari și a procurorilor stagiari. La acest examen vor participa</w:t>
      </w:r>
      <w:r w:rsidR="00DA13F2" w:rsidRPr="00184440">
        <w:rPr>
          <w:rFonts w:ascii="Calibri" w:hAnsi="Calibri" w:cs="Calibri"/>
          <w:noProof w:val="0"/>
          <w:kern w:val="2"/>
          <w:sz w:val="26"/>
          <w:szCs w:val="26"/>
          <w:lang w:eastAsia="ro-RO"/>
          <w14:ligatures w14:val="standardContextual"/>
        </w:rPr>
        <w:t xml:space="preserve"> 162 de judecători stagiari și</w:t>
      </w:r>
      <w:r w:rsidRPr="00184440">
        <w:rPr>
          <w:rFonts w:ascii="Calibri" w:hAnsi="Calibri" w:cs="Calibri"/>
          <w:noProof w:val="0"/>
          <w:kern w:val="2"/>
          <w:sz w:val="26"/>
          <w:szCs w:val="26"/>
          <w:lang w:eastAsia="ro-RO"/>
          <w14:ligatures w14:val="standardContextual"/>
        </w:rPr>
        <w:t xml:space="preserve"> 111 procurori stagiari.</w:t>
      </w:r>
    </w:p>
    <w:p w14:paraId="100FDF08" w14:textId="77777777" w:rsidR="00E157CE" w:rsidRPr="004A72CD" w:rsidRDefault="00E157CE" w:rsidP="00D51F5A">
      <w:pPr>
        <w:spacing w:line="276" w:lineRule="auto"/>
        <w:ind w:firstLine="708"/>
        <w:jc w:val="both"/>
        <w:rPr>
          <w:rFonts w:asciiTheme="minorHAnsi" w:hAnsiTheme="minorHAnsi" w:cstheme="minorHAnsi"/>
          <w:b/>
          <w:sz w:val="26"/>
          <w:szCs w:val="26"/>
        </w:rPr>
      </w:pPr>
      <w:r w:rsidRPr="004A72CD">
        <w:rPr>
          <w:rFonts w:asciiTheme="minorHAnsi" w:hAnsiTheme="minorHAnsi" w:cstheme="minorHAnsi"/>
          <w:b/>
          <w:sz w:val="26"/>
          <w:szCs w:val="26"/>
        </w:rPr>
        <w:t>Numiri și reîncadrări în funcția de judecător şi procuror în temeiul art. 216 alin. (2) - (3) din Legea nr. 303/2022</w:t>
      </w:r>
    </w:p>
    <w:p w14:paraId="4BEBF73E" w14:textId="77777777" w:rsidR="00E157CE" w:rsidRPr="004A72CD" w:rsidRDefault="00E157CE"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Prin Hotărârea nr. 1186/28.05.2024, Secţia pentru judecători a Consiliului Superior al Magistraturii a decis aprobarea declanşării procedurii de reîncadrare în funcţia de judecător pentru foştii judecători, potrivit prevederilor art. 216 alin. (2) - (3) din Legea nr. 303/2022 privind statutul judecătorilor şi procurorilor.</w:t>
      </w:r>
    </w:p>
    <w:p w14:paraId="3678EE59" w14:textId="18007DD2" w:rsidR="00E157CE" w:rsidRPr="004A72CD" w:rsidRDefault="00E157CE"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Astfel, în conformitate cu art. 2 din Metodologia privind reîncadrarea în funcţia de judecător, aprobată prin Hotărârea Secţiei pentru judecători</w:t>
      </w:r>
      <w:r w:rsidR="00D06ABE" w:rsidRPr="004A72CD">
        <w:rPr>
          <w:rFonts w:asciiTheme="minorHAnsi" w:hAnsiTheme="minorHAnsi" w:cstheme="minorHAnsi"/>
          <w:sz w:val="26"/>
          <w:szCs w:val="26"/>
        </w:rPr>
        <w:t xml:space="preserve"> din cadrul Cosnsiliul Superior al Magistraturii</w:t>
      </w:r>
      <w:r w:rsidRPr="004A72CD">
        <w:rPr>
          <w:rFonts w:asciiTheme="minorHAnsi" w:hAnsiTheme="minorHAnsi" w:cstheme="minorHAnsi"/>
          <w:sz w:val="26"/>
          <w:szCs w:val="26"/>
        </w:rPr>
        <w:t xml:space="preserve"> nr. 423/2023, au putut depune cereri judecătorii care au fost eliberaţi din funcţie, prin pensionare, începând cu data de 31 mai 2021. </w:t>
      </w:r>
    </w:p>
    <w:p w14:paraId="50D0FC3D" w14:textId="0A744DB5" w:rsidR="00465367" w:rsidRDefault="00465367" w:rsidP="006061E6">
      <w:pPr>
        <w:spacing w:line="276" w:lineRule="auto"/>
        <w:ind w:firstLine="720"/>
        <w:jc w:val="both"/>
        <w:rPr>
          <w:rFonts w:asciiTheme="minorHAnsi" w:hAnsiTheme="minorHAnsi" w:cstheme="minorHAnsi"/>
          <w:sz w:val="26"/>
          <w:szCs w:val="26"/>
        </w:rPr>
      </w:pPr>
      <w:r w:rsidRPr="006B7D32">
        <w:rPr>
          <w:rFonts w:asciiTheme="minorHAnsi" w:hAnsiTheme="minorHAnsi" w:cstheme="minorHAnsi"/>
          <w:sz w:val="26"/>
          <w:szCs w:val="26"/>
        </w:rPr>
        <w:t>Conform acestei proceduri, în şedinţa Secţiei pentru judecători din data de 19 septembrie 2024 au fost analizate cererile de reîncadr</w:t>
      </w:r>
      <w:r w:rsidR="00203486" w:rsidRPr="006B7D32">
        <w:rPr>
          <w:rFonts w:asciiTheme="minorHAnsi" w:hAnsiTheme="minorHAnsi" w:cstheme="minorHAnsi"/>
          <w:sz w:val="26"/>
          <w:szCs w:val="26"/>
        </w:rPr>
        <w:t>are</w:t>
      </w:r>
      <w:r w:rsidRPr="006B7D32">
        <w:rPr>
          <w:rFonts w:asciiTheme="minorHAnsi" w:hAnsiTheme="minorHAnsi" w:cstheme="minorHAnsi"/>
          <w:sz w:val="26"/>
          <w:szCs w:val="26"/>
        </w:rPr>
        <w:t xml:space="preserve"> depuse şi au fost formulate 7 propuneri de reîncadrare, din care 4 la nivel de judecătorie şi 3 la nivel de tribunal, la data de 14</w:t>
      </w:r>
      <w:r w:rsidR="00203486" w:rsidRPr="006B7D32">
        <w:rPr>
          <w:rFonts w:asciiTheme="minorHAnsi" w:hAnsiTheme="minorHAnsi" w:cstheme="minorHAnsi"/>
          <w:sz w:val="26"/>
          <w:szCs w:val="26"/>
        </w:rPr>
        <w:t xml:space="preserve"> octombrie </w:t>
      </w:r>
      <w:r w:rsidRPr="006B7D32">
        <w:rPr>
          <w:rFonts w:asciiTheme="minorHAnsi" w:hAnsiTheme="minorHAnsi" w:cstheme="minorHAnsi"/>
          <w:sz w:val="26"/>
          <w:szCs w:val="26"/>
        </w:rPr>
        <w:t>2024 fiind publicate decretele de numire în funcţie.</w:t>
      </w:r>
    </w:p>
    <w:p w14:paraId="12A4C802" w14:textId="77777777" w:rsidR="00C77A7D" w:rsidRPr="00C77A7D" w:rsidRDefault="00C77A7D" w:rsidP="006061E6">
      <w:pPr>
        <w:spacing w:line="276" w:lineRule="auto"/>
        <w:ind w:firstLine="708"/>
        <w:jc w:val="both"/>
        <w:rPr>
          <w:rFonts w:ascii="Calibri" w:hAnsi="Calibri" w:cs="Calibri"/>
          <w:bCs/>
          <w:noProof w:val="0"/>
          <w:sz w:val="26"/>
          <w:szCs w:val="26"/>
        </w:rPr>
      </w:pPr>
      <w:r w:rsidRPr="00C77A7D">
        <w:rPr>
          <w:rFonts w:ascii="Calibri" w:hAnsi="Calibri" w:cs="Calibri"/>
          <w:bCs/>
          <w:noProof w:val="0"/>
          <w:sz w:val="26"/>
          <w:szCs w:val="26"/>
        </w:rPr>
        <w:t>Prin Hotărârea Secției pentru procurori din cadrul Consiliului Superior al Magistraturii nr. 1672/10.12.2024, s-a decis declanșarea unei proceduri de reîncadrare în funcția de procuror. Aceasta a debutat la data de 11.12.2024 și urmează a se finaliza în cursul lunii martie 2025.</w:t>
      </w:r>
    </w:p>
    <w:p w14:paraId="76095006" w14:textId="77777777" w:rsidR="00E157CE" w:rsidRPr="004A72CD" w:rsidRDefault="00E157CE" w:rsidP="00D51F5A">
      <w:pPr>
        <w:spacing w:line="276" w:lineRule="auto"/>
        <w:ind w:firstLine="720"/>
        <w:jc w:val="both"/>
        <w:rPr>
          <w:rFonts w:asciiTheme="minorHAnsi" w:hAnsiTheme="minorHAnsi" w:cstheme="minorHAnsi"/>
          <w:b/>
          <w:bCs/>
          <w:sz w:val="26"/>
          <w:szCs w:val="26"/>
        </w:rPr>
      </w:pPr>
      <w:r w:rsidRPr="004A72CD">
        <w:rPr>
          <w:rFonts w:asciiTheme="minorHAnsi" w:hAnsiTheme="minorHAnsi" w:cstheme="minorHAnsi"/>
          <w:b/>
          <w:bCs/>
          <w:sz w:val="26"/>
          <w:szCs w:val="26"/>
        </w:rPr>
        <w:t xml:space="preserve">Desemnarea procurorilor în vederea efectuării urmăririi penale în cauzele prevăzute de art. 3 alin. (1) şi alin. (2) din Legea nr. 49/2022 privind desfiinţarea Secţiei pentru investigarea infracţiunilor din justiţie, precum şi pentru modificarea Legii nr. 135/2010 privind Codul de procedură penală </w:t>
      </w:r>
    </w:p>
    <w:p w14:paraId="5E4FE8F8" w14:textId="28971F2F" w:rsidR="00E157CE" w:rsidRPr="004A72CD" w:rsidRDefault="00E157CE"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În acord cu dispoziţiile art. 3 alin. (3) din Legea nr.</w:t>
      </w:r>
      <w:r w:rsidRPr="004A72CD">
        <w:rPr>
          <w:rFonts w:asciiTheme="minorHAnsi" w:hAnsiTheme="minorHAnsi" w:cstheme="minorHAnsi"/>
          <w:b/>
          <w:bCs/>
          <w:sz w:val="26"/>
          <w:szCs w:val="26"/>
        </w:rPr>
        <w:t xml:space="preserve"> </w:t>
      </w:r>
      <w:r w:rsidRPr="004A72CD">
        <w:rPr>
          <w:rFonts w:asciiTheme="minorHAnsi" w:hAnsiTheme="minorHAnsi" w:cstheme="minorHAnsi"/>
          <w:sz w:val="26"/>
          <w:szCs w:val="26"/>
        </w:rPr>
        <w:t xml:space="preserve">49/2022, Plenul Consiliului Superior al Magistraturii formulează propuneri pentru desemnarea de către procurorul general al Parchetului </w:t>
      </w:r>
      <w:r w:rsidRPr="004A72CD">
        <w:rPr>
          <w:rFonts w:asciiTheme="minorHAnsi" w:hAnsiTheme="minorHAnsi" w:cstheme="minorHAnsi"/>
          <w:sz w:val="26"/>
          <w:szCs w:val="26"/>
        </w:rPr>
        <w:lastRenderedPageBreak/>
        <w:t>de pe lângă Înalta Curte de Cas</w:t>
      </w:r>
      <w:r w:rsidR="00404931" w:rsidRPr="004A72CD">
        <w:rPr>
          <w:rFonts w:asciiTheme="minorHAnsi" w:hAnsiTheme="minorHAnsi" w:cstheme="minorHAnsi"/>
          <w:sz w:val="26"/>
          <w:szCs w:val="26"/>
        </w:rPr>
        <w:t>a</w:t>
      </w:r>
      <w:r w:rsidRPr="004A72CD">
        <w:rPr>
          <w:rFonts w:asciiTheme="minorHAnsi" w:hAnsiTheme="minorHAnsi" w:cstheme="minorHAnsi"/>
          <w:sz w:val="26"/>
          <w:szCs w:val="26"/>
        </w:rPr>
        <w:t>ție și Justiție a procurorilor care vor efectua urmărirea penală în cauzele expres prevăzute la art. 3 alin. (1) şi alin. (2) din Legea nr. 49/2022.</w:t>
      </w:r>
    </w:p>
    <w:p w14:paraId="3AA9566C" w14:textId="77777777" w:rsidR="00E157CE" w:rsidRPr="004A72CD" w:rsidRDefault="00E157CE"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Potrivit art. 10 din același act normativ numărul maxim de procurori din cadrul Secţiei de urmărire penală şi criminalistică desemnaţi este de 14, iar numărul maxim al procurorilor din cadrul parchetelor de pe lângă curţile de apel desemnaţi este de 3 pentru fiecare dintre acestea.</w:t>
      </w:r>
    </w:p>
    <w:p w14:paraId="0D654F65" w14:textId="77777777" w:rsidR="00E157CE" w:rsidRDefault="00E157CE"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În consecință, prin Hotărârile Plenului Consiliului Superior al Magistraturii nr. 32/05.03.2024, nr. 89 şi nr. 90/23.04.2024, precum și nr. 105, nr. 106 şi nr. 107/13.05.2024 au fost propuși în vederea desemnării de către procurorul general al Parchetului de pe lângă Înalta Curte de Casație și Justiție un număr de 6 procurori care să efectueze urmărirea penală în cauzele prevăzute de art. 3 alin. (1) și (2) din Legea nr. 49/2022.</w:t>
      </w:r>
    </w:p>
    <w:p w14:paraId="56874BA8" w14:textId="77777777" w:rsidR="00E157CE" w:rsidRPr="004A72CD" w:rsidRDefault="00E157CE" w:rsidP="00D51F5A">
      <w:pPr>
        <w:spacing w:line="276" w:lineRule="auto"/>
        <w:ind w:firstLine="720"/>
        <w:jc w:val="both"/>
        <w:rPr>
          <w:rFonts w:asciiTheme="minorHAnsi" w:hAnsiTheme="minorHAnsi" w:cstheme="minorHAnsi"/>
          <w:b/>
          <w:sz w:val="26"/>
          <w:szCs w:val="26"/>
        </w:rPr>
      </w:pPr>
      <w:r w:rsidRPr="004A72CD">
        <w:rPr>
          <w:rFonts w:asciiTheme="minorHAnsi" w:hAnsiTheme="minorHAnsi" w:cstheme="minorHAnsi"/>
          <w:b/>
          <w:sz w:val="26"/>
          <w:szCs w:val="26"/>
        </w:rPr>
        <w:t>C. Numirea judecătorilor şi procurorilor în funcţii de conducere</w:t>
      </w:r>
      <w:r w:rsidRPr="004A72CD">
        <w:rPr>
          <w:rFonts w:asciiTheme="minorHAnsi" w:hAnsiTheme="minorHAnsi" w:cstheme="minorHAnsi"/>
          <w:b/>
          <w:i/>
          <w:sz w:val="26"/>
          <w:szCs w:val="26"/>
        </w:rPr>
        <w:tab/>
      </w:r>
    </w:p>
    <w:p w14:paraId="1F6E3D7C" w14:textId="77777777" w:rsidR="00E157CE" w:rsidRPr="004A72CD" w:rsidRDefault="00E157CE" w:rsidP="00D51F5A">
      <w:pPr>
        <w:tabs>
          <w:tab w:val="right" w:pos="8640"/>
        </w:tabs>
        <w:spacing w:line="276" w:lineRule="auto"/>
        <w:ind w:firstLine="709"/>
        <w:jc w:val="both"/>
        <w:rPr>
          <w:rFonts w:asciiTheme="minorHAnsi" w:hAnsiTheme="minorHAnsi" w:cstheme="minorHAnsi"/>
          <w:b/>
          <w:sz w:val="26"/>
          <w:szCs w:val="26"/>
        </w:rPr>
      </w:pPr>
      <w:r w:rsidRPr="004A72CD">
        <w:rPr>
          <w:rFonts w:asciiTheme="minorHAnsi" w:hAnsiTheme="minorHAnsi" w:cstheme="minorHAnsi"/>
          <w:b/>
          <w:sz w:val="26"/>
          <w:szCs w:val="26"/>
        </w:rPr>
        <w:t>C.1. Numirea judecătorilor în funcţiile de conducere de preşedinte şi vicepreşedinte</w:t>
      </w:r>
      <w:r w:rsidRPr="004A72CD">
        <w:rPr>
          <w:rFonts w:asciiTheme="minorHAnsi" w:hAnsiTheme="minorHAnsi" w:cstheme="minorHAnsi"/>
          <w:sz w:val="26"/>
          <w:szCs w:val="26"/>
        </w:rPr>
        <w:t xml:space="preserve"> </w:t>
      </w:r>
      <w:r w:rsidRPr="004A72CD">
        <w:rPr>
          <w:rFonts w:asciiTheme="minorHAnsi" w:hAnsiTheme="minorHAnsi" w:cstheme="minorHAnsi"/>
          <w:b/>
          <w:sz w:val="26"/>
          <w:szCs w:val="26"/>
        </w:rPr>
        <w:t>la curţi de apel, tribunale, tribunale specializate şi judecătorii</w:t>
      </w:r>
    </w:p>
    <w:p w14:paraId="6339732B" w14:textId="1C01FA86" w:rsidR="00E157CE" w:rsidRPr="004A72CD" w:rsidRDefault="00E157CE" w:rsidP="00D51F5A">
      <w:pPr>
        <w:shd w:val="clear" w:color="auto" w:fill="FFFFFF"/>
        <w:spacing w:line="276" w:lineRule="auto"/>
        <w:ind w:firstLine="720"/>
        <w:jc w:val="both"/>
        <w:rPr>
          <w:rFonts w:asciiTheme="minorHAnsi" w:hAnsiTheme="minorHAnsi" w:cstheme="minorHAnsi"/>
          <w:b/>
          <w:sz w:val="26"/>
          <w:szCs w:val="26"/>
          <w:lang w:eastAsia="ro-RO"/>
        </w:rPr>
      </w:pPr>
      <w:r w:rsidRPr="004A72CD">
        <w:rPr>
          <w:rFonts w:asciiTheme="minorHAnsi" w:hAnsiTheme="minorHAnsi" w:cstheme="minorHAnsi"/>
          <w:sz w:val="26"/>
          <w:szCs w:val="26"/>
          <w:lang w:eastAsia="ro-RO"/>
        </w:rPr>
        <w:t>În prezent, sunt în vigoare prevederile art. 150 din Legea nr. 303/2022 privind statutul judecătorilor şi procurorilor, care reglementează la alin. (1) - (3) că n</w:t>
      </w:r>
      <w:r w:rsidRPr="004A72CD">
        <w:rPr>
          <w:rFonts w:asciiTheme="minorHAnsi" w:hAnsiTheme="minorHAnsi" w:cstheme="minorHAnsi"/>
          <w:sz w:val="26"/>
          <w:szCs w:val="26"/>
          <w:bdr w:val="none" w:sz="0" w:space="0" w:color="auto" w:frame="1"/>
          <w:lang w:eastAsia="ro-RO"/>
        </w:rPr>
        <w:t xml:space="preserve">umirea în funcţiile de preşedinte la judecătorii, tribunale, tribunale specializate şi curţi de apel se face numai prin concurs sau examen organizat, ori de câte ori este necesar, de Consiliul Superior al Magistraturii, cu sprijinul Institutului Naţional al Magistraturii, iar numirea în alte funcţii de conducere din cadrul judecătoriilor, tribunalelor, tribunalelor specializate şi curţilor de apel se face fără concurs sau examen, la propunerea preşedintelui instanţei, potrivit procedurii prevăzute de prezenta lege. </w:t>
      </w:r>
      <w:r w:rsidRPr="004A72CD">
        <w:rPr>
          <w:rFonts w:asciiTheme="minorHAnsi" w:hAnsiTheme="minorHAnsi" w:cstheme="minorHAnsi"/>
          <w:sz w:val="26"/>
          <w:szCs w:val="26"/>
          <w:bdr w:val="none" w:sz="0" w:space="0" w:color="auto" w:frame="1"/>
          <w:lang w:eastAsia="ro-RO"/>
        </w:rPr>
        <w:tab/>
        <w:t>Numirea în funcţii de conducere la judecătorii, tribunale, tribunale specializate şi curţi de apel se face prin hotărâre a Secţiei pentru judecători</w:t>
      </w:r>
      <w:r w:rsidR="000E4AA9" w:rsidRPr="004A72CD">
        <w:rPr>
          <w:rFonts w:asciiTheme="minorHAnsi" w:hAnsiTheme="minorHAnsi" w:cstheme="minorHAnsi"/>
          <w:sz w:val="26"/>
          <w:szCs w:val="26"/>
          <w:bdr w:val="none" w:sz="0" w:space="0" w:color="auto" w:frame="1"/>
          <w:lang w:eastAsia="ro-RO"/>
        </w:rPr>
        <w:t xml:space="preserve"> a Consiliului Superior al Magistraturii</w:t>
      </w:r>
      <w:r w:rsidRPr="004A72CD">
        <w:rPr>
          <w:rFonts w:asciiTheme="minorHAnsi" w:hAnsiTheme="minorHAnsi" w:cstheme="minorHAnsi"/>
          <w:sz w:val="26"/>
          <w:szCs w:val="26"/>
          <w:bdr w:val="none" w:sz="0" w:space="0" w:color="auto" w:frame="1"/>
          <w:lang w:eastAsia="ro-RO"/>
        </w:rPr>
        <w:t>, pe o perioadă de 3 ani, cu posibilitatea reînvestirii, o singură dată, în aceleaşi condiţii.</w:t>
      </w:r>
    </w:p>
    <w:p w14:paraId="2E043082" w14:textId="77777777" w:rsidR="00E157CE" w:rsidRPr="004A72CD" w:rsidRDefault="00E157CE" w:rsidP="00D51F5A">
      <w:pPr>
        <w:tabs>
          <w:tab w:val="right" w:pos="8640"/>
        </w:tabs>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Astfel, prin Hotărârea nr. 245/01.02.2024, Secţia pentru judecători a Consiliului Superior al Magistraturii a aprobat organizarea, cu sprijinul Institutului Naţional al Magistraturii, la Bucureşti, în perioada februarie - iunie 2024, a concursului sau examenului pentru numirea în funcţia de preşedinte a judecătorilor la curţile de apel, tribunale, tribunale specializate, judecătorii şi instanţe militare, în condiţiile art. 150 alin. (1) din Legea nr. 303/2022 privind statutul judecătorilor şi procurorilor, precum şi ale Regulamentului privind numirea în funcţii de conducere a judecătorilor aprobat prin Hotărârea Secţiei pentru judecători a Consiliului Superior al Magistraturii nr. 266/2023.</w:t>
      </w:r>
    </w:p>
    <w:p w14:paraId="71C5B6AD" w14:textId="77777777" w:rsidR="00E157CE" w:rsidRPr="004A72CD" w:rsidRDefault="00E157CE" w:rsidP="00D51F5A">
      <w:pPr>
        <w:tabs>
          <w:tab w:val="right" w:pos="8640"/>
        </w:tabs>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Concursul sau examenul s-a organizat pentru ocuparea unui număr de 129 de funcţii de conducere vacante sau care urmează a se vacanta până la data de 17 iulie 2024 la curţile de apel, tribunale, tribunale specializate, judecătorii şi instanţe militare.</w:t>
      </w:r>
    </w:p>
    <w:p w14:paraId="48FE07AE" w14:textId="77777777" w:rsidR="00E157CE" w:rsidRPr="004A72CD" w:rsidRDefault="00E157CE" w:rsidP="00D51F5A">
      <w:pPr>
        <w:tabs>
          <w:tab w:val="right" w:pos="8640"/>
        </w:tabs>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La acest concurs/examen s-au înscris 37 de candidaţi, fiind admişi în urma promovării concursului un număr de 24 de candidaţi.</w:t>
      </w:r>
    </w:p>
    <w:p w14:paraId="5479695D" w14:textId="20575AFD" w:rsidR="00E157CE" w:rsidRPr="004A72CD" w:rsidRDefault="00E157CE" w:rsidP="00D51F5A">
      <w:pPr>
        <w:widowControl w:val="0"/>
        <w:tabs>
          <w:tab w:val="right" w:pos="8640"/>
        </w:tabs>
        <w:spacing w:line="276" w:lineRule="auto"/>
        <w:ind w:firstLine="706"/>
        <w:jc w:val="both"/>
        <w:rPr>
          <w:rFonts w:asciiTheme="minorHAnsi" w:hAnsiTheme="minorHAnsi" w:cstheme="minorHAnsi"/>
          <w:sz w:val="26"/>
          <w:szCs w:val="26"/>
        </w:rPr>
      </w:pPr>
      <w:r w:rsidRPr="004A72CD">
        <w:rPr>
          <w:rFonts w:asciiTheme="minorHAnsi" w:hAnsiTheme="minorHAnsi" w:cstheme="minorHAnsi"/>
          <w:sz w:val="26"/>
          <w:szCs w:val="26"/>
        </w:rPr>
        <w:t xml:space="preserve">În şedinţa Secţiei pentru judecători din 13 iunie 2024 au fost validate rezultatele concursului/examenului şi s-a dispus numirea în funcţii de conducere a </w:t>
      </w:r>
      <w:r w:rsidR="005A020E">
        <w:rPr>
          <w:rFonts w:asciiTheme="minorHAnsi" w:hAnsiTheme="minorHAnsi" w:cstheme="minorHAnsi"/>
          <w:sz w:val="26"/>
          <w:szCs w:val="26"/>
        </w:rPr>
        <w:t>22</w:t>
      </w:r>
      <w:r w:rsidRPr="004A72CD">
        <w:rPr>
          <w:rFonts w:asciiTheme="minorHAnsi" w:hAnsiTheme="minorHAnsi" w:cstheme="minorHAnsi"/>
          <w:sz w:val="26"/>
          <w:szCs w:val="26"/>
        </w:rPr>
        <w:t xml:space="preserve"> de candidați începând cu data de 17 iulie 2024, pentru un mandat de 3 ani.</w:t>
      </w:r>
    </w:p>
    <w:p w14:paraId="50CBF5BE" w14:textId="77777777" w:rsidR="00E157CE" w:rsidRPr="004A72CD" w:rsidRDefault="00E157CE" w:rsidP="00D51F5A">
      <w:pPr>
        <w:widowControl w:val="0"/>
        <w:tabs>
          <w:tab w:val="right" w:pos="8640"/>
        </w:tabs>
        <w:spacing w:line="276" w:lineRule="auto"/>
        <w:ind w:firstLine="706"/>
        <w:jc w:val="both"/>
        <w:rPr>
          <w:rFonts w:asciiTheme="minorHAnsi" w:hAnsiTheme="minorHAnsi" w:cstheme="minorHAnsi"/>
          <w:sz w:val="26"/>
          <w:szCs w:val="26"/>
        </w:rPr>
      </w:pPr>
      <w:r w:rsidRPr="004A72CD">
        <w:rPr>
          <w:rFonts w:asciiTheme="minorHAnsi" w:hAnsiTheme="minorHAnsi" w:cstheme="minorHAnsi"/>
          <w:sz w:val="26"/>
          <w:szCs w:val="26"/>
        </w:rPr>
        <w:t xml:space="preserve">Rezultatele acestui concurs se reflectă în situația funcțiilor de conducere ocupate în cursul anului 2024. </w:t>
      </w:r>
      <w:bookmarkStart w:id="75" w:name="_Hlk150104905"/>
    </w:p>
    <w:bookmarkEnd w:id="75"/>
    <w:p w14:paraId="3B9F5583" w14:textId="77777777" w:rsidR="00E157CE" w:rsidRPr="004A72CD" w:rsidRDefault="00E157CE"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Se constată că, deşi cadrul legal s-a modificat semnificativ în ceea ce priveşte ocuparea funcţiilor de conducere, în sensul că doar funcţiile de preşedinte se ocupă prin concurs, gradul de </w:t>
      </w:r>
      <w:r w:rsidRPr="004A72CD">
        <w:rPr>
          <w:rFonts w:asciiTheme="minorHAnsi" w:hAnsiTheme="minorHAnsi" w:cstheme="minorHAnsi"/>
          <w:sz w:val="26"/>
          <w:szCs w:val="26"/>
        </w:rPr>
        <w:lastRenderedPageBreak/>
        <w:t>participare/ocupare se situează în continuare la aproximativ 25% raportat la situaţia funcţiilor vacante.</w:t>
      </w:r>
    </w:p>
    <w:p w14:paraId="6AA0541C" w14:textId="6A5CA88E" w:rsidR="00E157CE" w:rsidRPr="004A72CD" w:rsidRDefault="00E157CE"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De asemenea, în perioada august – decembrie 2024 este în derulare un nou concurs/examen pentru ocuparea unui număr de 127 de funcţii de preşedinte vacante sau care se vor vacanta până la data de 09 ianuarie 2025 la curţi de apel, tribunale, tribunale specializate şi judecătorii, astfel cum s-a aprobat prin Hotărârea Secţiei pentru judecători </w:t>
      </w:r>
      <w:r w:rsidR="000E4AA9" w:rsidRPr="004A72CD">
        <w:rPr>
          <w:rFonts w:asciiTheme="minorHAnsi" w:hAnsiTheme="minorHAnsi" w:cstheme="minorHAnsi"/>
          <w:sz w:val="26"/>
          <w:szCs w:val="26"/>
          <w:bdr w:val="none" w:sz="0" w:space="0" w:color="auto" w:frame="1"/>
          <w:lang w:eastAsia="ro-RO"/>
        </w:rPr>
        <w:t>a Consiliului Superior al Magistraturii</w:t>
      </w:r>
      <w:r w:rsidR="000E4AA9" w:rsidRPr="004A72CD">
        <w:rPr>
          <w:rFonts w:asciiTheme="minorHAnsi" w:hAnsiTheme="minorHAnsi" w:cstheme="minorHAnsi"/>
          <w:sz w:val="26"/>
          <w:szCs w:val="26"/>
        </w:rPr>
        <w:t xml:space="preserve"> </w:t>
      </w:r>
      <w:r w:rsidRPr="004A72CD">
        <w:rPr>
          <w:rFonts w:asciiTheme="minorHAnsi" w:hAnsiTheme="minorHAnsi" w:cstheme="minorHAnsi"/>
          <w:sz w:val="26"/>
          <w:szCs w:val="26"/>
        </w:rPr>
        <w:t xml:space="preserve">nr. 1500/24.07.2024. </w:t>
      </w:r>
    </w:p>
    <w:p w14:paraId="3A5C41A5" w14:textId="77777777" w:rsidR="00C82EAE" w:rsidRPr="00046CC4" w:rsidRDefault="00C82EAE" w:rsidP="000C5356">
      <w:pPr>
        <w:tabs>
          <w:tab w:val="right" w:pos="8640"/>
        </w:tabs>
        <w:spacing w:line="276" w:lineRule="auto"/>
        <w:ind w:firstLine="709"/>
        <w:jc w:val="both"/>
        <w:rPr>
          <w:rFonts w:asciiTheme="minorHAnsi" w:hAnsiTheme="minorHAnsi" w:cstheme="minorHAnsi"/>
          <w:sz w:val="26"/>
          <w:szCs w:val="26"/>
        </w:rPr>
      </w:pPr>
      <w:r w:rsidRPr="00046CC4">
        <w:rPr>
          <w:rFonts w:asciiTheme="minorHAnsi" w:hAnsiTheme="minorHAnsi" w:cstheme="minorHAnsi"/>
          <w:sz w:val="26"/>
          <w:szCs w:val="26"/>
        </w:rPr>
        <w:t>Pentru acest concurs/examen s-au înscris 38 de candidaţi şi 1 candidat s-a retras, fiind numiţi în funcţia de preşedinte 24 de candidaţi.</w:t>
      </w:r>
    </w:p>
    <w:p w14:paraId="3D846B61" w14:textId="77777777" w:rsidR="00E157CE" w:rsidRPr="004A72CD" w:rsidRDefault="00E157CE" w:rsidP="000C5356">
      <w:pPr>
        <w:spacing w:line="276" w:lineRule="auto"/>
        <w:ind w:firstLine="709"/>
        <w:jc w:val="both"/>
        <w:rPr>
          <w:rFonts w:asciiTheme="minorHAnsi" w:hAnsiTheme="minorHAnsi" w:cstheme="minorHAnsi"/>
          <w:b/>
          <w:sz w:val="26"/>
          <w:szCs w:val="26"/>
        </w:rPr>
      </w:pPr>
      <w:r w:rsidRPr="004A72CD">
        <w:rPr>
          <w:rFonts w:asciiTheme="minorHAnsi" w:hAnsiTheme="minorHAnsi" w:cstheme="minorHAnsi"/>
          <w:b/>
          <w:sz w:val="26"/>
          <w:szCs w:val="26"/>
        </w:rPr>
        <w:t>Numirea judecătorilor în alte funcţii de conducere, în temeiul art. 150 alin. (2) din Legea nr. 303/2022.</w:t>
      </w:r>
    </w:p>
    <w:p w14:paraId="1C18333E" w14:textId="5D136528" w:rsidR="00E157CE" w:rsidRPr="00603AC3" w:rsidRDefault="00603AC3" w:rsidP="000C5356">
      <w:pPr>
        <w:spacing w:line="276" w:lineRule="auto"/>
        <w:ind w:firstLine="709"/>
        <w:jc w:val="both"/>
        <w:rPr>
          <w:rFonts w:asciiTheme="minorHAnsi" w:hAnsiTheme="minorHAnsi" w:cstheme="minorHAnsi"/>
          <w:color w:val="C00000"/>
          <w:sz w:val="26"/>
          <w:szCs w:val="26"/>
        </w:rPr>
      </w:pPr>
      <w:r w:rsidRPr="00603AC3">
        <w:rPr>
          <w:rFonts w:asciiTheme="minorHAnsi" w:hAnsiTheme="minorHAnsi" w:cstheme="minorHAnsi"/>
          <w:sz w:val="26"/>
          <w:szCs w:val="26"/>
        </w:rPr>
        <w:t>În perioada de referinţă, Secţia pentru judecători a numit 79 de judecători în funcţiile vacante de vicepreşedinte şi preşedinte de secţie</w:t>
      </w:r>
      <w:r w:rsidR="00F03537">
        <w:rPr>
          <w:rFonts w:asciiTheme="minorHAnsi" w:hAnsiTheme="minorHAnsi" w:cstheme="minorHAnsi"/>
          <w:sz w:val="26"/>
          <w:szCs w:val="26"/>
        </w:rPr>
        <w:t>.</w:t>
      </w:r>
    </w:p>
    <w:p w14:paraId="341F4C3A" w14:textId="77777777" w:rsidR="00E157CE" w:rsidRPr="004A72CD" w:rsidRDefault="00E157CE" w:rsidP="000C5356">
      <w:pPr>
        <w:spacing w:line="276" w:lineRule="auto"/>
        <w:ind w:firstLine="720"/>
        <w:jc w:val="both"/>
        <w:rPr>
          <w:rFonts w:asciiTheme="minorHAnsi" w:hAnsiTheme="minorHAnsi" w:cstheme="minorHAnsi"/>
          <w:b/>
          <w:sz w:val="26"/>
          <w:szCs w:val="26"/>
        </w:rPr>
      </w:pPr>
      <w:r w:rsidRPr="004A72CD">
        <w:rPr>
          <w:rFonts w:asciiTheme="minorHAnsi" w:hAnsiTheme="minorHAnsi" w:cstheme="minorHAnsi"/>
          <w:b/>
          <w:sz w:val="26"/>
          <w:szCs w:val="26"/>
        </w:rPr>
        <w:t>C.2. Numirea procurorilor în funcţiile de conducere de procuror general și prim procuror de la parchetele de pe lângă curţile de apel, tribunale şi judecătorii</w:t>
      </w:r>
    </w:p>
    <w:p w14:paraId="2FBC1DD8" w14:textId="77777777" w:rsidR="00E157CE" w:rsidRPr="004A72CD" w:rsidRDefault="00E157CE" w:rsidP="000C5356">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Prin Hotărârea nr. 973/2024, Secția pentru procurori a Consiliului Superior al Magistraturii a aprobat organizarea, prin intermediul Institutului Național al Magistraturii, la București, în perioada 01.08. – 27.11.2024, a concursului/examenului pentru numirea în funcții de conducere a procurorilor la parchetele de pe lângă curți de apel, tribunale, tribunale specializate și judecătorii, fiind scoase la concurs </w:t>
      </w:r>
      <w:r w:rsidRPr="004A72CD">
        <w:rPr>
          <w:rFonts w:asciiTheme="minorHAnsi" w:hAnsiTheme="minorHAnsi" w:cstheme="minorHAnsi"/>
          <w:bCs/>
          <w:sz w:val="26"/>
          <w:szCs w:val="26"/>
        </w:rPr>
        <w:t>156 de</w:t>
      </w:r>
      <w:r w:rsidRPr="004A72CD">
        <w:rPr>
          <w:rFonts w:asciiTheme="minorHAnsi" w:hAnsiTheme="minorHAnsi" w:cstheme="minorHAnsi"/>
          <w:b/>
          <w:sz w:val="26"/>
          <w:szCs w:val="26"/>
        </w:rPr>
        <w:t xml:space="preserve"> </w:t>
      </w:r>
      <w:r w:rsidRPr="004A72CD">
        <w:rPr>
          <w:rFonts w:asciiTheme="minorHAnsi" w:hAnsiTheme="minorHAnsi" w:cstheme="minorHAnsi"/>
          <w:sz w:val="26"/>
          <w:szCs w:val="26"/>
        </w:rPr>
        <w:t xml:space="preserve">funcţii vacante de procuror general şi prim procuror de la parchetele de pe lângă curţile de apel, tribunale şi judecătorii. </w:t>
      </w:r>
    </w:p>
    <w:p w14:paraId="2CC948BA" w14:textId="768A488B" w:rsidR="00EC1E3F" w:rsidRPr="00EC1E3F" w:rsidRDefault="00EC1E3F" w:rsidP="00EC1E3F">
      <w:pPr>
        <w:ind w:firstLine="720"/>
        <w:jc w:val="both"/>
        <w:rPr>
          <w:rFonts w:ascii="Calibri" w:hAnsi="Calibri" w:cs="Calibri"/>
          <w:noProof w:val="0"/>
          <w:sz w:val="26"/>
          <w:szCs w:val="26"/>
        </w:rPr>
      </w:pPr>
      <w:r w:rsidRPr="00EC1E3F">
        <w:rPr>
          <w:rFonts w:ascii="Calibri" w:hAnsi="Calibri" w:cs="Calibri"/>
          <w:noProof w:val="0"/>
          <w:sz w:val="26"/>
          <w:szCs w:val="26"/>
        </w:rPr>
        <w:t>În urma finalizării acestui concurs, au fost ocupate 52 de funcții de conducere, începând cu data de 01 ianuarie 2025.</w:t>
      </w:r>
    </w:p>
    <w:p w14:paraId="2ED8120C" w14:textId="77777777" w:rsidR="00E157CE" w:rsidRPr="004A72CD" w:rsidRDefault="00E157CE" w:rsidP="00D51F5A">
      <w:pPr>
        <w:spacing w:line="276" w:lineRule="auto"/>
        <w:ind w:firstLine="720"/>
        <w:jc w:val="both"/>
        <w:rPr>
          <w:rFonts w:asciiTheme="minorHAnsi" w:hAnsiTheme="minorHAnsi" w:cstheme="minorHAnsi"/>
          <w:b/>
          <w:sz w:val="26"/>
          <w:szCs w:val="26"/>
        </w:rPr>
      </w:pPr>
      <w:r w:rsidRPr="004A72CD">
        <w:rPr>
          <w:rFonts w:asciiTheme="minorHAnsi" w:hAnsiTheme="minorHAnsi" w:cstheme="minorHAnsi"/>
          <w:b/>
          <w:sz w:val="26"/>
          <w:szCs w:val="26"/>
        </w:rPr>
        <w:t>Numirea procurorilor în alte funcţii de conducere, în temeiul dispoziţiilor art. 149 și art. 150 alin. (2) și (3) din Legea nr. 303/2022 privind statutul judecătorilor și procurorilor</w:t>
      </w:r>
    </w:p>
    <w:p w14:paraId="32391D9E" w14:textId="77777777" w:rsidR="00E157CE" w:rsidRPr="004A72CD" w:rsidRDefault="00E157CE" w:rsidP="00D51F5A">
      <w:pPr>
        <w:spacing w:line="276" w:lineRule="auto"/>
        <w:ind w:firstLine="720"/>
        <w:jc w:val="both"/>
        <w:rPr>
          <w:rFonts w:asciiTheme="minorHAnsi" w:hAnsiTheme="minorHAnsi" w:cstheme="minorHAnsi"/>
          <w:i/>
          <w:sz w:val="26"/>
          <w:szCs w:val="26"/>
        </w:rPr>
      </w:pPr>
      <w:r w:rsidRPr="004A72CD">
        <w:rPr>
          <w:rFonts w:asciiTheme="minorHAnsi" w:hAnsiTheme="minorHAnsi" w:cstheme="minorHAnsi"/>
          <w:sz w:val="26"/>
          <w:szCs w:val="26"/>
        </w:rPr>
        <w:t>În conformitate cu dispoziţiile art. 149 alin. (1) Legea nr. 303/2022 privind statutul judecătorilor și procurorilor, „</w:t>
      </w:r>
      <w:r w:rsidRPr="004A72CD">
        <w:rPr>
          <w:rFonts w:asciiTheme="minorHAnsi" w:hAnsiTheme="minorHAnsi" w:cstheme="minorHAnsi"/>
          <w:sz w:val="26"/>
          <w:szCs w:val="26"/>
          <w:shd w:val="clear" w:color="auto" w:fill="FFFFFF"/>
        </w:rPr>
        <w:t>numirea în alte funcţii de conducere decât cele prevăzute la art. 144 alin. (1) în cadrul Parchetului de pe lângă Înalta Curte de Casaţie şi Justiţie, al Direcţiei Naţionale Anticorupţie şi al Direcţiei de Investigare a Infracţiunilor de Criminalitate Organizată şi Terorism se face pe o perioadă de 3 ani, cu posibilitatea reînvestirii o singură dată, în acelaşi mod, de către Secţia pentru procurori a Consiliului Superior al Magistraturii, la propunerea procurorului general al Parchetului de pe lângă Înalta Curte de Casaţie şi Justiţie, a procurorului-şef al Direcţiei Naţionale Anticorupţie sau a procurorului-şef al Direcţiei de Investigare a Infracţiunilor de Criminalitate Organizată şi Terorism, după caz, cu recomandarea conducătorului secţiei din cadrul Parchetului de pe lângă Înalta Curte de Casaţie şi Justiţie, Direcţiei Naţionale Anticorupţie sau Direcţiei de Investigare a Infracţiunilor de Criminalitate Organizată şi Terorism, unde urmează să fie numit procurorul”.</w:t>
      </w:r>
    </w:p>
    <w:p w14:paraId="54320645" w14:textId="77777777" w:rsidR="00E157CE" w:rsidRPr="006B7D32" w:rsidRDefault="00E157CE" w:rsidP="00D51F5A">
      <w:pPr>
        <w:spacing w:line="276" w:lineRule="auto"/>
        <w:ind w:right="48"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Totodată, în conformitate cu dispoziţiile art. 150 alin. (2) și (3) din Legea nr. 303/2022 privind statutul judecătorilor și procurorilor, „numirea în alte funcţii de conducere decât cele prevăzute la alin. (1) din cadrul judecătoriilor, tribunalelor, tribunalelor specializate şi curţilor de apel şi al parchetelor de pe lângă acestea se face fără concurs sau examen, la propunerea preşedintelui instanţei sau a conducătorului parchetului, potrivit procedurii prevăzute de prezenta lege. Numirea în funcţii de conducere la judecătorii, tribunale, tribunale specializate şi </w:t>
      </w:r>
      <w:r w:rsidRPr="004A72CD">
        <w:rPr>
          <w:rFonts w:asciiTheme="minorHAnsi" w:hAnsiTheme="minorHAnsi" w:cstheme="minorHAnsi"/>
          <w:sz w:val="26"/>
          <w:szCs w:val="26"/>
        </w:rPr>
        <w:lastRenderedPageBreak/>
        <w:t xml:space="preserve">curţi de apel, precum şi la parchetele de pe lângă acestea se face prin hotărâre a Secţiei pentru judecători, respectiv a Secţiei pentru procurori, pe o perioadă de 3 ani, cu posibilitatea </w:t>
      </w:r>
      <w:r w:rsidRPr="006B7D32">
        <w:rPr>
          <w:rFonts w:asciiTheme="minorHAnsi" w:hAnsiTheme="minorHAnsi" w:cstheme="minorHAnsi"/>
          <w:sz w:val="26"/>
          <w:szCs w:val="26"/>
        </w:rPr>
        <w:t>reînvestirii, o singură dată, în condiţiile prevăzute la alin. (1) şi (2).”</w:t>
      </w:r>
      <w:bookmarkStart w:id="76" w:name="_Hlk152922844"/>
    </w:p>
    <w:p w14:paraId="1E277709" w14:textId="3BD37781" w:rsidR="00E157CE" w:rsidRPr="006B7D32" w:rsidRDefault="00E157CE" w:rsidP="000C5356">
      <w:pPr>
        <w:spacing w:after="180" w:line="276" w:lineRule="auto"/>
        <w:ind w:right="48" w:firstLine="720"/>
        <w:jc w:val="both"/>
        <w:rPr>
          <w:rFonts w:asciiTheme="minorHAnsi" w:hAnsiTheme="minorHAnsi" w:cstheme="minorHAnsi"/>
          <w:sz w:val="26"/>
          <w:szCs w:val="26"/>
        </w:rPr>
      </w:pPr>
      <w:r w:rsidRPr="006B7D32">
        <w:rPr>
          <w:rFonts w:asciiTheme="minorHAnsi" w:hAnsiTheme="minorHAnsi" w:cstheme="minorHAnsi"/>
          <w:sz w:val="26"/>
          <w:szCs w:val="26"/>
        </w:rPr>
        <w:t xml:space="preserve">În perioada ianuarie – </w:t>
      </w:r>
      <w:r w:rsidR="00B12236">
        <w:rPr>
          <w:rFonts w:asciiTheme="minorHAnsi" w:hAnsiTheme="minorHAnsi" w:cstheme="minorHAnsi"/>
          <w:sz w:val="26"/>
          <w:szCs w:val="26"/>
        </w:rPr>
        <w:t>decembrie</w:t>
      </w:r>
      <w:r w:rsidRPr="006B7D32">
        <w:rPr>
          <w:rFonts w:asciiTheme="minorHAnsi" w:hAnsiTheme="minorHAnsi" w:cstheme="minorHAnsi"/>
          <w:sz w:val="26"/>
          <w:szCs w:val="26"/>
        </w:rPr>
        <w:t xml:space="preserve"> 2024, în temeiul dispoziţiilor art. 149 și art. 150 alin. (2) şi alin. (3) din Legea nr. 303/2022, Secţia pentru procurori a Consiliului Superior al Magistraturii a numit </w:t>
      </w:r>
      <w:r w:rsidR="00D51DF6">
        <w:rPr>
          <w:rFonts w:asciiTheme="minorHAnsi" w:hAnsiTheme="minorHAnsi" w:cstheme="minorHAnsi"/>
          <w:sz w:val="26"/>
          <w:szCs w:val="26"/>
        </w:rPr>
        <w:t>89</w:t>
      </w:r>
      <w:r w:rsidRPr="006B7D32">
        <w:rPr>
          <w:rFonts w:asciiTheme="minorHAnsi" w:hAnsiTheme="minorHAnsi" w:cstheme="minorHAnsi"/>
          <w:sz w:val="26"/>
          <w:szCs w:val="26"/>
        </w:rPr>
        <w:t xml:space="preserve"> de procurori în funcţii de conducere.</w:t>
      </w:r>
      <w:bookmarkEnd w:id="76"/>
    </w:p>
    <w:p w14:paraId="6B0E524F" w14:textId="77777777" w:rsidR="00E157CE" w:rsidRPr="004A72CD" w:rsidRDefault="00E157CE" w:rsidP="000C5356">
      <w:pPr>
        <w:spacing w:line="276" w:lineRule="auto"/>
        <w:ind w:firstLine="709"/>
        <w:jc w:val="both"/>
        <w:rPr>
          <w:rFonts w:asciiTheme="minorHAnsi" w:hAnsiTheme="minorHAnsi" w:cstheme="minorHAnsi"/>
          <w:b/>
          <w:sz w:val="26"/>
          <w:szCs w:val="26"/>
        </w:rPr>
      </w:pPr>
      <w:r w:rsidRPr="004A72CD">
        <w:rPr>
          <w:rFonts w:asciiTheme="minorHAnsi" w:hAnsiTheme="minorHAnsi" w:cstheme="minorHAnsi"/>
          <w:b/>
          <w:sz w:val="26"/>
          <w:szCs w:val="26"/>
        </w:rPr>
        <w:t>D.</w:t>
      </w:r>
      <w:r w:rsidRPr="004A72CD">
        <w:rPr>
          <w:rFonts w:asciiTheme="minorHAnsi" w:hAnsiTheme="minorHAnsi" w:cstheme="minorHAnsi"/>
          <w:sz w:val="26"/>
          <w:szCs w:val="26"/>
        </w:rPr>
        <w:t xml:space="preserve"> </w:t>
      </w:r>
      <w:r w:rsidRPr="004A72CD">
        <w:rPr>
          <w:rFonts w:asciiTheme="minorHAnsi" w:hAnsiTheme="minorHAnsi" w:cstheme="minorHAnsi"/>
          <w:b/>
          <w:sz w:val="26"/>
          <w:szCs w:val="26"/>
        </w:rPr>
        <w:t>Promovarea judecătorilor şi procurorilor în funcţii de execuţie</w:t>
      </w:r>
    </w:p>
    <w:p w14:paraId="1F7889D3" w14:textId="77777777" w:rsidR="00E157CE" w:rsidRPr="004A72CD" w:rsidRDefault="00E157CE" w:rsidP="000C5356">
      <w:pPr>
        <w:keepNext/>
        <w:keepLines/>
        <w:spacing w:line="276" w:lineRule="auto"/>
        <w:ind w:firstLine="709"/>
        <w:jc w:val="both"/>
        <w:rPr>
          <w:rFonts w:asciiTheme="minorHAnsi" w:hAnsiTheme="minorHAnsi" w:cstheme="minorHAnsi"/>
          <w:b/>
          <w:sz w:val="26"/>
          <w:szCs w:val="26"/>
        </w:rPr>
      </w:pPr>
      <w:r w:rsidRPr="004A72CD">
        <w:rPr>
          <w:rFonts w:asciiTheme="minorHAnsi" w:hAnsiTheme="minorHAnsi" w:cstheme="minorHAnsi"/>
          <w:b/>
          <w:sz w:val="26"/>
          <w:szCs w:val="26"/>
        </w:rPr>
        <w:t>D.1.</w:t>
      </w:r>
      <w:r w:rsidRPr="004A72CD">
        <w:rPr>
          <w:rFonts w:asciiTheme="minorHAnsi" w:hAnsiTheme="minorHAnsi" w:cstheme="minorHAnsi"/>
          <w:sz w:val="26"/>
          <w:szCs w:val="26"/>
        </w:rPr>
        <w:t xml:space="preserve"> </w:t>
      </w:r>
      <w:r w:rsidRPr="004A72CD">
        <w:rPr>
          <w:rFonts w:asciiTheme="minorHAnsi" w:hAnsiTheme="minorHAnsi" w:cstheme="minorHAnsi"/>
          <w:b/>
          <w:sz w:val="26"/>
          <w:szCs w:val="26"/>
        </w:rPr>
        <w:t xml:space="preserve">Promovarea judecătorilor </w:t>
      </w:r>
    </w:p>
    <w:p w14:paraId="6E4C377F" w14:textId="77777777" w:rsidR="00E157CE" w:rsidRPr="004A72CD" w:rsidRDefault="00E157CE" w:rsidP="000C5356">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În cursul anului 2024 a fost organizat un singur concurs de promovare efectivă în funcţii de execuţie în condiţiile art. 139 - 141 din Legea nr. 303/2022 privind statutul judecătorilor şi procurorilor.</w:t>
      </w:r>
    </w:p>
    <w:p w14:paraId="7CF9E6CA" w14:textId="77777777" w:rsidR="00E157CE" w:rsidRPr="004A72CD" w:rsidRDefault="00E157CE" w:rsidP="000C5356">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Astfel, concursul de promovare efectivă în funcţii de execuţie a fost aprobat prin Hotărârea Secţiei pentru judecători nr. 1554/05.09.2024, pentru perioada septembrie 2024 - februarie 2025.</w:t>
      </w:r>
    </w:p>
    <w:p w14:paraId="4E45C85D" w14:textId="77777777" w:rsidR="002500CA" w:rsidRPr="002500CA" w:rsidRDefault="002500CA" w:rsidP="000C5356">
      <w:pPr>
        <w:spacing w:line="276" w:lineRule="auto"/>
        <w:ind w:firstLine="709"/>
        <w:jc w:val="both"/>
        <w:rPr>
          <w:rFonts w:asciiTheme="minorHAnsi" w:hAnsiTheme="minorHAnsi" w:cstheme="minorHAnsi"/>
          <w:sz w:val="26"/>
          <w:szCs w:val="26"/>
        </w:rPr>
      </w:pPr>
      <w:r w:rsidRPr="002500CA">
        <w:rPr>
          <w:rFonts w:asciiTheme="minorHAnsi" w:hAnsiTheme="minorHAnsi" w:cstheme="minorHAnsi"/>
          <w:sz w:val="26"/>
          <w:szCs w:val="26"/>
        </w:rPr>
        <w:t>Pentru acest concurs au fost alocate 30 de posturi la curţile de apel şi 412 de posturi la tribunale, 342 de judecători formulând cereri de înscriere la concurs, dintre care 334 de judecători îndeplinesc condițiile de participare la concurs.</w:t>
      </w:r>
    </w:p>
    <w:p w14:paraId="66246EC7" w14:textId="77777777" w:rsidR="002500CA" w:rsidRPr="002500CA" w:rsidRDefault="002500CA" w:rsidP="000C5356">
      <w:pPr>
        <w:spacing w:line="276" w:lineRule="auto"/>
        <w:ind w:firstLine="709"/>
        <w:jc w:val="both"/>
        <w:rPr>
          <w:rFonts w:asciiTheme="minorHAnsi" w:hAnsiTheme="minorHAnsi" w:cstheme="minorHAnsi"/>
          <w:sz w:val="26"/>
          <w:szCs w:val="26"/>
        </w:rPr>
      </w:pPr>
      <w:r w:rsidRPr="002500CA">
        <w:rPr>
          <w:rFonts w:asciiTheme="minorHAnsi" w:hAnsiTheme="minorHAnsi" w:cstheme="minorHAnsi"/>
          <w:sz w:val="26"/>
          <w:szCs w:val="26"/>
        </w:rPr>
        <w:t>Conform calendarului estimativ ala acestei proceduri concursul se va finaliza în februarie 2025.</w:t>
      </w:r>
    </w:p>
    <w:p w14:paraId="15A78C70" w14:textId="1E1FDBE4" w:rsidR="00E157CE" w:rsidRPr="004A72CD" w:rsidRDefault="00E157CE" w:rsidP="000C5356">
      <w:pPr>
        <w:widowControl w:val="0"/>
        <w:spacing w:line="276" w:lineRule="auto"/>
        <w:ind w:firstLine="709"/>
        <w:jc w:val="both"/>
        <w:rPr>
          <w:rFonts w:asciiTheme="minorHAnsi" w:hAnsiTheme="minorHAnsi" w:cstheme="minorHAnsi"/>
          <w:b/>
          <w:sz w:val="26"/>
          <w:szCs w:val="26"/>
        </w:rPr>
      </w:pPr>
      <w:r w:rsidRPr="004A72CD">
        <w:rPr>
          <w:rFonts w:asciiTheme="minorHAnsi" w:hAnsiTheme="minorHAnsi" w:cstheme="minorHAnsi"/>
          <w:b/>
          <w:sz w:val="26"/>
          <w:szCs w:val="26"/>
        </w:rPr>
        <w:t>D.2. Promovarea în funcţia de judecător la Înalta Curte de Casaţie şi Justiţie</w:t>
      </w:r>
    </w:p>
    <w:p w14:paraId="57C35C22" w14:textId="77777777" w:rsidR="00E157CE" w:rsidRPr="004A72CD" w:rsidRDefault="00E157CE" w:rsidP="000C5356">
      <w:pPr>
        <w:widowControl w:val="0"/>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Secţia pentru judecători a dispus în şedinţa din data de 29 martie 2024,  promovarea a 6 judecători la instanţa supremă, începând cu data de 15 aprilie 2024, ca urmare a finalizării concursului desfăşurat în perioada noiembrie 2023 - martie 2024, fiind ocupate</w:t>
      </w:r>
      <w:r w:rsidRPr="004A72CD">
        <w:rPr>
          <w:rFonts w:asciiTheme="minorHAnsi" w:hAnsiTheme="minorHAnsi" w:cstheme="minorHAnsi"/>
          <w:bCs/>
          <w:sz w:val="26"/>
          <w:szCs w:val="26"/>
        </w:rPr>
        <w:t xml:space="preserve"> 2 posturi la Secţia I civilă, 2 posturi la Secţia a II-a civilă și 2 posturi la Secţia penală</w:t>
      </w:r>
      <w:r w:rsidRPr="004A72CD">
        <w:rPr>
          <w:rFonts w:asciiTheme="minorHAnsi" w:hAnsiTheme="minorHAnsi" w:cstheme="minorHAnsi"/>
          <w:sz w:val="26"/>
          <w:szCs w:val="26"/>
        </w:rPr>
        <w:t>.</w:t>
      </w:r>
    </w:p>
    <w:p w14:paraId="7CB26E12" w14:textId="0928D992" w:rsidR="00E157CE" w:rsidRPr="004A72CD" w:rsidRDefault="00E157CE" w:rsidP="000C5356">
      <w:pPr>
        <w:widowControl w:val="0"/>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În prezent, este în desfăşurare un nou concurs de promovare în funcția de judecător la Înalta Curte de Casaţie şi Justiţie, în perioada septembrie 2024 - ianuarie 2025, aprobat prin Hotărârea Secției pentru judecători nr. 1552/05.09.2024. Prin aceeași hotărâre, Secția pentru judecători a stabilit alocarea unui număr de 21 de posturi de judecător pentru concurs, inclusiv cu repartizarea pe secții a acestora, cu precizarea specializărilor la care se poate susține concursul, în funcție de secțiile instanței supreme, conform art. 108 alin. (3) și art. 109 alin. (2) din Legea nr. 303/2022</w:t>
      </w:r>
      <w:r w:rsidR="00354C13" w:rsidRPr="004A72CD">
        <w:rPr>
          <w:rFonts w:asciiTheme="minorHAnsi" w:hAnsiTheme="minorHAnsi" w:cstheme="minorHAnsi"/>
          <w:sz w:val="26"/>
          <w:szCs w:val="26"/>
        </w:rPr>
        <w:t xml:space="preserve"> privind statutul judecătorilor și procurorilor</w:t>
      </w:r>
      <w:r w:rsidRPr="004A72CD">
        <w:rPr>
          <w:rFonts w:asciiTheme="minorHAnsi" w:hAnsiTheme="minorHAnsi" w:cstheme="minorHAnsi"/>
          <w:sz w:val="26"/>
          <w:szCs w:val="26"/>
        </w:rPr>
        <w:t xml:space="preserve">, cu modificările şi completările ulterioare, după cum urmează: la Secția I civilă (specializarea civil) - 5 posturi, la Secția a II-a civilă (specializarea civil) - 2 posturi, la Secția penală (specializarea penal) - 5 posturi și la Secția de contencios administrativ și fiscal (specializarea contencios administrativ și fiscal) - 9 posturi. </w:t>
      </w:r>
    </w:p>
    <w:p w14:paraId="6435B40E" w14:textId="77777777" w:rsidR="00E157CE" w:rsidRPr="004A72CD" w:rsidRDefault="00E157CE"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Conform calendarului de desfăşurare a concursului, după data de 10 ianuarie 2025, urmează desfăşurarea probei interviului şi publicarea rezultatelor finale ale concursului.</w:t>
      </w:r>
    </w:p>
    <w:p w14:paraId="48DA8549" w14:textId="6F586B6A" w:rsidR="00E157CE" w:rsidRPr="004A72CD" w:rsidRDefault="00E157CE"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b/>
          <w:sz w:val="26"/>
          <w:szCs w:val="26"/>
        </w:rPr>
        <w:t>D.3</w:t>
      </w:r>
      <w:r w:rsidRPr="004A72CD">
        <w:rPr>
          <w:rFonts w:asciiTheme="minorHAnsi" w:hAnsiTheme="minorHAnsi" w:cstheme="minorHAnsi"/>
          <w:sz w:val="26"/>
          <w:szCs w:val="26"/>
        </w:rPr>
        <w:t xml:space="preserve">. </w:t>
      </w:r>
      <w:r w:rsidRPr="004A72CD">
        <w:rPr>
          <w:rFonts w:asciiTheme="minorHAnsi" w:hAnsiTheme="minorHAnsi" w:cstheme="minorHAnsi"/>
          <w:b/>
          <w:sz w:val="26"/>
          <w:szCs w:val="26"/>
        </w:rPr>
        <w:t>Promovarea procurorilor</w:t>
      </w:r>
    </w:p>
    <w:p w14:paraId="023819DD" w14:textId="77777777" w:rsidR="00E157CE" w:rsidRPr="004A72CD" w:rsidRDefault="00E157CE" w:rsidP="00D51F5A">
      <w:pPr>
        <w:tabs>
          <w:tab w:val="left" w:pos="709"/>
        </w:tabs>
        <w:spacing w:line="276" w:lineRule="auto"/>
        <w:jc w:val="both"/>
        <w:rPr>
          <w:rFonts w:asciiTheme="minorHAnsi" w:hAnsiTheme="minorHAnsi" w:cstheme="minorHAnsi"/>
          <w:sz w:val="26"/>
          <w:szCs w:val="26"/>
        </w:rPr>
      </w:pPr>
      <w:r w:rsidRPr="004A72CD">
        <w:rPr>
          <w:rFonts w:asciiTheme="minorHAnsi" w:hAnsiTheme="minorHAnsi" w:cstheme="minorHAnsi"/>
          <w:sz w:val="26"/>
          <w:szCs w:val="26"/>
        </w:rPr>
        <w:tab/>
        <w:t>În perioada ianuarie – octombrie 2024 s-a desfășurat concursul de promovare în funcţii de execuţie efectivă a procurorilor.</w:t>
      </w:r>
    </w:p>
    <w:p w14:paraId="3D44ECAE" w14:textId="7F2F7AD2" w:rsidR="00E157CE" w:rsidRPr="004A72CD" w:rsidRDefault="00E157CE" w:rsidP="00D51F5A">
      <w:pPr>
        <w:tabs>
          <w:tab w:val="left" w:pos="709"/>
        </w:tabs>
        <w:spacing w:line="276" w:lineRule="auto"/>
        <w:jc w:val="both"/>
        <w:rPr>
          <w:rFonts w:asciiTheme="minorHAnsi" w:hAnsiTheme="minorHAnsi" w:cstheme="minorHAnsi"/>
          <w:sz w:val="26"/>
          <w:szCs w:val="26"/>
        </w:rPr>
      </w:pPr>
      <w:r w:rsidRPr="004A72CD">
        <w:rPr>
          <w:rFonts w:asciiTheme="minorHAnsi" w:hAnsiTheme="minorHAnsi" w:cstheme="minorHAnsi"/>
          <w:color w:val="FF0000"/>
          <w:sz w:val="26"/>
          <w:szCs w:val="26"/>
        </w:rPr>
        <w:tab/>
      </w:r>
      <w:r w:rsidRPr="004A72CD">
        <w:rPr>
          <w:rFonts w:asciiTheme="minorHAnsi" w:hAnsiTheme="minorHAnsi" w:cstheme="minorHAnsi"/>
          <w:sz w:val="26"/>
          <w:szCs w:val="26"/>
        </w:rPr>
        <w:t>Astfel, prin Hotărârea Secției pentru procurori nr. 647/25.04.2024 a fost aprobată organizarea concursului de promovare efectivă în funcții de execuție a procurorilor pentru un număr de 139 de posturi. În urma finalizării acestui concurs au promovat efectiv la unitățile de parchet superioare 61 de procurori.</w:t>
      </w:r>
    </w:p>
    <w:p w14:paraId="1838AE4D" w14:textId="77777777" w:rsidR="00E157CE" w:rsidRPr="004A72CD" w:rsidRDefault="00E157CE" w:rsidP="00D51F5A">
      <w:pPr>
        <w:tabs>
          <w:tab w:val="left" w:pos="709"/>
        </w:tabs>
        <w:spacing w:line="276" w:lineRule="auto"/>
        <w:jc w:val="both"/>
        <w:rPr>
          <w:rFonts w:asciiTheme="minorHAnsi" w:hAnsiTheme="minorHAnsi" w:cstheme="minorHAnsi"/>
          <w:sz w:val="26"/>
          <w:szCs w:val="26"/>
        </w:rPr>
      </w:pPr>
      <w:r w:rsidRPr="004A72CD">
        <w:rPr>
          <w:rFonts w:asciiTheme="minorHAnsi" w:hAnsiTheme="minorHAnsi" w:cstheme="minorHAnsi"/>
          <w:color w:val="C00000"/>
          <w:sz w:val="26"/>
          <w:szCs w:val="26"/>
        </w:rPr>
        <w:lastRenderedPageBreak/>
        <w:tab/>
      </w:r>
      <w:bookmarkStart w:id="77" w:name="_Hlk152922879"/>
      <w:r w:rsidRPr="004A72CD">
        <w:rPr>
          <w:rFonts w:asciiTheme="minorHAnsi" w:hAnsiTheme="minorHAnsi" w:cstheme="minorHAnsi"/>
          <w:sz w:val="26"/>
          <w:szCs w:val="26"/>
        </w:rPr>
        <w:t>De asemenea, în ședința Secției pentru procurori din data de 01 octombrie 2024, s-a decis promovarea efectivă la parchetele superioare a alți 13 procurori, ca efect al admiterii cererilor acestora de valorificare a rezultatului obținut la examen.</w:t>
      </w:r>
      <w:bookmarkEnd w:id="77"/>
    </w:p>
    <w:p w14:paraId="3B864DBA" w14:textId="77777777" w:rsidR="00E157CE" w:rsidRPr="004A72CD" w:rsidRDefault="00E157CE" w:rsidP="003A167C">
      <w:pPr>
        <w:keepNext/>
        <w:keepLines/>
        <w:spacing w:line="276" w:lineRule="auto"/>
        <w:ind w:firstLine="709"/>
        <w:jc w:val="both"/>
        <w:rPr>
          <w:rFonts w:asciiTheme="minorHAnsi" w:hAnsiTheme="minorHAnsi" w:cstheme="minorHAnsi"/>
          <w:b/>
          <w:sz w:val="26"/>
          <w:szCs w:val="26"/>
        </w:rPr>
      </w:pPr>
      <w:r w:rsidRPr="004A72CD">
        <w:rPr>
          <w:rFonts w:asciiTheme="minorHAnsi" w:hAnsiTheme="minorHAnsi" w:cstheme="minorHAnsi"/>
          <w:b/>
          <w:sz w:val="26"/>
          <w:szCs w:val="26"/>
        </w:rPr>
        <w:t>E. Eliberări din funcţia de judecător şi procuror</w:t>
      </w:r>
    </w:p>
    <w:p w14:paraId="2A609B7C" w14:textId="77777777" w:rsidR="00E157CE" w:rsidRPr="004A72CD" w:rsidRDefault="00E157CE" w:rsidP="003A167C">
      <w:pPr>
        <w:keepNext/>
        <w:keepLines/>
        <w:spacing w:line="276" w:lineRule="auto"/>
        <w:ind w:firstLine="709"/>
        <w:jc w:val="both"/>
        <w:rPr>
          <w:rFonts w:asciiTheme="minorHAnsi" w:hAnsiTheme="minorHAnsi" w:cstheme="minorHAnsi"/>
          <w:b/>
          <w:sz w:val="26"/>
          <w:szCs w:val="26"/>
        </w:rPr>
      </w:pPr>
      <w:r w:rsidRPr="004A72CD">
        <w:rPr>
          <w:rFonts w:asciiTheme="minorHAnsi" w:hAnsiTheme="minorHAnsi" w:cstheme="minorHAnsi"/>
          <w:b/>
          <w:sz w:val="26"/>
          <w:szCs w:val="26"/>
        </w:rPr>
        <w:t>E.1. Judecători</w:t>
      </w:r>
    </w:p>
    <w:p w14:paraId="57399F64" w14:textId="756B69E9" w:rsidR="00E157CE" w:rsidRPr="006B7D32" w:rsidRDefault="00E157CE" w:rsidP="003A167C">
      <w:pPr>
        <w:keepNext/>
        <w:keepLines/>
        <w:tabs>
          <w:tab w:val="left" w:pos="709"/>
        </w:tabs>
        <w:spacing w:line="276" w:lineRule="auto"/>
        <w:ind w:firstLine="709"/>
        <w:jc w:val="both"/>
        <w:rPr>
          <w:rFonts w:asciiTheme="minorHAnsi" w:hAnsiTheme="minorHAnsi" w:cstheme="minorHAnsi"/>
          <w:sz w:val="26"/>
          <w:szCs w:val="26"/>
        </w:rPr>
      </w:pPr>
      <w:r w:rsidRPr="006B7D32">
        <w:rPr>
          <w:rFonts w:asciiTheme="minorHAnsi" w:hAnsiTheme="minorHAnsi" w:cstheme="minorHAnsi"/>
          <w:sz w:val="26"/>
          <w:szCs w:val="26"/>
        </w:rPr>
        <w:t xml:space="preserve">Prin decrete ale preşedintelui României publicate în perioada de referinţă, până la data de </w:t>
      </w:r>
      <w:r w:rsidR="00FC08C6">
        <w:rPr>
          <w:rFonts w:asciiTheme="minorHAnsi" w:hAnsiTheme="minorHAnsi" w:cstheme="minorHAnsi"/>
          <w:sz w:val="26"/>
          <w:szCs w:val="26"/>
        </w:rPr>
        <w:t>3</w:t>
      </w:r>
      <w:r w:rsidRPr="006B7D32">
        <w:rPr>
          <w:rFonts w:asciiTheme="minorHAnsi" w:hAnsiTheme="minorHAnsi" w:cstheme="minorHAnsi"/>
          <w:sz w:val="26"/>
          <w:szCs w:val="26"/>
        </w:rPr>
        <w:t xml:space="preserve">1 </w:t>
      </w:r>
      <w:r w:rsidR="00FC08C6">
        <w:rPr>
          <w:rFonts w:asciiTheme="minorHAnsi" w:hAnsiTheme="minorHAnsi" w:cstheme="minorHAnsi"/>
          <w:sz w:val="26"/>
          <w:szCs w:val="26"/>
        </w:rPr>
        <w:t>dec</w:t>
      </w:r>
      <w:r w:rsidR="00395B7B" w:rsidRPr="006B7D32">
        <w:rPr>
          <w:rFonts w:asciiTheme="minorHAnsi" w:hAnsiTheme="minorHAnsi" w:cstheme="minorHAnsi"/>
          <w:sz w:val="26"/>
          <w:szCs w:val="26"/>
        </w:rPr>
        <w:t>embrie</w:t>
      </w:r>
      <w:r w:rsidRPr="006B7D32">
        <w:rPr>
          <w:rFonts w:asciiTheme="minorHAnsi" w:hAnsiTheme="minorHAnsi" w:cstheme="minorHAnsi"/>
          <w:sz w:val="26"/>
          <w:szCs w:val="26"/>
        </w:rPr>
        <w:t xml:space="preserve"> 2024 inclusiv, au fost eliberate din funcţia de judecător 1</w:t>
      </w:r>
      <w:r w:rsidR="00DB4492">
        <w:rPr>
          <w:rFonts w:asciiTheme="minorHAnsi" w:hAnsiTheme="minorHAnsi" w:cstheme="minorHAnsi"/>
          <w:sz w:val="26"/>
          <w:szCs w:val="26"/>
        </w:rPr>
        <w:t>91</w:t>
      </w:r>
      <w:r w:rsidR="006B7D32" w:rsidRPr="006B7D32">
        <w:rPr>
          <w:rFonts w:asciiTheme="minorHAnsi" w:hAnsiTheme="minorHAnsi" w:cstheme="minorHAnsi"/>
          <w:sz w:val="26"/>
          <w:szCs w:val="26"/>
        </w:rPr>
        <w:t xml:space="preserve"> de</w:t>
      </w:r>
      <w:r w:rsidRPr="006B7D32">
        <w:rPr>
          <w:rFonts w:asciiTheme="minorHAnsi" w:hAnsiTheme="minorHAnsi" w:cstheme="minorHAnsi"/>
          <w:sz w:val="26"/>
          <w:szCs w:val="26"/>
        </w:rPr>
        <w:t xml:space="preserve"> persoane, după cum urmează: </w:t>
      </w:r>
    </w:p>
    <w:p w14:paraId="58A493C5" w14:textId="17EC61A4" w:rsidR="00E157CE" w:rsidRPr="006B7D32" w:rsidRDefault="00E157CE">
      <w:pPr>
        <w:numPr>
          <w:ilvl w:val="0"/>
          <w:numId w:val="16"/>
        </w:numPr>
        <w:tabs>
          <w:tab w:val="left" w:pos="851"/>
          <w:tab w:val="left" w:pos="1068"/>
        </w:tabs>
        <w:spacing w:line="276" w:lineRule="auto"/>
        <w:ind w:left="1428"/>
        <w:jc w:val="both"/>
        <w:rPr>
          <w:rFonts w:asciiTheme="minorHAnsi" w:hAnsiTheme="minorHAnsi" w:cstheme="minorHAnsi"/>
          <w:sz w:val="26"/>
          <w:szCs w:val="26"/>
        </w:rPr>
      </w:pPr>
      <w:r w:rsidRPr="006B7D32">
        <w:rPr>
          <w:rFonts w:asciiTheme="minorHAnsi" w:hAnsiTheme="minorHAnsi" w:cstheme="minorHAnsi"/>
          <w:b/>
          <w:bCs/>
          <w:sz w:val="26"/>
          <w:szCs w:val="26"/>
        </w:rPr>
        <w:t>1</w:t>
      </w:r>
      <w:r w:rsidR="00395B7B" w:rsidRPr="006B7D32">
        <w:rPr>
          <w:rFonts w:asciiTheme="minorHAnsi" w:hAnsiTheme="minorHAnsi" w:cstheme="minorHAnsi"/>
          <w:b/>
          <w:bCs/>
          <w:sz w:val="26"/>
          <w:szCs w:val="26"/>
        </w:rPr>
        <w:t>8</w:t>
      </w:r>
      <w:r w:rsidR="00FC08C6">
        <w:rPr>
          <w:rFonts w:asciiTheme="minorHAnsi" w:hAnsiTheme="minorHAnsi" w:cstheme="minorHAnsi"/>
          <w:b/>
          <w:bCs/>
          <w:sz w:val="26"/>
          <w:szCs w:val="26"/>
        </w:rPr>
        <w:t>0</w:t>
      </w:r>
      <w:r w:rsidRPr="006B7D32">
        <w:rPr>
          <w:rFonts w:asciiTheme="minorHAnsi" w:hAnsiTheme="minorHAnsi" w:cstheme="minorHAnsi"/>
          <w:sz w:val="26"/>
          <w:szCs w:val="26"/>
        </w:rPr>
        <w:t xml:space="preserve"> persoane, prin pensionare;</w:t>
      </w:r>
    </w:p>
    <w:p w14:paraId="3CC5E19B" w14:textId="23D6D283" w:rsidR="00E157CE" w:rsidRPr="006B7D32" w:rsidRDefault="00FC08C6">
      <w:pPr>
        <w:numPr>
          <w:ilvl w:val="0"/>
          <w:numId w:val="16"/>
        </w:numPr>
        <w:tabs>
          <w:tab w:val="left" w:pos="851"/>
          <w:tab w:val="left" w:pos="1068"/>
        </w:tabs>
        <w:spacing w:line="276" w:lineRule="auto"/>
        <w:ind w:left="1428"/>
        <w:jc w:val="both"/>
        <w:rPr>
          <w:rFonts w:asciiTheme="minorHAnsi" w:hAnsiTheme="minorHAnsi" w:cstheme="minorHAnsi"/>
          <w:sz w:val="26"/>
          <w:szCs w:val="26"/>
        </w:rPr>
      </w:pPr>
      <w:r>
        <w:rPr>
          <w:rFonts w:asciiTheme="minorHAnsi" w:hAnsiTheme="minorHAnsi" w:cstheme="minorHAnsi"/>
          <w:b/>
          <w:bCs/>
          <w:sz w:val="26"/>
          <w:szCs w:val="26"/>
        </w:rPr>
        <w:t>3</w:t>
      </w:r>
      <w:r w:rsidR="00E157CE" w:rsidRPr="006B7D32">
        <w:rPr>
          <w:rFonts w:asciiTheme="minorHAnsi" w:hAnsiTheme="minorHAnsi" w:cstheme="minorHAnsi"/>
          <w:sz w:val="26"/>
          <w:szCs w:val="26"/>
        </w:rPr>
        <w:t xml:space="preserve"> persoan</w:t>
      </w:r>
      <w:r>
        <w:rPr>
          <w:rFonts w:asciiTheme="minorHAnsi" w:hAnsiTheme="minorHAnsi" w:cstheme="minorHAnsi"/>
          <w:sz w:val="26"/>
          <w:szCs w:val="26"/>
        </w:rPr>
        <w:t>e</w:t>
      </w:r>
      <w:r w:rsidR="00E157CE" w:rsidRPr="006B7D32">
        <w:rPr>
          <w:rFonts w:asciiTheme="minorHAnsi" w:hAnsiTheme="minorHAnsi" w:cstheme="minorHAnsi"/>
          <w:sz w:val="26"/>
          <w:szCs w:val="26"/>
        </w:rPr>
        <w:t>, ca urmare a demisiei;</w:t>
      </w:r>
    </w:p>
    <w:p w14:paraId="0E6CC683" w14:textId="77777777" w:rsidR="00E157CE" w:rsidRPr="006B7D32" w:rsidRDefault="00E157CE">
      <w:pPr>
        <w:numPr>
          <w:ilvl w:val="0"/>
          <w:numId w:val="16"/>
        </w:numPr>
        <w:tabs>
          <w:tab w:val="left" w:pos="851"/>
          <w:tab w:val="left" w:pos="1068"/>
        </w:tabs>
        <w:spacing w:line="276" w:lineRule="auto"/>
        <w:ind w:left="1428"/>
        <w:jc w:val="both"/>
        <w:rPr>
          <w:rFonts w:asciiTheme="minorHAnsi" w:hAnsiTheme="minorHAnsi" w:cstheme="minorHAnsi"/>
          <w:sz w:val="26"/>
          <w:szCs w:val="26"/>
        </w:rPr>
      </w:pPr>
      <w:r w:rsidRPr="006B7D32">
        <w:rPr>
          <w:rFonts w:asciiTheme="minorHAnsi" w:hAnsiTheme="minorHAnsi" w:cstheme="minorHAnsi"/>
          <w:b/>
          <w:bCs/>
          <w:sz w:val="26"/>
          <w:szCs w:val="26"/>
        </w:rPr>
        <w:t>8</w:t>
      </w:r>
      <w:r w:rsidRPr="006B7D32">
        <w:rPr>
          <w:rFonts w:asciiTheme="minorHAnsi" w:hAnsiTheme="minorHAnsi" w:cstheme="minorHAnsi"/>
          <w:sz w:val="26"/>
          <w:szCs w:val="26"/>
        </w:rPr>
        <w:t xml:space="preserve"> persoane, ca urmare a numirii în funcţia de procuror</w:t>
      </w:r>
      <w:r w:rsidRPr="006B7D32">
        <w:rPr>
          <w:rFonts w:asciiTheme="minorHAnsi" w:hAnsiTheme="minorHAnsi" w:cstheme="minorHAnsi"/>
          <w:sz w:val="26"/>
          <w:szCs w:val="26"/>
          <w:shd w:val="clear" w:color="auto" w:fill="FFFFFF"/>
        </w:rPr>
        <w:t>.</w:t>
      </w:r>
    </w:p>
    <w:p w14:paraId="7E0842D6" w14:textId="77777777" w:rsidR="00E157CE" w:rsidRPr="004A72CD" w:rsidRDefault="00E157CE"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Totodată, în cursul acestui an s-au vacantat 3 posturi de judecător, ca urmare a decesului.</w:t>
      </w:r>
    </w:p>
    <w:p w14:paraId="1DF9153D" w14:textId="21CC81B2" w:rsidR="00E157CE" w:rsidRDefault="00E157CE" w:rsidP="00D51F5A">
      <w:pPr>
        <w:spacing w:line="276" w:lineRule="auto"/>
        <w:ind w:right="48" w:firstLine="709"/>
        <w:jc w:val="both"/>
        <w:rPr>
          <w:rFonts w:asciiTheme="minorHAnsi" w:hAnsiTheme="minorHAnsi" w:cstheme="minorHAnsi"/>
          <w:b/>
          <w:bCs/>
          <w:sz w:val="26"/>
          <w:szCs w:val="26"/>
        </w:rPr>
      </w:pPr>
      <w:r w:rsidRPr="004A72CD">
        <w:rPr>
          <w:rFonts w:asciiTheme="minorHAnsi" w:hAnsiTheme="minorHAnsi" w:cstheme="minorHAnsi"/>
          <w:sz w:val="26"/>
          <w:szCs w:val="26"/>
        </w:rPr>
        <w:t xml:space="preserve">Situaţia posturilor de judecător pe grade de jurisdicţie, comparativ cu sfârşitul anului 2023, </w:t>
      </w:r>
      <w:r w:rsidRPr="004A72CD">
        <w:rPr>
          <w:rFonts w:asciiTheme="minorHAnsi" w:hAnsiTheme="minorHAnsi" w:cstheme="minorHAnsi"/>
          <w:b/>
          <w:bCs/>
          <w:sz w:val="26"/>
          <w:szCs w:val="26"/>
        </w:rPr>
        <w:t xml:space="preserve">cu luarea în considerare a măsurilor dispuse începând cu data de 01 ianuarie 2024 şi până la data de </w:t>
      </w:r>
      <w:r w:rsidR="00FC08C6" w:rsidRPr="00FC08C6">
        <w:rPr>
          <w:rFonts w:asciiTheme="minorHAnsi" w:hAnsiTheme="minorHAnsi" w:cstheme="minorHAnsi"/>
          <w:b/>
          <w:bCs/>
          <w:sz w:val="26"/>
          <w:szCs w:val="26"/>
        </w:rPr>
        <w:t>3</w:t>
      </w:r>
      <w:r w:rsidRPr="00FC08C6">
        <w:rPr>
          <w:rFonts w:asciiTheme="minorHAnsi" w:hAnsiTheme="minorHAnsi" w:cstheme="minorHAnsi"/>
          <w:b/>
          <w:bCs/>
          <w:sz w:val="26"/>
          <w:szCs w:val="26"/>
        </w:rPr>
        <w:t xml:space="preserve">1 </w:t>
      </w:r>
      <w:r w:rsidR="00FC08C6" w:rsidRPr="00FC08C6">
        <w:rPr>
          <w:rFonts w:asciiTheme="minorHAnsi" w:hAnsiTheme="minorHAnsi" w:cstheme="minorHAnsi"/>
          <w:b/>
          <w:bCs/>
          <w:sz w:val="26"/>
          <w:szCs w:val="26"/>
        </w:rPr>
        <w:t>dec</w:t>
      </w:r>
      <w:r w:rsidR="00457482" w:rsidRPr="00FC08C6">
        <w:rPr>
          <w:rFonts w:asciiTheme="minorHAnsi" w:hAnsiTheme="minorHAnsi" w:cstheme="minorHAnsi"/>
          <w:b/>
          <w:bCs/>
          <w:sz w:val="26"/>
          <w:szCs w:val="26"/>
        </w:rPr>
        <w:t>embrie</w:t>
      </w:r>
      <w:r w:rsidRPr="00FC08C6">
        <w:rPr>
          <w:rFonts w:asciiTheme="minorHAnsi" w:hAnsiTheme="minorHAnsi" w:cstheme="minorHAnsi"/>
          <w:b/>
          <w:bCs/>
          <w:sz w:val="26"/>
          <w:szCs w:val="26"/>
        </w:rPr>
        <w:t xml:space="preserve"> </w:t>
      </w:r>
      <w:r w:rsidRPr="004A72CD">
        <w:rPr>
          <w:rFonts w:asciiTheme="minorHAnsi" w:hAnsiTheme="minorHAnsi" w:cstheme="minorHAnsi"/>
          <w:b/>
          <w:bCs/>
          <w:sz w:val="26"/>
          <w:szCs w:val="26"/>
        </w:rPr>
        <w:t>2024, cu luarea în considerare a tuturor decretelor publicate se prezintă astfel:</w:t>
      </w:r>
    </w:p>
    <w:tbl>
      <w:tblPr>
        <w:tblW w:w="10394" w:type="dxa"/>
        <w:jc w:val="center"/>
        <w:tblCellMar>
          <w:left w:w="10" w:type="dxa"/>
          <w:right w:w="10" w:type="dxa"/>
        </w:tblCellMar>
        <w:tblLook w:val="04A0" w:firstRow="1" w:lastRow="0" w:firstColumn="1" w:lastColumn="0" w:noHBand="0" w:noVBand="1"/>
      </w:tblPr>
      <w:tblGrid>
        <w:gridCol w:w="1420"/>
        <w:gridCol w:w="1016"/>
        <w:gridCol w:w="998"/>
        <w:gridCol w:w="994"/>
        <w:gridCol w:w="995"/>
        <w:gridCol w:w="988"/>
        <w:gridCol w:w="991"/>
        <w:gridCol w:w="995"/>
        <w:gridCol w:w="988"/>
        <w:gridCol w:w="1009"/>
      </w:tblGrid>
      <w:tr w:rsidR="00AA0B49" w:rsidRPr="007E279F" w14:paraId="7489812B" w14:textId="77777777" w:rsidTr="00AA0B49">
        <w:trPr>
          <w:jc w:val="center"/>
        </w:trPr>
        <w:tc>
          <w:tcPr>
            <w:tcW w:w="142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8192CDF" w14:textId="77777777" w:rsidR="007E279F" w:rsidRPr="007E279F" w:rsidRDefault="007E279F" w:rsidP="007E279F">
            <w:pPr>
              <w:spacing w:line="276" w:lineRule="auto"/>
              <w:jc w:val="center"/>
              <w:rPr>
                <w:rFonts w:asciiTheme="minorHAnsi" w:hAnsiTheme="minorHAnsi" w:cstheme="minorHAnsi"/>
                <w:noProof w:val="0"/>
                <w:sz w:val="26"/>
                <w:szCs w:val="26"/>
              </w:rPr>
            </w:pPr>
            <w:r w:rsidRPr="007E279F">
              <w:rPr>
                <w:rFonts w:asciiTheme="minorHAnsi" w:hAnsiTheme="minorHAnsi" w:cstheme="minorHAnsi"/>
                <w:b/>
                <w:noProof w:val="0"/>
                <w:sz w:val="26"/>
                <w:szCs w:val="26"/>
              </w:rPr>
              <w:t>Categoria</w:t>
            </w:r>
          </w:p>
        </w:tc>
        <w:tc>
          <w:tcPr>
            <w:tcW w:w="300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8DB5D8C"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b/>
                <w:noProof w:val="0"/>
                <w:sz w:val="20"/>
              </w:rPr>
              <w:t>Posturi de judecător prevăzute în schemă</w:t>
            </w:r>
          </w:p>
        </w:tc>
        <w:tc>
          <w:tcPr>
            <w:tcW w:w="2974"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2A0AB7D"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b/>
                <w:noProof w:val="0"/>
                <w:sz w:val="20"/>
              </w:rPr>
              <w:t>Posturi de judecător ocupate</w:t>
            </w:r>
          </w:p>
        </w:tc>
        <w:tc>
          <w:tcPr>
            <w:tcW w:w="2992"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8DF95FB"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b/>
                <w:noProof w:val="0"/>
                <w:sz w:val="20"/>
              </w:rPr>
              <w:t>Posturi de judecător vacante</w:t>
            </w:r>
          </w:p>
        </w:tc>
      </w:tr>
      <w:tr w:rsidR="00AA0B49" w:rsidRPr="007E279F" w14:paraId="0C3388EE" w14:textId="77777777" w:rsidTr="00AA0B49">
        <w:trPr>
          <w:jc w:val="center"/>
        </w:trPr>
        <w:tc>
          <w:tcPr>
            <w:tcW w:w="142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A2D374B" w14:textId="77777777" w:rsidR="007E279F" w:rsidRPr="007E279F" w:rsidRDefault="007E279F" w:rsidP="007E279F">
            <w:pPr>
              <w:spacing w:line="276" w:lineRule="auto"/>
              <w:jc w:val="center"/>
              <w:rPr>
                <w:rFonts w:asciiTheme="minorHAnsi" w:eastAsia="Calibri" w:hAnsiTheme="minorHAnsi" w:cstheme="minorHAnsi"/>
                <w:noProof w:val="0"/>
                <w:sz w:val="26"/>
                <w:szCs w:val="26"/>
              </w:rPr>
            </w:pPr>
          </w:p>
        </w:tc>
        <w:tc>
          <w:tcPr>
            <w:tcW w:w="10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3AF2F03" w14:textId="77777777" w:rsidR="007E279F" w:rsidRPr="007E279F" w:rsidRDefault="007E279F" w:rsidP="00AA0B49">
            <w:pPr>
              <w:spacing w:line="276" w:lineRule="auto"/>
              <w:ind w:left="-118" w:right="-102"/>
              <w:jc w:val="center"/>
              <w:rPr>
                <w:rFonts w:asciiTheme="minorHAnsi" w:hAnsiTheme="minorHAnsi" w:cstheme="minorHAnsi"/>
                <w:noProof w:val="0"/>
                <w:sz w:val="20"/>
              </w:rPr>
            </w:pPr>
            <w:r w:rsidRPr="007E279F">
              <w:rPr>
                <w:rFonts w:asciiTheme="minorHAnsi" w:hAnsiTheme="minorHAnsi" w:cstheme="minorHAnsi"/>
                <w:b/>
                <w:noProof w:val="0"/>
                <w:sz w:val="20"/>
              </w:rPr>
              <w:t>31.12.2023</w:t>
            </w:r>
          </w:p>
        </w:tc>
        <w:tc>
          <w:tcPr>
            <w:tcW w:w="9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2AB35BF" w14:textId="77777777" w:rsidR="007E279F" w:rsidRPr="007E279F" w:rsidRDefault="007E279F" w:rsidP="007E279F">
            <w:pPr>
              <w:spacing w:line="276" w:lineRule="auto"/>
              <w:ind w:left="-136" w:right="-73"/>
              <w:jc w:val="center"/>
              <w:rPr>
                <w:rFonts w:asciiTheme="minorHAnsi" w:hAnsiTheme="minorHAnsi" w:cstheme="minorHAnsi"/>
                <w:noProof w:val="0"/>
                <w:sz w:val="20"/>
              </w:rPr>
            </w:pPr>
            <w:r w:rsidRPr="007E279F">
              <w:rPr>
                <w:rFonts w:asciiTheme="minorHAnsi" w:hAnsiTheme="minorHAnsi" w:cstheme="minorHAnsi"/>
                <w:b/>
                <w:noProof w:val="0"/>
                <w:sz w:val="20"/>
              </w:rPr>
              <w:t>01.01.2024</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D39A7F2" w14:textId="44F9154B" w:rsidR="007E279F" w:rsidRPr="000C5356" w:rsidRDefault="00DA7353" w:rsidP="00AA0B49">
            <w:pPr>
              <w:spacing w:line="276" w:lineRule="auto"/>
              <w:ind w:left="-141" w:right="-79"/>
              <w:jc w:val="center"/>
              <w:rPr>
                <w:rFonts w:asciiTheme="minorHAnsi" w:hAnsiTheme="minorHAnsi" w:cstheme="minorHAnsi"/>
                <w:noProof w:val="0"/>
                <w:sz w:val="20"/>
              </w:rPr>
            </w:pPr>
            <w:r w:rsidRPr="000C5356">
              <w:rPr>
                <w:rFonts w:asciiTheme="minorHAnsi" w:hAnsiTheme="minorHAnsi" w:cstheme="minorHAnsi"/>
                <w:b/>
                <w:noProof w:val="0"/>
                <w:sz w:val="20"/>
              </w:rPr>
              <w:t>3</w:t>
            </w:r>
            <w:r w:rsidR="007E279F" w:rsidRPr="000C5356">
              <w:rPr>
                <w:rFonts w:asciiTheme="minorHAnsi" w:hAnsiTheme="minorHAnsi" w:cstheme="minorHAnsi"/>
                <w:b/>
                <w:noProof w:val="0"/>
                <w:sz w:val="20"/>
              </w:rPr>
              <w:t>1.1</w:t>
            </w:r>
            <w:r w:rsidRPr="000C5356">
              <w:rPr>
                <w:rFonts w:asciiTheme="minorHAnsi" w:hAnsiTheme="minorHAnsi" w:cstheme="minorHAnsi"/>
                <w:b/>
                <w:noProof w:val="0"/>
                <w:sz w:val="20"/>
              </w:rPr>
              <w:t>2</w:t>
            </w:r>
            <w:r w:rsidR="007E279F" w:rsidRPr="000C5356">
              <w:rPr>
                <w:rFonts w:asciiTheme="minorHAnsi" w:hAnsiTheme="minorHAnsi" w:cstheme="minorHAnsi"/>
                <w:b/>
                <w:noProof w:val="0"/>
                <w:sz w:val="20"/>
              </w:rPr>
              <w:t>.2024</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7ECB44C" w14:textId="77777777" w:rsidR="007E279F" w:rsidRPr="007E279F" w:rsidRDefault="007E279F" w:rsidP="00AA0B49">
            <w:pPr>
              <w:spacing w:line="276" w:lineRule="auto"/>
              <w:ind w:left="-139" w:right="-81"/>
              <w:jc w:val="center"/>
              <w:rPr>
                <w:rFonts w:asciiTheme="minorHAnsi" w:hAnsiTheme="minorHAnsi" w:cstheme="minorHAnsi"/>
                <w:noProof w:val="0"/>
                <w:sz w:val="20"/>
              </w:rPr>
            </w:pPr>
            <w:r w:rsidRPr="007E279F">
              <w:rPr>
                <w:rFonts w:asciiTheme="minorHAnsi" w:hAnsiTheme="minorHAnsi" w:cstheme="minorHAnsi"/>
                <w:b/>
                <w:noProof w:val="0"/>
                <w:sz w:val="20"/>
              </w:rPr>
              <w:t>31.12.2023</w:t>
            </w:r>
          </w:p>
        </w:tc>
        <w:tc>
          <w:tcPr>
            <w:tcW w:w="9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ECDA916" w14:textId="77777777" w:rsidR="007E279F" w:rsidRPr="007E279F" w:rsidRDefault="007E279F" w:rsidP="00AA0B49">
            <w:pPr>
              <w:spacing w:line="276" w:lineRule="auto"/>
              <w:ind w:left="-146" w:right="-106"/>
              <w:jc w:val="center"/>
              <w:rPr>
                <w:rFonts w:asciiTheme="minorHAnsi" w:hAnsiTheme="minorHAnsi" w:cstheme="minorHAnsi"/>
                <w:noProof w:val="0"/>
                <w:sz w:val="20"/>
              </w:rPr>
            </w:pPr>
            <w:r w:rsidRPr="007E279F">
              <w:rPr>
                <w:rFonts w:asciiTheme="minorHAnsi" w:hAnsiTheme="minorHAnsi" w:cstheme="minorHAnsi"/>
                <w:b/>
                <w:noProof w:val="0"/>
                <w:sz w:val="20"/>
              </w:rPr>
              <w:t>01.01.2024</w:t>
            </w:r>
          </w:p>
        </w:tc>
        <w:tc>
          <w:tcPr>
            <w:tcW w:w="9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2DCBD42" w14:textId="5B2D4BB0" w:rsidR="007E279F" w:rsidRPr="000C5356" w:rsidRDefault="00831CDE" w:rsidP="00AA0B49">
            <w:pPr>
              <w:spacing w:line="276" w:lineRule="auto"/>
              <w:ind w:left="-143" w:right="-109"/>
              <w:jc w:val="center"/>
              <w:rPr>
                <w:rFonts w:asciiTheme="minorHAnsi" w:hAnsiTheme="minorHAnsi" w:cstheme="minorHAnsi"/>
                <w:noProof w:val="0"/>
                <w:sz w:val="20"/>
              </w:rPr>
            </w:pPr>
            <w:r w:rsidRPr="000C5356">
              <w:rPr>
                <w:rFonts w:asciiTheme="minorHAnsi" w:hAnsiTheme="minorHAnsi" w:cstheme="minorHAnsi"/>
                <w:b/>
                <w:noProof w:val="0"/>
                <w:sz w:val="20"/>
              </w:rPr>
              <w:t>3</w:t>
            </w:r>
            <w:r w:rsidR="007E279F" w:rsidRPr="000C5356">
              <w:rPr>
                <w:rFonts w:asciiTheme="minorHAnsi" w:hAnsiTheme="minorHAnsi" w:cstheme="minorHAnsi"/>
                <w:b/>
                <w:noProof w:val="0"/>
                <w:sz w:val="20"/>
              </w:rPr>
              <w:t>1.1</w:t>
            </w:r>
            <w:r w:rsidRPr="000C5356">
              <w:rPr>
                <w:rFonts w:asciiTheme="minorHAnsi" w:hAnsiTheme="minorHAnsi" w:cstheme="minorHAnsi"/>
                <w:b/>
                <w:noProof w:val="0"/>
                <w:sz w:val="20"/>
              </w:rPr>
              <w:t>2</w:t>
            </w:r>
            <w:r w:rsidR="007E279F" w:rsidRPr="000C5356">
              <w:rPr>
                <w:rFonts w:asciiTheme="minorHAnsi" w:hAnsiTheme="minorHAnsi" w:cstheme="minorHAnsi"/>
                <w:b/>
                <w:noProof w:val="0"/>
                <w:sz w:val="20"/>
              </w:rPr>
              <w:t>.2024</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9556803" w14:textId="77777777" w:rsidR="007E279F" w:rsidRPr="007E279F" w:rsidRDefault="007E279F" w:rsidP="00AA0B49">
            <w:pPr>
              <w:spacing w:line="276" w:lineRule="auto"/>
              <w:ind w:left="-139" w:right="-112"/>
              <w:jc w:val="center"/>
              <w:rPr>
                <w:rFonts w:asciiTheme="minorHAnsi" w:hAnsiTheme="minorHAnsi" w:cstheme="minorHAnsi"/>
                <w:noProof w:val="0"/>
                <w:sz w:val="20"/>
              </w:rPr>
            </w:pPr>
            <w:r w:rsidRPr="007E279F">
              <w:rPr>
                <w:rFonts w:asciiTheme="minorHAnsi" w:hAnsiTheme="minorHAnsi" w:cstheme="minorHAnsi"/>
                <w:b/>
                <w:noProof w:val="0"/>
                <w:sz w:val="20"/>
              </w:rPr>
              <w:t>31.12.2023</w:t>
            </w:r>
          </w:p>
        </w:tc>
        <w:tc>
          <w:tcPr>
            <w:tcW w:w="9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C842F87" w14:textId="77777777" w:rsidR="007E279F" w:rsidRPr="007E279F" w:rsidRDefault="007E279F" w:rsidP="00AA0B49">
            <w:pPr>
              <w:spacing w:line="276" w:lineRule="auto"/>
              <w:ind w:left="-146" w:right="-106"/>
              <w:jc w:val="center"/>
              <w:rPr>
                <w:rFonts w:asciiTheme="minorHAnsi" w:hAnsiTheme="minorHAnsi" w:cstheme="minorHAnsi"/>
                <w:noProof w:val="0"/>
                <w:sz w:val="20"/>
              </w:rPr>
            </w:pPr>
            <w:r w:rsidRPr="007E279F">
              <w:rPr>
                <w:rFonts w:asciiTheme="minorHAnsi" w:hAnsiTheme="minorHAnsi" w:cstheme="minorHAnsi"/>
                <w:b/>
                <w:noProof w:val="0"/>
                <w:sz w:val="20"/>
              </w:rPr>
              <w:t>01.01.2024</w:t>
            </w:r>
          </w:p>
        </w:tc>
        <w:tc>
          <w:tcPr>
            <w:tcW w:w="10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6203239" w14:textId="7C6F7E44" w:rsidR="007E279F" w:rsidRPr="0088378C" w:rsidRDefault="00831CDE" w:rsidP="00AA0B49">
            <w:pPr>
              <w:spacing w:line="276" w:lineRule="auto"/>
              <w:ind w:left="-142" w:right="-98"/>
              <w:jc w:val="center"/>
              <w:rPr>
                <w:rFonts w:asciiTheme="minorHAnsi" w:hAnsiTheme="minorHAnsi" w:cstheme="minorHAnsi"/>
                <w:noProof w:val="0"/>
                <w:sz w:val="20"/>
              </w:rPr>
            </w:pPr>
            <w:r w:rsidRPr="0088378C">
              <w:rPr>
                <w:rFonts w:asciiTheme="minorHAnsi" w:hAnsiTheme="minorHAnsi" w:cstheme="minorHAnsi"/>
                <w:b/>
                <w:noProof w:val="0"/>
                <w:sz w:val="20"/>
              </w:rPr>
              <w:t>3</w:t>
            </w:r>
            <w:r w:rsidR="007E279F" w:rsidRPr="0088378C">
              <w:rPr>
                <w:rFonts w:asciiTheme="minorHAnsi" w:hAnsiTheme="minorHAnsi" w:cstheme="minorHAnsi"/>
                <w:b/>
                <w:noProof w:val="0"/>
                <w:sz w:val="20"/>
              </w:rPr>
              <w:t>1.1</w:t>
            </w:r>
            <w:r w:rsidRPr="0088378C">
              <w:rPr>
                <w:rFonts w:asciiTheme="minorHAnsi" w:hAnsiTheme="minorHAnsi" w:cstheme="minorHAnsi"/>
                <w:b/>
                <w:noProof w:val="0"/>
                <w:sz w:val="20"/>
              </w:rPr>
              <w:t>2</w:t>
            </w:r>
            <w:r w:rsidR="007E279F" w:rsidRPr="0088378C">
              <w:rPr>
                <w:rFonts w:asciiTheme="minorHAnsi" w:hAnsiTheme="minorHAnsi" w:cstheme="minorHAnsi"/>
                <w:b/>
                <w:noProof w:val="0"/>
                <w:sz w:val="20"/>
              </w:rPr>
              <w:t>.2024</w:t>
            </w:r>
          </w:p>
        </w:tc>
      </w:tr>
      <w:tr w:rsidR="00AA0B49" w:rsidRPr="007E279F" w14:paraId="0E0B5EBD" w14:textId="77777777" w:rsidTr="00AA0B49">
        <w:trPr>
          <w:jc w:val="center"/>
        </w:trPr>
        <w:tc>
          <w:tcPr>
            <w:tcW w:w="1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018CC3B" w14:textId="77777777" w:rsidR="007E279F" w:rsidRPr="007E279F" w:rsidRDefault="007E279F" w:rsidP="007E279F">
            <w:pPr>
              <w:spacing w:line="276" w:lineRule="auto"/>
              <w:jc w:val="center"/>
              <w:rPr>
                <w:rFonts w:asciiTheme="minorHAnsi" w:hAnsiTheme="minorHAnsi" w:cstheme="minorHAnsi"/>
                <w:noProof w:val="0"/>
                <w:sz w:val="24"/>
                <w:szCs w:val="24"/>
              </w:rPr>
            </w:pPr>
            <w:r w:rsidRPr="007E279F">
              <w:rPr>
                <w:rFonts w:asciiTheme="minorHAnsi" w:hAnsiTheme="minorHAnsi" w:cstheme="minorHAnsi"/>
                <w:noProof w:val="0"/>
                <w:sz w:val="24"/>
                <w:szCs w:val="24"/>
              </w:rPr>
              <w:t>Înalta Curte de Casaţie şi Justiţie</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25FCEFF"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122</w:t>
            </w:r>
          </w:p>
        </w:tc>
        <w:tc>
          <w:tcPr>
            <w:tcW w:w="9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094E520"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122</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B26EA53" w14:textId="77777777" w:rsidR="007E279F" w:rsidRPr="000C5356" w:rsidRDefault="007E279F" w:rsidP="007E279F">
            <w:pPr>
              <w:spacing w:line="276" w:lineRule="auto"/>
              <w:jc w:val="center"/>
              <w:rPr>
                <w:rFonts w:asciiTheme="minorHAnsi" w:hAnsiTheme="minorHAnsi" w:cstheme="minorHAnsi"/>
                <w:noProof w:val="0"/>
                <w:sz w:val="20"/>
              </w:rPr>
            </w:pPr>
            <w:r w:rsidRPr="000C5356">
              <w:rPr>
                <w:rFonts w:asciiTheme="minorHAnsi" w:hAnsiTheme="minorHAnsi" w:cstheme="minorHAnsi"/>
                <w:noProof w:val="0"/>
                <w:sz w:val="20"/>
              </w:rPr>
              <w:t>122</w:t>
            </w:r>
          </w:p>
        </w:tc>
        <w:tc>
          <w:tcPr>
            <w:tcW w:w="9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EF822A2"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106</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0556855"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106</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79069A8" w14:textId="2073AD0A" w:rsidR="007E279F" w:rsidRPr="000C5356" w:rsidRDefault="007E279F" w:rsidP="007E279F">
            <w:pPr>
              <w:spacing w:line="276" w:lineRule="auto"/>
              <w:jc w:val="center"/>
              <w:rPr>
                <w:rFonts w:asciiTheme="minorHAnsi" w:hAnsiTheme="minorHAnsi" w:cstheme="minorHAnsi"/>
                <w:noProof w:val="0"/>
                <w:sz w:val="20"/>
              </w:rPr>
            </w:pPr>
            <w:r w:rsidRPr="000C5356">
              <w:rPr>
                <w:rFonts w:asciiTheme="minorHAnsi" w:hAnsiTheme="minorHAnsi" w:cstheme="minorHAnsi"/>
                <w:noProof w:val="0"/>
                <w:sz w:val="20"/>
              </w:rPr>
              <w:t>10</w:t>
            </w:r>
            <w:r w:rsidR="00DD37D3" w:rsidRPr="000C5356">
              <w:rPr>
                <w:rFonts w:asciiTheme="minorHAnsi" w:hAnsiTheme="minorHAnsi" w:cstheme="minorHAnsi"/>
                <w:noProof w:val="0"/>
                <w:sz w:val="20"/>
              </w:rPr>
              <w:t>1</w:t>
            </w:r>
          </w:p>
        </w:tc>
        <w:tc>
          <w:tcPr>
            <w:tcW w:w="9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A3237A1"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16</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38D2760"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16</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92C92E0" w14:textId="4ECD9BF9" w:rsidR="007E279F" w:rsidRPr="0088378C" w:rsidRDefault="00064A98" w:rsidP="007E279F">
            <w:pPr>
              <w:spacing w:line="276" w:lineRule="auto"/>
              <w:jc w:val="center"/>
              <w:rPr>
                <w:rFonts w:asciiTheme="minorHAnsi" w:hAnsiTheme="minorHAnsi" w:cstheme="minorHAnsi"/>
                <w:noProof w:val="0"/>
                <w:sz w:val="20"/>
              </w:rPr>
            </w:pPr>
            <w:r w:rsidRPr="0088378C">
              <w:rPr>
                <w:rFonts w:asciiTheme="minorHAnsi" w:hAnsiTheme="minorHAnsi" w:cstheme="minorHAnsi"/>
                <w:noProof w:val="0"/>
                <w:sz w:val="20"/>
              </w:rPr>
              <w:t>21</w:t>
            </w:r>
          </w:p>
        </w:tc>
      </w:tr>
      <w:tr w:rsidR="00AA0B49" w:rsidRPr="007E279F" w14:paraId="2E608803" w14:textId="77777777" w:rsidTr="00AA0B49">
        <w:trPr>
          <w:jc w:val="center"/>
        </w:trPr>
        <w:tc>
          <w:tcPr>
            <w:tcW w:w="1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53E3773" w14:textId="77777777" w:rsidR="007E279F" w:rsidRPr="007E279F" w:rsidRDefault="007E279F" w:rsidP="007E279F">
            <w:pPr>
              <w:spacing w:line="276" w:lineRule="auto"/>
              <w:jc w:val="center"/>
              <w:rPr>
                <w:rFonts w:asciiTheme="minorHAnsi" w:hAnsiTheme="minorHAnsi" w:cstheme="minorHAnsi"/>
                <w:noProof w:val="0"/>
                <w:sz w:val="24"/>
                <w:szCs w:val="24"/>
              </w:rPr>
            </w:pPr>
            <w:r w:rsidRPr="007E279F">
              <w:rPr>
                <w:rFonts w:asciiTheme="minorHAnsi" w:hAnsiTheme="minorHAnsi" w:cstheme="minorHAnsi"/>
                <w:noProof w:val="0"/>
                <w:sz w:val="24"/>
                <w:szCs w:val="24"/>
              </w:rPr>
              <w:t>Curţi de apel (inclusiv Curtea Militară de Apel)</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EE218DC"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930</w:t>
            </w:r>
          </w:p>
        </w:tc>
        <w:tc>
          <w:tcPr>
            <w:tcW w:w="9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2E080D8"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930</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9BBBEE6" w14:textId="77777777" w:rsidR="007E279F" w:rsidRPr="000C5356" w:rsidRDefault="007E279F" w:rsidP="007E279F">
            <w:pPr>
              <w:spacing w:line="276" w:lineRule="auto"/>
              <w:jc w:val="center"/>
              <w:rPr>
                <w:rFonts w:asciiTheme="minorHAnsi" w:hAnsiTheme="minorHAnsi" w:cstheme="minorHAnsi"/>
                <w:noProof w:val="0"/>
                <w:sz w:val="20"/>
              </w:rPr>
            </w:pPr>
            <w:r w:rsidRPr="000C5356">
              <w:rPr>
                <w:rFonts w:asciiTheme="minorHAnsi" w:hAnsiTheme="minorHAnsi" w:cstheme="minorHAnsi"/>
                <w:noProof w:val="0"/>
                <w:sz w:val="20"/>
              </w:rPr>
              <w:t>930</w:t>
            </w:r>
          </w:p>
        </w:tc>
        <w:tc>
          <w:tcPr>
            <w:tcW w:w="9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29774FE"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901</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76FFC47"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901</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E2E1EFC" w14:textId="3DC2F224" w:rsidR="007E279F" w:rsidRPr="000C5356" w:rsidRDefault="007E279F" w:rsidP="007E279F">
            <w:pPr>
              <w:spacing w:line="276" w:lineRule="auto"/>
              <w:jc w:val="center"/>
              <w:rPr>
                <w:rFonts w:asciiTheme="minorHAnsi" w:hAnsiTheme="minorHAnsi" w:cstheme="minorHAnsi"/>
                <w:noProof w:val="0"/>
                <w:sz w:val="20"/>
              </w:rPr>
            </w:pPr>
            <w:r w:rsidRPr="000C5356">
              <w:rPr>
                <w:rFonts w:asciiTheme="minorHAnsi" w:hAnsiTheme="minorHAnsi" w:cstheme="minorHAnsi"/>
                <w:noProof w:val="0"/>
                <w:sz w:val="20"/>
              </w:rPr>
              <w:t>8</w:t>
            </w:r>
            <w:r w:rsidR="00DD37D3" w:rsidRPr="000C5356">
              <w:rPr>
                <w:rFonts w:asciiTheme="minorHAnsi" w:hAnsiTheme="minorHAnsi" w:cstheme="minorHAnsi"/>
                <w:noProof w:val="0"/>
                <w:sz w:val="20"/>
              </w:rPr>
              <w:t>75</w:t>
            </w:r>
          </w:p>
        </w:tc>
        <w:tc>
          <w:tcPr>
            <w:tcW w:w="9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A6798AA"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29</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35899FD"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39</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918256C" w14:textId="4447A839" w:rsidR="007E279F" w:rsidRPr="0088378C" w:rsidRDefault="00064A98" w:rsidP="007E279F">
            <w:pPr>
              <w:spacing w:line="276" w:lineRule="auto"/>
              <w:jc w:val="center"/>
              <w:rPr>
                <w:rFonts w:asciiTheme="minorHAnsi" w:hAnsiTheme="minorHAnsi" w:cstheme="minorHAnsi"/>
                <w:noProof w:val="0"/>
                <w:sz w:val="20"/>
              </w:rPr>
            </w:pPr>
            <w:r w:rsidRPr="0088378C">
              <w:rPr>
                <w:rFonts w:asciiTheme="minorHAnsi" w:hAnsiTheme="minorHAnsi" w:cstheme="minorHAnsi"/>
                <w:noProof w:val="0"/>
                <w:sz w:val="20"/>
              </w:rPr>
              <w:t>55</w:t>
            </w:r>
          </w:p>
        </w:tc>
      </w:tr>
      <w:tr w:rsidR="00AA0B49" w:rsidRPr="007E279F" w14:paraId="5E691F6C" w14:textId="77777777" w:rsidTr="00AA0B49">
        <w:trPr>
          <w:jc w:val="center"/>
        </w:trPr>
        <w:tc>
          <w:tcPr>
            <w:tcW w:w="1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84EA498" w14:textId="77777777" w:rsidR="007E279F" w:rsidRPr="007E279F" w:rsidRDefault="007E279F" w:rsidP="007E279F">
            <w:pPr>
              <w:spacing w:line="276" w:lineRule="auto"/>
              <w:jc w:val="center"/>
              <w:rPr>
                <w:rFonts w:asciiTheme="minorHAnsi" w:hAnsiTheme="minorHAnsi" w:cstheme="minorHAnsi"/>
                <w:noProof w:val="0"/>
                <w:sz w:val="24"/>
                <w:szCs w:val="24"/>
              </w:rPr>
            </w:pPr>
            <w:r w:rsidRPr="007E279F">
              <w:rPr>
                <w:rFonts w:asciiTheme="minorHAnsi" w:hAnsiTheme="minorHAnsi" w:cstheme="minorHAnsi"/>
                <w:noProof w:val="0"/>
                <w:sz w:val="24"/>
                <w:szCs w:val="24"/>
              </w:rPr>
              <w:t>Tribunale (inclusiv instanţele militare şi tribunalele specializate)</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C0D3C54"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1701</w:t>
            </w:r>
          </w:p>
        </w:tc>
        <w:tc>
          <w:tcPr>
            <w:tcW w:w="9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2D02593"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1701</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63E680C" w14:textId="070374C4" w:rsidR="007E279F" w:rsidRPr="000C5356" w:rsidRDefault="007E279F" w:rsidP="007E279F">
            <w:pPr>
              <w:spacing w:line="276" w:lineRule="auto"/>
              <w:jc w:val="center"/>
              <w:rPr>
                <w:rFonts w:asciiTheme="minorHAnsi" w:hAnsiTheme="minorHAnsi" w:cstheme="minorHAnsi"/>
                <w:noProof w:val="0"/>
                <w:sz w:val="20"/>
              </w:rPr>
            </w:pPr>
            <w:r w:rsidRPr="000C5356">
              <w:rPr>
                <w:rFonts w:asciiTheme="minorHAnsi" w:hAnsiTheme="minorHAnsi" w:cstheme="minorHAnsi"/>
                <w:noProof w:val="0"/>
                <w:sz w:val="20"/>
              </w:rPr>
              <w:t>170</w:t>
            </w:r>
            <w:r w:rsidR="00DD37D3" w:rsidRPr="000C5356">
              <w:rPr>
                <w:rFonts w:asciiTheme="minorHAnsi" w:hAnsiTheme="minorHAnsi" w:cstheme="minorHAnsi"/>
                <w:noProof w:val="0"/>
                <w:sz w:val="20"/>
              </w:rPr>
              <w:t>1</w:t>
            </w:r>
          </w:p>
        </w:tc>
        <w:tc>
          <w:tcPr>
            <w:tcW w:w="9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32A60B7"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1298</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BCD037A"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1296</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30B4598" w14:textId="7BDE1C18" w:rsidR="007E279F" w:rsidRPr="000C5356" w:rsidRDefault="007E279F" w:rsidP="007E279F">
            <w:pPr>
              <w:spacing w:line="276" w:lineRule="auto"/>
              <w:jc w:val="center"/>
              <w:rPr>
                <w:rFonts w:asciiTheme="minorHAnsi" w:hAnsiTheme="minorHAnsi" w:cstheme="minorHAnsi"/>
                <w:noProof w:val="0"/>
                <w:sz w:val="20"/>
              </w:rPr>
            </w:pPr>
            <w:r w:rsidRPr="000C5356">
              <w:rPr>
                <w:rFonts w:asciiTheme="minorHAnsi" w:hAnsiTheme="minorHAnsi" w:cstheme="minorHAnsi"/>
                <w:noProof w:val="0"/>
                <w:sz w:val="20"/>
              </w:rPr>
              <w:t>12</w:t>
            </w:r>
            <w:r w:rsidR="00DD37D3" w:rsidRPr="000C5356">
              <w:rPr>
                <w:rFonts w:asciiTheme="minorHAnsi" w:hAnsiTheme="minorHAnsi" w:cstheme="minorHAnsi"/>
                <w:noProof w:val="0"/>
                <w:sz w:val="20"/>
              </w:rPr>
              <w:t>57</w:t>
            </w:r>
          </w:p>
        </w:tc>
        <w:tc>
          <w:tcPr>
            <w:tcW w:w="9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279D619"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403</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7175CEA"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405</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6546310" w14:textId="57F7C6A1" w:rsidR="007E279F" w:rsidRPr="0088378C" w:rsidRDefault="007E279F" w:rsidP="007E279F">
            <w:pPr>
              <w:spacing w:line="276" w:lineRule="auto"/>
              <w:jc w:val="center"/>
              <w:rPr>
                <w:rFonts w:asciiTheme="minorHAnsi" w:hAnsiTheme="minorHAnsi" w:cstheme="minorHAnsi"/>
                <w:noProof w:val="0"/>
                <w:sz w:val="20"/>
              </w:rPr>
            </w:pPr>
            <w:r w:rsidRPr="0088378C">
              <w:rPr>
                <w:rFonts w:asciiTheme="minorHAnsi" w:hAnsiTheme="minorHAnsi" w:cstheme="minorHAnsi"/>
                <w:noProof w:val="0"/>
                <w:sz w:val="20"/>
              </w:rPr>
              <w:t>4</w:t>
            </w:r>
            <w:r w:rsidR="00064A98" w:rsidRPr="0088378C">
              <w:rPr>
                <w:rFonts w:asciiTheme="minorHAnsi" w:hAnsiTheme="minorHAnsi" w:cstheme="minorHAnsi"/>
                <w:noProof w:val="0"/>
                <w:sz w:val="20"/>
              </w:rPr>
              <w:t>44</w:t>
            </w:r>
          </w:p>
        </w:tc>
      </w:tr>
      <w:tr w:rsidR="00AA0B49" w:rsidRPr="007E279F" w14:paraId="0731C445" w14:textId="77777777" w:rsidTr="00AA0B49">
        <w:trPr>
          <w:jc w:val="center"/>
        </w:trPr>
        <w:tc>
          <w:tcPr>
            <w:tcW w:w="1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1E75E6F" w14:textId="77777777" w:rsidR="007E279F" w:rsidRPr="007E279F" w:rsidRDefault="007E279F" w:rsidP="007E279F">
            <w:pPr>
              <w:spacing w:line="276" w:lineRule="auto"/>
              <w:jc w:val="center"/>
              <w:rPr>
                <w:rFonts w:asciiTheme="minorHAnsi" w:hAnsiTheme="minorHAnsi" w:cstheme="minorHAnsi"/>
                <w:noProof w:val="0"/>
                <w:sz w:val="24"/>
                <w:szCs w:val="24"/>
              </w:rPr>
            </w:pPr>
            <w:r w:rsidRPr="007E279F">
              <w:rPr>
                <w:rFonts w:asciiTheme="minorHAnsi" w:hAnsiTheme="minorHAnsi" w:cstheme="minorHAnsi"/>
                <w:noProof w:val="0"/>
                <w:sz w:val="24"/>
                <w:szCs w:val="24"/>
              </w:rPr>
              <w:t>Judecătorii</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41E86E4"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2313</w:t>
            </w:r>
          </w:p>
        </w:tc>
        <w:tc>
          <w:tcPr>
            <w:tcW w:w="9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229A602"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2313</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2D268A7" w14:textId="5383B6BA" w:rsidR="007E279F" w:rsidRPr="000C5356" w:rsidRDefault="007E279F" w:rsidP="007E279F">
            <w:pPr>
              <w:spacing w:line="276" w:lineRule="auto"/>
              <w:jc w:val="center"/>
              <w:rPr>
                <w:rFonts w:asciiTheme="minorHAnsi" w:hAnsiTheme="minorHAnsi" w:cstheme="minorHAnsi"/>
                <w:noProof w:val="0"/>
                <w:sz w:val="20"/>
              </w:rPr>
            </w:pPr>
            <w:r w:rsidRPr="000C5356">
              <w:rPr>
                <w:rFonts w:asciiTheme="minorHAnsi" w:hAnsiTheme="minorHAnsi" w:cstheme="minorHAnsi"/>
                <w:noProof w:val="0"/>
                <w:sz w:val="20"/>
              </w:rPr>
              <w:t>231</w:t>
            </w:r>
            <w:r w:rsidR="00DD37D3" w:rsidRPr="000C5356">
              <w:rPr>
                <w:rFonts w:asciiTheme="minorHAnsi" w:hAnsiTheme="minorHAnsi" w:cstheme="minorHAnsi"/>
                <w:noProof w:val="0"/>
                <w:sz w:val="20"/>
              </w:rPr>
              <w:t>8</w:t>
            </w:r>
          </w:p>
        </w:tc>
        <w:tc>
          <w:tcPr>
            <w:tcW w:w="9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D05A4E8"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1597</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C945B1C"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1600</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277FA58" w14:textId="001484AD" w:rsidR="007E279F" w:rsidRPr="000C5356" w:rsidRDefault="007E279F" w:rsidP="007E279F">
            <w:pPr>
              <w:spacing w:line="276" w:lineRule="auto"/>
              <w:jc w:val="center"/>
              <w:rPr>
                <w:rFonts w:asciiTheme="minorHAnsi" w:hAnsiTheme="minorHAnsi" w:cstheme="minorHAnsi"/>
                <w:noProof w:val="0"/>
                <w:sz w:val="20"/>
              </w:rPr>
            </w:pPr>
            <w:r w:rsidRPr="000C5356">
              <w:rPr>
                <w:rFonts w:asciiTheme="minorHAnsi" w:hAnsiTheme="minorHAnsi" w:cstheme="minorHAnsi"/>
                <w:noProof w:val="0"/>
                <w:sz w:val="20"/>
              </w:rPr>
              <w:t>20</w:t>
            </w:r>
            <w:r w:rsidR="00064A98" w:rsidRPr="000C5356">
              <w:rPr>
                <w:rFonts w:asciiTheme="minorHAnsi" w:hAnsiTheme="minorHAnsi" w:cstheme="minorHAnsi"/>
                <w:noProof w:val="0"/>
                <w:sz w:val="20"/>
              </w:rPr>
              <w:t>18</w:t>
            </w:r>
          </w:p>
        </w:tc>
        <w:tc>
          <w:tcPr>
            <w:tcW w:w="9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FCBCC26"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716</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863A0E7"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713</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1208240" w14:textId="14FCC850" w:rsidR="007E279F" w:rsidRPr="0088378C" w:rsidRDefault="00064A98" w:rsidP="007E279F">
            <w:pPr>
              <w:spacing w:line="276" w:lineRule="auto"/>
              <w:jc w:val="center"/>
              <w:rPr>
                <w:rFonts w:asciiTheme="minorHAnsi" w:hAnsiTheme="minorHAnsi" w:cstheme="minorHAnsi"/>
                <w:noProof w:val="0"/>
                <w:sz w:val="20"/>
              </w:rPr>
            </w:pPr>
            <w:r w:rsidRPr="0088378C">
              <w:rPr>
                <w:rFonts w:asciiTheme="minorHAnsi" w:hAnsiTheme="minorHAnsi" w:cstheme="minorHAnsi"/>
                <w:noProof w:val="0"/>
                <w:sz w:val="20"/>
              </w:rPr>
              <w:t>300</w:t>
            </w:r>
          </w:p>
        </w:tc>
      </w:tr>
      <w:tr w:rsidR="00AA0B49" w:rsidRPr="007E279F" w14:paraId="172EEB60" w14:textId="77777777" w:rsidTr="00AA0B49">
        <w:trPr>
          <w:jc w:val="center"/>
        </w:trPr>
        <w:tc>
          <w:tcPr>
            <w:tcW w:w="142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B4337A7" w14:textId="77777777" w:rsidR="007E279F" w:rsidRPr="007E279F" w:rsidRDefault="007E279F" w:rsidP="007E279F">
            <w:pPr>
              <w:spacing w:line="276" w:lineRule="auto"/>
              <w:jc w:val="center"/>
              <w:rPr>
                <w:rFonts w:asciiTheme="minorHAnsi" w:hAnsiTheme="minorHAnsi" w:cstheme="minorHAnsi"/>
                <w:noProof w:val="0"/>
                <w:sz w:val="24"/>
                <w:szCs w:val="24"/>
              </w:rPr>
            </w:pPr>
            <w:r w:rsidRPr="007E279F">
              <w:rPr>
                <w:rFonts w:asciiTheme="minorHAnsi" w:hAnsiTheme="minorHAnsi" w:cstheme="minorHAnsi"/>
                <w:b/>
                <w:noProof w:val="0"/>
                <w:sz w:val="24"/>
                <w:szCs w:val="24"/>
              </w:rPr>
              <w:t>Total</w:t>
            </w:r>
            <w:r w:rsidRPr="007E279F">
              <w:rPr>
                <w:rFonts w:asciiTheme="minorHAnsi" w:hAnsiTheme="minorHAnsi" w:cstheme="minorHAnsi"/>
                <w:b/>
                <w:noProof w:val="0"/>
                <w:sz w:val="24"/>
                <w:szCs w:val="24"/>
                <w:vertAlign w:val="superscript"/>
              </w:rPr>
              <w:t>*</w:t>
            </w:r>
          </w:p>
        </w:tc>
        <w:tc>
          <w:tcPr>
            <w:tcW w:w="10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CBAB810"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5066</w:t>
            </w:r>
          </w:p>
        </w:tc>
        <w:tc>
          <w:tcPr>
            <w:tcW w:w="9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2343912"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5066</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87E39BC" w14:textId="1D84B010" w:rsidR="007E279F" w:rsidRPr="000C5356" w:rsidRDefault="007E279F" w:rsidP="007E279F">
            <w:pPr>
              <w:spacing w:line="276" w:lineRule="auto"/>
              <w:jc w:val="center"/>
              <w:rPr>
                <w:rFonts w:asciiTheme="minorHAnsi" w:hAnsiTheme="minorHAnsi" w:cstheme="minorHAnsi"/>
                <w:noProof w:val="0"/>
                <w:sz w:val="20"/>
              </w:rPr>
            </w:pPr>
            <w:r w:rsidRPr="000C5356">
              <w:rPr>
                <w:rFonts w:asciiTheme="minorHAnsi" w:hAnsiTheme="minorHAnsi" w:cstheme="minorHAnsi"/>
                <w:noProof w:val="0"/>
                <w:sz w:val="20"/>
              </w:rPr>
              <w:t>507</w:t>
            </w:r>
            <w:r w:rsidR="00DD37D3" w:rsidRPr="000C5356">
              <w:rPr>
                <w:rFonts w:asciiTheme="minorHAnsi" w:hAnsiTheme="minorHAnsi" w:cstheme="minorHAnsi"/>
                <w:noProof w:val="0"/>
                <w:sz w:val="20"/>
              </w:rPr>
              <w:t>1</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D79C51A"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3902</w:t>
            </w:r>
          </w:p>
        </w:tc>
        <w:tc>
          <w:tcPr>
            <w:tcW w:w="9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38B4E30"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3903</w:t>
            </w:r>
          </w:p>
        </w:tc>
        <w:tc>
          <w:tcPr>
            <w:tcW w:w="9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24355D1" w14:textId="1797ED5F" w:rsidR="007E279F" w:rsidRPr="000C5356" w:rsidRDefault="007E279F" w:rsidP="007E279F">
            <w:pPr>
              <w:spacing w:line="276" w:lineRule="auto"/>
              <w:jc w:val="center"/>
              <w:rPr>
                <w:rFonts w:asciiTheme="minorHAnsi" w:hAnsiTheme="minorHAnsi" w:cstheme="minorHAnsi"/>
                <w:noProof w:val="0"/>
                <w:sz w:val="20"/>
              </w:rPr>
            </w:pPr>
            <w:r w:rsidRPr="000C5356">
              <w:rPr>
                <w:rFonts w:asciiTheme="minorHAnsi" w:hAnsiTheme="minorHAnsi" w:cstheme="minorHAnsi"/>
                <w:noProof w:val="0"/>
                <w:sz w:val="20"/>
              </w:rPr>
              <w:t>4</w:t>
            </w:r>
            <w:r w:rsidR="00064A98" w:rsidRPr="000C5356">
              <w:rPr>
                <w:rFonts w:asciiTheme="minorHAnsi" w:hAnsiTheme="minorHAnsi" w:cstheme="minorHAnsi"/>
                <w:noProof w:val="0"/>
                <w:sz w:val="20"/>
              </w:rPr>
              <w:t>251</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C3FE640"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1164</w:t>
            </w:r>
          </w:p>
        </w:tc>
        <w:tc>
          <w:tcPr>
            <w:tcW w:w="9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A710F59" w14:textId="77777777" w:rsidR="007E279F" w:rsidRPr="007E279F" w:rsidRDefault="007E279F" w:rsidP="007E279F">
            <w:pPr>
              <w:spacing w:line="276" w:lineRule="auto"/>
              <w:jc w:val="center"/>
              <w:rPr>
                <w:rFonts w:asciiTheme="minorHAnsi" w:hAnsiTheme="minorHAnsi" w:cstheme="minorHAnsi"/>
                <w:noProof w:val="0"/>
                <w:sz w:val="20"/>
              </w:rPr>
            </w:pPr>
            <w:r w:rsidRPr="007E279F">
              <w:rPr>
                <w:rFonts w:asciiTheme="minorHAnsi" w:hAnsiTheme="minorHAnsi" w:cstheme="minorHAnsi"/>
                <w:noProof w:val="0"/>
                <w:sz w:val="20"/>
              </w:rPr>
              <w:t>1163</w:t>
            </w:r>
          </w:p>
        </w:tc>
        <w:tc>
          <w:tcPr>
            <w:tcW w:w="10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E66C20B" w14:textId="25675A85" w:rsidR="007E279F" w:rsidRPr="0088378C" w:rsidRDefault="00064A98" w:rsidP="007E279F">
            <w:pPr>
              <w:spacing w:line="276" w:lineRule="auto"/>
              <w:jc w:val="center"/>
              <w:rPr>
                <w:rFonts w:asciiTheme="minorHAnsi" w:hAnsiTheme="minorHAnsi" w:cstheme="minorHAnsi"/>
                <w:noProof w:val="0"/>
                <w:sz w:val="20"/>
              </w:rPr>
            </w:pPr>
            <w:r w:rsidRPr="0088378C">
              <w:rPr>
                <w:rFonts w:asciiTheme="minorHAnsi" w:hAnsiTheme="minorHAnsi" w:cstheme="minorHAnsi"/>
                <w:noProof w:val="0"/>
                <w:sz w:val="20"/>
              </w:rPr>
              <w:t>820</w:t>
            </w:r>
          </w:p>
        </w:tc>
      </w:tr>
    </w:tbl>
    <w:p w14:paraId="3A7E1413" w14:textId="77777777" w:rsidR="00E157CE" w:rsidRPr="004A72CD" w:rsidRDefault="00E157CE"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*Modificarea numărului de posturi prevăzute în schema instanţelor rezultă din alocarea/restuituirea de posturi în fondul de rezervă, în condiţiile art. 147</w:t>
      </w:r>
      <w:r w:rsidRPr="004A72CD">
        <w:rPr>
          <w:rFonts w:asciiTheme="minorHAnsi" w:hAnsiTheme="minorHAnsi" w:cstheme="minorHAnsi"/>
          <w:sz w:val="26"/>
          <w:szCs w:val="26"/>
          <w:vertAlign w:val="superscript"/>
        </w:rPr>
        <w:t xml:space="preserve"> </w:t>
      </w:r>
      <w:r w:rsidRPr="004A72CD">
        <w:rPr>
          <w:rFonts w:asciiTheme="minorHAnsi" w:hAnsiTheme="minorHAnsi" w:cstheme="minorHAnsi"/>
          <w:sz w:val="26"/>
          <w:szCs w:val="26"/>
        </w:rPr>
        <w:t xml:space="preserve">din Legea </w:t>
      </w:r>
      <w:r w:rsidRPr="004A72CD">
        <w:rPr>
          <w:rFonts w:asciiTheme="minorHAnsi" w:hAnsiTheme="minorHAnsi" w:cstheme="minorHAnsi"/>
          <w:sz w:val="26"/>
          <w:szCs w:val="26"/>
        </w:rPr>
        <w:br/>
        <w:t>nr. 304/2022</w:t>
      </w:r>
      <w:r w:rsidRPr="004A72CD">
        <w:rPr>
          <w:rFonts w:asciiTheme="minorHAnsi" w:eastAsiaTheme="minorHAnsi" w:hAnsiTheme="minorHAnsi" w:cstheme="minorHAnsi"/>
          <w:sz w:val="26"/>
          <w:szCs w:val="26"/>
        </w:rPr>
        <w:t xml:space="preserve"> </w:t>
      </w:r>
      <w:r w:rsidRPr="004A72CD">
        <w:rPr>
          <w:rFonts w:asciiTheme="minorHAnsi" w:hAnsiTheme="minorHAnsi" w:cstheme="minorHAnsi"/>
          <w:sz w:val="26"/>
          <w:szCs w:val="26"/>
        </w:rPr>
        <w:t>privind organizarea judiciară.</w:t>
      </w:r>
    </w:p>
    <w:p w14:paraId="350CEFDC" w14:textId="56127005" w:rsidR="00E157CE" w:rsidRPr="004A72CD" w:rsidRDefault="007B6ECF" w:rsidP="001E012E">
      <w:pPr>
        <w:spacing w:line="276" w:lineRule="auto"/>
        <w:jc w:val="center"/>
        <w:rPr>
          <w:rFonts w:asciiTheme="minorHAnsi" w:hAnsiTheme="minorHAnsi" w:cstheme="minorHAnsi"/>
          <w:color w:val="00B050"/>
          <w:sz w:val="26"/>
          <w:szCs w:val="26"/>
        </w:rPr>
      </w:pPr>
      <w:r w:rsidRPr="00723912">
        <w:rPr>
          <w:rFonts w:cs="Calibri"/>
          <w:color w:val="FF0000"/>
          <w:sz w:val="26"/>
          <w:szCs w:val="26"/>
          <w:lang w:eastAsia="ro-RO"/>
        </w:rPr>
        <w:lastRenderedPageBreak/>
        <w:drawing>
          <wp:inline distT="0" distB="0" distL="0" distR="0" wp14:anchorId="1C605C64" wp14:editId="75DA8569">
            <wp:extent cx="5731510" cy="2790825"/>
            <wp:effectExtent l="0" t="0" r="2540" b="0"/>
            <wp:docPr id="1297625875" name="Chart 129762587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8F1A6BB" w14:textId="44096083" w:rsidR="00E157CE" w:rsidRPr="006B7D32" w:rsidRDefault="00E157CE" w:rsidP="00D51F5A">
      <w:pPr>
        <w:spacing w:line="276" w:lineRule="auto"/>
        <w:ind w:firstLine="708"/>
        <w:jc w:val="both"/>
        <w:rPr>
          <w:rFonts w:asciiTheme="minorHAnsi" w:hAnsiTheme="minorHAnsi" w:cstheme="minorHAnsi"/>
          <w:sz w:val="26"/>
          <w:szCs w:val="26"/>
        </w:rPr>
      </w:pPr>
      <w:r w:rsidRPr="006B7D32">
        <w:rPr>
          <w:rFonts w:asciiTheme="minorHAnsi" w:hAnsiTheme="minorHAnsi" w:cstheme="minorHAnsi"/>
          <w:sz w:val="26"/>
          <w:szCs w:val="26"/>
        </w:rPr>
        <w:t xml:space="preserve">Astfel, la data de </w:t>
      </w:r>
      <w:r w:rsidR="007B6ECF">
        <w:rPr>
          <w:rFonts w:asciiTheme="minorHAnsi" w:hAnsiTheme="minorHAnsi" w:cstheme="minorHAnsi"/>
          <w:sz w:val="26"/>
          <w:szCs w:val="26"/>
        </w:rPr>
        <w:t>3</w:t>
      </w:r>
      <w:r w:rsidRPr="006B7D32">
        <w:rPr>
          <w:rFonts w:asciiTheme="minorHAnsi" w:hAnsiTheme="minorHAnsi" w:cstheme="minorHAnsi"/>
          <w:sz w:val="26"/>
          <w:szCs w:val="26"/>
        </w:rPr>
        <w:t xml:space="preserve">1 </w:t>
      </w:r>
      <w:r w:rsidR="007B6ECF">
        <w:rPr>
          <w:rFonts w:asciiTheme="minorHAnsi" w:hAnsiTheme="minorHAnsi" w:cstheme="minorHAnsi"/>
          <w:sz w:val="26"/>
          <w:szCs w:val="26"/>
        </w:rPr>
        <w:t>decembrie</w:t>
      </w:r>
      <w:r w:rsidRPr="006B7D32">
        <w:rPr>
          <w:rFonts w:asciiTheme="minorHAnsi" w:hAnsiTheme="minorHAnsi" w:cstheme="minorHAnsi"/>
          <w:sz w:val="26"/>
          <w:szCs w:val="26"/>
        </w:rPr>
        <w:t xml:space="preserve"> 2024, din totalul de 507</w:t>
      </w:r>
      <w:r w:rsidR="007B6ECF">
        <w:rPr>
          <w:rFonts w:asciiTheme="minorHAnsi" w:hAnsiTheme="minorHAnsi" w:cstheme="minorHAnsi"/>
          <w:sz w:val="26"/>
          <w:szCs w:val="26"/>
        </w:rPr>
        <w:t>1</w:t>
      </w:r>
      <w:r w:rsidRPr="006B7D32">
        <w:rPr>
          <w:rFonts w:asciiTheme="minorHAnsi" w:hAnsiTheme="minorHAnsi" w:cstheme="minorHAnsi"/>
          <w:sz w:val="26"/>
          <w:szCs w:val="26"/>
        </w:rPr>
        <w:t xml:space="preserve"> de posturi (cu luarea în considerare a posturilor alocate din fondul de rezervă în condiţiile art. 147 din Legea nr. 304/2022</w:t>
      </w:r>
      <w:r w:rsidRPr="006B7D32">
        <w:rPr>
          <w:rFonts w:asciiTheme="minorHAnsi" w:eastAsiaTheme="minorHAnsi" w:hAnsiTheme="minorHAnsi" w:cstheme="minorHAnsi"/>
          <w:sz w:val="26"/>
          <w:szCs w:val="26"/>
        </w:rPr>
        <w:t xml:space="preserve"> </w:t>
      </w:r>
      <w:r w:rsidRPr="006B7D32">
        <w:rPr>
          <w:rFonts w:asciiTheme="minorHAnsi" w:hAnsiTheme="minorHAnsi" w:cstheme="minorHAnsi"/>
          <w:sz w:val="26"/>
          <w:szCs w:val="26"/>
        </w:rPr>
        <w:t xml:space="preserve">privind organizarea judiciară) </w:t>
      </w:r>
      <w:r w:rsidRPr="006B7D32">
        <w:rPr>
          <w:rFonts w:asciiTheme="minorHAnsi" w:hAnsiTheme="minorHAnsi" w:cstheme="minorHAnsi"/>
          <w:bCs/>
          <w:sz w:val="26"/>
          <w:szCs w:val="26"/>
        </w:rPr>
        <w:t>sunt ocupate 42</w:t>
      </w:r>
      <w:r w:rsidR="007B6ECF">
        <w:rPr>
          <w:rFonts w:asciiTheme="minorHAnsi" w:hAnsiTheme="minorHAnsi" w:cstheme="minorHAnsi"/>
          <w:bCs/>
          <w:sz w:val="26"/>
          <w:szCs w:val="26"/>
        </w:rPr>
        <w:t>51</w:t>
      </w:r>
      <w:r w:rsidRPr="006B7D32">
        <w:rPr>
          <w:rFonts w:asciiTheme="minorHAnsi" w:hAnsiTheme="minorHAnsi" w:cstheme="minorHAnsi"/>
          <w:bCs/>
          <w:sz w:val="26"/>
          <w:szCs w:val="26"/>
        </w:rPr>
        <w:t xml:space="preserve"> de posturi de judecător, iar </w:t>
      </w:r>
      <w:r w:rsidR="005A7F87">
        <w:rPr>
          <w:rFonts w:asciiTheme="minorHAnsi" w:hAnsiTheme="minorHAnsi" w:cstheme="minorHAnsi"/>
          <w:bCs/>
          <w:sz w:val="26"/>
          <w:szCs w:val="26"/>
        </w:rPr>
        <w:t>820</w:t>
      </w:r>
      <w:r w:rsidRPr="006B7D32">
        <w:rPr>
          <w:rFonts w:asciiTheme="minorHAnsi" w:hAnsiTheme="minorHAnsi" w:cstheme="minorHAnsi"/>
          <w:bCs/>
          <w:sz w:val="26"/>
          <w:szCs w:val="26"/>
        </w:rPr>
        <w:t xml:space="preserve"> de posturi sunt vacante.</w:t>
      </w:r>
      <w:r w:rsidR="008117CA" w:rsidRPr="006B7D32">
        <w:rPr>
          <w:rFonts w:asciiTheme="minorHAnsi" w:hAnsiTheme="minorHAnsi" w:cstheme="minorHAnsi"/>
          <w:bCs/>
          <w:sz w:val="26"/>
          <w:szCs w:val="26"/>
        </w:rPr>
        <w:t xml:space="preserve"> </w:t>
      </w:r>
    </w:p>
    <w:p w14:paraId="79963CFB" w14:textId="3F76BBFD" w:rsidR="00E157CE" w:rsidRPr="006B7D32" w:rsidRDefault="00E157CE" w:rsidP="00D51F5A">
      <w:pPr>
        <w:spacing w:line="276" w:lineRule="auto"/>
        <w:ind w:firstLine="708"/>
        <w:jc w:val="both"/>
        <w:rPr>
          <w:rFonts w:asciiTheme="minorHAnsi" w:hAnsiTheme="minorHAnsi" w:cstheme="minorHAnsi"/>
          <w:bCs/>
          <w:sz w:val="26"/>
          <w:szCs w:val="26"/>
        </w:rPr>
      </w:pPr>
      <w:r w:rsidRPr="006B7D32">
        <w:rPr>
          <w:rFonts w:asciiTheme="minorHAnsi" w:hAnsiTheme="minorHAnsi" w:cstheme="minorHAnsi"/>
          <w:bCs/>
          <w:sz w:val="26"/>
          <w:szCs w:val="26"/>
        </w:rPr>
        <w:t>Potrivit datelor de mai sus, se constată o creştere a gradului de ocupare (8</w:t>
      </w:r>
      <w:r w:rsidR="005A7F87">
        <w:rPr>
          <w:rFonts w:asciiTheme="minorHAnsi" w:hAnsiTheme="minorHAnsi" w:cstheme="minorHAnsi"/>
          <w:bCs/>
          <w:sz w:val="26"/>
          <w:szCs w:val="26"/>
        </w:rPr>
        <w:t>3</w:t>
      </w:r>
      <w:r w:rsidRPr="006B7D32">
        <w:rPr>
          <w:rFonts w:asciiTheme="minorHAnsi" w:hAnsiTheme="minorHAnsi" w:cstheme="minorHAnsi"/>
          <w:bCs/>
          <w:sz w:val="26"/>
          <w:szCs w:val="26"/>
        </w:rPr>
        <w:t>%), comparativ cu gradul de ocupare înregistrat la începutul anului 2024 (77%), în special la nivelul judecătoriilor.</w:t>
      </w:r>
    </w:p>
    <w:p w14:paraId="13AE5C5A" w14:textId="56E1886E" w:rsidR="00E157CE" w:rsidRPr="006B7D32" w:rsidRDefault="00E157CE" w:rsidP="00D51F5A">
      <w:pPr>
        <w:spacing w:line="276" w:lineRule="auto"/>
        <w:ind w:firstLine="708"/>
        <w:jc w:val="both"/>
        <w:rPr>
          <w:rFonts w:asciiTheme="minorHAnsi" w:hAnsiTheme="minorHAnsi" w:cstheme="minorHAnsi"/>
          <w:sz w:val="26"/>
          <w:szCs w:val="26"/>
        </w:rPr>
      </w:pPr>
      <w:r w:rsidRPr="006B7D32">
        <w:rPr>
          <w:rFonts w:asciiTheme="minorHAnsi" w:hAnsiTheme="minorHAnsi" w:cstheme="minorHAnsi"/>
          <w:sz w:val="26"/>
          <w:szCs w:val="26"/>
        </w:rPr>
        <w:t xml:space="preserve">Din totalul judecătorilor în funcţie, cu luarea în calcul inclusiv a acelor judecători care ocupă pe perioadă nedeterminată posturi temporar vacante în condiţiile art. 147 din lege, la data de </w:t>
      </w:r>
      <w:r w:rsidR="005A7F87">
        <w:rPr>
          <w:rFonts w:asciiTheme="minorHAnsi" w:hAnsiTheme="minorHAnsi" w:cstheme="minorHAnsi"/>
          <w:sz w:val="26"/>
          <w:szCs w:val="26"/>
        </w:rPr>
        <w:t>3</w:t>
      </w:r>
      <w:r w:rsidRPr="006B7D32">
        <w:rPr>
          <w:rFonts w:asciiTheme="minorHAnsi" w:hAnsiTheme="minorHAnsi" w:cstheme="minorHAnsi"/>
          <w:sz w:val="26"/>
          <w:szCs w:val="26"/>
        </w:rPr>
        <w:t xml:space="preserve">1 </w:t>
      </w:r>
      <w:r w:rsidR="005A7F87">
        <w:rPr>
          <w:rFonts w:asciiTheme="minorHAnsi" w:hAnsiTheme="minorHAnsi" w:cstheme="minorHAnsi"/>
          <w:sz w:val="26"/>
          <w:szCs w:val="26"/>
        </w:rPr>
        <w:t>decembrie</w:t>
      </w:r>
      <w:r w:rsidRPr="006B7D32">
        <w:rPr>
          <w:rFonts w:asciiTheme="minorHAnsi" w:hAnsiTheme="minorHAnsi" w:cstheme="minorHAnsi"/>
          <w:sz w:val="26"/>
          <w:szCs w:val="26"/>
        </w:rPr>
        <w:t xml:space="preserve"> 2024, 32</w:t>
      </w:r>
      <w:r w:rsidR="005A7F87">
        <w:rPr>
          <w:rFonts w:asciiTheme="minorHAnsi" w:hAnsiTheme="minorHAnsi" w:cstheme="minorHAnsi"/>
          <w:sz w:val="26"/>
          <w:szCs w:val="26"/>
        </w:rPr>
        <w:t>2</w:t>
      </w:r>
      <w:r w:rsidR="00E155A6">
        <w:rPr>
          <w:rFonts w:asciiTheme="minorHAnsi" w:hAnsiTheme="minorHAnsi" w:cstheme="minorHAnsi"/>
          <w:sz w:val="26"/>
          <w:szCs w:val="26"/>
        </w:rPr>
        <w:t>1</w:t>
      </w:r>
      <w:r w:rsidRPr="006B7D32">
        <w:rPr>
          <w:rFonts w:asciiTheme="minorHAnsi" w:hAnsiTheme="minorHAnsi" w:cstheme="minorHAnsi"/>
          <w:sz w:val="26"/>
          <w:szCs w:val="26"/>
        </w:rPr>
        <w:t xml:space="preserve"> de judecători sunt femei și 12</w:t>
      </w:r>
      <w:r w:rsidR="00E155A6">
        <w:rPr>
          <w:rFonts w:asciiTheme="minorHAnsi" w:hAnsiTheme="minorHAnsi" w:cstheme="minorHAnsi"/>
          <w:sz w:val="26"/>
          <w:szCs w:val="26"/>
        </w:rPr>
        <w:t>36</w:t>
      </w:r>
      <w:r w:rsidRPr="006B7D32">
        <w:rPr>
          <w:rFonts w:asciiTheme="minorHAnsi" w:hAnsiTheme="minorHAnsi" w:cstheme="minorHAnsi"/>
          <w:sz w:val="26"/>
          <w:szCs w:val="26"/>
        </w:rPr>
        <w:t xml:space="preserve"> de judecători sunt bărbați. </w:t>
      </w:r>
    </w:p>
    <w:p w14:paraId="2BEB8925" w14:textId="67821C97" w:rsidR="00E157CE" w:rsidRPr="004A72CD" w:rsidRDefault="00E157CE" w:rsidP="001E012E">
      <w:pPr>
        <w:spacing w:line="276" w:lineRule="auto"/>
        <w:ind w:firstLine="709"/>
        <w:jc w:val="both"/>
        <w:rPr>
          <w:rFonts w:asciiTheme="minorHAnsi" w:hAnsiTheme="minorHAnsi" w:cstheme="minorHAnsi"/>
          <w:b/>
          <w:sz w:val="26"/>
          <w:szCs w:val="26"/>
        </w:rPr>
      </w:pPr>
      <w:r w:rsidRPr="004A72CD">
        <w:rPr>
          <w:rFonts w:asciiTheme="minorHAnsi" w:hAnsiTheme="minorHAnsi" w:cstheme="minorHAnsi"/>
          <w:b/>
          <w:sz w:val="26"/>
          <w:szCs w:val="26"/>
        </w:rPr>
        <w:t>E.2. Procurori</w:t>
      </w:r>
    </w:p>
    <w:p w14:paraId="05F91B86" w14:textId="528975A1" w:rsidR="00E157CE" w:rsidRPr="004A72CD" w:rsidRDefault="00E157CE" w:rsidP="00D51F5A">
      <w:pPr>
        <w:spacing w:line="276" w:lineRule="auto"/>
        <w:jc w:val="both"/>
        <w:rPr>
          <w:rFonts w:asciiTheme="minorHAnsi" w:hAnsiTheme="minorHAnsi" w:cstheme="minorHAnsi"/>
          <w:sz w:val="26"/>
          <w:szCs w:val="26"/>
        </w:rPr>
      </w:pPr>
      <w:r w:rsidRPr="004A72CD">
        <w:rPr>
          <w:rFonts w:asciiTheme="minorHAnsi" w:hAnsiTheme="minorHAnsi" w:cstheme="minorHAnsi"/>
          <w:b/>
          <w:sz w:val="26"/>
          <w:szCs w:val="26"/>
        </w:rPr>
        <w:tab/>
      </w:r>
      <w:bookmarkStart w:id="78" w:name="_Hlk152922924"/>
      <w:r w:rsidRPr="004A72CD">
        <w:rPr>
          <w:rFonts w:asciiTheme="minorHAnsi" w:hAnsiTheme="minorHAnsi" w:cstheme="minorHAnsi"/>
          <w:sz w:val="26"/>
          <w:szCs w:val="26"/>
        </w:rPr>
        <w:t xml:space="preserve">Până la data de </w:t>
      </w:r>
      <w:r w:rsidR="008A2E14">
        <w:rPr>
          <w:rFonts w:asciiTheme="minorHAnsi" w:hAnsiTheme="minorHAnsi" w:cstheme="minorHAnsi"/>
          <w:sz w:val="26"/>
          <w:szCs w:val="26"/>
        </w:rPr>
        <w:t xml:space="preserve">31 decembrie </w:t>
      </w:r>
      <w:r w:rsidRPr="006B7D32">
        <w:rPr>
          <w:rFonts w:asciiTheme="minorHAnsi" w:hAnsiTheme="minorHAnsi" w:cstheme="minorHAnsi"/>
          <w:sz w:val="26"/>
          <w:szCs w:val="26"/>
        </w:rPr>
        <w:t xml:space="preserve">2024 </w:t>
      </w:r>
      <w:r w:rsidRPr="004A72CD">
        <w:rPr>
          <w:rFonts w:asciiTheme="minorHAnsi" w:hAnsiTheme="minorHAnsi" w:cstheme="minorHAnsi"/>
          <w:sz w:val="26"/>
          <w:szCs w:val="26"/>
        </w:rPr>
        <w:t xml:space="preserve">inclusiv, </w:t>
      </w:r>
      <w:r w:rsidRPr="006B7D32">
        <w:rPr>
          <w:rFonts w:asciiTheme="minorHAnsi" w:hAnsiTheme="minorHAnsi" w:cstheme="minorHAnsi"/>
          <w:bCs/>
          <w:sz w:val="26"/>
          <w:szCs w:val="26"/>
        </w:rPr>
        <w:t>au fost eliberate din funcția de procuror, prin decrete ale Preşedintelui României, un număr de</w:t>
      </w:r>
      <w:r w:rsidRPr="004A72CD">
        <w:rPr>
          <w:rFonts w:asciiTheme="minorHAnsi" w:hAnsiTheme="minorHAnsi" w:cstheme="minorHAnsi"/>
          <w:b/>
          <w:sz w:val="26"/>
          <w:szCs w:val="26"/>
        </w:rPr>
        <w:t xml:space="preserve"> </w:t>
      </w:r>
      <w:r w:rsidR="002B0557" w:rsidRPr="006B7D32">
        <w:rPr>
          <w:rFonts w:asciiTheme="minorHAnsi" w:hAnsiTheme="minorHAnsi" w:cstheme="minorHAnsi"/>
          <w:bCs/>
          <w:sz w:val="26"/>
          <w:szCs w:val="26"/>
        </w:rPr>
        <w:t>1</w:t>
      </w:r>
      <w:r w:rsidR="008A2E14">
        <w:rPr>
          <w:rFonts w:asciiTheme="minorHAnsi" w:hAnsiTheme="minorHAnsi" w:cstheme="minorHAnsi"/>
          <w:bCs/>
          <w:sz w:val="26"/>
          <w:szCs w:val="26"/>
        </w:rPr>
        <w:t>15</w:t>
      </w:r>
      <w:r w:rsidRPr="006B7D32">
        <w:rPr>
          <w:rFonts w:asciiTheme="minorHAnsi" w:hAnsiTheme="minorHAnsi" w:cstheme="minorHAnsi"/>
          <w:bCs/>
          <w:sz w:val="26"/>
          <w:szCs w:val="26"/>
        </w:rPr>
        <w:t xml:space="preserve"> persoane</w:t>
      </w:r>
      <w:r w:rsidRPr="004A72CD">
        <w:rPr>
          <w:rFonts w:asciiTheme="minorHAnsi" w:hAnsiTheme="minorHAnsi" w:cstheme="minorHAnsi"/>
          <w:b/>
          <w:sz w:val="26"/>
          <w:szCs w:val="26"/>
        </w:rPr>
        <w:t xml:space="preserve">, </w:t>
      </w:r>
      <w:r w:rsidRPr="004A72CD">
        <w:rPr>
          <w:rFonts w:asciiTheme="minorHAnsi" w:hAnsiTheme="minorHAnsi" w:cstheme="minorHAnsi"/>
          <w:sz w:val="26"/>
          <w:szCs w:val="26"/>
        </w:rPr>
        <w:t>după cum urmează:</w:t>
      </w:r>
    </w:p>
    <w:p w14:paraId="40A1974E" w14:textId="6099A3E8" w:rsidR="00E157CE" w:rsidRPr="006B7D32" w:rsidRDefault="008A2E14">
      <w:pPr>
        <w:numPr>
          <w:ilvl w:val="0"/>
          <w:numId w:val="34"/>
        </w:numPr>
        <w:spacing w:line="276" w:lineRule="auto"/>
        <w:contextualSpacing/>
        <w:jc w:val="both"/>
        <w:rPr>
          <w:rFonts w:asciiTheme="minorHAnsi" w:eastAsia="Calibri" w:hAnsiTheme="minorHAnsi" w:cstheme="minorHAnsi"/>
          <w:sz w:val="26"/>
          <w:szCs w:val="26"/>
        </w:rPr>
      </w:pPr>
      <w:r>
        <w:rPr>
          <w:rFonts w:asciiTheme="minorHAnsi" w:eastAsia="Calibri" w:hAnsiTheme="minorHAnsi" w:cstheme="minorHAnsi"/>
          <w:b/>
          <w:sz w:val="26"/>
          <w:szCs w:val="26"/>
        </w:rPr>
        <w:t>82</w:t>
      </w:r>
      <w:r w:rsidR="00E157CE" w:rsidRPr="006B7D32">
        <w:rPr>
          <w:rFonts w:asciiTheme="minorHAnsi" w:eastAsia="Calibri" w:hAnsiTheme="minorHAnsi" w:cstheme="minorHAnsi"/>
          <w:b/>
          <w:sz w:val="26"/>
          <w:szCs w:val="26"/>
        </w:rPr>
        <w:t xml:space="preserve"> </w:t>
      </w:r>
      <w:r w:rsidR="00E157CE" w:rsidRPr="006B7D32">
        <w:rPr>
          <w:rFonts w:asciiTheme="minorHAnsi" w:eastAsia="Calibri" w:hAnsiTheme="minorHAnsi" w:cstheme="minorHAnsi"/>
          <w:bCs/>
          <w:sz w:val="26"/>
          <w:szCs w:val="26"/>
        </w:rPr>
        <w:t xml:space="preserve">de </w:t>
      </w:r>
      <w:r w:rsidR="00E157CE" w:rsidRPr="006B7D32">
        <w:rPr>
          <w:rFonts w:asciiTheme="minorHAnsi" w:eastAsia="Calibri" w:hAnsiTheme="minorHAnsi" w:cstheme="minorHAnsi"/>
          <w:sz w:val="26"/>
          <w:szCs w:val="26"/>
        </w:rPr>
        <w:t>persoane, prin pensionare;</w:t>
      </w:r>
    </w:p>
    <w:p w14:paraId="12366AF3" w14:textId="3C9D5CC4" w:rsidR="00E157CE" w:rsidRPr="006B7D32" w:rsidRDefault="008A2E14">
      <w:pPr>
        <w:numPr>
          <w:ilvl w:val="0"/>
          <w:numId w:val="34"/>
        </w:numPr>
        <w:spacing w:line="276" w:lineRule="auto"/>
        <w:contextualSpacing/>
        <w:jc w:val="both"/>
        <w:rPr>
          <w:rFonts w:asciiTheme="minorHAnsi" w:eastAsia="Calibri" w:hAnsiTheme="minorHAnsi" w:cstheme="minorHAnsi"/>
          <w:sz w:val="26"/>
          <w:szCs w:val="26"/>
        </w:rPr>
      </w:pPr>
      <w:r>
        <w:rPr>
          <w:rFonts w:asciiTheme="minorHAnsi" w:eastAsia="Calibri" w:hAnsiTheme="minorHAnsi" w:cstheme="minorHAnsi"/>
          <w:b/>
          <w:sz w:val="26"/>
          <w:szCs w:val="26"/>
        </w:rPr>
        <w:t>3</w:t>
      </w:r>
      <w:r w:rsidR="00E157CE" w:rsidRPr="006B7D32">
        <w:rPr>
          <w:rFonts w:asciiTheme="minorHAnsi" w:eastAsia="Calibri" w:hAnsiTheme="minorHAnsi" w:cstheme="minorHAnsi"/>
          <w:b/>
          <w:sz w:val="26"/>
          <w:szCs w:val="26"/>
        </w:rPr>
        <w:t xml:space="preserve"> </w:t>
      </w:r>
      <w:r w:rsidR="00E157CE" w:rsidRPr="006B7D32">
        <w:rPr>
          <w:rFonts w:asciiTheme="minorHAnsi" w:eastAsia="Calibri" w:hAnsiTheme="minorHAnsi" w:cstheme="minorHAnsi"/>
          <w:sz w:val="26"/>
          <w:szCs w:val="26"/>
        </w:rPr>
        <w:t>persoane, ca urmare a demisiei;</w:t>
      </w:r>
    </w:p>
    <w:p w14:paraId="4CB19710" w14:textId="433411DA" w:rsidR="00E157CE" w:rsidRPr="006B7D32" w:rsidRDefault="00E157CE">
      <w:pPr>
        <w:numPr>
          <w:ilvl w:val="0"/>
          <w:numId w:val="34"/>
        </w:numPr>
        <w:spacing w:line="276" w:lineRule="auto"/>
        <w:contextualSpacing/>
        <w:jc w:val="both"/>
        <w:rPr>
          <w:rFonts w:asciiTheme="minorHAnsi" w:eastAsia="Calibri" w:hAnsiTheme="minorHAnsi" w:cstheme="minorHAnsi"/>
          <w:sz w:val="26"/>
          <w:szCs w:val="26"/>
        </w:rPr>
      </w:pPr>
      <w:r w:rsidRPr="006B7D32">
        <w:rPr>
          <w:rFonts w:asciiTheme="minorHAnsi" w:eastAsia="Calibri" w:hAnsiTheme="minorHAnsi" w:cstheme="minorHAnsi"/>
          <w:b/>
          <w:sz w:val="26"/>
          <w:szCs w:val="26"/>
        </w:rPr>
        <w:t>2</w:t>
      </w:r>
      <w:r w:rsidR="00F77F37" w:rsidRPr="006B7D32">
        <w:rPr>
          <w:rFonts w:asciiTheme="minorHAnsi" w:eastAsia="Calibri" w:hAnsiTheme="minorHAnsi" w:cstheme="minorHAnsi"/>
          <w:b/>
          <w:sz w:val="26"/>
          <w:szCs w:val="26"/>
        </w:rPr>
        <w:t>9</w:t>
      </w:r>
      <w:r w:rsidRPr="006B7D32">
        <w:rPr>
          <w:rFonts w:asciiTheme="minorHAnsi" w:eastAsia="Calibri" w:hAnsiTheme="minorHAnsi" w:cstheme="minorHAnsi"/>
          <w:b/>
          <w:sz w:val="26"/>
          <w:szCs w:val="26"/>
        </w:rPr>
        <w:t xml:space="preserve"> </w:t>
      </w:r>
      <w:r w:rsidRPr="006B7D32">
        <w:rPr>
          <w:rFonts w:asciiTheme="minorHAnsi" w:eastAsia="Calibri" w:hAnsiTheme="minorHAnsi" w:cstheme="minorHAnsi"/>
          <w:sz w:val="26"/>
          <w:szCs w:val="26"/>
        </w:rPr>
        <w:t>de persoane, ca urmare a numirii în funcția de judecător;</w:t>
      </w:r>
    </w:p>
    <w:p w14:paraId="53FD0FC9" w14:textId="77777777" w:rsidR="00E157CE" w:rsidRPr="006B7D32" w:rsidRDefault="00E157CE">
      <w:pPr>
        <w:numPr>
          <w:ilvl w:val="0"/>
          <w:numId w:val="34"/>
        </w:numPr>
        <w:spacing w:line="276" w:lineRule="auto"/>
        <w:contextualSpacing/>
        <w:rPr>
          <w:rFonts w:asciiTheme="minorHAnsi" w:hAnsiTheme="minorHAnsi" w:cstheme="minorHAnsi"/>
          <w:sz w:val="26"/>
          <w:szCs w:val="26"/>
        </w:rPr>
      </w:pPr>
      <w:r w:rsidRPr="006B7D32">
        <w:rPr>
          <w:rFonts w:asciiTheme="minorHAnsi" w:hAnsiTheme="minorHAnsi" w:cstheme="minorHAnsi"/>
          <w:b/>
          <w:sz w:val="26"/>
          <w:szCs w:val="26"/>
        </w:rPr>
        <w:t>1</w:t>
      </w:r>
      <w:r w:rsidRPr="006B7D32">
        <w:rPr>
          <w:rFonts w:asciiTheme="minorHAnsi" w:hAnsiTheme="minorHAnsi" w:cstheme="minorHAnsi"/>
          <w:sz w:val="26"/>
          <w:szCs w:val="26"/>
        </w:rPr>
        <w:t xml:space="preserve"> persoană, ca urmare a excluderii din magistratură.</w:t>
      </w:r>
    </w:p>
    <w:p w14:paraId="2E537D18" w14:textId="1B743D94" w:rsidR="00E157CE" w:rsidRPr="004A72CD" w:rsidRDefault="00E157CE"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Totodată, în cursul acestui an s-a</w:t>
      </w:r>
      <w:r w:rsidR="006B7D32">
        <w:rPr>
          <w:rFonts w:asciiTheme="minorHAnsi" w:hAnsiTheme="minorHAnsi" w:cstheme="minorHAnsi"/>
          <w:sz w:val="26"/>
          <w:szCs w:val="26"/>
        </w:rPr>
        <w:t>u</w:t>
      </w:r>
      <w:r w:rsidRPr="004A72CD">
        <w:rPr>
          <w:rFonts w:asciiTheme="minorHAnsi" w:hAnsiTheme="minorHAnsi" w:cstheme="minorHAnsi"/>
          <w:sz w:val="26"/>
          <w:szCs w:val="26"/>
        </w:rPr>
        <w:t xml:space="preserve"> vacantat </w:t>
      </w:r>
      <w:r w:rsidR="00F77F37" w:rsidRPr="006B7D32">
        <w:rPr>
          <w:rFonts w:asciiTheme="minorHAnsi" w:hAnsiTheme="minorHAnsi" w:cstheme="minorHAnsi"/>
          <w:sz w:val="26"/>
          <w:szCs w:val="26"/>
        </w:rPr>
        <w:t>2</w:t>
      </w:r>
      <w:r w:rsidRPr="006B7D32">
        <w:rPr>
          <w:rFonts w:asciiTheme="minorHAnsi" w:hAnsiTheme="minorHAnsi" w:cstheme="minorHAnsi"/>
          <w:sz w:val="26"/>
          <w:szCs w:val="26"/>
        </w:rPr>
        <w:t xml:space="preserve"> post</w:t>
      </w:r>
      <w:r w:rsidR="00F77F37" w:rsidRPr="006B7D32">
        <w:rPr>
          <w:rFonts w:asciiTheme="minorHAnsi" w:hAnsiTheme="minorHAnsi" w:cstheme="minorHAnsi"/>
          <w:sz w:val="26"/>
          <w:szCs w:val="26"/>
        </w:rPr>
        <w:t>uri</w:t>
      </w:r>
      <w:r w:rsidRPr="006B7D32">
        <w:rPr>
          <w:rFonts w:asciiTheme="minorHAnsi" w:hAnsiTheme="minorHAnsi" w:cstheme="minorHAnsi"/>
          <w:sz w:val="26"/>
          <w:szCs w:val="26"/>
        </w:rPr>
        <w:t xml:space="preserve">, </w:t>
      </w:r>
      <w:r w:rsidRPr="004A72CD">
        <w:rPr>
          <w:rFonts w:asciiTheme="minorHAnsi" w:hAnsiTheme="minorHAnsi" w:cstheme="minorHAnsi"/>
          <w:sz w:val="26"/>
          <w:szCs w:val="26"/>
        </w:rPr>
        <w:t>ca urmare a decesului un</w:t>
      </w:r>
      <w:r w:rsidR="00F77F37">
        <w:rPr>
          <w:rFonts w:asciiTheme="minorHAnsi" w:hAnsiTheme="minorHAnsi" w:cstheme="minorHAnsi"/>
          <w:sz w:val="26"/>
          <w:szCs w:val="26"/>
        </w:rPr>
        <w:t>or</w:t>
      </w:r>
      <w:r w:rsidRPr="004A72CD">
        <w:rPr>
          <w:rFonts w:asciiTheme="minorHAnsi" w:hAnsiTheme="minorHAnsi" w:cstheme="minorHAnsi"/>
          <w:sz w:val="26"/>
          <w:szCs w:val="26"/>
        </w:rPr>
        <w:t xml:space="preserve"> procuror</w:t>
      </w:r>
      <w:r w:rsidR="00F77F37">
        <w:rPr>
          <w:rFonts w:asciiTheme="minorHAnsi" w:hAnsiTheme="minorHAnsi" w:cstheme="minorHAnsi"/>
          <w:sz w:val="26"/>
          <w:szCs w:val="26"/>
        </w:rPr>
        <w:t>i</w:t>
      </w:r>
      <w:r w:rsidRPr="004A72CD">
        <w:rPr>
          <w:rFonts w:asciiTheme="minorHAnsi" w:hAnsiTheme="minorHAnsi" w:cstheme="minorHAnsi"/>
          <w:sz w:val="26"/>
          <w:szCs w:val="26"/>
        </w:rPr>
        <w:t>.</w:t>
      </w:r>
    </w:p>
    <w:p w14:paraId="245CCB76" w14:textId="6F251A2D" w:rsidR="00E157CE" w:rsidRPr="002063C0" w:rsidRDefault="00E157CE" w:rsidP="00D51F5A">
      <w:pPr>
        <w:spacing w:line="276" w:lineRule="auto"/>
        <w:ind w:firstLine="720"/>
        <w:jc w:val="both"/>
        <w:rPr>
          <w:rFonts w:asciiTheme="minorHAnsi" w:hAnsiTheme="minorHAnsi" w:cstheme="minorHAnsi"/>
          <w:b/>
          <w:sz w:val="26"/>
          <w:szCs w:val="26"/>
        </w:rPr>
      </w:pPr>
      <w:bookmarkStart w:id="79" w:name="_Hlk152922956"/>
      <w:bookmarkEnd w:id="78"/>
      <w:r w:rsidRPr="004A72CD">
        <w:rPr>
          <w:rFonts w:asciiTheme="minorHAnsi" w:hAnsiTheme="minorHAnsi" w:cstheme="minorHAnsi"/>
          <w:b/>
          <w:sz w:val="26"/>
          <w:szCs w:val="26"/>
        </w:rPr>
        <w:t xml:space="preserve">Situaţia posturilor de procuror pe grade de jurisdicţie la data de </w:t>
      </w:r>
      <w:r w:rsidR="00121236">
        <w:rPr>
          <w:rFonts w:asciiTheme="minorHAnsi" w:hAnsiTheme="minorHAnsi" w:cstheme="minorHAnsi"/>
          <w:b/>
          <w:sz w:val="26"/>
          <w:szCs w:val="26"/>
        </w:rPr>
        <w:t>31</w:t>
      </w:r>
      <w:r w:rsidRPr="002063C0">
        <w:rPr>
          <w:rFonts w:asciiTheme="minorHAnsi" w:hAnsiTheme="minorHAnsi" w:cstheme="minorHAnsi"/>
          <w:b/>
          <w:sz w:val="26"/>
          <w:szCs w:val="26"/>
        </w:rPr>
        <w:t xml:space="preserve"> </w:t>
      </w:r>
      <w:r w:rsidR="00121236">
        <w:rPr>
          <w:rFonts w:asciiTheme="minorHAnsi" w:hAnsiTheme="minorHAnsi" w:cstheme="minorHAnsi"/>
          <w:b/>
          <w:sz w:val="26"/>
          <w:szCs w:val="26"/>
        </w:rPr>
        <w:t>dec</w:t>
      </w:r>
      <w:r w:rsidR="002D4D29" w:rsidRPr="002063C0">
        <w:rPr>
          <w:rFonts w:asciiTheme="minorHAnsi" w:hAnsiTheme="minorHAnsi" w:cstheme="minorHAnsi"/>
          <w:b/>
          <w:sz w:val="26"/>
          <w:szCs w:val="26"/>
        </w:rPr>
        <w:t>embrie</w:t>
      </w:r>
      <w:r w:rsidRPr="002063C0">
        <w:rPr>
          <w:rFonts w:asciiTheme="minorHAnsi" w:hAnsiTheme="minorHAnsi" w:cstheme="minorHAnsi"/>
          <w:b/>
          <w:sz w:val="26"/>
          <w:szCs w:val="26"/>
        </w:rPr>
        <w:t xml:space="preserve"> 2024</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50"/>
        <w:gridCol w:w="851"/>
        <w:gridCol w:w="850"/>
        <w:gridCol w:w="851"/>
        <w:gridCol w:w="850"/>
        <w:gridCol w:w="851"/>
        <w:gridCol w:w="850"/>
        <w:gridCol w:w="850"/>
      </w:tblGrid>
      <w:tr w:rsidR="002063C0" w:rsidRPr="002063C0" w14:paraId="7F26523A" w14:textId="77777777" w:rsidTr="001E012E">
        <w:trPr>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0D6602E" w14:textId="77777777" w:rsidR="00E157CE" w:rsidRPr="002063C0" w:rsidRDefault="00E157CE" w:rsidP="00D51F5A">
            <w:pPr>
              <w:spacing w:line="276" w:lineRule="auto"/>
              <w:jc w:val="center"/>
              <w:rPr>
                <w:rFonts w:asciiTheme="minorHAnsi" w:hAnsiTheme="minorHAnsi" w:cstheme="minorHAnsi"/>
                <w:b/>
                <w:sz w:val="26"/>
                <w:szCs w:val="26"/>
              </w:rPr>
            </w:pPr>
            <w:r w:rsidRPr="002063C0">
              <w:rPr>
                <w:rFonts w:asciiTheme="minorHAnsi" w:hAnsiTheme="minorHAnsi" w:cstheme="minorHAnsi"/>
                <w:b/>
                <w:sz w:val="26"/>
                <w:szCs w:val="26"/>
              </w:rPr>
              <w:t>Categoria</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3B347C29" w14:textId="77777777"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b/>
                <w:sz w:val="26"/>
                <w:szCs w:val="26"/>
              </w:rPr>
              <w:t>Posturi de procuror prevăzute în  schemă</w:t>
            </w:r>
          </w:p>
        </w:tc>
        <w:tc>
          <w:tcPr>
            <w:tcW w:w="3401"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678BF441" w14:textId="77777777"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b/>
                <w:sz w:val="26"/>
                <w:szCs w:val="26"/>
              </w:rPr>
              <w:t>Posturi de procuror vacante</w:t>
            </w:r>
          </w:p>
        </w:tc>
      </w:tr>
      <w:tr w:rsidR="002063C0" w:rsidRPr="002063C0" w14:paraId="0DC50429" w14:textId="77777777" w:rsidTr="001E012E">
        <w:trPr>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7C2D7B7E" w14:textId="77777777" w:rsidR="00E157CE" w:rsidRPr="002063C0" w:rsidRDefault="00E157CE" w:rsidP="00D51F5A">
            <w:pPr>
              <w:spacing w:line="276" w:lineRule="auto"/>
              <w:rPr>
                <w:rFonts w:asciiTheme="minorHAnsi" w:hAnsiTheme="minorHAnsi" w:cstheme="minorHAnsi"/>
                <w:b/>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7E79DDC" w14:textId="77777777" w:rsidR="00E157CE" w:rsidRPr="002063C0" w:rsidRDefault="00E157CE" w:rsidP="00D51F5A">
            <w:pPr>
              <w:spacing w:line="276" w:lineRule="auto"/>
              <w:jc w:val="center"/>
              <w:rPr>
                <w:rFonts w:asciiTheme="minorHAnsi" w:hAnsiTheme="minorHAnsi" w:cstheme="minorHAnsi"/>
                <w:b/>
                <w:sz w:val="26"/>
                <w:szCs w:val="26"/>
              </w:rPr>
            </w:pPr>
            <w:r w:rsidRPr="002063C0">
              <w:rPr>
                <w:rFonts w:asciiTheme="minorHAnsi" w:hAnsiTheme="minorHAnsi" w:cstheme="minorHAnsi"/>
                <w:b/>
                <w:sz w:val="26"/>
                <w:szCs w:val="26"/>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A00254" w14:textId="77777777"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1485F84E" w14:textId="77777777"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art. 147</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2938D1E" w14:textId="77777777"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Cond.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199AE5D" w14:textId="77777777" w:rsidR="00E157CE" w:rsidRPr="002063C0" w:rsidRDefault="00E157CE" w:rsidP="00D51F5A">
            <w:pPr>
              <w:spacing w:line="276" w:lineRule="auto"/>
              <w:jc w:val="center"/>
              <w:rPr>
                <w:rFonts w:asciiTheme="minorHAnsi" w:hAnsiTheme="minorHAnsi" w:cstheme="minorHAnsi"/>
                <w:b/>
                <w:sz w:val="26"/>
                <w:szCs w:val="26"/>
              </w:rPr>
            </w:pPr>
            <w:r w:rsidRPr="002063C0">
              <w:rPr>
                <w:rFonts w:asciiTheme="minorHAnsi" w:hAnsiTheme="minorHAnsi" w:cstheme="minorHAnsi"/>
                <w:b/>
                <w:sz w:val="26"/>
                <w:szCs w:val="26"/>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2E002" w14:textId="77777777"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12186560" w14:textId="77777777"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art. 147</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F5D3A3" w14:textId="77777777"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Cond.</w:t>
            </w:r>
          </w:p>
        </w:tc>
      </w:tr>
      <w:tr w:rsidR="002063C0" w:rsidRPr="002063C0" w14:paraId="71F0898B" w14:textId="77777777" w:rsidTr="001E012E">
        <w:trPr>
          <w:trHeight w:val="847"/>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5A3D5A9B" w14:textId="3F2E30AB" w:rsidR="00E157CE" w:rsidRPr="002063C0" w:rsidRDefault="00E157CE" w:rsidP="00D51F5A">
            <w:pPr>
              <w:spacing w:line="276" w:lineRule="auto"/>
              <w:jc w:val="both"/>
              <w:rPr>
                <w:rFonts w:asciiTheme="minorHAnsi" w:hAnsiTheme="minorHAnsi" w:cstheme="minorHAnsi"/>
                <w:sz w:val="26"/>
                <w:szCs w:val="26"/>
              </w:rPr>
            </w:pPr>
            <w:r w:rsidRPr="002063C0">
              <w:rPr>
                <w:rFonts w:asciiTheme="minorHAnsi" w:hAnsiTheme="minorHAnsi" w:cstheme="minorHAnsi"/>
                <w:sz w:val="26"/>
                <w:szCs w:val="26"/>
              </w:rPr>
              <w:t>P</w:t>
            </w:r>
            <w:r w:rsidR="00354C13" w:rsidRPr="002063C0">
              <w:rPr>
                <w:rFonts w:asciiTheme="minorHAnsi" w:hAnsiTheme="minorHAnsi" w:cstheme="minorHAnsi"/>
                <w:sz w:val="26"/>
                <w:szCs w:val="26"/>
              </w:rPr>
              <w:t>.</w:t>
            </w:r>
            <w:r w:rsidRPr="002063C0">
              <w:rPr>
                <w:rFonts w:asciiTheme="minorHAnsi" w:hAnsiTheme="minorHAnsi" w:cstheme="minorHAnsi"/>
                <w:sz w:val="26"/>
                <w:szCs w:val="26"/>
              </w:rPr>
              <w:t>Î</w:t>
            </w:r>
            <w:r w:rsidR="00354C13" w:rsidRPr="002063C0">
              <w:rPr>
                <w:rFonts w:asciiTheme="minorHAnsi" w:hAnsiTheme="minorHAnsi" w:cstheme="minorHAnsi"/>
                <w:sz w:val="26"/>
                <w:szCs w:val="26"/>
              </w:rPr>
              <w:t>.</w:t>
            </w:r>
            <w:r w:rsidRPr="002063C0">
              <w:rPr>
                <w:rFonts w:asciiTheme="minorHAnsi" w:hAnsiTheme="minorHAnsi" w:cstheme="minorHAnsi"/>
                <w:sz w:val="26"/>
                <w:szCs w:val="26"/>
              </w:rPr>
              <w:t>C</w:t>
            </w:r>
            <w:r w:rsidR="00354C13" w:rsidRPr="002063C0">
              <w:rPr>
                <w:rFonts w:asciiTheme="minorHAnsi" w:hAnsiTheme="minorHAnsi" w:cstheme="minorHAnsi"/>
                <w:sz w:val="26"/>
                <w:szCs w:val="26"/>
              </w:rPr>
              <w:t>.</w:t>
            </w:r>
            <w:r w:rsidRPr="002063C0">
              <w:rPr>
                <w:rFonts w:asciiTheme="minorHAnsi" w:hAnsiTheme="minorHAnsi" w:cstheme="minorHAnsi"/>
                <w:sz w:val="26"/>
                <w:szCs w:val="26"/>
              </w:rPr>
              <w:t>C</w:t>
            </w:r>
            <w:r w:rsidR="00354C13" w:rsidRPr="002063C0">
              <w:rPr>
                <w:rFonts w:asciiTheme="minorHAnsi" w:hAnsiTheme="minorHAnsi" w:cstheme="minorHAnsi"/>
                <w:sz w:val="26"/>
                <w:szCs w:val="26"/>
              </w:rPr>
              <w:t>.</w:t>
            </w:r>
            <w:r w:rsidRPr="002063C0">
              <w:rPr>
                <w:rFonts w:asciiTheme="minorHAnsi" w:hAnsiTheme="minorHAnsi" w:cstheme="minorHAnsi"/>
                <w:sz w:val="26"/>
                <w:szCs w:val="26"/>
              </w:rPr>
              <w:t>J</w:t>
            </w:r>
            <w:r w:rsidR="00354C13" w:rsidRPr="002063C0">
              <w:rPr>
                <w:rFonts w:asciiTheme="minorHAnsi" w:hAnsiTheme="minorHAnsi" w:cstheme="minorHAnsi"/>
                <w:sz w:val="26"/>
                <w:szCs w:val="26"/>
              </w:rPr>
              <w:t>.</w:t>
            </w:r>
            <w:r w:rsidRPr="002063C0">
              <w:rPr>
                <w:rFonts w:asciiTheme="minorHAnsi" w:hAnsiTheme="minorHAnsi" w:cstheme="minorHAnsi"/>
                <w:sz w:val="26"/>
                <w:szCs w:val="26"/>
              </w:rPr>
              <w:t xml:space="preserve"> (</w:t>
            </w:r>
            <w:r w:rsidRPr="002063C0">
              <w:rPr>
                <w:rFonts w:asciiTheme="minorHAnsi" w:hAnsiTheme="minorHAnsi" w:cstheme="minorHAnsi"/>
                <w:i/>
                <w:sz w:val="26"/>
                <w:szCs w:val="26"/>
              </w:rPr>
              <w:t>inclusiv D</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N</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A</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 D</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I</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I</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C</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O</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T</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 xml:space="preserve"> şi Secţia parchetelor militare</w:t>
            </w:r>
            <w:r w:rsidRPr="002063C0">
              <w:rPr>
                <w:rFonts w:asciiTheme="minorHAnsi" w:hAnsiTheme="minorHAnsi" w:cstheme="minorHAnsi"/>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7EC9D19C" w14:textId="77777777" w:rsidR="00E157CE" w:rsidRPr="002063C0" w:rsidRDefault="00E157CE" w:rsidP="00D51F5A">
            <w:pPr>
              <w:spacing w:line="276" w:lineRule="auto"/>
              <w:jc w:val="center"/>
              <w:rPr>
                <w:rFonts w:asciiTheme="minorHAnsi" w:hAnsiTheme="minorHAnsi" w:cstheme="minorHAnsi"/>
                <w:b/>
                <w:sz w:val="26"/>
                <w:szCs w:val="26"/>
              </w:rPr>
            </w:pPr>
            <w:r w:rsidRPr="002063C0">
              <w:rPr>
                <w:rFonts w:asciiTheme="minorHAnsi" w:hAnsiTheme="minorHAnsi" w:cstheme="minorHAnsi"/>
                <w:b/>
                <w:sz w:val="26"/>
                <w:szCs w:val="26"/>
              </w:rPr>
              <w:t>683</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7B3DB1" w14:textId="77777777"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535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FA780E" w14:textId="77777777"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DC993D" w14:textId="77777777"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148</w:t>
            </w:r>
          </w:p>
        </w:tc>
        <w:tc>
          <w:tcPr>
            <w:tcW w:w="850" w:type="dxa"/>
            <w:tcBorders>
              <w:top w:val="single" w:sz="4" w:space="0" w:color="auto"/>
              <w:left w:val="single" w:sz="4" w:space="0" w:color="auto"/>
              <w:bottom w:val="single" w:sz="4" w:space="0" w:color="auto"/>
              <w:right w:val="single" w:sz="4" w:space="0" w:color="auto"/>
            </w:tcBorders>
            <w:vAlign w:val="center"/>
            <w:hideMark/>
          </w:tcPr>
          <w:p w14:paraId="1DEF7F12" w14:textId="68679310" w:rsidR="00E157CE" w:rsidRPr="002063C0" w:rsidRDefault="00E157CE" w:rsidP="00D51F5A">
            <w:pPr>
              <w:spacing w:line="276" w:lineRule="auto"/>
              <w:jc w:val="center"/>
              <w:rPr>
                <w:rFonts w:asciiTheme="minorHAnsi" w:hAnsiTheme="minorHAnsi" w:cstheme="minorHAnsi"/>
                <w:b/>
                <w:sz w:val="26"/>
                <w:szCs w:val="26"/>
              </w:rPr>
            </w:pPr>
            <w:r w:rsidRPr="002063C0">
              <w:rPr>
                <w:rFonts w:asciiTheme="minorHAnsi" w:hAnsiTheme="minorHAnsi" w:cstheme="minorHAnsi"/>
                <w:b/>
                <w:sz w:val="26"/>
                <w:szCs w:val="26"/>
              </w:rPr>
              <w:t>1</w:t>
            </w:r>
            <w:r w:rsidR="00121236">
              <w:rPr>
                <w:rFonts w:asciiTheme="minorHAnsi" w:hAnsiTheme="minorHAnsi" w:cstheme="minorHAnsi"/>
                <w:b/>
                <w:sz w:val="26"/>
                <w:szCs w:val="26"/>
              </w:rPr>
              <w:t>65</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EA9B14" w14:textId="53500A68"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8</w:t>
            </w:r>
            <w:r w:rsidR="00121236">
              <w:rPr>
                <w:rFonts w:asciiTheme="minorHAnsi" w:hAnsiTheme="minorHAnsi" w:cstheme="minorHAnsi"/>
                <w:sz w:val="26"/>
                <w:szCs w:val="26"/>
              </w:rPr>
              <w:t>7</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4BF0F5" w14:textId="77777777"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67C4AA" w14:textId="16905567" w:rsidR="00E157CE" w:rsidRPr="002063C0" w:rsidRDefault="00121236" w:rsidP="00D51F5A">
            <w:pPr>
              <w:spacing w:line="276" w:lineRule="auto"/>
              <w:jc w:val="center"/>
              <w:rPr>
                <w:rFonts w:asciiTheme="minorHAnsi" w:hAnsiTheme="minorHAnsi" w:cstheme="minorHAnsi"/>
                <w:sz w:val="26"/>
                <w:szCs w:val="26"/>
              </w:rPr>
            </w:pPr>
            <w:r>
              <w:rPr>
                <w:rFonts w:asciiTheme="minorHAnsi" w:hAnsiTheme="minorHAnsi" w:cstheme="minorHAnsi"/>
                <w:sz w:val="26"/>
                <w:szCs w:val="26"/>
              </w:rPr>
              <w:t>78</w:t>
            </w:r>
          </w:p>
        </w:tc>
      </w:tr>
      <w:tr w:rsidR="002063C0" w:rsidRPr="002063C0" w14:paraId="46102DC0" w14:textId="77777777" w:rsidTr="001E012E">
        <w:trPr>
          <w:trHeight w:val="762"/>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33D986E4" w14:textId="2A718721" w:rsidR="00E157CE" w:rsidRPr="002063C0" w:rsidRDefault="00E157CE" w:rsidP="00D51F5A">
            <w:pPr>
              <w:spacing w:line="276" w:lineRule="auto"/>
              <w:jc w:val="both"/>
              <w:rPr>
                <w:rFonts w:asciiTheme="minorHAnsi" w:hAnsiTheme="minorHAnsi" w:cstheme="minorHAnsi"/>
                <w:sz w:val="26"/>
                <w:szCs w:val="26"/>
              </w:rPr>
            </w:pPr>
            <w:r w:rsidRPr="002063C0">
              <w:rPr>
                <w:rFonts w:asciiTheme="minorHAnsi" w:hAnsiTheme="minorHAnsi" w:cstheme="minorHAnsi"/>
                <w:sz w:val="26"/>
                <w:szCs w:val="26"/>
              </w:rPr>
              <w:t>Parchetele de pe lângă curţile de apel (</w:t>
            </w:r>
            <w:r w:rsidRPr="002063C0">
              <w:rPr>
                <w:rFonts w:asciiTheme="minorHAnsi" w:hAnsiTheme="minorHAnsi" w:cstheme="minorHAnsi"/>
                <w:i/>
                <w:sz w:val="26"/>
                <w:szCs w:val="26"/>
              </w:rPr>
              <w:t>inclusiv P</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C</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M</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A</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18BA29" w14:textId="0DD2E09D" w:rsidR="00E157CE" w:rsidRPr="002063C0" w:rsidRDefault="00E157CE" w:rsidP="00D51F5A">
            <w:pPr>
              <w:spacing w:line="276" w:lineRule="auto"/>
              <w:jc w:val="center"/>
              <w:rPr>
                <w:rFonts w:asciiTheme="minorHAnsi" w:hAnsiTheme="minorHAnsi" w:cstheme="minorHAnsi"/>
                <w:b/>
                <w:sz w:val="26"/>
                <w:szCs w:val="26"/>
              </w:rPr>
            </w:pPr>
            <w:r w:rsidRPr="002063C0">
              <w:rPr>
                <w:rFonts w:asciiTheme="minorHAnsi" w:hAnsiTheme="minorHAnsi" w:cstheme="minorHAnsi"/>
                <w:b/>
                <w:sz w:val="26"/>
                <w:szCs w:val="26"/>
              </w:rPr>
              <w:t>26</w:t>
            </w:r>
            <w:r w:rsidR="002D4D29" w:rsidRPr="002063C0">
              <w:rPr>
                <w:rFonts w:asciiTheme="minorHAnsi" w:hAnsiTheme="minorHAnsi" w:cstheme="minorHAnsi"/>
                <w:b/>
                <w:sz w:val="26"/>
                <w:szCs w:val="26"/>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AA8EDC" w14:textId="77777777"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185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377134" w14:textId="7FC0BD50" w:rsidR="00E157CE" w:rsidRPr="002063C0" w:rsidRDefault="002D4D29"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FEA537" w14:textId="77777777"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75</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151A35" w14:textId="474162E8" w:rsidR="00E157CE" w:rsidRPr="002063C0" w:rsidRDefault="00121236" w:rsidP="00D51F5A">
            <w:pPr>
              <w:spacing w:line="276" w:lineRule="auto"/>
              <w:jc w:val="center"/>
              <w:rPr>
                <w:rFonts w:asciiTheme="minorHAnsi" w:hAnsiTheme="minorHAnsi" w:cstheme="minorHAnsi"/>
                <w:b/>
                <w:sz w:val="26"/>
                <w:szCs w:val="26"/>
              </w:rPr>
            </w:pPr>
            <w:r>
              <w:rPr>
                <w:rFonts w:asciiTheme="minorHAnsi" w:hAnsiTheme="minorHAnsi" w:cstheme="minorHAnsi"/>
                <w:b/>
                <w:sz w:val="26"/>
                <w:szCs w:val="26"/>
              </w:rPr>
              <w:t>53</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9B13F5" w14:textId="0FE7CB6F" w:rsidR="00E157CE" w:rsidRPr="002063C0" w:rsidRDefault="00121236" w:rsidP="00D51F5A">
            <w:pPr>
              <w:spacing w:line="276" w:lineRule="auto"/>
              <w:jc w:val="center"/>
              <w:rPr>
                <w:rFonts w:asciiTheme="minorHAnsi" w:hAnsiTheme="minorHAnsi" w:cstheme="minorHAnsi"/>
                <w:sz w:val="26"/>
                <w:szCs w:val="26"/>
              </w:rPr>
            </w:pPr>
            <w:r>
              <w:rPr>
                <w:rFonts w:asciiTheme="minorHAnsi" w:hAnsiTheme="minorHAnsi" w:cstheme="minorHAnsi"/>
                <w:sz w:val="26"/>
                <w:szCs w:val="26"/>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597A64" w14:textId="652EAD09" w:rsidR="00E157CE" w:rsidRPr="002063C0" w:rsidRDefault="00121236" w:rsidP="00D51F5A">
            <w:pPr>
              <w:spacing w:line="276" w:lineRule="auto"/>
              <w:jc w:val="center"/>
              <w:rPr>
                <w:rFonts w:asciiTheme="minorHAnsi" w:hAnsiTheme="minorHAnsi" w:cstheme="minorHAnsi"/>
                <w:sz w:val="26"/>
                <w:szCs w:val="26"/>
              </w:rPr>
            </w:pPr>
            <w:r>
              <w:rPr>
                <w:rFonts w:asciiTheme="minorHAnsi" w:hAnsiTheme="minorHAnsi" w:cstheme="minorHAnsi"/>
                <w:sz w:val="26"/>
                <w:szCs w:val="26"/>
              </w:rPr>
              <w:t>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926BE" w14:textId="07F8FF84" w:rsidR="00E157CE" w:rsidRPr="002063C0" w:rsidRDefault="002D4D29"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2</w:t>
            </w:r>
            <w:r w:rsidR="00121236">
              <w:rPr>
                <w:rFonts w:asciiTheme="minorHAnsi" w:hAnsiTheme="minorHAnsi" w:cstheme="minorHAnsi"/>
                <w:sz w:val="26"/>
                <w:szCs w:val="26"/>
              </w:rPr>
              <w:t>5</w:t>
            </w:r>
          </w:p>
        </w:tc>
      </w:tr>
      <w:tr w:rsidR="002063C0" w:rsidRPr="002063C0" w14:paraId="0BAC7EE9" w14:textId="77777777" w:rsidTr="001E012E">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75B7F9B6" w14:textId="44E335B8" w:rsidR="00E157CE" w:rsidRPr="002063C0" w:rsidRDefault="00E157CE" w:rsidP="00D51F5A">
            <w:pPr>
              <w:spacing w:line="276" w:lineRule="auto"/>
              <w:jc w:val="both"/>
              <w:rPr>
                <w:rFonts w:asciiTheme="minorHAnsi" w:hAnsiTheme="minorHAnsi" w:cstheme="minorHAnsi"/>
                <w:i/>
                <w:sz w:val="26"/>
                <w:szCs w:val="26"/>
              </w:rPr>
            </w:pPr>
            <w:r w:rsidRPr="002063C0">
              <w:rPr>
                <w:rFonts w:asciiTheme="minorHAnsi" w:hAnsiTheme="minorHAnsi" w:cstheme="minorHAnsi"/>
                <w:sz w:val="26"/>
                <w:szCs w:val="26"/>
              </w:rPr>
              <w:lastRenderedPageBreak/>
              <w:t>Parchetele de pe lângă  tribunale (</w:t>
            </w:r>
            <w:r w:rsidRPr="002063C0">
              <w:rPr>
                <w:rFonts w:asciiTheme="minorHAnsi" w:hAnsiTheme="minorHAnsi" w:cstheme="minorHAnsi"/>
                <w:i/>
                <w:sz w:val="26"/>
                <w:szCs w:val="26"/>
              </w:rPr>
              <w:t>inclusiv P</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T</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M</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T</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 xml:space="preserve"> şi P</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T</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M</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F</w:t>
            </w:r>
            <w:r w:rsidR="00354C13" w:rsidRPr="002063C0">
              <w:rPr>
                <w:rFonts w:asciiTheme="minorHAnsi" w:hAnsiTheme="minorHAnsi" w:cstheme="minorHAnsi"/>
                <w:i/>
                <w:sz w:val="26"/>
                <w:szCs w:val="26"/>
              </w:rPr>
              <w:t>.</w:t>
            </w:r>
            <w:r w:rsidRPr="002063C0">
              <w:rPr>
                <w:rFonts w:asciiTheme="minorHAnsi" w:hAnsiTheme="minorHAnsi" w:cstheme="minorHAnsi"/>
                <w:i/>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F3A897" w14:textId="77777777" w:rsidR="00E157CE" w:rsidRPr="002063C0" w:rsidRDefault="00E157CE" w:rsidP="00D51F5A">
            <w:pPr>
              <w:spacing w:line="276" w:lineRule="auto"/>
              <w:jc w:val="center"/>
              <w:rPr>
                <w:rFonts w:asciiTheme="minorHAnsi" w:hAnsiTheme="minorHAnsi" w:cstheme="minorHAnsi"/>
                <w:b/>
                <w:sz w:val="26"/>
                <w:szCs w:val="26"/>
              </w:rPr>
            </w:pPr>
            <w:r w:rsidRPr="002063C0">
              <w:rPr>
                <w:rFonts w:asciiTheme="minorHAnsi" w:hAnsiTheme="minorHAnsi" w:cstheme="minorHAnsi"/>
                <w:b/>
                <w:sz w:val="26"/>
                <w:szCs w:val="26"/>
              </w:rPr>
              <w:t>725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77976ADD" w14:textId="77777777"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518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EBA177" w14:textId="77777777"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14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9E0B67" w14:textId="77777777"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193</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28389A" w14:textId="27B47A12" w:rsidR="00E157CE" w:rsidRPr="002063C0" w:rsidRDefault="00E157CE" w:rsidP="00D51F5A">
            <w:pPr>
              <w:spacing w:line="276" w:lineRule="auto"/>
              <w:jc w:val="center"/>
              <w:rPr>
                <w:rFonts w:asciiTheme="minorHAnsi" w:hAnsiTheme="minorHAnsi" w:cstheme="minorHAnsi"/>
                <w:b/>
                <w:sz w:val="26"/>
                <w:szCs w:val="26"/>
              </w:rPr>
            </w:pPr>
            <w:r w:rsidRPr="002063C0">
              <w:rPr>
                <w:rFonts w:asciiTheme="minorHAnsi" w:hAnsiTheme="minorHAnsi" w:cstheme="minorHAnsi"/>
                <w:b/>
                <w:sz w:val="26"/>
                <w:szCs w:val="26"/>
              </w:rPr>
              <w:t>2</w:t>
            </w:r>
            <w:r w:rsidR="00193D09">
              <w:rPr>
                <w:rFonts w:asciiTheme="minorHAnsi" w:hAnsiTheme="minorHAnsi" w:cstheme="minorHAnsi"/>
                <w:b/>
                <w:sz w:val="26"/>
                <w:szCs w:val="26"/>
              </w:rPr>
              <w:t>42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C1018AD" w14:textId="2BAE8AAF"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14</w:t>
            </w:r>
            <w:r w:rsidR="00193D09">
              <w:rPr>
                <w:rFonts w:asciiTheme="minorHAnsi" w:hAnsiTheme="minorHAnsi" w:cstheme="minorHAnsi"/>
                <w:sz w:val="26"/>
                <w:szCs w:val="26"/>
              </w:rPr>
              <w:t>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8F8F8C" w14:textId="613E2A00" w:rsidR="00E157CE" w:rsidRPr="002063C0" w:rsidRDefault="00193D09" w:rsidP="00D51F5A">
            <w:pPr>
              <w:spacing w:line="276" w:lineRule="auto"/>
              <w:jc w:val="center"/>
              <w:rPr>
                <w:rFonts w:asciiTheme="minorHAnsi" w:hAnsiTheme="minorHAnsi" w:cstheme="minorHAnsi"/>
                <w:sz w:val="26"/>
                <w:szCs w:val="26"/>
              </w:rPr>
            </w:pPr>
            <w:r>
              <w:rPr>
                <w:rFonts w:asciiTheme="minorHAnsi" w:hAnsiTheme="minorHAnsi" w:cstheme="minorHAnsi"/>
                <w:sz w:val="26"/>
                <w:szCs w:val="26"/>
              </w:rPr>
              <w:t>7</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82D183" w14:textId="26EB7349" w:rsidR="00E157CE" w:rsidRPr="002063C0" w:rsidRDefault="002D4D29"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87</w:t>
            </w:r>
          </w:p>
        </w:tc>
      </w:tr>
      <w:tr w:rsidR="002063C0" w:rsidRPr="002063C0" w14:paraId="329F2520" w14:textId="77777777" w:rsidTr="001E012E">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738D6ED5" w14:textId="77777777" w:rsidR="00E157CE" w:rsidRPr="002063C0" w:rsidRDefault="00E157CE" w:rsidP="00D51F5A">
            <w:pPr>
              <w:spacing w:line="276" w:lineRule="auto"/>
              <w:jc w:val="both"/>
              <w:rPr>
                <w:rFonts w:asciiTheme="minorHAnsi" w:hAnsiTheme="minorHAnsi" w:cstheme="minorHAnsi"/>
                <w:sz w:val="26"/>
                <w:szCs w:val="26"/>
              </w:rPr>
            </w:pPr>
            <w:r w:rsidRPr="002063C0">
              <w:rPr>
                <w:rFonts w:asciiTheme="minorHAnsi" w:hAnsiTheme="minorHAnsi" w:cstheme="minorHAnsi"/>
                <w:sz w:val="26"/>
                <w:szCs w:val="26"/>
              </w:rPr>
              <w:t xml:space="preserve">Parchetele de pe lângă judecătorii </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E1D871" w14:textId="279C8955" w:rsidR="00E157CE" w:rsidRPr="002063C0" w:rsidRDefault="00E157CE" w:rsidP="00D51F5A">
            <w:pPr>
              <w:spacing w:line="276" w:lineRule="auto"/>
              <w:jc w:val="center"/>
              <w:rPr>
                <w:rFonts w:asciiTheme="minorHAnsi" w:hAnsiTheme="minorHAnsi" w:cstheme="minorHAnsi"/>
                <w:b/>
                <w:sz w:val="26"/>
                <w:szCs w:val="26"/>
              </w:rPr>
            </w:pPr>
            <w:r w:rsidRPr="002063C0">
              <w:rPr>
                <w:rFonts w:asciiTheme="minorHAnsi" w:hAnsiTheme="minorHAnsi" w:cstheme="minorHAnsi"/>
                <w:b/>
                <w:sz w:val="26"/>
                <w:szCs w:val="26"/>
              </w:rPr>
              <w:t>139</w:t>
            </w:r>
            <w:r w:rsidR="002D4D29" w:rsidRPr="002063C0">
              <w:rPr>
                <w:rFonts w:asciiTheme="minorHAnsi" w:hAnsiTheme="minorHAnsi" w:cstheme="minorHAnsi"/>
                <w:b/>
                <w:sz w:val="26"/>
                <w:szCs w:val="26"/>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3932A7" w14:textId="77777777"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1107</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591512" w14:textId="1F716E4A"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4</w:t>
            </w:r>
            <w:r w:rsidR="002D4D29" w:rsidRPr="002063C0">
              <w:rPr>
                <w:rFonts w:asciiTheme="minorHAnsi" w:hAnsiTheme="minorHAnsi" w:cstheme="minorHAnsi"/>
                <w:sz w:val="26"/>
                <w:szCs w:val="26"/>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778A3CA9" w14:textId="77777777"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241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461988" w14:textId="6D7FA606" w:rsidR="00E157CE" w:rsidRPr="002063C0" w:rsidRDefault="00E157CE" w:rsidP="00D51F5A">
            <w:pPr>
              <w:spacing w:line="276" w:lineRule="auto"/>
              <w:jc w:val="center"/>
              <w:rPr>
                <w:rFonts w:asciiTheme="minorHAnsi" w:hAnsiTheme="minorHAnsi" w:cstheme="minorHAnsi"/>
                <w:b/>
                <w:sz w:val="26"/>
                <w:szCs w:val="26"/>
              </w:rPr>
            </w:pPr>
            <w:r w:rsidRPr="002063C0">
              <w:rPr>
                <w:rFonts w:asciiTheme="minorHAnsi" w:hAnsiTheme="minorHAnsi" w:cstheme="minorHAnsi"/>
                <w:b/>
                <w:sz w:val="26"/>
                <w:szCs w:val="26"/>
              </w:rPr>
              <w:t>3</w:t>
            </w:r>
            <w:r w:rsidR="00866827" w:rsidRPr="002063C0">
              <w:rPr>
                <w:rFonts w:asciiTheme="minorHAnsi" w:hAnsiTheme="minorHAnsi" w:cstheme="minorHAnsi"/>
                <w:b/>
                <w:sz w:val="26"/>
                <w:szCs w:val="26"/>
              </w:rPr>
              <w:t>3</w:t>
            </w:r>
            <w:r w:rsidR="00193D09">
              <w:rPr>
                <w:rFonts w:asciiTheme="minorHAnsi" w:hAnsiTheme="minorHAnsi" w:cstheme="minorHAnsi"/>
                <w:b/>
                <w:sz w:val="26"/>
                <w:szCs w:val="26"/>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554E2CE1" w14:textId="0CB22C5B"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1</w:t>
            </w:r>
            <w:r w:rsidR="00193D09">
              <w:rPr>
                <w:rFonts w:asciiTheme="minorHAnsi" w:hAnsiTheme="minorHAnsi" w:cstheme="minorHAnsi"/>
                <w:sz w:val="26"/>
                <w:szCs w:val="26"/>
              </w:rPr>
              <w:t>4</w:t>
            </w:r>
            <w:r w:rsidR="00866827" w:rsidRPr="002063C0">
              <w:rPr>
                <w:rFonts w:asciiTheme="minorHAnsi" w:hAnsiTheme="minorHAnsi" w:cstheme="minorHAnsi"/>
                <w:sz w:val="26"/>
                <w:szCs w:val="26"/>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1C8F9A" w14:textId="31085844" w:rsidR="00E157CE" w:rsidRPr="002063C0" w:rsidRDefault="00866827"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3</w:t>
            </w:r>
            <w:r w:rsidR="00193D09">
              <w:rPr>
                <w:rFonts w:asciiTheme="minorHAnsi" w:hAnsiTheme="minorHAnsi" w:cstheme="minorHAnsi"/>
                <w:sz w:val="26"/>
                <w:szCs w:val="26"/>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BDD4F2" w14:textId="2A626FA2" w:rsidR="00E157CE" w:rsidRPr="002063C0" w:rsidRDefault="00E157CE" w:rsidP="00D51F5A">
            <w:pPr>
              <w:spacing w:line="276" w:lineRule="auto"/>
              <w:jc w:val="center"/>
              <w:rPr>
                <w:rFonts w:asciiTheme="minorHAnsi" w:hAnsiTheme="minorHAnsi" w:cstheme="minorHAnsi"/>
                <w:sz w:val="26"/>
                <w:szCs w:val="26"/>
              </w:rPr>
            </w:pPr>
            <w:r w:rsidRPr="002063C0">
              <w:rPr>
                <w:rFonts w:asciiTheme="minorHAnsi" w:hAnsiTheme="minorHAnsi" w:cstheme="minorHAnsi"/>
                <w:sz w:val="26"/>
                <w:szCs w:val="26"/>
              </w:rPr>
              <w:t>16</w:t>
            </w:r>
            <w:r w:rsidR="00193D09">
              <w:rPr>
                <w:rFonts w:asciiTheme="minorHAnsi" w:hAnsiTheme="minorHAnsi" w:cstheme="minorHAnsi"/>
                <w:sz w:val="26"/>
                <w:szCs w:val="26"/>
              </w:rPr>
              <w:t>2</w:t>
            </w:r>
          </w:p>
        </w:tc>
      </w:tr>
      <w:tr w:rsidR="00E157CE" w:rsidRPr="002063C0" w14:paraId="1290FB5A" w14:textId="77777777" w:rsidTr="001E012E">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1E6014F8" w14:textId="77777777" w:rsidR="00E157CE" w:rsidRPr="002063C0" w:rsidRDefault="00E157CE" w:rsidP="00D51F5A">
            <w:pPr>
              <w:spacing w:line="276" w:lineRule="auto"/>
              <w:jc w:val="both"/>
              <w:rPr>
                <w:rFonts w:asciiTheme="minorHAnsi" w:hAnsiTheme="minorHAnsi" w:cstheme="minorHAnsi"/>
                <w:b/>
                <w:sz w:val="26"/>
                <w:szCs w:val="26"/>
              </w:rPr>
            </w:pPr>
            <w:r w:rsidRPr="002063C0">
              <w:rPr>
                <w:rFonts w:asciiTheme="minorHAnsi" w:hAnsiTheme="minorHAnsi" w:cstheme="minorHAnsi"/>
                <w:b/>
                <w:sz w:val="26"/>
                <w:szCs w:val="26"/>
              </w:rPr>
              <w:t xml:space="preserve">          Total </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11277D" w14:textId="7CAE84BC" w:rsidR="00E157CE" w:rsidRPr="002063C0" w:rsidRDefault="00E157CE" w:rsidP="00D51F5A">
            <w:pPr>
              <w:spacing w:line="276" w:lineRule="auto"/>
              <w:jc w:val="center"/>
              <w:rPr>
                <w:rFonts w:asciiTheme="minorHAnsi" w:hAnsiTheme="minorHAnsi" w:cstheme="minorHAnsi"/>
                <w:b/>
                <w:sz w:val="26"/>
                <w:szCs w:val="26"/>
              </w:rPr>
            </w:pPr>
            <w:r w:rsidRPr="002063C0">
              <w:rPr>
                <w:rFonts w:asciiTheme="minorHAnsi" w:hAnsiTheme="minorHAnsi" w:cstheme="minorHAnsi"/>
                <w:b/>
                <w:sz w:val="26"/>
                <w:szCs w:val="26"/>
              </w:rPr>
              <w:t>307</w:t>
            </w:r>
            <w:r w:rsidR="00866827" w:rsidRPr="002063C0">
              <w:rPr>
                <w:rFonts w:asciiTheme="minorHAnsi" w:hAnsiTheme="minorHAnsi" w:cstheme="minorHAnsi"/>
                <w:b/>
                <w:sz w:val="26"/>
                <w:szCs w:val="26"/>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24C57F" w14:textId="77777777" w:rsidR="00E157CE" w:rsidRPr="002063C0" w:rsidRDefault="00E157CE" w:rsidP="00D51F5A">
            <w:pPr>
              <w:spacing w:line="276" w:lineRule="auto"/>
              <w:jc w:val="center"/>
              <w:rPr>
                <w:rFonts w:asciiTheme="minorHAnsi" w:hAnsiTheme="minorHAnsi" w:cstheme="minorHAnsi"/>
                <w:b/>
                <w:sz w:val="26"/>
                <w:szCs w:val="26"/>
              </w:rPr>
            </w:pPr>
            <w:r w:rsidRPr="002063C0">
              <w:rPr>
                <w:rFonts w:asciiTheme="minorHAnsi" w:hAnsiTheme="minorHAnsi" w:cstheme="minorHAnsi"/>
                <w:b/>
                <w:sz w:val="26"/>
                <w:szCs w:val="26"/>
              </w:rPr>
              <w:t>2345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B95FDE" w14:textId="4FC00D1B" w:rsidR="00E157CE" w:rsidRPr="002063C0" w:rsidRDefault="00E157CE" w:rsidP="00D51F5A">
            <w:pPr>
              <w:spacing w:line="276" w:lineRule="auto"/>
              <w:jc w:val="center"/>
              <w:rPr>
                <w:rFonts w:asciiTheme="minorHAnsi" w:hAnsiTheme="minorHAnsi" w:cstheme="minorHAnsi"/>
                <w:b/>
                <w:sz w:val="26"/>
                <w:szCs w:val="26"/>
              </w:rPr>
            </w:pPr>
            <w:r w:rsidRPr="002063C0">
              <w:rPr>
                <w:rFonts w:asciiTheme="minorHAnsi" w:hAnsiTheme="minorHAnsi" w:cstheme="minorHAnsi"/>
                <w:b/>
                <w:sz w:val="26"/>
                <w:szCs w:val="26"/>
              </w:rPr>
              <w:t>6</w:t>
            </w:r>
            <w:r w:rsidR="00866827" w:rsidRPr="002063C0">
              <w:rPr>
                <w:rFonts w:asciiTheme="minorHAnsi" w:hAnsiTheme="minorHAnsi" w:cstheme="minorHAnsi"/>
                <w:b/>
                <w:sz w:val="26"/>
                <w:szCs w:val="26"/>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9FB378" w14:textId="77777777" w:rsidR="00E157CE" w:rsidRPr="002063C0" w:rsidRDefault="00E157CE" w:rsidP="00D51F5A">
            <w:pPr>
              <w:spacing w:line="276" w:lineRule="auto"/>
              <w:jc w:val="center"/>
              <w:rPr>
                <w:rFonts w:asciiTheme="minorHAnsi" w:hAnsiTheme="minorHAnsi" w:cstheme="minorHAnsi"/>
                <w:b/>
                <w:sz w:val="26"/>
                <w:szCs w:val="26"/>
              </w:rPr>
            </w:pPr>
            <w:r w:rsidRPr="002063C0">
              <w:rPr>
                <w:rFonts w:asciiTheme="minorHAnsi" w:hAnsiTheme="minorHAnsi" w:cstheme="minorHAnsi"/>
                <w:b/>
                <w:sz w:val="26"/>
                <w:szCs w:val="26"/>
              </w:rPr>
              <w:t>657</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B4EB0B" w14:textId="3B3EE5E6" w:rsidR="00E157CE" w:rsidRPr="002063C0" w:rsidRDefault="00E157CE" w:rsidP="00D51F5A">
            <w:pPr>
              <w:spacing w:line="276" w:lineRule="auto"/>
              <w:jc w:val="center"/>
              <w:rPr>
                <w:rFonts w:asciiTheme="minorHAnsi" w:hAnsiTheme="minorHAnsi" w:cstheme="minorHAnsi"/>
                <w:b/>
                <w:sz w:val="26"/>
                <w:szCs w:val="26"/>
              </w:rPr>
            </w:pPr>
            <w:r w:rsidRPr="002063C0">
              <w:rPr>
                <w:rFonts w:asciiTheme="minorHAnsi" w:hAnsiTheme="minorHAnsi" w:cstheme="minorHAnsi"/>
                <w:b/>
                <w:sz w:val="26"/>
                <w:szCs w:val="26"/>
              </w:rPr>
              <w:t>7</w:t>
            </w:r>
            <w:r w:rsidR="00866827" w:rsidRPr="002063C0">
              <w:rPr>
                <w:rFonts w:asciiTheme="minorHAnsi" w:hAnsiTheme="minorHAnsi" w:cstheme="minorHAnsi"/>
                <w:b/>
                <w:sz w:val="26"/>
                <w:szCs w:val="26"/>
              </w:rPr>
              <w:t>9</w:t>
            </w:r>
            <w:r w:rsidR="00193D09">
              <w:rPr>
                <w:rFonts w:asciiTheme="minorHAnsi" w:hAnsiTheme="minorHAnsi" w:cstheme="minorHAnsi"/>
                <w:b/>
                <w:sz w:val="26"/>
                <w:szCs w:val="26"/>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A9E6C8" w14:textId="519F7906" w:rsidR="00E157CE" w:rsidRPr="002063C0" w:rsidRDefault="00E157CE" w:rsidP="00D51F5A">
            <w:pPr>
              <w:spacing w:line="276" w:lineRule="auto"/>
              <w:jc w:val="center"/>
              <w:rPr>
                <w:rFonts w:asciiTheme="minorHAnsi" w:hAnsiTheme="minorHAnsi" w:cstheme="minorHAnsi"/>
                <w:b/>
                <w:sz w:val="26"/>
                <w:szCs w:val="26"/>
              </w:rPr>
            </w:pPr>
            <w:r w:rsidRPr="002063C0">
              <w:rPr>
                <w:rFonts w:asciiTheme="minorHAnsi" w:hAnsiTheme="minorHAnsi" w:cstheme="minorHAnsi"/>
                <w:b/>
                <w:sz w:val="26"/>
                <w:szCs w:val="26"/>
              </w:rPr>
              <w:t>3</w:t>
            </w:r>
            <w:r w:rsidR="00866827" w:rsidRPr="002063C0">
              <w:rPr>
                <w:rFonts w:asciiTheme="minorHAnsi" w:hAnsiTheme="minorHAnsi" w:cstheme="minorHAnsi"/>
                <w:b/>
                <w:sz w:val="26"/>
                <w:szCs w:val="26"/>
              </w:rPr>
              <w:t>9</w:t>
            </w:r>
            <w:r w:rsidR="00193D09">
              <w:rPr>
                <w:rFonts w:asciiTheme="minorHAnsi" w:hAnsiTheme="minorHAnsi" w:cstheme="minorHAnsi"/>
                <w:b/>
                <w:sz w:val="26"/>
                <w:szCs w:val="26"/>
              </w:rPr>
              <w:t>8</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073BB4" w14:textId="149E40E7" w:rsidR="00E157CE" w:rsidRPr="002063C0" w:rsidRDefault="00866827" w:rsidP="00D51F5A">
            <w:pPr>
              <w:spacing w:line="276" w:lineRule="auto"/>
              <w:jc w:val="center"/>
              <w:rPr>
                <w:rFonts w:asciiTheme="minorHAnsi" w:hAnsiTheme="minorHAnsi" w:cstheme="minorHAnsi"/>
                <w:b/>
                <w:sz w:val="26"/>
                <w:szCs w:val="26"/>
              </w:rPr>
            </w:pPr>
            <w:r w:rsidRPr="002063C0">
              <w:rPr>
                <w:rFonts w:asciiTheme="minorHAnsi" w:hAnsiTheme="minorHAnsi" w:cstheme="minorHAnsi"/>
                <w:b/>
                <w:sz w:val="26"/>
                <w:szCs w:val="26"/>
              </w:rPr>
              <w:t>4</w:t>
            </w:r>
            <w:r w:rsidR="00193D09">
              <w:rPr>
                <w:rFonts w:asciiTheme="minorHAnsi" w:hAnsiTheme="minorHAnsi" w:cstheme="minorHAnsi"/>
                <w:b/>
                <w:sz w:val="26"/>
                <w:szCs w:val="26"/>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8A594E" w14:textId="2F4F6251" w:rsidR="00E157CE" w:rsidRPr="002063C0" w:rsidRDefault="00E157CE" w:rsidP="00D51F5A">
            <w:pPr>
              <w:spacing w:line="276" w:lineRule="auto"/>
              <w:jc w:val="center"/>
              <w:rPr>
                <w:rFonts w:asciiTheme="minorHAnsi" w:hAnsiTheme="minorHAnsi" w:cstheme="minorHAnsi"/>
                <w:b/>
                <w:sz w:val="26"/>
                <w:szCs w:val="26"/>
              </w:rPr>
            </w:pPr>
            <w:r w:rsidRPr="002063C0">
              <w:rPr>
                <w:rFonts w:asciiTheme="minorHAnsi" w:hAnsiTheme="minorHAnsi" w:cstheme="minorHAnsi"/>
                <w:b/>
                <w:sz w:val="26"/>
                <w:szCs w:val="26"/>
              </w:rPr>
              <w:t>3</w:t>
            </w:r>
            <w:r w:rsidR="00193D09">
              <w:rPr>
                <w:rFonts w:asciiTheme="minorHAnsi" w:hAnsiTheme="minorHAnsi" w:cstheme="minorHAnsi"/>
                <w:b/>
                <w:sz w:val="26"/>
                <w:szCs w:val="26"/>
              </w:rPr>
              <w:t>52</w:t>
            </w:r>
          </w:p>
        </w:tc>
      </w:tr>
    </w:tbl>
    <w:bookmarkEnd w:id="79"/>
    <w:p w14:paraId="395966F7" w14:textId="5B6DE50E" w:rsidR="00E157CE" w:rsidRPr="004A72CD" w:rsidRDefault="00EA0CF4" w:rsidP="001E012E">
      <w:pPr>
        <w:spacing w:line="276" w:lineRule="auto"/>
        <w:jc w:val="center"/>
        <w:rPr>
          <w:rFonts w:asciiTheme="minorHAnsi" w:hAnsiTheme="minorHAnsi" w:cstheme="minorHAnsi"/>
          <w:color w:val="FF0000"/>
          <w:sz w:val="26"/>
          <w:szCs w:val="26"/>
        </w:rPr>
      </w:pPr>
      <w:r w:rsidRPr="0026175C">
        <w:drawing>
          <wp:inline distT="0" distB="0" distL="0" distR="0" wp14:anchorId="21F921D4" wp14:editId="4CA65B3A">
            <wp:extent cx="5943600" cy="2724150"/>
            <wp:effectExtent l="0" t="0" r="0" b="0"/>
            <wp:docPr id="1979789720" name="Chart 19797897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5CFF59C" w14:textId="5487204D" w:rsidR="00E157CE" w:rsidRPr="006B7D32" w:rsidRDefault="00E157CE" w:rsidP="00D51F5A">
      <w:pPr>
        <w:spacing w:line="276" w:lineRule="auto"/>
        <w:ind w:firstLine="720"/>
        <w:jc w:val="both"/>
        <w:rPr>
          <w:rFonts w:asciiTheme="minorHAnsi" w:hAnsiTheme="minorHAnsi" w:cstheme="minorHAnsi"/>
          <w:sz w:val="26"/>
          <w:szCs w:val="26"/>
        </w:rPr>
      </w:pPr>
      <w:bookmarkStart w:id="80" w:name="_Hlk152923038"/>
      <w:r w:rsidRPr="002063C0">
        <w:rPr>
          <w:rFonts w:asciiTheme="minorHAnsi" w:hAnsiTheme="minorHAnsi" w:cstheme="minorHAnsi"/>
          <w:sz w:val="26"/>
          <w:szCs w:val="26"/>
        </w:rPr>
        <w:t xml:space="preserve">La data de </w:t>
      </w:r>
      <w:r w:rsidR="00EA0CF4">
        <w:rPr>
          <w:rFonts w:asciiTheme="minorHAnsi" w:hAnsiTheme="minorHAnsi" w:cstheme="minorHAnsi"/>
          <w:sz w:val="26"/>
          <w:szCs w:val="26"/>
        </w:rPr>
        <w:t>31 dec</w:t>
      </w:r>
      <w:r w:rsidR="005A29F3" w:rsidRPr="002063C0">
        <w:rPr>
          <w:rFonts w:asciiTheme="minorHAnsi" w:hAnsiTheme="minorHAnsi" w:cstheme="minorHAnsi"/>
          <w:sz w:val="26"/>
          <w:szCs w:val="26"/>
        </w:rPr>
        <w:t>e</w:t>
      </w:r>
      <w:r w:rsidRPr="002063C0">
        <w:rPr>
          <w:rFonts w:asciiTheme="minorHAnsi" w:hAnsiTheme="minorHAnsi" w:cstheme="minorHAnsi"/>
          <w:sz w:val="26"/>
          <w:szCs w:val="26"/>
        </w:rPr>
        <w:t>mbrie 2024</w:t>
      </w:r>
      <w:r w:rsidRPr="004A72CD">
        <w:rPr>
          <w:rFonts w:asciiTheme="minorHAnsi" w:hAnsiTheme="minorHAnsi" w:cstheme="minorHAnsi"/>
          <w:sz w:val="26"/>
          <w:szCs w:val="26"/>
        </w:rPr>
        <w:t xml:space="preserve">, </w:t>
      </w:r>
      <w:r w:rsidRPr="004A72CD">
        <w:rPr>
          <w:rFonts w:asciiTheme="minorHAnsi" w:hAnsiTheme="minorHAnsi" w:cstheme="minorHAnsi"/>
          <w:b/>
          <w:sz w:val="26"/>
          <w:szCs w:val="26"/>
        </w:rPr>
        <w:t xml:space="preserve">la nivelul parchetelor, din totalul de </w:t>
      </w:r>
      <w:r w:rsidRPr="006B7D32">
        <w:rPr>
          <w:rFonts w:asciiTheme="minorHAnsi" w:hAnsiTheme="minorHAnsi" w:cstheme="minorHAnsi"/>
          <w:b/>
          <w:sz w:val="26"/>
          <w:szCs w:val="26"/>
        </w:rPr>
        <w:t>307</w:t>
      </w:r>
      <w:r w:rsidR="005A29F3" w:rsidRPr="006B7D32">
        <w:rPr>
          <w:rFonts w:asciiTheme="minorHAnsi" w:hAnsiTheme="minorHAnsi" w:cstheme="minorHAnsi"/>
          <w:b/>
          <w:sz w:val="26"/>
          <w:szCs w:val="26"/>
        </w:rPr>
        <w:t>1</w:t>
      </w:r>
      <w:r w:rsidRPr="006B7D32">
        <w:rPr>
          <w:rFonts w:asciiTheme="minorHAnsi" w:hAnsiTheme="minorHAnsi" w:cstheme="minorHAnsi"/>
          <w:b/>
          <w:sz w:val="26"/>
          <w:szCs w:val="26"/>
        </w:rPr>
        <w:t xml:space="preserve"> de posturi de procuror, </w:t>
      </w:r>
      <w:r w:rsidRPr="006B7D32">
        <w:rPr>
          <w:rFonts w:asciiTheme="minorHAnsi" w:hAnsiTheme="minorHAnsi" w:cstheme="minorHAnsi"/>
          <w:bCs/>
          <w:sz w:val="26"/>
          <w:szCs w:val="26"/>
        </w:rPr>
        <w:t xml:space="preserve">fiind </w:t>
      </w:r>
      <w:r w:rsidRPr="006B7D32">
        <w:rPr>
          <w:rFonts w:asciiTheme="minorHAnsi" w:hAnsiTheme="minorHAnsi" w:cstheme="minorHAnsi"/>
          <w:sz w:val="26"/>
          <w:szCs w:val="26"/>
        </w:rPr>
        <w:t>incluse şi cele 6</w:t>
      </w:r>
      <w:r w:rsidR="005A29F3" w:rsidRPr="006B7D32">
        <w:rPr>
          <w:rFonts w:asciiTheme="minorHAnsi" w:hAnsiTheme="minorHAnsi" w:cstheme="minorHAnsi"/>
          <w:sz w:val="26"/>
          <w:szCs w:val="26"/>
        </w:rPr>
        <w:t>9</w:t>
      </w:r>
      <w:r w:rsidRPr="006B7D32">
        <w:rPr>
          <w:rFonts w:asciiTheme="minorHAnsi" w:hAnsiTheme="minorHAnsi" w:cstheme="minorHAnsi"/>
          <w:sz w:val="26"/>
          <w:szCs w:val="26"/>
        </w:rPr>
        <w:t xml:space="preserve"> de posturi acordate potrivit art. 147 din Legea nr. 304/2022 privind organizarea judiciară, </w:t>
      </w:r>
      <w:r w:rsidRPr="006B7D32">
        <w:rPr>
          <w:rFonts w:asciiTheme="minorHAnsi" w:hAnsiTheme="minorHAnsi" w:cstheme="minorHAnsi"/>
          <w:b/>
          <w:sz w:val="26"/>
          <w:szCs w:val="26"/>
        </w:rPr>
        <w:t>erau ocupate 22</w:t>
      </w:r>
      <w:r w:rsidR="00C00613">
        <w:rPr>
          <w:rFonts w:asciiTheme="minorHAnsi" w:hAnsiTheme="minorHAnsi" w:cstheme="minorHAnsi"/>
          <w:b/>
          <w:sz w:val="26"/>
          <w:szCs w:val="26"/>
        </w:rPr>
        <w:t>74</w:t>
      </w:r>
      <w:r w:rsidRPr="006B7D32">
        <w:rPr>
          <w:rFonts w:asciiTheme="minorHAnsi" w:hAnsiTheme="minorHAnsi" w:cstheme="minorHAnsi"/>
          <w:b/>
          <w:sz w:val="26"/>
          <w:szCs w:val="26"/>
        </w:rPr>
        <w:t xml:space="preserve"> de posturi, </w:t>
      </w:r>
      <w:r w:rsidRPr="006B7D32">
        <w:rPr>
          <w:rFonts w:asciiTheme="minorHAnsi" w:hAnsiTheme="minorHAnsi" w:cstheme="minorHAnsi"/>
          <w:bCs/>
          <w:sz w:val="26"/>
          <w:szCs w:val="26"/>
        </w:rPr>
        <w:t>număr ce include</w:t>
      </w:r>
      <w:r w:rsidRPr="006B7D32">
        <w:rPr>
          <w:rFonts w:asciiTheme="minorHAnsi" w:hAnsiTheme="minorHAnsi" w:cstheme="minorHAnsi"/>
          <w:b/>
          <w:sz w:val="26"/>
          <w:szCs w:val="26"/>
        </w:rPr>
        <w:t xml:space="preserve"> </w:t>
      </w:r>
      <w:r w:rsidRPr="006B7D32">
        <w:rPr>
          <w:rFonts w:asciiTheme="minorHAnsi" w:hAnsiTheme="minorHAnsi" w:cstheme="minorHAnsi"/>
          <w:sz w:val="26"/>
          <w:szCs w:val="26"/>
        </w:rPr>
        <w:t xml:space="preserve">şi </w:t>
      </w:r>
      <w:r w:rsidR="005A29F3" w:rsidRPr="006B7D32">
        <w:rPr>
          <w:rFonts w:asciiTheme="minorHAnsi" w:hAnsiTheme="minorHAnsi" w:cstheme="minorHAnsi"/>
          <w:sz w:val="26"/>
          <w:szCs w:val="26"/>
        </w:rPr>
        <w:t>2</w:t>
      </w:r>
      <w:r w:rsidR="003334E1">
        <w:rPr>
          <w:rFonts w:asciiTheme="minorHAnsi" w:hAnsiTheme="minorHAnsi" w:cstheme="minorHAnsi"/>
          <w:sz w:val="26"/>
          <w:szCs w:val="26"/>
        </w:rPr>
        <w:t>0</w:t>
      </w:r>
      <w:r w:rsidRPr="006B7D32">
        <w:rPr>
          <w:rFonts w:asciiTheme="minorHAnsi" w:hAnsiTheme="minorHAnsi" w:cstheme="minorHAnsi"/>
          <w:sz w:val="26"/>
          <w:szCs w:val="26"/>
        </w:rPr>
        <w:t xml:space="preserve"> de posturi acordate potrivit art. 147 din Legea nr. 304/2022</w:t>
      </w:r>
      <w:r w:rsidR="00A9778D" w:rsidRPr="006B7D32">
        <w:rPr>
          <w:rFonts w:asciiTheme="minorHAnsi" w:hAnsiTheme="minorHAnsi" w:cstheme="minorHAnsi"/>
          <w:sz w:val="26"/>
          <w:szCs w:val="26"/>
        </w:rPr>
        <w:t xml:space="preserve"> privind organizarea judiciară</w:t>
      </w:r>
      <w:r w:rsidRPr="006B7D32">
        <w:rPr>
          <w:rFonts w:asciiTheme="minorHAnsi" w:hAnsiTheme="minorHAnsi" w:cstheme="minorHAnsi"/>
          <w:sz w:val="26"/>
          <w:szCs w:val="26"/>
        </w:rPr>
        <w:t xml:space="preserve">. Dintre cele </w:t>
      </w:r>
      <w:r w:rsidR="009E3BCC" w:rsidRPr="006B7D32">
        <w:rPr>
          <w:rFonts w:asciiTheme="minorHAnsi" w:hAnsiTheme="minorHAnsi" w:cstheme="minorHAnsi"/>
          <w:sz w:val="26"/>
          <w:szCs w:val="26"/>
        </w:rPr>
        <w:t>2</w:t>
      </w:r>
      <w:r w:rsidR="003334E1">
        <w:rPr>
          <w:rFonts w:asciiTheme="minorHAnsi" w:hAnsiTheme="minorHAnsi" w:cstheme="minorHAnsi"/>
          <w:sz w:val="26"/>
          <w:szCs w:val="26"/>
        </w:rPr>
        <w:t>0</w:t>
      </w:r>
      <w:r w:rsidRPr="006B7D32">
        <w:rPr>
          <w:rFonts w:asciiTheme="minorHAnsi" w:hAnsiTheme="minorHAnsi" w:cstheme="minorHAnsi"/>
          <w:sz w:val="26"/>
          <w:szCs w:val="26"/>
        </w:rPr>
        <w:t xml:space="preserve"> de posturi, </w:t>
      </w:r>
      <w:r w:rsidR="003334E1">
        <w:rPr>
          <w:rFonts w:asciiTheme="minorHAnsi" w:hAnsiTheme="minorHAnsi" w:cstheme="minorHAnsi"/>
          <w:sz w:val="26"/>
          <w:szCs w:val="26"/>
        </w:rPr>
        <w:t>1</w:t>
      </w:r>
      <w:r w:rsidRPr="006B7D32">
        <w:rPr>
          <w:rFonts w:asciiTheme="minorHAnsi" w:hAnsiTheme="minorHAnsi" w:cstheme="minorHAnsi"/>
          <w:sz w:val="26"/>
          <w:szCs w:val="26"/>
        </w:rPr>
        <w:t xml:space="preserve"> post</w:t>
      </w:r>
      <w:r w:rsidR="00565219">
        <w:rPr>
          <w:rFonts w:asciiTheme="minorHAnsi" w:hAnsiTheme="minorHAnsi" w:cstheme="minorHAnsi"/>
          <w:sz w:val="26"/>
          <w:szCs w:val="26"/>
        </w:rPr>
        <w:t xml:space="preserve"> este</w:t>
      </w:r>
      <w:r w:rsidRPr="006B7D32">
        <w:rPr>
          <w:rFonts w:asciiTheme="minorHAnsi" w:hAnsiTheme="minorHAnsi" w:cstheme="minorHAnsi"/>
          <w:sz w:val="26"/>
          <w:szCs w:val="26"/>
        </w:rPr>
        <w:t xml:space="preserve"> la parchetele de pe lângă curțile de apel, </w:t>
      </w:r>
      <w:r w:rsidR="004A4D4A">
        <w:rPr>
          <w:rFonts w:asciiTheme="minorHAnsi" w:hAnsiTheme="minorHAnsi" w:cstheme="minorHAnsi"/>
          <w:sz w:val="26"/>
          <w:szCs w:val="26"/>
        </w:rPr>
        <w:t>7</w:t>
      </w:r>
      <w:r w:rsidRPr="006B7D32">
        <w:rPr>
          <w:rFonts w:asciiTheme="minorHAnsi" w:hAnsiTheme="minorHAnsi" w:cstheme="minorHAnsi"/>
          <w:sz w:val="26"/>
          <w:szCs w:val="26"/>
        </w:rPr>
        <w:t xml:space="preserve"> posturi la parchetele de pe lângă tribunale şi </w:t>
      </w:r>
      <w:r w:rsidR="009E3BCC" w:rsidRPr="006B7D32">
        <w:rPr>
          <w:rFonts w:asciiTheme="minorHAnsi" w:hAnsiTheme="minorHAnsi" w:cstheme="minorHAnsi"/>
          <w:sz w:val="26"/>
          <w:szCs w:val="26"/>
        </w:rPr>
        <w:t>1</w:t>
      </w:r>
      <w:r w:rsidR="004A4D4A">
        <w:rPr>
          <w:rFonts w:asciiTheme="minorHAnsi" w:hAnsiTheme="minorHAnsi" w:cstheme="minorHAnsi"/>
          <w:sz w:val="26"/>
          <w:szCs w:val="26"/>
        </w:rPr>
        <w:t>2</w:t>
      </w:r>
      <w:r w:rsidRPr="006B7D32">
        <w:rPr>
          <w:rFonts w:asciiTheme="minorHAnsi" w:hAnsiTheme="minorHAnsi" w:cstheme="minorHAnsi"/>
          <w:sz w:val="26"/>
          <w:szCs w:val="26"/>
        </w:rPr>
        <w:t xml:space="preserve"> de posturi la parchetele de pe lângă judecătorii. Sunt </w:t>
      </w:r>
      <w:r w:rsidRPr="006B7D32">
        <w:rPr>
          <w:rFonts w:asciiTheme="minorHAnsi" w:hAnsiTheme="minorHAnsi" w:cstheme="minorHAnsi"/>
          <w:b/>
          <w:sz w:val="26"/>
          <w:szCs w:val="26"/>
        </w:rPr>
        <w:t>vacante 7</w:t>
      </w:r>
      <w:r w:rsidR="004A4D4A">
        <w:rPr>
          <w:rFonts w:asciiTheme="minorHAnsi" w:hAnsiTheme="minorHAnsi" w:cstheme="minorHAnsi"/>
          <w:b/>
          <w:sz w:val="26"/>
          <w:szCs w:val="26"/>
        </w:rPr>
        <w:t>9</w:t>
      </w:r>
      <w:r w:rsidR="009E3BCC" w:rsidRPr="006B7D32">
        <w:rPr>
          <w:rFonts w:asciiTheme="minorHAnsi" w:hAnsiTheme="minorHAnsi" w:cstheme="minorHAnsi"/>
          <w:b/>
          <w:sz w:val="26"/>
          <w:szCs w:val="26"/>
        </w:rPr>
        <w:t>9</w:t>
      </w:r>
      <w:r w:rsidRPr="006B7D32">
        <w:rPr>
          <w:rFonts w:asciiTheme="minorHAnsi" w:hAnsiTheme="minorHAnsi" w:cstheme="minorHAnsi"/>
          <w:b/>
          <w:sz w:val="26"/>
          <w:szCs w:val="26"/>
        </w:rPr>
        <w:t xml:space="preserve"> de posturi, </w:t>
      </w:r>
      <w:r w:rsidRPr="006B7D32">
        <w:rPr>
          <w:rFonts w:asciiTheme="minorHAnsi" w:hAnsiTheme="minorHAnsi" w:cstheme="minorHAnsi"/>
          <w:bCs/>
          <w:sz w:val="26"/>
          <w:szCs w:val="26"/>
        </w:rPr>
        <w:t xml:space="preserve">ce includ </w:t>
      </w:r>
      <w:r w:rsidRPr="006B7D32">
        <w:rPr>
          <w:rFonts w:asciiTheme="minorHAnsi" w:hAnsiTheme="minorHAnsi" w:cstheme="minorHAnsi"/>
          <w:sz w:val="26"/>
          <w:szCs w:val="26"/>
        </w:rPr>
        <w:t xml:space="preserve">şi </w:t>
      </w:r>
      <w:r w:rsidR="009E3BCC" w:rsidRPr="006B7D32">
        <w:rPr>
          <w:rFonts w:asciiTheme="minorHAnsi" w:hAnsiTheme="minorHAnsi" w:cstheme="minorHAnsi"/>
          <w:sz w:val="26"/>
          <w:szCs w:val="26"/>
        </w:rPr>
        <w:t>4</w:t>
      </w:r>
      <w:r w:rsidR="004A4D4A">
        <w:rPr>
          <w:rFonts w:asciiTheme="minorHAnsi" w:hAnsiTheme="minorHAnsi" w:cstheme="minorHAnsi"/>
          <w:sz w:val="26"/>
          <w:szCs w:val="26"/>
        </w:rPr>
        <w:t>9</w:t>
      </w:r>
      <w:r w:rsidRPr="006B7D32">
        <w:rPr>
          <w:rFonts w:asciiTheme="minorHAnsi" w:hAnsiTheme="minorHAnsi" w:cstheme="minorHAnsi"/>
          <w:sz w:val="26"/>
          <w:szCs w:val="26"/>
        </w:rPr>
        <w:t xml:space="preserve"> de posturi acordate potrivit art. 147 din Legea nr. 304/2022, din care 3</w:t>
      </w:r>
      <w:r w:rsidR="009E3BCC" w:rsidRPr="006B7D32">
        <w:rPr>
          <w:rFonts w:asciiTheme="minorHAnsi" w:hAnsiTheme="minorHAnsi" w:cstheme="minorHAnsi"/>
          <w:sz w:val="26"/>
          <w:szCs w:val="26"/>
        </w:rPr>
        <w:t>9</w:t>
      </w:r>
      <w:r w:rsidR="004A4D4A">
        <w:rPr>
          <w:rFonts w:asciiTheme="minorHAnsi" w:hAnsiTheme="minorHAnsi" w:cstheme="minorHAnsi"/>
          <w:sz w:val="26"/>
          <w:szCs w:val="26"/>
        </w:rPr>
        <w:t>8</w:t>
      </w:r>
      <w:r w:rsidRPr="006B7D32">
        <w:rPr>
          <w:rFonts w:asciiTheme="minorHAnsi" w:hAnsiTheme="minorHAnsi" w:cstheme="minorHAnsi"/>
          <w:sz w:val="26"/>
          <w:szCs w:val="26"/>
        </w:rPr>
        <w:t xml:space="preserve"> de posturi corespunzătoare funcţiilor de execuţie, iar 3</w:t>
      </w:r>
      <w:r w:rsidR="004A4D4A">
        <w:rPr>
          <w:rFonts w:asciiTheme="minorHAnsi" w:hAnsiTheme="minorHAnsi" w:cstheme="minorHAnsi"/>
          <w:sz w:val="26"/>
          <w:szCs w:val="26"/>
        </w:rPr>
        <w:t>52</w:t>
      </w:r>
      <w:r w:rsidRPr="006B7D32">
        <w:rPr>
          <w:rFonts w:asciiTheme="minorHAnsi" w:hAnsiTheme="minorHAnsi" w:cstheme="minorHAnsi"/>
          <w:sz w:val="26"/>
          <w:szCs w:val="26"/>
        </w:rPr>
        <w:t xml:space="preserve"> de posturi funcţiilor de conducere.</w:t>
      </w:r>
    </w:p>
    <w:p w14:paraId="060E4063" w14:textId="2A844F72" w:rsidR="00E157CE" w:rsidRPr="006B7D32" w:rsidRDefault="00E157CE" w:rsidP="00D51F5A">
      <w:pPr>
        <w:spacing w:line="276" w:lineRule="auto"/>
        <w:jc w:val="both"/>
        <w:rPr>
          <w:rFonts w:asciiTheme="minorHAnsi" w:hAnsiTheme="minorHAnsi" w:cstheme="minorHAnsi"/>
          <w:sz w:val="26"/>
          <w:szCs w:val="26"/>
        </w:rPr>
      </w:pPr>
      <w:r w:rsidRPr="006B7D32">
        <w:rPr>
          <w:rFonts w:asciiTheme="minorHAnsi" w:hAnsiTheme="minorHAnsi" w:cstheme="minorHAnsi"/>
          <w:sz w:val="26"/>
          <w:szCs w:val="26"/>
        </w:rPr>
        <w:tab/>
      </w:r>
      <w:r w:rsidRPr="006B7D32">
        <w:rPr>
          <w:rFonts w:asciiTheme="minorHAnsi" w:hAnsiTheme="minorHAnsi" w:cstheme="minorHAnsi"/>
          <w:b/>
          <w:sz w:val="26"/>
          <w:szCs w:val="26"/>
        </w:rPr>
        <w:t>Din totalul celor 22</w:t>
      </w:r>
      <w:r w:rsidR="0076378A">
        <w:rPr>
          <w:rFonts w:asciiTheme="minorHAnsi" w:hAnsiTheme="minorHAnsi" w:cstheme="minorHAnsi"/>
          <w:b/>
          <w:sz w:val="26"/>
          <w:szCs w:val="26"/>
        </w:rPr>
        <w:t>74</w:t>
      </w:r>
      <w:r w:rsidRPr="006B7D32">
        <w:rPr>
          <w:rFonts w:asciiTheme="minorHAnsi" w:hAnsiTheme="minorHAnsi" w:cstheme="minorHAnsi"/>
          <w:b/>
          <w:sz w:val="26"/>
          <w:szCs w:val="26"/>
        </w:rPr>
        <w:t xml:space="preserve"> de posturi de procuror ocupate, </w:t>
      </w:r>
      <w:r w:rsidR="0076378A">
        <w:rPr>
          <w:rFonts w:asciiTheme="minorHAnsi" w:hAnsiTheme="minorHAnsi" w:cstheme="minorHAnsi"/>
          <w:b/>
          <w:sz w:val="26"/>
          <w:szCs w:val="26"/>
        </w:rPr>
        <w:t>2</w:t>
      </w:r>
      <w:r w:rsidRPr="006B7D32">
        <w:rPr>
          <w:rFonts w:asciiTheme="minorHAnsi" w:hAnsiTheme="minorHAnsi" w:cstheme="minorHAnsi"/>
          <w:b/>
          <w:sz w:val="26"/>
          <w:szCs w:val="26"/>
        </w:rPr>
        <w:t xml:space="preserve"> procuro</w:t>
      </w:r>
      <w:r w:rsidR="00B34A7C" w:rsidRPr="006B7D32">
        <w:rPr>
          <w:rFonts w:asciiTheme="minorHAnsi" w:hAnsiTheme="minorHAnsi" w:cstheme="minorHAnsi"/>
          <w:b/>
          <w:sz w:val="26"/>
          <w:szCs w:val="26"/>
        </w:rPr>
        <w:t>r</w:t>
      </w:r>
      <w:r w:rsidR="0076378A">
        <w:rPr>
          <w:rFonts w:asciiTheme="minorHAnsi" w:hAnsiTheme="minorHAnsi" w:cstheme="minorHAnsi"/>
          <w:b/>
          <w:sz w:val="26"/>
          <w:szCs w:val="26"/>
        </w:rPr>
        <w:t>i</w:t>
      </w:r>
      <w:r w:rsidRPr="006B7D32">
        <w:rPr>
          <w:rFonts w:asciiTheme="minorHAnsi" w:hAnsiTheme="minorHAnsi" w:cstheme="minorHAnsi"/>
          <w:b/>
          <w:sz w:val="26"/>
          <w:szCs w:val="26"/>
        </w:rPr>
        <w:t xml:space="preserve"> funcţiona</w:t>
      </w:r>
      <w:r w:rsidR="0076378A">
        <w:rPr>
          <w:rFonts w:asciiTheme="minorHAnsi" w:hAnsiTheme="minorHAnsi" w:cstheme="minorHAnsi"/>
          <w:b/>
          <w:sz w:val="26"/>
          <w:szCs w:val="26"/>
        </w:rPr>
        <w:t>u</w:t>
      </w:r>
      <w:r w:rsidRPr="006B7D32">
        <w:rPr>
          <w:rFonts w:asciiTheme="minorHAnsi" w:hAnsiTheme="minorHAnsi" w:cstheme="minorHAnsi"/>
          <w:b/>
          <w:sz w:val="26"/>
          <w:szCs w:val="26"/>
        </w:rPr>
        <w:t xml:space="preserve"> peste schema prevăzută </w:t>
      </w:r>
      <w:r w:rsidRPr="006B7D32">
        <w:rPr>
          <w:rFonts w:asciiTheme="minorHAnsi" w:hAnsiTheme="minorHAnsi" w:cstheme="minorHAnsi"/>
          <w:sz w:val="26"/>
          <w:szCs w:val="26"/>
        </w:rPr>
        <w:t>(la parchet</w:t>
      </w:r>
      <w:r w:rsidR="00B34A7C" w:rsidRPr="006B7D32">
        <w:rPr>
          <w:rFonts w:asciiTheme="minorHAnsi" w:hAnsiTheme="minorHAnsi" w:cstheme="minorHAnsi"/>
          <w:sz w:val="26"/>
          <w:szCs w:val="26"/>
        </w:rPr>
        <w:t>ul</w:t>
      </w:r>
      <w:r w:rsidRPr="006B7D32">
        <w:rPr>
          <w:rFonts w:asciiTheme="minorHAnsi" w:hAnsiTheme="minorHAnsi" w:cstheme="minorHAnsi"/>
          <w:sz w:val="26"/>
          <w:szCs w:val="26"/>
        </w:rPr>
        <w:t xml:space="preserve"> de pe lângă tribunal).</w:t>
      </w:r>
    </w:p>
    <w:bookmarkEnd w:id="80"/>
    <w:p w14:paraId="6BC8B9DA" w14:textId="77777777" w:rsidR="00E157CE" w:rsidRPr="004A72CD" w:rsidRDefault="00E157CE" w:rsidP="00D51F5A">
      <w:pPr>
        <w:spacing w:line="276" w:lineRule="auto"/>
        <w:jc w:val="both"/>
        <w:rPr>
          <w:rFonts w:asciiTheme="minorHAnsi" w:hAnsiTheme="minorHAnsi" w:cstheme="minorHAnsi"/>
          <w:color w:val="FF0000"/>
          <w:sz w:val="26"/>
          <w:szCs w:val="26"/>
        </w:rPr>
      </w:pPr>
      <w:r w:rsidRPr="004A72CD">
        <w:rPr>
          <w:rFonts w:asciiTheme="minorHAnsi" w:hAnsiTheme="minorHAnsi" w:cstheme="minorHAnsi"/>
          <w:color w:val="FF0000"/>
          <w:sz w:val="26"/>
          <w:szCs w:val="26"/>
        </w:rPr>
        <w:tab/>
      </w:r>
      <w:r w:rsidRPr="004A72CD">
        <w:rPr>
          <w:rFonts w:asciiTheme="minorHAnsi" w:hAnsiTheme="minorHAnsi" w:cstheme="minorHAnsi"/>
          <w:sz w:val="26"/>
          <w:szCs w:val="26"/>
        </w:rPr>
        <w:t>Funcţionarea peste schemă se datorează faptului că procurorii respectivi fie şi-au încetat mandatele de conducere, fie şi-au încetat activitatea la cele două structuri din cadrul Parchetului de pe lângă Înalta Curte de Casaţie şi Justiţie, Direcţia Naţională Anticorupţie şi Direcţia de Investigare a Infracţiunilor de Criminalitate Organizată şi Terorism şi, potrivit dispoziţiilor legale, au revenit pe posturile de execuţie de la unităţile de parchet la care au funcţionat anterior numirii.</w:t>
      </w:r>
    </w:p>
    <w:p w14:paraId="1A4C1A7E" w14:textId="20B6816E" w:rsidR="00E157CE" w:rsidRPr="001819E7" w:rsidRDefault="00E157CE" w:rsidP="00E933A9">
      <w:pPr>
        <w:pStyle w:val="Heading2"/>
        <w:keepLines w:val="0"/>
        <w:rPr>
          <w:lang w:val="pt-PT"/>
        </w:rPr>
      </w:pPr>
      <w:bookmarkStart w:id="81" w:name="_Toc187824367"/>
      <w:r w:rsidRPr="001819E7">
        <w:rPr>
          <w:lang w:val="pt-PT"/>
        </w:rPr>
        <w:t>II.2.</w:t>
      </w:r>
      <w:r w:rsidRPr="001819E7">
        <w:rPr>
          <w:lang w:val="pt-PT"/>
        </w:rPr>
        <w:tab/>
        <w:t>Organizarea instanţelor judecătoreşti şi a parchetelor</w:t>
      </w:r>
      <w:bookmarkEnd w:id="81"/>
      <w:r w:rsidRPr="001819E7">
        <w:rPr>
          <w:lang w:val="pt-PT"/>
        </w:rPr>
        <w:tab/>
      </w:r>
    </w:p>
    <w:p w14:paraId="74A1085F" w14:textId="77777777" w:rsidR="00E157CE" w:rsidRPr="004A72CD" w:rsidRDefault="00E157CE" w:rsidP="00E933A9">
      <w:pPr>
        <w:pStyle w:val="Heading3"/>
        <w:keepLines w:val="0"/>
      </w:pPr>
      <w:bookmarkStart w:id="82" w:name="_Toc126071125"/>
      <w:bookmarkStart w:id="83" w:name="_Toc187824368"/>
      <w:r w:rsidRPr="004A72CD">
        <w:t>II.2.1. Instanţe</w:t>
      </w:r>
      <w:bookmarkEnd w:id="82"/>
      <w:bookmarkEnd w:id="83"/>
    </w:p>
    <w:p w14:paraId="60CB11FB" w14:textId="06A00EC8" w:rsidR="00E157CE" w:rsidRPr="004A72CD" w:rsidRDefault="00E157CE" w:rsidP="00E933A9">
      <w:pPr>
        <w:keepNext/>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În anul 2024, în baza actualelor prevederi legale în vigoare, respectiv Legea nr. 304/2022 privind organizarea judiciară, în vederea eficientizării activităţii instanţelor, Consiliul Superior al Magistraturii a emis avize conforme pentru transferul temporar al unor posturi de judecător şi a </w:t>
      </w:r>
      <w:r w:rsidRPr="004A72CD">
        <w:rPr>
          <w:rFonts w:asciiTheme="minorHAnsi" w:hAnsiTheme="minorHAnsi" w:cstheme="minorHAnsi"/>
          <w:sz w:val="26"/>
          <w:szCs w:val="26"/>
        </w:rPr>
        <w:lastRenderedPageBreak/>
        <w:t>aprobat, potrivit practicii constante, ocuparea de posturi de judecător temporar vacante, în condiţiile art. 147 din Legea nr. 304/2022.</w:t>
      </w:r>
    </w:p>
    <w:p w14:paraId="697DB28E" w14:textId="77777777" w:rsidR="00E157CE" w:rsidRPr="004A72CD" w:rsidRDefault="00E157CE"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În ceea ce privește personalul auxiliar și conex, au fost acordate avizele conforme solicitate pentru transferul unor posturi la nivelul instanțelor judecătorești.</w:t>
      </w:r>
    </w:p>
    <w:p w14:paraId="1637F2C4" w14:textId="72C90ACC" w:rsidR="00E157CE" w:rsidRPr="004A72CD" w:rsidRDefault="00E157CE"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Nu în ultimul rând, în perioada analizată, la nivelul Consiliului Superior al Magistraturii s-a aprobat, în acord cu prevederile legale în materie, înfiinţarea sau</w:t>
      </w:r>
      <w:r w:rsidR="001D5936">
        <w:rPr>
          <w:rFonts w:asciiTheme="minorHAnsi" w:hAnsiTheme="minorHAnsi" w:cstheme="minorHAnsi"/>
          <w:sz w:val="26"/>
          <w:szCs w:val="26"/>
        </w:rPr>
        <w:t>,</w:t>
      </w:r>
      <w:r w:rsidRPr="004A72CD">
        <w:rPr>
          <w:rFonts w:asciiTheme="minorHAnsi" w:hAnsiTheme="minorHAnsi" w:cstheme="minorHAnsi"/>
          <w:sz w:val="26"/>
          <w:szCs w:val="26"/>
        </w:rPr>
        <w:t xml:space="preserve"> după caz, desfiinţarea de completuri specializate.</w:t>
      </w:r>
    </w:p>
    <w:p w14:paraId="7B69025F" w14:textId="6ED72D90" w:rsidR="00E157CE" w:rsidRPr="004A72CD" w:rsidRDefault="00E157CE"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De asemenea, şi pe parcursul acestui an, în ședința </w:t>
      </w:r>
      <w:r w:rsidRPr="004A72CD">
        <w:rPr>
          <w:rFonts w:asciiTheme="minorHAnsi" w:hAnsiTheme="minorHAnsi" w:cstheme="minorHAnsi"/>
          <w:iCs/>
          <w:sz w:val="26"/>
          <w:szCs w:val="26"/>
        </w:rPr>
        <w:t xml:space="preserve">Comisiei nr. 2 – Reunită – </w:t>
      </w:r>
      <w:r w:rsidR="00EA789F" w:rsidRPr="004A72CD">
        <w:rPr>
          <w:rFonts w:asciiTheme="minorHAnsi" w:hAnsiTheme="minorHAnsi" w:cstheme="minorHAnsi"/>
          <w:iCs/>
          <w:sz w:val="26"/>
          <w:szCs w:val="26"/>
        </w:rPr>
        <w:t>„</w:t>
      </w:r>
      <w:r w:rsidRPr="004A72CD">
        <w:rPr>
          <w:rFonts w:asciiTheme="minorHAnsi" w:hAnsiTheme="minorHAnsi" w:cstheme="minorHAnsi"/>
          <w:iCs/>
          <w:sz w:val="26"/>
          <w:szCs w:val="26"/>
        </w:rPr>
        <w:t>Resurse umane și organizare</w:t>
      </w:r>
      <w:r w:rsidR="00EA789F" w:rsidRPr="004A72CD">
        <w:rPr>
          <w:rFonts w:asciiTheme="minorHAnsi" w:hAnsiTheme="minorHAnsi" w:cstheme="minorHAnsi"/>
          <w:iCs/>
          <w:sz w:val="26"/>
          <w:szCs w:val="26"/>
        </w:rPr>
        <w:t>”</w:t>
      </w:r>
      <w:r w:rsidRPr="004A72CD">
        <w:rPr>
          <w:rFonts w:asciiTheme="minorHAnsi" w:hAnsiTheme="minorHAnsi" w:cstheme="minorHAnsi"/>
          <w:sz w:val="26"/>
          <w:szCs w:val="26"/>
        </w:rPr>
        <w:t xml:space="preserve"> din data de </w:t>
      </w:r>
      <w:r w:rsidR="00EA789F" w:rsidRPr="004A72CD">
        <w:rPr>
          <w:rFonts w:asciiTheme="minorHAnsi" w:hAnsiTheme="minorHAnsi" w:cstheme="minorHAnsi"/>
          <w:sz w:val="26"/>
          <w:szCs w:val="26"/>
        </w:rPr>
        <w:t>0</w:t>
      </w:r>
      <w:r w:rsidRPr="004A72CD">
        <w:rPr>
          <w:rFonts w:asciiTheme="minorHAnsi" w:hAnsiTheme="minorHAnsi" w:cstheme="minorHAnsi"/>
          <w:sz w:val="26"/>
          <w:szCs w:val="26"/>
        </w:rPr>
        <w:t>9 mai 2024</w:t>
      </w:r>
      <w:r w:rsidR="00BD685A">
        <w:rPr>
          <w:rFonts w:asciiTheme="minorHAnsi" w:hAnsiTheme="minorHAnsi" w:cstheme="minorHAnsi"/>
          <w:sz w:val="26"/>
          <w:szCs w:val="26"/>
        </w:rPr>
        <w:t>,</w:t>
      </w:r>
      <w:r w:rsidRPr="004A72CD">
        <w:rPr>
          <w:rFonts w:asciiTheme="minorHAnsi" w:hAnsiTheme="minorHAnsi" w:cstheme="minorHAnsi"/>
          <w:sz w:val="26"/>
          <w:szCs w:val="26"/>
        </w:rPr>
        <w:t xml:space="preserve"> s-a continuat activitatea grupului de lucru interinstituțional pentru elaborarea unei strategii de resurse umane, în acord cu </w:t>
      </w:r>
      <w:r w:rsidRPr="004A72CD">
        <w:rPr>
          <w:rFonts w:asciiTheme="minorHAnsi" w:hAnsiTheme="minorHAnsi" w:cstheme="minorHAnsi"/>
          <w:i/>
          <w:sz w:val="26"/>
          <w:szCs w:val="26"/>
        </w:rPr>
        <w:t>Obiectivul specific 3.7. din Strategia pentru dezvoltarea sistemului judiciar (SDSJ)</w:t>
      </w:r>
      <w:r w:rsidRPr="004A72CD">
        <w:rPr>
          <w:rFonts w:asciiTheme="minorHAnsi" w:hAnsiTheme="minorHAnsi" w:cstheme="minorHAnsi"/>
          <w:sz w:val="26"/>
          <w:szCs w:val="26"/>
        </w:rPr>
        <w:t xml:space="preserve"> 2022-2025 și din </w:t>
      </w:r>
      <w:r w:rsidRPr="004A72CD">
        <w:rPr>
          <w:rFonts w:asciiTheme="minorHAnsi" w:hAnsiTheme="minorHAnsi" w:cstheme="minorHAnsi"/>
          <w:i/>
          <w:sz w:val="26"/>
          <w:szCs w:val="26"/>
        </w:rPr>
        <w:t>Planul de activitate aferent acesteia (PASDSJ)</w:t>
      </w:r>
      <w:r w:rsidRPr="004A72CD">
        <w:rPr>
          <w:rFonts w:asciiTheme="minorHAnsi" w:hAnsiTheme="minorHAnsi" w:cstheme="minorHAnsi"/>
          <w:sz w:val="26"/>
          <w:szCs w:val="26"/>
        </w:rPr>
        <w:t xml:space="preserve">, precum și </w:t>
      </w:r>
      <w:r w:rsidRPr="004A72CD">
        <w:rPr>
          <w:rFonts w:asciiTheme="minorHAnsi" w:hAnsiTheme="minorHAnsi" w:cstheme="minorHAnsi"/>
          <w:bCs/>
          <w:sz w:val="26"/>
          <w:szCs w:val="26"/>
        </w:rPr>
        <w:t xml:space="preserve">cu măsurile agreate în cadrul ședinței </w:t>
      </w:r>
      <w:r w:rsidRPr="004A72CD">
        <w:rPr>
          <w:rFonts w:asciiTheme="minorHAnsi" w:hAnsiTheme="minorHAnsi" w:cstheme="minorHAnsi"/>
          <w:sz w:val="26"/>
          <w:szCs w:val="26"/>
        </w:rPr>
        <w:t xml:space="preserve">Consiliului de Management Strategic din data de 27 aprilie 2024, vizând </w:t>
      </w:r>
      <w:r w:rsidRPr="004A72CD">
        <w:rPr>
          <w:rFonts w:asciiTheme="minorHAnsi" w:hAnsiTheme="minorHAnsi" w:cstheme="minorHAnsi"/>
          <w:bCs/>
          <w:iCs/>
          <w:sz w:val="26"/>
          <w:szCs w:val="26"/>
        </w:rPr>
        <w:t xml:space="preserve">elaborarea unui studiu/concept privind o nouă hartă a instanțelor și parchetelor, precum și a unei strategii de resurse umane pe termen lung, </w:t>
      </w:r>
      <w:r w:rsidRPr="004A72CD">
        <w:rPr>
          <w:rFonts w:asciiTheme="minorHAnsi" w:hAnsiTheme="minorHAnsi" w:cstheme="minorHAnsi"/>
          <w:sz w:val="26"/>
          <w:szCs w:val="26"/>
        </w:rPr>
        <w:t>inclusiv din perspectiva elementelor de dinamică demografică și de dezvoltare economică a regiunilor pentru a aborda vulnerabilitatea constând în deficitul de resurse umane din sistemul judiciar.</w:t>
      </w:r>
    </w:p>
    <w:p w14:paraId="068CE70F" w14:textId="3575243A" w:rsidR="00E157CE" w:rsidRPr="004A72CD" w:rsidRDefault="00E157CE" w:rsidP="001E012E">
      <w:pPr>
        <w:pStyle w:val="Heading3"/>
        <w:rPr>
          <w:color w:val="00B0F0"/>
        </w:rPr>
      </w:pPr>
      <w:r w:rsidRPr="004A72CD">
        <w:rPr>
          <w:color w:val="00B0F0"/>
        </w:rPr>
        <w:t xml:space="preserve">  </w:t>
      </w:r>
      <w:bookmarkStart w:id="84" w:name="_Toc187824369"/>
      <w:r w:rsidRPr="004A72CD">
        <w:t>II.2.2. Parchete</w:t>
      </w:r>
      <w:bookmarkEnd w:id="84"/>
    </w:p>
    <w:p w14:paraId="6688D754" w14:textId="7C16C719" w:rsidR="00E157CE" w:rsidRDefault="00E157CE" w:rsidP="00D51F5A">
      <w:pPr>
        <w:spacing w:line="276" w:lineRule="auto"/>
        <w:ind w:firstLine="720"/>
        <w:jc w:val="both"/>
        <w:rPr>
          <w:rFonts w:asciiTheme="minorHAnsi" w:hAnsiTheme="minorHAnsi" w:cstheme="minorHAnsi"/>
          <w:sz w:val="26"/>
          <w:szCs w:val="26"/>
          <w:shd w:val="clear" w:color="auto" w:fill="FFFFFF"/>
        </w:rPr>
      </w:pPr>
      <w:r w:rsidRPr="004A72CD">
        <w:rPr>
          <w:rFonts w:asciiTheme="minorHAnsi" w:hAnsiTheme="minorHAnsi" w:cstheme="minorHAnsi"/>
          <w:sz w:val="26"/>
          <w:szCs w:val="26"/>
        </w:rPr>
        <w:t xml:space="preserve">Prin Hotărârea Secției pentru procurori nr. 1170/03.10.2023, s-a avizat proiectul de hotărâre de Guvern pentru suplimentarea numărului maxim de procurori pentru Direcția de Investigare a Infracțiunilor de Criminalitate Organizată și Terorism cu un număr de 25 de posturi de procuror, </w:t>
      </w:r>
      <w:r w:rsidRPr="004A72CD">
        <w:rPr>
          <w:rFonts w:asciiTheme="minorHAnsi" w:hAnsiTheme="minorHAnsi" w:cstheme="minorHAnsi"/>
          <w:sz w:val="26"/>
          <w:szCs w:val="26"/>
          <w:shd w:val="clear" w:color="auto" w:fill="FFFFFF"/>
        </w:rPr>
        <w:t xml:space="preserve">de la 310 posturi la 335 de posturi, </w:t>
      </w:r>
      <w:r w:rsidRPr="004A72CD">
        <w:rPr>
          <w:rFonts w:asciiTheme="minorHAnsi" w:hAnsiTheme="minorHAnsi" w:cstheme="minorHAnsi"/>
          <w:sz w:val="26"/>
          <w:szCs w:val="26"/>
        </w:rPr>
        <w:t>40 de funcții de grefieri și 27 de posturi de personal economic și administrativ</w:t>
      </w:r>
      <w:r w:rsidRPr="004A72CD">
        <w:rPr>
          <w:rFonts w:asciiTheme="minorHAnsi" w:hAnsiTheme="minorHAnsi" w:cstheme="minorHAnsi"/>
          <w:sz w:val="26"/>
          <w:szCs w:val="26"/>
          <w:shd w:val="clear" w:color="auto" w:fill="FFFFFF"/>
        </w:rPr>
        <w:t>. Prin Hotărârea nr. 566/09.04.2024 s-a acordat avizul conform pentru suplimentarea numărului maxim de posturi pentru Direcția de Investigare a Infracțiunilor de Criminalitate Organizată și Terorism cu 25 de posturi de procuror și 25 de posturi de personal auxiliar de specialitate, economic și administrativ.</w:t>
      </w:r>
    </w:p>
    <w:p w14:paraId="50DFD92C" w14:textId="77777777" w:rsidR="00F473EC" w:rsidRPr="00E45208" w:rsidRDefault="00F473EC" w:rsidP="00F473EC">
      <w:pPr>
        <w:spacing w:line="276" w:lineRule="auto"/>
        <w:ind w:firstLine="720"/>
        <w:jc w:val="both"/>
        <w:rPr>
          <w:rFonts w:asciiTheme="minorHAnsi" w:hAnsiTheme="minorHAnsi" w:cstheme="minorHAnsi"/>
          <w:sz w:val="26"/>
          <w:szCs w:val="26"/>
          <w:shd w:val="clear" w:color="auto" w:fill="FFFFFF"/>
        </w:rPr>
      </w:pPr>
      <w:r w:rsidRPr="00E45208">
        <w:rPr>
          <w:rFonts w:asciiTheme="minorHAnsi" w:hAnsiTheme="minorHAnsi" w:cstheme="minorHAnsi"/>
          <w:sz w:val="26"/>
          <w:szCs w:val="26"/>
          <w:shd w:val="clear" w:color="auto" w:fill="FFFFFF"/>
        </w:rPr>
        <w:t>Secţia pentru procurori a Consiliului Superior al Magistraturii a hotărât acordarea avizului conform pentru modificarea statelor de funcții și de personal ale Parchetului de pe lângă Înalta Curte de Casasție și Justiție și ale parchetelor de pe lângă curțile de apel, tribunale și judecătorii, prin Hotărârea nr. 1308/12.11.2024.</w:t>
      </w:r>
    </w:p>
    <w:p w14:paraId="0EACFE47" w14:textId="0993995B" w:rsidR="00F473EC" w:rsidRPr="00E45208" w:rsidRDefault="00F473EC" w:rsidP="00F473EC">
      <w:pPr>
        <w:spacing w:line="276" w:lineRule="auto"/>
        <w:ind w:firstLine="720"/>
        <w:jc w:val="both"/>
        <w:rPr>
          <w:rFonts w:asciiTheme="minorHAnsi" w:hAnsiTheme="minorHAnsi" w:cstheme="minorHAnsi"/>
          <w:sz w:val="26"/>
          <w:szCs w:val="26"/>
          <w:shd w:val="clear" w:color="auto" w:fill="FFFFFF"/>
        </w:rPr>
      </w:pPr>
      <w:r w:rsidRPr="00E45208">
        <w:rPr>
          <w:rFonts w:asciiTheme="minorHAnsi" w:hAnsiTheme="minorHAnsi" w:cstheme="minorHAnsi"/>
          <w:sz w:val="26"/>
          <w:szCs w:val="26"/>
          <w:shd w:val="clear" w:color="auto" w:fill="FFFFFF"/>
        </w:rPr>
        <w:t xml:space="preserve">Prin Hotărârea Secției pentru procurori din cadrul Consiliului Superior al Magistraturii nr. 1288/29.10.2024 a fost avizat favorabil </w:t>
      </w:r>
      <w:r w:rsidR="000522AF">
        <w:rPr>
          <w:rFonts w:asciiTheme="minorHAnsi" w:hAnsiTheme="minorHAnsi" w:cstheme="minorHAnsi"/>
          <w:sz w:val="26"/>
          <w:szCs w:val="26"/>
          <w:shd w:val="clear" w:color="auto" w:fill="FFFFFF"/>
        </w:rPr>
        <w:t>p</w:t>
      </w:r>
      <w:r w:rsidRPr="00E45208">
        <w:rPr>
          <w:rFonts w:asciiTheme="minorHAnsi" w:hAnsiTheme="minorHAnsi" w:cstheme="minorHAnsi"/>
          <w:sz w:val="26"/>
          <w:szCs w:val="26"/>
          <w:shd w:val="clear" w:color="auto" w:fill="FFFFFF"/>
        </w:rPr>
        <w:t>roiectul de hotărâre a Guvernului privind suplimentarea numărului maxim de posturi pentru Direcția Națională Anticorupție</w:t>
      </w:r>
      <w:r w:rsidR="00EB7FA9">
        <w:rPr>
          <w:rFonts w:asciiTheme="minorHAnsi" w:hAnsiTheme="minorHAnsi" w:cstheme="minorHAnsi"/>
          <w:sz w:val="26"/>
          <w:szCs w:val="26"/>
          <w:shd w:val="clear" w:color="auto" w:fill="FFFFFF"/>
        </w:rPr>
        <w:t>,</w:t>
      </w:r>
      <w:r w:rsidRPr="00E45208">
        <w:rPr>
          <w:rFonts w:asciiTheme="minorHAnsi" w:hAnsiTheme="minorHAnsi" w:cstheme="minorHAnsi"/>
          <w:sz w:val="26"/>
          <w:szCs w:val="26"/>
          <w:shd w:val="clear" w:color="auto" w:fill="FFFFFF"/>
        </w:rPr>
        <w:t xml:space="preserve"> </w:t>
      </w:r>
      <w:r w:rsidR="00EB7FA9" w:rsidRPr="00EB7FA9">
        <w:rPr>
          <w:rFonts w:ascii="Calibri" w:hAnsi="Calibri" w:cs="Calibri"/>
          <w:noProof w:val="0"/>
          <w:sz w:val="26"/>
          <w:szCs w:val="26"/>
        </w:rPr>
        <w:t>iar prin Hotărârea Secției pentru procurori nr. 1717/17.10.2024 s-a decis acordarea avizului conform pentru modificarea statelor de funcţii şi de personal ale Direcţiei Naţionale Anticorupţie.</w:t>
      </w:r>
    </w:p>
    <w:p w14:paraId="2FC15E94" w14:textId="4D02D63C" w:rsidR="00E157CE" w:rsidRPr="001819E7" w:rsidRDefault="00E157CE" w:rsidP="001E012E">
      <w:pPr>
        <w:pStyle w:val="Heading2"/>
        <w:jc w:val="both"/>
        <w:rPr>
          <w:lang w:val="ro-RO"/>
        </w:rPr>
      </w:pPr>
      <w:bookmarkStart w:id="85" w:name="_Toc187824370"/>
      <w:r w:rsidRPr="001819E7">
        <w:rPr>
          <w:lang w:val="ro-RO"/>
        </w:rPr>
        <w:t>II.3. Activitatea în domeniul formării profesionale a magistraţilor şi a personalului auxiliar</w:t>
      </w:r>
      <w:bookmarkEnd w:id="73"/>
      <w:bookmarkEnd w:id="85"/>
    </w:p>
    <w:p w14:paraId="28562763" w14:textId="77777777" w:rsidR="00E157CE" w:rsidRPr="004A72CD" w:rsidRDefault="00E157CE" w:rsidP="00D51F5A">
      <w:pPr>
        <w:widowControl w:val="0"/>
        <w:autoSpaceDE w:val="0"/>
        <w:autoSpaceDN w:val="0"/>
        <w:adjustRightInd w:val="0"/>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Formarea profesională a magistraţilor şi a personalului auxiliar de specialitate al instanţelor judecătoreşti şi al parchetelor de pe lângă acestea este o activitate gestionată, la nivelul Consiliului Superior al Magistraturii, de către Serviciul concursuri şi formare profesională. </w:t>
      </w:r>
    </w:p>
    <w:p w14:paraId="0C31CFB8" w14:textId="5AD40539" w:rsidR="00E157CE" w:rsidRPr="004A72CD" w:rsidRDefault="00E157CE" w:rsidP="00D51F5A">
      <w:pPr>
        <w:keepNext/>
        <w:keepLines/>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lastRenderedPageBreak/>
        <w:t>Atribuțiile de formare profesională exercitate în cadrul Serviciului concursuri şi formare profesională sunt reglementate la art. 88 lit. d) – p) din Regulamentul de organizare și funcționare a Consiliului Superior al Magistraturii</w:t>
      </w:r>
      <w:r w:rsidR="000522AF">
        <w:rPr>
          <w:rFonts w:asciiTheme="minorHAnsi" w:hAnsiTheme="minorHAnsi" w:cstheme="minorHAnsi"/>
          <w:sz w:val="26"/>
          <w:szCs w:val="26"/>
        </w:rPr>
        <w:t>,</w:t>
      </w:r>
      <w:r w:rsidRPr="004A72CD">
        <w:rPr>
          <w:rFonts w:asciiTheme="minorHAnsi" w:hAnsiTheme="minorHAnsi" w:cstheme="minorHAnsi"/>
          <w:sz w:val="26"/>
          <w:szCs w:val="26"/>
        </w:rPr>
        <w:t xml:space="preserve"> aprobat prin Hotărârea Plenului</w:t>
      </w:r>
      <w:r w:rsidR="006B2B2B" w:rsidRPr="004A72CD">
        <w:rPr>
          <w:rFonts w:asciiTheme="minorHAnsi" w:hAnsiTheme="minorHAnsi" w:cstheme="minorHAnsi"/>
          <w:sz w:val="26"/>
          <w:szCs w:val="26"/>
          <w:bdr w:val="none" w:sz="0" w:space="0" w:color="auto" w:frame="1"/>
          <w:lang w:eastAsia="ro-RO"/>
        </w:rPr>
        <w:t xml:space="preserve"> Consiliului Superior al Magistraturii</w:t>
      </w:r>
      <w:r w:rsidRPr="004A72CD">
        <w:rPr>
          <w:rFonts w:asciiTheme="minorHAnsi" w:hAnsiTheme="minorHAnsi" w:cstheme="minorHAnsi"/>
          <w:sz w:val="26"/>
          <w:szCs w:val="26"/>
        </w:rPr>
        <w:t xml:space="preserve"> nr. 122/2023, cu modificările şi completările ulterioare.</w:t>
      </w:r>
    </w:p>
    <w:p w14:paraId="6DFA75A5" w14:textId="35D20954" w:rsidR="00E157CE" w:rsidRPr="006B7D32" w:rsidRDefault="00E157CE" w:rsidP="00D51F5A">
      <w:pPr>
        <w:spacing w:line="276" w:lineRule="auto"/>
        <w:ind w:right="43" w:firstLine="709"/>
        <w:jc w:val="both"/>
        <w:rPr>
          <w:rFonts w:asciiTheme="minorHAnsi" w:hAnsiTheme="minorHAnsi" w:cstheme="minorHAnsi"/>
          <w:sz w:val="26"/>
          <w:szCs w:val="26"/>
        </w:rPr>
      </w:pPr>
      <w:r w:rsidRPr="006B7D32">
        <w:rPr>
          <w:rFonts w:asciiTheme="minorHAnsi" w:hAnsiTheme="minorHAnsi" w:cstheme="minorHAnsi"/>
          <w:sz w:val="26"/>
          <w:szCs w:val="26"/>
        </w:rPr>
        <w:t>Sub aspectul activității desfăşurate de acest birou, menţionăm că, în perioada de referinţă, au fost întocmite 1</w:t>
      </w:r>
      <w:r w:rsidR="002A267E">
        <w:rPr>
          <w:rFonts w:asciiTheme="minorHAnsi" w:hAnsiTheme="minorHAnsi" w:cstheme="minorHAnsi"/>
          <w:sz w:val="26"/>
          <w:szCs w:val="26"/>
        </w:rPr>
        <w:t>51</w:t>
      </w:r>
      <w:r w:rsidRPr="006B7D32">
        <w:rPr>
          <w:rFonts w:asciiTheme="minorHAnsi" w:hAnsiTheme="minorHAnsi" w:cstheme="minorHAnsi"/>
          <w:sz w:val="26"/>
          <w:szCs w:val="26"/>
        </w:rPr>
        <w:t xml:space="preserve"> de lucrări în domeniul formării profesionale, din care </w:t>
      </w:r>
      <w:r w:rsidR="00362A4F">
        <w:rPr>
          <w:rFonts w:asciiTheme="minorHAnsi" w:hAnsiTheme="minorHAnsi" w:cstheme="minorHAnsi"/>
          <w:sz w:val="26"/>
          <w:szCs w:val="26"/>
        </w:rPr>
        <w:t>63</w:t>
      </w:r>
      <w:r w:rsidRPr="006B7D32">
        <w:rPr>
          <w:rFonts w:asciiTheme="minorHAnsi" w:hAnsiTheme="minorHAnsi" w:cstheme="minorHAnsi"/>
          <w:sz w:val="26"/>
          <w:szCs w:val="26"/>
        </w:rPr>
        <w:t xml:space="preserve"> de lucrări au fost înaintate, spre soluționare, Plenului Consiliului Superior al Magistraturii, </w:t>
      </w:r>
      <w:r w:rsidR="00717A06" w:rsidRPr="006B7D32">
        <w:rPr>
          <w:rFonts w:asciiTheme="minorHAnsi" w:hAnsiTheme="minorHAnsi" w:cstheme="minorHAnsi"/>
          <w:sz w:val="26"/>
          <w:szCs w:val="26"/>
        </w:rPr>
        <w:t>6</w:t>
      </w:r>
      <w:r w:rsidRPr="006B7D32">
        <w:rPr>
          <w:rFonts w:asciiTheme="minorHAnsi" w:hAnsiTheme="minorHAnsi" w:cstheme="minorHAnsi"/>
          <w:sz w:val="26"/>
          <w:szCs w:val="26"/>
        </w:rPr>
        <w:t xml:space="preserve"> lucrări au fost înaintate </w:t>
      </w:r>
      <w:r w:rsidR="00D86BFF">
        <w:rPr>
          <w:rFonts w:asciiTheme="minorHAnsi" w:hAnsiTheme="minorHAnsi" w:cstheme="minorHAnsi"/>
          <w:sz w:val="26"/>
          <w:szCs w:val="26"/>
        </w:rPr>
        <w:t>s</w:t>
      </w:r>
      <w:r w:rsidRPr="006B7D32">
        <w:rPr>
          <w:rFonts w:asciiTheme="minorHAnsi" w:hAnsiTheme="minorHAnsi" w:cstheme="minorHAnsi"/>
          <w:sz w:val="26"/>
          <w:szCs w:val="26"/>
        </w:rPr>
        <w:t>ecțiilor corespunzătoare și 4 lucrări au fost înaintate către comisiile constituite la nivelul Consiliului Superior al Magistraturii.</w:t>
      </w:r>
    </w:p>
    <w:p w14:paraId="3C8036CC" w14:textId="77777777" w:rsidR="00E157CE" w:rsidRPr="004A72CD" w:rsidRDefault="00E157CE" w:rsidP="00D51F5A">
      <w:pPr>
        <w:spacing w:line="276" w:lineRule="auto"/>
        <w:ind w:right="43" w:firstLine="709"/>
        <w:jc w:val="both"/>
        <w:rPr>
          <w:rFonts w:asciiTheme="minorHAnsi" w:hAnsiTheme="minorHAnsi" w:cstheme="minorHAnsi"/>
          <w:sz w:val="26"/>
          <w:szCs w:val="26"/>
        </w:rPr>
      </w:pPr>
      <w:r w:rsidRPr="004A72CD">
        <w:rPr>
          <w:rFonts w:asciiTheme="minorHAnsi" w:hAnsiTheme="minorHAnsi" w:cstheme="minorHAnsi"/>
          <w:sz w:val="26"/>
          <w:szCs w:val="26"/>
        </w:rPr>
        <w:t>La nivelul Serviciului concursuri şi formare profesională au fost întocmite note pentru aprobarea de către Plenul Consiliului Superior al Magistraturii a programelor de formare inițială și continuă ale Institutului Naţional al Magistraturii și Școlii Naționale de Grefieri, precum și pentru aprobarea solicitărilor de completare a acestor programe. Totodată, au fost formulate note pentru aprobarea rețelelor de formatori ale Institutului Naţional al Magistraturii și Școlii Naționale de Grefieri, respectiv pentru încetarea calității de formator/coordonator de practică, respectiv suspendarea din aceste calități sau pentru numirea de formatori, astfel: formatori cu normă întreagă, formatori colaboratori, formatori folosiți în mod excepțional, coordonatori de practică.</w:t>
      </w:r>
    </w:p>
    <w:p w14:paraId="1DC313B1" w14:textId="65F051AD" w:rsidR="00E157CE" w:rsidRPr="004A72CD" w:rsidRDefault="00E157CE" w:rsidP="00D51F5A">
      <w:pPr>
        <w:spacing w:line="276" w:lineRule="auto"/>
        <w:ind w:right="43" w:firstLine="709"/>
        <w:jc w:val="both"/>
        <w:rPr>
          <w:rFonts w:asciiTheme="minorHAnsi" w:hAnsiTheme="minorHAnsi" w:cstheme="minorHAnsi"/>
          <w:sz w:val="26"/>
          <w:szCs w:val="26"/>
        </w:rPr>
      </w:pPr>
      <w:r w:rsidRPr="004A72CD">
        <w:rPr>
          <w:rFonts w:asciiTheme="minorHAnsi" w:hAnsiTheme="minorHAnsi" w:cstheme="minorHAnsi"/>
          <w:sz w:val="26"/>
          <w:szCs w:val="26"/>
        </w:rPr>
        <w:t>La data de 26 aprilie 2024, în conformitate cu</w:t>
      </w:r>
      <w:r w:rsidRPr="004A72CD">
        <w:rPr>
          <w:rFonts w:asciiTheme="minorHAnsi" w:hAnsiTheme="minorHAnsi" w:cstheme="minorHAnsi"/>
          <w:i/>
          <w:sz w:val="26"/>
          <w:szCs w:val="26"/>
        </w:rPr>
        <w:t xml:space="preserve"> </w:t>
      </w:r>
      <w:r w:rsidRPr="004A72CD">
        <w:rPr>
          <w:rFonts w:asciiTheme="minorHAnsi" w:hAnsiTheme="minorHAnsi" w:cstheme="minorHAnsi"/>
          <w:iCs/>
          <w:sz w:val="26"/>
          <w:szCs w:val="26"/>
        </w:rPr>
        <w:t>art. 12 din Regulamentul de organizare și funcționare al Școlii Naționale de Grefieri, aprobat prin Hotărârea Plenului Consiliului Superior al Magistraturii nr. 183/2007, cu modificările și completările ulterioare,</w:t>
      </w:r>
      <w:r w:rsidRPr="004A72CD">
        <w:rPr>
          <w:rFonts w:asciiTheme="minorHAnsi" w:hAnsiTheme="minorHAnsi" w:cstheme="minorHAnsi"/>
          <w:sz w:val="26"/>
          <w:szCs w:val="26"/>
        </w:rPr>
        <w:t xml:space="preserve"> a fost declanşată procedura pentru ocuparea celor 3 funcții de conducere din cadrul Şcolii Naţionale de Grefieri, respectiv funcţia de director şi funcţiile de director adjunct, responsabil cu formarea iniţială, şi de director adjunct, responsabil cu formarea continuă.</w:t>
      </w:r>
    </w:p>
    <w:p w14:paraId="5FD73023" w14:textId="77777777" w:rsidR="00E157CE" w:rsidRPr="004A72CD" w:rsidRDefault="00E157CE" w:rsidP="00D51F5A">
      <w:pPr>
        <w:shd w:val="clear" w:color="auto" w:fill="FFFFFF"/>
        <w:spacing w:line="276" w:lineRule="auto"/>
        <w:ind w:firstLine="709"/>
        <w:jc w:val="both"/>
        <w:rPr>
          <w:rFonts w:asciiTheme="minorHAnsi" w:hAnsiTheme="minorHAnsi" w:cstheme="minorHAnsi"/>
          <w:sz w:val="26"/>
          <w:szCs w:val="26"/>
          <w:u w:val="single"/>
        </w:rPr>
      </w:pPr>
      <w:r w:rsidRPr="004A72CD">
        <w:rPr>
          <w:rFonts w:asciiTheme="minorHAnsi" w:hAnsiTheme="minorHAnsi" w:cstheme="minorHAnsi"/>
          <w:bCs/>
          <w:iCs/>
          <w:sz w:val="26"/>
          <w:szCs w:val="26"/>
        </w:rPr>
        <w:t xml:space="preserve">Ca urmare a acestei proceduri, pentru funcţia de director al Şcolii Naţionale de Grefieri a fost înregistrată la Consiliul Superior al Magistraturii candidatura </w:t>
      </w:r>
      <w:r w:rsidRPr="004A72CD">
        <w:rPr>
          <w:rFonts w:asciiTheme="minorHAnsi" w:hAnsiTheme="minorHAnsi" w:cstheme="minorHAnsi"/>
          <w:bCs/>
          <w:sz w:val="26"/>
          <w:szCs w:val="26"/>
        </w:rPr>
        <w:t>domnului Adrian-Remus GHICULESCU</w:t>
      </w:r>
      <w:r w:rsidRPr="004A72CD">
        <w:rPr>
          <w:rFonts w:asciiTheme="minorHAnsi" w:hAnsiTheme="minorHAnsi" w:cstheme="minorHAnsi"/>
          <w:bCs/>
          <w:iCs/>
          <w:sz w:val="26"/>
          <w:szCs w:val="26"/>
        </w:rPr>
        <w:t xml:space="preserve">, judecător în cadrul Înaltei Curţi de Casaţie şi Justiţie, iar pentru funcţiile de director adjunct şi-au depus candidaturile </w:t>
      </w:r>
      <w:r w:rsidRPr="004A72CD">
        <w:rPr>
          <w:rFonts w:asciiTheme="minorHAnsi" w:hAnsiTheme="minorHAnsi" w:cstheme="minorHAnsi"/>
          <w:iCs/>
          <w:sz w:val="26"/>
          <w:szCs w:val="26"/>
        </w:rPr>
        <w:t>doamna Ancuţa PURA</w:t>
      </w:r>
      <w:r w:rsidRPr="004A72CD">
        <w:rPr>
          <w:rFonts w:asciiTheme="minorHAnsi" w:hAnsiTheme="minorHAnsi" w:cstheme="minorHAnsi"/>
          <w:sz w:val="26"/>
          <w:szCs w:val="26"/>
        </w:rPr>
        <w:t xml:space="preserve">, judecător în cadrul Curţii de Apel Cluj, detașată la Şcoala Naţională de Grefieri, responsabil cu formarea iniţială, şi </w:t>
      </w:r>
      <w:r w:rsidRPr="004A72CD">
        <w:rPr>
          <w:rFonts w:asciiTheme="minorHAnsi" w:hAnsiTheme="minorHAnsi" w:cstheme="minorHAnsi"/>
          <w:iCs/>
          <w:sz w:val="26"/>
          <w:szCs w:val="26"/>
        </w:rPr>
        <w:t>domnul Andrei-Dorin BĂNCILĂ</w:t>
      </w:r>
      <w:r w:rsidRPr="004A72CD">
        <w:rPr>
          <w:rFonts w:asciiTheme="minorHAnsi" w:hAnsiTheme="minorHAnsi" w:cstheme="minorHAnsi"/>
          <w:sz w:val="26"/>
          <w:szCs w:val="26"/>
        </w:rPr>
        <w:t>, judecător în cadrul Curţii de Apel Alba Iulia, detașat la Şcoala Naţională de Grefieri, director al Şcolii Naţionale de Grefieri, responsabil cu formarea continuă</w:t>
      </w:r>
      <w:r w:rsidRPr="004A72CD">
        <w:rPr>
          <w:rFonts w:asciiTheme="minorHAnsi" w:hAnsiTheme="minorHAnsi" w:cstheme="minorHAnsi"/>
          <w:bCs/>
          <w:iCs/>
          <w:sz w:val="26"/>
          <w:szCs w:val="26"/>
        </w:rPr>
        <w:t>.</w:t>
      </w:r>
    </w:p>
    <w:p w14:paraId="5D5E8974" w14:textId="77777777" w:rsidR="00E157CE" w:rsidRPr="004A72CD" w:rsidRDefault="00E157CE" w:rsidP="00D51F5A">
      <w:pPr>
        <w:shd w:val="clear" w:color="auto" w:fill="FFFFFF"/>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Prin Hotărârile nr. 111, nr. 112 şi nr. 113, toate emise în data de 06 iunie 2024, Plenul Consiliului Superior al Magistraturii a hotărât numirea </w:t>
      </w:r>
      <w:r w:rsidRPr="004A72CD">
        <w:rPr>
          <w:rFonts w:asciiTheme="minorHAnsi" w:hAnsiTheme="minorHAnsi" w:cstheme="minorHAnsi"/>
          <w:bCs/>
          <w:sz w:val="26"/>
          <w:szCs w:val="26"/>
        </w:rPr>
        <w:t>domnului judecător Adrian-Remus GHICULESCU</w:t>
      </w:r>
      <w:r w:rsidRPr="004A72CD">
        <w:rPr>
          <w:rFonts w:asciiTheme="minorHAnsi" w:hAnsiTheme="minorHAnsi" w:cstheme="minorHAnsi"/>
          <w:bCs/>
          <w:iCs/>
          <w:sz w:val="26"/>
          <w:szCs w:val="26"/>
        </w:rPr>
        <w:t xml:space="preserve"> în funcţia de director al Şcolii Naţionale de Grefieri, a</w:t>
      </w:r>
      <w:r w:rsidRPr="004A72CD">
        <w:rPr>
          <w:rFonts w:asciiTheme="minorHAnsi" w:hAnsiTheme="minorHAnsi" w:cstheme="minorHAnsi"/>
          <w:i/>
          <w:sz w:val="26"/>
          <w:szCs w:val="26"/>
        </w:rPr>
        <w:t xml:space="preserve"> </w:t>
      </w:r>
      <w:r w:rsidRPr="004A72CD">
        <w:rPr>
          <w:rFonts w:asciiTheme="minorHAnsi" w:hAnsiTheme="minorHAnsi" w:cstheme="minorHAnsi"/>
          <w:iCs/>
          <w:sz w:val="26"/>
          <w:szCs w:val="26"/>
        </w:rPr>
        <w:t>doamnei judecător Ancuţa PURA</w:t>
      </w:r>
      <w:r w:rsidRPr="004A72CD">
        <w:rPr>
          <w:rFonts w:asciiTheme="minorHAnsi" w:hAnsiTheme="minorHAnsi" w:cstheme="minorHAnsi"/>
          <w:sz w:val="26"/>
          <w:szCs w:val="26"/>
        </w:rPr>
        <w:t xml:space="preserve"> în funcţia de director adjunct, responsabil cu formarea iniţială, respectiv a </w:t>
      </w:r>
      <w:r w:rsidRPr="004A72CD">
        <w:rPr>
          <w:rFonts w:asciiTheme="minorHAnsi" w:hAnsiTheme="minorHAnsi" w:cstheme="minorHAnsi"/>
          <w:iCs/>
          <w:sz w:val="26"/>
          <w:szCs w:val="26"/>
        </w:rPr>
        <w:t>domnului judecător Andrei-Dorin BĂNCILĂ</w:t>
      </w:r>
      <w:r w:rsidRPr="004A72CD">
        <w:rPr>
          <w:rFonts w:asciiTheme="minorHAnsi" w:hAnsiTheme="minorHAnsi" w:cstheme="minorHAnsi"/>
          <w:sz w:val="26"/>
          <w:szCs w:val="26"/>
        </w:rPr>
        <w:t xml:space="preserve"> în funcţia de director adjunct, responsabil cu formarea continuă, pentru câte un</w:t>
      </w:r>
      <w:r w:rsidRPr="004A72CD">
        <w:rPr>
          <w:rFonts w:asciiTheme="minorHAnsi" w:hAnsiTheme="minorHAnsi" w:cstheme="minorHAnsi"/>
          <w:bCs/>
          <w:iCs/>
          <w:sz w:val="26"/>
          <w:szCs w:val="26"/>
        </w:rPr>
        <w:t xml:space="preserve"> mandat de 3 ani</w:t>
      </w:r>
      <w:r w:rsidRPr="004A72CD">
        <w:rPr>
          <w:rFonts w:asciiTheme="minorHAnsi" w:hAnsiTheme="minorHAnsi" w:cstheme="minorHAnsi"/>
          <w:sz w:val="26"/>
          <w:szCs w:val="26"/>
        </w:rPr>
        <w:t>.</w:t>
      </w:r>
    </w:p>
    <w:p w14:paraId="0ECBFFB6" w14:textId="77777777" w:rsidR="00E157CE" w:rsidRPr="004A72CD" w:rsidRDefault="00E157CE" w:rsidP="00D51F5A">
      <w:pPr>
        <w:spacing w:line="276" w:lineRule="auto"/>
        <w:ind w:firstLine="706"/>
        <w:jc w:val="both"/>
        <w:rPr>
          <w:rFonts w:asciiTheme="minorHAnsi" w:hAnsiTheme="minorHAnsi" w:cstheme="minorHAnsi"/>
          <w:sz w:val="26"/>
          <w:szCs w:val="26"/>
        </w:rPr>
      </w:pPr>
      <w:r w:rsidRPr="004A72CD">
        <w:rPr>
          <w:rFonts w:asciiTheme="minorHAnsi" w:hAnsiTheme="minorHAnsi" w:cstheme="minorHAnsi"/>
          <w:sz w:val="26"/>
          <w:szCs w:val="26"/>
        </w:rPr>
        <w:t>De asemenea, în cursul anului 2024 au devenit vacante cele 2 funcții de director adjunct al Institutului Naţional al Magistraturii, responsabil cu formarea iniţială, respectiv cu formarea continuă.</w:t>
      </w:r>
    </w:p>
    <w:p w14:paraId="431D910E" w14:textId="77777777" w:rsidR="00E157CE" w:rsidRPr="004A72CD" w:rsidRDefault="00E157CE" w:rsidP="00D51F5A">
      <w:pPr>
        <w:spacing w:line="276" w:lineRule="auto"/>
        <w:ind w:firstLine="706"/>
        <w:jc w:val="both"/>
        <w:rPr>
          <w:rFonts w:asciiTheme="minorHAnsi" w:hAnsiTheme="minorHAnsi" w:cstheme="minorHAnsi"/>
          <w:sz w:val="26"/>
          <w:szCs w:val="26"/>
        </w:rPr>
      </w:pPr>
      <w:r w:rsidRPr="004A72CD">
        <w:rPr>
          <w:rFonts w:asciiTheme="minorHAnsi" w:hAnsiTheme="minorHAnsi" w:cstheme="minorHAnsi"/>
          <w:sz w:val="26"/>
          <w:szCs w:val="26"/>
        </w:rPr>
        <w:t xml:space="preserve">Ca urmare a procedurilor de selecţie, declanşate în data de 26 aprilie 2024 pentru funcţia de director adjunct al Institutului Naţional al Magistraturii, responsabil cu formarea iniţială, </w:t>
      </w:r>
      <w:r w:rsidRPr="004A72CD">
        <w:rPr>
          <w:rFonts w:asciiTheme="minorHAnsi" w:hAnsiTheme="minorHAnsi" w:cstheme="minorHAnsi"/>
          <w:sz w:val="26"/>
          <w:szCs w:val="26"/>
        </w:rPr>
        <w:lastRenderedPageBreak/>
        <w:t>respectiv în data de 25 iulie 2024 pentru funcţia de director adjunct al Institutului Naţional al Magistraturii, responsabil cu formarea continuă, au fost depuse următoarele candidaturi:</w:t>
      </w:r>
    </w:p>
    <w:p w14:paraId="605298CE" w14:textId="77777777" w:rsidR="00E157CE" w:rsidRPr="004A72CD" w:rsidRDefault="00E157CE">
      <w:pPr>
        <w:numPr>
          <w:ilvl w:val="0"/>
          <w:numId w:val="28"/>
        </w:numPr>
        <w:tabs>
          <w:tab w:val="left" w:pos="1134"/>
        </w:tabs>
        <w:spacing w:line="276" w:lineRule="auto"/>
        <w:ind w:left="0"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pentru funcţia de director adjunct al Institutului Naţional al Magistraturii, responsabil cu formarea iniţială: </w:t>
      </w:r>
      <w:r w:rsidRPr="004A72CD">
        <w:rPr>
          <w:rFonts w:asciiTheme="minorHAnsi" w:hAnsiTheme="minorHAnsi" w:cstheme="minorHAnsi"/>
          <w:iCs/>
          <w:sz w:val="26"/>
          <w:szCs w:val="26"/>
        </w:rPr>
        <w:t>doamna Amelia-Raluca ONIŞOR</w:t>
      </w:r>
      <w:r w:rsidRPr="004A72CD">
        <w:rPr>
          <w:rFonts w:asciiTheme="minorHAnsi" w:hAnsiTheme="minorHAnsi" w:cstheme="minorHAnsi"/>
          <w:sz w:val="26"/>
          <w:szCs w:val="26"/>
        </w:rPr>
        <w:t>, judecător în cadrul Curții de Apel Bucureşti;</w:t>
      </w:r>
    </w:p>
    <w:p w14:paraId="5BBD050E" w14:textId="77777777" w:rsidR="00E157CE" w:rsidRPr="004A72CD" w:rsidRDefault="00E157CE">
      <w:pPr>
        <w:numPr>
          <w:ilvl w:val="0"/>
          <w:numId w:val="28"/>
        </w:numPr>
        <w:tabs>
          <w:tab w:val="left" w:pos="1134"/>
        </w:tabs>
        <w:spacing w:line="276" w:lineRule="auto"/>
        <w:ind w:left="0"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pentru funcţia de director adjunct al Institutului Naţional al Magistraturii, responsabil cu formarea continuă:</w:t>
      </w:r>
      <w:r w:rsidRPr="004A72CD">
        <w:rPr>
          <w:rFonts w:asciiTheme="minorHAnsi" w:hAnsiTheme="minorHAnsi" w:cstheme="minorHAnsi"/>
          <w:i/>
          <w:sz w:val="26"/>
          <w:szCs w:val="26"/>
        </w:rPr>
        <w:t xml:space="preserve"> </w:t>
      </w:r>
      <w:r w:rsidRPr="004A72CD">
        <w:rPr>
          <w:rFonts w:asciiTheme="minorHAnsi" w:hAnsiTheme="minorHAnsi" w:cstheme="minorHAnsi"/>
          <w:iCs/>
          <w:sz w:val="26"/>
          <w:szCs w:val="26"/>
        </w:rPr>
        <w:t>domnul Marian TRUȘCĂ</w:t>
      </w:r>
      <w:r w:rsidRPr="004A72CD">
        <w:rPr>
          <w:rFonts w:asciiTheme="minorHAnsi" w:hAnsiTheme="minorHAnsi" w:cstheme="minorHAnsi"/>
          <w:sz w:val="26"/>
          <w:szCs w:val="26"/>
        </w:rPr>
        <w:t xml:space="preserve">, procuror-șef în cadrul Direcției Naționale Anticorupție - Structura Centrală - Serviciul de documente clasificate, şi </w:t>
      </w:r>
      <w:r w:rsidRPr="004A72CD">
        <w:rPr>
          <w:rFonts w:asciiTheme="minorHAnsi" w:hAnsiTheme="minorHAnsi" w:cstheme="minorHAnsi"/>
          <w:iCs/>
          <w:sz w:val="26"/>
          <w:szCs w:val="26"/>
        </w:rPr>
        <w:t>domnul Viorel BADEA</w:t>
      </w:r>
      <w:r w:rsidRPr="004A72CD">
        <w:rPr>
          <w:rFonts w:asciiTheme="minorHAnsi" w:hAnsiTheme="minorHAnsi" w:cstheme="minorHAnsi"/>
          <w:sz w:val="26"/>
          <w:szCs w:val="26"/>
        </w:rPr>
        <w:t>, procuror</w:t>
      </w:r>
      <w:r w:rsidRPr="004A72CD">
        <w:rPr>
          <w:rFonts w:asciiTheme="minorHAnsi" w:hAnsiTheme="minorHAnsi" w:cstheme="minorHAnsi"/>
          <w:b/>
          <w:sz w:val="26"/>
          <w:szCs w:val="26"/>
        </w:rPr>
        <w:t xml:space="preserve"> </w:t>
      </w:r>
      <w:r w:rsidRPr="004A72CD">
        <w:rPr>
          <w:rFonts w:asciiTheme="minorHAnsi" w:hAnsiTheme="minorHAnsi" w:cstheme="minorHAnsi"/>
          <w:sz w:val="26"/>
          <w:szCs w:val="26"/>
        </w:rPr>
        <w:t>în cadrul Parchetului de pe lângă Înalta Curte de Casație și Justiție, delegat în funcția de director adjunct al Institutului Național al Magistraturii, responsabil cu formarea continuă.</w:t>
      </w:r>
    </w:p>
    <w:p w14:paraId="7D77CB57" w14:textId="77777777" w:rsidR="00E157CE" w:rsidRPr="004A72CD" w:rsidRDefault="00E157CE" w:rsidP="00D51F5A">
      <w:pPr>
        <w:shd w:val="clear" w:color="auto" w:fill="FFFFFF"/>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Prin Hotărârea nr. 117/06.06.2024, Plenul Consiliului Superior al Magistraturii a hotărât numirea </w:t>
      </w:r>
      <w:r w:rsidRPr="004A72CD">
        <w:rPr>
          <w:rFonts w:asciiTheme="minorHAnsi" w:hAnsiTheme="minorHAnsi" w:cstheme="minorHAnsi"/>
          <w:bCs/>
          <w:sz w:val="26"/>
          <w:szCs w:val="26"/>
        </w:rPr>
        <w:t xml:space="preserve">doamnei judecător </w:t>
      </w:r>
      <w:r w:rsidRPr="004A72CD">
        <w:rPr>
          <w:rFonts w:asciiTheme="minorHAnsi" w:hAnsiTheme="minorHAnsi" w:cstheme="minorHAnsi"/>
          <w:sz w:val="26"/>
          <w:szCs w:val="26"/>
        </w:rPr>
        <w:t>Amelia-Raluca ONIŞOR</w:t>
      </w:r>
      <w:r w:rsidRPr="004A72CD">
        <w:rPr>
          <w:rFonts w:asciiTheme="minorHAnsi" w:hAnsiTheme="minorHAnsi" w:cstheme="minorHAnsi"/>
          <w:bCs/>
          <w:i/>
          <w:iCs/>
          <w:sz w:val="26"/>
          <w:szCs w:val="26"/>
        </w:rPr>
        <w:t xml:space="preserve"> </w:t>
      </w:r>
      <w:r w:rsidRPr="004A72CD">
        <w:rPr>
          <w:rFonts w:asciiTheme="minorHAnsi" w:hAnsiTheme="minorHAnsi" w:cstheme="minorHAnsi"/>
          <w:bCs/>
          <w:iCs/>
          <w:sz w:val="26"/>
          <w:szCs w:val="26"/>
        </w:rPr>
        <w:t xml:space="preserve">în funcţia de </w:t>
      </w:r>
      <w:r w:rsidRPr="004A72CD">
        <w:rPr>
          <w:rFonts w:asciiTheme="minorHAnsi" w:hAnsiTheme="minorHAnsi" w:cstheme="minorHAnsi"/>
          <w:sz w:val="26"/>
          <w:szCs w:val="26"/>
        </w:rPr>
        <w:t xml:space="preserve">director adjunct al Institutului Naţional al Magistraturii, responsabil cu formarea iniţială, iar prin Hotărârea nr. 175/24.09.2024, Plenul Consiliului Superior al Magistraturii a hotărât numirea </w:t>
      </w:r>
      <w:r w:rsidRPr="004A72CD">
        <w:rPr>
          <w:rFonts w:asciiTheme="minorHAnsi" w:hAnsiTheme="minorHAnsi" w:cstheme="minorHAnsi"/>
          <w:bCs/>
          <w:sz w:val="26"/>
          <w:szCs w:val="26"/>
        </w:rPr>
        <w:t>domnului procuror Marian TRUŞCĂ</w:t>
      </w:r>
      <w:r w:rsidRPr="004A72CD">
        <w:rPr>
          <w:rFonts w:asciiTheme="minorHAnsi" w:hAnsiTheme="minorHAnsi" w:cstheme="minorHAnsi"/>
          <w:bCs/>
          <w:i/>
          <w:iCs/>
          <w:sz w:val="26"/>
          <w:szCs w:val="26"/>
        </w:rPr>
        <w:t xml:space="preserve"> </w:t>
      </w:r>
      <w:r w:rsidRPr="004A72CD">
        <w:rPr>
          <w:rFonts w:asciiTheme="minorHAnsi" w:hAnsiTheme="minorHAnsi" w:cstheme="minorHAnsi"/>
          <w:bCs/>
          <w:iCs/>
          <w:sz w:val="26"/>
          <w:szCs w:val="26"/>
        </w:rPr>
        <w:t xml:space="preserve">în funcţia de </w:t>
      </w:r>
      <w:r w:rsidRPr="004A72CD">
        <w:rPr>
          <w:rFonts w:asciiTheme="minorHAnsi" w:hAnsiTheme="minorHAnsi" w:cstheme="minorHAnsi"/>
          <w:sz w:val="26"/>
          <w:szCs w:val="26"/>
        </w:rPr>
        <w:t>director adjunct al Institutului Naţional al Magistraturii, responsabil cu formarea continuă, pentru câte un</w:t>
      </w:r>
      <w:r w:rsidRPr="004A72CD">
        <w:rPr>
          <w:rFonts w:asciiTheme="minorHAnsi" w:hAnsiTheme="minorHAnsi" w:cstheme="minorHAnsi"/>
          <w:bCs/>
          <w:iCs/>
          <w:sz w:val="26"/>
          <w:szCs w:val="26"/>
        </w:rPr>
        <w:t xml:space="preserve"> mandat de 3 ani</w:t>
      </w:r>
      <w:r w:rsidRPr="004A72CD">
        <w:rPr>
          <w:rFonts w:asciiTheme="minorHAnsi" w:hAnsiTheme="minorHAnsi" w:cstheme="minorHAnsi"/>
          <w:sz w:val="26"/>
          <w:szCs w:val="26"/>
        </w:rPr>
        <w:t xml:space="preserve">. </w:t>
      </w:r>
    </w:p>
    <w:p w14:paraId="400E9E2C" w14:textId="412C08D7" w:rsidR="00327123" w:rsidRPr="006B7D32" w:rsidRDefault="00327123" w:rsidP="00327123">
      <w:pPr>
        <w:spacing w:line="276" w:lineRule="auto"/>
        <w:ind w:firstLine="709"/>
        <w:jc w:val="both"/>
        <w:rPr>
          <w:noProof w:val="0"/>
        </w:rPr>
      </w:pPr>
      <w:r w:rsidRPr="006B7D32">
        <w:rPr>
          <w:rFonts w:asciiTheme="minorHAnsi" w:hAnsiTheme="minorHAnsi" w:cstheme="minorHAnsi"/>
          <w:noProof w:val="0"/>
          <w:sz w:val="26"/>
          <w:szCs w:val="26"/>
        </w:rPr>
        <w:t>Totodată, în cursul anului 2024 a fost declanșată procedura de numire, în calitate de membru în Consiliul științific al Institutului Naţional al Magistraturii, a unui reprezentant din partea Curţii de Apel Bucureşti, procedură finalizată prin Hotărârea Plenului Consiliului Superior al Magistraturii nr. 205/14.11.2024, prin care a fost desemnată, în această funcţie, doamna Violeta-Elena G</w:t>
      </w:r>
      <w:r w:rsidR="006B7D32" w:rsidRPr="006B7D32">
        <w:rPr>
          <w:rFonts w:asciiTheme="minorHAnsi" w:hAnsiTheme="minorHAnsi" w:cstheme="minorHAnsi"/>
          <w:noProof w:val="0"/>
          <w:sz w:val="26"/>
          <w:szCs w:val="26"/>
        </w:rPr>
        <w:t>eorgescu</w:t>
      </w:r>
      <w:r w:rsidRPr="006B7D32">
        <w:rPr>
          <w:rFonts w:asciiTheme="minorHAnsi" w:hAnsiTheme="minorHAnsi" w:cstheme="minorHAnsi"/>
          <w:noProof w:val="0"/>
          <w:sz w:val="26"/>
          <w:szCs w:val="26"/>
        </w:rPr>
        <w:t>-A</w:t>
      </w:r>
      <w:r w:rsidR="006B7D32" w:rsidRPr="006B7D32">
        <w:rPr>
          <w:rFonts w:asciiTheme="minorHAnsi" w:hAnsiTheme="minorHAnsi" w:cstheme="minorHAnsi"/>
          <w:noProof w:val="0"/>
          <w:sz w:val="26"/>
          <w:szCs w:val="26"/>
        </w:rPr>
        <w:t>shemimry</w:t>
      </w:r>
      <w:r w:rsidRPr="006B7D32">
        <w:rPr>
          <w:rFonts w:asciiTheme="minorHAnsi" w:hAnsiTheme="minorHAnsi" w:cstheme="minorHAnsi"/>
          <w:noProof w:val="0"/>
          <w:sz w:val="26"/>
          <w:szCs w:val="26"/>
        </w:rPr>
        <w:t>, judecător din cadrul Secţiei a II-a penale a Curţii de Apel Bucureşti.</w:t>
      </w:r>
    </w:p>
    <w:p w14:paraId="38914E35" w14:textId="77777777" w:rsidR="00E157CE" w:rsidRPr="004A72CD" w:rsidRDefault="00E157CE"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A fost asigurată prezenţa la ședințele Consiliului de conducere al Școlii Naționale de Grefieri și au fost întocmite lucrările necesare pentru repartiția judecătorilor şi procurorilor stagiari care au promovat examenul de capacitate și cele referitoare la repartizarea pe posturi a absolvenţilor Şcolii Naţionale de Grefieri.</w:t>
      </w:r>
    </w:p>
    <w:p w14:paraId="39721B40" w14:textId="77777777" w:rsidR="00E157CE" w:rsidRPr="004A72CD" w:rsidRDefault="00E157CE"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De asemenea, a fost asigurat suportul necesar pentru desfășurarea stagiilor de practică ale studenților de la facultățile de drept din cadrul Universității din București, a Universității „Nicolae Titulescu” din București, Universității „Titu Maiorescu” din București și Academiei de Studii Economice București și a fost asigurată verificarea îndeplinirii de către candidați a condițiilor de participare la diverse concursuri și/sau examene.</w:t>
      </w:r>
    </w:p>
    <w:p w14:paraId="4252FD3F" w14:textId="77777777" w:rsidR="00E157CE" w:rsidRPr="004A72CD" w:rsidRDefault="00E157CE" w:rsidP="00D51F5A">
      <w:pPr>
        <w:spacing w:line="276" w:lineRule="auto"/>
        <w:ind w:firstLine="708"/>
        <w:rPr>
          <w:rFonts w:asciiTheme="minorHAnsi" w:hAnsiTheme="minorHAnsi" w:cstheme="minorHAnsi"/>
          <w:b/>
          <w:bCs/>
          <w:sz w:val="26"/>
          <w:szCs w:val="26"/>
        </w:rPr>
      </w:pPr>
      <w:r w:rsidRPr="004A72CD">
        <w:rPr>
          <w:rFonts w:asciiTheme="minorHAnsi" w:hAnsiTheme="minorHAnsi" w:cstheme="minorHAnsi"/>
          <w:b/>
          <w:bCs/>
          <w:sz w:val="26"/>
          <w:szCs w:val="26"/>
        </w:rPr>
        <w:t>Institutul Național al Magistraturii</w:t>
      </w:r>
    </w:p>
    <w:p w14:paraId="04CA3142" w14:textId="69836341" w:rsidR="00E157CE" w:rsidRPr="004A72CD" w:rsidRDefault="00E157CE" w:rsidP="001E012E">
      <w:pPr>
        <w:pStyle w:val="Heading3"/>
      </w:pPr>
      <w:bookmarkStart w:id="86" w:name="_Toc187824371"/>
      <w:r w:rsidRPr="004A72CD">
        <w:t>II.3.1. Formarea profesională inițială a viitorilor judecători și procurori în cadrul I</w:t>
      </w:r>
      <w:r w:rsidR="00184126" w:rsidRPr="004A72CD">
        <w:t>.</w:t>
      </w:r>
      <w:r w:rsidRPr="004A72CD">
        <w:t>N</w:t>
      </w:r>
      <w:r w:rsidR="00184126" w:rsidRPr="004A72CD">
        <w:t>.</w:t>
      </w:r>
      <w:r w:rsidRPr="004A72CD">
        <w:t>M</w:t>
      </w:r>
      <w:r w:rsidR="00184126" w:rsidRPr="004A72CD">
        <w:t>.</w:t>
      </w:r>
      <w:bookmarkEnd w:id="86"/>
    </w:p>
    <w:p w14:paraId="5BD05C82" w14:textId="1B7B5B00" w:rsidR="00E157CE" w:rsidRPr="004A72CD" w:rsidRDefault="00E157CE" w:rsidP="00D51F5A">
      <w:pPr>
        <w:shd w:val="clear" w:color="auto" w:fill="FFFFFF" w:themeFill="background1"/>
        <w:spacing w:line="276" w:lineRule="auto"/>
        <w:ind w:right="43" w:firstLine="720"/>
        <w:jc w:val="both"/>
        <w:rPr>
          <w:rFonts w:asciiTheme="minorHAnsi" w:hAnsiTheme="minorHAnsi" w:cstheme="minorHAnsi"/>
          <w:sz w:val="26"/>
          <w:szCs w:val="26"/>
        </w:rPr>
      </w:pPr>
      <w:bookmarkStart w:id="87" w:name="_Toc383085362"/>
      <w:bookmarkStart w:id="88" w:name="_Toc383085227"/>
      <w:r w:rsidRPr="004A72CD">
        <w:rPr>
          <w:rFonts w:asciiTheme="minorHAnsi" w:hAnsiTheme="minorHAnsi" w:cstheme="minorHAnsi"/>
          <w:sz w:val="26"/>
          <w:szCs w:val="26"/>
        </w:rPr>
        <w:t>Obiectivele strategice specifice formării profesionale inițiale în perioada de referință au fost raportate la Strategia de dezvoltare a sistemului judiciar 2022 – 2025, fiind concepute în scopul furnizării unei pregătiri profesionale apte să ofere auditorilor de justiție suportul și instrumentele necesare înfăptuirii unui act de justiție corespunzător. Au fost avute în vedere direcțiile de acțiune asumate de conducerea I.N.M., principiile fundamentale ale formării judiciare adoptate la nivelul Rețelei Europene de Formare Judiciară (E.J.T.N./R.E.F.J.), precum și Comunicarea Comisiei către Parlamentul European, Consiliu, Comitetul Economic și Social European și Comitetul Regiunilor COM(2020) 713 final, intitulată „Asigurarea justiției în U</w:t>
      </w:r>
      <w:r w:rsidR="00B277E4" w:rsidRPr="004A72CD">
        <w:rPr>
          <w:rFonts w:asciiTheme="minorHAnsi" w:hAnsiTheme="minorHAnsi" w:cstheme="minorHAnsi"/>
          <w:sz w:val="26"/>
          <w:szCs w:val="26"/>
        </w:rPr>
        <w:t>.</w:t>
      </w:r>
      <w:r w:rsidRPr="004A72CD">
        <w:rPr>
          <w:rFonts w:asciiTheme="minorHAnsi" w:hAnsiTheme="minorHAnsi" w:cstheme="minorHAnsi"/>
          <w:sz w:val="26"/>
          <w:szCs w:val="26"/>
        </w:rPr>
        <w:t>E</w:t>
      </w:r>
      <w:r w:rsidR="00B277E4" w:rsidRPr="004A72CD">
        <w:rPr>
          <w:rFonts w:asciiTheme="minorHAnsi" w:hAnsiTheme="minorHAnsi" w:cstheme="minorHAnsi"/>
          <w:sz w:val="26"/>
          <w:szCs w:val="26"/>
        </w:rPr>
        <w:t>.</w:t>
      </w:r>
      <w:r w:rsidRPr="004A72CD">
        <w:rPr>
          <w:rFonts w:asciiTheme="minorHAnsi" w:hAnsiTheme="minorHAnsi" w:cstheme="minorHAnsi"/>
          <w:sz w:val="26"/>
          <w:szCs w:val="26"/>
        </w:rPr>
        <w:t xml:space="preserve"> - o strategie europeană în materie de formare judiciară pentru perioada 2021</w:t>
      </w:r>
      <w:r w:rsidR="00184126" w:rsidRPr="004A72CD">
        <w:rPr>
          <w:rFonts w:asciiTheme="minorHAnsi" w:hAnsiTheme="minorHAnsi" w:cstheme="minorHAnsi"/>
          <w:sz w:val="26"/>
          <w:szCs w:val="26"/>
        </w:rPr>
        <w:t xml:space="preserve"> </w:t>
      </w:r>
      <w:r w:rsidRPr="004A72CD">
        <w:rPr>
          <w:rFonts w:asciiTheme="minorHAnsi" w:hAnsiTheme="minorHAnsi" w:cstheme="minorHAnsi"/>
          <w:sz w:val="26"/>
          <w:szCs w:val="26"/>
        </w:rPr>
        <w:t>-</w:t>
      </w:r>
      <w:r w:rsidR="00184126" w:rsidRPr="004A72CD">
        <w:rPr>
          <w:rFonts w:asciiTheme="minorHAnsi" w:hAnsiTheme="minorHAnsi" w:cstheme="minorHAnsi"/>
          <w:sz w:val="26"/>
          <w:szCs w:val="26"/>
        </w:rPr>
        <w:t xml:space="preserve"> </w:t>
      </w:r>
      <w:r w:rsidRPr="004A72CD">
        <w:rPr>
          <w:rFonts w:asciiTheme="minorHAnsi" w:hAnsiTheme="minorHAnsi" w:cstheme="minorHAnsi"/>
          <w:sz w:val="26"/>
          <w:szCs w:val="26"/>
        </w:rPr>
        <w:t xml:space="preserve">2024”. </w:t>
      </w:r>
    </w:p>
    <w:p w14:paraId="6379D585" w14:textId="77777777" w:rsidR="00E157CE" w:rsidRPr="004A72CD" w:rsidRDefault="00E157CE" w:rsidP="00D51F5A">
      <w:pPr>
        <w:shd w:val="clear" w:color="auto" w:fill="FFFFFF" w:themeFill="background1"/>
        <w:spacing w:line="276" w:lineRule="auto"/>
        <w:ind w:right="43" w:firstLine="720"/>
        <w:jc w:val="both"/>
        <w:rPr>
          <w:rFonts w:asciiTheme="minorHAnsi" w:hAnsiTheme="minorHAnsi" w:cstheme="minorHAnsi"/>
          <w:sz w:val="26"/>
          <w:szCs w:val="26"/>
        </w:rPr>
      </w:pPr>
      <w:r w:rsidRPr="004A72CD">
        <w:rPr>
          <w:rFonts w:asciiTheme="minorHAnsi" w:hAnsiTheme="minorHAnsi" w:cstheme="minorHAnsi"/>
          <w:sz w:val="26"/>
          <w:szCs w:val="26"/>
        </w:rPr>
        <w:lastRenderedPageBreak/>
        <w:t xml:space="preserve">Obiectivele strategice instituționale în materie de formare profesională inițială au vizat, în continuare: asigurarea caracterului preponderent practic, pluridisciplinar și interdisciplinar al formării, asigurarea unei formări complexe, consolidarea caracterului unitar al formării și evaluării, diversificarea metodologiilor de formare utilizate și implicarea auditorilor de justiție în activități cu caracter internațional. </w:t>
      </w:r>
    </w:p>
    <w:p w14:paraId="5401378A" w14:textId="77777777" w:rsidR="00E157CE" w:rsidRPr="004A72CD" w:rsidRDefault="00E157CE" w:rsidP="00D51F5A">
      <w:pPr>
        <w:shd w:val="clear" w:color="auto" w:fill="FFFFFF" w:themeFill="background1"/>
        <w:spacing w:line="276" w:lineRule="auto"/>
        <w:ind w:right="43"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Obiectivele specifice disciplinelor incluse în programul de formare inițială, conținuturile aferente și metodologiile de formare utilizate au fost reflectate în programele de studiu și planurile de seminar elaborate în cadrul catedrelor. </w:t>
      </w:r>
    </w:p>
    <w:p w14:paraId="4DBC9C5F" w14:textId="77777777" w:rsidR="00E157CE" w:rsidRPr="004A72CD" w:rsidRDefault="00E157CE" w:rsidP="00D51F5A">
      <w:pPr>
        <w:shd w:val="clear" w:color="auto" w:fill="FFFFFF" w:themeFill="background1"/>
        <w:spacing w:line="276" w:lineRule="auto"/>
        <w:ind w:right="43" w:firstLine="720"/>
        <w:jc w:val="both"/>
        <w:rPr>
          <w:rFonts w:asciiTheme="minorHAnsi" w:hAnsiTheme="minorHAnsi" w:cstheme="minorHAnsi"/>
          <w:sz w:val="26"/>
          <w:szCs w:val="26"/>
        </w:rPr>
      </w:pPr>
      <w:r w:rsidRPr="004A72CD">
        <w:rPr>
          <w:rFonts w:asciiTheme="minorHAnsi" w:hAnsiTheme="minorHAnsi" w:cstheme="minorHAnsi"/>
          <w:sz w:val="26"/>
          <w:szCs w:val="26"/>
        </w:rPr>
        <w:t>În ceea ce privește metodologiile de formare, au fost avute în vedere recomandările cuprinse în Strategia europeană de formare judiciară pentru 2021 - 2024 - COM(2020) 713 final.</w:t>
      </w:r>
    </w:p>
    <w:p w14:paraId="57C7D049" w14:textId="77777777" w:rsidR="00E157CE" w:rsidRPr="004A72CD" w:rsidRDefault="00E157CE">
      <w:pPr>
        <w:numPr>
          <w:ilvl w:val="0"/>
          <w:numId w:val="24"/>
        </w:numPr>
        <w:spacing w:line="276" w:lineRule="auto"/>
        <w:contextualSpacing/>
        <w:jc w:val="both"/>
        <w:rPr>
          <w:rFonts w:asciiTheme="minorHAnsi" w:hAnsiTheme="minorHAnsi" w:cstheme="minorHAnsi"/>
          <w:b/>
          <w:sz w:val="26"/>
          <w:szCs w:val="26"/>
        </w:rPr>
      </w:pPr>
      <w:r w:rsidRPr="004A72CD">
        <w:rPr>
          <w:rFonts w:asciiTheme="minorHAnsi" w:hAnsiTheme="minorHAnsi" w:cstheme="minorHAnsi"/>
          <w:b/>
          <w:sz w:val="26"/>
          <w:szCs w:val="26"/>
        </w:rPr>
        <w:t>Programele de formare inițială</w:t>
      </w:r>
    </w:p>
    <w:p w14:paraId="278E7050" w14:textId="5A1A7A43" w:rsidR="00E157CE" w:rsidRPr="004A72CD" w:rsidRDefault="00E157CE"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Pe parcursul anului 2024, formarea profesională a auditorilor de justiție s-a desfășurat conform programului de formare inițială pentru anul I (promoția 2024 – 2026), programului de formare inițială pentru anul al II-lea (promoția 2023 – 2025), ambele aprobate prin Hotărârea Plenului Consiliului Superior al Magistraturii nr. 41/21.03.2024, completată prin Hotărârile Plenului Consiliului Superior al Magistraturii nr.161/24.07.2024 și nr. 178/24.09.2024 și programului de formare inițială pentru anul al II-lea, promoția 2022 – 2024, aprobat prin Hotărârea Plenului Consiliului Superior al Magistraturii nr. 60/</w:t>
      </w:r>
      <w:r w:rsidR="000D0A90" w:rsidRPr="004A72CD">
        <w:rPr>
          <w:rFonts w:asciiTheme="minorHAnsi" w:hAnsiTheme="minorHAnsi" w:cstheme="minorHAnsi"/>
          <w:sz w:val="26"/>
          <w:szCs w:val="26"/>
        </w:rPr>
        <w:t>0</w:t>
      </w:r>
      <w:r w:rsidRPr="004A72CD">
        <w:rPr>
          <w:rFonts w:asciiTheme="minorHAnsi" w:hAnsiTheme="minorHAnsi" w:cstheme="minorHAnsi"/>
          <w:sz w:val="26"/>
          <w:szCs w:val="26"/>
        </w:rPr>
        <w:t xml:space="preserve">6.04.2023. </w:t>
      </w:r>
    </w:p>
    <w:p w14:paraId="1E778734" w14:textId="77777777" w:rsidR="00E157CE" w:rsidRPr="004A72CD" w:rsidRDefault="00E157CE" w:rsidP="00D51F5A">
      <w:pPr>
        <w:keepNext/>
        <w:keepLines/>
        <w:shd w:val="clear" w:color="auto" w:fill="FFFFFF" w:themeFill="background1"/>
        <w:spacing w:line="276" w:lineRule="auto"/>
        <w:ind w:right="45" w:firstLine="720"/>
        <w:jc w:val="both"/>
        <w:rPr>
          <w:rFonts w:asciiTheme="minorHAnsi" w:hAnsiTheme="minorHAnsi" w:cstheme="minorHAnsi"/>
          <w:sz w:val="26"/>
          <w:szCs w:val="26"/>
        </w:rPr>
      </w:pPr>
      <w:r w:rsidRPr="004A72CD">
        <w:rPr>
          <w:rFonts w:asciiTheme="minorHAnsi" w:hAnsiTheme="minorHAnsi" w:cstheme="minorHAnsi"/>
          <w:sz w:val="26"/>
          <w:szCs w:val="26"/>
        </w:rPr>
        <w:t>Pe parcursul anului supus raportării, Institutul Național al Magistraturii realizează formarea unui număr total de 571 de auditori de justiție, dintre care 302 auditori în anul I și 269 de auditori în anul II.</w:t>
      </w:r>
    </w:p>
    <w:p w14:paraId="6A8A9D12" w14:textId="77777777" w:rsidR="00E157CE" w:rsidRPr="004A72CD" w:rsidRDefault="00E157CE" w:rsidP="00D51F5A">
      <w:pPr>
        <w:spacing w:line="276" w:lineRule="auto"/>
        <w:ind w:firstLine="709"/>
        <w:jc w:val="both"/>
        <w:rPr>
          <w:rFonts w:asciiTheme="minorHAnsi" w:hAnsiTheme="minorHAnsi" w:cstheme="minorHAnsi"/>
          <w:bCs/>
          <w:sz w:val="26"/>
          <w:szCs w:val="26"/>
        </w:rPr>
      </w:pPr>
      <w:r w:rsidRPr="004A72CD">
        <w:rPr>
          <w:rFonts w:asciiTheme="minorHAnsi" w:hAnsiTheme="minorHAnsi" w:cstheme="minorHAnsi"/>
          <w:bCs/>
          <w:sz w:val="26"/>
          <w:szCs w:val="26"/>
        </w:rPr>
        <w:t>Spre deosebire de programul de formare inițială aplicabil anului anterior de formare, programul pentru anul I de studiu al promoției 2024 – 2026 a fost reconfigurat sub aspectul conținutului, pentru a corespunde dispozițiilor cu caracter de noutate introduse prin art. 26 alin. (3) din Legea nr. 303/2022 privind statutul judecătorilor și procurorilor, respectiv efectuarea unui stagiu de practică având o durată de minim 3 luni.</w:t>
      </w:r>
    </w:p>
    <w:p w14:paraId="62B8AACE" w14:textId="77777777" w:rsidR="00E157CE" w:rsidRPr="004A72CD" w:rsidRDefault="00E157CE" w:rsidP="00D51F5A">
      <w:pPr>
        <w:shd w:val="clear" w:color="auto" w:fill="FFFFFF" w:themeFill="background1"/>
        <w:spacing w:line="276" w:lineRule="auto"/>
        <w:ind w:right="43" w:firstLine="709"/>
        <w:jc w:val="both"/>
        <w:rPr>
          <w:rFonts w:asciiTheme="minorHAnsi" w:hAnsiTheme="minorHAnsi" w:cstheme="minorHAnsi"/>
          <w:bCs/>
          <w:sz w:val="26"/>
          <w:szCs w:val="26"/>
        </w:rPr>
      </w:pPr>
      <w:r w:rsidRPr="004A72CD">
        <w:rPr>
          <w:rFonts w:asciiTheme="minorHAnsi" w:hAnsiTheme="minorHAnsi" w:cstheme="minorHAnsi"/>
          <w:bCs/>
          <w:sz w:val="26"/>
          <w:szCs w:val="26"/>
        </w:rPr>
        <w:t>Programul s-a adresat auditorilor de justiție admiși la Institutul Național al Magistraturii în urma concursului de admitere, sesiunea iulie 2023 – martie 2024, fiind aplicabile dispozițiile art. 283 din Legea nr. 303/2022 privind statutul judecătorilor și procurorilor, potrivit cărora „durata cursurilor de formare profesională (…) este de 2 ani”, respectiv „în perioada formării la Institutul Național al Magistraturii, auditorii de justiție (…) efectuează stagii de practică în cadrul instanțelor judecătorești şi al parchetelor, pentru a cunoaște în mod direct activitățile pe care le desfășoară judecătorii, procurorii şi personalul auxiliar de specialitate”.</w:t>
      </w:r>
    </w:p>
    <w:p w14:paraId="617D96EC" w14:textId="77777777" w:rsidR="00E157CE" w:rsidRPr="004A72CD" w:rsidRDefault="00E157CE" w:rsidP="00D51F5A">
      <w:pPr>
        <w:shd w:val="clear" w:color="auto" w:fill="FFFFFF" w:themeFill="background1"/>
        <w:spacing w:line="276" w:lineRule="auto"/>
        <w:ind w:right="43" w:firstLine="709"/>
        <w:jc w:val="both"/>
        <w:rPr>
          <w:rFonts w:asciiTheme="minorHAnsi" w:hAnsiTheme="minorHAnsi" w:cstheme="minorHAnsi"/>
          <w:bCs/>
          <w:sz w:val="26"/>
          <w:szCs w:val="26"/>
        </w:rPr>
      </w:pPr>
      <w:r w:rsidRPr="004A72CD">
        <w:rPr>
          <w:rFonts w:asciiTheme="minorHAnsi" w:hAnsiTheme="minorHAnsi" w:cstheme="minorHAnsi"/>
          <w:bCs/>
          <w:sz w:val="26"/>
          <w:szCs w:val="26"/>
        </w:rPr>
        <w:t xml:space="preserve">În aplicarea dispozițiilor articolului referit anterior, auditorii de justiție admiși în urma concursului organizat în perioada iulie 2023 – martie 2024 vor formula opțiunea pentru profesia de judecător sau procuror după absolvirea I.N.M., beneficiind, prin urmare, pe parcursul celor 2 ani, de o formare comună. </w:t>
      </w:r>
    </w:p>
    <w:p w14:paraId="2A13BFC4" w14:textId="77777777" w:rsidR="00E157CE" w:rsidRPr="004A72CD" w:rsidRDefault="00E157CE" w:rsidP="00D51F5A">
      <w:pPr>
        <w:shd w:val="clear" w:color="auto" w:fill="FFFFFF" w:themeFill="background1"/>
        <w:spacing w:line="276" w:lineRule="auto"/>
        <w:ind w:right="43" w:firstLine="709"/>
        <w:jc w:val="both"/>
        <w:rPr>
          <w:rFonts w:asciiTheme="minorHAnsi" w:hAnsiTheme="minorHAnsi" w:cstheme="minorHAnsi"/>
          <w:bCs/>
          <w:sz w:val="26"/>
          <w:szCs w:val="26"/>
        </w:rPr>
      </w:pPr>
      <w:r w:rsidRPr="004A72CD">
        <w:rPr>
          <w:rFonts w:asciiTheme="minorHAnsi" w:hAnsiTheme="minorHAnsi" w:cstheme="minorHAnsi"/>
          <w:bCs/>
          <w:sz w:val="26"/>
          <w:szCs w:val="26"/>
        </w:rPr>
        <w:t>În consecință, structura, conținutul și calendarul programului de formare au avut în vedere dispozițiile sus-menționate.</w:t>
      </w:r>
    </w:p>
    <w:p w14:paraId="52B0887C" w14:textId="77777777" w:rsidR="00E157CE" w:rsidRPr="004A72CD" w:rsidRDefault="00E157CE" w:rsidP="00D51F5A">
      <w:pPr>
        <w:shd w:val="clear" w:color="auto" w:fill="FFFFFF" w:themeFill="background1"/>
        <w:spacing w:line="276" w:lineRule="auto"/>
        <w:ind w:right="43" w:firstLine="709"/>
        <w:jc w:val="both"/>
        <w:rPr>
          <w:rFonts w:asciiTheme="minorHAnsi" w:hAnsiTheme="minorHAnsi" w:cstheme="minorHAnsi"/>
          <w:bCs/>
          <w:sz w:val="26"/>
          <w:szCs w:val="26"/>
        </w:rPr>
      </w:pPr>
      <w:r w:rsidRPr="004A72CD">
        <w:rPr>
          <w:rFonts w:asciiTheme="minorHAnsi" w:hAnsiTheme="minorHAnsi" w:cstheme="minorHAnsi"/>
          <w:bCs/>
          <w:sz w:val="26"/>
          <w:szCs w:val="26"/>
        </w:rPr>
        <w:t xml:space="preserve">Activitatea auditorilor de justiție a fost în continuare centrată pe aprofundarea cunoștințelor de drept, prin aplicații practice și pe dezvoltarea abilităților specifice profesiilor de judecător și procuror, conform programelor de studiu. În programul de formare inițială au fost </w:t>
      </w:r>
      <w:r w:rsidRPr="004A72CD">
        <w:rPr>
          <w:rFonts w:asciiTheme="minorHAnsi" w:hAnsiTheme="minorHAnsi" w:cstheme="minorHAnsi"/>
          <w:bCs/>
          <w:sz w:val="26"/>
          <w:szCs w:val="26"/>
        </w:rPr>
        <w:lastRenderedPageBreak/>
        <w:t xml:space="preserve">incluse nu numai discipline juridice, dar și discipline care vizează dezvoltarea de abilități non juridice, necesare exercitării corespunzătoare a profesiilor de judecător şi procuror. </w:t>
      </w:r>
    </w:p>
    <w:p w14:paraId="5970E56C" w14:textId="7777777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Anul I de pregătire profesională inițială a auditorilor de justiție a fost organizat sub forma a două semestre cu durată egală, la care s-a adăugat o perioadă distinctă, alocată unor stagii practice, cu o durată de 13 săptămâni, față de 4 săptămâni, în anul anterior.</w:t>
      </w:r>
    </w:p>
    <w:p w14:paraId="5B1E3B0C" w14:textId="7777777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Structura anului I a cuprins 55 de săptămâni, desfășurate potrivit următorului calendar:</w:t>
      </w:r>
    </w:p>
    <w:p w14:paraId="31CC1AE5" w14:textId="77777777" w:rsidR="00E157CE" w:rsidRPr="004A72CD" w:rsidRDefault="00E157CE">
      <w:pPr>
        <w:numPr>
          <w:ilvl w:val="0"/>
          <w:numId w:val="21"/>
        </w:numPr>
        <w:shd w:val="clear" w:color="auto" w:fill="FFFFFF" w:themeFill="background1"/>
        <w:spacing w:line="276" w:lineRule="auto"/>
        <w:ind w:right="43"/>
        <w:contextualSpacing/>
        <w:rPr>
          <w:rFonts w:asciiTheme="minorHAnsi" w:hAnsiTheme="minorHAnsi" w:cstheme="minorHAnsi"/>
          <w:bCs/>
          <w:sz w:val="26"/>
          <w:szCs w:val="26"/>
        </w:rPr>
      </w:pPr>
      <w:r w:rsidRPr="004A72CD">
        <w:rPr>
          <w:rFonts w:asciiTheme="minorHAnsi" w:hAnsiTheme="minorHAnsi" w:cstheme="minorHAnsi"/>
          <w:bCs/>
          <w:sz w:val="26"/>
          <w:szCs w:val="26"/>
        </w:rPr>
        <w:t>30 de săptămâni de formare efectivă sub formă de cursuri și seminare:</w:t>
      </w:r>
    </w:p>
    <w:p w14:paraId="7E308D5E" w14:textId="0625957E" w:rsidR="00E157CE" w:rsidRPr="004A72CD" w:rsidRDefault="00E157CE">
      <w:pPr>
        <w:numPr>
          <w:ilvl w:val="1"/>
          <w:numId w:val="21"/>
        </w:numPr>
        <w:shd w:val="clear" w:color="auto" w:fill="FFFFFF" w:themeFill="background1"/>
        <w:spacing w:line="276" w:lineRule="auto"/>
        <w:ind w:left="1843" w:right="43" w:hanging="57"/>
        <w:contextualSpacing/>
        <w:rPr>
          <w:rFonts w:asciiTheme="minorHAnsi" w:hAnsiTheme="minorHAnsi" w:cstheme="minorHAnsi"/>
          <w:bCs/>
          <w:sz w:val="26"/>
          <w:szCs w:val="26"/>
        </w:rPr>
      </w:pPr>
      <w:r w:rsidRPr="004A72CD">
        <w:rPr>
          <w:rFonts w:asciiTheme="minorHAnsi" w:hAnsiTheme="minorHAnsi" w:cstheme="minorHAnsi"/>
          <w:bCs/>
          <w:sz w:val="26"/>
          <w:szCs w:val="26"/>
        </w:rPr>
        <w:t xml:space="preserve">semestrul I: </w:t>
      </w:r>
      <w:r w:rsidR="00D80239" w:rsidRPr="004A72CD">
        <w:rPr>
          <w:rFonts w:asciiTheme="minorHAnsi" w:hAnsiTheme="minorHAnsi" w:cstheme="minorHAnsi"/>
          <w:bCs/>
          <w:sz w:val="26"/>
          <w:szCs w:val="26"/>
        </w:rPr>
        <w:t>0</w:t>
      </w:r>
      <w:r w:rsidRPr="004A72CD">
        <w:rPr>
          <w:rFonts w:asciiTheme="minorHAnsi" w:hAnsiTheme="minorHAnsi" w:cstheme="minorHAnsi"/>
          <w:bCs/>
          <w:sz w:val="26"/>
          <w:szCs w:val="26"/>
        </w:rPr>
        <w:t>3.06. – 18.10.2024;</w:t>
      </w:r>
    </w:p>
    <w:p w14:paraId="27AC489C" w14:textId="6AE4BFC4" w:rsidR="00E157CE" w:rsidRPr="004A72CD" w:rsidRDefault="00E157CE">
      <w:pPr>
        <w:numPr>
          <w:ilvl w:val="1"/>
          <w:numId w:val="21"/>
        </w:numPr>
        <w:shd w:val="clear" w:color="auto" w:fill="FFFFFF" w:themeFill="background1"/>
        <w:spacing w:line="276" w:lineRule="auto"/>
        <w:ind w:left="1843" w:right="43" w:hanging="57"/>
        <w:contextualSpacing/>
        <w:rPr>
          <w:rFonts w:asciiTheme="minorHAnsi" w:hAnsiTheme="minorHAnsi" w:cstheme="minorHAnsi"/>
          <w:bCs/>
          <w:sz w:val="26"/>
          <w:szCs w:val="26"/>
        </w:rPr>
      </w:pPr>
      <w:r w:rsidRPr="004A72CD">
        <w:rPr>
          <w:rFonts w:asciiTheme="minorHAnsi" w:hAnsiTheme="minorHAnsi" w:cstheme="minorHAnsi"/>
          <w:bCs/>
          <w:sz w:val="26"/>
          <w:szCs w:val="26"/>
        </w:rPr>
        <w:t xml:space="preserve">semestrul al II-lea: </w:t>
      </w:r>
      <w:r w:rsidR="00D80239" w:rsidRPr="004A72CD">
        <w:rPr>
          <w:rFonts w:asciiTheme="minorHAnsi" w:hAnsiTheme="minorHAnsi" w:cstheme="minorHAnsi"/>
          <w:bCs/>
          <w:sz w:val="26"/>
          <w:szCs w:val="26"/>
        </w:rPr>
        <w:t>0</w:t>
      </w:r>
      <w:r w:rsidRPr="004A72CD">
        <w:rPr>
          <w:rFonts w:asciiTheme="minorHAnsi" w:hAnsiTheme="minorHAnsi" w:cstheme="minorHAnsi"/>
          <w:bCs/>
          <w:sz w:val="26"/>
          <w:szCs w:val="26"/>
        </w:rPr>
        <w:t>8.01. – 17.04.2025;</w:t>
      </w:r>
    </w:p>
    <w:p w14:paraId="176A4D16" w14:textId="77777777" w:rsidR="00E157CE" w:rsidRPr="004A72CD" w:rsidRDefault="00E157CE">
      <w:pPr>
        <w:numPr>
          <w:ilvl w:val="0"/>
          <w:numId w:val="21"/>
        </w:numPr>
        <w:shd w:val="clear" w:color="auto" w:fill="FFFFFF" w:themeFill="background1"/>
        <w:spacing w:line="276" w:lineRule="auto"/>
        <w:ind w:right="43"/>
        <w:contextualSpacing/>
        <w:rPr>
          <w:rFonts w:asciiTheme="minorHAnsi" w:hAnsiTheme="minorHAnsi" w:cstheme="minorHAnsi"/>
          <w:bCs/>
          <w:sz w:val="26"/>
          <w:szCs w:val="26"/>
        </w:rPr>
      </w:pPr>
      <w:r w:rsidRPr="004A72CD">
        <w:rPr>
          <w:rFonts w:asciiTheme="minorHAnsi" w:hAnsiTheme="minorHAnsi" w:cstheme="minorHAnsi"/>
          <w:bCs/>
          <w:sz w:val="26"/>
          <w:szCs w:val="26"/>
        </w:rPr>
        <w:t>13 săptămâni de stagiu în cadrul instanțelor și al parchetelor (15.04. – 31.05.2024 și 11.11. – 20.12.2024);</w:t>
      </w:r>
    </w:p>
    <w:p w14:paraId="641BF23F" w14:textId="77385E54" w:rsidR="00E157CE" w:rsidRPr="004A72CD" w:rsidRDefault="00E157CE">
      <w:pPr>
        <w:numPr>
          <w:ilvl w:val="0"/>
          <w:numId w:val="21"/>
        </w:numPr>
        <w:shd w:val="clear" w:color="auto" w:fill="FFFFFF" w:themeFill="background1"/>
        <w:spacing w:line="276" w:lineRule="auto"/>
        <w:ind w:right="43"/>
        <w:contextualSpacing/>
        <w:rPr>
          <w:rFonts w:asciiTheme="minorHAnsi" w:hAnsiTheme="minorHAnsi" w:cstheme="minorHAnsi"/>
          <w:bCs/>
          <w:sz w:val="26"/>
          <w:szCs w:val="26"/>
        </w:rPr>
      </w:pPr>
      <w:r w:rsidRPr="004A72CD">
        <w:rPr>
          <w:rFonts w:asciiTheme="minorHAnsi" w:hAnsiTheme="minorHAnsi" w:cstheme="minorHAnsi"/>
          <w:bCs/>
          <w:sz w:val="26"/>
          <w:szCs w:val="26"/>
        </w:rPr>
        <w:t>1 săptămână de stagiu în cadrul penitenciarelor (</w:t>
      </w:r>
      <w:r w:rsidR="00571D36" w:rsidRPr="004A72CD">
        <w:rPr>
          <w:rFonts w:asciiTheme="minorHAnsi" w:hAnsiTheme="minorHAnsi" w:cstheme="minorHAnsi"/>
          <w:bCs/>
          <w:sz w:val="26"/>
          <w:szCs w:val="26"/>
        </w:rPr>
        <w:t>0</w:t>
      </w:r>
      <w:r w:rsidRPr="004A72CD">
        <w:rPr>
          <w:rFonts w:asciiTheme="minorHAnsi" w:hAnsiTheme="minorHAnsi" w:cstheme="minorHAnsi"/>
          <w:bCs/>
          <w:sz w:val="26"/>
          <w:szCs w:val="26"/>
        </w:rPr>
        <w:t xml:space="preserve">4 – </w:t>
      </w:r>
      <w:r w:rsidR="00571D36" w:rsidRPr="004A72CD">
        <w:rPr>
          <w:rFonts w:asciiTheme="minorHAnsi" w:hAnsiTheme="minorHAnsi" w:cstheme="minorHAnsi"/>
          <w:bCs/>
          <w:sz w:val="26"/>
          <w:szCs w:val="26"/>
        </w:rPr>
        <w:t>0</w:t>
      </w:r>
      <w:r w:rsidRPr="004A72CD">
        <w:rPr>
          <w:rFonts w:asciiTheme="minorHAnsi" w:hAnsiTheme="minorHAnsi" w:cstheme="minorHAnsi"/>
          <w:bCs/>
          <w:sz w:val="26"/>
          <w:szCs w:val="26"/>
        </w:rPr>
        <w:t>8.11.2024);</w:t>
      </w:r>
    </w:p>
    <w:p w14:paraId="1F295001" w14:textId="4887A497" w:rsidR="00E157CE" w:rsidRPr="004A72CD" w:rsidRDefault="00E157CE">
      <w:pPr>
        <w:numPr>
          <w:ilvl w:val="0"/>
          <w:numId w:val="21"/>
        </w:numPr>
        <w:shd w:val="clear" w:color="auto" w:fill="FFFFFF" w:themeFill="background1"/>
        <w:spacing w:line="276" w:lineRule="auto"/>
        <w:ind w:right="43"/>
        <w:contextualSpacing/>
        <w:rPr>
          <w:rFonts w:asciiTheme="minorHAnsi" w:hAnsiTheme="minorHAnsi" w:cstheme="minorHAnsi"/>
          <w:bCs/>
          <w:sz w:val="26"/>
          <w:szCs w:val="26"/>
        </w:rPr>
      </w:pPr>
      <w:r w:rsidRPr="004A72CD">
        <w:rPr>
          <w:rFonts w:asciiTheme="minorHAnsi" w:hAnsiTheme="minorHAnsi" w:cstheme="minorHAnsi"/>
          <w:bCs/>
          <w:sz w:val="26"/>
          <w:szCs w:val="26"/>
        </w:rPr>
        <w:t xml:space="preserve">7 săptămâni vacanță (29.07. – 30.08.2024 și 23.12.2024 – </w:t>
      </w:r>
      <w:r w:rsidR="00571D36" w:rsidRPr="004A72CD">
        <w:rPr>
          <w:rFonts w:asciiTheme="minorHAnsi" w:hAnsiTheme="minorHAnsi" w:cstheme="minorHAnsi"/>
          <w:bCs/>
          <w:sz w:val="26"/>
          <w:szCs w:val="26"/>
        </w:rPr>
        <w:t>0</w:t>
      </w:r>
      <w:r w:rsidRPr="004A72CD">
        <w:rPr>
          <w:rFonts w:asciiTheme="minorHAnsi" w:hAnsiTheme="minorHAnsi" w:cstheme="minorHAnsi"/>
          <w:bCs/>
          <w:sz w:val="26"/>
          <w:szCs w:val="26"/>
        </w:rPr>
        <w:t>3.01.2025);</w:t>
      </w:r>
    </w:p>
    <w:p w14:paraId="0EEEE62C" w14:textId="2F75406C" w:rsidR="00E157CE" w:rsidRPr="004A72CD" w:rsidRDefault="00E157CE">
      <w:pPr>
        <w:numPr>
          <w:ilvl w:val="0"/>
          <w:numId w:val="21"/>
        </w:numPr>
        <w:shd w:val="clear" w:color="auto" w:fill="FFFFFF" w:themeFill="background1"/>
        <w:spacing w:line="276" w:lineRule="auto"/>
        <w:ind w:right="43"/>
        <w:contextualSpacing/>
        <w:jc w:val="both"/>
        <w:rPr>
          <w:rFonts w:asciiTheme="minorHAnsi" w:hAnsiTheme="minorHAnsi" w:cstheme="minorHAnsi"/>
          <w:bCs/>
          <w:sz w:val="26"/>
          <w:szCs w:val="26"/>
        </w:rPr>
      </w:pPr>
      <w:r w:rsidRPr="004A72CD">
        <w:rPr>
          <w:rFonts w:asciiTheme="minorHAnsi" w:hAnsiTheme="minorHAnsi" w:cstheme="minorHAnsi"/>
          <w:bCs/>
          <w:sz w:val="26"/>
          <w:szCs w:val="26"/>
        </w:rPr>
        <w:t xml:space="preserve">4 săptămâni de sesiune de evaluare (21.10. – </w:t>
      </w:r>
      <w:r w:rsidR="00571D36" w:rsidRPr="004A72CD">
        <w:rPr>
          <w:rFonts w:asciiTheme="minorHAnsi" w:hAnsiTheme="minorHAnsi" w:cstheme="minorHAnsi"/>
          <w:bCs/>
          <w:sz w:val="26"/>
          <w:szCs w:val="26"/>
        </w:rPr>
        <w:t>0</w:t>
      </w:r>
      <w:r w:rsidRPr="004A72CD">
        <w:rPr>
          <w:rFonts w:asciiTheme="minorHAnsi" w:hAnsiTheme="minorHAnsi" w:cstheme="minorHAnsi"/>
          <w:bCs/>
          <w:sz w:val="26"/>
          <w:szCs w:val="26"/>
        </w:rPr>
        <w:t xml:space="preserve">1.11.2024 și 22.04. – </w:t>
      </w:r>
      <w:r w:rsidR="00571D36" w:rsidRPr="004A72CD">
        <w:rPr>
          <w:rFonts w:asciiTheme="minorHAnsi" w:hAnsiTheme="minorHAnsi" w:cstheme="minorHAnsi"/>
          <w:bCs/>
          <w:sz w:val="26"/>
          <w:szCs w:val="26"/>
        </w:rPr>
        <w:t>0</w:t>
      </w:r>
      <w:r w:rsidRPr="004A72CD">
        <w:rPr>
          <w:rFonts w:asciiTheme="minorHAnsi" w:hAnsiTheme="minorHAnsi" w:cstheme="minorHAnsi"/>
          <w:bCs/>
          <w:sz w:val="26"/>
          <w:szCs w:val="26"/>
        </w:rPr>
        <w:t>2.05.2025).</w:t>
      </w:r>
    </w:p>
    <w:p w14:paraId="7E00D51C" w14:textId="77777777" w:rsidR="00E157CE" w:rsidRPr="004A72CD" w:rsidRDefault="00E157CE" w:rsidP="00D51F5A">
      <w:pPr>
        <w:shd w:val="clear" w:color="auto" w:fill="FFFFFF" w:themeFill="background1"/>
        <w:spacing w:line="276" w:lineRule="auto"/>
        <w:ind w:right="43"/>
        <w:jc w:val="both"/>
        <w:rPr>
          <w:rFonts w:asciiTheme="minorHAnsi" w:hAnsiTheme="minorHAnsi" w:cstheme="minorHAnsi"/>
          <w:bCs/>
          <w:sz w:val="26"/>
          <w:szCs w:val="26"/>
        </w:rPr>
      </w:pPr>
      <w:r w:rsidRPr="004A72CD">
        <w:rPr>
          <w:rFonts w:asciiTheme="minorHAnsi" w:hAnsiTheme="minorHAnsi" w:cstheme="minorHAnsi"/>
          <w:bCs/>
          <w:sz w:val="26"/>
          <w:szCs w:val="26"/>
        </w:rPr>
        <w:t> </w:t>
      </w:r>
      <w:r w:rsidRPr="004A72CD">
        <w:rPr>
          <w:rFonts w:asciiTheme="minorHAnsi" w:hAnsiTheme="minorHAnsi" w:cstheme="minorHAnsi"/>
          <w:bCs/>
          <w:sz w:val="26"/>
          <w:szCs w:val="26"/>
        </w:rPr>
        <w:tab/>
        <w:t xml:space="preserve">Stabilirea pe parcursul anului I a unui stagiu cu o durată de 13 săptămâni a determinat reducerea numărului de săptămâni de formare în I.N.M. (cursuri și seminare) la 30, de la 35, în anul anterior. Corelativ, pentru a nu fi afectat conținutul formării, unele dintre disciplinele de specialitate inițial prevăzute în anul I, respectiv dreptul administrativ, litigiile cu profesioniști și dreptul familiei, urmează a fi studiate în modulul aferent celui de al doilea an de formare al promoției respective. </w:t>
      </w:r>
    </w:p>
    <w:p w14:paraId="00FC9D0B" w14:textId="7777777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 xml:space="preserve">În ceea ce privește disciplinele fundamentale (drept civil și procesual civil, drept penal și procesual penal), acestea sunt studiate în continuare pe parcursul întregului an I, cu o frecvență săptămânală. </w:t>
      </w:r>
    </w:p>
    <w:p w14:paraId="76216ADC" w14:textId="7777777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Având în vedere importanța acordată caracterului practic al formării, în desfășurarea seminarelor din cadrul tuturor disciplinelor juridice studiate au fost incluse activități care presupun studiul dosarelor, discutarea aspectelor de doctrină și practică judiciară în mod aplicat în funcție de spețele abordate, formularea de soluții, redactarea actelor de procedură.</w:t>
      </w:r>
    </w:p>
    <w:p w14:paraId="7B0D7F24" w14:textId="7777777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 xml:space="preserve">În același sens, în cadrul disciplinelor fundamentale au fost prevăzute seminare destinate scrierii juridice, ce au drept scop dezvoltarea abilităților de redactare a actelor de procedură, fiind oferit feedback individual tuturor auditorilor. Modelele de acte de procedură rezultate în urma activității și a discuțiilor derulate în cadrul acestor sesiuni de formare constituie instrumente de lucru utile pentru auditorii de justiție atât în perioada formării, cât și ulterior, pe parcursul carierei profesionale a acestora. </w:t>
      </w:r>
    </w:p>
    <w:p w14:paraId="4FD3922C" w14:textId="7777777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 xml:space="preserve">În ceea ce privește disciplinele C.E.D.O. și dreptul U.E., acestea sunt abordate având în vedere caracterul interdisciplinar al acestor domenii și scopul studierii acestora, respectiv necesitatea ca auditorii de justiție să deprindă abilitatea de a utiliza în mod corect cunoștințele în activitatea practică de soluționare a cauzelor civile și penale, evaluarea cunoștințelor fiind realizată distinct, la finalul sesiunilor de formare. </w:t>
      </w:r>
    </w:p>
    <w:p w14:paraId="029B72D6" w14:textId="7777777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Disciplinele care vizează abilitățile non-juridice au fost menținute în cadrul polului dedicat științelor socio-umane, cu abordarea unor teme de psihologie, comunicare, sociologie, gândire critică.</w:t>
      </w:r>
    </w:p>
    <w:p w14:paraId="20912ED8" w14:textId="7777777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lastRenderedPageBreak/>
        <w:t>În același scop, al deprinderii de abilități specifice, a fost organizat un modul intitulat Administrarea probatoriului în cauzele penale, sesiunile de formare dedicate având caracter practic. De asemenea, a fost organizată o conferință având ca temă problematica erorilor judiciare în procesul penal, precum și o activitate de formare dedicată tehnicilor de comunicare non-verbală, ambele susținute de specialiști în domeniile respective.</w:t>
      </w:r>
    </w:p>
    <w:p w14:paraId="7CBEE9A9" w14:textId="7777777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 xml:space="preserve">Pentru fiecare dintre cele două semestre a fost prevăzută organizarea de procese simulate, pornind de la tematica aferentă disciplinelor incluse în programul de formare și conținând elemente de comunicare, etică și conduită profesională. Activitățile de tipul proceselor simulate sunt organizate, în continuare, în colaborare cu Institutul Național pentru Pregătirea și Perfecționarea Avocaților (I.N.P.P.A.), în cadrul acestora participând, alături de auditorii de justiție și formatorii I.N.M., avocați stagiari – cursanți ai I.N.P.P.A., precum și avocați – formatori în cadrul I.N.P.P.A.. </w:t>
      </w:r>
    </w:p>
    <w:p w14:paraId="4316FD64" w14:textId="7777777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Pentru a avea posibilitatea de a cunoaște în mod direct activitățile pe care le desfășoară judecătorii și procurorii și pentru a putea identifica diferitele aspecte de ordin administrativ specifice viitoarei activității profesionale, auditorii de justiție din anul I efectuează, de asemenea, stagii în cadrul instanțelor judecătorești și al parchetelor de pe lângă acestea.</w:t>
      </w:r>
    </w:p>
    <w:p w14:paraId="6403CF0D" w14:textId="20B6CCA2"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Primele 7 săptămâni din cele 13 săptămâni aferente stagiului de practică au avut ca obiective observarea modului de organizare și funcționare a instanțelor și a parchetelor și a activităților pe care le desfășoară judecătorii și procurorii, astfel:</w:t>
      </w:r>
    </w:p>
    <w:p w14:paraId="012B0AE1" w14:textId="77777777" w:rsidR="00E157CE" w:rsidRPr="004A72CD" w:rsidRDefault="00E157CE">
      <w:pPr>
        <w:numPr>
          <w:ilvl w:val="0"/>
          <w:numId w:val="22"/>
        </w:numPr>
        <w:shd w:val="clear" w:color="auto" w:fill="FFFFFF" w:themeFill="background1"/>
        <w:tabs>
          <w:tab w:val="left" w:pos="993"/>
        </w:tabs>
        <w:spacing w:line="276" w:lineRule="auto"/>
        <w:ind w:left="0" w:right="43" w:firstLine="709"/>
        <w:contextualSpacing/>
        <w:jc w:val="both"/>
        <w:rPr>
          <w:rFonts w:asciiTheme="minorHAnsi" w:hAnsiTheme="minorHAnsi" w:cstheme="minorHAnsi"/>
          <w:bCs/>
          <w:sz w:val="26"/>
          <w:szCs w:val="26"/>
        </w:rPr>
      </w:pPr>
      <w:r w:rsidRPr="004A72CD">
        <w:rPr>
          <w:rFonts w:asciiTheme="minorHAnsi" w:hAnsiTheme="minorHAnsi" w:cstheme="minorHAnsi"/>
          <w:bCs/>
          <w:sz w:val="26"/>
          <w:szCs w:val="26"/>
        </w:rPr>
        <w:t>la instanțe: activitatea în cadrul compartimentelor auxiliare, observarea circuitului unui dosar, participarea la ședințe de judecată, întocmirea unor fișe de dosar, participarea, alături de grefierul de ședință, la activitatea de întocmire a actelor de procedură, precum și la discuții cu judecătorul cu privire la posibilele soluții în cauzele din ședințele în care au fost prezenți.</w:t>
      </w:r>
    </w:p>
    <w:p w14:paraId="6B4D1574" w14:textId="77777777" w:rsidR="00E157CE" w:rsidRPr="004A72CD" w:rsidRDefault="00E157CE">
      <w:pPr>
        <w:numPr>
          <w:ilvl w:val="0"/>
          <w:numId w:val="22"/>
        </w:numPr>
        <w:shd w:val="clear" w:color="auto" w:fill="FFFFFF" w:themeFill="background1"/>
        <w:tabs>
          <w:tab w:val="left" w:pos="993"/>
        </w:tabs>
        <w:spacing w:line="276" w:lineRule="auto"/>
        <w:ind w:left="0" w:right="43" w:firstLine="709"/>
        <w:contextualSpacing/>
        <w:jc w:val="both"/>
        <w:rPr>
          <w:rFonts w:asciiTheme="minorHAnsi" w:hAnsiTheme="minorHAnsi" w:cstheme="minorHAnsi"/>
          <w:bCs/>
          <w:sz w:val="26"/>
          <w:szCs w:val="26"/>
        </w:rPr>
      </w:pPr>
      <w:r w:rsidRPr="004A72CD">
        <w:rPr>
          <w:rFonts w:asciiTheme="minorHAnsi" w:hAnsiTheme="minorHAnsi" w:cstheme="minorHAnsi"/>
          <w:bCs/>
          <w:sz w:val="26"/>
          <w:szCs w:val="26"/>
        </w:rPr>
        <w:t>la parchete: observarea procesului de înregistrare a unei plângeri, observarea circuitului unui dosar, asistarea la întocmirea actelor de procedură specifice de către procuror, studiul unor dosare, asistarea la audieri și la luarea unor măsuri preventive.</w:t>
      </w:r>
    </w:p>
    <w:p w14:paraId="073CFA6E" w14:textId="7777777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 xml:space="preserve">Stagiul practic amplasat între cele două semestre, cu o durată de 6 săptămâni, a fost structurat astfel încât să ofere auditorilor de justiție posibilitatea de a valorifica, în perioada de formare ulterioară, la I.N.M., cunoștințele și experiențele acumulate în stagiu. Pe parcursul acestora, auditorii de justiție continuă să desfășoare activități similare celor aferente primei etape de stagiu. </w:t>
      </w:r>
    </w:p>
    <w:p w14:paraId="49601392" w14:textId="7777777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Evaluarea activității aferente stagiului în cadrul instanțelor și al parchetelor se realizează la finalul perioadei de stagiu de 3 luni, potrivit dispozițiilor Regulamentului privind organizarea, desfășurarea și evaluarea stagiilor de practică ale auditorilor de justiție, aprobat prin Hotărârea Plenului Consiliului Superior al Magistraturii nr. 116/28.06.2023</w:t>
      </w:r>
      <w:r w:rsidRPr="004A72CD">
        <w:rPr>
          <w:rFonts w:asciiTheme="minorHAnsi" w:hAnsiTheme="minorHAnsi" w:cstheme="minorHAnsi"/>
          <w:bCs/>
          <w:i/>
          <w:iCs/>
          <w:sz w:val="26"/>
          <w:szCs w:val="26"/>
        </w:rPr>
        <w:t xml:space="preserve">. </w:t>
      </w:r>
      <w:r w:rsidRPr="004A72CD">
        <w:rPr>
          <w:rFonts w:asciiTheme="minorHAnsi" w:hAnsiTheme="minorHAnsi" w:cstheme="minorHAnsi"/>
          <w:bCs/>
          <w:sz w:val="26"/>
          <w:szCs w:val="26"/>
        </w:rPr>
        <w:t>Aceasta presupune, pe de o parte, evaluarea activității și a conduitei auditorilor de justiție și, pe de altă parte, evaluarea portofoliului de acte procedurale elaborate, potrivit programului de formare aprobat.</w:t>
      </w:r>
    </w:p>
    <w:p w14:paraId="05DB9811" w14:textId="0712B8D9"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6B7D32">
        <w:rPr>
          <w:rFonts w:asciiTheme="minorHAnsi" w:hAnsiTheme="minorHAnsi" w:cstheme="minorHAnsi"/>
          <w:bCs/>
          <w:sz w:val="26"/>
          <w:szCs w:val="26"/>
        </w:rPr>
        <w:t xml:space="preserve">Auditorii de justiție </w:t>
      </w:r>
      <w:r w:rsidR="001922EA" w:rsidRPr="006B7D32">
        <w:rPr>
          <w:rFonts w:asciiTheme="minorHAnsi" w:hAnsiTheme="minorHAnsi" w:cstheme="minorHAnsi"/>
          <w:bCs/>
          <w:sz w:val="26"/>
          <w:szCs w:val="26"/>
        </w:rPr>
        <w:t>au parcurs</w:t>
      </w:r>
      <w:r w:rsidRPr="006B7D32">
        <w:rPr>
          <w:rFonts w:asciiTheme="minorHAnsi" w:hAnsiTheme="minorHAnsi" w:cstheme="minorHAnsi"/>
          <w:bCs/>
          <w:sz w:val="26"/>
          <w:szCs w:val="26"/>
        </w:rPr>
        <w:t xml:space="preserve">, </w:t>
      </w:r>
      <w:r w:rsidRPr="004A72CD">
        <w:rPr>
          <w:rFonts w:asciiTheme="minorHAnsi" w:hAnsiTheme="minorHAnsi" w:cstheme="minorHAnsi"/>
          <w:bCs/>
          <w:sz w:val="26"/>
          <w:szCs w:val="26"/>
        </w:rPr>
        <w:t xml:space="preserve">de asemenea, un stagiu de practică în cadrul penitenciarelor, desfășurat pe parcursul unei săptămâni, având ca obiectiv cunoașterea condițiilor de detenție, a activităților și a programelor de reintegrare socială, a activităților desfășurate de judecătorul de supraveghere a privării de libertate, inclusiv a participării în cadrul comisiei de liberare condiționată. </w:t>
      </w:r>
    </w:p>
    <w:p w14:paraId="5465775A" w14:textId="7777777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lastRenderedPageBreak/>
        <w:t xml:space="preserve">Programul pentru cel de al II-lea an de formare, promoția 2023 – 2025, are ca obiectiv valorificarea pregătirii de pe parcursul primului an și însușirea și dezvoltarea abilităților practice necesare exercitării viitoarei profesii. </w:t>
      </w:r>
    </w:p>
    <w:p w14:paraId="53A093DB" w14:textId="77777777" w:rsidR="00E157CE" w:rsidRPr="004A72CD" w:rsidRDefault="00E157CE" w:rsidP="00D51F5A">
      <w:pPr>
        <w:shd w:val="clear" w:color="auto" w:fill="FFFFFF" w:themeFill="background1"/>
        <w:spacing w:line="276" w:lineRule="auto"/>
        <w:ind w:right="43" w:firstLine="706"/>
        <w:rPr>
          <w:rFonts w:asciiTheme="minorHAnsi" w:hAnsiTheme="minorHAnsi" w:cstheme="minorHAnsi"/>
          <w:bCs/>
          <w:sz w:val="26"/>
          <w:szCs w:val="26"/>
        </w:rPr>
      </w:pPr>
      <w:r w:rsidRPr="004A72CD">
        <w:rPr>
          <w:rFonts w:asciiTheme="minorHAnsi" w:hAnsiTheme="minorHAnsi" w:cstheme="minorHAnsi"/>
          <w:bCs/>
          <w:sz w:val="26"/>
          <w:szCs w:val="26"/>
        </w:rPr>
        <w:t xml:space="preserve">Structura celui de al II-lea an de formare cuprinde 41 de săptămâni, din care: </w:t>
      </w:r>
    </w:p>
    <w:p w14:paraId="5255226E" w14:textId="77777777" w:rsidR="00E157CE" w:rsidRPr="004A72CD" w:rsidRDefault="00E157CE" w:rsidP="001E012E">
      <w:pPr>
        <w:shd w:val="clear" w:color="auto" w:fill="FFFFFF" w:themeFill="background1"/>
        <w:tabs>
          <w:tab w:val="left" w:pos="993"/>
        </w:tabs>
        <w:spacing w:line="276" w:lineRule="auto"/>
        <w:ind w:right="43" w:firstLine="706"/>
        <w:rPr>
          <w:rFonts w:asciiTheme="minorHAnsi" w:hAnsiTheme="minorHAnsi" w:cstheme="minorHAnsi"/>
          <w:bCs/>
          <w:sz w:val="26"/>
          <w:szCs w:val="26"/>
        </w:rPr>
      </w:pPr>
      <w:r w:rsidRPr="004A72CD">
        <w:rPr>
          <w:rFonts w:asciiTheme="minorHAnsi" w:hAnsiTheme="minorHAnsi" w:cstheme="minorHAnsi"/>
          <w:bCs/>
          <w:sz w:val="26"/>
          <w:szCs w:val="26"/>
        </w:rPr>
        <w:t>-</w:t>
      </w:r>
      <w:r w:rsidRPr="004A72CD">
        <w:rPr>
          <w:rFonts w:asciiTheme="minorHAnsi" w:hAnsiTheme="minorHAnsi" w:cstheme="minorHAnsi"/>
          <w:bCs/>
          <w:sz w:val="26"/>
          <w:szCs w:val="26"/>
        </w:rPr>
        <w:tab/>
        <w:t>29 de săptămâni de stagiu în cadrul instanțelor și parchetelor;</w:t>
      </w:r>
    </w:p>
    <w:p w14:paraId="2716C90D" w14:textId="77777777" w:rsidR="00E157CE" w:rsidRPr="004A72CD" w:rsidRDefault="00E157CE" w:rsidP="001E012E">
      <w:pPr>
        <w:shd w:val="clear" w:color="auto" w:fill="FFFFFF" w:themeFill="background1"/>
        <w:tabs>
          <w:tab w:val="left" w:pos="993"/>
        </w:tabs>
        <w:spacing w:line="276" w:lineRule="auto"/>
        <w:ind w:right="43" w:firstLine="706"/>
        <w:rPr>
          <w:rFonts w:asciiTheme="minorHAnsi" w:hAnsiTheme="minorHAnsi" w:cstheme="minorHAnsi"/>
          <w:bCs/>
          <w:sz w:val="26"/>
          <w:szCs w:val="26"/>
        </w:rPr>
      </w:pPr>
      <w:r w:rsidRPr="004A72CD">
        <w:rPr>
          <w:rFonts w:asciiTheme="minorHAnsi" w:hAnsiTheme="minorHAnsi" w:cstheme="minorHAnsi"/>
          <w:bCs/>
          <w:sz w:val="26"/>
          <w:szCs w:val="26"/>
        </w:rPr>
        <w:t>-</w:t>
      </w:r>
      <w:r w:rsidRPr="004A72CD">
        <w:rPr>
          <w:rFonts w:asciiTheme="minorHAnsi" w:hAnsiTheme="minorHAnsi" w:cstheme="minorHAnsi"/>
          <w:bCs/>
          <w:sz w:val="26"/>
          <w:szCs w:val="26"/>
        </w:rPr>
        <w:tab/>
        <w:t>4 săptămâni de stagiu în cadrul cabinetelor și societăților de avocați;</w:t>
      </w:r>
    </w:p>
    <w:p w14:paraId="302BD190" w14:textId="77777777" w:rsidR="00E157CE" w:rsidRPr="004A72CD" w:rsidRDefault="00E157CE" w:rsidP="001E012E">
      <w:pPr>
        <w:shd w:val="clear" w:color="auto" w:fill="FFFFFF" w:themeFill="background1"/>
        <w:tabs>
          <w:tab w:val="left" w:pos="993"/>
        </w:tabs>
        <w:spacing w:line="276" w:lineRule="auto"/>
        <w:ind w:right="43" w:firstLine="706"/>
        <w:rPr>
          <w:rFonts w:asciiTheme="minorHAnsi" w:hAnsiTheme="minorHAnsi" w:cstheme="minorHAnsi"/>
          <w:bCs/>
          <w:sz w:val="26"/>
          <w:szCs w:val="26"/>
        </w:rPr>
      </w:pPr>
      <w:r w:rsidRPr="004A72CD">
        <w:rPr>
          <w:rFonts w:asciiTheme="minorHAnsi" w:hAnsiTheme="minorHAnsi" w:cstheme="minorHAnsi"/>
          <w:bCs/>
          <w:sz w:val="26"/>
          <w:szCs w:val="26"/>
        </w:rPr>
        <w:t>-</w:t>
      </w:r>
      <w:r w:rsidRPr="004A72CD">
        <w:rPr>
          <w:rFonts w:asciiTheme="minorHAnsi" w:hAnsiTheme="minorHAnsi" w:cstheme="minorHAnsi"/>
          <w:bCs/>
          <w:sz w:val="26"/>
          <w:szCs w:val="26"/>
        </w:rPr>
        <w:tab/>
        <w:t>1 săptămână de stagiu la penitenciare;</w:t>
      </w:r>
    </w:p>
    <w:p w14:paraId="1C1352FD" w14:textId="77777777" w:rsidR="00E157CE" w:rsidRPr="004A72CD" w:rsidRDefault="00E157CE" w:rsidP="001E012E">
      <w:pPr>
        <w:shd w:val="clear" w:color="auto" w:fill="FFFFFF" w:themeFill="background1"/>
        <w:tabs>
          <w:tab w:val="left" w:pos="993"/>
        </w:tabs>
        <w:spacing w:line="276" w:lineRule="auto"/>
        <w:ind w:right="43" w:firstLine="706"/>
        <w:rPr>
          <w:rFonts w:asciiTheme="minorHAnsi" w:hAnsiTheme="minorHAnsi" w:cstheme="minorHAnsi"/>
          <w:bCs/>
          <w:sz w:val="26"/>
          <w:szCs w:val="26"/>
        </w:rPr>
      </w:pPr>
      <w:r w:rsidRPr="004A72CD">
        <w:rPr>
          <w:rFonts w:asciiTheme="minorHAnsi" w:hAnsiTheme="minorHAnsi" w:cstheme="minorHAnsi"/>
          <w:bCs/>
          <w:sz w:val="26"/>
          <w:szCs w:val="26"/>
        </w:rPr>
        <w:t>-</w:t>
      </w:r>
      <w:r w:rsidRPr="004A72CD">
        <w:rPr>
          <w:rFonts w:asciiTheme="minorHAnsi" w:hAnsiTheme="minorHAnsi" w:cstheme="minorHAnsi"/>
          <w:bCs/>
          <w:sz w:val="26"/>
          <w:szCs w:val="26"/>
        </w:rPr>
        <w:tab/>
        <w:t>1 săptămână de stagiu în cadrul serviciilor de probațiune;</w:t>
      </w:r>
    </w:p>
    <w:p w14:paraId="2C6366F0" w14:textId="77777777" w:rsidR="00E157CE" w:rsidRPr="004A72CD" w:rsidRDefault="00E157CE" w:rsidP="001E012E">
      <w:pPr>
        <w:shd w:val="clear" w:color="auto" w:fill="FFFFFF" w:themeFill="background1"/>
        <w:tabs>
          <w:tab w:val="left" w:pos="993"/>
        </w:tabs>
        <w:spacing w:line="276" w:lineRule="auto"/>
        <w:ind w:right="43" w:firstLine="706"/>
        <w:rPr>
          <w:rFonts w:asciiTheme="minorHAnsi" w:hAnsiTheme="minorHAnsi" w:cstheme="minorHAnsi"/>
          <w:bCs/>
          <w:sz w:val="26"/>
          <w:szCs w:val="26"/>
        </w:rPr>
      </w:pPr>
      <w:r w:rsidRPr="004A72CD">
        <w:rPr>
          <w:rFonts w:asciiTheme="minorHAnsi" w:hAnsiTheme="minorHAnsi" w:cstheme="minorHAnsi"/>
          <w:bCs/>
          <w:sz w:val="26"/>
          <w:szCs w:val="26"/>
        </w:rPr>
        <w:t>-</w:t>
      </w:r>
      <w:r w:rsidRPr="004A72CD">
        <w:rPr>
          <w:rFonts w:asciiTheme="minorHAnsi" w:hAnsiTheme="minorHAnsi" w:cstheme="minorHAnsi"/>
          <w:bCs/>
          <w:sz w:val="26"/>
          <w:szCs w:val="26"/>
        </w:rPr>
        <w:tab/>
        <w:t xml:space="preserve">6 săptămâni de modul cu caracter practic. </w:t>
      </w:r>
    </w:p>
    <w:p w14:paraId="7C70D369" w14:textId="7777777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Au fost programate, de asemenea, 2 vacanțe cu o durată totală de 6 săptămâni, astfel: 1 săptămână în perioada 15 – 19.04.2024 (ulterior finalizării primului an de formare) și 5 săptămâni în perioada 29.07. – 31.08.2024 (în perioada vacanței judecătorești).</w:t>
      </w:r>
    </w:p>
    <w:p w14:paraId="0F6B5543" w14:textId="7777777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Anul al doilea de formare a debutat cu un modul având caracter preponderent practic, organizat la sediul Institutului, desfășurat pe parcursul a 6 săptămâni (22.04 – 31.05.2024). Au fost abordate următoarele discipline: drept procesual penal (executarea hotărârilor penale, căi de atac ordinare și extraordinare), drept procesual civil (executare silită) – pentru grupele de viitori judecători, respectiv aspecte de drept procesual penal (executarea hotărârilor penale, căi de atac ordinare și extraordinare, aspecte specifice privind administrarea probatoriului pe parcursul urmăririi penale) – pentru viitorii procurori.</w:t>
      </w:r>
    </w:p>
    <w:p w14:paraId="23B2B765" w14:textId="7777777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 xml:space="preserve">De asemenea, au fost abordate teme în materia dreptului familiei, precum măsurile de ocrotire a persoanelor cu dizabilități intelectuale și psihosociale reglementate de Codul civil, alienare parentală, în materia discriminării și managementul timpului, cursuri comune tuturor auditorilor de justiție. </w:t>
      </w:r>
    </w:p>
    <w:p w14:paraId="1A325F2E" w14:textId="422C8F09"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 xml:space="preserve">În continuarea modulului, auditorii de justiție au efectuat stagii de practică în cadrul instanțelor (grupele de judecători) și al parchetelor (grupele de procurori), sub îndrumarea coordonatorilor de practică, în perioadele </w:t>
      </w:r>
      <w:r w:rsidR="00D24C3F" w:rsidRPr="004A72CD">
        <w:rPr>
          <w:rFonts w:asciiTheme="minorHAnsi" w:hAnsiTheme="minorHAnsi" w:cstheme="minorHAnsi"/>
          <w:bCs/>
          <w:sz w:val="26"/>
          <w:szCs w:val="26"/>
        </w:rPr>
        <w:t>0</w:t>
      </w:r>
      <w:r w:rsidRPr="004A72CD">
        <w:rPr>
          <w:rFonts w:asciiTheme="minorHAnsi" w:hAnsiTheme="minorHAnsi" w:cstheme="minorHAnsi"/>
          <w:bCs/>
          <w:sz w:val="26"/>
          <w:szCs w:val="26"/>
        </w:rPr>
        <w:t xml:space="preserve">3.06. – 26.07.2024, </w:t>
      </w:r>
      <w:r w:rsidR="00D24C3F" w:rsidRPr="004A72CD">
        <w:rPr>
          <w:rFonts w:asciiTheme="minorHAnsi" w:hAnsiTheme="minorHAnsi" w:cstheme="minorHAnsi"/>
          <w:bCs/>
          <w:sz w:val="26"/>
          <w:szCs w:val="26"/>
        </w:rPr>
        <w:t>0</w:t>
      </w:r>
      <w:r w:rsidRPr="004A72CD">
        <w:rPr>
          <w:rFonts w:asciiTheme="minorHAnsi" w:hAnsiTheme="minorHAnsi" w:cstheme="minorHAnsi"/>
          <w:bCs/>
          <w:sz w:val="26"/>
          <w:szCs w:val="26"/>
        </w:rPr>
        <w:t xml:space="preserve">2.09. – </w:t>
      </w:r>
      <w:r w:rsidR="00D24C3F" w:rsidRPr="004A72CD">
        <w:rPr>
          <w:rFonts w:asciiTheme="minorHAnsi" w:hAnsiTheme="minorHAnsi" w:cstheme="minorHAnsi"/>
          <w:bCs/>
          <w:sz w:val="26"/>
          <w:szCs w:val="26"/>
        </w:rPr>
        <w:t>0</w:t>
      </w:r>
      <w:r w:rsidRPr="004A72CD">
        <w:rPr>
          <w:rFonts w:asciiTheme="minorHAnsi" w:hAnsiTheme="minorHAnsi" w:cstheme="minorHAnsi"/>
          <w:bCs/>
          <w:sz w:val="26"/>
          <w:szCs w:val="26"/>
        </w:rPr>
        <w:t xml:space="preserve">8.11.2024 și </w:t>
      </w:r>
      <w:r w:rsidR="00D24C3F" w:rsidRPr="004A72CD">
        <w:rPr>
          <w:rFonts w:asciiTheme="minorHAnsi" w:hAnsiTheme="minorHAnsi" w:cstheme="minorHAnsi"/>
          <w:bCs/>
          <w:sz w:val="26"/>
          <w:szCs w:val="26"/>
        </w:rPr>
        <w:t>0</w:t>
      </w:r>
      <w:r w:rsidRPr="004A72CD">
        <w:rPr>
          <w:rFonts w:asciiTheme="minorHAnsi" w:hAnsiTheme="minorHAnsi" w:cstheme="minorHAnsi"/>
          <w:bCs/>
          <w:sz w:val="26"/>
          <w:szCs w:val="26"/>
        </w:rPr>
        <w:t xml:space="preserve">8.11. – 21.03.2025. </w:t>
      </w:r>
    </w:p>
    <w:p w14:paraId="197A381D" w14:textId="7777777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 xml:space="preserve">Desfășurarea activității practice în cadrul instanțelor și al parchetelor are ca scop însușirea cunoștințelor practice și dobândirea abilităților necesare desfășurării activității de judecător sau procuror, aprofundarea tehnicii de soluționare a dosarelor, integrarea în mediul instituțional, precum și cunoașterea în mod direct a activităților pe care le desfășoară personalul auxiliar de specialitate. </w:t>
      </w:r>
    </w:p>
    <w:p w14:paraId="00C76032" w14:textId="164C727E"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 xml:space="preserve">Stagiul practic în cadrul instanțelor și parchetelor a inclus și etapa stagiului „încrucișat” (de observare) cu o durată de 1 săptămână, în perioada </w:t>
      </w:r>
      <w:r w:rsidR="00D24C3F" w:rsidRPr="004A72CD">
        <w:rPr>
          <w:rFonts w:asciiTheme="minorHAnsi" w:hAnsiTheme="minorHAnsi" w:cstheme="minorHAnsi"/>
          <w:bCs/>
          <w:sz w:val="26"/>
          <w:szCs w:val="26"/>
        </w:rPr>
        <w:t>0</w:t>
      </w:r>
      <w:r w:rsidRPr="004A72CD">
        <w:rPr>
          <w:rFonts w:asciiTheme="minorHAnsi" w:hAnsiTheme="minorHAnsi" w:cstheme="minorHAnsi"/>
          <w:bCs/>
          <w:sz w:val="26"/>
          <w:szCs w:val="26"/>
        </w:rPr>
        <w:t xml:space="preserve">4 – </w:t>
      </w:r>
      <w:r w:rsidR="00D24C3F" w:rsidRPr="004A72CD">
        <w:rPr>
          <w:rFonts w:asciiTheme="minorHAnsi" w:hAnsiTheme="minorHAnsi" w:cstheme="minorHAnsi"/>
          <w:bCs/>
          <w:sz w:val="26"/>
          <w:szCs w:val="26"/>
        </w:rPr>
        <w:t>0</w:t>
      </w:r>
      <w:r w:rsidRPr="004A72CD">
        <w:rPr>
          <w:rFonts w:asciiTheme="minorHAnsi" w:hAnsiTheme="minorHAnsi" w:cstheme="minorHAnsi"/>
          <w:bCs/>
          <w:sz w:val="26"/>
          <w:szCs w:val="26"/>
        </w:rPr>
        <w:t>8.11.2024, având ca obiectiv, în ceea ce privește viitorii procurori, participarea la ședințe de judecată în materie penală/civilă (în care participarea procurorului este obligatorie) și cunoașterea organizării administrative a instanțelor (din perspectiva activității procurorului), iar în ceea ce privește viitorii judecători, asistarea la activitatea de supraveghere şi efectuare a urmăririi penale de către procuror și cunoașterea organizării administrative a parchetelor (din perspectiva activității desfășurate ca judecător).</w:t>
      </w:r>
    </w:p>
    <w:p w14:paraId="7BC1FF5B" w14:textId="7777777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 xml:space="preserve">Evaluarea auditorilor de justiție pe parcursul desfășurării stagiului de practică presupune, pe de o parte, evaluarea activității și a conduitei auditorilor de justiție și, pe de altă parte, evaluarea caietului de practică elaborat de auditorii de justiție. Aceasta se realizează potrivit Regulamentului privind organizarea, desfășurarea și evaluarea stagiilor de practică ale auditorilor </w:t>
      </w:r>
      <w:r w:rsidRPr="004A72CD">
        <w:rPr>
          <w:rFonts w:asciiTheme="minorHAnsi" w:hAnsiTheme="minorHAnsi" w:cstheme="minorHAnsi"/>
          <w:bCs/>
          <w:sz w:val="26"/>
          <w:szCs w:val="26"/>
        </w:rPr>
        <w:lastRenderedPageBreak/>
        <w:t>de justiție, aprobat prin Hotărârea Plenului Consiliului Superior al Magistraturii nr. 116/28.06.2023.</w:t>
      </w:r>
    </w:p>
    <w:p w14:paraId="5C6E31CE" w14:textId="0AAFD851"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 xml:space="preserve">Stagiul practic în cadrul cabinetelor și societăților de avocați (11.11. – </w:t>
      </w:r>
      <w:r w:rsidR="003E45AD" w:rsidRPr="004A72CD">
        <w:rPr>
          <w:rFonts w:asciiTheme="minorHAnsi" w:hAnsiTheme="minorHAnsi" w:cstheme="minorHAnsi"/>
          <w:bCs/>
          <w:sz w:val="26"/>
          <w:szCs w:val="26"/>
        </w:rPr>
        <w:t>0</w:t>
      </w:r>
      <w:r w:rsidRPr="004A72CD">
        <w:rPr>
          <w:rFonts w:asciiTheme="minorHAnsi" w:hAnsiTheme="minorHAnsi" w:cstheme="minorHAnsi"/>
          <w:bCs/>
          <w:sz w:val="26"/>
          <w:szCs w:val="26"/>
        </w:rPr>
        <w:t>6.12.2024) are ca obiectiv cunoașterea de către auditorii de justiție a activităților specifice desfășurate în cadrul acestora, prin familiarizarea cu activitatea și regulile deontologice ale profesiei de avocat, conștientizarea rolului avocatului în înfăptuirea actului de justiție, identificarea bunelor practici specifice exercitării profesiei, precum și elaborarea de acte de procedură întocmite de avocat. Activitatea s</w:t>
      </w:r>
      <w:r w:rsidR="00D444CB">
        <w:rPr>
          <w:rFonts w:asciiTheme="minorHAnsi" w:hAnsiTheme="minorHAnsi" w:cstheme="minorHAnsi"/>
          <w:bCs/>
          <w:sz w:val="26"/>
          <w:szCs w:val="26"/>
        </w:rPr>
        <w:t>-a</w:t>
      </w:r>
      <w:r w:rsidRPr="004A72CD">
        <w:rPr>
          <w:rFonts w:asciiTheme="minorHAnsi" w:hAnsiTheme="minorHAnsi" w:cstheme="minorHAnsi"/>
          <w:bCs/>
          <w:sz w:val="26"/>
          <w:szCs w:val="26"/>
        </w:rPr>
        <w:t xml:space="preserve"> desfăș</w:t>
      </w:r>
      <w:r w:rsidR="00D444CB">
        <w:rPr>
          <w:rFonts w:asciiTheme="minorHAnsi" w:hAnsiTheme="minorHAnsi" w:cstheme="minorHAnsi"/>
          <w:bCs/>
          <w:sz w:val="26"/>
          <w:szCs w:val="26"/>
        </w:rPr>
        <w:t>urat</w:t>
      </w:r>
      <w:r w:rsidRPr="004A72CD">
        <w:rPr>
          <w:rFonts w:asciiTheme="minorHAnsi" w:hAnsiTheme="minorHAnsi" w:cstheme="minorHAnsi"/>
          <w:bCs/>
          <w:sz w:val="26"/>
          <w:szCs w:val="26"/>
        </w:rPr>
        <w:t xml:space="preserve"> sub îndrumarea și coordonarea avocaților (tutori) desemnați în acest scop în cadrul fiecărui centru de practică. </w:t>
      </w:r>
    </w:p>
    <w:p w14:paraId="0A7998DC" w14:textId="02E107FB"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 xml:space="preserve">Auditorii de justiție </w:t>
      </w:r>
      <w:r w:rsidR="00D444CB">
        <w:rPr>
          <w:rFonts w:asciiTheme="minorHAnsi" w:hAnsiTheme="minorHAnsi" w:cstheme="minorHAnsi"/>
          <w:bCs/>
          <w:sz w:val="26"/>
          <w:szCs w:val="26"/>
        </w:rPr>
        <w:t xml:space="preserve">au </w:t>
      </w:r>
      <w:r w:rsidRPr="004A72CD">
        <w:rPr>
          <w:rFonts w:asciiTheme="minorHAnsi" w:hAnsiTheme="minorHAnsi" w:cstheme="minorHAnsi"/>
          <w:bCs/>
          <w:sz w:val="26"/>
          <w:szCs w:val="26"/>
        </w:rPr>
        <w:t>întocm</w:t>
      </w:r>
      <w:r w:rsidR="00D444CB">
        <w:rPr>
          <w:rFonts w:asciiTheme="minorHAnsi" w:hAnsiTheme="minorHAnsi" w:cstheme="minorHAnsi"/>
          <w:bCs/>
          <w:sz w:val="26"/>
          <w:szCs w:val="26"/>
        </w:rPr>
        <w:t>it</w:t>
      </w:r>
      <w:r w:rsidRPr="004A72CD">
        <w:rPr>
          <w:rFonts w:asciiTheme="minorHAnsi" w:hAnsiTheme="minorHAnsi" w:cstheme="minorHAnsi"/>
          <w:bCs/>
          <w:sz w:val="26"/>
          <w:szCs w:val="26"/>
        </w:rPr>
        <w:t xml:space="preserve"> un raport de practică în care sunt menționate activitățile desfășurate, observații personale privitoare la acestea, la care se anexează, după caz, actele juridice întocmite, pentru care există acordul avocatului desemnat.</w:t>
      </w:r>
    </w:p>
    <w:p w14:paraId="75E9EE69" w14:textId="108000BC"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Stagiul de practică în cadrul serviciilor de probațiune (</w:t>
      </w:r>
      <w:r w:rsidR="002D6E7F" w:rsidRPr="004A72CD">
        <w:rPr>
          <w:rFonts w:asciiTheme="minorHAnsi" w:hAnsiTheme="minorHAnsi" w:cstheme="minorHAnsi"/>
          <w:bCs/>
          <w:sz w:val="26"/>
          <w:szCs w:val="26"/>
        </w:rPr>
        <w:t>0</w:t>
      </w:r>
      <w:r w:rsidRPr="004A72CD">
        <w:rPr>
          <w:rFonts w:asciiTheme="minorHAnsi" w:hAnsiTheme="minorHAnsi" w:cstheme="minorHAnsi"/>
          <w:bCs/>
          <w:sz w:val="26"/>
          <w:szCs w:val="26"/>
        </w:rPr>
        <w:t>9 – 13.12.2024) a</w:t>
      </w:r>
      <w:r w:rsidR="00D444CB">
        <w:rPr>
          <w:rFonts w:asciiTheme="minorHAnsi" w:hAnsiTheme="minorHAnsi" w:cstheme="minorHAnsi"/>
          <w:bCs/>
          <w:sz w:val="26"/>
          <w:szCs w:val="26"/>
        </w:rPr>
        <w:t xml:space="preserve"> avut</w:t>
      </w:r>
      <w:r w:rsidRPr="004A72CD">
        <w:rPr>
          <w:rFonts w:asciiTheme="minorHAnsi" w:hAnsiTheme="minorHAnsi" w:cstheme="minorHAnsi"/>
          <w:bCs/>
          <w:sz w:val="26"/>
          <w:szCs w:val="26"/>
        </w:rPr>
        <w:t xml:space="preserve"> ca obiectiv familiarizarea auditorilor de justiție cu activitatea consilierului de probațiune, cu regulile deontologice aplicabile acesteia, cu procedura și metodologia de elaborare a actelor specifice, precum și identificarea bunelor practici în materia activității de probațiune. </w:t>
      </w:r>
    </w:p>
    <w:p w14:paraId="2A6C1EB8" w14:textId="02D14D9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De asemenea, stagiul de practică în cadrul penitenciarelor, derulat în perioada 16 – 20.12.2024</w:t>
      </w:r>
      <w:r w:rsidR="009A427F">
        <w:rPr>
          <w:rFonts w:asciiTheme="minorHAnsi" w:hAnsiTheme="minorHAnsi" w:cstheme="minorHAnsi"/>
          <w:bCs/>
          <w:sz w:val="26"/>
          <w:szCs w:val="26"/>
        </w:rPr>
        <w:t xml:space="preserve">, </w:t>
      </w:r>
      <w:r w:rsidR="007D7411">
        <w:rPr>
          <w:rFonts w:asciiTheme="minorHAnsi" w:hAnsiTheme="minorHAnsi" w:cstheme="minorHAnsi"/>
          <w:bCs/>
          <w:sz w:val="26"/>
          <w:szCs w:val="26"/>
        </w:rPr>
        <w:t>a facilitat</w:t>
      </w:r>
      <w:r w:rsidRPr="004A72CD">
        <w:rPr>
          <w:rFonts w:asciiTheme="minorHAnsi" w:hAnsiTheme="minorHAnsi" w:cstheme="minorHAnsi"/>
          <w:bCs/>
          <w:sz w:val="26"/>
          <w:szCs w:val="26"/>
        </w:rPr>
        <w:t xml:space="preserve"> cunoașterea de către auditorii de justiție a condițiilor de detenție, a activităților și programelor de reintegrare socială derulate în penitenciar, a activităților desfășurate de judecătorul de supraveghere a privării de libertate, inclusiv participarea în cadrul comisiei de liberare condiționată. </w:t>
      </w:r>
    </w:p>
    <w:p w14:paraId="10E333F7" w14:textId="77777777" w:rsidR="00E157CE" w:rsidRPr="004A72CD" w:rsidRDefault="00E157CE" w:rsidP="00D51F5A">
      <w:pPr>
        <w:shd w:val="clear" w:color="auto" w:fill="FFFFFF" w:themeFill="background1"/>
        <w:spacing w:line="276" w:lineRule="auto"/>
        <w:ind w:right="43" w:firstLine="706"/>
        <w:jc w:val="both"/>
        <w:rPr>
          <w:rFonts w:asciiTheme="minorHAnsi" w:hAnsiTheme="minorHAnsi" w:cstheme="minorHAnsi"/>
          <w:bCs/>
          <w:sz w:val="26"/>
          <w:szCs w:val="26"/>
        </w:rPr>
      </w:pPr>
      <w:r w:rsidRPr="004A72CD">
        <w:rPr>
          <w:rFonts w:asciiTheme="minorHAnsi" w:hAnsiTheme="minorHAnsi" w:cstheme="minorHAnsi"/>
          <w:bCs/>
          <w:sz w:val="26"/>
          <w:szCs w:val="26"/>
        </w:rPr>
        <w:t>Toate activitățile de stagiu menționate anterior sunt evaluate potrivit Regulamentului privind organizarea, desfășurarea și evaluarea stagiilor de practică ale auditorilor de justiție, aprobat prin Hotărârea Plenului Consiliului Superior al Magistraturii nr.116/28.06.2023.</w:t>
      </w:r>
    </w:p>
    <w:bookmarkEnd w:id="87"/>
    <w:bookmarkEnd w:id="88"/>
    <w:p w14:paraId="774D4A44" w14:textId="77777777" w:rsidR="00E157CE" w:rsidRPr="004A72CD" w:rsidRDefault="00E157CE">
      <w:pPr>
        <w:numPr>
          <w:ilvl w:val="0"/>
          <w:numId w:val="5"/>
        </w:numPr>
        <w:shd w:val="clear" w:color="auto" w:fill="FFFFFF" w:themeFill="background1"/>
        <w:tabs>
          <w:tab w:val="left" w:pos="720"/>
        </w:tabs>
        <w:autoSpaceDE w:val="0"/>
        <w:autoSpaceDN w:val="0"/>
        <w:spacing w:line="276" w:lineRule="auto"/>
        <w:ind w:left="1080" w:hanging="360"/>
        <w:contextualSpacing/>
        <w:jc w:val="both"/>
        <w:rPr>
          <w:rFonts w:asciiTheme="minorHAnsi" w:hAnsiTheme="minorHAnsi" w:cstheme="minorHAnsi"/>
          <w:b/>
          <w:sz w:val="26"/>
          <w:szCs w:val="26"/>
        </w:rPr>
      </w:pPr>
      <w:r w:rsidRPr="004A72CD">
        <w:rPr>
          <w:rFonts w:asciiTheme="minorHAnsi" w:hAnsiTheme="minorHAnsi" w:cstheme="minorHAnsi"/>
          <w:b/>
          <w:sz w:val="26"/>
          <w:szCs w:val="26"/>
        </w:rPr>
        <w:t>Alte activități specifice formării inițiale</w:t>
      </w:r>
    </w:p>
    <w:p w14:paraId="6B27141A" w14:textId="77777777" w:rsidR="00E157CE" w:rsidRPr="004A72CD" w:rsidRDefault="00E157CE" w:rsidP="00D51F5A">
      <w:pPr>
        <w:shd w:val="clear" w:color="auto" w:fill="FFFFFF" w:themeFill="background1"/>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În perioada de referință a fost organizată o serie de conferințe extracurriculare adresate auditorilor de justiție, după cum urmează:</w:t>
      </w:r>
    </w:p>
    <w:p w14:paraId="553B1DF5" w14:textId="1D5C84D7" w:rsidR="00E157CE" w:rsidRPr="004A72CD" w:rsidRDefault="00E157CE">
      <w:pPr>
        <w:numPr>
          <w:ilvl w:val="0"/>
          <w:numId w:val="23"/>
        </w:numPr>
        <w:shd w:val="clear" w:color="auto" w:fill="FFFFFF" w:themeFill="background1"/>
        <w:tabs>
          <w:tab w:val="left" w:pos="993"/>
        </w:tabs>
        <w:spacing w:line="276" w:lineRule="auto"/>
        <w:ind w:left="0"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La data de </w:t>
      </w:r>
      <w:r w:rsidR="002D6E7F" w:rsidRPr="004A72CD">
        <w:rPr>
          <w:rFonts w:asciiTheme="minorHAnsi" w:hAnsiTheme="minorHAnsi" w:cstheme="minorHAnsi"/>
          <w:sz w:val="26"/>
          <w:szCs w:val="26"/>
        </w:rPr>
        <w:t>0</w:t>
      </w:r>
      <w:r w:rsidRPr="004A72CD">
        <w:rPr>
          <w:rFonts w:asciiTheme="minorHAnsi" w:hAnsiTheme="minorHAnsi" w:cstheme="minorHAnsi"/>
          <w:sz w:val="26"/>
          <w:szCs w:val="26"/>
        </w:rPr>
        <w:t>5 martie 2024 a avut loc conferința intitulată „</w:t>
      </w:r>
      <w:r w:rsidRPr="004A72CD">
        <w:rPr>
          <w:rFonts w:asciiTheme="minorHAnsi" w:hAnsiTheme="minorHAnsi" w:cstheme="minorHAnsi"/>
          <w:iCs/>
          <w:sz w:val="26"/>
          <w:szCs w:val="26"/>
        </w:rPr>
        <w:t>În dialog cu Procurorul-șef al DNA, domnul Marius Ionuț Voineag</w:t>
      </w:r>
      <w:r w:rsidRPr="004A72CD">
        <w:rPr>
          <w:rFonts w:asciiTheme="minorHAnsi" w:hAnsiTheme="minorHAnsi" w:cstheme="minorHAnsi"/>
          <w:sz w:val="26"/>
          <w:szCs w:val="26"/>
        </w:rPr>
        <w:t>”. Cu acest prilej, domnul procuror-șef Marius Ionuț Voineag a adresat auditorilor de justiție mesajul Direcției Naționale Anticorupție și a împărtășit acestora din experiențele profesionale proprii, într-un cadru interactiv;</w:t>
      </w:r>
    </w:p>
    <w:p w14:paraId="57F92B3A" w14:textId="3CE9D7B0" w:rsidR="00E157CE" w:rsidRPr="004A72CD" w:rsidRDefault="00E157CE">
      <w:pPr>
        <w:numPr>
          <w:ilvl w:val="0"/>
          <w:numId w:val="23"/>
        </w:numPr>
        <w:shd w:val="clear" w:color="auto" w:fill="FFFFFF" w:themeFill="background1"/>
        <w:tabs>
          <w:tab w:val="left" w:pos="993"/>
        </w:tabs>
        <w:spacing w:line="276" w:lineRule="auto"/>
        <w:ind w:left="0"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La data de </w:t>
      </w:r>
      <w:r w:rsidR="0098738D" w:rsidRPr="004A72CD">
        <w:rPr>
          <w:rFonts w:asciiTheme="minorHAnsi" w:hAnsiTheme="minorHAnsi" w:cstheme="minorHAnsi"/>
          <w:sz w:val="26"/>
          <w:szCs w:val="26"/>
        </w:rPr>
        <w:t>0</w:t>
      </w:r>
      <w:r w:rsidRPr="004A72CD">
        <w:rPr>
          <w:rFonts w:asciiTheme="minorHAnsi" w:hAnsiTheme="minorHAnsi" w:cstheme="minorHAnsi"/>
          <w:sz w:val="26"/>
          <w:szCs w:val="26"/>
        </w:rPr>
        <w:t>4 aprilie 2024 s-a desfășurat conferința cu tema „</w:t>
      </w:r>
      <w:r w:rsidRPr="004A72CD">
        <w:rPr>
          <w:rFonts w:asciiTheme="minorHAnsi" w:hAnsiTheme="minorHAnsi" w:cstheme="minorHAnsi"/>
          <w:iCs/>
          <w:sz w:val="26"/>
          <w:szCs w:val="26"/>
        </w:rPr>
        <w:t>Mecanismul trimiterii preliminare</w:t>
      </w:r>
      <w:r w:rsidRPr="004A72CD">
        <w:rPr>
          <w:rFonts w:asciiTheme="minorHAnsi" w:hAnsiTheme="minorHAnsi" w:cstheme="minorHAnsi"/>
          <w:sz w:val="26"/>
          <w:szCs w:val="26"/>
        </w:rPr>
        <w:t>”, susținută de doamna judecător Octavia Spineanu-Matei, judecător în cadrul Curții de Justiție a Uniunii Europene. Conferința, concepută într-un format interactiv, a constituit un prilej unic pentru auditorii de justiție de valorificare a cunoștințelor dobândite pe parcursul anului de formare în cadrul sesiunilor dedicate Dreptului Uniunii Europene, inclusiv din perspectivă practică. O a doua conferință susținută de doamna judecător Octavia Spineanu-Matei, având ca temă „</w:t>
      </w:r>
      <w:r w:rsidRPr="004A72CD">
        <w:rPr>
          <w:rFonts w:asciiTheme="minorHAnsi" w:hAnsiTheme="minorHAnsi" w:cstheme="minorHAnsi"/>
          <w:iCs/>
          <w:sz w:val="26"/>
          <w:szCs w:val="26"/>
        </w:rPr>
        <w:t>Regulamentul de procedura al C.J.U.E. privind trimiterea preliminară</w:t>
      </w:r>
      <w:r w:rsidRPr="004A72CD">
        <w:rPr>
          <w:rFonts w:asciiTheme="minorHAnsi" w:hAnsiTheme="minorHAnsi" w:cstheme="minorHAnsi"/>
          <w:sz w:val="26"/>
          <w:szCs w:val="26"/>
        </w:rPr>
        <w:t>”, a avut loc la data de 30 octombrie 2024;</w:t>
      </w:r>
    </w:p>
    <w:p w14:paraId="0CFC2724" w14:textId="77777777" w:rsidR="00E157CE" w:rsidRPr="004A72CD" w:rsidRDefault="00E157CE">
      <w:pPr>
        <w:numPr>
          <w:ilvl w:val="0"/>
          <w:numId w:val="23"/>
        </w:numPr>
        <w:shd w:val="clear" w:color="auto" w:fill="FFFFFF" w:themeFill="background1"/>
        <w:tabs>
          <w:tab w:val="left" w:pos="993"/>
        </w:tabs>
        <w:spacing w:line="276" w:lineRule="auto"/>
        <w:ind w:left="0"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La data de 13 mai 2024 a avut loc conferința cu tema </w:t>
      </w:r>
      <w:bookmarkStart w:id="89" w:name="_Hlk186449013"/>
      <w:r w:rsidRPr="004A72CD">
        <w:rPr>
          <w:rFonts w:asciiTheme="minorHAnsi" w:hAnsiTheme="minorHAnsi" w:cstheme="minorHAnsi"/>
          <w:sz w:val="26"/>
          <w:szCs w:val="26"/>
        </w:rPr>
        <w:t>„</w:t>
      </w:r>
      <w:bookmarkEnd w:id="89"/>
      <w:r w:rsidRPr="004A72CD">
        <w:rPr>
          <w:rFonts w:asciiTheme="minorHAnsi" w:hAnsiTheme="minorHAnsi" w:cstheme="minorHAnsi"/>
          <w:iCs/>
          <w:sz w:val="26"/>
          <w:szCs w:val="26"/>
        </w:rPr>
        <w:t>Despre profesia de judecător</w:t>
      </w:r>
      <w:r w:rsidRPr="004A72CD">
        <w:rPr>
          <w:rFonts w:asciiTheme="minorHAnsi" w:hAnsiTheme="minorHAnsi" w:cstheme="minorHAnsi"/>
          <w:sz w:val="26"/>
          <w:szCs w:val="26"/>
        </w:rPr>
        <w:t>”, susținută de doamna judecător Liana Nicoleta Arsenie, președinte al Curții de Apel București, urmată, la data de 15 mai 2024, de o conferință intitulată „</w:t>
      </w:r>
      <w:r w:rsidRPr="004A72CD">
        <w:rPr>
          <w:rFonts w:asciiTheme="minorHAnsi" w:hAnsiTheme="minorHAnsi" w:cstheme="minorHAnsi"/>
          <w:iCs/>
          <w:sz w:val="26"/>
          <w:szCs w:val="26"/>
        </w:rPr>
        <w:t xml:space="preserve">Despre profesia de avocat. </w:t>
      </w:r>
      <w:r w:rsidRPr="004A72CD">
        <w:rPr>
          <w:rFonts w:asciiTheme="minorHAnsi" w:hAnsiTheme="minorHAnsi" w:cstheme="minorHAnsi"/>
          <w:iCs/>
          <w:sz w:val="26"/>
          <w:szCs w:val="26"/>
        </w:rPr>
        <w:lastRenderedPageBreak/>
        <w:t>Interacțiunea avocaților cu judecătorii și procurorii în înfăptuirea actului de justiție</w:t>
      </w:r>
      <w:r w:rsidRPr="004A72CD">
        <w:rPr>
          <w:rFonts w:asciiTheme="minorHAnsi" w:hAnsiTheme="minorHAnsi" w:cstheme="minorHAnsi"/>
          <w:sz w:val="26"/>
          <w:szCs w:val="26"/>
        </w:rPr>
        <w:t>”, susținută de doamna avocat Christina Vlădescu, partener în cadrul societății de avocați Țuca Zbârcea &amp; Asociații. Cele două evenimente, concepute într-un format interactiv, au constituit un bun prilej pentru auditorii de justiție de a intra în dialog cu profesioniști ai dreptului;</w:t>
      </w:r>
    </w:p>
    <w:p w14:paraId="4076461A" w14:textId="77777777" w:rsidR="00E157CE" w:rsidRPr="004A72CD" w:rsidRDefault="00E157CE">
      <w:pPr>
        <w:numPr>
          <w:ilvl w:val="0"/>
          <w:numId w:val="23"/>
        </w:numPr>
        <w:shd w:val="clear" w:color="auto" w:fill="FFFFFF" w:themeFill="background1"/>
        <w:tabs>
          <w:tab w:val="left" w:pos="993"/>
        </w:tabs>
        <w:spacing w:line="276" w:lineRule="auto"/>
        <w:ind w:left="0"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La data de 22 iulie 2024 auditorii de justiție au participat la o conferință având ca temă problematica erorilor judiciare în procesul penal, cu accent pe mecanismele care au condus la realizarea unei erori de acest tip în instrumentarea „C</w:t>
      </w:r>
      <w:r w:rsidRPr="004A72CD">
        <w:rPr>
          <w:rFonts w:asciiTheme="minorHAnsi" w:hAnsiTheme="minorHAnsi" w:cstheme="minorHAnsi"/>
          <w:iCs/>
          <w:sz w:val="26"/>
          <w:szCs w:val="26"/>
        </w:rPr>
        <w:t>azului Țundrea</w:t>
      </w:r>
      <w:r w:rsidRPr="004A72CD">
        <w:rPr>
          <w:rFonts w:asciiTheme="minorHAnsi" w:hAnsiTheme="minorHAnsi" w:cstheme="minorHAnsi"/>
          <w:sz w:val="26"/>
          <w:szCs w:val="26"/>
        </w:rPr>
        <w:t xml:space="preserve">”, susținută de formatori ai I.N.M. implicați în dovedirea vinovăției autorului real al faptelor. Această activitate de formare a fost inclusă în Programul de formare inițială prin Hotărârea Plenului Consiliului Superior al Magistraturii nr. 161/24.07.2024 privind completarea Programului de formare inițială. În completarea conținutului formativ furnizat în cadrul conferinței, 195 de auditori de justiție din anul I au avut ocazia de a viziona o piesă de teatru de tip documentar, dedicată aceleiași problematici. Piesa de teatru a reprezentat o reconstituire a întâmplărilor petrecute în „cazul Țundrea”, fiind subliniate deficiențele în investigarea cazului și modul în care erorile judiciare au condus la condamnarea unui om nevinovat, cu observarea fenomenului de „tunnel vision”. </w:t>
      </w:r>
    </w:p>
    <w:p w14:paraId="146C2BDD" w14:textId="4E81B845" w:rsidR="00E157CE" w:rsidRPr="004A72CD" w:rsidRDefault="00E157CE" w:rsidP="00D51F5A">
      <w:pPr>
        <w:shd w:val="clear" w:color="auto" w:fill="FFFFFF" w:themeFill="background1"/>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Anul I de formare al promoției 2023 – 2025 s-a încheiat cu o sesiune de activități de tip procese simulate, organizate în perioada </w:t>
      </w:r>
      <w:r w:rsidR="000D5536" w:rsidRPr="004A72CD">
        <w:rPr>
          <w:rFonts w:asciiTheme="minorHAnsi" w:hAnsiTheme="minorHAnsi" w:cstheme="minorHAnsi"/>
          <w:sz w:val="26"/>
          <w:szCs w:val="26"/>
        </w:rPr>
        <w:t>0</w:t>
      </w:r>
      <w:r w:rsidRPr="004A72CD">
        <w:rPr>
          <w:rFonts w:asciiTheme="minorHAnsi" w:hAnsiTheme="minorHAnsi" w:cstheme="minorHAnsi"/>
          <w:sz w:val="26"/>
          <w:szCs w:val="26"/>
        </w:rPr>
        <w:t>8 – 14.04.2024, în colaborare cu Institutul Național pentru Pregătirea și Perfecționarea Avocaților (I.N.P.P.A.), în cadrul cărora au participat, alături de auditorii de justiție și formatorii I.N.M., avocați stagiari – cursanți ai I.N.P.P.A., precum și avocați – formatori în cadrul I.N.P.P.A..</w:t>
      </w:r>
    </w:p>
    <w:p w14:paraId="14DB7DA7" w14:textId="61870DD9" w:rsidR="00E157CE" w:rsidRPr="004A72CD" w:rsidRDefault="00E157CE" w:rsidP="00D51F5A">
      <w:pPr>
        <w:shd w:val="clear" w:color="auto" w:fill="FFFFFF" w:themeFill="background1"/>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În săptămâna 26.02. – </w:t>
      </w:r>
      <w:r w:rsidR="000D5536" w:rsidRPr="004A72CD">
        <w:rPr>
          <w:rFonts w:asciiTheme="minorHAnsi" w:hAnsiTheme="minorHAnsi" w:cstheme="minorHAnsi"/>
          <w:sz w:val="26"/>
          <w:szCs w:val="26"/>
        </w:rPr>
        <w:t>0</w:t>
      </w:r>
      <w:r w:rsidRPr="004A72CD">
        <w:rPr>
          <w:rFonts w:asciiTheme="minorHAnsi" w:hAnsiTheme="minorHAnsi" w:cstheme="minorHAnsi"/>
          <w:sz w:val="26"/>
          <w:szCs w:val="26"/>
        </w:rPr>
        <w:t>1.03.2024, venind în întâmpinarea Magistratului de legătură de pe lângă Ambasada Franței la București, Institutul Național al Magistraturii, prin Departamentul de formare profesională inițială, a organizat stagiul a doi auditori francezi de justiție din cadrul Școlii Naționale de Magistratură din Franța (L’École Nationale de la Magistrature), însoțiți de un avocat stagiar în cadrul Biroului magistratului de legătură de la Ambasada Franței la București. Obiectivele stagiului au vizat cunoașterea aspectelor legate de sistemul de recrutare și formare profesională a auditorilor de justiție în cadrul I.N.M., identificarea aspectelor practice ale exercitării profesiei în sistemul judiciar român, aspecte legate de organizarea judiciară a acestuia, precum și dimensiunea internațională a activității juridice atât în sistemul de justiție, cât și în cadrul Institutului și al Școlii Naționale de Grefieri. Stagiul a inclus întâlniri cu formatori și reprezentanți I.N.M., participarea la un seminar de franceză juridică alături de auditorii de justiție români, precum și efectuarea de vizite la Judecătoria Sector 6 București, Curtea de Apel București, Institutul Național de Criminalistică și Școala Națională de Grefieri.</w:t>
      </w:r>
    </w:p>
    <w:p w14:paraId="43702445" w14:textId="2C193CDC" w:rsidR="00E157CE" w:rsidRPr="004A72CD" w:rsidRDefault="00E157CE" w:rsidP="00D51F5A">
      <w:pPr>
        <w:shd w:val="clear" w:color="auto" w:fill="FFFFFF" w:themeFill="background1"/>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La data de </w:t>
      </w:r>
      <w:r w:rsidR="00207BCD" w:rsidRPr="004A72CD">
        <w:rPr>
          <w:rFonts w:asciiTheme="minorHAnsi" w:hAnsiTheme="minorHAnsi" w:cstheme="minorHAnsi"/>
          <w:sz w:val="26"/>
          <w:szCs w:val="26"/>
        </w:rPr>
        <w:t>0</w:t>
      </w:r>
      <w:r w:rsidRPr="004A72CD">
        <w:rPr>
          <w:rFonts w:asciiTheme="minorHAnsi" w:hAnsiTheme="minorHAnsi" w:cstheme="minorHAnsi"/>
          <w:sz w:val="26"/>
          <w:szCs w:val="26"/>
        </w:rPr>
        <w:t>4 iulie 2024, 22 auditori de justiție din anul I și II au participat, însoțiți de un formator I.N.M., la evenimentul „Porți deschise” organizat de Consiliul Superior al Magistraturii cu ocazia celebrării anuale a Zilei Justiției. Acest eveniment a constituit un bun prilej pentru înțelegerea, de către auditorii de justiție, a modului în care C.S.M. își îndeplinește misiunea de garant al independenței justiției, precum și a modului în care funcționează sistemul judiciar.</w:t>
      </w:r>
    </w:p>
    <w:p w14:paraId="402C322C" w14:textId="5F408F60" w:rsidR="00E157CE" w:rsidRDefault="00E157CE" w:rsidP="00D51F5A">
      <w:pPr>
        <w:shd w:val="clear" w:color="auto" w:fill="FFFFFF" w:themeFill="background1"/>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În perioada </w:t>
      </w:r>
      <w:r w:rsidR="00207BCD" w:rsidRPr="004A72CD">
        <w:rPr>
          <w:rFonts w:asciiTheme="minorHAnsi" w:hAnsiTheme="minorHAnsi" w:cstheme="minorHAnsi"/>
          <w:sz w:val="26"/>
          <w:szCs w:val="26"/>
        </w:rPr>
        <w:t>0</w:t>
      </w:r>
      <w:r w:rsidRPr="004A72CD">
        <w:rPr>
          <w:rFonts w:asciiTheme="minorHAnsi" w:hAnsiTheme="minorHAnsi" w:cstheme="minorHAnsi"/>
          <w:sz w:val="26"/>
          <w:szCs w:val="26"/>
        </w:rPr>
        <w:t xml:space="preserve">9 – 13.09.2024, 11 auditori de justiție din anul al II-lea au participat la Școala de vară a I.N.M., ediția 2024, cu tema „Comunicare și leadership”, organizată în cadrul programului de formare continuă, la Sinaia. Obiectivele specifice ale acestei activități au constat în identificarea specificităților comunicării verbale, paraverbale și non-verbale; identificarea și aplicarea principalelor tipuri de leadership în funcție de context; identificarea diferitelor tipuri de </w:t>
      </w:r>
      <w:r w:rsidRPr="004A72CD">
        <w:rPr>
          <w:rFonts w:asciiTheme="minorHAnsi" w:hAnsiTheme="minorHAnsi" w:cstheme="minorHAnsi"/>
          <w:sz w:val="26"/>
          <w:szCs w:val="26"/>
        </w:rPr>
        <w:lastRenderedPageBreak/>
        <w:t xml:space="preserve">conflicte și gestionarea rezolvării lor, în mod eficient; dezvoltarea abilităților de comunicare verbală și non-verbală, precum și conștientizarea importanței comunicării non-verbale.  </w:t>
      </w:r>
    </w:p>
    <w:p w14:paraId="7E277D87" w14:textId="0C1873BF" w:rsidR="00D47E6E" w:rsidRPr="00962D24" w:rsidRDefault="00E21776" w:rsidP="00E21776">
      <w:pPr>
        <w:shd w:val="clear" w:color="auto" w:fill="FFFFFF" w:themeFill="background1"/>
        <w:tabs>
          <w:tab w:val="left" w:pos="567"/>
          <w:tab w:val="left" w:pos="709"/>
          <w:tab w:val="left" w:pos="851"/>
          <w:tab w:val="left" w:pos="993"/>
        </w:tabs>
        <w:spacing w:line="276" w:lineRule="auto"/>
        <w:contextualSpacing/>
        <w:jc w:val="both"/>
        <w:rPr>
          <w:rFonts w:asciiTheme="minorHAnsi" w:hAnsiTheme="minorHAnsi" w:cstheme="minorHAnsi"/>
          <w:sz w:val="26"/>
          <w:szCs w:val="26"/>
        </w:rPr>
      </w:pPr>
      <w:r>
        <w:rPr>
          <w:rFonts w:asciiTheme="minorHAnsi" w:hAnsiTheme="minorHAnsi" w:cstheme="minorHAnsi"/>
          <w:color w:val="FF0000"/>
          <w:sz w:val="26"/>
          <w:szCs w:val="26"/>
        </w:rPr>
        <w:tab/>
      </w:r>
      <w:r>
        <w:rPr>
          <w:rFonts w:asciiTheme="minorHAnsi" w:hAnsiTheme="minorHAnsi" w:cstheme="minorHAnsi"/>
          <w:color w:val="FF0000"/>
          <w:sz w:val="26"/>
          <w:szCs w:val="26"/>
        </w:rPr>
        <w:tab/>
      </w:r>
      <w:r w:rsidR="00D47E6E" w:rsidRPr="00962D24">
        <w:rPr>
          <w:rFonts w:asciiTheme="minorHAnsi" w:hAnsiTheme="minorHAnsi" w:cstheme="minorHAnsi"/>
          <w:sz w:val="26"/>
          <w:szCs w:val="26"/>
        </w:rPr>
        <w:t>La data de 24 octombrie 2024, 9 auditori de justiție din anul II au participat, însoțiți de 2 formatori I.N.M., la evenimentul „Porți deschise”, organizat de Consiliul Superior al Magistraturii cu ocazia celebrării anuale a Zilei Europene a Justiției Civile. Acest eveniment a constituit un bun prilej pentru înțelegerea, de către auditorii de justiție, a modului în care C.S.M. își îndeplinește misiunea de garant al independenței justiției, precum și a modului în care funcționează sistemul judiciar.</w:t>
      </w:r>
    </w:p>
    <w:p w14:paraId="4C079FC0" w14:textId="75AF56DC" w:rsidR="00D47E6E" w:rsidRPr="00962D24" w:rsidRDefault="00E21776" w:rsidP="00E21776">
      <w:pPr>
        <w:shd w:val="clear" w:color="auto" w:fill="FFFFFF" w:themeFill="background1"/>
        <w:tabs>
          <w:tab w:val="left" w:pos="709"/>
          <w:tab w:val="left" w:pos="851"/>
          <w:tab w:val="left" w:pos="993"/>
        </w:tabs>
        <w:spacing w:line="276" w:lineRule="auto"/>
        <w:contextualSpacing/>
        <w:jc w:val="both"/>
        <w:rPr>
          <w:rFonts w:asciiTheme="minorHAnsi" w:hAnsiTheme="minorHAnsi" w:cstheme="minorHAnsi"/>
          <w:sz w:val="26"/>
          <w:szCs w:val="26"/>
        </w:rPr>
      </w:pPr>
      <w:r>
        <w:rPr>
          <w:rFonts w:asciiTheme="minorHAnsi" w:hAnsiTheme="minorHAnsi" w:cstheme="minorHAnsi"/>
          <w:sz w:val="26"/>
          <w:szCs w:val="26"/>
        </w:rPr>
        <w:tab/>
      </w:r>
      <w:r w:rsidR="00D47E6E" w:rsidRPr="00962D24">
        <w:rPr>
          <w:rFonts w:asciiTheme="minorHAnsi" w:hAnsiTheme="minorHAnsi" w:cstheme="minorHAnsi"/>
          <w:sz w:val="26"/>
          <w:szCs w:val="26"/>
        </w:rPr>
        <w:t>La data de 25 octombrie 2024, Institutul Național al Magistraturii a organizat, împreună cu Școala Națională de Grefieri, evenimentul „Ziua Porților Deschise”, cu ocazia Zilei Europene a Justiției Civile. Studenților facultăților de drept le-a fost adresată invitația de a vizita cele două instituții și de a afla mai multe informații despre activitatea acestora, în special cu privire la concursurile de admitere și la formarea profesională inițială a viitorilor judecători, procurori și grefieri. În cadrul evenimentului au avut intervenții cu privire la activitatea I</w:t>
      </w:r>
      <w:r w:rsidR="00962D24" w:rsidRPr="00962D24">
        <w:rPr>
          <w:rFonts w:asciiTheme="minorHAnsi" w:hAnsiTheme="minorHAnsi" w:cstheme="minorHAnsi"/>
          <w:sz w:val="26"/>
          <w:szCs w:val="26"/>
        </w:rPr>
        <w:t>.</w:t>
      </w:r>
      <w:r w:rsidR="00D47E6E" w:rsidRPr="00962D24">
        <w:rPr>
          <w:rFonts w:asciiTheme="minorHAnsi" w:hAnsiTheme="minorHAnsi" w:cstheme="minorHAnsi"/>
          <w:sz w:val="26"/>
          <w:szCs w:val="26"/>
        </w:rPr>
        <w:t>N</w:t>
      </w:r>
      <w:r w:rsidR="00962D24" w:rsidRPr="00962D24">
        <w:rPr>
          <w:rFonts w:asciiTheme="minorHAnsi" w:hAnsiTheme="minorHAnsi" w:cstheme="minorHAnsi"/>
          <w:sz w:val="26"/>
          <w:szCs w:val="26"/>
        </w:rPr>
        <w:t>.</w:t>
      </w:r>
      <w:r w:rsidR="00D47E6E" w:rsidRPr="00962D24">
        <w:rPr>
          <w:rFonts w:asciiTheme="minorHAnsi" w:hAnsiTheme="minorHAnsi" w:cstheme="minorHAnsi"/>
          <w:sz w:val="26"/>
          <w:szCs w:val="26"/>
        </w:rPr>
        <w:t>M</w:t>
      </w:r>
      <w:r w:rsidR="00962D24" w:rsidRPr="00962D24">
        <w:rPr>
          <w:rFonts w:asciiTheme="minorHAnsi" w:hAnsiTheme="minorHAnsi" w:cstheme="minorHAnsi"/>
          <w:sz w:val="26"/>
          <w:szCs w:val="26"/>
        </w:rPr>
        <w:t>.</w:t>
      </w:r>
      <w:r w:rsidR="00D47E6E" w:rsidRPr="00962D24">
        <w:rPr>
          <w:rFonts w:asciiTheme="minorHAnsi" w:hAnsiTheme="minorHAnsi" w:cstheme="minorHAnsi"/>
          <w:sz w:val="26"/>
          <w:szCs w:val="26"/>
        </w:rPr>
        <w:t xml:space="preserve"> directorul adjunct responsabil cu formarea inițială, directorul adjunct responsabil cu formarea continuă și trei dintre formatorii Institutului. De asemenea, au fost prezenți în sală auditori de justiție din anii I și II, care au împărtășit studenților experiența lor referitoare la concursul de admitere și la perioada de formare inițială. Evenimentul a inclus, totodată, o secvență de proces simulat, pusă în scenă de 4 auditori de justiție din anul II și 1 cursant al SNG și coordonată de un formator al I</w:t>
      </w:r>
      <w:r w:rsidR="00962D24" w:rsidRPr="00962D24">
        <w:rPr>
          <w:rFonts w:asciiTheme="minorHAnsi" w:hAnsiTheme="minorHAnsi" w:cstheme="minorHAnsi"/>
          <w:sz w:val="26"/>
          <w:szCs w:val="26"/>
        </w:rPr>
        <w:t>.</w:t>
      </w:r>
      <w:r w:rsidR="00D47E6E" w:rsidRPr="00962D24">
        <w:rPr>
          <w:rFonts w:asciiTheme="minorHAnsi" w:hAnsiTheme="minorHAnsi" w:cstheme="minorHAnsi"/>
          <w:sz w:val="26"/>
          <w:szCs w:val="26"/>
        </w:rPr>
        <w:t>N</w:t>
      </w:r>
      <w:r w:rsidR="00962D24" w:rsidRPr="00962D24">
        <w:rPr>
          <w:rFonts w:asciiTheme="minorHAnsi" w:hAnsiTheme="minorHAnsi" w:cstheme="minorHAnsi"/>
          <w:sz w:val="26"/>
          <w:szCs w:val="26"/>
        </w:rPr>
        <w:t>.</w:t>
      </w:r>
      <w:r w:rsidR="00D47E6E" w:rsidRPr="00962D24">
        <w:rPr>
          <w:rFonts w:asciiTheme="minorHAnsi" w:hAnsiTheme="minorHAnsi" w:cstheme="minorHAnsi"/>
          <w:sz w:val="26"/>
          <w:szCs w:val="26"/>
        </w:rPr>
        <w:t>M</w:t>
      </w:r>
      <w:r w:rsidR="00962D24" w:rsidRPr="00962D24">
        <w:rPr>
          <w:rFonts w:asciiTheme="minorHAnsi" w:hAnsiTheme="minorHAnsi" w:cstheme="minorHAnsi"/>
          <w:sz w:val="26"/>
          <w:szCs w:val="26"/>
        </w:rPr>
        <w:t>.</w:t>
      </w:r>
      <w:r w:rsidR="00D47E6E" w:rsidRPr="00962D24">
        <w:rPr>
          <w:rFonts w:asciiTheme="minorHAnsi" w:hAnsiTheme="minorHAnsi" w:cstheme="minorHAnsi"/>
          <w:sz w:val="26"/>
          <w:szCs w:val="26"/>
        </w:rPr>
        <w:t>.</w:t>
      </w:r>
    </w:p>
    <w:p w14:paraId="7A8DAA48" w14:textId="77777777" w:rsidR="00E157CE" w:rsidRPr="004A72CD" w:rsidRDefault="00E157CE" w:rsidP="00D51F5A">
      <w:pPr>
        <w:shd w:val="clear" w:color="auto" w:fill="FFFFFF" w:themeFill="background1"/>
        <w:spacing w:line="276" w:lineRule="auto"/>
        <w:jc w:val="both"/>
        <w:rPr>
          <w:rFonts w:asciiTheme="minorHAnsi" w:hAnsiTheme="minorHAnsi" w:cstheme="minorHAnsi"/>
          <w:sz w:val="26"/>
          <w:szCs w:val="26"/>
        </w:rPr>
      </w:pPr>
      <w:r w:rsidRPr="004A72CD">
        <w:rPr>
          <w:rFonts w:asciiTheme="minorHAnsi" w:hAnsiTheme="minorHAnsi" w:cstheme="minorHAnsi"/>
          <w:b/>
          <w:sz w:val="26"/>
          <w:szCs w:val="26"/>
        </w:rPr>
        <w:tab/>
        <w:t>Stagiu de practică - studenți ai facultăților de drept</w:t>
      </w:r>
      <w:r w:rsidRPr="004A72CD">
        <w:rPr>
          <w:rFonts w:asciiTheme="minorHAnsi" w:hAnsiTheme="minorHAnsi" w:cstheme="minorHAnsi"/>
          <w:sz w:val="26"/>
          <w:szCs w:val="26"/>
        </w:rPr>
        <w:t xml:space="preserve"> </w:t>
      </w:r>
    </w:p>
    <w:p w14:paraId="27CA865E" w14:textId="4AC92C58" w:rsidR="00E157CE" w:rsidRPr="004A72CD" w:rsidRDefault="00E157CE" w:rsidP="00D51F5A">
      <w:pPr>
        <w:shd w:val="clear" w:color="auto" w:fill="FFFFFF" w:themeFill="background1"/>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În perioada </w:t>
      </w:r>
      <w:r w:rsidR="00207BCD" w:rsidRPr="004A72CD">
        <w:rPr>
          <w:rFonts w:asciiTheme="minorHAnsi" w:hAnsiTheme="minorHAnsi" w:cstheme="minorHAnsi"/>
          <w:sz w:val="26"/>
          <w:szCs w:val="26"/>
        </w:rPr>
        <w:t>0</w:t>
      </w:r>
      <w:r w:rsidRPr="004A72CD">
        <w:rPr>
          <w:rFonts w:asciiTheme="minorHAnsi" w:hAnsiTheme="minorHAnsi" w:cstheme="minorHAnsi"/>
          <w:sz w:val="26"/>
          <w:szCs w:val="26"/>
        </w:rPr>
        <w:t xml:space="preserve">1 – 19.07.2024, 5 studenți ai Facultății de Drept din cadrul Universității din București au efectuat stagii de practică în cadrul I.N.M., context în care au asistat la activități specifice formării auditorilor de justiție din anul I (conferințe, seminare) și au participat la întâlniri cu reprezentanți ai Institutului. </w:t>
      </w:r>
    </w:p>
    <w:p w14:paraId="1F918184" w14:textId="1C653381" w:rsidR="00E157CE" w:rsidRPr="004A72CD" w:rsidRDefault="00E157CE" w:rsidP="00D51F5A">
      <w:pPr>
        <w:shd w:val="clear" w:color="auto" w:fill="FFFFFF" w:themeFill="background1"/>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În perioada de raportare, la data de </w:t>
      </w:r>
      <w:r w:rsidR="00A90AEB" w:rsidRPr="004A72CD">
        <w:rPr>
          <w:rFonts w:asciiTheme="minorHAnsi" w:hAnsiTheme="minorHAnsi" w:cstheme="minorHAnsi"/>
          <w:sz w:val="26"/>
          <w:szCs w:val="26"/>
        </w:rPr>
        <w:t>0</w:t>
      </w:r>
      <w:r w:rsidRPr="004A72CD">
        <w:rPr>
          <w:rFonts w:asciiTheme="minorHAnsi" w:hAnsiTheme="minorHAnsi" w:cstheme="minorHAnsi"/>
          <w:sz w:val="26"/>
          <w:szCs w:val="26"/>
        </w:rPr>
        <w:t xml:space="preserve">1 octombrie 2024, 23 de studenți ai Facultății de Drept din cadrul Academiei de Studii Economice au efectuat o vizită la I.N.M., context în care le-a fost prezentată, de către un reprezentant al Departamentului de formare inițială, instituția și competențele sale, potrivit legii, le-au fost furnizate informații cu privire la concursul de admitere, organizarea formării inițiale și activitățile specifice desfășurate în contextul programului de formare inițială adresat auditorilor de justiție. </w:t>
      </w:r>
    </w:p>
    <w:p w14:paraId="2C2275BA" w14:textId="29DE6C7E" w:rsidR="00E157CE" w:rsidRPr="006B7D32" w:rsidRDefault="00E157CE" w:rsidP="00D51F5A">
      <w:pPr>
        <w:shd w:val="clear" w:color="auto" w:fill="FFFFFF" w:themeFill="background1"/>
        <w:spacing w:line="276" w:lineRule="auto"/>
        <w:ind w:firstLine="720"/>
        <w:jc w:val="both"/>
        <w:rPr>
          <w:rFonts w:asciiTheme="minorHAnsi" w:hAnsiTheme="minorHAnsi" w:cstheme="minorHAnsi"/>
          <w:sz w:val="26"/>
          <w:szCs w:val="26"/>
        </w:rPr>
      </w:pPr>
      <w:r w:rsidRPr="006B7D32">
        <w:rPr>
          <w:rFonts w:asciiTheme="minorHAnsi" w:hAnsiTheme="minorHAnsi" w:cstheme="minorHAnsi"/>
          <w:sz w:val="26"/>
          <w:szCs w:val="26"/>
        </w:rPr>
        <w:t xml:space="preserve">La data de 14 noiembrie 2024 </w:t>
      </w:r>
      <w:r w:rsidR="007E16A2" w:rsidRPr="006B7D32">
        <w:rPr>
          <w:rFonts w:asciiTheme="minorHAnsi" w:hAnsiTheme="minorHAnsi" w:cstheme="minorHAnsi"/>
          <w:sz w:val="26"/>
          <w:szCs w:val="26"/>
        </w:rPr>
        <w:t xml:space="preserve">a primit, de asemenea, vizita unui grup de 100 de studenți </w:t>
      </w:r>
      <w:r w:rsidRPr="006B7D32">
        <w:rPr>
          <w:rFonts w:asciiTheme="minorHAnsi" w:hAnsiTheme="minorHAnsi" w:cstheme="minorHAnsi"/>
          <w:sz w:val="26"/>
          <w:szCs w:val="26"/>
        </w:rPr>
        <w:t>ai Facultății de Drept din cadrul Universității din București, organizată în cadrul proiectului „</w:t>
      </w:r>
      <w:r w:rsidRPr="006B7D32">
        <w:rPr>
          <w:rFonts w:asciiTheme="minorHAnsi" w:hAnsiTheme="minorHAnsi" w:cstheme="minorHAnsi"/>
          <w:iCs/>
          <w:sz w:val="26"/>
          <w:szCs w:val="26"/>
        </w:rPr>
        <w:t>Insights/Învață să fii student!</w:t>
      </w:r>
      <w:r w:rsidRPr="006B7D32">
        <w:rPr>
          <w:rFonts w:asciiTheme="minorHAnsi" w:hAnsiTheme="minorHAnsi" w:cstheme="minorHAnsi"/>
          <w:sz w:val="26"/>
          <w:szCs w:val="26"/>
        </w:rPr>
        <w:t xml:space="preserve">”, un proiect de orientare profesională a studenților și de familiarizare a acestora cu mediul academic. </w:t>
      </w:r>
    </w:p>
    <w:p w14:paraId="410B3311" w14:textId="6FF34C7F" w:rsidR="00E157CE" w:rsidRPr="004A72CD" w:rsidRDefault="00E157CE" w:rsidP="00D51F5A">
      <w:pPr>
        <w:shd w:val="clear" w:color="auto" w:fill="FFFFFF" w:themeFill="background1"/>
        <w:tabs>
          <w:tab w:val="left" w:pos="720"/>
        </w:tabs>
        <w:autoSpaceDE w:val="0"/>
        <w:autoSpaceDN w:val="0"/>
        <w:spacing w:line="276" w:lineRule="auto"/>
        <w:ind w:firstLine="720"/>
        <w:jc w:val="both"/>
        <w:rPr>
          <w:rFonts w:asciiTheme="minorHAnsi" w:eastAsia="Calibri" w:hAnsiTheme="minorHAnsi" w:cstheme="minorHAnsi"/>
          <w:sz w:val="26"/>
          <w:szCs w:val="26"/>
          <w:lang w:eastAsia="ro-RO"/>
        </w:rPr>
      </w:pPr>
      <w:r w:rsidRPr="004A72CD">
        <w:rPr>
          <w:rFonts w:asciiTheme="minorHAnsi" w:eastAsia="Calibri" w:hAnsiTheme="minorHAnsi" w:cstheme="minorHAnsi"/>
          <w:b/>
          <w:sz w:val="26"/>
          <w:szCs w:val="26"/>
          <w:lang w:eastAsia="ro-RO"/>
        </w:rPr>
        <w:t>Revista I</w:t>
      </w:r>
      <w:r w:rsidR="002772D9" w:rsidRPr="004A72CD">
        <w:rPr>
          <w:rFonts w:asciiTheme="minorHAnsi" w:eastAsia="Calibri" w:hAnsiTheme="minorHAnsi" w:cstheme="minorHAnsi"/>
          <w:b/>
          <w:sz w:val="26"/>
          <w:szCs w:val="26"/>
          <w:lang w:eastAsia="ro-RO"/>
        </w:rPr>
        <w:t>.</w:t>
      </w:r>
      <w:r w:rsidRPr="004A72CD">
        <w:rPr>
          <w:rFonts w:asciiTheme="minorHAnsi" w:eastAsia="Calibri" w:hAnsiTheme="minorHAnsi" w:cstheme="minorHAnsi"/>
          <w:b/>
          <w:sz w:val="26"/>
          <w:szCs w:val="26"/>
          <w:lang w:eastAsia="ro-RO"/>
        </w:rPr>
        <w:t>N</w:t>
      </w:r>
      <w:r w:rsidR="002772D9" w:rsidRPr="004A72CD">
        <w:rPr>
          <w:rFonts w:asciiTheme="minorHAnsi" w:eastAsia="Calibri" w:hAnsiTheme="minorHAnsi" w:cstheme="minorHAnsi"/>
          <w:b/>
          <w:sz w:val="26"/>
          <w:szCs w:val="26"/>
          <w:lang w:eastAsia="ro-RO"/>
        </w:rPr>
        <w:t>.</w:t>
      </w:r>
      <w:r w:rsidRPr="004A72CD">
        <w:rPr>
          <w:rFonts w:asciiTheme="minorHAnsi" w:eastAsia="Calibri" w:hAnsiTheme="minorHAnsi" w:cstheme="minorHAnsi"/>
          <w:b/>
          <w:sz w:val="26"/>
          <w:szCs w:val="26"/>
          <w:lang w:eastAsia="ro-RO"/>
        </w:rPr>
        <w:t>M</w:t>
      </w:r>
      <w:r w:rsidR="002772D9" w:rsidRPr="004A72CD">
        <w:rPr>
          <w:rFonts w:asciiTheme="minorHAnsi" w:eastAsia="Calibri" w:hAnsiTheme="minorHAnsi" w:cstheme="minorHAnsi"/>
          <w:b/>
          <w:sz w:val="26"/>
          <w:szCs w:val="26"/>
          <w:lang w:eastAsia="ro-RO"/>
        </w:rPr>
        <w:t>.</w:t>
      </w:r>
      <w:r w:rsidRPr="004A72CD">
        <w:rPr>
          <w:rFonts w:asciiTheme="minorHAnsi" w:eastAsia="Calibri" w:hAnsiTheme="minorHAnsi" w:cstheme="minorHAnsi"/>
          <w:b/>
          <w:sz w:val="26"/>
          <w:szCs w:val="26"/>
          <w:lang w:eastAsia="ro-RO"/>
        </w:rPr>
        <w:t>, THEMIS</w:t>
      </w:r>
      <w:r w:rsidRPr="004A72CD">
        <w:rPr>
          <w:rFonts w:asciiTheme="minorHAnsi" w:eastAsia="Calibri" w:hAnsiTheme="minorHAnsi" w:cstheme="minorHAnsi"/>
          <w:sz w:val="26"/>
          <w:szCs w:val="26"/>
          <w:lang w:eastAsia="ro-RO"/>
        </w:rPr>
        <w:t xml:space="preserve"> </w:t>
      </w:r>
    </w:p>
    <w:p w14:paraId="3996CF87" w14:textId="77777777" w:rsidR="00DF5F2A" w:rsidRPr="00DF5F2A" w:rsidRDefault="00DF5F2A" w:rsidP="00DF5F2A">
      <w:pPr>
        <w:shd w:val="clear" w:color="auto" w:fill="FFFFFF" w:themeFill="background1"/>
        <w:tabs>
          <w:tab w:val="left" w:pos="720"/>
        </w:tabs>
        <w:autoSpaceDE w:val="0"/>
        <w:autoSpaceDN w:val="0"/>
        <w:spacing w:line="276" w:lineRule="auto"/>
        <w:ind w:firstLine="720"/>
        <w:jc w:val="both"/>
        <w:rPr>
          <w:rFonts w:asciiTheme="minorHAnsi" w:eastAsia="Calibri" w:hAnsiTheme="minorHAnsi" w:cstheme="minorHAnsi"/>
          <w:sz w:val="26"/>
          <w:szCs w:val="26"/>
          <w:lang w:eastAsia="ro-RO"/>
        </w:rPr>
      </w:pPr>
      <w:r w:rsidRPr="00DF5F2A">
        <w:rPr>
          <w:rFonts w:asciiTheme="minorHAnsi" w:eastAsia="Calibri" w:hAnsiTheme="minorHAnsi" w:cstheme="minorHAnsi"/>
          <w:sz w:val="26"/>
          <w:szCs w:val="26"/>
          <w:lang w:eastAsia="ro-RO"/>
        </w:rPr>
        <w:t xml:space="preserve">La începutul lunii decembrie a apărut nr. 1-2/2024 al Revistei Institutului, THEMIS. Ca element de noutate, în anul 2024 revista a fost deschisă și avocaților, inițiativă care urmează a fi menținută și în ceea ce privește edițiile viitoare. Începând din acest an, revista apare în format fizic, fiind editată, publicată și distribuită prin intermediul Editurii Universul Juridic.  </w:t>
      </w:r>
    </w:p>
    <w:p w14:paraId="2E5BB3C8" w14:textId="7D5E8331" w:rsidR="00E157CE" w:rsidRPr="004A72CD" w:rsidRDefault="00E157CE" w:rsidP="001E012E">
      <w:pPr>
        <w:pStyle w:val="Heading3"/>
      </w:pPr>
      <w:bookmarkStart w:id="90" w:name="_Toc187824372"/>
      <w:r w:rsidRPr="004A72CD">
        <w:lastRenderedPageBreak/>
        <w:t>II.3.2. Formarea profesională continuă a judecătorilor și procurorilor în cadrul I.N.M.</w:t>
      </w:r>
      <w:bookmarkEnd w:id="90"/>
    </w:p>
    <w:p w14:paraId="0F0CCB43" w14:textId="77777777" w:rsidR="00E157CE" w:rsidRPr="004A72CD" w:rsidRDefault="00E157CE"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Cele mai importante obiective strategice ale formării profesionale continue desfășurate la nivelul I.N.M. sunt creșterea calității activității de formare continuă la nivel centralizat și, totodată, creșterea ponderii și a calității activităților de formare continuă descentralizată, în acord cu obiectivele specifice prevăzute de Strategia de dezvoltare a sistemului judiciar, aprobată prin Hotărârea Guvernului nr. 436/2022.</w:t>
      </w:r>
    </w:p>
    <w:p w14:paraId="78DE8761" w14:textId="77777777" w:rsidR="00E157CE" w:rsidRPr="004A72CD" w:rsidRDefault="00E157CE"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În îndeplinirea misiunii sale de formare a membrilor sistemului judiciar, I.N.M. a desfășurat și coordonat în perioada de referință activități de formare profesională continuă pentru judecători și procurori, atât la nivel centralizat, cât și la nivel descentralizat.</w:t>
      </w:r>
    </w:p>
    <w:p w14:paraId="0BFC7D5E" w14:textId="77777777" w:rsidR="00E157CE" w:rsidRPr="004A72CD" w:rsidRDefault="00E157CE">
      <w:pPr>
        <w:numPr>
          <w:ilvl w:val="0"/>
          <w:numId w:val="6"/>
        </w:numPr>
        <w:tabs>
          <w:tab w:val="left" w:pos="1134"/>
        </w:tabs>
        <w:autoSpaceDE w:val="0"/>
        <w:autoSpaceDN w:val="0"/>
        <w:adjustRightInd w:val="0"/>
        <w:spacing w:line="276" w:lineRule="auto"/>
        <w:ind w:hanging="11"/>
        <w:contextualSpacing/>
        <w:jc w:val="both"/>
        <w:rPr>
          <w:rFonts w:asciiTheme="minorHAnsi" w:hAnsiTheme="minorHAnsi" w:cstheme="minorHAnsi"/>
          <w:b/>
          <w:color w:val="000000"/>
          <w:sz w:val="26"/>
          <w:szCs w:val="26"/>
        </w:rPr>
      </w:pPr>
      <w:r w:rsidRPr="004A72CD">
        <w:rPr>
          <w:rFonts w:asciiTheme="minorHAnsi" w:hAnsiTheme="minorHAnsi" w:cstheme="minorHAnsi"/>
          <w:b/>
          <w:sz w:val="26"/>
          <w:szCs w:val="26"/>
        </w:rPr>
        <w:t xml:space="preserve">Activitățile de formare continuă la nivel centralizat </w:t>
      </w:r>
    </w:p>
    <w:p w14:paraId="70622CA1" w14:textId="77777777" w:rsidR="00E157CE" w:rsidRPr="004A72CD" w:rsidRDefault="00E157CE" w:rsidP="00D51F5A">
      <w:pPr>
        <w:autoSpaceDE w:val="0"/>
        <w:autoSpaceDN w:val="0"/>
        <w:adjustRightInd w:val="0"/>
        <w:spacing w:line="276" w:lineRule="auto"/>
        <w:ind w:firstLine="720"/>
        <w:jc w:val="both"/>
        <w:rPr>
          <w:rFonts w:asciiTheme="minorHAnsi" w:hAnsiTheme="minorHAnsi" w:cstheme="minorHAnsi"/>
          <w:sz w:val="26"/>
          <w:szCs w:val="26"/>
        </w:rPr>
      </w:pPr>
      <w:r w:rsidRPr="004A72CD">
        <w:rPr>
          <w:rFonts w:asciiTheme="minorHAnsi" w:hAnsiTheme="minorHAnsi" w:cstheme="minorHAnsi"/>
          <w:color w:val="000000" w:themeColor="text1"/>
          <w:sz w:val="26"/>
          <w:szCs w:val="26"/>
        </w:rPr>
        <w:t>În elaborarea Programului de formare profesională continuă la nivel centralizat pentru anul 2024 au fost parcurse etapele necesare pentru stabilirea nevoilor de formare ale sistemului judiciar, prin coroborarea nevoilor de formare identificate de judecători și procurori cu nevoile de formare stabilite ca obiective instituționale și asumate prin strategiile sistemului judiciar. Ca urmare a acestei analize de sistem,</w:t>
      </w:r>
      <w:r w:rsidRPr="004A72CD">
        <w:rPr>
          <w:rFonts w:asciiTheme="minorHAnsi" w:hAnsiTheme="minorHAnsi" w:cstheme="minorHAnsi"/>
          <w:sz w:val="26"/>
          <w:szCs w:val="26"/>
        </w:rPr>
        <w:t xml:space="preserve"> au fost identificate direcțiile de formare prioritare pentru formarea continuă centralizată în cursul anului 2024, respectiv: unificarea practicii judiciare; formarea specializată a magistraților; pregătirea judecătorilor și procurorilor în domeniul dreptului european: dreptul U.E., C.E.D.O., cooperare judiciară internațională în materie civilă și penală; dezvoltarea abilităților non-juridice specifice profesiei.</w:t>
      </w:r>
    </w:p>
    <w:p w14:paraId="01570026" w14:textId="77777777" w:rsidR="00E157CE" w:rsidRPr="004A72CD" w:rsidRDefault="00E157CE" w:rsidP="00D51F5A">
      <w:pPr>
        <w:autoSpaceDE w:val="0"/>
        <w:autoSpaceDN w:val="0"/>
        <w:adjustRightInd w:val="0"/>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Pentru a promova dialogul interprofesional, I.N.M. a avut în vedere stabilirea de parteneriate cu scop formativ cu o serie de instituții și organisme naționale sau internaționale, precum</w:t>
      </w:r>
      <w:r w:rsidRPr="004A72CD">
        <w:rPr>
          <w:rFonts w:asciiTheme="minorHAnsi" w:hAnsiTheme="minorHAnsi" w:cstheme="minorHAnsi"/>
          <w:color w:val="1F4E79" w:themeColor="accent1" w:themeShade="80"/>
          <w:sz w:val="26"/>
          <w:szCs w:val="26"/>
        </w:rPr>
        <w:t xml:space="preserve"> </w:t>
      </w:r>
      <w:r w:rsidRPr="004A72CD">
        <w:rPr>
          <w:rFonts w:asciiTheme="minorHAnsi" w:hAnsiTheme="minorHAnsi" w:cstheme="minorHAnsi"/>
          <w:sz w:val="26"/>
          <w:szCs w:val="26"/>
        </w:rPr>
        <w:t xml:space="preserve">Institutul Național de Pregătire a Practicienilor în Insolvență, Inspecția Judiciară, Ambasada S.U.A. la Bucureşti, Parchetul de pe lângă Înalta Curte de Casație şi Justiţie, International Justice Mission, Consiliul Superior al Magistraturii, Agenția Națională de Integritate, Înaltul Comisariat al Națiunilor Unite pentru Refugiați, Centrului de Soluționare Alternativă a Litigiilor în domeniul Bancar, Uniunea Națională a Barourilor din România și Institutul Național pentru Pregătirea şi Perfecționarea Avocaților, Consiliul Național pentru Combaterea Discriminării, Ministerul Justiției din Germania și Fundația Germană pentru Cooperare Internațională. </w:t>
      </w:r>
    </w:p>
    <w:p w14:paraId="01AD5566" w14:textId="77777777" w:rsidR="00E157CE" w:rsidRPr="004A72CD" w:rsidRDefault="00E157CE" w:rsidP="00D51F5A">
      <w:pPr>
        <w:autoSpaceDE w:val="0"/>
        <w:autoSpaceDN w:val="0"/>
        <w:adjustRightInd w:val="0"/>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În anul 2024, formarea continuă a fost realizată atât din fonduri bugetare, cât și din fonduri mixte și extrabugetare, respectiv activități de formare organizate în cadrul unui proiect cu finanțare europeană: „Formarea și consolidarea capacității în sistemul judiciar”, finanțat prin Mecanismul Financiar Norvegian 2014 - 2021, derulat în parteneriat de C.S.M. și I.N.M..</w:t>
      </w:r>
    </w:p>
    <w:p w14:paraId="13D3E1EF" w14:textId="77777777" w:rsidR="00390BF2" w:rsidRPr="00390BF2" w:rsidRDefault="00E157CE" w:rsidP="00390BF2">
      <w:pPr>
        <w:spacing w:line="276" w:lineRule="auto"/>
        <w:ind w:firstLine="720"/>
        <w:jc w:val="both"/>
        <w:rPr>
          <w:rFonts w:asciiTheme="minorHAnsi" w:hAnsiTheme="minorHAnsi" w:cstheme="minorHAnsi"/>
          <w:sz w:val="26"/>
          <w:szCs w:val="26"/>
        </w:rPr>
      </w:pPr>
      <w:r w:rsidRPr="004A72CD">
        <w:rPr>
          <w:rFonts w:asciiTheme="minorHAnsi" w:hAnsiTheme="minorHAnsi" w:cstheme="minorHAnsi"/>
          <w:color w:val="000000" w:themeColor="text1"/>
          <w:sz w:val="26"/>
          <w:szCs w:val="26"/>
        </w:rPr>
        <w:t xml:space="preserve">O preocupare prioritară și constantă a programului de formare profesională continuă desfășurat de I.N.M. a reprezentat-o în anul 2024 organizarea de dezbateri cu privire la aspectele de practică neunitară, în cadrul întâlnirilor președinților secțiilor specializate din cadrul Înaltei Curți de Casație și Justiție și al curților de apel și cele ale procurorilor șefi secție din cadrul Parchetului de pe lângă Înalta Curte de Casație și Justiție și al parchetelor de pe lângă curțile de apel. </w:t>
      </w:r>
      <w:r w:rsidR="00390BF2" w:rsidRPr="004A72CD">
        <w:rPr>
          <w:rFonts w:asciiTheme="minorHAnsi" w:hAnsiTheme="minorHAnsi" w:cstheme="minorHAnsi"/>
          <w:sz w:val="26"/>
          <w:szCs w:val="26"/>
        </w:rPr>
        <w:t xml:space="preserve">Până </w:t>
      </w:r>
      <w:r w:rsidR="00390BF2" w:rsidRPr="00390BF2">
        <w:rPr>
          <w:rFonts w:asciiTheme="minorHAnsi" w:hAnsiTheme="minorHAnsi" w:cstheme="minorHAnsi"/>
          <w:sz w:val="26"/>
          <w:szCs w:val="26"/>
        </w:rPr>
        <w:t xml:space="preserve">la data de 31 decembrie 2024 au fost organizate 5 întâlniri ale președinților secțiilor specializate, în domeniile drept civil și procesual civil, drept administrativ, litigii cu profesioniști, drept penal și drept procesual penal, precum și o întâlnire a procurorilor șefi secție urmărire penală și/sau judiciară din cadrul Parchetului de pe lângă Înalta Curte de Casație și Justiție, </w:t>
      </w:r>
      <w:r w:rsidR="00390BF2" w:rsidRPr="00390BF2">
        <w:rPr>
          <w:rFonts w:asciiTheme="minorHAnsi" w:hAnsiTheme="minorHAnsi" w:cstheme="minorHAnsi"/>
          <w:sz w:val="26"/>
          <w:szCs w:val="26"/>
        </w:rPr>
        <w:lastRenderedPageBreak/>
        <w:t>structurilor specializate și al parchetelor de pe lângă curțile de apel dedicată identificării și discutării aspectelor de practică judiciară neunitară în materia dreptului penal și dreptului procesual penal.</w:t>
      </w:r>
    </w:p>
    <w:p w14:paraId="51279515" w14:textId="428F4426" w:rsidR="00E157CE" w:rsidRPr="004A72CD" w:rsidRDefault="00E157CE"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În anul 2024, Programul de formare continuă a inclus o serie de conferințe cu teme precum Protecţia consumatorilor: cum alegem între soluționarea alternativă a litigiilor şi procedurile judiciare, Insolvența persoanei juridice, Integritatea în exercitarea demnităților și funcțiilor publice</w:t>
      </w:r>
      <w:r w:rsidRPr="004A72CD">
        <w:rPr>
          <w:rFonts w:asciiTheme="minorHAnsi" w:hAnsiTheme="minorHAnsi" w:cstheme="minorHAnsi"/>
          <w:i/>
          <w:iCs/>
          <w:sz w:val="26"/>
          <w:szCs w:val="26"/>
        </w:rPr>
        <w:t xml:space="preserve"> </w:t>
      </w:r>
      <w:r w:rsidRPr="004A72CD">
        <w:rPr>
          <w:rFonts w:asciiTheme="minorHAnsi" w:hAnsiTheme="minorHAnsi" w:cstheme="minorHAnsi"/>
          <w:sz w:val="26"/>
          <w:szCs w:val="26"/>
        </w:rPr>
        <w:t xml:space="preserve">și o conferință dedicată membrilor rețelei europene EuroQuod. </w:t>
      </w:r>
    </w:p>
    <w:p w14:paraId="768F3033" w14:textId="7113E3DF" w:rsidR="00E157CE" w:rsidRPr="004A72CD" w:rsidRDefault="00E157CE" w:rsidP="00D51F5A">
      <w:pPr>
        <w:spacing w:line="276" w:lineRule="auto"/>
        <w:ind w:firstLine="720"/>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Programul de formare continuă aferent anului 2024, a acordat o pondere importantă domeniilor specializate, cu luarea în considerare a obiectivelor strategice prevăzute de Strategia de dezvoltare a sistemului judiciar 2022</w:t>
      </w:r>
      <w:r w:rsidR="000672DA" w:rsidRPr="004A72CD">
        <w:rPr>
          <w:rFonts w:asciiTheme="minorHAnsi" w:hAnsiTheme="minorHAnsi" w:cstheme="minorHAnsi"/>
          <w:color w:val="000000" w:themeColor="text1"/>
          <w:sz w:val="26"/>
          <w:szCs w:val="26"/>
        </w:rPr>
        <w:t xml:space="preserve"> </w:t>
      </w:r>
      <w:r w:rsidRPr="004A72CD">
        <w:rPr>
          <w:rFonts w:asciiTheme="minorHAnsi" w:hAnsiTheme="minorHAnsi" w:cstheme="minorHAnsi"/>
          <w:color w:val="000000" w:themeColor="text1"/>
          <w:sz w:val="26"/>
          <w:szCs w:val="26"/>
        </w:rPr>
        <w:t>-</w:t>
      </w:r>
      <w:r w:rsidR="000672DA" w:rsidRPr="004A72CD">
        <w:rPr>
          <w:rFonts w:asciiTheme="minorHAnsi" w:hAnsiTheme="minorHAnsi" w:cstheme="minorHAnsi"/>
          <w:color w:val="000000" w:themeColor="text1"/>
          <w:sz w:val="26"/>
          <w:szCs w:val="26"/>
        </w:rPr>
        <w:t xml:space="preserve"> </w:t>
      </w:r>
      <w:r w:rsidRPr="004A72CD">
        <w:rPr>
          <w:rFonts w:asciiTheme="minorHAnsi" w:hAnsiTheme="minorHAnsi" w:cstheme="minorHAnsi"/>
          <w:color w:val="000000" w:themeColor="text1"/>
          <w:sz w:val="26"/>
          <w:szCs w:val="26"/>
        </w:rPr>
        <w:t>2025, respectiv răspunderea penală în cazul culpei medicale, răspunderea penală în cazul accidentelor de muncă, lupta împotriva corupției și a criminalității economico</w:t>
      </w:r>
      <w:r w:rsidR="000672DA" w:rsidRPr="004A72CD">
        <w:rPr>
          <w:rFonts w:asciiTheme="minorHAnsi" w:hAnsiTheme="minorHAnsi" w:cstheme="minorHAnsi"/>
          <w:color w:val="000000" w:themeColor="text1"/>
          <w:sz w:val="26"/>
          <w:szCs w:val="26"/>
        </w:rPr>
        <w:t xml:space="preserve"> </w:t>
      </w:r>
      <w:r w:rsidRPr="004A72CD">
        <w:rPr>
          <w:rFonts w:asciiTheme="minorHAnsi" w:hAnsiTheme="minorHAnsi" w:cstheme="minorHAnsi"/>
          <w:color w:val="000000" w:themeColor="text1"/>
          <w:sz w:val="26"/>
          <w:szCs w:val="26"/>
        </w:rPr>
        <w:t>-</w:t>
      </w:r>
      <w:r w:rsidR="000672DA" w:rsidRPr="004A72CD">
        <w:rPr>
          <w:rFonts w:asciiTheme="minorHAnsi" w:hAnsiTheme="minorHAnsi" w:cstheme="minorHAnsi"/>
          <w:color w:val="000000" w:themeColor="text1"/>
          <w:sz w:val="26"/>
          <w:szCs w:val="26"/>
        </w:rPr>
        <w:t xml:space="preserve"> </w:t>
      </w:r>
      <w:r w:rsidRPr="004A72CD">
        <w:rPr>
          <w:rFonts w:asciiTheme="minorHAnsi" w:hAnsiTheme="minorHAnsi" w:cstheme="minorHAnsi"/>
          <w:color w:val="000000" w:themeColor="text1"/>
          <w:sz w:val="26"/>
          <w:szCs w:val="26"/>
        </w:rPr>
        <w:t xml:space="preserve">financiare, combaterea traficului de persoane, cu accent pe protecția victimelor infracțiunilor, a traficului de droguri, a criminalității informatice, migrațiune și azil, administrarea probatoriului - aspecte de criminalistică, administrarea probatoriului în cazul infracțiunilor la regimul circulației pe drumurile publice, tehnici de audiere în procesul penal, măsuri speciale de supraveghere sau cercetare, justiția pentru minori cu accent pe tehnici de audiere a minorilor, lupta împotriva violenței domestice, dreptul muncii și insolvență. </w:t>
      </w:r>
    </w:p>
    <w:p w14:paraId="6E39121B" w14:textId="3570A425" w:rsidR="00E157CE" w:rsidRPr="004A72CD" w:rsidRDefault="00E157CE" w:rsidP="00D51F5A">
      <w:pPr>
        <w:spacing w:line="276" w:lineRule="auto"/>
        <w:ind w:firstLine="708"/>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Printre activitățile de formare profesională continuă organizate în perioada de referință s-au numărat și cele dedicate îmbunătățirii aplicării conceptelor juridice europene de către membrii sistemului judiciar din România, ținându-se seama de relația dintre perspectiva europeană și perspectiva națională, permițând judecătorilor, procurorilor și altor profesioniști din domeniul juridic să înțeleagă pe deplin și să aplice conceptele juridice europene în activitatea lor profesională, în domenii considerate de interes pentru magistrații români, cum ar fi: achiziții publice, procedura fiscală - în mod special executare silită și TVA, cooperare internațională în materie civilă și penală, jurisprudența C</w:t>
      </w:r>
      <w:r w:rsidR="00DB57CC"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E</w:t>
      </w:r>
      <w:r w:rsidR="00DB57CC"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D</w:t>
      </w:r>
      <w:r w:rsidR="00DB57CC"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O</w:t>
      </w:r>
      <w:r w:rsidR="00DB57CC"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xml:space="preserve"> - aspecte civile și penale și jurisprudența C</w:t>
      </w:r>
      <w:r w:rsidR="00DB57CC"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J</w:t>
      </w:r>
      <w:r w:rsidR="00DB57CC"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U</w:t>
      </w:r>
      <w:r w:rsidR="00DB57CC"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E</w:t>
      </w:r>
      <w:r w:rsidR="00DB57CC"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xml:space="preserve"> în materia drepturilor fundamentale. În cadrul componentei europene a activității de formare, I</w:t>
      </w:r>
      <w:r w:rsidR="00DB57CC"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N</w:t>
      </w:r>
      <w:r w:rsidR="00DB57CC"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M</w:t>
      </w:r>
      <w:r w:rsidR="00DB57CC"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 xml:space="preserve"> a organizat în luna noiembrie 2024, cea de-a XVII-a ediție a Conferinței dedicate formării membrilor rețelei EuroQuod. </w:t>
      </w:r>
    </w:p>
    <w:p w14:paraId="1E788022" w14:textId="77777777" w:rsidR="00E157CE" w:rsidRPr="004A72CD" w:rsidRDefault="00E157CE" w:rsidP="00D51F5A">
      <w:pPr>
        <w:spacing w:line="276" w:lineRule="auto"/>
        <w:ind w:firstLine="720"/>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De asemenea, având în vedere obiectivele specifice de formare ale Strategiei de dezvoltare a sistemului judiciar 2022 - 2025, au fost incluse în Programul de formare profesională continuă 2024 sesiuni de formare în domeniul combaterii infracțiunilor de mediu și a infracțiunilor silvice, în vederea creării unei practici unitare în materie.</w:t>
      </w:r>
    </w:p>
    <w:p w14:paraId="0FD8689A" w14:textId="77777777" w:rsidR="00E157CE" w:rsidRPr="004A72CD" w:rsidRDefault="00E157CE" w:rsidP="00D51F5A">
      <w:pPr>
        <w:spacing w:line="276" w:lineRule="auto"/>
        <w:ind w:firstLine="708"/>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Totodată, în contextul preocupărilor și a nevoilor identificate la nivelul instituțiilor din sistemul judiciar cu privire la  combaterea discriminării, Institutul a prevăzut organizarea de activități de formare în acest domeniu, cu accent pe combaterea infracțiunilor motivate de ură.</w:t>
      </w:r>
    </w:p>
    <w:p w14:paraId="7C31A406" w14:textId="0BD9A04D" w:rsidR="00E157CE" w:rsidRPr="004A72CD" w:rsidRDefault="00E157CE" w:rsidP="00D51F5A">
      <w:pPr>
        <w:spacing w:line="276" w:lineRule="auto"/>
        <w:ind w:firstLine="708"/>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 xml:space="preserve">Astfel, în 2024 </w:t>
      </w:r>
      <w:r w:rsidR="00497CD9">
        <w:rPr>
          <w:rFonts w:asciiTheme="minorHAnsi" w:hAnsiTheme="minorHAnsi" w:cstheme="minorHAnsi"/>
          <w:color w:val="000000" w:themeColor="text1"/>
          <w:sz w:val="26"/>
          <w:szCs w:val="26"/>
        </w:rPr>
        <w:t>a avut loc</w:t>
      </w:r>
      <w:r w:rsidRPr="004A72CD">
        <w:rPr>
          <w:rFonts w:asciiTheme="minorHAnsi" w:hAnsiTheme="minorHAnsi" w:cstheme="minorHAnsi"/>
          <w:color w:val="000000" w:themeColor="text1"/>
          <w:sz w:val="26"/>
          <w:szCs w:val="26"/>
        </w:rPr>
        <w:t xml:space="preserve"> o activitate de formare în materia combaterii discriminării, cu accent pe investigarea infracțiunilor motivate de ură legate de negarea Holocaustului, în colaborare cu Ministerul Justiției din Germania si I.R.Z. (la București și Chișinău), ce a aborda</w:t>
      </w:r>
      <w:r w:rsidR="00497CD9">
        <w:rPr>
          <w:rFonts w:asciiTheme="minorHAnsi" w:hAnsiTheme="minorHAnsi" w:cstheme="minorHAnsi"/>
          <w:color w:val="000000" w:themeColor="text1"/>
          <w:sz w:val="26"/>
          <w:szCs w:val="26"/>
        </w:rPr>
        <w:t>t</w:t>
      </w:r>
      <w:r w:rsidRPr="004A72CD">
        <w:rPr>
          <w:rFonts w:asciiTheme="minorHAnsi" w:hAnsiTheme="minorHAnsi" w:cstheme="minorHAnsi"/>
          <w:color w:val="000000" w:themeColor="text1"/>
          <w:sz w:val="26"/>
          <w:szCs w:val="26"/>
        </w:rPr>
        <w:t xml:space="preserve"> problematica discursului motivat de ură și cea a infracțiunilor motivate de ură cu accent pe combaterea antisemitismului și nediscriminarea persoanelor din comunitatea L.G.B.T.I.. În cadrul aceleiași preocupări, I.N.M. a continua</w:t>
      </w:r>
      <w:r w:rsidR="008149D8">
        <w:rPr>
          <w:rFonts w:asciiTheme="minorHAnsi" w:hAnsiTheme="minorHAnsi" w:cstheme="minorHAnsi"/>
          <w:color w:val="000000" w:themeColor="text1"/>
          <w:sz w:val="26"/>
          <w:szCs w:val="26"/>
        </w:rPr>
        <w:t>t</w:t>
      </w:r>
      <w:r w:rsidRPr="004A72CD">
        <w:rPr>
          <w:rFonts w:asciiTheme="minorHAnsi" w:hAnsiTheme="minorHAnsi" w:cstheme="minorHAnsi"/>
          <w:color w:val="000000" w:themeColor="text1"/>
          <w:sz w:val="26"/>
          <w:szCs w:val="26"/>
        </w:rPr>
        <w:t xml:space="preserve"> seria activităților de formare online cu sprijinul Institutului Național pentru Studierea Holocaustului din România </w:t>
      </w:r>
      <w:r w:rsidR="00480987" w:rsidRPr="004A72CD">
        <w:rPr>
          <w:rFonts w:asciiTheme="minorHAnsi" w:hAnsiTheme="minorHAnsi" w:cstheme="minorHAnsi"/>
          <w:color w:val="000000" w:themeColor="text1"/>
          <w:sz w:val="26"/>
          <w:szCs w:val="26"/>
        </w:rPr>
        <w:t>„</w:t>
      </w:r>
      <w:r w:rsidRPr="004A72CD">
        <w:rPr>
          <w:rFonts w:asciiTheme="minorHAnsi" w:hAnsiTheme="minorHAnsi" w:cstheme="minorHAnsi"/>
          <w:color w:val="000000" w:themeColor="text1"/>
          <w:sz w:val="26"/>
          <w:szCs w:val="26"/>
        </w:rPr>
        <w:t>Elie Wiesel", prin organizarea, în 2024, a unui nou eveniment cu tema Antisemitism şi Holocaust – istorie, memorie și legislație.</w:t>
      </w:r>
    </w:p>
    <w:p w14:paraId="176E7058" w14:textId="77777777" w:rsidR="00E157CE" w:rsidRPr="004A72CD" w:rsidRDefault="00E157CE" w:rsidP="00D51F5A">
      <w:pPr>
        <w:spacing w:line="276" w:lineRule="auto"/>
        <w:ind w:firstLine="720"/>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lastRenderedPageBreak/>
        <w:t xml:space="preserve">Dată fiind necesitatea abordării multidisciplinare a formării prin dezvoltarea abilităților non-juridice specifice profesiilor de judecător și procuror, prin facilitarea </w:t>
      </w:r>
      <w:r w:rsidRPr="004A72CD">
        <w:rPr>
          <w:rFonts w:asciiTheme="minorHAnsi" w:hAnsiTheme="minorHAnsi" w:cstheme="minorHAnsi"/>
          <w:sz w:val="26"/>
          <w:szCs w:val="26"/>
        </w:rPr>
        <w:t>dialogului interprofesional</w:t>
      </w:r>
      <w:r w:rsidRPr="004A72CD">
        <w:rPr>
          <w:rFonts w:asciiTheme="minorHAnsi" w:hAnsiTheme="minorHAnsi" w:cstheme="minorHAnsi"/>
          <w:color w:val="000000" w:themeColor="text1"/>
          <w:sz w:val="26"/>
          <w:szCs w:val="26"/>
        </w:rPr>
        <w:t xml:space="preserve"> și realizarea unei comunicări eficiente, corecte și transparente între magistrați și societate, în Programul de formare continuă 2024 au fost prevăzute și desfășurate activități de formare în domenii ca management judiciar, leadership și comunicare, etică și deontologie, etică și judgecraft – arta de a fi judecător, instrumente și bune practici de comunicare pentru îmbunătățirea activității de relații publice a personalului din sistemul judiciar, dezvoltare personală și programare neurolingvistică și formare a formatorilor, inclusiv în utilizarea instrumentelor digitale de formare. </w:t>
      </w:r>
    </w:p>
    <w:p w14:paraId="02D8A4AF" w14:textId="77777777" w:rsidR="00E157CE" w:rsidRPr="004A72CD" w:rsidRDefault="00E157CE" w:rsidP="00D51F5A">
      <w:pPr>
        <w:spacing w:line="276" w:lineRule="auto"/>
        <w:ind w:firstLine="708"/>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În acest cadru, este de menționat faptul că cea de-a XIX-a ediție a Școlii de vară organizată anual de Institut a abordat tema „</w:t>
      </w:r>
      <w:r w:rsidRPr="004A72CD">
        <w:rPr>
          <w:rFonts w:asciiTheme="minorHAnsi" w:hAnsiTheme="minorHAnsi" w:cstheme="minorHAnsi"/>
          <w:iCs/>
          <w:color w:val="000000" w:themeColor="text1"/>
          <w:sz w:val="26"/>
          <w:szCs w:val="26"/>
        </w:rPr>
        <w:t>Comunicare și leadership</w:t>
      </w:r>
      <w:r w:rsidRPr="004A72CD">
        <w:rPr>
          <w:rFonts w:asciiTheme="minorHAnsi" w:hAnsiTheme="minorHAnsi" w:cstheme="minorHAnsi"/>
          <w:color w:val="000000" w:themeColor="text1"/>
          <w:sz w:val="26"/>
          <w:szCs w:val="26"/>
        </w:rPr>
        <w:t>”, având ca obiective de formare identificarea specificităților comunicării verbale, non-verbale și paraverbale, aplicarea principalelor tipuri de leadership, gestionarea eficientă a conflictelor și dezvoltarea de abilități de comunicare verbală și non-verbală în mediul profesional.</w:t>
      </w:r>
    </w:p>
    <w:p w14:paraId="4C327057" w14:textId="7FA110A8" w:rsidR="00E157CE" w:rsidRPr="004A72CD" w:rsidRDefault="00E157CE" w:rsidP="00D51F5A">
      <w:pPr>
        <w:spacing w:line="276" w:lineRule="auto"/>
        <w:ind w:firstLine="720"/>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 xml:space="preserve"> În perioada de referință este de menționat finalizarea programului de pregătire a magistraților selectați în temeiul prevederilor art. 33 alin. (1) din Legea nr. 303/2004</w:t>
      </w:r>
      <w:r w:rsidRPr="004A72CD">
        <w:rPr>
          <w:rFonts w:asciiTheme="minorHAnsi" w:hAnsiTheme="minorHAnsi" w:cstheme="minorHAnsi"/>
          <w:sz w:val="26"/>
          <w:szCs w:val="26"/>
        </w:rPr>
        <w:t xml:space="preserve"> </w:t>
      </w:r>
      <w:r w:rsidRPr="004A72CD">
        <w:rPr>
          <w:rFonts w:asciiTheme="minorHAnsi" w:hAnsiTheme="minorHAnsi" w:cstheme="minorHAnsi"/>
          <w:color w:val="000000" w:themeColor="text1"/>
          <w:sz w:val="26"/>
          <w:szCs w:val="26"/>
        </w:rPr>
        <w:t xml:space="preserve">privind statutul judecătorilor și procurorilor (actualul </w:t>
      </w:r>
      <w:r w:rsidRPr="004A72CD">
        <w:rPr>
          <w:rFonts w:asciiTheme="minorHAnsi" w:hAnsiTheme="minorHAnsi" w:cstheme="minorHAnsi"/>
          <w:sz w:val="26"/>
          <w:szCs w:val="26"/>
        </w:rPr>
        <w:t>art</w:t>
      </w:r>
      <w:r w:rsidRPr="004A72CD">
        <w:rPr>
          <w:rFonts w:asciiTheme="minorHAnsi" w:hAnsiTheme="minorHAnsi" w:cstheme="minorHAnsi"/>
          <w:color w:val="000000" w:themeColor="text1"/>
          <w:sz w:val="26"/>
          <w:szCs w:val="26"/>
        </w:rPr>
        <w:t>. 63 din Legea nr. 303/2022</w:t>
      </w:r>
      <w:r w:rsidRPr="004A72CD">
        <w:rPr>
          <w:rFonts w:asciiTheme="minorHAnsi" w:hAnsiTheme="minorHAnsi" w:cstheme="minorHAnsi"/>
          <w:sz w:val="26"/>
          <w:szCs w:val="26"/>
        </w:rPr>
        <w:t xml:space="preserve"> </w:t>
      </w:r>
      <w:r w:rsidRPr="004A72CD">
        <w:rPr>
          <w:rFonts w:asciiTheme="minorHAnsi" w:hAnsiTheme="minorHAnsi" w:cstheme="minorHAnsi"/>
          <w:color w:val="000000" w:themeColor="text1"/>
          <w:sz w:val="26"/>
          <w:szCs w:val="26"/>
        </w:rPr>
        <w:t>privind statutul judecătorilor și procurorilor), în urma concursurilor de admitere în magistratură organizate în perioadele iulie 2022 – martie 2023 și octombrie 2022 - iunie 2023</w:t>
      </w:r>
      <w:bookmarkStart w:id="91" w:name="OLE_LINK11"/>
      <w:bookmarkStart w:id="92" w:name="OLE_LINK62"/>
      <w:r w:rsidRPr="004A72CD">
        <w:rPr>
          <w:rFonts w:asciiTheme="minorHAnsi" w:hAnsiTheme="minorHAnsi" w:cstheme="minorHAnsi"/>
          <w:color w:val="000000" w:themeColor="text1"/>
          <w:sz w:val="26"/>
          <w:szCs w:val="26"/>
        </w:rPr>
        <w:t>, respectiv 127 de judecători și 40 de procurori.</w:t>
      </w:r>
      <w:bookmarkEnd w:id="91"/>
      <w:r w:rsidRPr="004A72CD">
        <w:rPr>
          <w:rFonts w:asciiTheme="minorHAnsi" w:hAnsiTheme="minorHAnsi" w:cstheme="minorHAnsi"/>
          <w:color w:val="000000" w:themeColor="text1"/>
          <w:sz w:val="26"/>
          <w:szCs w:val="26"/>
        </w:rPr>
        <w:t xml:space="preserve"> Programul de pregătire pentru acești magistrați s-a încheiat cu 5 sesiuni de pregătire în domeniile fundamentale drept civil și procesual civil și drept penal și drept procesual penal, atât în format clasic, față în față, cât și în mediul online. </w:t>
      </w:r>
      <w:bookmarkEnd w:id="92"/>
    </w:p>
    <w:p w14:paraId="500EA6D8" w14:textId="77777777" w:rsidR="00CF3750" w:rsidRPr="003514BB" w:rsidRDefault="00E157CE" w:rsidP="00CF3750">
      <w:pPr>
        <w:spacing w:line="276" w:lineRule="auto"/>
        <w:ind w:firstLine="720"/>
        <w:jc w:val="both"/>
        <w:rPr>
          <w:rFonts w:asciiTheme="minorHAnsi" w:hAnsiTheme="minorHAnsi" w:cstheme="minorHAnsi"/>
          <w:color w:val="FF0000"/>
          <w:sz w:val="26"/>
          <w:szCs w:val="26"/>
        </w:rPr>
      </w:pPr>
      <w:r w:rsidRPr="004A72CD">
        <w:rPr>
          <w:rFonts w:asciiTheme="minorHAnsi" w:hAnsiTheme="minorHAnsi" w:cstheme="minorHAnsi"/>
          <w:color w:val="000000" w:themeColor="text1"/>
          <w:sz w:val="26"/>
          <w:szCs w:val="26"/>
        </w:rPr>
        <w:t xml:space="preserve">De asemenea, Institutul a organizat și programul de pregătire a magistraților selectați în temeiul prevederilor </w:t>
      </w:r>
      <w:r w:rsidRPr="004A72CD">
        <w:rPr>
          <w:rFonts w:asciiTheme="minorHAnsi" w:hAnsiTheme="minorHAnsi" w:cstheme="minorHAnsi"/>
          <w:sz w:val="26"/>
          <w:szCs w:val="26"/>
        </w:rPr>
        <w:t>art.</w:t>
      </w:r>
      <w:r w:rsidRPr="004A72CD">
        <w:rPr>
          <w:rFonts w:asciiTheme="minorHAnsi" w:hAnsiTheme="minorHAnsi" w:cstheme="minorHAnsi"/>
          <w:color w:val="000000" w:themeColor="text1"/>
          <w:sz w:val="26"/>
          <w:szCs w:val="26"/>
        </w:rPr>
        <w:t xml:space="preserve"> 63 din Legea nr. 303/2022, pentru judecătorii și procurorii admiși în magistratură în sesiunile iulie 2023 – martie 2024 și februarie - iulie 2024, respectiv 369 de judecători și 200 de procurori. Program</w:t>
      </w:r>
      <w:r w:rsidR="008149D8">
        <w:rPr>
          <w:rFonts w:asciiTheme="minorHAnsi" w:hAnsiTheme="minorHAnsi" w:cstheme="minorHAnsi"/>
          <w:color w:val="000000" w:themeColor="text1"/>
          <w:sz w:val="26"/>
          <w:szCs w:val="26"/>
        </w:rPr>
        <w:t>ele</w:t>
      </w:r>
      <w:r w:rsidRPr="004A72CD">
        <w:rPr>
          <w:rFonts w:asciiTheme="minorHAnsi" w:hAnsiTheme="minorHAnsi" w:cstheme="minorHAnsi"/>
          <w:color w:val="000000" w:themeColor="text1"/>
          <w:sz w:val="26"/>
          <w:szCs w:val="26"/>
        </w:rPr>
        <w:t xml:space="preserve"> de formare profesională a acestora a</w:t>
      </w:r>
      <w:r w:rsidR="00871483">
        <w:rPr>
          <w:rFonts w:asciiTheme="minorHAnsi" w:hAnsiTheme="minorHAnsi" w:cstheme="minorHAnsi"/>
          <w:color w:val="000000" w:themeColor="text1"/>
          <w:sz w:val="26"/>
          <w:szCs w:val="26"/>
        </w:rPr>
        <w:t>u</w:t>
      </w:r>
      <w:r w:rsidRPr="004A72CD">
        <w:rPr>
          <w:rFonts w:asciiTheme="minorHAnsi" w:hAnsiTheme="minorHAnsi" w:cstheme="minorHAnsi"/>
          <w:color w:val="000000" w:themeColor="text1"/>
          <w:sz w:val="26"/>
          <w:szCs w:val="26"/>
        </w:rPr>
        <w:t xml:space="preserve"> fost elaborat</w:t>
      </w:r>
      <w:r w:rsidR="00871483">
        <w:rPr>
          <w:rFonts w:asciiTheme="minorHAnsi" w:hAnsiTheme="minorHAnsi" w:cstheme="minorHAnsi"/>
          <w:color w:val="000000" w:themeColor="text1"/>
          <w:sz w:val="26"/>
          <w:szCs w:val="26"/>
        </w:rPr>
        <w:t>e</w:t>
      </w:r>
      <w:r w:rsidRPr="004A72CD">
        <w:rPr>
          <w:rFonts w:asciiTheme="minorHAnsi" w:hAnsiTheme="minorHAnsi" w:cstheme="minorHAnsi"/>
          <w:color w:val="000000" w:themeColor="text1"/>
          <w:sz w:val="26"/>
          <w:szCs w:val="26"/>
        </w:rPr>
        <w:t xml:space="preserve"> în baza unei tematici specifice fiecărei profesii, în cadrul modulelor de formare fiind asigurată pregătirea judecătorilor și procurorilor în următoarele domenii: drept civil și drept procesual civil, drept penal și drept procesual penal, drepturile omului, dreptul Uniunii Europene, criminalistică, etică și deontologie profesională și comunicare. În acest an, </w:t>
      </w:r>
      <w:r w:rsidR="00871483">
        <w:rPr>
          <w:rFonts w:asciiTheme="minorHAnsi" w:hAnsiTheme="minorHAnsi" w:cstheme="minorHAnsi"/>
          <w:color w:val="000000" w:themeColor="text1"/>
          <w:sz w:val="26"/>
          <w:szCs w:val="26"/>
        </w:rPr>
        <w:t xml:space="preserve">cele două </w:t>
      </w:r>
      <w:r w:rsidRPr="004A72CD">
        <w:rPr>
          <w:rFonts w:asciiTheme="minorHAnsi" w:hAnsiTheme="minorHAnsi" w:cstheme="minorHAnsi"/>
          <w:color w:val="000000" w:themeColor="text1"/>
          <w:sz w:val="26"/>
          <w:szCs w:val="26"/>
        </w:rPr>
        <w:t>progra</w:t>
      </w:r>
      <w:r w:rsidR="00871483">
        <w:rPr>
          <w:rFonts w:asciiTheme="minorHAnsi" w:hAnsiTheme="minorHAnsi" w:cstheme="minorHAnsi"/>
          <w:color w:val="000000" w:themeColor="text1"/>
          <w:sz w:val="26"/>
          <w:szCs w:val="26"/>
        </w:rPr>
        <w:t>me</w:t>
      </w:r>
      <w:r w:rsidRPr="004A72CD">
        <w:rPr>
          <w:rFonts w:asciiTheme="minorHAnsi" w:hAnsiTheme="minorHAnsi" w:cstheme="minorHAnsi"/>
          <w:color w:val="000000" w:themeColor="text1"/>
          <w:sz w:val="26"/>
          <w:szCs w:val="26"/>
        </w:rPr>
        <w:t xml:space="preserve"> de pregătire profesională a judecătorilor și procurorilor admiși în magistratură în condițiile art. 63 alin. (1) din Legea nr. 303/2022 s-a</w:t>
      </w:r>
      <w:r w:rsidR="00871483">
        <w:rPr>
          <w:rFonts w:asciiTheme="minorHAnsi" w:hAnsiTheme="minorHAnsi" w:cstheme="minorHAnsi"/>
          <w:color w:val="000000" w:themeColor="text1"/>
          <w:sz w:val="26"/>
          <w:szCs w:val="26"/>
        </w:rPr>
        <w:t>u</w:t>
      </w:r>
      <w:r w:rsidRPr="004A72CD">
        <w:rPr>
          <w:rFonts w:asciiTheme="minorHAnsi" w:hAnsiTheme="minorHAnsi" w:cstheme="minorHAnsi"/>
          <w:color w:val="000000" w:themeColor="text1"/>
          <w:sz w:val="26"/>
          <w:szCs w:val="26"/>
        </w:rPr>
        <w:t xml:space="preserve"> desfășurat pe parcursul </w:t>
      </w:r>
      <w:r w:rsidRPr="00CF3750">
        <w:rPr>
          <w:rFonts w:asciiTheme="minorHAnsi" w:hAnsiTheme="minorHAnsi" w:cstheme="minorHAnsi"/>
          <w:sz w:val="26"/>
          <w:szCs w:val="26"/>
        </w:rPr>
        <w:t xml:space="preserve">a </w:t>
      </w:r>
      <w:r w:rsidR="00CF3750" w:rsidRPr="00CF3750">
        <w:rPr>
          <w:rFonts w:asciiTheme="minorHAnsi" w:hAnsiTheme="minorHAnsi" w:cstheme="minorHAnsi"/>
          <w:sz w:val="26"/>
          <w:szCs w:val="26"/>
        </w:rPr>
        <w:t>39 de sesiuni de pregătire în domeniile fundamentale drept civil și procesual civil și drept penal și drept procesual penal și în domenii specializate precum dreptul familiei, litigii cu profesioniștii, C.E.D.O., Dreptul U.E., criminalistică, atât în format clasic, față în față, cât și în mediul online.</w:t>
      </w:r>
    </w:p>
    <w:p w14:paraId="6D1F5277" w14:textId="5D2394FE" w:rsidR="00E157CE" w:rsidRPr="004A72CD" w:rsidRDefault="00E157CE" w:rsidP="00D51F5A">
      <w:pPr>
        <w:spacing w:line="276" w:lineRule="auto"/>
        <w:ind w:firstLine="720"/>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 xml:space="preserve">În realizarea componentei europene a activității de formare, I.N.M. a organizat în anul 2024, în cadrul Catalogului Plus și Catalogului Membrilor Rețelei Europene de Formare Judiciară (E.J.T.N.), activități de formare profesională continuă în domeniul Engleză juridică, deschise participării  magistraților români precum și judecătorilor și procurorilor europeni. </w:t>
      </w:r>
    </w:p>
    <w:p w14:paraId="65AB83EF" w14:textId="1172BE62" w:rsidR="00E157CE" w:rsidRPr="004A72CD" w:rsidRDefault="00E157CE" w:rsidP="00D51F5A">
      <w:pPr>
        <w:spacing w:line="276" w:lineRule="auto"/>
        <w:ind w:firstLine="720"/>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 xml:space="preserve">În cadrul unui demers mai larg promovat de I.N.M., menit să încurajeze dialogul între magistrați și avocați și să îmbunătățească modul în care cele două profesii se raportează una la cealaltă, Institutul Național al Magistraturii, </w:t>
      </w:r>
      <w:hyperlink r:id="rId20" w:history="1">
        <w:r w:rsidRPr="004A72CD">
          <w:rPr>
            <w:rFonts w:asciiTheme="minorHAnsi" w:hAnsiTheme="minorHAnsi" w:cstheme="minorHAnsi"/>
            <w:color w:val="000000" w:themeColor="text1"/>
            <w:sz w:val="26"/>
            <w:szCs w:val="26"/>
          </w:rPr>
          <w:t>Uniunea Națională a Barourilor din România – U.N.B.R</w:t>
        </w:r>
      </w:hyperlink>
      <w:r w:rsidRPr="004A72CD">
        <w:rPr>
          <w:rFonts w:asciiTheme="minorHAnsi" w:hAnsiTheme="minorHAnsi" w:cstheme="minorHAnsi"/>
          <w:color w:val="000000" w:themeColor="text1"/>
          <w:sz w:val="26"/>
          <w:szCs w:val="26"/>
        </w:rPr>
        <w:t xml:space="preserve">. și </w:t>
      </w:r>
      <w:hyperlink r:id="rId21" w:history="1">
        <w:r w:rsidRPr="004A72CD">
          <w:rPr>
            <w:rFonts w:asciiTheme="minorHAnsi" w:hAnsiTheme="minorHAnsi" w:cstheme="minorHAnsi"/>
            <w:color w:val="000000" w:themeColor="text1"/>
            <w:sz w:val="26"/>
            <w:szCs w:val="26"/>
          </w:rPr>
          <w:t>Institutul National pentru Pregătirea şi Perfecționarea Avocaților</w:t>
        </w:r>
      </w:hyperlink>
      <w:r w:rsidRPr="004A72CD">
        <w:rPr>
          <w:rFonts w:asciiTheme="minorHAnsi" w:hAnsiTheme="minorHAnsi" w:cstheme="minorHAnsi"/>
          <w:color w:val="000000" w:themeColor="text1"/>
          <w:sz w:val="26"/>
          <w:szCs w:val="26"/>
        </w:rPr>
        <w:t xml:space="preserve"> au agreat invitarea </w:t>
      </w:r>
      <w:r w:rsidRPr="004A72CD">
        <w:rPr>
          <w:rFonts w:asciiTheme="minorHAnsi" w:hAnsiTheme="minorHAnsi" w:cstheme="minorHAnsi"/>
          <w:color w:val="000000" w:themeColor="text1"/>
          <w:sz w:val="26"/>
          <w:szCs w:val="26"/>
        </w:rPr>
        <w:lastRenderedPageBreak/>
        <w:t xml:space="preserve">avocaților la o serie de activități de formare profesională continuă dedicate judecătorilor și procurorilor în domenii precum achizițiile publice, protecția europeană a drepturilor omului, protecția consumatorilor, justiția pentru minori, tehnici de audiere a minorilor în cauzele penale, combaterea discriminării, combaterea traficului de persoane, etică și judgecraft, leadership etc. De asemenea, Institutul a invitat o serie de avocați, cursanți ai I.N.P.P.A., la Școala de vara cu tema Comunicare și leadership organizată în perioada </w:t>
      </w:r>
      <w:r w:rsidR="005633E5" w:rsidRPr="004A72CD">
        <w:rPr>
          <w:rFonts w:asciiTheme="minorHAnsi" w:hAnsiTheme="minorHAnsi" w:cstheme="minorHAnsi"/>
          <w:color w:val="000000" w:themeColor="text1"/>
          <w:sz w:val="26"/>
          <w:szCs w:val="26"/>
        </w:rPr>
        <w:t>0</w:t>
      </w:r>
      <w:r w:rsidRPr="004A72CD">
        <w:rPr>
          <w:rFonts w:asciiTheme="minorHAnsi" w:hAnsiTheme="minorHAnsi" w:cstheme="minorHAnsi"/>
          <w:color w:val="000000" w:themeColor="text1"/>
          <w:sz w:val="26"/>
          <w:szCs w:val="26"/>
        </w:rPr>
        <w:t>9 – 12.09.2024, alături de judecători, procurori și auditori de justiție. În continuare, pentru a consolida colaborarea, încrederea și respectul între profesii, se preconizează participarea avocaților la evenimentul de formare organizat în colaborare de I.N.M. cu Agenția Națională de Integritate, în luna noiembrie a acestui an.</w:t>
      </w:r>
    </w:p>
    <w:p w14:paraId="7FF14674" w14:textId="602DDE7D" w:rsidR="00E157CE" w:rsidRPr="004A72CD" w:rsidRDefault="00E157CE" w:rsidP="00D51F5A">
      <w:pPr>
        <w:spacing w:line="276" w:lineRule="auto"/>
        <w:ind w:firstLine="720"/>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 xml:space="preserve">Până </w:t>
      </w:r>
      <w:r w:rsidR="00947BE0">
        <w:rPr>
          <w:rFonts w:asciiTheme="minorHAnsi" w:hAnsiTheme="minorHAnsi" w:cstheme="minorHAnsi"/>
          <w:color w:val="000000" w:themeColor="text1"/>
          <w:sz w:val="26"/>
          <w:szCs w:val="26"/>
        </w:rPr>
        <w:t>la 31 decembrie 2024</w:t>
      </w:r>
      <w:r w:rsidRPr="004A72CD">
        <w:rPr>
          <w:rFonts w:asciiTheme="minorHAnsi" w:hAnsiTheme="minorHAnsi" w:cstheme="minorHAnsi"/>
          <w:color w:val="000000" w:themeColor="text1"/>
          <w:sz w:val="26"/>
          <w:szCs w:val="26"/>
        </w:rPr>
        <w:t>, în cadrul acestei colaborări, 32 de avocați au participat la un număr de 1</w:t>
      </w:r>
      <w:r w:rsidR="00947BE0">
        <w:rPr>
          <w:rFonts w:asciiTheme="minorHAnsi" w:hAnsiTheme="minorHAnsi" w:cstheme="minorHAnsi"/>
          <w:color w:val="000000" w:themeColor="text1"/>
          <w:sz w:val="26"/>
          <w:szCs w:val="26"/>
        </w:rPr>
        <w:t>1</w:t>
      </w:r>
      <w:r w:rsidRPr="004A72CD">
        <w:rPr>
          <w:rFonts w:asciiTheme="minorHAnsi" w:hAnsiTheme="minorHAnsi" w:cstheme="minorHAnsi"/>
          <w:color w:val="000000" w:themeColor="text1"/>
          <w:sz w:val="26"/>
          <w:szCs w:val="26"/>
        </w:rPr>
        <w:t xml:space="preserve"> activități de formare profesională continuă organizate de I.N.M..</w:t>
      </w:r>
    </w:p>
    <w:p w14:paraId="6628E027" w14:textId="77777777" w:rsidR="00E157CE" w:rsidRPr="004A72CD" w:rsidRDefault="00E157CE" w:rsidP="00D51F5A">
      <w:pPr>
        <w:spacing w:line="276" w:lineRule="auto"/>
        <w:ind w:firstLine="720"/>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Participarea avocaților la activitățile de formare profesională continuă ale I.N.M. a adus, pe parcursul acestui an, un plus de valoare și intensitate dezbaterilor, formarea comună a profesioniștilor dreptului având avantajul de a oferi o înțelegere unitară a instituțiilor de drept analizate și de a crea premisele unui schimb de idei real și util, ale unui climat de respect, colaborare, încredere în profesii.</w:t>
      </w:r>
    </w:p>
    <w:p w14:paraId="492C1681" w14:textId="77777777" w:rsidR="00E157CE" w:rsidRPr="004A72CD" w:rsidRDefault="00E157CE" w:rsidP="00D51F5A">
      <w:pPr>
        <w:spacing w:line="276" w:lineRule="auto"/>
        <w:ind w:firstLine="720"/>
        <w:jc w:val="both"/>
        <w:rPr>
          <w:rFonts w:asciiTheme="minorHAnsi" w:hAnsiTheme="minorHAnsi" w:cstheme="minorHAnsi"/>
          <w:color w:val="000000" w:themeColor="text1"/>
          <w:sz w:val="26"/>
          <w:szCs w:val="26"/>
        </w:rPr>
      </w:pPr>
      <w:r w:rsidRPr="004A72CD">
        <w:rPr>
          <w:rFonts w:asciiTheme="minorHAnsi" w:hAnsiTheme="minorHAnsi" w:cstheme="minorHAnsi"/>
          <w:color w:val="000000" w:themeColor="text1"/>
          <w:sz w:val="26"/>
          <w:szCs w:val="26"/>
        </w:rPr>
        <w:t>Această inițiativă va continua și în anul 2025, I.N.M. urmând să deschidă participării avocaților și alte activități de formare continuă care se vor organiza în cadrul P.F.C. 2025.</w:t>
      </w:r>
    </w:p>
    <w:p w14:paraId="3B6820A4" w14:textId="77777777" w:rsidR="00E157CE" w:rsidRPr="004A72CD" w:rsidRDefault="00E157CE" w:rsidP="00D51F5A">
      <w:pPr>
        <w:spacing w:line="276" w:lineRule="auto"/>
        <w:ind w:firstLine="708"/>
        <w:jc w:val="both"/>
        <w:rPr>
          <w:rFonts w:asciiTheme="minorHAnsi" w:hAnsiTheme="minorHAnsi" w:cstheme="minorHAnsi"/>
          <w:sz w:val="26"/>
          <w:szCs w:val="26"/>
        </w:rPr>
      </w:pPr>
      <w:r w:rsidRPr="004A72CD">
        <w:rPr>
          <w:rFonts w:asciiTheme="minorHAnsi" w:hAnsiTheme="minorHAnsi" w:cstheme="minorHAnsi"/>
          <w:sz w:val="26"/>
          <w:szCs w:val="26"/>
        </w:rPr>
        <w:t>Exprimată în cifre, activitatea de formare continuă la nivel centralizat realizată în cursul anului 2024 poate fi sintetizată astfel:</w:t>
      </w:r>
    </w:p>
    <w:p w14:paraId="1ED3AED9" w14:textId="77777777" w:rsidR="00853ECA" w:rsidRPr="00E378CA" w:rsidRDefault="00853ECA" w:rsidP="00853ECA">
      <w:pPr>
        <w:spacing w:line="276" w:lineRule="auto"/>
        <w:ind w:firstLine="708"/>
        <w:jc w:val="both"/>
        <w:rPr>
          <w:rFonts w:asciiTheme="minorHAnsi" w:hAnsiTheme="minorHAnsi" w:cstheme="minorHAnsi"/>
          <w:sz w:val="26"/>
          <w:szCs w:val="26"/>
        </w:rPr>
      </w:pPr>
      <w:r w:rsidRPr="00E378CA">
        <w:rPr>
          <w:rFonts w:asciiTheme="minorHAnsi" w:hAnsiTheme="minorHAnsi" w:cstheme="minorHAnsi"/>
          <w:sz w:val="26"/>
          <w:szCs w:val="26"/>
        </w:rPr>
        <w:t xml:space="preserve">I.N.M. a organizat, până la data de 31 decembrie 2024, </w:t>
      </w:r>
      <w:bookmarkStart w:id="93" w:name="_Hlk184975679"/>
      <w:r w:rsidRPr="00E378CA">
        <w:rPr>
          <w:rFonts w:asciiTheme="minorHAnsi" w:hAnsiTheme="minorHAnsi" w:cstheme="minorHAnsi"/>
          <w:sz w:val="26"/>
          <w:szCs w:val="26"/>
        </w:rPr>
        <w:t xml:space="preserve">un număr de 121 de activități de formare profesională continuă, </w:t>
      </w:r>
      <w:r w:rsidRPr="00E378CA">
        <w:rPr>
          <w:rFonts w:asciiTheme="minorHAnsi" w:hAnsiTheme="minorHAnsi" w:cstheme="minorHAnsi"/>
          <w:bCs/>
          <w:sz w:val="26"/>
          <w:szCs w:val="26"/>
        </w:rPr>
        <w:t xml:space="preserve">la care </w:t>
      </w:r>
      <w:r w:rsidRPr="00E378CA">
        <w:rPr>
          <w:rFonts w:asciiTheme="minorHAnsi" w:hAnsiTheme="minorHAnsi" w:cstheme="minorHAnsi"/>
          <w:sz w:val="26"/>
          <w:szCs w:val="26"/>
        </w:rPr>
        <w:t>au participat, în total, 3137 de persoane</w:t>
      </w:r>
      <w:bookmarkEnd w:id="93"/>
      <w:r w:rsidRPr="00E378CA">
        <w:rPr>
          <w:rFonts w:asciiTheme="minorHAnsi" w:hAnsiTheme="minorHAnsi" w:cstheme="minorHAnsi"/>
          <w:sz w:val="26"/>
          <w:szCs w:val="26"/>
        </w:rPr>
        <w:t xml:space="preserve">, după cum urmează: 1759 de judecători, 1054 de procurori, 77 de participanți din categoria personalului de specialitate juridică asimilat judecătorilor și procurorilor din cadrul instituțiilor sistemului judiciar (Ministerul Justiției, C.S.M., I.N.M., Autoritatea Națională pentru Cetățenie și Inspecția Judiciară), 8 asistenți ai judecătorului și asistenți judiciari,  32 de avocați, 148 de specialiști din domenii juridice și domenii conexe și 59 de judecători, procurori și alți specialiști europeni. </w:t>
      </w:r>
    </w:p>
    <w:p w14:paraId="6F0DC348" w14:textId="5C6F3CBB" w:rsidR="008D30CF" w:rsidRPr="006B7D32" w:rsidRDefault="008D30CF" w:rsidP="008D30CF">
      <w:pPr>
        <w:spacing w:line="276" w:lineRule="auto"/>
        <w:ind w:firstLine="708"/>
        <w:jc w:val="both"/>
        <w:rPr>
          <w:rFonts w:asciiTheme="minorHAnsi" w:hAnsiTheme="minorHAnsi" w:cstheme="minorHAnsi"/>
          <w:sz w:val="26"/>
          <w:szCs w:val="26"/>
        </w:rPr>
      </w:pPr>
      <w:r w:rsidRPr="006B7D32">
        <w:rPr>
          <w:rFonts w:asciiTheme="minorHAnsi" w:hAnsiTheme="minorHAnsi" w:cstheme="minorHAnsi"/>
          <w:sz w:val="26"/>
          <w:szCs w:val="26"/>
        </w:rPr>
        <w:t xml:space="preserve">La aceștia se adaugă un număr de 529 </w:t>
      </w:r>
      <w:r w:rsidR="006B7D32" w:rsidRPr="006B7D32">
        <w:rPr>
          <w:rFonts w:asciiTheme="minorHAnsi" w:hAnsiTheme="minorHAnsi" w:cstheme="minorHAnsi"/>
          <w:sz w:val="26"/>
          <w:szCs w:val="26"/>
        </w:rPr>
        <w:t xml:space="preserve">de </w:t>
      </w:r>
      <w:r w:rsidRPr="006B7D32">
        <w:rPr>
          <w:rFonts w:asciiTheme="minorHAnsi" w:hAnsiTheme="minorHAnsi" w:cstheme="minorHAnsi"/>
          <w:sz w:val="26"/>
          <w:szCs w:val="26"/>
        </w:rPr>
        <w:t>judecători, procurori și specialiști IT din cadrul instanțelor și parchetelor care au participat la cele 10 sesiuni de pregătire profesională cu tema „Aplicația MINDAPP - instrument pentru asistență, evaluare și testare psihologică în sistemul judiciar”</w:t>
      </w:r>
      <w:r w:rsidRPr="006B7D32">
        <w:rPr>
          <w:rFonts w:asciiTheme="minorHAnsi" w:hAnsiTheme="minorHAnsi" w:cstheme="minorHAnsi"/>
          <w:i/>
          <w:iCs/>
          <w:sz w:val="26"/>
          <w:szCs w:val="26"/>
        </w:rPr>
        <w:t xml:space="preserve"> </w:t>
      </w:r>
      <w:r w:rsidRPr="006B7D32">
        <w:rPr>
          <w:rFonts w:asciiTheme="minorHAnsi" w:hAnsiTheme="minorHAnsi" w:cstheme="minorHAnsi"/>
          <w:sz w:val="26"/>
          <w:szCs w:val="26"/>
        </w:rPr>
        <w:t xml:space="preserve">dedicate </w:t>
      </w:r>
      <w:r w:rsidRPr="006B7D32">
        <w:rPr>
          <w:rFonts w:asciiTheme="minorHAnsi" w:eastAsia="Trebuchet MS" w:hAnsiTheme="minorHAnsi" w:cstheme="minorHAnsi"/>
          <w:sz w:val="26"/>
          <w:szCs w:val="26"/>
        </w:rPr>
        <w:t>familiarizării cu noul instrument de lucru în domeniul evaluării psihologice periodice în cadrul sistemului judiciar.</w:t>
      </w:r>
      <w:r w:rsidRPr="006B7D32">
        <w:rPr>
          <w:rFonts w:asciiTheme="minorHAnsi" w:hAnsiTheme="minorHAnsi" w:cstheme="minorHAnsi"/>
          <w:i/>
          <w:iCs/>
          <w:sz w:val="26"/>
          <w:szCs w:val="26"/>
        </w:rPr>
        <w:t xml:space="preserve"> </w:t>
      </w:r>
      <w:r w:rsidRPr="006B7D32">
        <w:rPr>
          <w:rFonts w:asciiTheme="minorHAnsi" w:hAnsiTheme="minorHAnsi" w:cstheme="minorHAnsi"/>
          <w:sz w:val="26"/>
          <w:szCs w:val="26"/>
        </w:rPr>
        <w:t>Sesiunile au fost organizate cu sprijinul important al responsabililor cu activitatea de formare continuă la nivel descentralizat, care au transmis în circumscripții informațiile relevante către magistrații interesați să participe.</w:t>
      </w:r>
    </w:p>
    <w:p w14:paraId="17804A79" w14:textId="77777777" w:rsidR="00E157CE" w:rsidRPr="004A72CD" w:rsidRDefault="00E157CE">
      <w:pPr>
        <w:numPr>
          <w:ilvl w:val="0"/>
          <w:numId w:val="6"/>
        </w:numPr>
        <w:tabs>
          <w:tab w:val="left" w:pos="1134"/>
        </w:tabs>
        <w:autoSpaceDE w:val="0"/>
        <w:autoSpaceDN w:val="0"/>
        <w:adjustRightInd w:val="0"/>
        <w:spacing w:line="276" w:lineRule="auto"/>
        <w:ind w:left="540" w:firstLine="169"/>
        <w:contextualSpacing/>
        <w:jc w:val="both"/>
        <w:rPr>
          <w:rFonts w:asciiTheme="minorHAnsi" w:hAnsiTheme="minorHAnsi" w:cstheme="minorHAnsi"/>
          <w:b/>
          <w:color w:val="000000"/>
          <w:sz w:val="26"/>
          <w:szCs w:val="26"/>
        </w:rPr>
      </w:pPr>
      <w:r w:rsidRPr="004A72CD">
        <w:rPr>
          <w:rFonts w:asciiTheme="minorHAnsi" w:hAnsiTheme="minorHAnsi" w:cstheme="minorHAnsi"/>
          <w:b/>
          <w:sz w:val="26"/>
          <w:szCs w:val="26"/>
        </w:rPr>
        <w:t xml:space="preserve">Activitățile de formare continuă la nivel descentralizat </w:t>
      </w:r>
    </w:p>
    <w:p w14:paraId="2FB5C73E" w14:textId="77777777" w:rsidR="00E157CE" w:rsidRPr="004A72CD" w:rsidRDefault="00E157CE"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În cursul anului 2024, Institutul a continuat să sprijine creșterea calității sesiunilor de formare descentralizată, prin suportarea costurilor aferente participării formatorilor săi, întrucât specificul activității de formare continuă la nivel descentralizat este de natură a genera complementaritatea față de formarea continuă la nivel centralizat, inclusiv prin abordarea unor teme ce nu se regăsesc în programul de formare continuă centralizată sau care sunt specifice activității din raza anumitor curți de apel ori parchete de pe lângă curți de apel.</w:t>
      </w:r>
    </w:p>
    <w:p w14:paraId="6BA973B5" w14:textId="77777777" w:rsidR="00E157CE" w:rsidRPr="004A72CD" w:rsidRDefault="00E157CE" w:rsidP="00D51F5A">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Elaborarea și implementarea Programului de formare profesională continuă la nivel descentralizat pentru anul 2024 au fost realizate cu sprijinul judecătorilor și procurorilor </w:t>
      </w:r>
      <w:r w:rsidRPr="004A72CD">
        <w:rPr>
          <w:rFonts w:asciiTheme="minorHAnsi" w:hAnsiTheme="minorHAnsi" w:cstheme="minorHAnsi"/>
          <w:sz w:val="26"/>
          <w:szCs w:val="26"/>
        </w:rPr>
        <w:lastRenderedPageBreak/>
        <w:t xml:space="preserve">desemnați de curțile de apel și parchetele de pe lângă curțile de apel responsabili cu această activitate.  </w:t>
      </w:r>
    </w:p>
    <w:p w14:paraId="5EC8CCF4" w14:textId="15FB765C" w:rsidR="00E157CE" w:rsidRPr="006B7D32" w:rsidRDefault="00E157CE" w:rsidP="00D51F5A">
      <w:pPr>
        <w:spacing w:line="276" w:lineRule="auto"/>
        <w:ind w:firstLine="720"/>
        <w:jc w:val="both"/>
        <w:rPr>
          <w:rFonts w:asciiTheme="minorHAnsi" w:hAnsiTheme="minorHAnsi" w:cstheme="minorHAnsi"/>
          <w:sz w:val="26"/>
          <w:szCs w:val="26"/>
        </w:rPr>
      </w:pPr>
      <w:r w:rsidRPr="00FB7918">
        <w:rPr>
          <w:rFonts w:asciiTheme="minorHAnsi" w:hAnsiTheme="minorHAnsi" w:cstheme="minorHAnsi"/>
          <w:sz w:val="26"/>
          <w:szCs w:val="26"/>
        </w:rPr>
        <w:t xml:space="preserve">Până la data de </w:t>
      </w:r>
      <w:r w:rsidR="009C550B">
        <w:rPr>
          <w:rFonts w:asciiTheme="minorHAnsi" w:hAnsiTheme="minorHAnsi" w:cstheme="minorHAnsi"/>
          <w:sz w:val="26"/>
          <w:szCs w:val="26"/>
        </w:rPr>
        <w:t>31 decembrie</w:t>
      </w:r>
      <w:r w:rsidRPr="00FB7918">
        <w:rPr>
          <w:rFonts w:asciiTheme="minorHAnsi" w:hAnsiTheme="minorHAnsi" w:cstheme="minorHAnsi"/>
          <w:sz w:val="26"/>
          <w:szCs w:val="26"/>
        </w:rPr>
        <w:t xml:space="preserve"> 2024</w:t>
      </w:r>
      <w:r w:rsidRPr="004A72CD">
        <w:rPr>
          <w:rFonts w:asciiTheme="minorHAnsi" w:hAnsiTheme="minorHAnsi" w:cstheme="minorHAnsi"/>
          <w:sz w:val="26"/>
          <w:szCs w:val="26"/>
        </w:rPr>
        <w:t xml:space="preserve">, din informațiile </w:t>
      </w:r>
      <w:r w:rsidRPr="006B7D32">
        <w:rPr>
          <w:rFonts w:asciiTheme="minorHAnsi" w:hAnsiTheme="minorHAnsi" w:cstheme="minorHAnsi"/>
          <w:sz w:val="26"/>
          <w:szCs w:val="26"/>
        </w:rPr>
        <w:t xml:space="preserve">primite, au fost organizate </w:t>
      </w:r>
      <w:r w:rsidR="009C550B">
        <w:rPr>
          <w:rFonts w:asciiTheme="minorHAnsi" w:hAnsiTheme="minorHAnsi" w:cstheme="minorHAnsi"/>
          <w:sz w:val="26"/>
          <w:szCs w:val="26"/>
        </w:rPr>
        <w:t>101 de</w:t>
      </w:r>
      <w:r w:rsidRPr="006B7D32">
        <w:rPr>
          <w:rFonts w:asciiTheme="minorHAnsi" w:hAnsiTheme="minorHAnsi" w:cstheme="minorHAnsi"/>
          <w:sz w:val="26"/>
          <w:szCs w:val="26"/>
        </w:rPr>
        <w:t xml:space="preserve"> seminare de formare la nivel descentralizat în domeniile obligatorii, respectiv formare în materia unificării practicii judiciare, formare specializată, cooperare judiciară internațională, Dreptul Uniunii Europene, C.E.D.O., combaterea corupției, criminalitate economico-financiară, etică şi deontologie, abilități non-juridice precum informatică și limbi străine. Dintre acestea, </w:t>
      </w:r>
      <w:r w:rsidR="009C4333">
        <w:rPr>
          <w:rFonts w:asciiTheme="minorHAnsi" w:hAnsiTheme="minorHAnsi" w:cstheme="minorHAnsi"/>
          <w:sz w:val="26"/>
          <w:szCs w:val="26"/>
        </w:rPr>
        <w:t>80</w:t>
      </w:r>
      <w:r w:rsidRPr="006B7D32">
        <w:rPr>
          <w:rFonts w:asciiTheme="minorHAnsi" w:hAnsiTheme="minorHAnsi" w:cstheme="minorHAnsi"/>
          <w:sz w:val="26"/>
          <w:szCs w:val="26"/>
        </w:rPr>
        <w:t xml:space="preserve"> de seminare au fost organizate de curțile de apel, </w:t>
      </w:r>
      <w:r w:rsidR="009C4333">
        <w:rPr>
          <w:rFonts w:asciiTheme="minorHAnsi" w:hAnsiTheme="minorHAnsi" w:cstheme="minorHAnsi"/>
          <w:sz w:val="26"/>
          <w:szCs w:val="26"/>
        </w:rPr>
        <w:t>11</w:t>
      </w:r>
      <w:r w:rsidRPr="006B7D32">
        <w:rPr>
          <w:rFonts w:asciiTheme="minorHAnsi" w:hAnsiTheme="minorHAnsi" w:cstheme="minorHAnsi"/>
          <w:sz w:val="26"/>
          <w:szCs w:val="26"/>
        </w:rPr>
        <w:t xml:space="preserve"> seminare de parchetele de pe lângă curțile de apel și </w:t>
      </w:r>
      <w:r w:rsidR="004277BD" w:rsidRPr="006B7D32">
        <w:rPr>
          <w:rFonts w:asciiTheme="minorHAnsi" w:hAnsiTheme="minorHAnsi" w:cstheme="minorHAnsi"/>
          <w:sz w:val="26"/>
          <w:szCs w:val="26"/>
        </w:rPr>
        <w:t>10</w:t>
      </w:r>
      <w:r w:rsidRPr="006B7D32">
        <w:rPr>
          <w:rFonts w:asciiTheme="minorHAnsi" w:hAnsiTheme="minorHAnsi" w:cstheme="minorHAnsi"/>
          <w:sz w:val="26"/>
          <w:szCs w:val="26"/>
        </w:rPr>
        <w:t xml:space="preserve"> seminare de curțile de apel împreună cu parchetele de pe lângă curțile de apel. La aceste seminare au fost înregistrate </w:t>
      </w:r>
      <w:r w:rsidR="00E424C4" w:rsidRPr="006B7D32">
        <w:rPr>
          <w:rFonts w:asciiTheme="minorHAnsi" w:hAnsiTheme="minorHAnsi" w:cstheme="minorHAnsi"/>
          <w:sz w:val="26"/>
          <w:szCs w:val="26"/>
        </w:rPr>
        <w:t>1</w:t>
      </w:r>
      <w:r w:rsidR="009C4333">
        <w:rPr>
          <w:rFonts w:asciiTheme="minorHAnsi" w:hAnsiTheme="minorHAnsi" w:cstheme="minorHAnsi"/>
          <w:sz w:val="26"/>
          <w:szCs w:val="26"/>
        </w:rPr>
        <w:t>39</w:t>
      </w:r>
      <w:r w:rsidRPr="006B7D32">
        <w:rPr>
          <w:rFonts w:asciiTheme="minorHAnsi" w:hAnsiTheme="minorHAnsi" w:cstheme="minorHAnsi"/>
          <w:sz w:val="26"/>
          <w:szCs w:val="26"/>
        </w:rPr>
        <w:t xml:space="preserve"> de participări ale formatorilor I.N.M. și </w:t>
      </w:r>
      <w:r w:rsidR="00E424C4" w:rsidRPr="006B7D32">
        <w:rPr>
          <w:rFonts w:asciiTheme="minorHAnsi" w:hAnsiTheme="minorHAnsi" w:cstheme="minorHAnsi"/>
          <w:sz w:val="26"/>
          <w:szCs w:val="26"/>
        </w:rPr>
        <w:t>2</w:t>
      </w:r>
      <w:r w:rsidR="009C4333">
        <w:rPr>
          <w:rFonts w:asciiTheme="minorHAnsi" w:hAnsiTheme="minorHAnsi" w:cstheme="minorHAnsi"/>
          <w:sz w:val="26"/>
          <w:szCs w:val="26"/>
        </w:rPr>
        <w:t>674</w:t>
      </w:r>
      <w:r w:rsidRPr="006B7D32">
        <w:rPr>
          <w:rFonts w:asciiTheme="minorHAnsi" w:hAnsiTheme="minorHAnsi" w:cstheme="minorHAnsi"/>
          <w:sz w:val="26"/>
          <w:szCs w:val="26"/>
        </w:rPr>
        <w:t xml:space="preserve"> de participări ale magistraților. </w:t>
      </w:r>
    </w:p>
    <w:p w14:paraId="346E3C2E" w14:textId="77777777" w:rsidR="00E157CE" w:rsidRPr="004A72CD" w:rsidRDefault="00E157CE" w:rsidP="001E012E">
      <w:pPr>
        <w:pStyle w:val="Heading3"/>
      </w:pPr>
      <w:bookmarkStart w:id="94" w:name="_Toc187824373"/>
      <w:r w:rsidRPr="004A72CD">
        <w:t>II.3.3. Școala Națională de Grefieri</w:t>
      </w:r>
      <w:bookmarkEnd w:id="94"/>
    </w:p>
    <w:p w14:paraId="04077008" w14:textId="77777777" w:rsidR="00E157CE" w:rsidRPr="004A72CD" w:rsidRDefault="00E157CE" w:rsidP="00D51F5A">
      <w:pPr>
        <w:spacing w:line="276" w:lineRule="auto"/>
        <w:ind w:firstLine="708"/>
        <w:jc w:val="both"/>
        <w:rPr>
          <w:rFonts w:asciiTheme="minorHAnsi" w:hAnsiTheme="minorHAnsi" w:cstheme="minorHAnsi"/>
          <w:b/>
          <w:sz w:val="26"/>
          <w:szCs w:val="26"/>
        </w:rPr>
      </w:pPr>
      <w:r w:rsidRPr="004A72CD">
        <w:rPr>
          <w:rFonts w:asciiTheme="minorHAnsi" w:hAnsiTheme="minorHAnsi" w:cstheme="minorHAnsi"/>
          <w:b/>
          <w:sz w:val="26"/>
          <w:szCs w:val="26"/>
        </w:rPr>
        <w:t>Activitatea în domeniul formării profesionale a personalului auxiliar</w:t>
      </w:r>
    </w:p>
    <w:p w14:paraId="2C6182AD" w14:textId="77777777" w:rsidR="00E157CE" w:rsidRPr="004A72CD" w:rsidRDefault="00E157CE"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iCs/>
          <w:sz w:val="26"/>
          <w:szCs w:val="26"/>
        </w:rPr>
        <w:t>Formarea profesională inițială</w:t>
      </w:r>
      <w:r w:rsidRPr="004A72CD">
        <w:rPr>
          <w:rFonts w:asciiTheme="minorHAnsi" w:hAnsiTheme="minorHAnsi" w:cstheme="minorHAnsi"/>
          <w:i/>
          <w:sz w:val="26"/>
          <w:szCs w:val="26"/>
        </w:rPr>
        <w:t xml:space="preserve"> </w:t>
      </w:r>
      <w:r w:rsidRPr="004A72CD">
        <w:rPr>
          <w:rFonts w:asciiTheme="minorHAnsi" w:hAnsiTheme="minorHAnsi" w:cstheme="minorHAnsi"/>
          <w:iCs/>
          <w:sz w:val="26"/>
          <w:szCs w:val="26"/>
        </w:rPr>
        <w:t>a fost</w:t>
      </w:r>
      <w:r w:rsidRPr="004A72CD">
        <w:rPr>
          <w:rFonts w:asciiTheme="minorHAnsi" w:hAnsiTheme="minorHAnsi" w:cstheme="minorHAnsi"/>
          <w:sz w:val="26"/>
          <w:szCs w:val="26"/>
        </w:rPr>
        <w:t xml:space="preserve"> organizată de Școala Națională de Grefieri în temeiul Legii nr. 11/2024 privind statutul grefierilor și al altor categorii de personal care ocupă funcții de specialitate în cadrul instanțelor judecătorești, al parchetelor de pe lângă acestea și al Institutului Național de Expertize Criminalistice, act normativ intrat în vigoare la data de 12 iulie 2024.</w:t>
      </w:r>
    </w:p>
    <w:p w14:paraId="33DF014A" w14:textId="77777777" w:rsidR="00E157CE" w:rsidRPr="004A72CD" w:rsidRDefault="00E157CE"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Având în vedere că actele normative secundare și terțiare pentru punerea în aplicare a dispozițiilor Legii nr. 11/2024 nu au fost elaborate, precum și dispozițiile art. 3 alin. (1) din O.U.G. nr. 93/2024, pentru organizarea activității de formare profesională inițială au fost avute în vedere și prevederile Regulamentului de organizare și funcționare a Școlii Naționale de Grefieri, emis în baza Legii nr. 567/2004, aprobat prin Hotărârea Plenului Consiliului Superior al Magistraturii nr. 183/2007, cu modificările și completările ulterioare.</w:t>
      </w:r>
    </w:p>
    <w:p w14:paraId="0D413094" w14:textId="77777777" w:rsidR="00E157CE" w:rsidRPr="004A72CD" w:rsidRDefault="00E157CE" w:rsidP="00D51F5A">
      <w:pPr>
        <w:spacing w:line="276" w:lineRule="auto"/>
        <w:ind w:firstLine="709"/>
        <w:jc w:val="both"/>
        <w:rPr>
          <w:rFonts w:asciiTheme="minorHAnsi" w:hAnsiTheme="minorHAnsi" w:cstheme="minorHAnsi"/>
          <w:iCs/>
          <w:sz w:val="26"/>
          <w:szCs w:val="26"/>
        </w:rPr>
      </w:pPr>
      <w:r w:rsidRPr="004A72CD">
        <w:rPr>
          <w:rFonts w:asciiTheme="minorHAnsi" w:hAnsiTheme="minorHAnsi" w:cstheme="minorHAnsi"/>
          <w:sz w:val="26"/>
          <w:szCs w:val="26"/>
        </w:rPr>
        <w:t xml:space="preserve">În ședința din data de 19 septembrie 2024, în cadrul controlului de constituționalitate </w:t>
      </w:r>
      <w:r w:rsidRPr="004A72CD">
        <w:rPr>
          <w:rFonts w:asciiTheme="minorHAnsi" w:hAnsiTheme="minorHAnsi" w:cstheme="minorHAnsi"/>
          <w:i/>
          <w:iCs/>
          <w:sz w:val="26"/>
          <w:szCs w:val="26"/>
        </w:rPr>
        <w:t>a posteriori</w:t>
      </w:r>
      <w:r w:rsidRPr="004A72CD">
        <w:rPr>
          <w:rFonts w:asciiTheme="minorHAnsi" w:hAnsiTheme="minorHAnsi" w:cstheme="minorHAnsi"/>
          <w:sz w:val="26"/>
          <w:szCs w:val="26"/>
        </w:rPr>
        <w:t xml:space="preserve">, Curtea Constituțională a admis excepția de neconstituționalitate și a constatat că Legea nr. 11/2024 este neconstituțională, în ansamblul său. </w:t>
      </w:r>
    </w:p>
    <w:p w14:paraId="18F15630" w14:textId="77777777" w:rsidR="00E157CE" w:rsidRPr="004A72CD" w:rsidRDefault="00E157CE" w:rsidP="00D51F5A">
      <w:pPr>
        <w:spacing w:line="276" w:lineRule="auto"/>
        <w:jc w:val="both"/>
        <w:rPr>
          <w:rFonts w:asciiTheme="minorHAnsi" w:hAnsiTheme="minorHAnsi" w:cstheme="minorHAnsi"/>
          <w:sz w:val="26"/>
          <w:szCs w:val="26"/>
        </w:rPr>
      </w:pPr>
      <w:r w:rsidRPr="004A72CD">
        <w:rPr>
          <w:rFonts w:asciiTheme="minorHAnsi" w:hAnsiTheme="minorHAnsi" w:cstheme="minorHAnsi"/>
          <w:sz w:val="26"/>
          <w:szCs w:val="26"/>
        </w:rPr>
        <w:tab/>
        <w:t xml:space="preserve">Decizia Curții Constituționale este în curs de redactare, nefiind publicată până în prezent, însă reintrarea în vigoare a Legii nr. 567/2004 nu va afecta substanțial activitatea de formare profesională inițială, având în vedere, </w:t>
      </w:r>
      <w:r w:rsidRPr="004A72CD">
        <w:rPr>
          <w:rFonts w:asciiTheme="minorHAnsi" w:hAnsiTheme="minorHAnsi" w:cstheme="minorHAnsi"/>
          <w:iCs/>
          <w:sz w:val="26"/>
          <w:szCs w:val="26"/>
        </w:rPr>
        <w:t>pe de o parte, faptul că</w:t>
      </w:r>
      <w:r w:rsidRPr="004A72CD">
        <w:rPr>
          <w:rFonts w:asciiTheme="minorHAnsi" w:hAnsiTheme="minorHAnsi" w:cstheme="minorHAnsi"/>
          <w:sz w:val="26"/>
          <w:szCs w:val="26"/>
        </w:rPr>
        <w:t xml:space="preserve"> planul de învățământ pentru anul școlar 2024 - 2025 a fost elaborat în baza acestei legi, fiind aprobat anterior intrării în vigoare a Legii nr. 11/2024, prin Hotărârea Plenului Consiliului Superior al Magistraturii nr. 25/05.03.2024.</w:t>
      </w:r>
    </w:p>
    <w:p w14:paraId="7D8440A8" w14:textId="77777777" w:rsidR="00E157CE" w:rsidRPr="004A72CD" w:rsidRDefault="00E157CE" w:rsidP="00D51F5A">
      <w:pPr>
        <w:spacing w:line="276" w:lineRule="auto"/>
        <w:jc w:val="both"/>
        <w:rPr>
          <w:rFonts w:asciiTheme="minorHAnsi" w:hAnsiTheme="minorHAnsi" w:cstheme="minorHAnsi"/>
          <w:sz w:val="26"/>
          <w:szCs w:val="26"/>
        </w:rPr>
      </w:pPr>
      <w:r w:rsidRPr="004A72CD">
        <w:rPr>
          <w:rFonts w:asciiTheme="minorHAnsi" w:hAnsiTheme="minorHAnsi" w:cstheme="minorHAnsi"/>
          <w:sz w:val="26"/>
          <w:szCs w:val="26"/>
        </w:rPr>
        <w:tab/>
        <w:t>Pe</w:t>
      </w:r>
      <w:r w:rsidRPr="004A72CD">
        <w:rPr>
          <w:rFonts w:asciiTheme="minorHAnsi" w:hAnsiTheme="minorHAnsi" w:cstheme="minorHAnsi"/>
          <w:i/>
          <w:iCs/>
          <w:sz w:val="26"/>
          <w:szCs w:val="26"/>
        </w:rPr>
        <w:t xml:space="preserve"> </w:t>
      </w:r>
      <w:r w:rsidRPr="004A72CD">
        <w:rPr>
          <w:rFonts w:asciiTheme="minorHAnsi" w:hAnsiTheme="minorHAnsi" w:cstheme="minorHAnsi"/>
          <w:iCs/>
          <w:sz w:val="26"/>
          <w:szCs w:val="26"/>
        </w:rPr>
        <w:t>de altă parte</w:t>
      </w:r>
      <w:r w:rsidRPr="004A72CD">
        <w:rPr>
          <w:rFonts w:asciiTheme="minorHAnsi" w:hAnsiTheme="minorHAnsi" w:cstheme="minorHAnsi"/>
          <w:sz w:val="26"/>
          <w:szCs w:val="26"/>
        </w:rPr>
        <w:t>, organizarea activității de formare profesională inițială a avut în vedere în principal legislația secundară și terțiară elaborată în temeiul Legii nr. 567/2004, care s-a aplicat în continuare, în conformitate cu dispozițiile art. 3 alin. (1) din O.U.G. nr. 93/2024.</w:t>
      </w:r>
    </w:p>
    <w:p w14:paraId="55B16956" w14:textId="77777777" w:rsidR="00E157CE" w:rsidRPr="004A72CD" w:rsidRDefault="00E157CE"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Formarea profesională inițială are în vedere exclusiv pregătirea grefierilor cu studii superioare juridice, activitatea de formare inițială a Școlii răspunzând necesității ocupării posturilor vacante de grefieri cu studii superioare juridice cu personal calificat.</w:t>
      </w:r>
    </w:p>
    <w:p w14:paraId="1222EF46" w14:textId="77777777" w:rsidR="00E157CE" w:rsidRPr="004A72CD" w:rsidRDefault="00E157CE"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Prin Hotărârea nr. 50/21.03.2024, Plenul Consiliului Superior al Magistraturii a aprobat organizarea concursului de admitere la Școala Națională de Grefieri, la data de 26 mai 2024, pentru un număr de 120 de posturi de grefier cu studii superioare juridice, din care 70 de locuri alocate instanțelor judecătorești și 50 de locuri pentru parchete.</w:t>
      </w:r>
    </w:p>
    <w:p w14:paraId="6141FA8A" w14:textId="0E7897F5" w:rsidR="00E157CE" w:rsidRPr="004A72CD" w:rsidRDefault="00E157CE" w:rsidP="00D51F5A">
      <w:pPr>
        <w:spacing w:line="276" w:lineRule="auto"/>
        <w:ind w:right="-142" w:firstLine="709"/>
        <w:jc w:val="both"/>
        <w:rPr>
          <w:rFonts w:asciiTheme="minorHAnsi" w:hAnsiTheme="minorHAnsi" w:cstheme="minorHAnsi"/>
          <w:sz w:val="26"/>
          <w:szCs w:val="26"/>
        </w:rPr>
      </w:pPr>
      <w:r w:rsidRPr="004A72CD">
        <w:rPr>
          <w:rFonts w:asciiTheme="minorHAnsi" w:hAnsiTheme="minorHAnsi" w:cstheme="minorHAnsi"/>
          <w:sz w:val="26"/>
          <w:szCs w:val="26"/>
        </w:rPr>
        <w:lastRenderedPageBreak/>
        <w:t xml:space="preserve">Astfel, în perioada 25.03. – 18.06.2024 s-a desfășurat concursul de admitere la Școala Națională de Grefieri, ultima etapă a calendarului de concurs constând în verificarea bunei reputații a candidaților declarați admiși ce a avut loc în perioada 19.06. – </w:t>
      </w:r>
      <w:r w:rsidR="007F5477" w:rsidRPr="004A72CD">
        <w:rPr>
          <w:rFonts w:asciiTheme="minorHAnsi" w:hAnsiTheme="minorHAnsi" w:cstheme="minorHAnsi"/>
          <w:sz w:val="26"/>
          <w:szCs w:val="26"/>
        </w:rPr>
        <w:t>0</w:t>
      </w:r>
      <w:r w:rsidRPr="004A72CD">
        <w:rPr>
          <w:rFonts w:asciiTheme="minorHAnsi" w:hAnsiTheme="minorHAnsi" w:cstheme="minorHAnsi"/>
          <w:sz w:val="26"/>
          <w:szCs w:val="26"/>
        </w:rPr>
        <w:t xml:space="preserve">4.07.2024. </w:t>
      </w:r>
    </w:p>
    <w:p w14:paraId="3B355D1F" w14:textId="77777777" w:rsidR="00E157CE" w:rsidRPr="004A72CD" w:rsidRDefault="00E157CE" w:rsidP="00D51F5A">
      <w:pPr>
        <w:spacing w:line="276" w:lineRule="auto"/>
        <w:ind w:right="-14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La probele scrise din data de 26 mai 2024 au participat un număr de 457 de candidați pentru 120 de locuri, concurența fiind astfel de aproximativ 3,8 candidați pe loc. Prin Hotărârea nr. </w:t>
      </w:r>
      <w:r w:rsidRPr="004A72CD">
        <w:rPr>
          <w:rFonts w:asciiTheme="minorHAnsi" w:hAnsiTheme="minorHAnsi" w:cstheme="minorHAnsi"/>
          <w:iCs/>
          <w:sz w:val="26"/>
          <w:szCs w:val="26"/>
        </w:rPr>
        <w:t>147/09.07.2024</w:t>
      </w:r>
      <w:r w:rsidRPr="004A72CD">
        <w:rPr>
          <w:rFonts w:asciiTheme="minorHAnsi" w:hAnsiTheme="minorHAnsi" w:cstheme="minorHAnsi"/>
          <w:sz w:val="26"/>
          <w:szCs w:val="26"/>
        </w:rPr>
        <w:t>, Plenul Consiliului Superior al Magistraturii a dispus validarea rezultatelor concursului de admitere la Şcoala Naţională de Grefieri din data de 26 mai 2024, conform tabelului de clasificare din Anexa 1, parte integrantă a hotărârii, fiind declarați admiși un număr de 121 de candidați, menționați în Anexa 2 a hotărârii, publicată pe site-urile C.S.M. și S.N.G.. Au fost alocate 50 de posturi de grefieri pentru parchete și 71 de posturi de grefieri pentru instanțe, fiind dispusă suplimentarea cu un loc, raportat la faptul că pe ultima poziție au fost doi candidați cu medii egale.</w:t>
      </w:r>
    </w:p>
    <w:p w14:paraId="094231B3" w14:textId="13FB5FCC" w:rsidR="00E157CE" w:rsidRPr="004A72CD" w:rsidRDefault="00E157CE" w:rsidP="00D51F5A">
      <w:pPr>
        <w:spacing w:line="276" w:lineRule="auto"/>
        <w:ind w:right="-14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La data de </w:t>
      </w:r>
      <w:r w:rsidR="007F5477" w:rsidRPr="004A72CD">
        <w:rPr>
          <w:rFonts w:asciiTheme="minorHAnsi" w:hAnsiTheme="minorHAnsi" w:cstheme="minorHAnsi"/>
          <w:sz w:val="26"/>
          <w:szCs w:val="26"/>
        </w:rPr>
        <w:t>0</w:t>
      </w:r>
      <w:r w:rsidRPr="004A72CD">
        <w:rPr>
          <w:rFonts w:asciiTheme="minorHAnsi" w:hAnsiTheme="minorHAnsi" w:cstheme="minorHAnsi"/>
          <w:sz w:val="26"/>
          <w:szCs w:val="26"/>
        </w:rPr>
        <w:t>9 septembrie 2024 au debutat cursurile de formare inițială pentru promoția 2024</w:t>
      </w:r>
      <w:r w:rsidR="007F5477" w:rsidRPr="004A72CD">
        <w:rPr>
          <w:rFonts w:asciiTheme="minorHAnsi" w:hAnsiTheme="minorHAnsi" w:cstheme="minorHAnsi"/>
          <w:sz w:val="26"/>
          <w:szCs w:val="26"/>
        </w:rPr>
        <w:t xml:space="preserve"> </w:t>
      </w:r>
      <w:r w:rsidRPr="004A72CD">
        <w:rPr>
          <w:rFonts w:asciiTheme="minorHAnsi" w:hAnsiTheme="minorHAnsi" w:cstheme="minorHAnsi"/>
          <w:sz w:val="26"/>
          <w:szCs w:val="26"/>
        </w:rPr>
        <w:t>-</w:t>
      </w:r>
      <w:r w:rsidR="007F5477" w:rsidRPr="004A72CD">
        <w:rPr>
          <w:rFonts w:asciiTheme="minorHAnsi" w:hAnsiTheme="minorHAnsi" w:cstheme="minorHAnsi"/>
          <w:sz w:val="26"/>
          <w:szCs w:val="26"/>
        </w:rPr>
        <w:t xml:space="preserve"> </w:t>
      </w:r>
      <w:r w:rsidRPr="004A72CD">
        <w:rPr>
          <w:rFonts w:asciiTheme="minorHAnsi" w:hAnsiTheme="minorHAnsi" w:cstheme="minorHAnsi"/>
          <w:sz w:val="26"/>
          <w:szCs w:val="26"/>
        </w:rPr>
        <w:t xml:space="preserve">2025. Durata de școlarizare este de 6 luni, în perioada </w:t>
      </w:r>
      <w:r w:rsidR="007F5477" w:rsidRPr="004A72CD">
        <w:rPr>
          <w:rFonts w:asciiTheme="minorHAnsi" w:hAnsiTheme="minorHAnsi" w:cstheme="minorHAnsi"/>
          <w:sz w:val="26"/>
          <w:szCs w:val="26"/>
        </w:rPr>
        <w:t>0</w:t>
      </w:r>
      <w:r w:rsidRPr="004A72CD">
        <w:rPr>
          <w:rFonts w:asciiTheme="minorHAnsi" w:hAnsiTheme="minorHAnsi" w:cstheme="minorHAnsi"/>
          <w:sz w:val="26"/>
          <w:szCs w:val="26"/>
        </w:rPr>
        <w:t xml:space="preserve">9.09.2024 – </w:t>
      </w:r>
      <w:r w:rsidR="007F5477" w:rsidRPr="004A72CD">
        <w:rPr>
          <w:rFonts w:asciiTheme="minorHAnsi" w:hAnsiTheme="minorHAnsi" w:cstheme="minorHAnsi"/>
          <w:sz w:val="26"/>
          <w:szCs w:val="26"/>
        </w:rPr>
        <w:t>0</w:t>
      </w:r>
      <w:r w:rsidRPr="004A72CD">
        <w:rPr>
          <w:rFonts w:asciiTheme="minorHAnsi" w:hAnsiTheme="minorHAnsi" w:cstheme="minorHAnsi"/>
          <w:sz w:val="26"/>
          <w:szCs w:val="26"/>
        </w:rPr>
        <w:t>9.03.2025, cursanții</w:t>
      </w:r>
      <w:r w:rsidRPr="004A72CD">
        <w:rPr>
          <w:rFonts w:asciiTheme="minorHAnsi" w:hAnsiTheme="minorHAnsi" w:cstheme="minorHAnsi"/>
          <w:i/>
          <w:sz w:val="26"/>
          <w:szCs w:val="26"/>
        </w:rPr>
        <w:t xml:space="preserve"> </w:t>
      </w:r>
      <w:r w:rsidRPr="004A72CD">
        <w:rPr>
          <w:rFonts w:asciiTheme="minorHAnsi" w:hAnsiTheme="minorHAnsi" w:cstheme="minorHAnsi"/>
          <w:sz w:val="26"/>
          <w:szCs w:val="26"/>
        </w:rPr>
        <w:t xml:space="preserve">promoției 2024 - 2025 urmând a fi repartizați pe posturi în instanțe și parchete la data de </w:t>
      </w:r>
      <w:r w:rsidR="007F5477" w:rsidRPr="004A72CD">
        <w:rPr>
          <w:rFonts w:asciiTheme="minorHAnsi" w:hAnsiTheme="minorHAnsi" w:cstheme="minorHAnsi"/>
          <w:sz w:val="26"/>
          <w:szCs w:val="26"/>
        </w:rPr>
        <w:t>0</w:t>
      </w:r>
      <w:r w:rsidRPr="004A72CD">
        <w:rPr>
          <w:rFonts w:asciiTheme="minorHAnsi" w:hAnsiTheme="minorHAnsi" w:cstheme="minorHAnsi"/>
          <w:sz w:val="26"/>
          <w:szCs w:val="26"/>
        </w:rPr>
        <w:t>7 martie 202</w:t>
      </w:r>
      <w:r w:rsidR="006C69FC">
        <w:rPr>
          <w:rFonts w:asciiTheme="minorHAnsi" w:hAnsiTheme="minorHAnsi" w:cstheme="minorHAnsi"/>
          <w:sz w:val="26"/>
          <w:szCs w:val="26"/>
        </w:rPr>
        <w:t>5</w:t>
      </w:r>
      <w:r w:rsidRPr="004A72CD">
        <w:rPr>
          <w:rFonts w:asciiTheme="minorHAnsi" w:hAnsiTheme="minorHAnsi" w:cstheme="minorHAnsi"/>
          <w:sz w:val="26"/>
          <w:szCs w:val="26"/>
        </w:rPr>
        <w:t>.</w:t>
      </w:r>
    </w:p>
    <w:p w14:paraId="4B7965C9" w14:textId="77777777" w:rsidR="00E157CE" w:rsidRPr="004A72CD" w:rsidRDefault="00E157CE" w:rsidP="00D51F5A">
      <w:pPr>
        <w:spacing w:line="276" w:lineRule="auto"/>
        <w:ind w:right="-142" w:firstLine="709"/>
        <w:jc w:val="both"/>
        <w:rPr>
          <w:rFonts w:asciiTheme="minorHAnsi" w:hAnsiTheme="minorHAnsi" w:cstheme="minorHAnsi"/>
          <w:sz w:val="26"/>
          <w:szCs w:val="26"/>
        </w:rPr>
      </w:pPr>
      <w:r w:rsidRPr="004A72CD">
        <w:rPr>
          <w:rFonts w:asciiTheme="minorHAnsi" w:hAnsiTheme="minorHAnsi" w:cstheme="minorHAnsi"/>
          <w:sz w:val="26"/>
          <w:szCs w:val="26"/>
        </w:rPr>
        <w:t>La propunerea Şcolii Naţionale de Grefieri, ca în fiecare an școlar, au fost aprobate, prin hotărâri ale Plenului Consiliului Superior al Magistraturii, respectiv Structura anului şcolar prin Hotărârea nr. 25/05.03.2024, Planul de învăţământ – specializarea grefieri pentru instanţe şi Planul de învăţământ – specializarea grefieri pentru parchete prin Hotărârea nr. 115/06.06.2024, precum şi Reţeaua de formatori (personalul de instruire) a Şcolii Naţionale de Grefieri pentru formarea iniţială prin Hotărârile nr. 114/06.06.2024 și nr. 163/24.07.2024.</w:t>
      </w:r>
    </w:p>
    <w:p w14:paraId="0B42ADFC" w14:textId="77777777" w:rsidR="00E157CE" w:rsidRPr="004A72CD" w:rsidRDefault="00E157CE" w:rsidP="00D51F5A">
      <w:pPr>
        <w:spacing w:line="276" w:lineRule="auto"/>
        <w:ind w:right="-142" w:firstLine="709"/>
        <w:jc w:val="both"/>
        <w:rPr>
          <w:rFonts w:asciiTheme="minorHAnsi" w:hAnsiTheme="minorHAnsi" w:cstheme="minorHAnsi"/>
          <w:sz w:val="26"/>
          <w:szCs w:val="26"/>
        </w:rPr>
      </w:pPr>
      <w:r w:rsidRPr="004A72CD">
        <w:rPr>
          <w:rFonts w:asciiTheme="minorHAnsi" w:hAnsiTheme="minorHAnsi" w:cstheme="minorHAnsi"/>
          <w:sz w:val="26"/>
          <w:szCs w:val="26"/>
        </w:rPr>
        <w:t>Planul de învăţământ este conceput în mod distinct, în funcţie de specializarea grefierilor, care impune şi desfăşurarea activităţii de formare iniţială a acestora în mod diferenţiat, pentru instanţe, respectiv pentru parchete. Şcoala a păstrat şi dezvoltat experienţa didactică dobândită împreună cu formatorii Şcolii, punând în mod deosebit accentul pe caracterul practic și aplicat al activităţii de învăţământ. Cursurile/seminarele se concretizează în dezbateri şi/sau aplicaţii practice, având ca scop acoperirea palierelor activităţii grefierilor din instanţele judecătoreşti şi parchete, urmărindu-se astfel dobândirea de către cursanţi a deprinderilor profesionale întemeiate pe cunoştinţe juridice solide și la un standard ridicat, deschiderea şi responsabilizarea acestora pentru noi atribuţii, fără a fi neglijate aspectele legate de deontologie sau dobândirea unor abilităţi non juridice.</w:t>
      </w:r>
    </w:p>
    <w:p w14:paraId="1819477C" w14:textId="77777777" w:rsidR="00E157CE" w:rsidRPr="004A72CD" w:rsidRDefault="00E157CE" w:rsidP="00D51F5A">
      <w:pPr>
        <w:spacing w:line="276" w:lineRule="auto"/>
        <w:ind w:right="-142" w:firstLine="709"/>
        <w:jc w:val="both"/>
        <w:rPr>
          <w:rFonts w:asciiTheme="minorHAnsi" w:hAnsiTheme="minorHAnsi" w:cstheme="minorHAnsi"/>
          <w:sz w:val="26"/>
          <w:szCs w:val="26"/>
        </w:rPr>
      </w:pPr>
      <w:r w:rsidRPr="004A72CD">
        <w:rPr>
          <w:rFonts w:asciiTheme="minorHAnsi" w:hAnsiTheme="minorHAnsi" w:cstheme="minorHAnsi"/>
          <w:sz w:val="26"/>
          <w:szCs w:val="26"/>
        </w:rPr>
        <w:t>Planul de învăţământ</w:t>
      </w:r>
      <w:r w:rsidRPr="004A72CD">
        <w:rPr>
          <w:rFonts w:asciiTheme="minorHAnsi" w:hAnsiTheme="minorHAnsi" w:cstheme="minorHAnsi"/>
          <w:i/>
          <w:sz w:val="26"/>
          <w:szCs w:val="26"/>
        </w:rPr>
        <w:t xml:space="preserve"> </w:t>
      </w:r>
      <w:r w:rsidRPr="004A72CD">
        <w:rPr>
          <w:rFonts w:asciiTheme="minorHAnsi" w:hAnsiTheme="minorHAnsi" w:cstheme="minorHAnsi"/>
          <w:sz w:val="26"/>
          <w:szCs w:val="26"/>
        </w:rPr>
        <w:t>are drept fundament o modularizare a activităţilor de formare iniţială, pe discipline şi etapizat în timp. Astfel, disciplinele fundamentale, cărora le sunt alocate cele mai multe ore, sunt studiate în întreaga perioadă de şcolarizare. După însuşirea unor noţiuni de bază de procedură civilă sau penală, pot fi mai uşor asimilate, în a doua parte a anului şcolar, alte materii specializate, cu conţinut aplicat, precum executări civile sau executări penale. Alte discipline din programa de învăţământ trebuie studiate în module, pentru a permite, în cadrul unui număr de ore limitat, însuşirea cunoştinţelor fundamentale specifice formării iniţiale.</w:t>
      </w:r>
    </w:p>
    <w:p w14:paraId="1CD81699" w14:textId="77777777" w:rsidR="00E157CE" w:rsidRPr="004A72CD" w:rsidRDefault="00E157CE" w:rsidP="00D51F5A">
      <w:pPr>
        <w:spacing w:line="276" w:lineRule="auto"/>
        <w:ind w:right="-14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Formarea inițială în cadrul Școlii urmărește cu precădere organizarea de acţiuni de formare profesională în raport de Codurile de procedură și legislația conexă. </w:t>
      </w:r>
    </w:p>
    <w:p w14:paraId="28E7A80D" w14:textId="77777777" w:rsidR="00E157CE" w:rsidRPr="004A72CD" w:rsidRDefault="00E157CE" w:rsidP="00D51F5A">
      <w:pPr>
        <w:spacing w:line="276" w:lineRule="auto"/>
        <w:ind w:right="-14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Astfel, în planul de învățământ, ponderea cea mai mare o au disciplinele juridice fundamentale: Procedură civilă şi Procedură penală – pentru cursanții specializarea grefieri pentru instanţe, respectiv Urmărire penală, în cazul cursanților specializarea grefieri pentru parchete, </w:t>
      </w:r>
      <w:r w:rsidRPr="004A72CD">
        <w:rPr>
          <w:rFonts w:asciiTheme="minorHAnsi" w:hAnsiTheme="minorHAnsi" w:cstheme="minorHAnsi"/>
          <w:sz w:val="26"/>
          <w:szCs w:val="26"/>
        </w:rPr>
        <w:lastRenderedPageBreak/>
        <w:t xml:space="preserve">având în vedere nevoia de formare a viitorilor grefieri în acest sens. Planul de învățământ cuprinde și alte discipline esențiale în pregătirea viitorilor grefieri, precum Informatică aplicată (Windows, Word, ECRIS), Registratură, grefă și arhivă (în cazul cursanților specializarea grefieri pentru parchete), Dactilografie, Cooperare judiciară internațională, Dreptul Uniunii Europene sau Drepturile omului în procesul civil și penal. </w:t>
      </w:r>
    </w:p>
    <w:p w14:paraId="5A26C49A" w14:textId="77777777" w:rsidR="00E157CE" w:rsidRPr="004A72CD" w:rsidRDefault="00E157CE" w:rsidP="00D51F5A">
      <w:pPr>
        <w:spacing w:line="276" w:lineRule="auto"/>
        <w:ind w:right="-142" w:firstLine="709"/>
        <w:jc w:val="both"/>
        <w:rPr>
          <w:rFonts w:asciiTheme="minorHAnsi" w:hAnsiTheme="minorHAnsi" w:cstheme="minorHAnsi"/>
          <w:sz w:val="26"/>
          <w:szCs w:val="26"/>
        </w:rPr>
      </w:pPr>
      <w:r w:rsidRPr="004A72CD">
        <w:rPr>
          <w:rFonts w:asciiTheme="minorHAnsi" w:hAnsiTheme="minorHAnsi" w:cstheme="minorHAnsi"/>
          <w:sz w:val="26"/>
          <w:szCs w:val="26"/>
        </w:rPr>
        <w:t>Activitatea de formare vizează şi cooordonarea între disciplinele juridice (procedură civilă, procedură penală) şi cele tehnice (operarea în sistemul ECRIS, dactilografie), în cadrul fiecărei discipline urmărindu-se și accentuarea componentei tehnice. Astfel, predarea instituţiilor juridice este dublată de o pregătire practică aplicată, aptă să ajute viitorii grefieri în îndeplinirea atribuţiilor care le vor reveni în instanţe şi parchete.</w:t>
      </w:r>
    </w:p>
    <w:p w14:paraId="1C512589" w14:textId="087C6324" w:rsidR="00E157CE" w:rsidRPr="004A72CD" w:rsidRDefault="00E157CE" w:rsidP="00D51F5A">
      <w:pPr>
        <w:spacing w:line="276" w:lineRule="auto"/>
        <w:ind w:right="-14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Totodată, un loc important îl are şi disciplina Managementul activităţii grefierului, pentru a permite inclusiv studiul modificărilor aduse, </w:t>
      </w:r>
      <w:r w:rsidR="00080DFC">
        <w:rPr>
          <w:rFonts w:asciiTheme="minorHAnsi" w:hAnsiTheme="minorHAnsi" w:cstheme="minorHAnsi"/>
          <w:sz w:val="26"/>
          <w:szCs w:val="26"/>
        </w:rPr>
        <w:t xml:space="preserve">ca </w:t>
      </w:r>
      <w:r w:rsidRPr="004A72CD">
        <w:rPr>
          <w:rFonts w:asciiTheme="minorHAnsi" w:hAnsiTheme="minorHAnsi" w:cstheme="minorHAnsi"/>
          <w:sz w:val="26"/>
          <w:szCs w:val="26"/>
        </w:rPr>
        <w:t>urmare a Codurilor de procedură, în legislaţia subsecventă relevantă în procesul de formare a grefierilor, precum regulamentul de ordine interioară al instanţelor/parchetelor. Astfel, dispozițiile legale din codurile de procedură trebuie analizate prin prisma atribuțiilor specifice care revin grefierului, pornind de la cunoașterea circuitului documentelor/dosarelor în instanță/parchet, a atribuțiilor care revin grefierului în efectuarea lucrărilor specifice și până la prezentarea unor posibile modele concrete de eficientizare a timpului şi activităţii grefierului, precum și de prioritizare a sarcinilor de lucru.</w:t>
      </w:r>
    </w:p>
    <w:p w14:paraId="7019A739" w14:textId="77777777" w:rsidR="00E157CE" w:rsidRPr="004A72CD" w:rsidRDefault="00E157CE" w:rsidP="00D51F5A">
      <w:pPr>
        <w:spacing w:line="276" w:lineRule="auto"/>
        <w:ind w:right="-14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Activitatea de formare practică a cursanţilor vizează şi componenta non juridică, în cadrul disciplinelor Deontologie şi Abilităţi non juridice, accentul fiind pus pe comunicarea internă - comportamentul profesional în cadrul echipei magistrat – grefier şi cea externă - în raporturile grefierilor cu ceilalţi participanţi la actul de justiţie. </w:t>
      </w:r>
    </w:p>
    <w:p w14:paraId="2331273A" w14:textId="5064EEA3" w:rsidR="00E157CE" w:rsidRPr="004A72CD" w:rsidRDefault="00E157CE" w:rsidP="00D51F5A">
      <w:pPr>
        <w:spacing w:line="276" w:lineRule="auto"/>
        <w:ind w:right="-142" w:firstLine="709"/>
        <w:jc w:val="both"/>
        <w:rPr>
          <w:rFonts w:asciiTheme="minorHAnsi" w:hAnsiTheme="minorHAnsi" w:cstheme="minorHAnsi"/>
          <w:sz w:val="26"/>
          <w:szCs w:val="26"/>
        </w:rPr>
      </w:pPr>
      <w:r w:rsidRPr="004A72CD">
        <w:rPr>
          <w:rFonts w:asciiTheme="minorHAnsi" w:hAnsiTheme="minorHAnsi" w:cstheme="minorHAnsi"/>
          <w:sz w:val="26"/>
          <w:szCs w:val="26"/>
        </w:rPr>
        <w:t>Stagiul practic, efectuat în cadrul judecătoriilor şi parchetelor de pe lângă judecătoriile din Bucureşti, sub coordonarea şi supravegherea îndrumătorilor de stagiu, se desfăşoară potrivit unui program stabilit şi comunicat instanţelor judecătoreşti şi parchetelor. Atât în instanţe, cât şi la parchete, cursanţilor li se oferă posibilitatea să cunoască activitatea compartimentelor instanţelor judecătoreşti, respectiv, parchetelor, atribuţiile specifice grefierilor şi chiar să lucreze efectiv, îndeplinind toate sarcinile ce le revin în exercitarea acestei profesii. Prima etapă a stagiului practic s</w:t>
      </w:r>
      <w:r w:rsidR="005A0C64">
        <w:rPr>
          <w:rFonts w:asciiTheme="minorHAnsi" w:hAnsiTheme="minorHAnsi" w:cstheme="minorHAnsi"/>
          <w:sz w:val="26"/>
          <w:szCs w:val="26"/>
        </w:rPr>
        <w:t>-a</w:t>
      </w:r>
      <w:r w:rsidRPr="004A72CD">
        <w:rPr>
          <w:rFonts w:asciiTheme="minorHAnsi" w:hAnsiTheme="minorHAnsi" w:cstheme="minorHAnsi"/>
          <w:sz w:val="26"/>
          <w:szCs w:val="26"/>
        </w:rPr>
        <w:t xml:space="preserve"> derul</w:t>
      </w:r>
      <w:r w:rsidR="005A0C64">
        <w:rPr>
          <w:rFonts w:asciiTheme="minorHAnsi" w:hAnsiTheme="minorHAnsi" w:cstheme="minorHAnsi"/>
          <w:sz w:val="26"/>
          <w:szCs w:val="26"/>
        </w:rPr>
        <w:t>at</w:t>
      </w:r>
      <w:r w:rsidRPr="004A72CD">
        <w:rPr>
          <w:rFonts w:asciiTheme="minorHAnsi" w:hAnsiTheme="minorHAnsi" w:cstheme="minorHAnsi"/>
          <w:sz w:val="26"/>
          <w:szCs w:val="26"/>
        </w:rPr>
        <w:t xml:space="preserve"> în perioada 28.10. – 10.11.2024, iar cea de a doua </w:t>
      </w:r>
      <w:r w:rsidR="005A0C64">
        <w:rPr>
          <w:rFonts w:asciiTheme="minorHAnsi" w:hAnsiTheme="minorHAnsi" w:cstheme="minorHAnsi"/>
          <w:sz w:val="26"/>
          <w:szCs w:val="26"/>
        </w:rPr>
        <w:t xml:space="preserve">urmează a avea loc </w:t>
      </w:r>
      <w:r w:rsidRPr="004A72CD">
        <w:rPr>
          <w:rFonts w:asciiTheme="minorHAnsi" w:hAnsiTheme="minorHAnsi" w:cstheme="minorHAnsi"/>
          <w:sz w:val="26"/>
          <w:szCs w:val="26"/>
        </w:rPr>
        <w:t>în perioada 30.12.2024 – 12.01.2025.</w:t>
      </w:r>
    </w:p>
    <w:p w14:paraId="2FBA96BE" w14:textId="49E2C53B" w:rsidR="00E157CE" w:rsidRPr="004A72CD" w:rsidRDefault="00E157CE" w:rsidP="00D51F5A">
      <w:pPr>
        <w:spacing w:line="276" w:lineRule="auto"/>
        <w:ind w:right="-142" w:firstLine="709"/>
        <w:jc w:val="both"/>
        <w:rPr>
          <w:rFonts w:asciiTheme="minorHAnsi" w:hAnsiTheme="minorHAnsi" w:cstheme="minorHAnsi"/>
          <w:sz w:val="26"/>
          <w:szCs w:val="26"/>
        </w:rPr>
      </w:pPr>
      <w:r w:rsidRPr="004A72CD">
        <w:rPr>
          <w:rFonts w:asciiTheme="minorHAnsi" w:eastAsia="Calibri" w:hAnsiTheme="minorHAnsi" w:cstheme="minorHAnsi"/>
          <w:sz w:val="26"/>
          <w:szCs w:val="26"/>
        </w:rPr>
        <w:t xml:space="preserve">Departamentul de formare profesională inițială realizează şi </w:t>
      </w:r>
      <w:r w:rsidRPr="004A72CD">
        <w:rPr>
          <w:rFonts w:asciiTheme="minorHAnsi" w:eastAsia="Calibri" w:hAnsiTheme="minorHAnsi" w:cstheme="minorHAnsi"/>
          <w:iCs/>
          <w:sz w:val="26"/>
          <w:szCs w:val="26"/>
        </w:rPr>
        <w:t>formarea iniţială a grefierilor arhivari şi a grefierilor registratori</w:t>
      </w:r>
      <w:r w:rsidRPr="004A72CD">
        <w:rPr>
          <w:rFonts w:asciiTheme="minorHAnsi" w:eastAsia="Calibri" w:hAnsiTheme="minorHAnsi" w:cstheme="minorHAnsi"/>
          <w:i/>
          <w:sz w:val="26"/>
          <w:szCs w:val="26"/>
        </w:rPr>
        <w:t xml:space="preserve">. </w:t>
      </w:r>
      <w:r w:rsidRPr="004A72CD">
        <w:rPr>
          <w:rFonts w:asciiTheme="minorHAnsi" w:eastAsia="Calibri" w:hAnsiTheme="minorHAnsi" w:cstheme="minorHAnsi"/>
          <w:sz w:val="26"/>
          <w:szCs w:val="26"/>
        </w:rPr>
        <w:t xml:space="preserve">Această formă de pregătire iniţială se desfăşoară în temeiul programului de stagiu adoptat de Şcoala Națională de Grefieri şi aprobat prin Hotărârea Plenului Consiliului Superior al Magistraturii nr. 647/2010, în funcţie de concursurile </w:t>
      </w:r>
      <w:r w:rsidRPr="004A72CD">
        <w:rPr>
          <w:rFonts w:asciiTheme="minorHAnsi" w:hAnsiTheme="minorHAnsi" w:cstheme="minorHAnsi"/>
          <w:sz w:val="26"/>
          <w:szCs w:val="26"/>
        </w:rPr>
        <w:t xml:space="preserve">de ocupare a respectivelor posturi, organizate de curţile de apel şi parchetele de pe lângă acestea. În cazul instanțelor, până în prezent, s-a finalizat stagiul de specializare pentru </w:t>
      </w:r>
      <w:r w:rsidR="00CC02F9">
        <w:rPr>
          <w:rFonts w:asciiTheme="minorHAnsi" w:hAnsiTheme="minorHAnsi" w:cstheme="minorHAnsi"/>
          <w:sz w:val="26"/>
          <w:szCs w:val="26"/>
        </w:rPr>
        <w:t>21 de</w:t>
      </w:r>
      <w:r w:rsidRPr="004A72CD">
        <w:rPr>
          <w:rFonts w:asciiTheme="minorHAnsi" w:hAnsiTheme="minorHAnsi" w:cstheme="minorHAnsi"/>
          <w:sz w:val="26"/>
          <w:szCs w:val="26"/>
        </w:rPr>
        <w:t xml:space="preserve"> grefieri arhivari, fiind în derulare stagiul de </w:t>
      </w:r>
      <w:r w:rsidRPr="006B7D32">
        <w:rPr>
          <w:rFonts w:asciiTheme="minorHAnsi" w:hAnsiTheme="minorHAnsi" w:cstheme="minorHAnsi"/>
          <w:sz w:val="26"/>
          <w:szCs w:val="26"/>
        </w:rPr>
        <w:t xml:space="preserve">specializare pentru </w:t>
      </w:r>
      <w:r w:rsidR="00CC02F9">
        <w:rPr>
          <w:rFonts w:asciiTheme="minorHAnsi" w:hAnsiTheme="minorHAnsi" w:cstheme="minorHAnsi"/>
          <w:sz w:val="26"/>
          <w:szCs w:val="26"/>
        </w:rPr>
        <w:t>15</w:t>
      </w:r>
      <w:r w:rsidRPr="006B7D32">
        <w:rPr>
          <w:rFonts w:asciiTheme="minorHAnsi" w:hAnsiTheme="minorHAnsi" w:cstheme="minorHAnsi"/>
          <w:sz w:val="26"/>
          <w:szCs w:val="26"/>
        </w:rPr>
        <w:t xml:space="preserve"> grefieri arhivari. </w:t>
      </w:r>
      <w:r w:rsidRPr="004A72CD">
        <w:rPr>
          <w:rFonts w:asciiTheme="minorHAnsi" w:hAnsiTheme="minorHAnsi" w:cstheme="minorHAnsi"/>
          <w:sz w:val="26"/>
          <w:szCs w:val="26"/>
        </w:rPr>
        <w:t xml:space="preserve">În cazul parchetelor, până în prezent, s-a finalizat stagiul de specializare pentru </w:t>
      </w:r>
      <w:r w:rsidR="00CC02F9">
        <w:rPr>
          <w:rFonts w:asciiTheme="minorHAnsi" w:hAnsiTheme="minorHAnsi" w:cstheme="minorHAnsi"/>
          <w:sz w:val="26"/>
          <w:szCs w:val="26"/>
        </w:rPr>
        <w:t>3</w:t>
      </w:r>
      <w:r w:rsidRPr="004A72CD">
        <w:rPr>
          <w:rFonts w:asciiTheme="minorHAnsi" w:hAnsiTheme="minorHAnsi" w:cstheme="minorHAnsi"/>
          <w:sz w:val="26"/>
          <w:szCs w:val="26"/>
        </w:rPr>
        <w:t xml:space="preserve"> grefieri arhivari</w:t>
      </w:r>
      <w:r w:rsidR="00CC02F9">
        <w:rPr>
          <w:rFonts w:asciiTheme="minorHAnsi" w:hAnsiTheme="minorHAnsi" w:cstheme="minorHAnsi"/>
          <w:sz w:val="26"/>
          <w:szCs w:val="26"/>
        </w:rPr>
        <w:t>.</w:t>
      </w:r>
    </w:p>
    <w:p w14:paraId="2435B31E" w14:textId="77777777" w:rsidR="00E157CE" w:rsidRPr="004A72CD" w:rsidRDefault="00E157CE" w:rsidP="00D51F5A">
      <w:pPr>
        <w:spacing w:line="276" w:lineRule="auto"/>
        <w:ind w:right="-142" w:firstLine="709"/>
        <w:jc w:val="both"/>
        <w:rPr>
          <w:rFonts w:asciiTheme="minorHAnsi" w:hAnsiTheme="minorHAnsi" w:cstheme="minorHAnsi"/>
          <w:sz w:val="26"/>
          <w:szCs w:val="26"/>
        </w:rPr>
      </w:pPr>
      <w:r w:rsidRPr="004A72CD">
        <w:rPr>
          <w:rFonts w:asciiTheme="minorHAnsi" w:hAnsiTheme="minorHAnsi" w:cstheme="minorHAnsi"/>
          <w:iCs/>
          <w:sz w:val="26"/>
          <w:szCs w:val="26"/>
        </w:rPr>
        <w:t>Activitatea de formare profesională continuă</w:t>
      </w:r>
      <w:r w:rsidRPr="004A72CD">
        <w:rPr>
          <w:rFonts w:asciiTheme="minorHAnsi" w:hAnsiTheme="minorHAnsi" w:cstheme="minorHAnsi"/>
          <w:sz w:val="26"/>
          <w:szCs w:val="26"/>
        </w:rPr>
        <w:t xml:space="preserve"> a personalului auxiliar de specialitate din cadrul instanţelor judecătoreşti şi parchetelor de pe lângă acestea, organizată de către Şcoala Naţională de Grefieri, se desfăşoară pe baza programului anual aprobat de Consiliul Superior al Magistraturii prin Hotărârea nr. 16/2024, în temeiul dispoziţiilor art. 30 din Legea nr. 567/2004 privind statutul personalului auxiliar de specialitate din instanţele judecătoreşti şi parchetele de pe </w:t>
      </w:r>
      <w:r w:rsidRPr="004A72CD">
        <w:rPr>
          <w:rFonts w:asciiTheme="minorHAnsi" w:hAnsiTheme="minorHAnsi" w:cstheme="minorHAnsi"/>
          <w:sz w:val="26"/>
          <w:szCs w:val="26"/>
        </w:rPr>
        <w:lastRenderedPageBreak/>
        <w:t>lângă acestea și al personalului care funcționează în cadrul Institutului Naţional de Expertize Criminalistice, cu modificările și completările ulterioare, coroborate cu prevederile art. 41 şi următoarele din Hotărârea Plenului Consiliului Superior al Magistraturii nr. 183/2007 pentru aprobarea Regulamentului de organizare şi funcţionare al Şcolii Naţionale de Grefieri, cu modificările și completările ulterioare.</w:t>
      </w:r>
    </w:p>
    <w:p w14:paraId="3B25534D" w14:textId="77777777" w:rsidR="00E157CE" w:rsidRPr="004A72CD" w:rsidRDefault="00E157CE" w:rsidP="00D51F5A">
      <w:pPr>
        <w:spacing w:line="276" w:lineRule="auto"/>
        <w:ind w:right="-142" w:firstLine="709"/>
        <w:jc w:val="both"/>
        <w:rPr>
          <w:rFonts w:asciiTheme="minorHAnsi" w:hAnsiTheme="minorHAnsi" w:cstheme="minorHAnsi"/>
          <w:sz w:val="26"/>
          <w:szCs w:val="26"/>
        </w:rPr>
      </w:pPr>
      <w:r w:rsidRPr="004A72CD">
        <w:rPr>
          <w:rFonts w:asciiTheme="minorHAnsi" w:hAnsiTheme="minorHAnsi" w:cstheme="minorHAnsi"/>
          <w:sz w:val="26"/>
          <w:szCs w:val="26"/>
        </w:rPr>
        <w:t>În programul de formare continuă a grefierilor pentru anul 2024 au fost prevăzute 78 de acțiuni de pregătire profesională, în domenii diverse, precum proceduri civile și penale, utilizarea sistemelor informatice, cooperare judiciară în materie civilă și penală, executarea hotărârilor civile și penale, asociații și fundații, arhivare, informații clasificate, deontologie, abilități non-juridice și comunicare, managementul funcțiilor de conducere ale grefierilor, care și-au propus să acopere cât mai bine aria atribuțiilor grefierilor din instanțe și parchete, cu forme și durate diverse de organizare, astfel: 40 de seminare față în față centralizate de câte 3 zile, 20 de seminare față în față descentralizate de câte o zi, 10 webinare de câtre trei ore și 8 cursuri de eLearning ce durează mai multe săptămâni.</w:t>
      </w:r>
    </w:p>
    <w:p w14:paraId="21F97CCD" w14:textId="77777777" w:rsidR="00E157CE" w:rsidRPr="004A72CD" w:rsidRDefault="00E157CE" w:rsidP="00D51F5A">
      <w:pPr>
        <w:spacing w:line="276" w:lineRule="auto"/>
        <w:ind w:right="-142" w:firstLine="709"/>
        <w:jc w:val="both"/>
        <w:rPr>
          <w:rFonts w:asciiTheme="minorHAnsi" w:hAnsiTheme="minorHAnsi" w:cstheme="minorHAnsi"/>
          <w:sz w:val="26"/>
          <w:szCs w:val="26"/>
        </w:rPr>
      </w:pPr>
      <w:r w:rsidRPr="004A72CD">
        <w:rPr>
          <w:rFonts w:asciiTheme="minorHAnsi" w:hAnsiTheme="minorHAnsi" w:cstheme="minorHAnsi"/>
          <w:sz w:val="26"/>
          <w:szCs w:val="26"/>
        </w:rPr>
        <w:t>Intrarea în vigoare, la data de 12 iulie 2024, a Legii nr. 11/2024 privind statutul grefierilor şi al altor categorii de personal care ocupă funcţii de specialitate în cadrul instanţelor judecătoreşti, al parchetelor de pe lângă acestea şi al Institutului Naţional de Expertize Criminalistice a avut un oarecare impact asupra formării continue a grefierilor pentru anul 2024. Astfel, modificările relevante în această materie se referă la aprobarea programului de către directorul Școlii Naționale de Grefieri în loc de Plenul Consiliului Superior al Magistraturii, la eliminarea obligativității testării grefierilor după fiecare acțiune de formare continuă, la includerea unor noi grupuri țintă ale formării continue, respectiv grefierii judiciari și specialiștii IT și, cel mai important, la ridicarea standardului de participare obligatorie a grefierilor la acțiunile de formare continuă organizate de Școală de la cel puțin o dată la 5 ani, la cel puțin o dată la 3 ani.</w:t>
      </w:r>
    </w:p>
    <w:p w14:paraId="7B35976A" w14:textId="77777777" w:rsidR="00E157CE" w:rsidRPr="004A72CD" w:rsidRDefault="00E157CE" w:rsidP="00D51F5A">
      <w:pPr>
        <w:spacing w:line="276" w:lineRule="auto"/>
        <w:ind w:right="-142" w:firstLine="709"/>
        <w:jc w:val="both"/>
        <w:rPr>
          <w:rFonts w:asciiTheme="minorHAnsi" w:hAnsiTheme="minorHAnsi" w:cstheme="minorHAnsi"/>
          <w:sz w:val="26"/>
          <w:szCs w:val="26"/>
        </w:rPr>
      </w:pPr>
      <w:r w:rsidRPr="004A72CD">
        <w:rPr>
          <w:rFonts w:asciiTheme="minorHAnsi" w:hAnsiTheme="minorHAnsi" w:cstheme="minorHAnsi"/>
          <w:sz w:val="26"/>
          <w:szCs w:val="26"/>
        </w:rPr>
        <w:t>Asupra formării continue a grefierilor în anul 2024 a avut impact doar modificarea referitoare la eliminarea obligativității testării, care nu s-a mai administrat pentru acțiunile de formare continuă organizate după data intrării în vigoare a noului Statut al profesiei de grefier.</w:t>
      </w:r>
    </w:p>
    <w:p w14:paraId="51FEC0A2" w14:textId="77777777" w:rsidR="00E157CE" w:rsidRPr="004A72CD" w:rsidRDefault="00E157CE" w:rsidP="00D51F5A">
      <w:pPr>
        <w:spacing w:line="276" w:lineRule="auto"/>
        <w:ind w:right="-142" w:firstLine="709"/>
        <w:jc w:val="both"/>
        <w:rPr>
          <w:rFonts w:asciiTheme="minorHAnsi" w:hAnsiTheme="minorHAnsi" w:cstheme="minorHAnsi"/>
          <w:sz w:val="26"/>
          <w:szCs w:val="26"/>
        </w:rPr>
      </w:pPr>
      <w:r w:rsidRPr="004A72CD">
        <w:rPr>
          <w:rFonts w:asciiTheme="minorHAnsi" w:hAnsiTheme="minorHAnsi" w:cstheme="minorHAnsi"/>
          <w:sz w:val="26"/>
          <w:szCs w:val="26"/>
        </w:rPr>
        <w:t>Prin Decizia nr. 402 din 19 septembrie 2024 a Curții Constituționale, Legea nr. 11/2024 a fost declarată neconstituțională, astfel că, de la momentul publicării deciziei în Monitorul Oficial al României, formarea continuă furnizată de Școala Națională de Grefieri urmează să revină în coordonatele trasate de dispozițiile relevante ale Legii nr. 567/2004.</w:t>
      </w:r>
    </w:p>
    <w:p w14:paraId="3530DBE5" w14:textId="77777777" w:rsidR="00E157CE" w:rsidRPr="004A72CD" w:rsidRDefault="00E157CE" w:rsidP="00D51F5A">
      <w:pPr>
        <w:spacing w:line="276" w:lineRule="auto"/>
        <w:ind w:right="-142" w:firstLine="709"/>
        <w:jc w:val="both"/>
        <w:rPr>
          <w:rFonts w:asciiTheme="minorHAnsi" w:hAnsiTheme="minorHAnsi" w:cstheme="minorHAnsi"/>
          <w:sz w:val="26"/>
          <w:szCs w:val="26"/>
        </w:rPr>
      </w:pPr>
      <w:r w:rsidRPr="004A72CD">
        <w:rPr>
          <w:rFonts w:asciiTheme="minorHAnsi" w:hAnsiTheme="minorHAnsi" w:cstheme="minorHAnsi"/>
          <w:sz w:val="26"/>
          <w:szCs w:val="26"/>
        </w:rPr>
        <w:t>Programul de formare continuă a grefierilor pentru anul 2024 a fost influențat într-un mod destul de însemnat de restricțiile financiare introduse prin O.U.G. nr. 107/2024. Astfel, un număr de 15 seminare centralizate de formare continuă programate a se desfășura în semestrul al doilea al anului 2024 au fost transformate în webinare, pentru a se asigura încadrarea în restricțiile bugetare mai sus menționate.</w:t>
      </w:r>
    </w:p>
    <w:p w14:paraId="272A1246" w14:textId="5639313E" w:rsidR="006E43CF" w:rsidRPr="003253E3" w:rsidRDefault="006E43CF" w:rsidP="006E43CF">
      <w:pPr>
        <w:spacing w:line="276" w:lineRule="auto"/>
        <w:ind w:right="-142" w:firstLine="709"/>
        <w:jc w:val="both"/>
        <w:rPr>
          <w:rFonts w:asciiTheme="minorHAnsi" w:hAnsiTheme="minorHAnsi" w:cstheme="minorHAnsi"/>
          <w:noProof w:val="0"/>
          <w:sz w:val="26"/>
          <w:szCs w:val="26"/>
        </w:rPr>
      </w:pPr>
      <w:bookmarkStart w:id="95" w:name="_Toc430867116"/>
      <w:r w:rsidRPr="003253E3">
        <w:rPr>
          <w:rFonts w:asciiTheme="minorHAnsi" w:hAnsiTheme="minorHAnsi" w:cstheme="minorHAnsi"/>
          <w:sz w:val="26"/>
          <w:szCs w:val="26"/>
        </w:rPr>
        <w:t xml:space="preserve">Cu toate acestea, până la data de 31 decembrie 2024 au fost derulate toate cele 78 de acțiuni prevăzute în programul anual de formare continuă, în format face-to-face (de tip centralizat și descentralizat), precum și în format online (de tip webinar și eLearning), după cum urmează: 25 de seminare centralizate (la care s-au înregistrat 494 de participări), 20 de seminare descentralizate (la care s-au înregistrat 623 de participări), 25 webinare (la care s-au înregistrat 876 de participări) și 8 cursuri eLearning (la care s-au înregistrat 463 de participări). </w:t>
      </w:r>
    </w:p>
    <w:p w14:paraId="140BE1B9" w14:textId="47D8BA72" w:rsidR="006E43CF" w:rsidRPr="003253E3" w:rsidRDefault="006E43CF" w:rsidP="006E43CF">
      <w:pPr>
        <w:spacing w:line="276" w:lineRule="auto"/>
        <w:ind w:right="-142" w:firstLine="709"/>
        <w:jc w:val="both"/>
        <w:rPr>
          <w:rFonts w:asciiTheme="minorHAnsi" w:hAnsiTheme="minorHAnsi" w:cstheme="minorHAnsi"/>
          <w:sz w:val="26"/>
          <w:szCs w:val="26"/>
        </w:rPr>
      </w:pPr>
      <w:r w:rsidRPr="003253E3">
        <w:rPr>
          <w:rFonts w:asciiTheme="minorHAnsi" w:hAnsiTheme="minorHAnsi" w:cstheme="minorHAnsi"/>
          <w:sz w:val="26"/>
          <w:szCs w:val="26"/>
        </w:rPr>
        <w:lastRenderedPageBreak/>
        <w:t>Programul de formare continuă a grefierilor pentru anul 2024 a fost completat, prin Decizia Directorului S</w:t>
      </w:r>
      <w:r w:rsidR="003E017D" w:rsidRPr="003253E3">
        <w:rPr>
          <w:rFonts w:asciiTheme="minorHAnsi" w:hAnsiTheme="minorHAnsi" w:cstheme="minorHAnsi"/>
          <w:sz w:val="26"/>
          <w:szCs w:val="26"/>
        </w:rPr>
        <w:t>.</w:t>
      </w:r>
      <w:r w:rsidRPr="003253E3">
        <w:rPr>
          <w:rFonts w:asciiTheme="minorHAnsi" w:hAnsiTheme="minorHAnsi" w:cstheme="minorHAnsi"/>
          <w:sz w:val="26"/>
          <w:szCs w:val="26"/>
        </w:rPr>
        <w:t>N</w:t>
      </w:r>
      <w:r w:rsidR="003E017D" w:rsidRPr="003253E3">
        <w:rPr>
          <w:rFonts w:asciiTheme="minorHAnsi" w:hAnsiTheme="minorHAnsi" w:cstheme="minorHAnsi"/>
          <w:sz w:val="26"/>
          <w:szCs w:val="26"/>
        </w:rPr>
        <w:t>.</w:t>
      </w:r>
      <w:r w:rsidRPr="003253E3">
        <w:rPr>
          <w:rFonts w:asciiTheme="minorHAnsi" w:hAnsiTheme="minorHAnsi" w:cstheme="minorHAnsi"/>
          <w:sz w:val="26"/>
          <w:szCs w:val="26"/>
        </w:rPr>
        <w:t>G</w:t>
      </w:r>
      <w:r w:rsidR="003E017D" w:rsidRPr="003253E3">
        <w:rPr>
          <w:rFonts w:asciiTheme="minorHAnsi" w:hAnsiTheme="minorHAnsi" w:cstheme="minorHAnsi"/>
          <w:sz w:val="26"/>
          <w:szCs w:val="26"/>
        </w:rPr>
        <w:t>.</w:t>
      </w:r>
      <w:r w:rsidRPr="003253E3">
        <w:rPr>
          <w:rFonts w:asciiTheme="minorHAnsi" w:hAnsiTheme="minorHAnsi" w:cstheme="minorHAnsi"/>
          <w:sz w:val="26"/>
          <w:szCs w:val="26"/>
        </w:rPr>
        <w:t xml:space="preserve"> din data de 21</w:t>
      </w:r>
      <w:r w:rsidR="003E017D" w:rsidRPr="003253E3">
        <w:rPr>
          <w:rFonts w:asciiTheme="minorHAnsi" w:hAnsiTheme="minorHAnsi" w:cstheme="minorHAnsi"/>
          <w:sz w:val="26"/>
          <w:szCs w:val="26"/>
        </w:rPr>
        <w:t xml:space="preserve"> octombrie </w:t>
      </w:r>
      <w:r w:rsidRPr="003253E3">
        <w:rPr>
          <w:rFonts w:asciiTheme="minorHAnsi" w:hAnsiTheme="minorHAnsi" w:cstheme="minorHAnsi"/>
          <w:sz w:val="26"/>
          <w:szCs w:val="26"/>
        </w:rPr>
        <w:t>2024, cu 2 seminare online de tip webinar, în domeniul aplicațiilor informatice, în vederea deprinderii abilităților necesare utilizării aplicației OptiMapp, dezvoltată de Consiliul Superior al Magistraturii în cadrul proiectului „Optimizarea managementului la nivelul sistemului judiciar. Componenta de instanțe judecătorești”, care facilitează și accelerează procesul decizional la nivelul managementului instanțelor judecătorești. Seminarele, la care au participat grefieri din cadrul instanțelor cu funcții de conducere și cu funcții de execuție, s-au desfășurat în perioada noiembrie-decembrie, fiind depășit numărul estimat de 700 de participanți.</w:t>
      </w:r>
    </w:p>
    <w:p w14:paraId="26DF24F7" w14:textId="67DC9FA7" w:rsidR="006E43CF" w:rsidRPr="003253E3" w:rsidRDefault="006E43CF" w:rsidP="006E43CF">
      <w:pPr>
        <w:spacing w:line="276" w:lineRule="auto"/>
        <w:ind w:right="-142" w:firstLine="709"/>
        <w:jc w:val="both"/>
        <w:rPr>
          <w:rFonts w:asciiTheme="minorHAnsi" w:hAnsiTheme="minorHAnsi" w:cstheme="minorHAnsi"/>
          <w:strike/>
          <w:sz w:val="26"/>
          <w:szCs w:val="26"/>
        </w:rPr>
      </w:pPr>
      <w:r w:rsidRPr="003253E3">
        <w:rPr>
          <w:rFonts w:asciiTheme="minorHAnsi" w:hAnsiTheme="minorHAnsi" w:cstheme="minorHAnsi"/>
          <w:sz w:val="26"/>
          <w:szCs w:val="26"/>
        </w:rPr>
        <w:t xml:space="preserve">Totodată, suplimentar acțiunilor de formare, în scopul asigurării accesului a cât mai multor grefieri din sistemul judiciar la materiale didactice audio - video și având în vedere dinamica nevoii de formare a grefierilor din instanțe și parchete pe parcursul unui an de zile, Școala </w:t>
      </w:r>
      <w:r w:rsidRPr="003253E3">
        <w:rPr>
          <w:rFonts w:ascii="Calibri" w:hAnsi="Calibri" w:cs="Calibri"/>
          <w:sz w:val="26"/>
          <w:szCs w:val="26"/>
        </w:rPr>
        <w:t xml:space="preserve">Națională de Grefieri a realizat în cursul anului 2024 și </w:t>
      </w:r>
      <w:r w:rsidRPr="003253E3">
        <w:rPr>
          <w:rFonts w:ascii="Calibri" w:hAnsi="Calibri" w:cs="Calibri"/>
          <w:iCs/>
          <w:sz w:val="26"/>
          <w:szCs w:val="26"/>
        </w:rPr>
        <w:t>10 tutoriale și prezentări video</w:t>
      </w:r>
      <w:r w:rsidRPr="003253E3">
        <w:rPr>
          <w:rFonts w:ascii="Calibri" w:hAnsi="Calibri" w:cs="Calibri"/>
          <w:sz w:val="26"/>
          <w:szCs w:val="26"/>
        </w:rPr>
        <w:t>, materiale didactice încărcate în platforma de eLearning a Școlii.</w:t>
      </w:r>
      <w:r w:rsidRPr="003253E3">
        <w:rPr>
          <w:rFonts w:ascii="Calibri" w:hAnsi="Calibri" w:cs="Calibri"/>
        </w:rPr>
        <w:t xml:space="preserve"> </w:t>
      </w:r>
    </w:p>
    <w:p w14:paraId="5999D864" w14:textId="77777777" w:rsidR="006E43CF" w:rsidRPr="003253E3" w:rsidRDefault="006E43CF" w:rsidP="006E43CF">
      <w:pPr>
        <w:spacing w:line="276" w:lineRule="auto"/>
        <w:ind w:right="-142" w:firstLine="709"/>
        <w:jc w:val="both"/>
        <w:rPr>
          <w:rFonts w:asciiTheme="minorHAnsi" w:hAnsiTheme="minorHAnsi" w:cstheme="minorHAnsi"/>
          <w:sz w:val="26"/>
          <w:szCs w:val="26"/>
        </w:rPr>
      </w:pPr>
      <w:r w:rsidRPr="003253E3">
        <w:rPr>
          <w:rFonts w:asciiTheme="minorHAnsi" w:hAnsiTheme="minorHAnsi" w:cstheme="minorHAnsi"/>
          <w:sz w:val="26"/>
          <w:szCs w:val="26"/>
        </w:rPr>
        <w:t>În anul 2024 s-a continuat colaborarea cu magistrații care au atribuții în formarea trimestrială a grefierilor, cărora li s-a facilitat accesul la materialele didactice din Biblioteca virtuală de pe platforma de formare online a Școlii Naționale de Grefieri, materiale care pot fi folosite în procesul de formare trimestrială, fiindu-le create conturi pe platforma de formare a Şcolii şi transmise newslettere periodice cu noile materiale dezvoltate şi încărcate.</w:t>
      </w:r>
    </w:p>
    <w:p w14:paraId="160D1E97" w14:textId="1CCDD243" w:rsidR="00E157CE" w:rsidRPr="004A3440" w:rsidRDefault="00E157CE" w:rsidP="001E012E">
      <w:pPr>
        <w:pStyle w:val="Heading2"/>
        <w:rPr>
          <w:lang w:val="ro-RO"/>
        </w:rPr>
      </w:pPr>
      <w:bookmarkStart w:id="96" w:name="_Toc187824374"/>
      <w:r w:rsidRPr="004A3440">
        <w:rPr>
          <w:lang w:val="ro-RO"/>
        </w:rPr>
        <w:t>II.4. Evaluarea profesională a magistraţilor</w:t>
      </w:r>
      <w:bookmarkEnd w:id="95"/>
      <w:bookmarkEnd w:id="96"/>
    </w:p>
    <w:p w14:paraId="105B3ADC" w14:textId="4EB16573" w:rsidR="00E157CE" w:rsidRPr="004A72CD" w:rsidRDefault="00E157CE"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Activitatea de evaluare profesională a magistraţilor este reglementată de dispoziţiile art. 87</w:t>
      </w:r>
      <w:r w:rsidR="00447B15" w:rsidRPr="004A72CD">
        <w:rPr>
          <w:rFonts w:asciiTheme="minorHAnsi" w:hAnsiTheme="minorHAnsi" w:cstheme="minorHAnsi"/>
          <w:sz w:val="26"/>
          <w:szCs w:val="26"/>
        </w:rPr>
        <w:t xml:space="preserve"> </w:t>
      </w:r>
      <w:r w:rsidRPr="004A72CD">
        <w:rPr>
          <w:rFonts w:asciiTheme="minorHAnsi" w:hAnsiTheme="minorHAnsi" w:cstheme="minorHAnsi"/>
          <w:sz w:val="26"/>
          <w:szCs w:val="26"/>
        </w:rPr>
        <w:t>-</w:t>
      </w:r>
      <w:r w:rsidR="00447B15" w:rsidRPr="004A72CD">
        <w:rPr>
          <w:rFonts w:asciiTheme="minorHAnsi" w:hAnsiTheme="minorHAnsi" w:cstheme="minorHAnsi"/>
          <w:sz w:val="26"/>
          <w:szCs w:val="26"/>
        </w:rPr>
        <w:t xml:space="preserve"> </w:t>
      </w:r>
      <w:r w:rsidRPr="004A72CD">
        <w:rPr>
          <w:rFonts w:asciiTheme="minorHAnsi" w:hAnsiTheme="minorHAnsi" w:cstheme="minorHAnsi"/>
          <w:sz w:val="26"/>
          <w:szCs w:val="26"/>
        </w:rPr>
        <w:t xml:space="preserve">107 din </w:t>
      </w:r>
      <w:r w:rsidRPr="004A72CD">
        <w:rPr>
          <w:rFonts w:asciiTheme="minorHAnsi" w:hAnsiTheme="minorHAnsi" w:cstheme="minorHAnsi"/>
          <w:iCs/>
          <w:sz w:val="26"/>
          <w:szCs w:val="26"/>
        </w:rPr>
        <w:t>Legea nr. 303/2022 privind statutul judecătorilor şi procurorilor,</w:t>
      </w:r>
      <w:r w:rsidRPr="004A72CD">
        <w:rPr>
          <w:rFonts w:asciiTheme="minorHAnsi" w:hAnsiTheme="minorHAnsi" w:cstheme="minorHAnsi"/>
          <w:sz w:val="26"/>
          <w:szCs w:val="26"/>
        </w:rPr>
        <w:t xml:space="preserve"> precum şi, după caz, de prevederile art. 39</w:t>
      </w:r>
      <w:r w:rsidR="00447B15" w:rsidRPr="004A72CD">
        <w:rPr>
          <w:rFonts w:asciiTheme="minorHAnsi" w:hAnsiTheme="minorHAnsi" w:cstheme="minorHAnsi"/>
          <w:sz w:val="26"/>
          <w:szCs w:val="26"/>
        </w:rPr>
        <w:t xml:space="preserve"> </w:t>
      </w:r>
      <w:r w:rsidRPr="004A72CD">
        <w:rPr>
          <w:rFonts w:asciiTheme="minorHAnsi" w:hAnsiTheme="minorHAnsi" w:cstheme="minorHAnsi"/>
          <w:sz w:val="26"/>
          <w:szCs w:val="26"/>
        </w:rPr>
        <w:t>-</w:t>
      </w:r>
      <w:r w:rsidR="00447B15" w:rsidRPr="004A72CD">
        <w:rPr>
          <w:rFonts w:asciiTheme="minorHAnsi" w:hAnsiTheme="minorHAnsi" w:cstheme="minorHAnsi"/>
          <w:sz w:val="26"/>
          <w:szCs w:val="26"/>
        </w:rPr>
        <w:t xml:space="preserve"> </w:t>
      </w:r>
      <w:r w:rsidRPr="004A72CD">
        <w:rPr>
          <w:rFonts w:asciiTheme="minorHAnsi" w:hAnsiTheme="minorHAnsi" w:cstheme="minorHAnsi"/>
          <w:sz w:val="26"/>
          <w:szCs w:val="26"/>
        </w:rPr>
        <w:t xml:space="preserve">41 din </w:t>
      </w:r>
      <w:r w:rsidRPr="004A72CD">
        <w:rPr>
          <w:rFonts w:asciiTheme="minorHAnsi" w:hAnsiTheme="minorHAnsi" w:cstheme="minorHAnsi"/>
          <w:iCs/>
          <w:sz w:val="26"/>
          <w:szCs w:val="26"/>
        </w:rPr>
        <w:t>Legea nr. 303/2004 privind statutul judecătorilor şi procurorilor,</w:t>
      </w:r>
      <w:r w:rsidRPr="004A72CD">
        <w:rPr>
          <w:rFonts w:asciiTheme="minorHAnsi" w:hAnsiTheme="minorHAnsi" w:cstheme="minorHAnsi"/>
          <w:sz w:val="26"/>
          <w:szCs w:val="26"/>
        </w:rPr>
        <w:t xml:space="preserve"> republicată, cu modificările şi completările ulterioare, ţinând seama de perioada supusă evaluării.</w:t>
      </w:r>
    </w:p>
    <w:p w14:paraId="16EDBFA6" w14:textId="0E380928" w:rsidR="00E157CE" w:rsidRPr="004A72CD" w:rsidRDefault="00E157CE" w:rsidP="00D51F5A">
      <w:pPr>
        <w:shd w:val="clear" w:color="auto" w:fill="FFFFFF"/>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În condiţiile în care activitatea de evaluare a judecătorilor şi procurorilor începută anterior datei de 18 octombrie 2018, data intrării în vigoare a Legii nr. 242/2018, nu a fost finalizată la toate instanţele şi parchetele, în perioada 01.01.2024 – 31.10.2024, Plenul Consiliului Superior al Magistraturii a emis un număr de 25 de hotărâri de modificare a componenţei comisiilor de evaluare a magistraţilor ce erau constituite şi îşi desfăşurau activitatea în conformitate cu vechile reglementări, prin numirea/reînvestirea membrilor în comisiile de evaluare, după verificarea îndeplinirii condițiilor pentru calitatea de membru al comisiilor de evaluare profesională, în acord cu minuta </w:t>
      </w:r>
      <w:r w:rsidRPr="004A72CD">
        <w:rPr>
          <w:rFonts w:asciiTheme="minorHAnsi" w:hAnsiTheme="minorHAnsi" w:cstheme="minorHAnsi"/>
          <w:iCs/>
          <w:sz w:val="26"/>
          <w:szCs w:val="26"/>
        </w:rPr>
        <w:t xml:space="preserve">Comisiei nr. 2 comună </w:t>
      </w:r>
      <w:r w:rsidR="00F37524" w:rsidRPr="004A72CD">
        <w:rPr>
          <w:rFonts w:asciiTheme="minorHAnsi" w:hAnsiTheme="minorHAnsi" w:cstheme="minorHAnsi"/>
          <w:iCs/>
          <w:sz w:val="26"/>
          <w:szCs w:val="26"/>
        </w:rPr>
        <w:t>–</w:t>
      </w:r>
      <w:r w:rsidRPr="004A72CD">
        <w:rPr>
          <w:rFonts w:asciiTheme="minorHAnsi" w:hAnsiTheme="minorHAnsi" w:cstheme="minorHAnsi"/>
          <w:iCs/>
          <w:sz w:val="26"/>
          <w:szCs w:val="26"/>
        </w:rPr>
        <w:t xml:space="preserve"> </w:t>
      </w:r>
      <w:r w:rsidR="00F37524" w:rsidRPr="004A72CD">
        <w:rPr>
          <w:rFonts w:asciiTheme="minorHAnsi" w:hAnsiTheme="minorHAnsi" w:cstheme="minorHAnsi"/>
          <w:iCs/>
          <w:sz w:val="26"/>
          <w:szCs w:val="26"/>
        </w:rPr>
        <w:t>„</w:t>
      </w:r>
      <w:r w:rsidRPr="004A72CD">
        <w:rPr>
          <w:rFonts w:asciiTheme="minorHAnsi" w:hAnsiTheme="minorHAnsi" w:cstheme="minorHAnsi"/>
          <w:iCs/>
          <w:sz w:val="26"/>
          <w:szCs w:val="26"/>
        </w:rPr>
        <w:t>Resurse umane şi organizare</w:t>
      </w:r>
      <w:r w:rsidR="00F37524" w:rsidRPr="004A72CD">
        <w:rPr>
          <w:rFonts w:asciiTheme="minorHAnsi" w:hAnsiTheme="minorHAnsi" w:cstheme="minorHAnsi"/>
          <w:iCs/>
          <w:sz w:val="26"/>
          <w:szCs w:val="26"/>
        </w:rPr>
        <w:t>”</w:t>
      </w:r>
      <w:r w:rsidRPr="004A72CD">
        <w:rPr>
          <w:rFonts w:asciiTheme="minorHAnsi" w:hAnsiTheme="minorHAnsi" w:cstheme="minorHAnsi"/>
          <w:iCs/>
          <w:sz w:val="26"/>
          <w:szCs w:val="26"/>
        </w:rPr>
        <w:t xml:space="preserve"> </w:t>
      </w:r>
      <w:r w:rsidRPr="004A72CD">
        <w:rPr>
          <w:rFonts w:asciiTheme="minorHAnsi" w:hAnsiTheme="minorHAnsi" w:cstheme="minorHAnsi"/>
          <w:sz w:val="26"/>
          <w:szCs w:val="26"/>
        </w:rPr>
        <w:t>constituită în cadrul Consiliului Superior al Magistraturii, din data de 20 mai 2019 şi a dispoziţiilor tranzitorii, în materie, cuprinse în Legea nr. 242/2018 de modificare şi completare a Legii nr. 303/2004 privind statutul judecătorilor şi procurorilor, republicată, cu modificările şi completările ulterioare.</w:t>
      </w:r>
    </w:p>
    <w:p w14:paraId="39DDFFD9" w14:textId="77777777" w:rsidR="00E157CE" w:rsidRPr="004A72CD" w:rsidRDefault="00E157CE"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Legea stabilește calificativele cu care este apreciată activitatea judecătorilor şi procurorilor, respectiv „foarte bine”, „bine”, „suficient” și „insuficient”, precum și impactul lor asupra carierei magistratului și asupra calității sistemului judiciar. </w:t>
      </w:r>
    </w:p>
    <w:p w14:paraId="14ACF8AF" w14:textId="77777777" w:rsidR="00E157CE" w:rsidRPr="004A72CD" w:rsidRDefault="00E157CE"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Dispoziţiile art. 40 alin. (2) din Legea nr. 303/2004 privind statutul judecătorilor și procurorilor republicată, cu modificările şi completările ulterioare, precum şi ale art. 102 alin. (1) din Legea nr. 303/2022, cu modificările şi completările ulterioare, prevăd că judecătorii sau procurorii nemulțumiți de calificativul acordat pot face contestație la secția corespunzătoare a </w:t>
      </w:r>
      <w:r w:rsidRPr="004A72CD">
        <w:rPr>
          <w:rFonts w:asciiTheme="minorHAnsi" w:hAnsiTheme="minorHAnsi" w:cstheme="minorHAnsi"/>
          <w:sz w:val="26"/>
          <w:szCs w:val="26"/>
        </w:rPr>
        <w:lastRenderedPageBreak/>
        <w:t>Consiliului Superior al Magistraturii, în termen de 30 de zile de la comunicarea raportului de evaluare a activității profesionale.</w:t>
      </w:r>
    </w:p>
    <w:p w14:paraId="4ACD04AD" w14:textId="77777777" w:rsidR="00E157CE" w:rsidRPr="004A72CD" w:rsidRDefault="00E157CE" w:rsidP="00D51F5A">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Conform prevederilor art. 40 alin. (4) din Legea nr. 303/2004, hotărârea secției poate fi atacată cu recurs la Secţia de contencios administrativ şi fiscal a curţii de apel, iar potrivit dispoziţiilor art. 102 alin. (8) din Legea nr. 303/2022 privind statutul judecătorilor și procurorilor, hotărârile secţiilor pot fi atacate la Secţia de contencios administrativ şi fiscal a Înaltei Curţi de Casaţie şi Justiţie.</w:t>
      </w:r>
    </w:p>
    <w:p w14:paraId="2D59EBD7" w14:textId="30A3F204" w:rsidR="00E157CE" w:rsidRPr="004A72CD" w:rsidRDefault="00893C99" w:rsidP="00E933A9">
      <w:pPr>
        <w:spacing w:line="276" w:lineRule="auto"/>
        <w:ind w:firstLine="709"/>
        <w:jc w:val="both"/>
        <w:rPr>
          <w:rFonts w:asciiTheme="minorHAnsi" w:hAnsiTheme="minorHAnsi" w:cstheme="minorHAnsi"/>
          <w:sz w:val="26"/>
          <w:szCs w:val="26"/>
        </w:rPr>
        <w:sectPr w:rsidR="00E157CE" w:rsidRPr="004A72CD" w:rsidSect="00E157CE">
          <w:footerReference w:type="default" r:id="rId22"/>
          <w:pgSz w:w="11906" w:h="16838" w:code="9"/>
          <w:pgMar w:top="567" w:right="851" w:bottom="567" w:left="851" w:header="567" w:footer="284" w:gutter="0"/>
          <w:cols w:space="708"/>
          <w:docGrid w:linePitch="381"/>
        </w:sectPr>
      </w:pPr>
      <w:r w:rsidRPr="00893C99">
        <w:rPr>
          <w:rFonts w:asciiTheme="minorHAnsi" w:hAnsiTheme="minorHAnsi" w:cstheme="minorHAnsi"/>
          <w:sz w:val="26"/>
          <w:szCs w:val="26"/>
        </w:rPr>
        <w:t xml:space="preserve">În luna decembrie 2024 au fost înregistrate două contestații împotriva calificativului obținut la evaluarea profesională, de către judecători nemulțumiţi de punctajul acordat de membrii comisiei de evaluare, acestea find în curs de soluţionare. </w:t>
      </w:r>
    </w:p>
    <w:p w14:paraId="6524B4FC" w14:textId="77777777" w:rsidR="00895FF8" w:rsidRPr="004A72CD" w:rsidRDefault="00895FF8" w:rsidP="00D51F5A">
      <w:pPr>
        <w:keepNext/>
        <w:keepLines/>
        <w:spacing w:line="276" w:lineRule="auto"/>
        <w:jc w:val="center"/>
        <w:outlineLvl w:val="0"/>
        <w:rPr>
          <w:rFonts w:asciiTheme="minorHAnsi" w:eastAsiaTheme="minorHAnsi" w:hAnsiTheme="minorHAnsi" w:cstheme="minorHAnsi"/>
          <w:b/>
          <w:bCs/>
          <w:kern w:val="32"/>
          <w:sz w:val="26"/>
          <w:szCs w:val="26"/>
        </w:rPr>
      </w:pPr>
      <w:bookmarkStart w:id="97" w:name="_Toc57228218"/>
      <w:bookmarkStart w:id="98" w:name="_Toc187824375"/>
      <w:bookmarkStart w:id="99" w:name="_Toc430867120"/>
      <w:bookmarkEnd w:id="68"/>
      <w:r w:rsidRPr="004A72CD">
        <w:rPr>
          <w:rFonts w:asciiTheme="minorHAnsi" w:eastAsiaTheme="minorHAnsi" w:hAnsiTheme="minorHAnsi" w:cstheme="minorHAnsi"/>
          <w:b/>
          <w:bCs/>
          <w:kern w:val="32"/>
          <w:sz w:val="26"/>
          <w:szCs w:val="26"/>
        </w:rPr>
        <w:lastRenderedPageBreak/>
        <w:t>CAPITOLUL III</w:t>
      </w:r>
      <w:bookmarkEnd w:id="97"/>
      <w:bookmarkEnd w:id="98"/>
    </w:p>
    <w:p w14:paraId="4C401B50" w14:textId="77777777" w:rsidR="00895FF8" w:rsidRPr="004A72CD" w:rsidRDefault="00895FF8" w:rsidP="00D51F5A">
      <w:pPr>
        <w:keepNext/>
        <w:keepLines/>
        <w:spacing w:line="276" w:lineRule="auto"/>
        <w:jc w:val="center"/>
        <w:outlineLvl w:val="0"/>
        <w:rPr>
          <w:rFonts w:asciiTheme="minorHAnsi" w:eastAsiaTheme="minorHAnsi" w:hAnsiTheme="minorHAnsi" w:cstheme="minorHAnsi"/>
          <w:b/>
          <w:bCs/>
          <w:kern w:val="32"/>
          <w:sz w:val="26"/>
          <w:szCs w:val="26"/>
        </w:rPr>
      </w:pPr>
      <w:bookmarkStart w:id="100" w:name="_Toc57228219"/>
      <w:bookmarkStart w:id="101" w:name="_Toc187824376"/>
      <w:r w:rsidRPr="004A72CD">
        <w:rPr>
          <w:rFonts w:asciiTheme="minorHAnsi" w:eastAsiaTheme="minorHAnsi" w:hAnsiTheme="minorHAnsi" w:cstheme="minorHAnsi"/>
          <w:b/>
          <w:bCs/>
          <w:kern w:val="32"/>
          <w:sz w:val="26"/>
          <w:szCs w:val="26"/>
        </w:rPr>
        <w:t>Activităţi derulate în legătură cu atribuţiile în materie legislativă ale Consiliului Superior al Magistraturii</w:t>
      </w:r>
      <w:bookmarkEnd w:id="100"/>
      <w:bookmarkEnd w:id="101"/>
    </w:p>
    <w:p w14:paraId="526497E4" w14:textId="77777777" w:rsidR="00895FF8" w:rsidRPr="004A72CD" w:rsidRDefault="00895FF8" w:rsidP="00D51F5A">
      <w:pPr>
        <w:keepNext/>
        <w:keepLines/>
        <w:spacing w:line="276" w:lineRule="auto"/>
        <w:jc w:val="center"/>
        <w:outlineLvl w:val="0"/>
        <w:rPr>
          <w:rFonts w:asciiTheme="minorHAnsi" w:eastAsiaTheme="minorHAnsi" w:hAnsiTheme="minorHAnsi" w:cstheme="minorHAnsi"/>
          <w:b/>
          <w:bCs/>
          <w:kern w:val="32"/>
          <w:sz w:val="26"/>
          <w:szCs w:val="26"/>
        </w:rPr>
      </w:pPr>
    </w:p>
    <w:p w14:paraId="7823D8C5" w14:textId="77777777" w:rsidR="00895FF8" w:rsidRPr="004A3440" w:rsidRDefault="00895FF8" w:rsidP="001E012E">
      <w:pPr>
        <w:pStyle w:val="Heading2"/>
        <w:rPr>
          <w:lang w:val="ro-RO"/>
        </w:rPr>
      </w:pPr>
      <w:bookmarkStart w:id="102" w:name="_Toc57228220"/>
      <w:bookmarkStart w:id="103" w:name="_Toc187824377"/>
      <w:bookmarkStart w:id="104" w:name="_Toc532479784"/>
      <w:bookmarkStart w:id="105" w:name="_Toc57228221"/>
      <w:r w:rsidRPr="004A3440">
        <w:rPr>
          <w:lang w:val="ro-RO"/>
        </w:rPr>
        <w:t>III.1. Avizarea unor proiecte de acte normative</w:t>
      </w:r>
      <w:bookmarkEnd w:id="102"/>
      <w:bookmarkEnd w:id="103"/>
      <w:r w:rsidRPr="004A3440">
        <w:rPr>
          <w:lang w:val="ro-RO"/>
        </w:rPr>
        <w:t xml:space="preserve"> </w:t>
      </w:r>
    </w:p>
    <w:p w14:paraId="124000B2" w14:textId="77777777" w:rsidR="00895FF8" w:rsidRPr="004A72CD" w:rsidRDefault="00895FF8" w:rsidP="00D51F5A">
      <w:pPr>
        <w:keepNext/>
        <w:keepLines/>
        <w:spacing w:line="276" w:lineRule="auto"/>
        <w:ind w:firstLine="708"/>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În anul 2024, în exercitarea atribuțiilor conferite de art. 39 alin. (3) și (4) din Legea nr. 305/2022, Consiliului Superior al Magistraturii i-au fost înaintate spre avizare proiectele mai multor acte normative care privesc activitatea autorității judecătorești.</w:t>
      </w:r>
    </w:p>
    <w:p w14:paraId="3C675B58" w14:textId="136563B2" w:rsidR="00895FF8" w:rsidRPr="004A72CD" w:rsidRDefault="00895FF8" w:rsidP="00D51F5A">
      <w:pPr>
        <w:keepNext/>
        <w:keepLines/>
        <w:spacing w:line="276" w:lineRule="auto"/>
        <w:ind w:firstLine="708"/>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 xml:space="preserve">Dintre acestea, au fost </w:t>
      </w:r>
      <w:r w:rsidRPr="004A72CD">
        <w:rPr>
          <w:rFonts w:asciiTheme="minorHAnsi" w:eastAsiaTheme="minorHAnsi" w:hAnsiTheme="minorHAnsi" w:cstheme="minorHAnsi"/>
          <w:b/>
          <w:sz w:val="26"/>
          <w:szCs w:val="26"/>
        </w:rPr>
        <w:t>avizate favorabil</w:t>
      </w:r>
      <w:r w:rsidR="00FA3AD3" w:rsidRPr="004A72CD">
        <w:rPr>
          <w:rFonts w:asciiTheme="minorHAnsi" w:eastAsiaTheme="minorHAnsi" w:hAnsiTheme="minorHAnsi" w:cstheme="minorHAnsi"/>
          <w:b/>
          <w:sz w:val="26"/>
          <w:szCs w:val="26"/>
        </w:rPr>
        <w:t>/</w:t>
      </w:r>
      <w:r w:rsidR="00FA3AD3" w:rsidRPr="004A3440">
        <w:rPr>
          <w:rFonts w:asciiTheme="minorHAnsi" w:eastAsiaTheme="minorHAnsi" w:hAnsiTheme="minorHAnsi" w:cstheme="minorHAnsi"/>
          <w:b/>
          <w:sz w:val="26"/>
          <w:szCs w:val="26"/>
        </w:rPr>
        <w:t>negativ</w:t>
      </w:r>
      <w:r w:rsidRPr="004A72CD">
        <w:rPr>
          <w:rFonts w:asciiTheme="minorHAnsi" w:eastAsiaTheme="minorHAnsi" w:hAnsiTheme="minorHAnsi" w:cstheme="minorHAnsi"/>
          <w:sz w:val="26"/>
          <w:szCs w:val="26"/>
        </w:rPr>
        <w:t xml:space="preserve"> următoarele proiecte de lege, ordonanțe ale guvernului sau hotărâri de guvern:</w:t>
      </w:r>
    </w:p>
    <w:p w14:paraId="64281F06"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eastAsia="Calibri" w:hAnsiTheme="minorHAnsi" w:cstheme="minorHAnsi"/>
          <w:bCs/>
          <w:sz w:val="26"/>
          <w:szCs w:val="26"/>
        </w:rPr>
      </w:pPr>
      <w:r w:rsidRPr="004A72CD">
        <w:rPr>
          <w:rFonts w:asciiTheme="minorHAnsi" w:eastAsiaTheme="minorHAnsi" w:hAnsiTheme="minorHAnsi" w:cstheme="minorHAnsi"/>
          <w:sz w:val="26"/>
          <w:szCs w:val="26"/>
        </w:rPr>
        <w:t xml:space="preserve">propunerea legislativă </w:t>
      </w:r>
      <w:r w:rsidRPr="004A72CD">
        <w:rPr>
          <w:rFonts w:asciiTheme="minorHAnsi" w:eastAsiaTheme="minorHAnsi" w:hAnsiTheme="minorHAnsi" w:cstheme="minorHAnsi"/>
          <w:bCs/>
          <w:sz w:val="26"/>
          <w:szCs w:val="26"/>
          <w:lang w:eastAsia="ro-RO"/>
        </w:rPr>
        <w:t>pentru modificarea şi completarea Legii nr. 303/2022 privind statutul judecătorilor şi procurorilor</w:t>
      </w:r>
      <w:r w:rsidRPr="004A72CD">
        <w:rPr>
          <w:rFonts w:asciiTheme="minorHAnsi" w:eastAsiaTheme="minorHAnsi" w:hAnsiTheme="minorHAnsi" w:cstheme="minorHAnsi"/>
          <w:sz w:val="26"/>
          <w:szCs w:val="26"/>
        </w:rPr>
        <w:t xml:space="preserve"> (b695/28.11.2023) a fost avizată negativ prin </w:t>
      </w:r>
      <w:r w:rsidRPr="004A72CD">
        <w:rPr>
          <w:rFonts w:asciiTheme="minorHAnsi" w:eastAsiaTheme="minorHAnsi" w:hAnsiTheme="minorHAnsi" w:cstheme="minorHAnsi"/>
          <w:b/>
          <w:sz w:val="26"/>
          <w:szCs w:val="26"/>
        </w:rPr>
        <w:t>Hotărârea Plenului Consiliului Superior al Magistraturii nr. 08/30.01.2024</w:t>
      </w:r>
      <w:r w:rsidRPr="004A72CD">
        <w:rPr>
          <w:rFonts w:asciiTheme="minorHAnsi" w:eastAsiaTheme="minorHAnsi" w:hAnsiTheme="minorHAnsi" w:cstheme="minorHAnsi"/>
          <w:sz w:val="26"/>
          <w:szCs w:val="26"/>
        </w:rPr>
        <w:t>.</w:t>
      </w:r>
    </w:p>
    <w:p w14:paraId="723B2422"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eastAsia="Calibri" w:hAnsiTheme="minorHAnsi" w:cstheme="minorHAnsi"/>
          <w:bCs/>
          <w:sz w:val="26"/>
          <w:szCs w:val="26"/>
        </w:rPr>
      </w:pPr>
      <w:r w:rsidRPr="004A72CD">
        <w:rPr>
          <w:rFonts w:asciiTheme="minorHAnsi" w:eastAsia="Calibri" w:hAnsiTheme="minorHAnsi" w:cstheme="minorHAnsi"/>
          <w:bCs/>
          <w:sz w:val="26"/>
          <w:szCs w:val="26"/>
        </w:rPr>
        <w:t>proiectul de Ordin al ministrului apărării naţionale privind acordarea avizului conform judecătorilor şi procurorilor în vederea dobândirii calităţii de ofiţer în activitate, acordarea gradului militar şi înaintarea în gradul următor a judecătorilor şi procurorilor militari</w:t>
      </w:r>
      <w:r w:rsidRPr="004A72CD">
        <w:rPr>
          <w:rFonts w:asciiTheme="minorHAnsi" w:eastAsia="Calibri" w:hAnsiTheme="minorHAnsi" w:cstheme="minorHAnsi"/>
          <w:b/>
          <w:sz w:val="26"/>
          <w:szCs w:val="26"/>
        </w:rPr>
        <w:t xml:space="preserve"> </w:t>
      </w:r>
      <w:r w:rsidRPr="004A72CD">
        <w:rPr>
          <w:rFonts w:asciiTheme="minorHAnsi" w:eastAsia="Calibri" w:hAnsiTheme="minorHAnsi" w:cstheme="minorHAnsi"/>
          <w:sz w:val="26"/>
          <w:szCs w:val="26"/>
        </w:rPr>
        <w:t xml:space="preserve">– </w:t>
      </w:r>
      <w:r w:rsidRPr="004A72CD">
        <w:rPr>
          <w:rFonts w:asciiTheme="minorHAnsi" w:eastAsia="Calibri" w:hAnsiTheme="minorHAnsi" w:cstheme="minorHAnsi"/>
          <w:bCs/>
          <w:sz w:val="26"/>
          <w:szCs w:val="26"/>
        </w:rPr>
        <w:t>avizat favorabil prin</w:t>
      </w:r>
      <w:r w:rsidRPr="004A72CD">
        <w:rPr>
          <w:rFonts w:asciiTheme="minorHAnsi" w:eastAsia="Calibri" w:hAnsiTheme="minorHAnsi" w:cstheme="minorHAnsi"/>
          <w:b/>
          <w:sz w:val="26"/>
          <w:szCs w:val="26"/>
        </w:rPr>
        <w:t xml:space="preserve"> Hotărârea Plenului </w:t>
      </w:r>
      <w:r w:rsidRPr="004A72CD">
        <w:rPr>
          <w:rFonts w:asciiTheme="minorHAnsi" w:eastAsiaTheme="minorHAnsi" w:hAnsiTheme="minorHAnsi" w:cstheme="minorHAnsi"/>
          <w:b/>
          <w:sz w:val="26"/>
          <w:szCs w:val="26"/>
        </w:rPr>
        <w:t xml:space="preserve">Consiliului Superior al Magistraturii </w:t>
      </w:r>
      <w:r w:rsidRPr="004A72CD">
        <w:rPr>
          <w:rFonts w:asciiTheme="minorHAnsi" w:eastAsia="Calibri" w:hAnsiTheme="minorHAnsi" w:cstheme="minorHAnsi"/>
          <w:b/>
          <w:sz w:val="26"/>
          <w:szCs w:val="26"/>
        </w:rPr>
        <w:t>nr. 09/30.01.2024</w:t>
      </w:r>
      <w:r w:rsidRPr="004A72CD">
        <w:rPr>
          <w:rFonts w:asciiTheme="minorHAnsi" w:eastAsia="Calibri" w:hAnsiTheme="minorHAnsi" w:cstheme="minorHAnsi"/>
          <w:bCs/>
          <w:sz w:val="26"/>
          <w:szCs w:val="26"/>
        </w:rPr>
        <w:t>;</w:t>
      </w:r>
    </w:p>
    <w:p w14:paraId="61E62F53" w14:textId="594DBA15" w:rsidR="00895FF8" w:rsidRPr="004A72CD" w:rsidRDefault="00895FF8">
      <w:pPr>
        <w:numPr>
          <w:ilvl w:val="0"/>
          <w:numId w:val="7"/>
        </w:numPr>
        <w:tabs>
          <w:tab w:val="left" w:pos="993"/>
        </w:tabs>
        <w:spacing w:after="160" w:line="276" w:lineRule="auto"/>
        <w:ind w:left="0" w:firstLine="709"/>
        <w:contextualSpacing/>
        <w:jc w:val="both"/>
        <w:rPr>
          <w:rFonts w:asciiTheme="minorHAnsi" w:eastAsia="Calibri" w:hAnsiTheme="minorHAnsi" w:cstheme="minorHAnsi"/>
          <w:bCs/>
          <w:sz w:val="26"/>
          <w:szCs w:val="26"/>
        </w:rPr>
      </w:pPr>
      <w:r w:rsidRPr="004A72CD">
        <w:rPr>
          <w:rFonts w:asciiTheme="minorHAnsi" w:eastAsiaTheme="minorHAnsi" w:hAnsiTheme="minorHAnsi" w:cstheme="minorHAnsi"/>
          <w:iCs/>
          <w:sz w:val="26"/>
          <w:szCs w:val="26"/>
        </w:rPr>
        <w:t xml:space="preserve">proiectul de Lege pentru modificarea și completarea Legii nr. 49/2022 privind desfiinţarea Secţiei pentru investigarea infracţiunilor din justiţie, precum şi pentru modificarea Legii nr. 135/2010 privind Codul de procedură penală </w:t>
      </w:r>
      <w:r w:rsidR="003A4357" w:rsidRPr="004A72CD">
        <w:rPr>
          <w:rFonts w:asciiTheme="minorHAnsi" w:eastAsiaTheme="minorHAnsi" w:hAnsiTheme="minorHAnsi" w:cstheme="minorHAnsi"/>
          <w:iCs/>
          <w:sz w:val="26"/>
          <w:szCs w:val="26"/>
        </w:rPr>
        <w:t xml:space="preserve">a fost </w:t>
      </w:r>
      <w:r w:rsidRPr="004A72CD">
        <w:rPr>
          <w:rFonts w:asciiTheme="minorHAnsi" w:eastAsiaTheme="minorHAnsi" w:hAnsiTheme="minorHAnsi" w:cstheme="minorHAnsi"/>
          <w:iCs/>
          <w:sz w:val="26"/>
          <w:szCs w:val="26"/>
        </w:rPr>
        <w:t xml:space="preserve">avizat favorabil prin </w:t>
      </w:r>
      <w:r w:rsidRPr="004A72CD">
        <w:rPr>
          <w:rFonts w:asciiTheme="minorHAnsi" w:eastAsiaTheme="minorHAnsi" w:hAnsiTheme="minorHAnsi" w:cstheme="minorHAnsi"/>
          <w:b/>
          <w:iCs/>
          <w:sz w:val="26"/>
          <w:szCs w:val="26"/>
        </w:rPr>
        <w:t>Hotărârea Plenului Consiliului Superior al Magistraturii nr. 95/23.04.2024</w:t>
      </w:r>
      <w:r w:rsidRPr="004A72CD">
        <w:rPr>
          <w:rFonts w:asciiTheme="minorHAnsi" w:eastAsiaTheme="minorHAnsi" w:hAnsiTheme="minorHAnsi" w:cstheme="minorHAnsi"/>
          <w:iCs/>
          <w:sz w:val="26"/>
          <w:szCs w:val="26"/>
        </w:rPr>
        <w:t>;</w:t>
      </w:r>
    </w:p>
    <w:p w14:paraId="56B27079"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eastAsia="Calibri" w:hAnsiTheme="minorHAnsi" w:cstheme="minorHAnsi"/>
          <w:bCs/>
          <w:sz w:val="26"/>
          <w:szCs w:val="26"/>
        </w:rPr>
      </w:pPr>
      <w:bookmarkStart w:id="106" w:name="_Hlk166498483"/>
      <w:r w:rsidRPr="004A72CD">
        <w:rPr>
          <w:rFonts w:asciiTheme="minorHAnsi" w:eastAsiaTheme="minorHAnsi" w:hAnsiTheme="minorHAnsi" w:cstheme="minorHAnsi"/>
          <w:sz w:val="26"/>
          <w:szCs w:val="26"/>
        </w:rPr>
        <w:t>proiectul de Hotărâre a Guvernului pentru aprobarea Normelor metodologice de aplicare a dispoziţiilor în materia pensiilor de serviciu din Legea nr. 303/2022 privind statutul judecătorilor şi procurorilor şi din Legea nr. 47/1992 privind organizarea și funcționarea Curții Constituționale</w:t>
      </w:r>
      <w:bookmarkEnd w:id="106"/>
      <w:r w:rsidRPr="004A72CD">
        <w:rPr>
          <w:rFonts w:asciiTheme="minorHAnsi" w:eastAsiaTheme="minorHAnsi" w:hAnsiTheme="minorHAnsi" w:cstheme="minorHAnsi"/>
          <w:iCs/>
          <w:sz w:val="26"/>
          <w:szCs w:val="26"/>
        </w:rPr>
        <w:t xml:space="preserve"> – avizat favorabil prin </w:t>
      </w:r>
      <w:r w:rsidRPr="004A72CD">
        <w:rPr>
          <w:rFonts w:asciiTheme="minorHAnsi" w:eastAsiaTheme="minorHAnsi" w:hAnsiTheme="minorHAnsi" w:cstheme="minorHAnsi"/>
          <w:b/>
          <w:iCs/>
          <w:sz w:val="26"/>
          <w:szCs w:val="26"/>
        </w:rPr>
        <w:t>Hotărârea Plenului Consiliului Superior al Magistraturii nr. 104/13.05.2024</w:t>
      </w:r>
      <w:r w:rsidRPr="004A72CD">
        <w:rPr>
          <w:rFonts w:asciiTheme="minorHAnsi" w:eastAsiaTheme="minorHAnsi" w:hAnsiTheme="minorHAnsi" w:cstheme="minorHAnsi"/>
          <w:iCs/>
          <w:sz w:val="26"/>
          <w:szCs w:val="26"/>
        </w:rPr>
        <w:t>;</w:t>
      </w:r>
    </w:p>
    <w:p w14:paraId="1691AC53"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eastAsia="Calibri" w:hAnsiTheme="minorHAnsi" w:cstheme="minorHAnsi"/>
          <w:bCs/>
          <w:sz w:val="26"/>
          <w:szCs w:val="26"/>
        </w:rPr>
      </w:pPr>
      <w:r w:rsidRPr="004A72CD">
        <w:rPr>
          <w:rFonts w:asciiTheme="minorHAnsi" w:eastAsiaTheme="minorHAnsi" w:hAnsiTheme="minorHAnsi" w:cstheme="minorHAnsi"/>
          <w:iCs/>
          <w:sz w:val="26"/>
          <w:szCs w:val="26"/>
        </w:rPr>
        <w:t>propunerea legislativă pentru suspendarea pensiilor de serviciu pentru persoanele care ocupă funcţii de demnităţi publice, precum şi instituirea contribuţiei Ia sănătate pentru veniturile aferente părţii necontributive a pensiei de serviciu (b187/03.04.2024)</w:t>
      </w:r>
      <w:r w:rsidRPr="004A72CD">
        <w:rPr>
          <w:rFonts w:asciiTheme="minorHAnsi" w:eastAsiaTheme="minorHAnsi" w:hAnsiTheme="minorHAnsi" w:cstheme="minorHAnsi"/>
          <w:sz w:val="26"/>
          <w:szCs w:val="26"/>
        </w:rPr>
        <w:t xml:space="preserve"> a fost avizată negativ</w:t>
      </w:r>
      <w:r w:rsidRPr="004A72CD">
        <w:rPr>
          <w:rFonts w:asciiTheme="minorHAnsi" w:eastAsiaTheme="minorHAnsi" w:hAnsiTheme="minorHAnsi" w:cstheme="minorHAnsi"/>
          <w:iCs/>
          <w:sz w:val="26"/>
          <w:szCs w:val="26"/>
        </w:rPr>
        <w:t xml:space="preserve"> prin </w:t>
      </w:r>
      <w:r w:rsidRPr="004A72CD">
        <w:rPr>
          <w:rFonts w:asciiTheme="minorHAnsi" w:eastAsiaTheme="minorHAnsi" w:hAnsiTheme="minorHAnsi" w:cstheme="minorHAnsi"/>
          <w:b/>
          <w:sz w:val="26"/>
          <w:szCs w:val="26"/>
        </w:rPr>
        <w:t>Hotărârea Plenului Consiliului Superior al Magistraturii nr. 122/06.06.2024</w:t>
      </w:r>
      <w:r w:rsidRPr="004A72CD">
        <w:rPr>
          <w:rFonts w:asciiTheme="minorHAnsi" w:eastAsiaTheme="minorHAnsi" w:hAnsiTheme="minorHAnsi" w:cstheme="minorHAnsi"/>
          <w:sz w:val="26"/>
          <w:szCs w:val="26"/>
        </w:rPr>
        <w:t>.</w:t>
      </w:r>
    </w:p>
    <w:p w14:paraId="6D8CA1E0"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eastAsia="Calibri" w:hAnsiTheme="minorHAnsi" w:cstheme="minorHAnsi"/>
          <w:bCs/>
          <w:sz w:val="26"/>
          <w:szCs w:val="26"/>
        </w:rPr>
      </w:pPr>
      <w:r w:rsidRPr="004A72CD">
        <w:rPr>
          <w:rFonts w:asciiTheme="minorHAnsi" w:eastAsiaTheme="minorHAnsi" w:hAnsiTheme="minorHAnsi" w:cstheme="minorHAnsi"/>
          <w:iCs/>
          <w:sz w:val="26"/>
          <w:szCs w:val="26"/>
        </w:rPr>
        <w:t>propunerea legislativă pentru modificarea și completarea Legii nr. 305/2022 privind Consiliul Superior al Magistraturii</w:t>
      </w:r>
      <w:r w:rsidRPr="004A72CD">
        <w:rPr>
          <w:rFonts w:asciiTheme="minorHAnsi" w:eastAsiaTheme="minorHAnsi" w:hAnsiTheme="minorHAnsi" w:cstheme="minorHAnsi"/>
          <w:i/>
          <w:iCs/>
          <w:sz w:val="26"/>
          <w:szCs w:val="26"/>
        </w:rPr>
        <w:t xml:space="preserve"> </w:t>
      </w:r>
      <w:r w:rsidRPr="004A72CD">
        <w:rPr>
          <w:rFonts w:asciiTheme="minorHAnsi" w:eastAsiaTheme="minorHAnsi" w:hAnsiTheme="minorHAnsi" w:cstheme="minorHAnsi"/>
          <w:sz w:val="26"/>
          <w:szCs w:val="26"/>
        </w:rPr>
        <w:t xml:space="preserve">(b188/03.04.2024) – avizată favorabil prin </w:t>
      </w:r>
      <w:r w:rsidRPr="004A72CD">
        <w:rPr>
          <w:rFonts w:asciiTheme="minorHAnsi" w:eastAsiaTheme="minorHAnsi" w:hAnsiTheme="minorHAnsi" w:cstheme="minorHAnsi"/>
          <w:b/>
          <w:sz w:val="26"/>
          <w:szCs w:val="26"/>
        </w:rPr>
        <w:t>Hotărârea Plenului Consiliului Superior al Magistraturii nr. 123/06.06.2024</w:t>
      </w:r>
      <w:r w:rsidRPr="004A72CD">
        <w:rPr>
          <w:rFonts w:asciiTheme="minorHAnsi" w:eastAsiaTheme="minorHAnsi" w:hAnsiTheme="minorHAnsi" w:cstheme="minorHAnsi"/>
          <w:sz w:val="26"/>
          <w:szCs w:val="26"/>
        </w:rPr>
        <w:t>;</w:t>
      </w:r>
    </w:p>
    <w:p w14:paraId="472AF148"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eastAsia="Calibri" w:hAnsiTheme="minorHAnsi" w:cstheme="minorHAnsi"/>
          <w:bCs/>
          <w:sz w:val="26"/>
          <w:szCs w:val="26"/>
        </w:rPr>
      </w:pPr>
      <w:r w:rsidRPr="004A72CD">
        <w:rPr>
          <w:rFonts w:asciiTheme="minorHAnsi" w:eastAsiaTheme="minorHAnsi" w:hAnsiTheme="minorHAnsi" w:cstheme="minorHAnsi"/>
          <w:bCs/>
          <w:iCs/>
          <w:sz w:val="26"/>
          <w:szCs w:val="26"/>
        </w:rPr>
        <w:t>propunerea legislativă pentru modificarea și completarea Legii nr. 303/2022 privind statutul judecătorilor și procurorilor (b264/22.05.2024)</w:t>
      </w:r>
      <w:r w:rsidRPr="004A72CD">
        <w:rPr>
          <w:rFonts w:asciiTheme="minorHAnsi" w:eastAsiaTheme="minorHAnsi" w:hAnsiTheme="minorHAnsi" w:cstheme="minorHAnsi"/>
          <w:sz w:val="26"/>
          <w:szCs w:val="26"/>
        </w:rPr>
        <w:t xml:space="preserve"> a fost avizată negativ prin </w:t>
      </w:r>
      <w:r w:rsidRPr="004A72CD">
        <w:rPr>
          <w:rFonts w:asciiTheme="minorHAnsi" w:eastAsiaTheme="minorHAnsi" w:hAnsiTheme="minorHAnsi" w:cstheme="minorHAnsi"/>
          <w:b/>
          <w:sz w:val="26"/>
          <w:szCs w:val="26"/>
        </w:rPr>
        <w:t>Hotărârea Plenului Consiliului Superior al Magistraturii nr. 146/27.06.2024</w:t>
      </w:r>
      <w:r w:rsidRPr="004A72CD">
        <w:rPr>
          <w:rFonts w:asciiTheme="minorHAnsi" w:eastAsiaTheme="minorHAnsi" w:hAnsiTheme="minorHAnsi" w:cstheme="minorHAnsi"/>
          <w:sz w:val="26"/>
          <w:szCs w:val="26"/>
        </w:rPr>
        <w:t>.</w:t>
      </w:r>
    </w:p>
    <w:p w14:paraId="55772801"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eastAsia="Calibri" w:hAnsiTheme="minorHAnsi" w:cstheme="minorHAnsi"/>
          <w:bCs/>
          <w:sz w:val="26"/>
          <w:szCs w:val="26"/>
        </w:rPr>
      </w:pPr>
      <w:r w:rsidRPr="004A72CD">
        <w:rPr>
          <w:rFonts w:asciiTheme="minorHAnsi" w:eastAsiaTheme="minorHAnsi" w:hAnsiTheme="minorHAnsi" w:cstheme="minorHAnsi"/>
          <w:iCs/>
          <w:sz w:val="26"/>
          <w:szCs w:val="26"/>
        </w:rPr>
        <w:t>proiectul de Hotărâre a Guvernului privind</w:t>
      </w:r>
      <w:r w:rsidRPr="004A72CD">
        <w:rPr>
          <w:rFonts w:asciiTheme="minorHAnsi" w:eastAsiaTheme="minorHAnsi" w:hAnsiTheme="minorHAnsi" w:cstheme="minorHAnsi"/>
          <w:sz w:val="26"/>
          <w:szCs w:val="26"/>
        </w:rPr>
        <w:t xml:space="preserve"> </w:t>
      </w:r>
      <w:r w:rsidRPr="004A72CD">
        <w:rPr>
          <w:rFonts w:asciiTheme="minorHAnsi" w:eastAsiaTheme="minorHAnsi" w:hAnsiTheme="minorHAnsi" w:cstheme="minorHAnsi"/>
          <w:iCs/>
          <w:sz w:val="26"/>
          <w:szCs w:val="26"/>
        </w:rPr>
        <w:t>stabilirea ținutei vestimentare a judecătorilor, a magistraților-asistenți și a grefierilor de ședință de la Înalta Curte de Casație și Justiție în ședințele de judecată</w:t>
      </w:r>
      <w:r w:rsidRPr="004A72CD">
        <w:rPr>
          <w:rFonts w:asciiTheme="minorHAnsi" w:eastAsiaTheme="minorHAnsi" w:hAnsiTheme="minorHAnsi" w:cstheme="minorHAnsi"/>
          <w:sz w:val="26"/>
          <w:szCs w:val="26"/>
        </w:rPr>
        <w:t xml:space="preserve"> – avizat favorabil prin </w:t>
      </w:r>
      <w:r w:rsidRPr="004A72CD">
        <w:rPr>
          <w:rFonts w:asciiTheme="minorHAnsi" w:eastAsiaTheme="minorHAnsi" w:hAnsiTheme="minorHAnsi" w:cstheme="minorHAnsi"/>
          <w:b/>
          <w:sz w:val="26"/>
          <w:szCs w:val="26"/>
        </w:rPr>
        <w:t>Hotărârea Plenului Consiliului Superior al Magistraturii nr. 165/24.07.2024</w:t>
      </w:r>
      <w:r w:rsidRPr="004A72CD">
        <w:rPr>
          <w:rFonts w:asciiTheme="minorHAnsi" w:eastAsiaTheme="minorHAnsi" w:hAnsiTheme="minorHAnsi" w:cstheme="minorHAnsi"/>
          <w:sz w:val="26"/>
          <w:szCs w:val="26"/>
        </w:rPr>
        <w:t>;</w:t>
      </w:r>
    </w:p>
    <w:p w14:paraId="574687D4" w14:textId="77777777" w:rsidR="00895FF8" w:rsidRPr="0037354B" w:rsidRDefault="00895FF8">
      <w:pPr>
        <w:numPr>
          <w:ilvl w:val="0"/>
          <w:numId w:val="7"/>
        </w:numPr>
        <w:tabs>
          <w:tab w:val="left" w:pos="993"/>
        </w:tabs>
        <w:spacing w:after="160" w:line="276" w:lineRule="auto"/>
        <w:ind w:left="0" w:firstLine="709"/>
        <w:contextualSpacing/>
        <w:jc w:val="both"/>
        <w:rPr>
          <w:rFonts w:asciiTheme="minorHAnsi" w:eastAsia="Calibri" w:hAnsiTheme="minorHAnsi" w:cstheme="minorHAnsi"/>
          <w:bCs/>
          <w:sz w:val="26"/>
          <w:szCs w:val="26"/>
        </w:rPr>
      </w:pPr>
      <w:r w:rsidRPr="004A72CD">
        <w:rPr>
          <w:rFonts w:asciiTheme="minorHAnsi" w:eastAsiaTheme="minorHAnsi" w:hAnsiTheme="minorHAnsi" w:cstheme="minorHAnsi"/>
          <w:iCs/>
          <w:sz w:val="26"/>
          <w:szCs w:val="26"/>
        </w:rPr>
        <w:t xml:space="preserve">proiectul de Hotărâre a Guvernului privind stabilirea ținutei vestimentare a judecătorilor, a procurorilor, a grefierilor judiciari și a grefierilor de ședință din cadrul curților de </w:t>
      </w:r>
      <w:r w:rsidRPr="004A72CD">
        <w:rPr>
          <w:rFonts w:asciiTheme="minorHAnsi" w:eastAsiaTheme="minorHAnsi" w:hAnsiTheme="minorHAnsi" w:cstheme="minorHAnsi"/>
          <w:iCs/>
          <w:sz w:val="26"/>
          <w:szCs w:val="26"/>
        </w:rPr>
        <w:lastRenderedPageBreak/>
        <w:t>apel, tribunalelor, judecătoriilor și parchetelor de pe lângă aceste instanțe, precum și a grefierilor de ședință din cadrul instanțelor militare, în ședințele de judecată</w:t>
      </w:r>
      <w:r w:rsidRPr="004A72CD">
        <w:rPr>
          <w:rFonts w:asciiTheme="minorHAnsi" w:eastAsiaTheme="minorHAnsi" w:hAnsiTheme="minorHAnsi" w:cstheme="minorHAnsi"/>
          <w:sz w:val="26"/>
          <w:szCs w:val="26"/>
        </w:rPr>
        <w:t xml:space="preserve"> – a fost avizat favorabil prin </w:t>
      </w:r>
      <w:r w:rsidRPr="004A72CD">
        <w:rPr>
          <w:rFonts w:asciiTheme="minorHAnsi" w:eastAsiaTheme="minorHAnsi" w:hAnsiTheme="minorHAnsi" w:cstheme="minorHAnsi"/>
          <w:b/>
          <w:sz w:val="26"/>
          <w:szCs w:val="26"/>
        </w:rPr>
        <w:t>Hotărârea Plenului Consiliului Superior al Magistraturii nr. 166/24.07.2024</w:t>
      </w:r>
      <w:r w:rsidRPr="004A72CD">
        <w:rPr>
          <w:rFonts w:asciiTheme="minorHAnsi" w:eastAsiaTheme="minorHAnsi" w:hAnsiTheme="minorHAnsi" w:cstheme="minorHAnsi"/>
          <w:sz w:val="26"/>
          <w:szCs w:val="26"/>
        </w:rPr>
        <w:t>;</w:t>
      </w:r>
    </w:p>
    <w:p w14:paraId="60E40573" w14:textId="77777777" w:rsidR="00EA1A59" w:rsidRDefault="0037354B">
      <w:pPr>
        <w:numPr>
          <w:ilvl w:val="0"/>
          <w:numId w:val="49"/>
        </w:numPr>
        <w:tabs>
          <w:tab w:val="left" w:pos="993"/>
        </w:tabs>
        <w:spacing w:line="276" w:lineRule="auto"/>
        <w:ind w:left="0" w:firstLine="709"/>
        <w:contextualSpacing/>
        <w:jc w:val="both"/>
        <w:rPr>
          <w:rFonts w:asciiTheme="minorHAnsi" w:eastAsia="Calibri" w:hAnsiTheme="minorHAnsi" w:cstheme="minorHAnsi"/>
          <w:bCs/>
          <w:noProof w:val="0"/>
          <w:sz w:val="26"/>
          <w:szCs w:val="26"/>
        </w:rPr>
      </w:pPr>
      <w:r w:rsidRPr="0037354B">
        <w:rPr>
          <w:rFonts w:asciiTheme="minorHAnsi" w:hAnsiTheme="minorHAnsi" w:cstheme="minorHAnsi"/>
          <w:iCs/>
          <w:sz w:val="26"/>
          <w:szCs w:val="26"/>
        </w:rPr>
        <w:t xml:space="preserve">proiectul de Ordonanţă de urgenţă pentru instituirea unei măsuri temporare privind durata cursurilor de formare iniţială în cadrul Institutului Naţional al Magistraturii </w:t>
      </w:r>
      <w:r w:rsidRPr="0037354B">
        <w:rPr>
          <w:rFonts w:asciiTheme="minorHAnsi" w:hAnsiTheme="minorHAnsi" w:cstheme="minorHAnsi"/>
          <w:sz w:val="26"/>
          <w:szCs w:val="26"/>
        </w:rPr>
        <w:t xml:space="preserve">– avizat favorabil prin </w:t>
      </w:r>
      <w:r w:rsidRPr="0037354B">
        <w:rPr>
          <w:rFonts w:asciiTheme="minorHAnsi" w:hAnsiTheme="minorHAnsi" w:cstheme="minorHAnsi"/>
          <w:b/>
          <w:sz w:val="26"/>
          <w:szCs w:val="26"/>
        </w:rPr>
        <w:t>Hotărârea Plenului Consiliului Superior al Magistraturii nr. 237/17.12.2024</w:t>
      </w:r>
      <w:r w:rsidRPr="0037354B">
        <w:rPr>
          <w:rFonts w:asciiTheme="minorHAnsi" w:hAnsiTheme="minorHAnsi" w:cstheme="minorHAnsi"/>
          <w:sz w:val="26"/>
          <w:szCs w:val="26"/>
        </w:rPr>
        <w:t>.</w:t>
      </w:r>
    </w:p>
    <w:p w14:paraId="57AA7EAF" w14:textId="07E90AE2" w:rsidR="00EA1A59" w:rsidRPr="00EA1A59" w:rsidRDefault="00EA1A59">
      <w:pPr>
        <w:numPr>
          <w:ilvl w:val="0"/>
          <w:numId w:val="49"/>
        </w:numPr>
        <w:tabs>
          <w:tab w:val="left" w:pos="993"/>
        </w:tabs>
        <w:spacing w:line="276" w:lineRule="auto"/>
        <w:ind w:left="0" w:firstLine="709"/>
        <w:contextualSpacing/>
        <w:jc w:val="both"/>
        <w:rPr>
          <w:rFonts w:asciiTheme="minorHAnsi" w:eastAsia="Calibri" w:hAnsiTheme="minorHAnsi" w:cstheme="minorHAnsi"/>
          <w:bCs/>
          <w:noProof w:val="0"/>
          <w:sz w:val="26"/>
          <w:szCs w:val="26"/>
        </w:rPr>
      </w:pPr>
      <w:r w:rsidRPr="00EA1A59">
        <w:rPr>
          <w:rFonts w:asciiTheme="minorHAnsi" w:eastAsia="Calibri" w:hAnsiTheme="minorHAnsi" w:cstheme="minorHAnsi"/>
          <w:bCs/>
          <w:noProof w:val="0"/>
          <w:sz w:val="26"/>
          <w:szCs w:val="26"/>
        </w:rPr>
        <w:t>p</w:t>
      </w:r>
      <w:r w:rsidRPr="00EA1A59">
        <w:rPr>
          <w:rFonts w:ascii="Calibri" w:eastAsia="Calibri" w:hAnsi="Calibri" w:cs="Calibri"/>
          <w:noProof w:val="0"/>
          <w:sz w:val="26"/>
          <w:szCs w:val="26"/>
        </w:rPr>
        <w:t xml:space="preserve">roiectul de Ordin al ministrului justiţiei privind aprobarea Normelor metodologice privind modalitatea de funcţionare a sistemului informatizat de desemnare de către instanţele judecătoreşti a experţilor judiciari a fost avizat negativ prin </w:t>
      </w:r>
      <w:r w:rsidRPr="00EA1A59">
        <w:rPr>
          <w:rFonts w:ascii="Calibri" w:eastAsia="Calibri" w:hAnsi="Calibri" w:cs="Calibri"/>
          <w:b/>
          <w:noProof w:val="0"/>
          <w:sz w:val="26"/>
          <w:szCs w:val="26"/>
        </w:rPr>
        <w:t>Hotărârea Plenului Consiliului Superior al Magistraturii nr. 231</w:t>
      </w:r>
      <w:r w:rsidR="00C043E7">
        <w:rPr>
          <w:rFonts w:ascii="Calibri" w:eastAsia="Calibri" w:hAnsi="Calibri" w:cs="Calibri"/>
          <w:b/>
          <w:noProof w:val="0"/>
          <w:sz w:val="26"/>
          <w:szCs w:val="26"/>
        </w:rPr>
        <w:t>/0</w:t>
      </w:r>
      <w:r w:rsidRPr="00EA1A59">
        <w:rPr>
          <w:rFonts w:ascii="Calibri" w:eastAsia="Calibri" w:hAnsi="Calibri" w:cs="Calibri"/>
          <w:b/>
          <w:noProof w:val="0"/>
          <w:sz w:val="26"/>
          <w:szCs w:val="26"/>
        </w:rPr>
        <w:t>5</w:t>
      </w:r>
      <w:r w:rsidR="00C043E7">
        <w:rPr>
          <w:rFonts w:ascii="Calibri" w:eastAsia="Calibri" w:hAnsi="Calibri" w:cs="Calibri"/>
          <w:b/>
          <w:noProof w:val="0"/>
          <w:sz w:val="26"/>
          <w:szCs w:val="26"/>
        </w:rPr>
        <w:t>.12.</w:t>
      </w:r>
      <w:r w:rsidRPr="00EA1A59">
        <w:rPr>
          <w:rFonts w:ascii="Calibri" w:eastAsia="Calibri" w:hAnsi="Calibri" w:cs="Calibri"/>
          <w:b/>
          <w:noProof w:val="0"/>
          <w:sz w:val="26"/>
          <w:szCs w:val="26"/>
        </w:rPr>
        <w:t>2024</w:t>
      </w:r>
      <w:r w:rsidRPr="00EA1A59">
        <w:rPr>
          <w:rFonts w:ascii="Calibri" w:eastAsia="Calibri" w:hAnsi="Calibri" w:cs="Calibri"/>
          <w:noProof w:val="0"/>
          <w:sz w:val="26"/>
          <w:szCs w:val="26"/>
        </w:rPr>
        <w:t>.</w:t>
      </w:r>
    </w:p>
    <w:p w14:paraId="6A2FD03F" w14:textId="48B87901" w:rsidR="00895FF8" w:rsidRPr="004A3440" w:rsidRDefault="00895FF8" w:rsidP="001E012E">
      <w:pPr>
        <w:pStyle w:val="Heading2"/>
        <w:rPr>
          <w:lang w:val="ro-RO"/>
        </w:rPr>
      </w:pPr>
      <w:bookmarkStart w:id="107" w:name="_Toc187824378"/>
      <w:r w:rsidRPr="004A3440">
        <w:rPr>
          <w:lang w:val="ro-RO"/>
        </w:rPr>
        <w:t>III.2. Elaborarea legislației secundare</w:t>
      </w:r>
      <w:bookmarkEnd w:id="104"/>
      <w:bookmarkEnd w:id="105"/>
      <w:bookmarkEnd w:id="107"/>
      <w:r w:rsidRPr="004A3440">
        <w:rPr>
          <w:lang w:val="ro-RO"/>
        </w:rPr>
        <w:t xml:space="preserve"> </w:t>
      </w:r>
    </w:p>
    <w:p w14:paraId="4754F39A" w14:textId="77777777" w:rsidR="00895FF8" w:rsidRPr="004A72CD" w:rsidRDefault="00895FF8" w:rsidP="00D51F5A">
      <w:pPr>
        <w:spacing w:line="276" w:lineRule="auto"/>
        <w:ind w:firstLine="708"/>
        <w:jc w:val="both"/>
        <w:rPr>
          <w:rFonts w:asciiTheme="minorHAnsi" w:eastAsiaTheme="minorHAnsi" w:hAnsiTheme="minorHAnsi" w:cstheme="minorHAnsi"/>
          <w:color w:val="000000" w:themeColor="text1"/>
          <w:sz w:val="26"/>
          <w:szCs w:val="26"/>
        </w:rPr>
      </w:pPr>
      <w:r w:rsidRPr="004A72CD">
        <w:rPr>
          <w:rFonts w:asciiTheme="minorHAnsi" w:eastAsiaTheme="minorHAnsi" w:hAnsiTheme="minorHAnsi" w:cstheme="minorHAnsi"/>
          <w:color w:val="000000" w:themeColor="text1"/>
          <w:sz w:val="26"/>
          <w:szCs w:val="26"/>
        </w:rPr>
        <w:t>În anul 2024, în exercitarea atribuțiilor Consiliului Superior al Magistraturii prevăzute de art. 39 alin. (1) din Legea nr. 305/2022, au fost adoptate mai multe regulamente şi metodologii ce intră în competența de reglementare a Consiliului.</w:t>
      </w:r>
    </w:p>
    <w:p w14:paraId="2112384F" w14:textId="77777777" w:rsidR="00895FF8" w:rsidRPr="004A72CD" w:rsidRDefault="00895FF8" w:rsidP="00D51F5A">
      <w:pPr>
        <w:spacing w:line="276" w:lineRule="auto"/>
        <w:ind w:firstLine="708"/>
        <w:jc w:val="both"/>
        <w:rPr>
          <w:rFonts w:asciiTheme="minorHAnsi" w:eastAsiaTheme="minorHAnsi" w:hAnsiTheme="minorHAnsi" w:cstheme="minorHAnsi"/>
          <w:color w:val="000000" w:themeColor="text1"/>
          <w:sz w:val="26"/>
          <w:szCs w:val="26"/>
        </w:rPr>
      </w:pPr>
      <w:r w:rsidRPr="004A72CD">
        <w:rPr>
          <w:rFonts w:asciiTheme="minorHAnsi" w:eastAsiaTheme="minorHAnsi" w:hAnsiTheme="minorHAnsi" w:cstheme="minorHAnsi"/>
          <w:color w:val="000000" w:themeColor="text1"/>
          <w:sz w:val="26"/>
          <w:szCs w:val="26"/>
        </w:rPr>
        <w:t>Dintre hotărârile adoptate de Plenul Consiliului Superior al Magistraturii</w:t>
      </w:r>
      <w:r w:rsidRPr="004A72CD">
        <w:rPr>
          <w:rFonts w:asciiTheme="minorHAnsi" w:eastAsiaTheme="minorHAnsi" w:hAnsiTheme="minorHAnsi" w:cstheme="minorHAnsi"/>
          <w:bCs/>
          <w:color w:val="000000" w:themeColor="text1"/>
          <w:sz w:val="26"/>
          <w:szCs w:val="26"/>
        </w:rPr>
        <w:t>,</w:t>
      </w:r>
      <w:r w:rsidRPr="004A72CD">
        <w:rPr>
          <w:rFonts w:asciiTheme="minorHAnsi" w:eastAsiaTheme="minorHAnsi" w:hAnsiTheme="minorHAnsi" w:cstheme="minorHAnsi"/>
          <w:color w:val="000000" w:themeColor="text1"/>
          <w:sz w:val="26"/>
          <w:szCs w:val="26"/>
        </w:rPr>
        <w:t xml:space="preserve"> menționăm următoarele:</w:t>
      </w:r>
    </w:p>
    <w:p w14:paraId="5306EE9D"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color w:val="000000" w:themeColor="text1"/>
          <w:sz w:val="26"/>
          <w:szCs w:val="26"/>
        </w:rPr>
      </w:pPr>
      <w:r w:rsidRPr="004A72CD">
        <w:rPr>
          <w:rFonts w:asciiTheme="minorHAnsi" w:hAnsiTheme="minorHAnsi" w:cstheme="minorHAnsi"/>
          <w:b/>
          <w:sz w:val="26"/>
          <w:szCs w:val="26"/>
        </w:rPr>
        <w:t xml:space="preserve">Hotărârea Plenului nr. 10/30.01.2024 </w:t>
      </w:r>
      <w:r w:rsidRPr="004A72CD">
        <w:rPr>
          <w:rFonts w:asciiTheme="minorHAnsi" w:hAnsiTheme="minorHAnsi" w:cstheme="minorHAnsi"/>
          <w:sz w:val="26"/>
          <w:szCs w:val="26"/>
        </w:rPr>
        <w:t>pentru aprobarea Regulamentului privind organizarea şi desfăşurarea concursului pentru numirea în funcţiile de inspector-şef şi inspector-şef adjunct ai Inspecţiei Judiciare;</w:t>
      </w:r>
    </w:p>
    <w:p w14:paraId="4BFCD48D"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color w:val="000000" w:themeColor="text1"/>
          <w:sz w:val="26"/>
          <w:szCs w:val="26"/>
        </w:rPr>
      </w:pPr>
      <w:r w:rsidRPr="004A72CD">
        <w:rPr>
          <w:rFonts w:asciiTheme="minorHAnsi" w:hAnsiTheme="minorHAnsi" w:cstheme="minorHAnsi"/>
          <w:b/>
          <w:color w:val="000000" w:themeColor="text1"/>
          <w:sz w:val="26"/>
          <w:szCs w:val="26"/>
        </w:rPr>
        <w:t xml:space="preserve">Hotărârea Plenului nr. 11/30.01.2024 </w:t>
      </w:r>
      <w:r w:rsidRPr="004A72CD">
        <w:rPr>
          <w:rFonts w:asciiTheme="minorHAnsi" w:hAnsiTheme="minorHAnsi" w:cstheme="minorHAnsi"/>
          <w:color w:val="000000" w:themeColor="text1"/>
          <w:sz w:val="26"/>
          <w:szCs w:val="26"/>
        </w:rPr>
        <w:t>pentru modificarea Regulamentului privind concursul de admitere în magistratură, aprobat prin Hotărârea Plenului Consiliului Superior al Magistraturii nr. 115/2023;</w:t>
      </w:r>
    </w:p>
    <w:p w14:paraId="3D73050E"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hAnsiTheme="minorHAnsi" w:cstheme="minorHAnsi"/>
          <w:color w:val="000000" w:themeColor="text1"/>
          <w:sz w:val="26"/>
          <w:szCs w:val="26"/>
        </w:rPr>
      </w:pPr>
      <w:r w:rsidRPr="004A72CD">
        <w:rPr>
          <w:rFonts w:asciiTheme="minorHAnsi" w:hAnsiTheme="minorHAnsi" w:cstheme="minorHAnsi"/>
          <w:b/>
          <w:color w:val="000000" w:themeColor="text1"/>
          <w:sz w:val="26"/>
          <w:szCs w:val="26"/>
        </w:rPr>
        <w:t xml:space="preserve">Hotărârea Plenului nr. 109/13.05.2024 </w:t>
      </w:r>
      <w:r w:rsidRPr="004A72CD">
        <w:rPr>
          <w:rFonts w:asciiTheme="minorHAnsi" w:hAnsiTheme="minorHAnsi" w:cstheme="minorHAnsi"/>
          <w:color w:val="000000" w:themeColor="text1"/>
          <w:sz w:val="26"/>
          <w:szCs w:val="26"/>
        </w:rPr>
        <w:t>pentru modificarea</w:t>
      </w:r>
      <w:r w:rsidRPr="004A72CD">
        <w:rPr>
          <w:rFonts w:asciiTheme="minorHAnsi" w:hAnsiTheme="minorHAnsi" w:cstheme="minorHAnsi"/>
          <w:b/>
          <w:color w:val="000000" w:themeColor="text1"/>
          <w:sz w:val="26"/>
          <w:szCs w:val="26"/>
        </w:rPr>
        <w:t xml:space="preserve"> </w:t>
      </w:r>
      <w:r w:rsidRPr="004A72CD">
        <w:rPr>
          <w:rFonts w:asciiTheme="minorHAnsi" w:hAnsiTheme="minorHAnsi" w:cstheme="minorHAnsi"/>
          <w:color w:val="000000" w:themeColor="text1"/>
          <w:sz w:val="26"/>
          <w:szCs w:val="26"/>
        </w:rPr>
        <w:t>Metodologiei privind efectuarea expertizei medicale de specialitate în cazul suspendării din calitatea de auditor,</w:t>
      </w:r>
      <w:r w:rsidRPr="004A72CD">
        <w:rPr>
          <w:rFonts w:asciiTheme="minorHAnsi" w:hAnsiTheme="minorHAnsi" w:cstheme="minorHAnsi"/>
          <w:bCs/>
          <w:color w:val="000000"/>
          <w:sz w:val="26"/>
          <w:szCs w:val="26"/>
        </w:rPr>
        <w:t xml:space="preserve"> aprobată prin Hotărârea Plenului Consiliului Superior al Magistraturii nr. 117/2023;</w:t>
      </w:r>
    </w:p>
    <w:p w14:paraId="0095D024"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color w:val="000000" w:themeColor="text1"/>
          <w:sz w:val="26"/>
          <w:szCs w:val="26"/>
        </w:rPr>
      </w:pPr>
      <w:r w:rsidRPr="004A72CD">
        <w:rPr>
          <w:rFonts w:asciiTheme="minorHAnsi" w:hAnsiTheme="minorHAnsi" w:cstheme="minorHAnsi"/>
          <w:b/>
          <w:color w:val="000000" w:themeColor="text1"/>
          <w:sz w:val="26"/>
          <w:szCs w:val="26"/>
        </w:rPr>
        <w:t xml:space="preserve">Hotărârea Plenului nr. 121/06.06.2024 </w:t>
      </w:r>
      <w:r w:rsidRPr="004A72CD">
        <w:rPr>
          <w:rFonts w:asciiTheme="minorHAnsi" w:hAnsiTheme="minorHAnsi" w:cstheme="minorHAnsi"/>
          <w:color w:val="000000" w:themeColor="text1"/>
          <w:sz w:val="26"/>
          <w:szCs w:val="26"/>
        </w:rPr>
        <w:t>pentru modificarea Regulamentului de organizare şi funcţionare a Consiliului Superior al Magistraturii, aprobat prin Hotărârea Plenului Consiliului Superior al Magistraturii nr. 122/2023;</w:t>
      </w:r>
    </w:p>
    <w:p w14:paraId="0E5EB7B1"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color w:val="000000" w:themeColor="text1"/>
          <w:sz w:val="26"/>
          <w:szCs w:val="26"/>
        </w:rPr>
      </w:pPr>
      <w:r w:rsidRPr="004A72CD">
        <w:rPr>
          <w:rFonts w:asciiTheme="minorHAnsi" w:hAnsiTheme="minorHAnsi" w:cstheme="minorHAnsi"/>
          <w:b/>
          <w:color w:val="000000" w:themeColor="text1"/>
          <w:sz w:val="26"/>
          <w:szCs w:val="26"/>
        </w:rPr>
        <w:t xml:space="preserve">Hotărârea Plenului nr. 140/06.06.2024 </w:t>
      </w:r>
      <w:r w:rsidRPr="004A72CD">
        <w:rPr>
          <w:rFonts w:asciiTheme="minorHAnsi" w:hAnsiTheme="minorHAnsi" w:cstheme="minorHAnsi"/>
          <w:color w:val="000000" w:themeColor="text1"/>
          <w:sz w:val="26"/>
          <w:szCs w:val="26"/>
        </w:rPr>
        <w:t>pentru modificarea şi completarea Regulamentului de organizare şi funcţionare a Consiliului Superior al Magistraturii, aprobat prin Hotărârea Plenului Consiliului Superior al Magistraturii nr. 122/2023;</w:t>
      </w:r>
    </w:p>
    <w:p w14:paraId="62B9C722"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hAnsiTheme="minorHAnsi" w:cstheme="minorHAnsi"/>
          <w:color w:val="000000" w:themeColor="text1"/>
          <w:sz w:val="26"/>
          <w:szCs w:val="26"/>
        </w:rPr>
      </w:pPr>
      <w:r w:rsidRPr="004A72CD">
        <w:rPr>
          <w:rFonts w:asciiTheme="minorHAnsi" w:hAnsiTheme="minorHAnsi" w:cstheme="minorHAnsi"/>
          <w:b/>
          <w:color w:val="000000" w:themeColor="text1"/>
          <w:sz w:val="26"/>
          <w:szCs w:val="26"/>
        </w:rPr>
        <w:t xml:space="preserve">Hotărârea Plenului nr. 137/18.06.2024 </w:t>
      </w:r>
      <w:r w:rsidRPr="004A72CD">
        <w:rPr>
          <w:rFonts w:asciiTheme="minorHAnsi" w:hAnsiTheme="minorHAnsi" w:cstheme="minorHAnsi"/>
          <w:color w:val="000000" w:themeColor="text1"/>
          <w:sz w:val="26"/>
          <w:szCs w:val="26"/>
        </w:rPr>
        <w:t>pentru modificarea şi completarea Regulamentului Institutului Naţional al Magistraturii, aprobat prin Hotărârea Plenului Consiliului Superior al Magistraturii nr. 92/2023;</w:t>
      </w:r>
    </w:p>
    <w:p w14:paraId="0C1953C9"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hAnsiTheme="minorHAnsi" w:cstheme="minorHAnsi"/>
          <w:color w:val="000000" w:themeColor="text1"/>
          <w:sz w:val="26"/>
          <w:szCs w:val="26"/>
        </w:rPr>
      </w:pPr>
      <w:r w:rsidRPr="004A72CD">
        <w:rPr>
          <w:rFonts w:asciiTheme="minorHAnsi" w:hAnsiTheme="minorHAnsi" w:cstheme="minorHAnsi"/>
          <w:b/>
          <w:color w:val="000000" w:themeColor="text1"/>
          <w:sz w:val="26"/>
          <w:szCs w:val="26"/>
        </w:rPr>
        <w:t xml:space="preserve">Hotărârea Plenului nr. 138/18.06.2024 </w:t>
      </w:r>
      <w:r w:rsidRPr="004A72CD">
        <w:rPr>
          <w:rFonts w:asciiTheme="minorHAnsi" w:hAnsiTheme="minorHAnsi" w:cstheme="minorHAnsi"/>
          <w:color w:val="000000" w:themeColor="text1"/>
          <w:sz w:val="26"/>
          <w:szCs w:val="26"/>
        </w:rPr>
        <w:t>pentru modificarea Regulamentului de organizare şi funcţionare al Şcolii Naţionale de Grefieri, aprobat prin Hotărârea Plenului Consiliului Superior al Magistraturii nr. 183/2007;</w:t>
      </w:r>
    </w:p>
    <w:p w14:paraId="42AFFB85"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color w:val="000000" w:themeColor="text1"/>
          <w:sz w:val="26"/>
          <w:szCs w:val="26"/>
        </w:rPr>
      </w:pPr>
      <w:r w:rsidRPr="004A72CD">
        <w:rPr>
          <w:rFonts w:asciiTheme="minorHAnsi" w:hAnsiTheme="minorHAnsi" w:cstheme="minorHAnsi"/>
          <w:b/>
          <w:color w:val="000000" w:themeColor="text1"/>
          <w:sz w:val="26"/>
          <w:szCs w:val="26"/>
        </w:rPr>
        <w:t xml:space="preserve">Hotărârea Plenului nr. 139/18.06.2024 </w:t>
      </w:r>
      <w:r w:rsidRPr="004A72CD">
        <w:rPr>
          <w:rFonts w:asciiTheme="minorHAnsi" w:hAnsiTheme="minorHAnsi" w:cstheme="minorHAnsi"/>
          <w:color w:val="000000" w:themeColor="text1"/>
          <w:sz w:val="26"/>
          <w:szCs w:val="26"/>
        </w:rPr>
        <w:t>pentru aprobarea Regulamentului de organizare şi funcţionare a Inspecţiei Judiciare;</w:t>
      </w:r>
    </w:p>
    <w:p w14:paraId="7450EB50"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color w:val="000000" w:themeColor="text1"/>
          <w:sz w:val="26"/>
          <w:szCs w:val="26"/>
        </w:rPr>
      </w:pPr>
      <w:r w:rsidRPr="004A72CD">
        <w:rPr>
          <w:rFonts w:asciiTheme="minorHAnsi" w:hAnsiTheme="minorHAnsi" w:cstheme="minorHAnsi"/>
          <w:b/>
          <w:color w:val="000000" w:themeColor="text1"/>
          <w:sz w:val="26"/>
          <w:szCs w:val="26"/>
        </w:rPr>
        <w:lastRenderedPageBreak/>
        <w:t xml:space="preserve">Hotărârea Plenului nr. 145/27.06.2024 </w:t>
      </w:r>
      <w:r w:rsidRPr="004A72CD">
        <w:rPr>
          <w:rFonts w:asciiTheme="minorHAnsi" w:hAnsiTheme="minorHAnsi" w:cstheme="minorHAnsi"/>
          <w:color w:val="000000" w:themeColor="text1"/>
          <w:sz w:val="26"/>
          <w:szCs w:val="26"/>
        </w:rPr>
        <w:t>pentru modificarea Regulamentului privind admiterea la Institutul Naţional al Magistraturii, aprobat prin Hotărârea Plenului Consiliului Superior al Magistraturii nr. 114/2023;</w:t>
      </w:r>
    </w:p>
    <w:p w14:paraId="1DD9D5BC" w14:textId="77777777" w:rsidR="006B7D32" w:rsidRPr="006B7D32"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color w:val="FF0000"/>
          <w:sz w:val="26"/>
          <w:szCs w:val="26"/>
        </w:rPr>
      </w:pPr>
      <w:r w:rsidRPr="006B7D32">
        <w:rPr>
          <w:rFonts w:asciiTheme="minorHAnsi" w:hAnsiTheme="minorHAnsi" w:cstheme="minorHAnsi"/>
          <w:b/>
          <w:color w:val="000000" w:themeColor="text1"/>
          <w:sz w:val="26"/>
          <w:szCs w:val="26"/>
        </w:rPr>
        <w:t xml:space="preserve">Hotărârea Plenului nr. 153/09.07.2024 </w:t>
      </w:r>
      <w:r w:rsidRPr="006B7D32">
        <w:rPr>
          <w:rFonts w:asciiTheme="minorHAnsi" w:hAnsiTheme="minorHAnsi" w:cstheme="minorHAnsi"/>
          <w:color w:val="000000" w:themeColor="text1"/>
          <w:sz w:val="26"/>
          <w:szCs w:val="26"/>
        </w:rPr>
        <w:t>pentru modificarea Regulamentului privind concursul de admitere în magistratură, aprobat prin Hotărârea Plenului Consiliului Superior al Magistraturii nr. 115/2023.</w:t>
      </w:r>
    </w:p>
    <w:p w14:paraId="0F41C88F" w14:textId="1BA5AE52" w:rsidR="00895FF8" w:rsidRPr="0088378C" w:rsidRDefault="002F0F68">
      <w:pPr>
        <w:numPr>
          <w:ilvl w:val="0"/>
          <w:numId w:val="7"/>
        </w:numPr>
        <w:tabs>
          <w:tab w:val="left" w:pos="993"/>
        </w:tabs>
        <w:spacing w:after="160" w:line="276" w:lineRule="auto"/>
        <w:ind w:left="0" w:firstLine="709"/>
        <w:contextualSpacing/>
        <w:jc w:val="both"/>
        <w:rPr>
          <w:rFonts w:asciiTheme="minorHAnsi" w:hAnsiTheme="minorHAnsi" w:cstheme="minorHAnsi"/>
          <w:bCs/>
          <w:sz w:val="26"/>
          <w:szCs w:val="26"/>
        </w:rPr>
      </w:pPr>
      <w:r w:rsidRPr="006B7D32">
        <w:rPr>
          <w:rFonts w:asciiTheme="minorHAnsi" w:hAnsiTheme="minorHAnsi" w:cstheme="minorHAnsi"/>
          <w:b/>
          <w:sz w:val="26"/>
          <w:szCs w:val="26"/>
        </w:rPr>
        <w:t>Hotărârea Plenului nr. 208</w:t>
      </w:r>
      <w:r w:rsidR="006B7D32">
        <w:rPr>
          <w:rFonts w:asciiTheme="minorHAnsi" w:hAnsiTheme="minorHAnsi" w:cstheme="minorHAnsi"/>
          <w:b/>
          <w:sz w:val="26"/>
          <w:szCs w:val="26"/>
        </w:rPr>
        <w:t>/</w:t>
      </w:r>
      <w:r w:rsidRPr="006B7D32">
        <w:rPr>
          <w:rFonts w:asciiTheme="minorHAnsi" w:hAnsiTheme="minorHAnsi" w:cstheme="minorHAnsi"/>
          <w:b/>
          <w:sz w:val="26"/>
          <w:szCs w:val="26"/>
        </w:rPr>
        <w:t>14</w:t>
      </w:r>
      <w:r w:rsidR="006B7D32">
        <w:rPr>
          <w:rFonts w:asciiTheme="minorHAnsi" w:hAnsiTheme="minorHAnsi" w:cstheme="minorHAnsi"/>
          <w:b/>
          <w:sz w:val="26"/>
          <w:szCs w:val="26"/>
        </w:rPr>
        <w:t>.11.</w:t>
      </w:r>
      <w:r w:rsidRPr="006B7D32">
        <w:rPr>
          <w:rFonts w:asciiTheme="minorHAnsi" w:hAnsiTheme="minorHAnsi" w:cstheme="minorHAnsi"/>
          <w:b/>
          <w:sz w:val="26"/>
          <w:szCs w:val="26"/>
        </w:rPr>
        <w:t xml:space="preserve">2024 </w:t>
      </w:r>
      <w:r w:rsidRPr="006B7D32">
        <w:rPr>
          <w:rFonts w:asciiTheme="minorHAnsi" w:hAnsiTheme="minorHAnsi" w:cstheme="minorHAnsi"/>
          <w:sz w:val="26"/>
          <w:szCs w:val="26"/>
        </w:rPr>
        <w:t>pentru modificarea Regulamentului de organizare şi funcţionare a Consiliului Superior al Magistraturii, aprobat prin Hotărârea Plenului Consiliului Superior al Magistraturii nr. 122/2023.</w:t>
      </w:r>
    </w:p>
    <w:p w14:paraId="69B7CF58" w14:textId="77777777" w:rsidR="00895FF8" w:rsidRPr="004A72CD" w:rsidRDefault="00895FF8" w:rsidP="00D51F5A">
      <w:pPr>
        <w:tabs>
          <w:tab w:val="left" w:pos="993"/>
        </w:tabs>
        <w:spacing w:line="276" w:lineRule="auto"/>
        <w:jc w:val="both"/>
        <w:rPr>
          <w:rFonts w:asciiTheme="minorHAnsi" w:eastAsiaTheme="minorHAnsi" w:hAnsiTheme="minorHAnsi" w:cstheme="minorHAnsi"/>
          <w:bCs/>
          <w:color w:val="000000" w:themeColor="text1"/>
          <w:sz w:val="26"/>
          <w:szCs w:val="26"/>
        </w:rPr>
      </w:pPr>
      <w:r w:rsidRPr="004A72CD">
        <w:rPr>
          <w:rFonts w:asciiTheme="minorHAnsi" w:eastAsiaTheme="minorHAnsi" w:hAnsiTheme="minorHAnsi" w:cstheme="minorHAnsi"/>
          <w:bCs/>
          <w:color w:val="000000" w:themeColor="text1"/>
          <w:sz w:val="26"/>
          <w:szCs w:val="26"/>
        </w:rPr>
        <w:tab/>
        <w:t>Dintre hotărârile adoptate de către Secţia pentru judecători a Consiliului Superior al Magistraturii, menționăm următoarele:</w:t>
      </w:r>
    </w:p>
    <w:p w14:paraId="4B9A420D"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sz w:val="26"/>
          <w:szCs w:val="26"/>
        </w:rPr>
      </w:pPr>
      <w:r w:rsidRPr="004A72CD">
        <w:rPr>
          <w:rFonts w:asciiTheme="minorHAnsi" w:hAnsiTheme="minorHAnsi" w:cstheme="minorHAnsi"/>
          <w:b/>
          <w:sz w:val="26"/>
          <w:szCs w:val="26"/>
        </w:rPr>
        <w:t xml:space="preserve">Hotărârea Secției pentru judecători nr. 246/01.02.2024 </w:t>
      </w:r>
      <w:r w:rsidRPr="004A72CD">
        <w:rPr>
          <w:rFonts w:asciiTheme="minorHAnsi" w:hAnsiTheme="minorHAnsi" w:cstheme="minorHAnsi"/>
          <w:sz w:val="26"/>
          <w:szCs w:val="26"/>
        </w:rPr>
        <w:t>pentru aprobarea Regulamentului privind organizarea şi desfăşurarea concursului pentru numirea în funcţia de director al Direcţiei de inspecţie pentru judecători din cadrul Inspecţiei Judiciare;</w:t>
      </w:r>
    </w:p>
    <w:p w14:paraId="77E4D9D1" w14:textId="77777777" w:rsidR="00895FF8" w:rsidRPr="0088378C"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sz w:val="26"/>
          <w:szCs w:val="26"/>
        </w:rPr>
      </w:pPr>
      <w:r w:rsidRPr="004A72CD">
        <w:rPr>
          <w:rFonts w:asciiTheme="minorHAnsi" w:hAnsiTheme="minorHAnsi" w:cstheme="minorHAnsi"/>
          <w:b/>
          <w:sz w:val="26"/>
          <w:szCs w:val="26"/>
        </w:rPr>
        <w:t xml:space="preserve">Hotărârea Secției pentru judecători nr. 247/01.02.2024 </w:t>
      </w:r>
      <w:r w:rsidRPr="004A72CD">
        <w:rPr>
          <w:rFonts w:asciiTheme="minorHAnsi" w:hAnsiTheme="minorHAnsi" w:cstheme="minorHAnsi"/>
          <w:sz w:val="26"/>
          <w:szCs w:val="26"/>
        </w:rPr>
        <w:t xml:space="preserve">pentru aprobarea </w:t>
      </w:r>
      <w:r w:rsidRPr="0088378C">
        <w:rPr>
          <w:rFonts w:asciiTheme="minorHAnsi" w:hAnsiTheme="minorHAnsi" w:cstheme="minorHAnsi"/>
          <w:sz w:val="26"/>
          <w:szCs w:val="26"/>
        </w:rPr>
        <w:t>Regulamentului privind organizarea şi desfăşurarea concursului pentru numirea în funcţia de inspector judiciar în cadrul Direcţiei de inspecţie pentru judecători;</w:t>
      </w:r>
    </w:p>
    <w:p w14:paraId="218512C0" w14:textId="77777777" w:rsidR="00895FF8" w:rsidRPr="0088378C"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sz w:val="26"/>
          <w:szCs w:val="26"/>
        </w:rPr>
      </w:pPr>
      <w:r w:rsidRPr="0088378C">
        <w:rPr>
          <w:rFonts w:asciiTheme="minorHAnsi" w:hAnsiTheme="minorHAnsi" w:cstheme="minorHAnsi"/>
          <w:b/>
          <w:sz w:val="26"/>
          <w:szCs w:val="26"/>
        </w:rPr>
        <w:t xml:space="preserve">Hotărârea Secţiei pentru judecători nr. 353/26.02.2024 </w:t>
      </w:r>
      <w:r w:rsidRPr="0088378C">
        <w:rPr>
          <w:rFonts w:asciiTheme="minorHAnsi" w:hAnsiTheme="minorHAnsi" w:cstheme="minorHAnsi"/>
          <w:sz w:val="26"/>
          <w:szCs w:val="26"/>
        </w:rPr>
        <w:t>pentru modificarea Regulamentului privind organizarea şi desfăşurarea concursului pentru numirea în funcţia de inspector judiciar în cadrul Direcţiei de inspecţie pentru judecători, aprobat prin Hotărârea Secţiei pentru judecători nr. 247/2024;</w:t>
      </w:r>
    </w:p>
    <w:p w14:paraId="092D11EA" w14:textId="77777777" w:rsidR="00895FF8" w:rsidRPr="0088378C"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sz w:val="26"/>
          <w:szCs w:val="26"/>
        </w:rPr>
      </w:pPr>
      <w:r w:rsidRPr="0088378C">
        <w:rPr>
          <w:rFonts w:asciiTheme="minorHAnsi" w:hAnsiTheme="minorHAnsi" w:cstheme="minorHAnsi"/>
          <w:b/>
          <w:sz w:val="26"/>
          <w:szCs w:val="26"/>
        </w:rPr>
        <w:t xml:space="preserve">Hotărârea Secţiei pentru judecători nr. 709/13.05.2024 </w:t>
      </w:r>
      <w:r w:rsidRPr="0088378C">
        <w:rPr>
          <w:rFonts w:asciiTheme="minorHAnsi" w:hAnsiTheme="minorHAnsi" w:cstheme="minorHAnsi"/>
          <w:sz w:val="26"/>
          <w:szCs w:val="26"/>
        </w:rPr>
        <w:t xml:space="preserve">pentru modificarea Metodologiei privind efectuarea expertizei medicale de specialitate în cazul suspendării din funcţie a judecătorilor pentru o altă afecţiune decât boala psihică, </w:t>
      </w:r>
      <w:r w:rsidRPr="0088378C">
        <w:rPr>
          <w:rFonts w:asciiTheme="minorHAnsi" w:hAnsiTheme="minorHAnsi" w:cstheme="minorHAnsi"/>
          <w:bCs/>
          <w:sz w:val="26"/>
          <w:szCs w:val="26"/>
        </w:rPr>
        <w:t>aprobată prin Hotărârea Secţiei pentru judecători a Consiliului Superior al Magistraturii nr. 1798/2023</w:t>
      </w:r>
      <w:r w:rsidRPr="0088378C">
        <w:rPr>
          <w:rFonts w:asciiTheme="minorHAnsi" w:hAnsiTheme="minorHAnsi" w:cstheme="minorHAnsi"/>
          <w:sz w:val="26"/>
          <w:szCs w:val="26"/>
        </w:rPr>
        <w:t>;</w:t>
      </w:r>
    </w:p>
    <w:p w14:paraId="21150066" w14:textId="77777777" w:rsidR="00895FF8" w:rsidRPr="0088378C"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sz w:val="26"/>
          <w:szCs w:val="26"/>
        </w:rPr>
      </w:pPr>
      <w:r w:rsidRPr="0088378C">
        <w:rPr>
          <w:rFonts w:asciiTheme="minorHAnsi" w:hAnsiTheme="minorHAnsi" w:cstheme="minorHAnsi"/>
          <w:b/>
          <w:sz w:val="26"/>
          <w:szCs w:val="26"/>
        </w:rPr>
        <w:t xml:space="preserve">Hotărârea Secţiei pentru judecători nr. 710/13.05.2024 </w:t>
      </w:r>
      <w:r w:rsidRPr="0088378C">
        <w:rPr>
          <w:rFonts w:asciiTheme="minorHAnsi" w:hAnsiTheme="minorHAnsi" w:cstheme="minorHAnsi"/>
          <w:sz w:val="26"/>
          <w:szCs w:val="26"/>
        </w:rPr>
        <w:t xml:space="preserve">pentru modificarea Metodologiei privind efectuarea expertizei medicale de specialitate în cazul suspendării din funcţie a judecătorilor pentru boală psihică, </w:t>
      </w:r>
      <w:r w:rsidRPr="0088378C">
        <w:rPr>
          <w:rFonts w:asciiTheme="minorHAnsi" w:hAnsiTheme="minorHAnsi" w:cstheme="minorHAnsi"/>
          <w:bCs/>
          <w:sz w:val="26"/>
          <w:szCs w:val="26"/>
        </w:rPr>
        <w:t>aprobată prin Hotărârea Secţiei pentru judecători a Consiliului Superior al Magistraturii nr. 1799/2023</w:t>
      </w:r>
      <w:r w:rsidRPr="0088378C">
        <w:rPr>
          <w:rFonts w:asciiTheme="minorHAnsi" w:hAnsiTheme="minorHAnsi" w:cstheme="minorHAnsi"/>
          <w:sz w:val="26"/>
          <w:szCs w:val="26"/>
        </w:rPr>
        <w:t>;</w:t>
      </w:r>
    </w:p>
    <w:p w14:paraId="3DBCF9FC" w14:textId="77777777" w:rsidR="00895FF8" w:rsidRPr="0088378C"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sz w:val="26"/>
          <w:szCs w:val="26"/>
        </w:rPr>
      </w:pPr>
      <w:r w:rsidRPr="0088378C">
        <w:rPr>
          <w:rFonts w:asciiTheme="minorHAnsi" w:hAnsiTheme="minorHAnsi" w:cstheme="minorHAnsi"/>
          <w:b/>
          <w:sz w:val="26"/>
          <w:szCs w:val="26"/>
        </w:rPr>
        <w:t xml:space="preserve">Hotărârea Secţiei pentru judecători nr. 1189/28.05.2024 </w:t>
      </w:r>
      <w:r w:rsidRPr="0088378C">
        <w:rPr>
          <w:rFonts w:asciiTheme="minorHAnsi" w:hAnsiTheme="minorHAnsi" w:cstheme="minorHAnsi"/>
          <w:sz w:val="26"/>
          <w:szCs w:val="26"/>
        </w:rPr>
        <w:t>pentru aprobarea Regulamentului privind recrutarea, formarea profesională şi evaluarea asistenţilor judecătorului;</w:t>
      </w:r>
    </w:p>
    <w:p w14:paraId="15CF037A" w14:textId="77777777" w:rsidR="00895FF8" w:rsidRPr="0088378C"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sz w:val="26"/>
          <w:szCs w:val="26"/>
        </w:rPr>
      </w:pPr>
      <w:r w:rsidRPr="0088378C">
        <w:rPr>
          <w:rFonts w:asciiTheme="minorHAnsi" w:hAnsiTheme="minorHAnsi" w:cstheme="minorHAnsi"/>
          <w:b/>
          <w:sz w:val="26"/>
          <w:szCs w:val="26"/>
        </w:rPr>
        <w:t xml:space="preserve">Hotărârea Secţiei pentru judecători nr. 1290/13.06.2024 </w:t>
      </w:r>
      <w:r w:rsidRPr="0088378C">
        <w:rPr>
          <w:rFonts w:asciiTheme="minorHAnsi" w:hAnsiTheme="minorHAnsi" w:cstheme="minorHAnsi"/>
          <w:sz w:val="26"/>
          <w:szCs w:val="26"/>
        </w:rPr>
        <w:t>pentru aprobarea Regulamentului privind evaluarea activităţii profesionale a judecătorilor;</w:t>
      </w:r>
    </w:p>
    <w:p w14:paraId="41C52B5F" w14:textId="77777777" w:rsidR="00895FF8" w:rsidRPr="0088378C" w:rsidRDefault="00895FF8">
      <w:pPr>
        <w:numPr>
          <w:ilvl w:val="0"/>
          <w:numId w:val="7"/>
        </w:numPr>
        <w:tabs>
          <w:tab w:val="left" w:pos="993"/>
        </w:tabs>
        <w:spacing w:line="276" w:lineRule="auto"/>
        <w:ind w:left="0" w:firstLine="709"/>
        <w:contextualSpacing/>
        <w:jc w:val="both"/>
        <w:rPr>
          <w:rFonts w:asciiTheme="minorHAnsi" w:hAnsiTheme="minorHAnsi" w:cstheme="minorHAnsi"/>
          <w:bCs/>
          <w:sz w:val="26"/>
          <w:szCs w:val="26"/>
        </w:rPr>
      </w:pPr>
      <w:r w:rsidRPr="0088378C">
        <w:rPr>
          <w:rFonts w:asciiTheme="minorHAnsi" w:hAnsiTheme="minorHAnsi" w:cstheme="minorHAnsi"/>
          <w:b/>
          <w:sz w:val="26"/>
          <w:szCs w:val="26"/>
        </w:rPr>
        <w:t xml:space="preserve">Hotărârea Secţiei pentru judecători nr. 1667/26.09.2024 </w:t>
      </w:r>
      <w:r w:rsidRPr="0088378C">
        <w:rPr>
          <w:rFonts w:asciiTheme="minorHAnsi" w:hAnsiTheme="minorHAnsi" w:cstheme="minorHAnsi"/>
          <w:sz w:val="26"/>
          <w:szCs w:val="26"/>
        </w:rPr>
        <w:t>pentru modificarea şi completarea Procedurii de evaluare psihologică periodică a judecătorilor, aprobată prin Hotărârea Secţiei pentru judecători a Consiliului Superior al Magistraturii nr. 2333/2023.</w:t>
      </w:r>
    </w:p>
    <w:p w14:paraId="71FB0BD5" w14:textId="209AF3FB" w:rsidR="00C84629" w:rsidRPr="0088378C" w:rsidRDefault="00C84629">
      <w:pPr>
        <w:pStyle w:val="ListParagraph"/>
        <w:numPr>
          <w:ilvl w:val="0"/>
          <w:numId w:val="7"/>
        </w:numPr>
        <w:tabs>
          <w:tab w:val="left" w:pos="993"/>
        </w:tabs>
        <w:spacing w:line="276" w:lineRule="auto"/>
        <w:ind w:left="0" w:firstLine="709"/>
        <w:jc w:val="both"/>
        <w:rPr>
          <w:rFonts w:cstheme="minorHAnsi"/>
          <w:bCs/>
          <w:sz w:val="26"/>
          <w:szCs w:val="26"/>
        </w:rPr>
      </w:pPr>
      <w:r w:rsidRPr="0088378C">
        <w:rPr>
          <w:rFonts w:asciiTheme="minorHAnsi" w:hAnsiTheme="minorHAnsi" w:cstheme="minorHAnsi"/>
          <w:b/>
          <w:sz w:val="26"/>
          <w:szCs w:val="26"/>
        </w:rPr>
        <w:t>Hotărârea Secţiei pentru judecători nr. 1923</w:t>
      </w:r>
      <w:r w:rsidR="006B7D32" w:rsidRPr="0088378C">
        <w:rPr>
          <w:rFonts w:asciiTheme="minorHAnsi" w:hAnsiTheme="minorHAnsi" w:cstheme="minorHAnsi"/>
          <w:b/>
          <w:sz w:val="26"/>
          <w:szCs w:val="26"/>
        </w:rPr>
        <w:t>/</w:t>
      </w:r>
      <w:r w:rsidRPr="0088378C">
        <w:rPr>
          <w:rFonts w:asciiTheme="minorHAnsi" w:hAnsiTheme="minorHAnsi" w:cstheme="minorHAnsi"/>
          <w:b/>
          <w:sz w:val="26"/>
          <w:szCs w:val="26"/>
        </w:rPr>
        <w:t>14</w:t>
      </w:r>
      <w:r w:rsidR="006B7D32" w:rsidRPr="0088378C">
        <w:rPr>
          <w:rFonts w:asciiTheme="minorHAnsi" w:hAnsiTheme="minorHAnsi" w:cstheme="minorHAnsi"/>
          <w:b/>
          <w:sz w:val="26"/>
          <w:szCs w:val="26"/>
        </w:rPr>
        <w:t>.11.</w:t>
      </w:r>
      <w:r w:rsidRPr="0088378C">
        <w:rPr>
          <w:rFonts w:asciiTheme="minorHAnsi" w:hAnsiTheme="minorHAnsi" w:cstheme="minorHAnsi"/>
          <w:b/>
          <w:sz w:val="26"/>
          <w:szCs w:val="26"/>
        </w:rPr>
        <w:t xml:space="preserve">2024 </w:t>
      </w:r>
      <w:r w:rsidRPr="0088378C">
        <w:rPr>
          <w:rFonts w:asciiTheme="minorHAnsi" w:hAnsiTheme="minorHAnsi" w:cstheme="minorHAnsi"/>
          <w:sz w:val="26"/>
          <w:szCs w:val="26"/>
        </w:rPr>
        <w:t>pentru modificarea şi completarea Regulamentului de ordine interioară al instanţelor judecătoreşti, aprobat prin Hotărârea Secţiei pentru judecători a Consiliului Superior al Magistraturii nr. 3243/2022.</w:t>
      </w:r>
    </w:p>
    <w:p w14:paraId="4DC1E655" w14:textId="77777777" w:rsidR="00C84629" w:rsidRPr="0088378C" w:rsidRDefault="00895FF8" w:rsidP="00D51F5A">
      <w:pPr>
        <w:tabs>
          <w:tab w:val="left" w:pos="993"/>
        </w:tabs>
        <w:spacing w:line="276" w:lineRule="auto"/>
        <w:jc w:val="both"/>
        <w:rPr>
          <w:rFonts w:asciiTheme="minorHAnsi" w:eastAsiaTheme="minorHAnsi" w:hAnsiTheme="minorHAnsi" w:cstheme="minorHAnsi"/>
          <w:bCs/>
          <w:sz w:val="26"/>
          <w:szCs w:val="26"/>
        </w:rPr>
      </w:pPr>
      <w:r w:rsidRPr="0088378C">
        <w:rPr>
          <w:rFonts w:asciiTheme="minorHAnsi" w:eastAsiaTheme="minorHAnsi" w:hAnsiTheme="minorHAnsi" w:cstheme="minorHAnsi"/>
          <w:bCs/>
          <w:sz w:val="26"/>
          <w:szCs w:val="26"/>
        </w:rPr>
        <w:tab/>
      </w:r>
    </w:p>
    <w:p w14:paraId="441DC35D" w14:textId="22AE235F" w:rsidR="00895FF8" w:rsidRPr="004A72CD" w:rsidRDefault="00C84629" w:rsidP="00D51F5A">
      <w:pPr>
        <w:tabs>
          <w:tab w:val="left" w:pos="993"/>
        </w:tabs>
        <w:spacing w:line="276" w:lineRule="auto"/>
        <w:jc w:val="both"/>
        <w:rPr>
          <w:rFonts w:asciiTheme="minorHAnsi" w:eastAsiaTheme="minorHAnsi" w:hAnsiTheme="minorHAnsi" w:cstheme="minorHAnsi"/>
          <w:color w:val="FF0000"/>
          <w:sz w:val="26"/>
          <w:szCs w:val="26"/>
        </w:rPr>
      </w:pPr>
      <w:r>
        <w:rPr>
          <w:rFonts w:asciiTheme="minorHAnsi" w:eastAsiaTheme="minorHAnsi" w:hAnsiTheme="minorHAnsi" w:cstheme="minorHAnsi"/>
          <w:bCs/>
          <w:color w:val="FF0000"/>
          <w:sz w:val="26"/>
          <w:szCs w:val="26"/>
        </w:rPr>
        <w:tab/>
      </w:r>
      <w:r w:rsidR="00895FF8" w:rsidRPr="004A72CD">
        <w:rPr>
          <w:rFonts w:asciiTheme="minorHAnsi" w:eastAsiaTheme="minorHAnsi" w:hAnsiTheme="minorHAnsi" w:cstheme="minorHAnsi"/>
          <w:bCs/>
          <w:sz w:val="26"/>
          <w:szCs w:val="26"/>
        </w:rPr>
        <w:t>Dintre hotărârile adoptate de către Secţia pentru procurori a Consiliului Superior al Magistraturii, menționăm următoarele:</w:t>
      </w:r>
    </w:p>
    <w:p w14:paraId="44DC972F"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sz w:val="26"/>
          <w:szCs w:val="26"/>
        </w:rPr>
      </w:pPr>
      <w:r w:rsidRPr="004A72CD">
        <w:rPr>
          <w:rFonts w:asciiTheme="minorHAnsi" w:hAnsiTheme="minorHAnsi" w:cstheme="minorHAnsi"/>
          <w:b/>
          <w:sz w:val="26"/>
          <w:szCs w:val="26"/>
        </w:rPr>
        <w:lastRenderedPageBreak/>
        <w:t xml:space="preserve">Hotărârea Secției pentru procurori nr. 80/16.01.2024 </w:t>
      </w:r>
      <w:r w:rsidRPr="004A72CD">
        <w:rPr>
          <w:rFonts w:asciiTheme="minorHAnsi" w:hAnsiTheme="minorHAnsi" w:cstheme="minorHAnsi"/>
          <w:sz w:val="26"/>
          <w:szCs w:val="26"/>
        </w:rPr>
        <w:t>pentru aprobarea Regulamentului privind organizarea şi desfăşurarea concursului pentru numirea în funcţia de director al Direcţiei de inspecţie pentru procurori din cadrul Inspecţiei Judiciare;</w:t>
      </w:r>
    </w:p>
    <w:p w14:paraId="5DA0BC17"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sz w:val="26"/>
          <w:szCs w:val="26"/>
        </w:rPr>
      </w:pPr>
      <w:r w:rsidRPr="004A72CD">
        <w:rPr>
          <w:rFonts w:asciiTheme="minorHAnsi" w:hAnsiTheme="minorHAnsi" w:cstheme="minorHAnsi"/>
          <w:b/>
          <w:sz w:val="26"/>
          <w:szCs w:val="26"/>
        </w:rPr>
        <w:t xml:space="preserve">Hotărârea Secției pentru procurori nr. 81/16.01.2024 </w:t>
      </w:r>
      <w:r w:rsidRPr="004A72CD">
        <w:rPr>
          <w:rFonts w:asciiTheme="minorHAnsi" w:hAnsiTheme="minorHAnsi" w:cstheme="minorHAnsi"/>
          <w:sz w:val="26"/>
          <w:szCs w:val="26"/>
        </w:rPr>
        <w:t>pentru aprobarea Regulamentului privind organizarea şi desfăşurarea concursului pentru numirea în funcţia de inspector judiciar în cadrul Direcţiei de inspecţie pentru procurori;</w:t>
      </w:r>
    </w:p>
    <w:p w14:paraId="7A5CAC46"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sz w:val="26"/>
          <w:szCs w:val="26"/>
        </w:rPr>
      </w:pPr>
      <w:r w:rsidRPr="004A72CD">
        <w:rPr>
          <w:rFonts w:asciiTheme="minorHAnsi" w:hAnsiTheme="minorHAnsi" w:cstheme="minorHAnsi"/>
          <w:b/>
          <w:sz w:val="26"/>
          <w:szCs w:val="26"/>
        </w:rPr>
        <w:t xml:space="preserve">Hotărârea Secției pentru procurori nr. 464/05.03.2024 </w:t>
      </w:r>
      <w:r w:rsidRPr="004A72CD">
        <w:rPr>
          <w:rFonts w:asciiTheme="minorHAnsi" w:hAnsiTheme="minorHAnsi" w:cstheme="minorHAnsi"/>
          <w:sz w:val="26"/>
          <w:szCs w:val="26"/>
        </w:rPr>
        <w:t>pentru aprobarea Regulamentului de ordine interioară al Direcţiei de Investigare a Infracţiunilor de Criminalitate Organizată și Terorism;</w:t>
      </w:r>
    </w:p>
    <w:p w14:paraId="5049E52D"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sz w:val="26"/>
          <w:szCs w:val="26"/>
        </w:rPr>
      </w:pPr>
      <w:r w:rsidRPr="004A72CD">
        <w:rPr>
          <w:rFonts w:asciiTheme="minorHAnsi" w:hAnsiTheme="minorHAnsi" w:cstheme="minorHAnsi"/>
          <w:b/>
          <w:sz w:val="26"/>
          <w:szCs w:val="26"/>
        </w:rPr>
        <w:t xml:space="preserve">Hotărârea Secției pentru procurori nr. 708/21.05.2024 </w:t>
      </w:r>
      <w:r w:rsidRPr="004A72CD">
        <w:rPr>
          <w:rFonts w:asciiTheme="minorHAnsi" w:hAnsiTheme="minorHAnsi" w:cstheme="minorHAnsi"/>
          <w:color w:val="000000" w:themeColor="text1"/>
          <w:sz w:val="26"/>
          <w:szCs w:val="26"/>
        </w:rPr>
        <w:t xml:space="preserve">pentru modificarea Metodologiei privind efectuarea expertizei medicale de specialitate în cazul suspendării din funcţie a procurorilor pentru o altă afecţiune decât boala psihică, </w:t>
      </w:r>
      <w:r w:rsidRPr="004A72CD">
        <w:rPr>
          <w:rFonts w:asciiTheme="minorHAnsi" w:hAnsiTheme="minorHAnsi" w:cstheme="minorHAnsi"/>
          <w:bCs/>
          <w:color w:val="000000"/>
          <w:sz w:val="26"/>
          <w:szCs w:val="26"/>
        </w:rPr>
        <w:t>aprobată prin Hotărârea Secţiei pentru procurori a Consiliului Superior al Magistraturii nr. 852/2023;</w:t>
      </w:r>
    </w:p>
    <w:p w14:paraId="3DE9D0FB"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sz w:val="26"/>
          <w:szCs w:val="26"/>
        </w:rPr>
      </w:pPr>
      <w:r w:rsidRPr="004A72CD">
        <w:rPr>
          <w:rFonts w:asciiTheme="minorHAnsi" w:hAnsiTheme="minorHAnsi" w:cstheme="minorHAnsi"/>
          <w:b/>
          <w:sz w:val="26"/>
          <w:szCs w:val="26"/>
        </w:rPr>
        <w:t xml:space="preserve">Hotărârea Secției pentru procurori nr. 709/21.05.2024 </w:t>
      </w:r>
      <w:r w:rsidRPr="004A72CD">
        <w:rPr>
          <w:rFonts w:asciiTheme="minorHAnsi" w:hAnsiTheme="minorHAnsi" w:cstheme="minorHAnsi"/>
          <w:color w:val="000000" w:themeColor="text1"/>
          <w:sz w:val="26"/>
          <w:szCs w:val="26"/>
        </w:rPr>
        <w:t xml:space="preserve">pentru modificarea Metodologiei privind efectuarea expertizei medicale de specialitate în cazul suspendării din funcţie a procurorilor pentru boală psihică, </w:t>
      </w:r>
      <w:r w:rsidRPr="004A72CD">
        <w:rPr>
          <w:rFonts w:asciiTheme="minorHAnsi" w:hAnsiTheme="minorHAnsi" w:cstheme="minorHAnsi"/>
          <w:bCs/>
          <w:color w:val="000000"/>
          <w:sz w:val="26"/>
          <w:szCs w:val="26"/>
        </w:rPr>
        <w:t>aprobată prin Hotărârea Secţiei pentru procurori a Consiliului Superior al Magistraturii nr. 851/2023;</w:t>
      </w:r>
    </w:p>
    <w:p w14:paraId="4E02FAA9" w14:textId="77777777" w:rsidR="00895FF8" w:rsidRPr="004A72CD"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sz w:val="26"/>
          <w:szCs w:val="26"/>
        </w:rPr>
      </w:pPr>
      <w:r w:rsidRPr="004A72CD">
        <w:rPr>
          <w:rFonts w:asciiTheme="minorHAnsi" w:hAnsiTheme="minorHAnsi" w:cstheme="minorHAnsi"/>
          <w:b/>
          <w:sz w:val="26"/>
          <w:szCs w:val="26"/>
        </w:rPr>
        <w:t xml:space="preserve">Hotărârea Secției pentru procurori nr. 780/04.06.2024 </w:t>
      </w:r>
      <w:r w:rsidRPr="004A72CD">
        <w:rPr>
          <w:rFonts w:asciiTheme="minorHAnsi" w:hAnsiTheme="minorHAnsi" w:cstheme="minorHAnsi"/>
          <w:sz w:val="26"/>
          <w:szCs w:val="26"/>
        </w:rPr>
        <w:t>pentru modificarea şi completarea Regulamentului de ordine interioară al Direcţiei Naţionale Anticorupţie, aprobat prin Hotărârea Secţiei pentru procurori a Consiliului Superior al Magistraturii nr. 1169/2023;</w:t>
      </w:r>
    </w:p>
    <w:p w14:paraId="6356F830" w14:textId="77777777" w:rsidR="00895FF8" w:rsidRPr="00F378CA" w:rsidRDefault="00895FF8">
      <w:pPr>
        <w:numPr>
          <w:ilvl w:val="0"/>
          <w:numId w:val="7"/>
        </w:numPr>
        <w:tabs>
          <w:tab w:val="left" w:pos="993"/>
        </w:tabs>
        <w:spacing w:after="160" w:line="276" w:lineRule="auto"/>
        <w:ind w:left="0" w:firstLine="709"/>
        <w:contextualSpacing/>
        <w:jc w:val="both"/>
        <w:rPr>
          <w:rFonts w:asciiTheme="minorHAnsi" w:hAnsiTheme="minorHAnsi" w:cstheme="minorHAnsi"/>
          <w:bCs/>
          <w:sz w:val="26"/>
          <w:szCs w:val="26"/>
        </w:rPr>
      </w:pPr>
      <w:r w:rsidRPr="004A72CD">
        <w:rPr>
          <w:rFonts w:asciiTheme="minorHAnsi" w:hAnsiTheme="minorHAnsi" w:cstheme="minorHAnsi"/>
          <w:b/>
          <w:sz w:val="26"/>
          <w:szCs w:val="26"/>
        </w:rPr>
        <w:t xml:space="preserve">Hotărârea Secției pentru procurori nr. 1201/08.10.2024 </w:t>
      </w:r>
      <w:r w:rsidRPr="004A72CD">
        <w:rPr>
          <w:rFonts w:asciiTheme="minorHAnsi" w:hAnsiTheme="minorHAnsi" w:cstheme="minorHAnsi"/>
          <w:sz w:val="26"/>
          <w:szCs w:val="26"/>
        </w:rPr>
        <w:t>pentru modificarea şi completarea Regulamentului de ordine interioară al parchetelor, aprobat prin Hotărârea Secţiei pentru procurori a Consiliului Superior al Magistraturii nr. 1106/2023.</w:t>
      </w:r>
    </w:p>
    <w:p w14:paraId="6C9DD175" w14:textId="75D82748" w:rsidR="00F378CA" w:rsidRPr="00F378CA" w:rsidRDefault="00F378CA">
      <w:pPr>
        <w:numPr>
          <w:ilvl w:val="0"/>
          <w:numId w:val="49"/>
        </w:numPr>
        <w:tabs>
          <w:tab w:val="left" w:pos="993"/>
        </w:tabs>
        <w:spacing w:line="276" w:lineRule="auto"/>
        <w:ind w:left="0" w:firstLine="709"/>
        <w:contextualSpacing/>
        <w:jc w:val="both"/>
        <w:rPr>
          <w:rFonts w:ascii="Calibri" w:eastAsia="Calibri" w:hAnsi="Calibri" w:cs="Calibri"/>
          <w:bCs/>
          <w:noProof w:val="0"/>
          <w:sz w:val="26"/>
          <w:szCs w:val="26"/>
        </w:rPr>
      </w:pPr>
      <w:r w:rsidRPr="00F378CA">
        <w:rPr>
          <w:rFonts w:ascii="Calibri" w:eastAsia="Calibri" w:hAnsi="Calibri" w:cs="Calibri"/>
          <w:b/>
          <w:noProof w:val="0"/>
          <w:sz w:val="26"/>
          <w:szCs w:val="26"/>
        </w:rPr>
        <w:t xml:space="preserve">Hotărârea Secției pentru procurori nr. 1674/10.12.2024 </w:t>
      </w:r>
      <w:r w:rsidRPr="00F378CA">
        <w:rPr>
          <w:rFonts w:ascii="Calibri" w:eastAsia="Calibri" w:hAnsi="Calibri" w:cs="Calibri"/>
          <w:noProof w:val="0"/>
          <w:sz w:val="26"/>
          <w:szCs w:val="26"/>
        </w:rPr>
        <w:t>pentru aprobarea Regulamentului privind evaluarea activităţii profesionale a procurorilor.</w:t>
      </w:r>
    </w:p>
    <w:p w14:paraId="1A7C3EA1" w14:textId="77777777" w:rsidR="00895FF8" w:rsidRPr="004A72CD" w:rsidRDefault="00895FF8" w:rsidP="00D51F5A">
      <w:pPr>
        <w:tabs>
          <w:tab w:val="left" w:pos="993"/>
        </w:tabs>
        <w:spacing w:line="276" w:lineRule="auto"/>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ab/>
        <w:t xml:space="preserve">Prin </w:t>
      </w:r>
      <w:r w:rsidRPr="004A72CD">
        <w:rPr>
          <w:rFonts w:asciiTheme="minorHAnsi" w:eastAsiaTheme="minorHAnsi" w:hAnsiTheme="minorHAnsi" w:cstheme="minorHAnsi"/>
          <w:b/>
          <w:bCs/>
          <w:sz w:val="26"/>
          <w:szCs w:val="26"/>
        </w:rPr>
        <w:t>Decizia nr. 129/24.07.2024 a Preşedintelui Consiliului Superior al Magistraturii</w:t>
      </w:r>
      <w:r w:rsidRPr="004A72CD">
        <w:rPr>
          <w:rFonts w:asciiTheme="minorHAnsi" w:eastAsiaTheme="minorHAnsi" w:hAnsiTheme="minorHAnsi" w:cstheme="minorHAnsi"/>
          <w:bCs/>
          <w:sz w:val="26"/>
          <w:szCs w:val="26"/>
        </w:rPr>
        <w:t xml:space="preserve"> a fost aprobat Regulamentul privind evaluarea activităţii profesionale a personalului de specialitate juridică asimilat judecătorilor şi procurorilor din cadrul Consiliului Superior al Magistraturii.</w:t>
      </w:r>
    </w:p>
    <w:p w14:paraId="3A5D56DF" w14:textId="13C8DAF6" w:rsidR="00E933A9" w:rsidRDefault="00895FF8" w:rsidP="00E933A9">
      <w:pPr>
        <w:tabs>
          <w:tab w:val="left" w:pos="993"/>
        </w:tabs>
        <w:spacing w:line="276" w:lineRule="auto"/>
        <w:jc w:val="both"/>
        <w:rPr>
          <w:rFonts w:asciiTheme="minorHAnsi" w:eastAsiaTheme="minorHAnsi" w:hAnsiTheme="minorHAnsi" w:cstheme="minorHAnsi"/>
          <w:sz w:val="26"/>
          <w:szCs w:val="26"/>
        </w:rPr>
      </w:pPr>
      <w:r w:rsidRPr="004A72CD">
        <w:rPr>
          <w:rFonts w:asciiTheme="minorHAnsi" w:eastAsiaTheme="minorHAnsi" w:hAnsiTheme="minorHAnsi" w:cstheme="minorHAnsi"/>
          <w:bCs/>
          <w:sz w:val="26"/>
          <w:szCs w:val="26"/>
        </w:rPr>
        <w:tab/>
        <w:t xml:space="preserve">Prin </w:t>
      </w:r>
      <w:r w:rsidRPr="004A72CD">
        <w:rPr>
          <w:rFonts w:asciiTheme="minorHAnsi" w:eastAsiaTheme="minorHAnsi" w:hAnsiTheme="minorHAnsi" w:cstheme="minorHAnsi"/>
          <w:b/>
          <w:bCs/>
          <w:sz w:val="26"/>
          <w:szCs w:val="26"/>
        </w:rPr>
        <w:t>Decizia nr. 130/25.07.2024 a Preşedintelui Consiliului Superior al Magistraturii</w:t>
      </w:r>
      <w:r w:rsidRPr="004A72CD">
        <w:rPr>
          <w:rFonts w:asciiTheme="minorHAnsi" w:eastAsiaTheme="minorHAnsi" w:hAnsiTheme="minorHAnsi" w:cstheme="minorHAnsi"/>
          <w:bCs/>
          <w:sz w:val="26"/>
          <w:szCs w:val="26"/>
        </w:rPr>
        <w:t xml:space="preserve"> a fost aprobat Regulamentul privind ocuparea unei funcţii publice sau contractuale vacante din cadrul aparatului propriu al Consiliului Superior al Magistraturii, prin transfer, la cerere sau în interesul serviciului.</w:t>
      </w:r>
      <w:r w:rsidR="00E933A9">
        <w:rPr>
          <w:rFonts w:asciiTheme="minorHAnsi" w:eastAsiaTheme="minorHAnsi" w:hAnsiTheme="minorHAnsi" w:cstheme="minorHAnsi"/>
          <w:sz w:val="26"/>
          <w:szCs w:val="26"/>
        </w:rPr>
        <w:br w:type="page"/>
      </w:r>
    </w:p>
    <w:p w14:paraId="4F0AE758" w14:textId="77777777" w:rsidR="00895FF8" w:rsidRPr="004A72CD" w:rsidRDefault="00895FF8" w:rsidP="00D51F5A">
      <w:pPr>
        <w:suppressLineNumbers/>
        <w:suppressAutoHyphens/>
        <w:spacing w:before="240" w:line="276" w:lineRule="auto"/>
        <w:jc w:val="center"/>
        <w:outlineLvl w:val="0"/>
        <w:rPr>
          <w:rFonts w:asciiTheme="minorHAnsi" w:eastAsiaTheme="majorEastAsia" w:hAnsiTheme="minorHAnsi" w:cstheme="minorHAnsi"/>
          <w:b/>
          <w:sz w:val="26"/>
          <w:szCs w:val="26"/>
        </w:rPr>
      </w:pPr>
      <w:bookmarkStart w:id="108" w:name="_Toc187824379"/>
      <w:r w:rsidRPr="004A72CD">
        <w:rPr>
          <w:rFonts w:asciiTheme="minorHAnsi" w:eastAsiaTheme="majorEastAsia" w:hAnsiTheme="minorHAnsi" w:cstheme="minorHAnsi"/>
          <w:b/>
          <w:sz w:val="26"/>
          <w:szCs w:val="26"/>
        </w:rPr>
        <w:lastRenderedPageBreak/>
        <w:t>CAPITOLUL IV</w:t>
      </w:r>
      <w:bookmarkEnd w:id="108"/>
    </w:p>
    <w:p w14:paraId="7059E765" w14:textId="77777777" w:rsidR="00895FF8" w:rsidRPr="004A72CD" w:rsidRDefault="00895FF8" w:rsidP="00D51F5A">
      <w:pPr>
        <w:suppressLineNumbers/>
        <w:suppressAutoHyphens/>
        <w:spacing w:before="240" w:line="276" w:lineRule="auto"/>
        <w:jc w:val="center"/>
        <w:outlineLvl w:val="0"/>
        <w:rPr>
          <w:rFonts w:asciiTheme="minorHAnsi" w:eastAsiaTheme="majorEastAsia" w:hAnsiTheme="minorHAnsi" w:cstheme="minorHAnsi"/>
          <w:b/>
          <w:sz w:val="26"/>
          <w:szCs w:val="26"/>
        </w:rPr>
      </w:pPr>
      <w:bookmarkStart w:id="109" w:name="_Toc187824380"/>
      <w:r w:rsidRPr="004A72CD">
        <w:rPr>
          <w:rFonts w:asciiTheme="minorHAnsi" w:eastAsiaTheme="majorEastAsia" w:hAnsiTheme="minorHAnsi" w:cstheme="minorHAnsi"/>
          <w:b/>
          <w:sz w:val="26"/>
          <w:szCs w:val="26"/>
        </w:rPr>
        <w:t>Activităţi derulate în legătură cu atribuţiile în materie disciplinară</w:t>
      </w:r>
      <w:bookmarkEnd w:id="99"/>
      <w:bookmarkEnd w:id="109"/>
    </w:p>
    <w:p w14:paraId="440EF205" w14:textId="77777777" w:rsidR="00895FF8" w:rsidRPr="004A72CD" w:rsidRDefault="00895FF8" w:rsidP="00D51F5A">
      <w:pPr>
        <w:spacing w:line="276" w:lineRule="auto"/>
        <w:rPr>
          <w:rFonts w:asciiTheme="minorHAnsi" w:eastAsiaTheme="minorHAnsi" w:hAnsiTheme="minorHAnsi" w:cstheme="minorHAnsi"/>
          <w:sz w:val="26"/>
          <w:szCs w:val="26"/>
        </w:rPr>
      </w:pPr>
    </w:p>
    <w:p w14:paraId="0C678C0D" w14:textId="77777777" w:rsidR="00895FF8" w:rsidRPr="00452041" w:rsidRDefault="00895FF8" w:rsidP="001E6E83">
      <w:pPr>
        <w:pStyle w:val="Heading2"/>
        <w:rPr>
          <w:lang w:val="ro-RO"/>
        </w:rPr>
      </w:pPr>
      <w:bookmarkStart w:id="110" w:name="_Toc430867121"/>
      <w:bookmarkStart w:id="111" w:name="_Toc187824381"/>
      <w:r w:rsidRPr="00452041">
        <w:rPr>
          <w:lang w:val="ro-RO"/>
        </w:rPr>
        <w:t>IV.1. Activitatea Secţiilor Consiliului Superior al Magistraturii, ca instanţe de judecată în materie disciplinară</w:t>
      </w:r>
      <w:bookmarkEnd w:id="110"/>
      <w:bookmarkEnd w:id="111"/>
    </w:p>
    <w:p w14:paraId="7B748737" w14:textId="77777777" w:rsidR="00895FF8" w:rsidRPr="004A72CD" w:rsidRDefault="00895FF8" w:rsidP="00D51F5A">
      <w:pPr>
        <w:widowControl w:val="0"/>
        <w:autoSpaceDE w:val="0"/>
        <w:autoSpaceDN w:val="0"/>
        <w:adjustRightInd w:val="0"/>
        <w:spacing w:line="276" w:lineRule="auto"/>
        <w:ind w:firstLine="708"/>
        <w:jc w:val="both"/>
        <w:rPr>
          <w:rFonts w:asciiTheme="minorHAnsi" w:eastAsiaTheme="minorHAnsi" w:hAnsiTheme="minorHAnsi" w:cstheme="minorHAnsi"/>
          <w:b/>
          <w:sz w:val="26"/>
          <w:szCs w:val="26"/>
        </w:rPr>
      </w:pPr>
      <w:r w:rsidRPr="004A72CD">
        <w:rPr>
          <w:rFonts w:asciiTheme="minorHAnsi" w:eastAsiaTheme="minorHAnsi" w:hAnsiTheme="minorHAnsi" w:cstheme="minorHAnsi"/>
          <w:bCs/>
          <w:sz w:val="26"/>
          <w:szCs w:val="26"/>
        </w:rPr>
        <w:t>Potrivit art. 44 din Legea nr. 305/2022 privind Consiliul Superior al Magistraturii, Consiliul îndeplinește, prin secțiile sale, rolul de instanță de judecată în domeniul răspunderii disciplinare a judecătorilor şi a procurorilor, pentru faptele prevăzute de lege ca abateri disciplinare.</w:t>
      </w:r>
    </w:p>
    <w:p w14:paraId="40744789" w14:textId="77777777" w:rsidR="00895FF8" w:rsidRPr="004A72CD" w:rsidRDefault="00895FF8" w:rsidP="00D51F5A">
      <w:pPr>
        <w:numPr>
          <w:ilvl w:val="1"/>
          <w:numId w:val="0"/>
        </w:numPr>
        <w:spacing w:line="276" w:lineRule="auto"/>
        <w:ind w:right="48"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sz w:val="26"/>
          <w:szCs w:val="26"/>
        </w:rPr>
        <w:t xml:space="preserve">Conform art. 51 </w:t>
      </w:r>
      <w:bookmarkStart w:id="112" w:name="_Hlk147479362"/>
      <w:r w:rsidRPr="004A72CD">
        <w:rPr>
          <w:rFonts w:asciiTheme="minorHAnsi" w:eastAsiaTheme="minorHAnsi" w:hAnsiTheme="minorHAnsi" w:cstheme="minorHAnsi"/>
          <w:sz w:val="26"/>
          <w:szCs w:val="26"/>
        </w:rPr>
        <w:t xml:space="preserve">din </w:t>
      </w:r>
      <w:r w:rsidRPr="004A72CD">
        <w:rPr>
          <w:rFonts w:asciiTheme="minorHAnsi" w:eastAsiaTheme="minorHAnsi" w:hAnsiTheme="minorHAnsi" w:cstheme="minorHAnsi"/>
          <w:bCs/>
          <w:sz w:val="26"/>
          <w:szCs w:val="26"/>
        </w:rPr>
        <w:t>Regulamentul de organizare și funcționare a Consiliului Superior al Magistraturii, aprobat prin Hotărârea nr. 122/06.07.2023</w:t>
      </w:r>
      <w:bookmarkEnd w:id="112"/>
      <w:r w:rsidRPr="004A72CD">
        <w:rPr>
          <w:rFonts w:asciiTheme="minorHAnsi" w:eastAsiaTheme="minorHAnsi" w:hAnsiTheme="minorHAnsi" w:cstheme="minorHAnsi"/>
          <w:bCs/>
          <w:sz w:val="26"/>
          <w:szCs w:val="26"/>
        </w:rPr>
        <w:t>, Consiliul îndeplinește, prin Secția pentru judecători, rolul de instanță de judecată în domeniul răspunderii disciplinare a judecătorilor pentru faptele prevăzute la art. 271 din Legea nr. 303/2022 privind statutul judecătorilor şi procurorilor.</w:t>
      </w:r>
    </w:p>
    <w:p w14:paraId="47E924AA" w14:textId="5EE6E82F" w:rsidR="00895FF8" w:rsidRPr="004A72CD" w:rsidRDefault="00895FF8" w:rsidP="00D51F5A">
      <w:pPr>
        <w:numPr>
          <w:ilvl w:val="1"/>
          <w:numId w:val="0"/>
        </w:numPr>
        <w:spacing w:line="276" w:lineRule="auto"/>
        <w:ind w:right="48" w:firstLine="709"/>
        <w:jc w:val="both"/>
        <w:rPr>
          <w:rFonts w:asciiTheme="minorHAnsi" w:eastAsiaTheme="minorHAnsi" w:hAnsiTheme="minorHAnsi" w:cstheme="minorHAnsi"/>
          <w:bCs/>
          <w:sz w:val="26"/>
          <w:szCs w:val="26"/>
        </w:rPr>
      </w:pPr>
      <w:r w:rsidRPr="005403AD">
        <w:rPr>
          <w:rFonts w:asciiTheme="minorHAnsi" w:eastAsiaTheme="minorHAnsi" w:hAnsiTheme="minorHAnsi" w:cstheme="minorHAnsi"/>
          <w:bCs/>
          <w:sz w:val="26"/>
          <w:szCs w:val="26"/>
        </w:rPr>
        <w:t xml:space="preserve">Până la data de </w:t>
      </w:r>
      <w:r w:rsidR="00EC5E10">
        <w:rPr>
          <w:rFonts w:asciiTheme="minorHAnsi" w:eastAsiaTheme="minorHAnsi" w:hAnsiTheme="minorHAnsi" w:cstheme="minorHAnsi"/>
          <w:bCs/>
          <w:sz w:val="26"/>
          <w:szCs w:val="26"/>
        </w:rPr>
        <w:t>31</w:t>
      </w:r>
      <w:r w:rsidRPr="005403AD">
        <w:rPr>
          <w:rFonts w:asciiTheme="minorHAnsi" w:eastAsiaTheme="minorHAnsi" w:hAnsiTheme="minorHAnsi" w:cstheme="minorHAnsi"/>
          <w:bCs/>
          <w:sz w:val="26"/>
          <w:szCs w:val="26"/>
        </w:rPr>
        <w:t xml:space="preserve"> </w:t>
      </w:r>
      <w:r w:rsidR="00EC5E10">
        <w:rPr>
          <w:rFonts w:asciiTheme="minorHAnsi" w:eastAsiaTheme="minorHAnsi" w:hAnsiTheme="minorHAnsi" w:cstheme="minorHAnsi"/>
          <w:bCs/>
          <w:sz w:val="26"/>
          <w:szCs w:val="26"/>
        </w:rPr>
        <w:t>dec</w:t>
      </w:r>
      <w:r w:rsidR="00C83DCD" w:rsidRPr="005403AD">
        <w:rPr>
          <w:rFonts w:asciiTheme="minorHAnsi" w:eastAsiaTheme="minorHAnsi" w:hAnsiTheme="minorHAnsi" w:cstheme="minorHAnsi"/>
          <w:bCs/>
          <w:sz w:val="26"/>
          <w:szCs w:val="26"/>
        </w:rPr>
        <w:t>e</w:t>
      </w:r>
      <w:r w:rsidRPr="005403AD">
        <w:rPr>
          <w:rFonts w:asciiTheme="minorHAnsi" w:eastAsiaTheme="minorHAnsi" w:hAnsiTheme="minorHAnsi" w:cstheme="minorHAnsi"/>
          <w:bCs/>
          <w:sz w:val="26"/>
          <w:szCs w:val="26"/>
        </w:rPr>
        <w:t>mbrie 2024, pe rolul Secției pentru judecători în materie disciplinară s-au înregistrat un număr de 1</w:t>
      </w:r>
      <w:r w:rsidR="00EC5E10">
        <w:rPr>
          <w:rFonts w:asciiTheme="minorHAnsi" w:eastAsiaTheme="minorHAnsi" w:hAnsiTheme="minorHAnsi" w:cstheme="minorHAnsi"/>
          <w:bCs/>
          <w:sz w:val="26"/>
          <w:szCs w:val="26"/>
        </w:rPr>
        <w:t>1</w:t>
      </w:r>
      <w:r w:rsidRPr="005403AD">
        <w:rPr>
          <w:rFonts w:asciiTheme="minorHAnsi" w:eastAsiaTheme="minorHAnsi" w:hAnsiTheme="minorHAnsi" w:cstheme="minorHAnsi"/>
          <w:bCs/>
          <w:sz w:val="26"/>
          <w:szCs w:val="26"/>
        </w:rPr>
        <w:t xml:space="preserve"> dosare, un dosar </w:t>
      </w:r>
      <w:r w:rsidRPr="004A72CD">
        <w:rPr>
          <w:rFonts w:asciiTheme="minorHAnsi" w:eastAsiaTheme="minorHAnsi" w:hAnsiTheme="minorHAnsi" w:cstheme="minorHAnsi"/>
          <w:bCs/>
          <w:sz w:val="26"/>
          <w:szCs w:val="26"/>
        </w:rPr>
        <w:t>având ca obiect suspendarea din funcţie a magistratului până la soluţionarea definitivă a acţiunii disciplinare întemeiate pe dispoziţiile art. 52 alin. (1) din Legea nr. 305/2022, iar 9 dosare având ca obiect acțiuni disciplinare.</w:t>
      </w:r>
    </w:p>
    <w:p w14:paraId="56307C0D" w14:textId="77777777" w:rsidR="00895FF8" w:rsidRPr="004A72CD" w:rsidRDefault="00895FF8" w:rsidP="00D51F5A">
      <w:pPr>
        <w:numPr>
          <w:ilvl w:val="1"/>
          <w:numId w:val="0"/>
        </w:numPr>
        <w:spacing w:line="276" w:lineRule="auto"/>
        <w:ind w:right="48"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Astfel, Secția pentru judecători în materie disciplinară a pronunțat următoarele hotărâri:</w:t>
      </w:r>
    </w:p>
    <w:p w14:paraId="1D13E6F3" w14:textId="04E8D74A" w:rsidR="00895FF8" w:rsidRPr="004A72CD"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Prin Hotărârea nr. 1J din 14 februarie 2024</w:t>
      </w:r>
      <w:r w:rsidR="00BF7CB2" w:rsidRPr="004A72CD">
        <w:rPr>
          <w:rFonts w:asciiTheme="minorHAnsi" w:eastAsiaTheme="minorHAnsi" w:hAnsiTheme="minorHAnsi" w:cstheme="minorHAnsi"/>
          <w:bCs/>
          <w:sz w:val="26"/>
          <w:szCs w:val="26"/>
        </w:rPr>
        <w:t>,</w:t>
      </w:r>
      <w:r w:rsidRPr="004A72CD">
        <w:rPr>
          <w:rFonts w:asciiTheme="minorHAnsi" w:eastAsiaTheme="minorHAnsi" w:hAnsiTheme="minorHAnsi" w:cstheme="minorHAnsi"/>
          <w:bCs/>
          <w:sz w:val="26"/>
          <w:szCs w:val="26"/>
        </w:rPr>
        <w:t xml:space="preserve"> pronunțată în dosarul nr. 22/J/2023, cu majoritate, s-a admis în parte acțiunea disciplinară şi s-a aplicat pârâtei sancțiunea disciplinară constând în „excluderea din magistratură” pentru săvârșirea abaterilor disciplinare prevăzute de art. 271 lit. b), lit. g) teza I şi lit. q) teza I din Legea nr. 303/2022 privind statutul judecătorilor şi procurorilor. Prin aceeași hotărâre, s-a respins acțiunea disciplinară exercitată pentru săvârșirea abaterii disciplinare prevăzute de art. 271 lit. s) teza I din acelaşi act normativ, ca neîntemeiată.</w:t>
      </w:r>
    </w:p>
    <w:p w14:paraId="1F8FC528" w14:textId="23FE0F7D" w:rsidR="00895FF8" w:rsidRPr="004A72CD"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Prin decizia civilă nr. 125 din 13.05.2024</w:t>
      </w:r>
      <w:r w:rsidR="00073AA6" w:rsidRPr="004A72CD">
        <w:rPr>
          <w:rFonts w:asciiTheme="minorHAnsi" w:eastAsiaTheme="minorHAnsi" w:hAnsiTheme="minorHAnsi" w:cstheme="minorHAnsi"/>
          <w:bCs/>
          <w:sz w:val="26"/>
          <w:szCs w:val="26"/>
        </w:rPr>
        <w:t>,</w:t>
      </w:r>
      <w:r w:rsidRPr="004A72CD">
        <w:rPr>
          <w:rFonts w:asciiTheme="minorHAnsi" w:eastAsiaTheme="minorHAnsi" w:hAnsiTheme="minorHAnsi" w:cstheme="minorHAnsi"/>
          <w:bCs/>
          <w:sz w:val="26"/>
          <w:szCs w:val="26"/>
        </w:rPr>
        <w:t xml:space="preserve"> pronunțată de Înalta Curte de Casație şi Justiție s-a admis recursul declarat de pârâtă, s-a casat în parte hotărârea atacată şi s-a aplicat sancţiunea disciplinară constând în „suspendarea din funcţie pe o perioadă de 6 luni” pentru săvârşirea abaterilor disciplinare prevăzute de art. 271 lit. b), lit. g) teza I şi lit. q) teza I din Legea nr. 303/2022 privind statutul judecătorilor şi procurorilor. De asemenea, prin aceeaşi hotărâre, s-au menținut, în rest, celelalte dispoziţii ale hotărârii atacate. S-a dedus din durata sancțiunii disciplinare aplicate prin prezenta decizie durata suspendării din funcţie a recurentei.</w:t>
      </w:r>
    </w:p>
    <w:p w14:paraId="698B50F1" w14:textId="3660A25E" w:rsidR="00895FF8" w:rsidRPr="004A72CD"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Prin Hotărârea nr. 2J din 14 februarie 2024</w:t>
      </w:r>
      <w:r w:rsidR="00073AA6" w:rsidRPr="004A72CD">
        <w:rPr>
          <w:rFonts w:asciiTheme="minorHAnsi" w:eastAsiaTheme="minorHAnsi" w:hAnsiTheme="minorHAnsi" w:cstheme="minorHAnsi"/>
          <w:bCs/>
          <w:sz w:val="26"/>
          <w:szCs w:val="26"/>
        </w:rPr>
        <w:t>,</w:t>
      </w:r>
      <w:r w:rsidRPr="004A72CD">
        <w:rPr>
          <w:rFonts w:asciiTheme="minorHAnsi" w:eastAsiaTheme="minorHAnsi" w:hAnsiTheme="minorHAnsi" w:cstheme="minorHAnsi"/>
          <w:bCs/>
          <w:sz w:val="26"/>
          <w:szCs w:val="26"/>
        </w:rPr>
        <w:t xml:space="preserve"> pronunțată în dosarul nr. 24/J/2023, s-a respins acțiunea disciplinară exercitată pentru săvârșirea abaterii disciplinare prevăzute de art. 271 lit. g) teza I din Legea nr. 303/2022</w:t>
      </w:r>
      <w:r w:rsidR="00C054E5" w:rsidRPr="004A72CD">
        <w:rPr>
          <w:rFonts w:asciiTheme="minorHAnsi" w:eastAsiaTheme="minorHAnsi" w:hAnsiTheme="minorHAnsi" w:cstheme="minorHAnsi"/>
          <w:bCs/>
          <w:sz w:val="26"/>
          <w:szCs w:val="26"/>
        </w:rPr>
        <w:t xml:space="preserve"> privind statutul judecătorilor şi procurorilor</w:t>
      </w:r>
      <w:r w:rsidRPr="004A72CD">
        <w:rPr>
          <w:rFonts w:asciiTheme="minorHAnsi" w:eastAsiaTheme="minorHAnsi" w:hAnsiTheme="minorHAnsi" w:cstheme="minorHAnsi"/>
          <w:bCs/>
          <w:sz w:val="26"/>
          <w:szCs w:val="26"/>
        </w:rPr>
        <w:t>, ca neîntemeiată. Hotărârea este definitivă prin nerecurare.</w:t>
      </w:r>
    </w:p>
    <w:p w14:paraId="34265BA3" w14:textId="77777777" w:rsidR="008B472A" w:rsidRDefault="00895FF8" w:rsidP="008B472A">
      <w:pPr>
        <w:spacing w:line="276" w:lineRule="auto"/>
        <w:ind w:right="43" w:firstLine="709"/>
        <w:jc w:val="both"/>
        <w:rPr>
          <w:rFonts w:asciiTheme="minorHAnsi" w:eastAsiaTheme="minorHAnsi" w:hAnsiTheme="minorHAnsi" w:cstheme="minorHAnsi"/>
          <w:bCs/>
          <w:color w:val="FF0000"/>
          <w:sz w:val="26"/>
          <w:szCs w:val="26"/>
        </w:rPr>
      </w:pPr>
      <w:r w:rsidRPr="004A72CD">
        <w:rPr>
          <w:rFonts w:asciiTheme="minorHAnsi" w:eastAsiaTheme="minorHAnsi" w:hAnsiTheme="minorHAnsi" w:cstheme="minorHAnsi"/>
          <w:bCs/>
          <w:sz w:val="26"/>
          <w:szCs w:val="26"/>
        </w:rPr>
        <w:t xml:space="preserve">Prin Hotărârea nr. 3J din </w:t>
      </w:r>
      <w:r w:rsidR="00806FE1" w:rsidRPr="004A72CD">
        <w:rPr>
          <w:rFonts w:asciiTheme="minorHAnsi" w:eastAsiaTheme="minorHAnsi" w:hAnsiTheme="minorHAnsi" w:cstheme="minorHAnsi"/>
          <w:bCs/>
          <w:sz w:val="26"/>
          <w:szCs w:val="26"/>
        </w:rPr>
        <w:t>0</w:t>
      </w:r>
      <w:r w:rsidRPr="004A72CD">
        <w:rPr>
          <w:rFonts w:asciiTheme="minorHAnsi" w:eastAsiaTheme="minorHAnsi" w:hAnsiTheme="minorHAnsi" w:cstheme="minorHAnsi"/>
          <w:bCs/>
          <w:sz w:val="26"/>
          <w:szCs w:val="26"/>
        </w:rPr>
        <w:t>4 martie 2024</w:t>
      </w:r>
      <w:r w:rsidR="00073AA6" w:rsidRPr="004A72CD">
        <w:rPr>
          <w:rFonts w:asciiTheme="minorHAnsi" w:eastAsiaTheme="minorHAnsi" w:hAnsiTheme="minorHAnsi" w:cstheme="minorHAnsi"/>
          <w:bCs/>
          <w:sz w:val="26"/>
          <w:szCs w:val="26"/>
        </w:rPr>
        <w:t>,</w:t>
      </w:r>
      <w:r w:rsidRPr="004A72CD">
        <w:rPr>
          <w:rFonts w:asciiTheme="minorHAnsi" w:eastAsiaTheme="minorHAnsi" w:hAnsiTheme="minorHAnsi" w:cstheme="minorHAnsi"/>
          <w:bCs/>
          <w:sz w:val="26"/>
          <w:szCs w:val="26"/>
        </w:rPr>
        <w:t xml:space="preserve"> pronunțată în dosarul nr. 17/J/2023, cu majoritate, s-a admis acțiunea disciplinară şi s-a aplicat pârâtei sancțiunea disciplinară constând </w:t>
      </w:r>
      <w:r w:rsidRPr="00526426">
        <w:rPr>
          <w:rFonts w:asciiTheme="minorHAnsi" w:eastAsiaTheme="minorHAnsi" w:hAnsiTheme="minorHAnsi" w:cstheme="minorHAnsi"/>
          <w:bCs/>
          <w:sz w:val="26"/>
          <w:szCs w:val="26"/>
        </w:rPr>
        <w:t xml:space="preserve">în „excluderea din magistratură” pentru săvârșirea abaterilor disciplinare prevăzute de art. 271 lit. b) și lit. s) teza I din Legea nr. 303/2022 privind statutul judecătorilor şi procurorilor. </w:t>
      </w:r>
      <w:bookmarkStart w:id="113" w:name="_Hlk184108578"/>
      <w:r w:rsidR="008B472A" w:rsidRPr="00526426">
        <w:rPr>
          <w:rFonts w:asciiTheme="minorHAnsi" w:eastAsiaTheme="minorHAnsi" w:hAnsiTheme="minorHAnsi" w:cstheme="minorHAnsi"/>
          <w:bCs/>
          <w:sz w:val="26"/>
          <w:szCs w:val="26"/>
        </w:rPr>
        <w:t xml:space="preserve">Prin decizia civilă nr. 265 din 02.12.2024, pronunțată de Înalta Curte de Casație şi Justiție s-a admis </w:t>
      </w:r>
      <w:r w:rsidR="008B472A" w:rsidRPr="00526426">
        <w:rPr>
          <w:rFonts w:asciiTheme="minorHAnsi" w:eastAsiaTheme="minorHAnsi" w:hAnsiTheme="minorHAnsi" w:cstheme="minorHAnsi"/>
          <w:bCs/>
          <w:sz w:val="26"/>
          <w:szCs w:val="26"/>
        </w:rPr>
        <w:lastRenderedPageBreak/>
        <w:t>recursul declarat de pârâtă, s-a casat în parte hotărârea şi, rejudecând, s-a respins acţiunea disciplinară exercitată împotriva pârâtei  pentru săvârşirea abaterii disciplinare prevăzute de art. 271 lit. s) teza I din Legea nr. 303/2022 privind statutul judecătorilor şi procurorilor, ca neîntemeiată. În baza art. 273 alin. (1) lit. a) din Legea nr. 303/2022 privind statutul judecătorilor şi procurorilor, s-a aplicat pârâtei sancţiunea disciplinară constând în „avertisment” pentru săvârşirea abaterii disciplinare prevăzute de art. 271 lit. b) din acelaşi act normativ. S-a admis cererea de intervenţie accesorie formulată de Asociaţia Forumul Judecătorilor din România şi       s-au menţiunut celelalte dispoziţii ale hotărârii atacate.</w:t>
      </w:r>
    </w:p>
    <w:bookmarkEnd w:id="113"/>
    <w:p w14:paraId="44D622E8" w14:textId="3E96530F" w:rsidR="009E3229" w:rsidRPr="005403AD" w:rsidRDefault="009E3229" w:rsidP="009E3229">
      <w:pPr>
        <w:spacing w:line="276" w:lineRule="auto"/>
        <w:ind w:right="43" w:firstLine="709"/>
        <w:jc w:val="both"/>
        <w:rPr>
          <w:rFonts w:asciiTheme="minorHAnsi" w:eastAsiaTheme="minorHAnsi" w:hAnsiTheme="minorHAnsi" w:cstheme="minorHAnsi"/>
          <w:bCs/>
          <w:sz w:val="26"/>
          <w:szCs w:val="26"/>
        </w:rPr>
      </w:pPr>
      <w:r>
        <w:rPr>
          <w:rFonts w:asciiTheme="minorHAnsi" w:eastAsiaTheme="minorHAnsi" w:hAnsiTheme="minorHAnsi" w:cstheme="minorHAnsi"/>
          <w:bCs/>
          <w:sz w:val="26"/>
          <w:szCs w:val="26"/>
        </w:rPr>
        <w:t xml:space="preserve">Prin Hotărârea nr. 4J din 04 martie 2024, pronunțată în dosarul nr. 27/J/2023, cu majoritate, s-a admis acțiunea disciplinară şi s-a aplicat pârâtei sancțiunea disciplinară constând în „diminuarea indemnizației de încadrare lunare brute cu 25% pe o perioadă de 3 luni” pentru săvârșirea abaterii disciplinare prevăzute de art. 271 lit. g) teza I din Legea nr. 303/2022 privind statutul judecătorilor şi procurorilor. </w:t>
      </w:r>
      <w:r w:rsidRPr="005403AD">
        <w:rPr>
          <w:rFonts w:asciiTheme="minorHAnsi" w:eastAsiaTheme="minorHAnsi" w:hAnsiTheme="minorHAnsi" w:cstheme="minorHAnsi"/>
          <w:bCs/>
          <w:sz w:val="26"/>
          <w:szCs w:val="26"/>
        </w:rPr>
        <w:t>Prin decizia civilă nr. 242 din 04.11.2024, pronunțată de Înalta Curte de Casație şi Justiție s-a admis recursul declarat</w:t>
      </w:r>
      <w:r w:rsidR="001C203B" w:rsidRPr="005403AD">
        <w:rPr>
          <w:rFonts w:asciiTheme="minorHAnsi" w:eastAsiaTheme="minorHAnsi" w:hAnsiTheme="minorHAnsi" w:cstheme="minorHAnsi"/>
          <w:bCs/>
          <w:sz w:val="26"/>
          <w:szCs w:val="26"/>
        </w:rPr>
        <w:t xml:space="preserve"> de</w:t>
      </w:r>
      <w:r w:rsidRPr="005403AD">
        <w:rPr>
          <w:rFonts w:asciiTheme="minorHAnsi" w:eastAsiaTheme="minorHAnsi" w:hAnsiTheme="minorHAnsi" w:cstheme="minorHAnsi"/>
          <w:bCs/>
          <w:sz w:val="26"/>
          <w:szCs w:val="26"/>
        </w:rPr>
        <w:t xml:space="preserve"> pârâtă, s-a casat în parte hotărârea şi, rejudecând, s-a înlocuit sancţiunea disciplinară constând în „diminuarea indemnizației de încadrare lunare brute cu 25% pe o perioadă de 3 luni” cu sancţiunea disciplinară a „avertismentului” pentru săvârşirea abaterii disciplinare prevăzute de art. 271 lit. g) teza I din Legea nr. 303/2022 privind statutul judecătorilor şi procurorilor.</w:t>
      </w:r>
    </w:p>
    <w:p w14:paraId="6A57605A" w14:textId="6F003B47" w:rsidR="00895FF8" w:rsidRPr="004A72CD"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Prin Hotărârea nr. 5J din 27 martie 2024 pronunțată</w:t>
      </w:r>
      <w:r w:rsidR="00073AA6" w:rsidRPr="004A72CD">
        <w:rPr>
          <w:rFonts w:asciiTheme="minorHAnsi" w:eastAsiaTheme="minorHAnsi" w:hAnsiTheme="minorHAnsi" w:cstheme="minorHAnsi"/>
          <w:bCs/>
          <w:sz w:val="26"/>
          <w:szCs w:val="26"/>
        </w:rPr>
        <w:t>,</w:t>
      </w:r>
      <w:r w:rsidRPr="004A72CD">
        <w:rPr>
          <w:rFonts w:asciiTheme="minorHAnsi" w:eastAsiaTheme="minorHAnsi" w:hAnsiTheme="minorHAnsi" w:cstheme="minorHAnsi"/>
          <w:bCs/>
          <w:sz w:val="26"/>
          <w:szCs w:val="26"/>
        </w:rPr>
        <w:t xml:space="preserve"> în dosarul nr. 31/J/2023, cu unanimitate, s-a respins acțiunea disciplinară împotriva unuia dintre pârâţi pentru săvârșirea abaterii disciplinare prevăzute de art. 271 lit. l) din Legea nr. 303/2022 privind statutul judecătorilor și procurorilor, ca neîntemeiată. De asemenea, prin aceeași hotărâre, cu majoritate, s-a admis acțiunea disciplinară faţă de ceilalți pârâți şi s-a aplicat sancțiunea disciplinară constând în „avertisment” pentru săvârșirea abaterilor disciplinare prevăzute de art. 271 lit. b) și lit. l) din același act normativ. Prin decizia civilă nr. 182 din 09.09.2024</w:t>
      </w:r>
      <w:r w:rsidR="00073AA6" w:rsidRPr="004A72CD">
        <w:rPr>
          <w:rFonts w:asciiTheme="minorHAnsi" w:eastAsiaTheme="minorHAnsi" w:hAnsiTheme="minorHAnsi" w:cstheme="minorHAnsi"/>
          <w:bCs/>
          <w:sz w:val="26"/>
          <w:szCs w:val="26"/>
        </w:rPr>
        <w:t>,</w:t>
      </w:r>
      <w:r w:rsidRPr="004A72CD">
        <w:rPr>
          <w:rFonts w:asciiTheme="minorHAnsi" w:eastAsiaTheme="minorHAnsi" w:hAnsiTheme="minorHAnsi" w:cstheme="minorHAnsi"/>
          <w:bCs/>
          <w:sz w:val="26"/>
          <w:szCs w:val="26"/>
        </w:rPr>
        <w:t xml:space="preserve"> pronunțată de Înalta Curte de Casație şi Justiție s-a respins, ca nefondat, recursul declarat de unul dintre pârâţi şi s-a admis recursul declarat de un alt pârât, s-a casat în parte hotărârea şi, rejudecând, s-a respins acţiunea disciplinară exercitată de reclamantă împotriva unuia dintre pârâţi pentru săvârşirea abaterii disciplinare prevăzute de art. 271 lit. b) din Legea nr. 303/2022 privind statutul judecătorilor şi procurorilor, ca neîntemeiată. S-au menţinut celelalte dispoziţii ale hotărârii atacate.</w:t>
      </w:r>
    </w:p>
    <w:p w14:paraId="3258A99D" w14:textId="77777777" w:rsidR="00767C3C" w:rsidRDefault="00895FF8" w:rsidP="00767C3C">
      <w:pPr>
        <w:spacing w:line="276" w:lineRule="auto"/>
        <w:ind w:right="43" w:firstLine="709"/>
        <w:jc w:val="both"/>
        <w:rPr>
          <w:rFonts w:asciiTheme="minorHAnsi" w:eastAsiaTheme="minorHAnsi" w:hAnsiTheme="minorHAnsi" w:cstheme="minorHAnsi"/>
          <w:bCs/>
          <w:color w:val="FF0000"/>
          <w:sz w:val="26"/>
          <w:szCs w:val="26"/>
        </w:rPr>
      </w:pPr>
      <w:r w:rsidRPr="004A72CD">
        <w:rPr>
          <w:rFonts w:asciiTheme="minorHAnsi" w:eastAsiaTheme="minorHAnsi" w:hAnsiTheme="minorHAnsi" w:cstheme="minorHAnsi"/>
          <w:bCs/>
          <w:sz w:val="26"/>
          <w:szCs w:val="26"/>
        </w:rPr>
        <w:t>Prin Hotărârea nr. 6J din 27 martie 2024</w:t>
      </w:r>
      <w:r w:rsidR="00073AA6" w:rsidRPr="004A72CD">
        <w:rPr>
          <w:rFonts w:asciiTheme="minorHAnsi" w:eastAsiaTheme="minorHAnsi" w:hAnsiTheme="minorHAnsi" w:cstheme="minorHAnsi"/>
          <w:bCs/>
          <w:sz w:val="26"/>
          <w:szCs w:val="26"/>
        </w:rPr>
        <w:t>,</w:t>
      </w:r>
      <w:r w:rsidRPr="004A72CD">
        <w:rPr>
          <w:rFonts w:asciiTheme="minorHAnsi" w:eastAsiaTheme="minorHAnsi" w:hAnsiTheme="minorHAnsi" w:cstheme="minorHAnsi"/>
          <w:bCs/>
          <w:sz w:val="26"/>
          <w:szCs w:val="26"/>
        </w:rPr>
        <w:t xml:space="preserve"> pronunțată în dosarul nr. 20/J/2023, cu majoritate, s-a admis acțiunea disciplinară şi s-a aplicat pârâtul</w:t>
      </w:r>
      <w:r w:rsidRPr="00526426">
        <w:rPr>
          <w:rFonts w:asciiTheme="minorHAnsi" w:eastAsiaTheme="minorHAnsi" w:hAnsiTheme="minorHAnsi" w:cstheme="minorHAnsi"/>
          <w:bCs/>
          <w:sz w:val="26"/>
          <w:szCs w:val="26"/>
        </w:rPr>
        <w:t xml:space="preserve">ui sancțiunea disciplinară constând în „avertisment” pentru săvârșirea abaterilor disciplinare prevăzute de art. 271 lit. g) teza I și art. 271 lit. q) teza I din Legea nr. 303/2022 privind statutul judecătorilor şi procurorilor. </w:t>
      </w:r>
      <w:r w:rsidR="00767C3C" w:rsidRPr="00526426">
        <w:rPr>
          <w:rFonts w:asciiTheme="minorHAnsi" w:eastAsiaTheme="minorHAnsi" w:hAnsiTheme="minorHAnsi" w:cstheme="minorHAnsi"/>
          <w:bCs/>
          <w:sz w:val="26"/>
          <w:szCs w:val="26"/>
        </w:rPr>
        <w:t>Prin decizia civilă nr. 268 din 02.12.2024, pronunțată de Înalta Curte de Casație şi Justiție s-a admis recursul declarat de pârât, s-a casat hotărârea atacată şi, rejudecând, s-a respins acţiunea disciplinară exercitată împotriva pârâtului pentru săvârşirea abaterilor disciplinare prevăzute de art. 271 lit. g) teza I şi lit. q) teza I din Legea nr. 303/2022 privind statutul judecătorilor şi procurorilor, ca neîntemeiată.</w:t>
      </w:r>
    </w:p>
    <w:p w14:paraId="3974E844" w14:textId="77777777" w:rsidR="00767C3C" w:rsidRPr="00071566" w:rsidRDefault="00895FF8" w:rsidP="00767C3C">
      <w:pPr>
        <w:spacing w:line="276" w:lineRule="auto"/>
        <w:ind w:right="43" w:firstLine="709"/>
        <w:jc w:val="both"/>
        <w:rPr>
          <w:rFonts w:asciiTheme="minorHAnsi" w:eastAsiaTheme="minorHAnsi" w:hAnsiTheme="minorHAnsi" w:cstheme="minorHAnsi"/>
          <w:bCs/>
          <w:color w:val="FF0000"/>
          <w:sz w:val="26"/>
          <w:szCs w:val="26"/>
        </w:rPr>
      </w:pPr>
      <w:r w:rsidRPr="004A72CD">
        <w:rPr>
          <w:rFonts w:asciiTheme="minorHAnsi" w:eastAsiaTheme="minorHAnsi" w:hAnsiTheme="minorHAnsi" w:cstheme="minorHAnsi"/>
          <w:bCs/>
          <w:sz w:val="26"/>
          <w:szCs w:val="26"/>
        </w:rPr>
        <w:t>Prin Hotărârea nr. 7J din 27 martie 2024</w:t>
      </w:r>
      <w:r w:rsidR="00073AA6" w:rsidRPr="004A72CD">
        <w:rPr>
          <w:rFonts w:asciiTheme="minorHAnsi" w:eastAsiaTheme="minorHAnsi" w:hAnsiTheme="minorHAnsi" w:cstheme="minorHAnsi"/>
          <w:bCs/>
          <w:sz w:val="26"/>
          <w:szCs w:val="26"/>
        </w:rPr>
        <w:t>,</w:t>
      </w:r>
      <w:r w:rsidRPr="004A72CD">
        <w:rPr>
          <w:rFonts w:asciiTheme="minorHAnsi" w:eastAsiaTheme="minorHAnsi" w:hAnsiTheme="minorHAnsi" w:cstheme="minorHAnsi"/>
          <w:bCs/>
          <w:sz w:val="26"/>
          <w:szCs w:val="26"/>
        </w:rPr>
        <w:t xml:space="preserve"> pronunțată în dosarul nr. 25/J/2023, cu majoritate, s-au admis acțiunile disciplinare conexate şi s-a aplicat pârâtei sancțiunea disciplinară constând în „diminuarea indemnizației de încadrare lunare brute cu 15% pe o perioadă de 6 luni” pentru săvârșirea abaterilor disciplinare prevăzute de art. 271 lit. g) teza I, lit. q) teza I, lit. n) şi lit. </w:t>
      </w:r>
      <w:r w:rsidRPr="004A72CD">
        <w:rPr>
          <w:rFonts w:asciiTheme="minorHAnsi" w:eastAsiaTheme="minorHAnsi" w:hAnsiTheme="minorHAnsi" w:cstheme="minorHAnsi"/>
          <w:bCs/>
          <w:sz w:val="26"/>
          <w:szCs w:val="26"/>
        </w:rPr>
        <w:lastRenderedPageBreak/>
        <w:t>s) teza a II-a din Legea nr. 303/2022 privind statutul judecătorilor şi pr</w:t>
      </w:r>
      <w:r w:rsidRPr="00526426">
        <w:rPr>
          <w:rFonts w:asciiTheme="minorHAnsi" w:eastAsiaTheme="minorHAnsi" w:hAnsiTheme="minorHAnsi" w:cstheme="minorHAnsi"/>
          <w:bCs/>
          <w:sz w:val="26"/>
          <w:szCs w:val="26"/>
        </w:rPr>
        <w:t xml:space="preserve">ocurorilor. </w:t>
      </w:r>
      <w:r w:rsidR="00767C3C" w:rsidRPr="00526426">
        <w:rPr>
          <w:rFonts w:asciiTheme="minorHAnsi" w:eastAsiaTheme="minorHAnsi" w:hAnsiTheme="minorHAnsi" w:cstheme="minorHAnsi"/>
          <w:bCs/>
          <w:sz w:val="26"/>
          <w:szCs w:val="26"/>
        </w:rPr>
        <w:t>Prin decizia civilă nr. 256 din 02.12.2024, pronunțată de Înalta Curte de Casație şi Justiție s-a admis recursul declarat de pârâtă, s-a casat în parte hotărârea şi, rejudecând, s-a respins acţiunea disciplinară exercitată împotriva pârâtei  pentru săvârşirea abaterii disciplinare prevăzute de art. 271 lit. n) teza I din Legea nr. 303/2022 privind statutul judecătorilor şi procurorilor, ca neîntemeiată. S-a înlocuit sancţiunea disciplinară constând în „diminuarea indemnizaţiei de încadrare lunare brute cu 25% pe o perioadă de 6 luni” cu sancţiunea disciplinară „avertisment” şi s-au menţiunut celelalte dispoziţii ale hotărârii atacate.</w:t>
      </w:r>
    </w:p>
    <w:p w14:paraId="75FBD02B" w14:textId="54FF4C66" w:rsidR="00895FF8" w:rsidRPr="004A72CD"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Prin Hotărârea nr. 8J din 24 aprilie 2024 pronunţată</w:t>
      </w:r>
      <w:r w:rsidR="00073AA6" w:rsidRPr="004A72CD">
        <w:rPr>
          <w:rFonts w:asciiTheme="minorHAnsi" w:eastAsiaTheme="minorHAnsi" w:hAnsiTheme="minorHAnsi" w:cstheme="minorHAnsi"/>
          <w:bCs/>
          <w:sz w:val="26"/>
          <w:szCs w:val="26"/>
        </w:rPr>
        <w:t>,</w:t>
      </w:r>
      <w:r w:rsidRPr="004A72CD">
        <w:rPr>
          <w:rFonts w:asciiTheme="minorHAnsi" w:eastAsiaTheme="minorHAnsi" w:hAnsiTheme="minorHAnsi" w:cstheme="minorHAnsi"/>
          <w:bCs/>
          <w:sz w:val="26"/>
          <w:szCs w:val="26"/>
        </w:rPr>
        <w:t xml:space="preserve"> în dosarul nr. 3/J/2024, s-a respins propunerea privind suspendarea din funcție, ca neîntemeiată.</w:t>
      </w:r>
    </w:p>
    <w:p w14:paraId="586DEE44" w14:textId="20C80C12" w:rsidR="00895FF8" w:rsidRPr="004A72CD"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 xml:space="preserve">Prin Hotărârea nr. 9J din </w:t>
      </w:r>
      <w:r w:rsidR="00806FE1" w:rsidRPr="004A72CD">
        <w:rPr>
          <w:rFonts w:asciiTheme="minorHAnsi" w:eastAsiaTheme="minorHAnsi" w:hAnsiTheme="minorHAnsi" w:cstheme="minorHAnsi"/>
          <w:bCs/>
          <w:sz w:val="26"/>
          <w:szCs w:val="26"/>
        </w:rPr>
        <w:t>0</w:t>
      </w:r>
      <w:r w:rsidRPr="004A72CD">
        <w:rPr>
          <w:rFonts w:asciiTheme="minorHAnsi" w:eastAsiaTheme="minorHAnsi" w:hAnsiTheme="minorHAnsi" w:cstheme="minorHAnsi"/>
          <w:bCs/>
          <w:sz w:val="26"/>
          <w:szCs w:val="26"/>
        </w:rPr>
        <w:t>5 iunie 2024</w:t>
      </w:r>
      <w:r w:rsidR="00073AA6" w:rsidRPr="004A72CD">
        <w:rPr>
          <w:rFonts w:asciiTheme="minorHAnsi" w:eastAsiaTheme="minorHAnsi" w:hAnsiTheme="minorHAnsi" w:cstheme="minorHAnsi"/>
          <w:bCs/>
          <w:sz w:val="26"/>
          <w:szCs w:val="26"/>
        </w:rPr>
        <w:t>,</w:t>
      </w:r>
      <w:r w:rsidRPr="004A72CD">
        <w:rPr>
          <w:rFonts w:asciiTheme="minorHAnsi" w:eastAsiaTheme="minorHAnsi" w:hAnsiTheme="minorHAnsi" w:cstheme="minorHAnsi"/>
          <w:bCs/>
          <w:sz w:val="26"/>
          <w:szCs w:val="26"/>
        </w:rPr>
        <w:t xml:space="preserve"> pronunțată în dosarul nr. 1/J/2024, cu majoritate,</w:t>
      </w:r>
      <w:r w:rsidR="00D30D28" w:rsidRPr="004A72CD">
        <w:rPr>
          <w:rFonts w:asciiTheme="minorHAnsi" w:eastAsiaTheme="minorHAnsi" w:hAnsiTheme="minorHAnsi" w:cstheme="minorHAnsi"/>
          <w:bCs/>
          <w:sz w:val="26"/>
          <w:szCs w:val="26"/>
        </w:rPr>
        <w:t xml:space="preserve">  </w:t>
      </w:r>
      <w:r w:rsidRPr="004A72CD">
        <w:rPr>
          <w:rFonts w:asciiTheme="minorHAnsi" w:eastAsiaTheme="minorHAnsi" w:hAnsiTheme="minorHAnsi" w:cstheme="minorHAnsi"/>
          <w:bCs/>
          <w:sz w:val="26"/>
          <w:szCs w:val="26"/>
        </w:rPr>
        <w:t xml:space="preserve"> s-a admis acțiunea disciplinară şi s-a aplicat pârâtului sancțiunea disciplinară constând în „diminuarea indemnizației de încadrare lunare brute cu 25% pe o perioadă de 1 an” pentru săvârșirea abaterilor disciplinare prevăzute de art. 271 lit. a) şi lit. m) din Legea nr. 303/2022 privind statutul judecătorilor şi procurorilor. Hotărârea nu este definitivă.</w:t>
      </w:r>
    </w:p>
    <w:p w14:paraId="0C5A9D78" w14:textId="3583BFFE" w:rsidR="00895FF8" w:rsidRPr="004A72CD"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 xml:space="preserve">Prin Hotărârea nr. 10J din </w:t>
      </w:r>
      <w:r w:rsidR="00806FE1" w:rsidRPr="004A72CD">
        <w:rPr>
          <w:rFonts w:asciiTheme="minorHAnsi" w:eastAsiaTheme="minorHAnsi" w:hAnsiTheme="minorHAnsi" w:cstheme="minorHAnsi"/>
          <w:bCs/>
          <w:sz w:val="26"/>
          <w:szCs w:val="26"/>
        </w:rPr>
        <w:t>0</w:t>
      </w:r>
      <w:r w:rsidRPr="004A72CD">
        <w:rPr>
          <w:rFonts w:asciiTheme="minorHAnsi" w:eastAsiaTheme="minorHAnsi" w:hAnsiTheme="minorHAnsi" w:cstheme="minorHAnsi"/>
          <w:bCs/>
          <w:sz w:val="26"/>
          <w:szCs w:val="26"/>
        </w:rPr>
        <w:t>5 iunie 2024</w:t>
      </w:r>
      <w:r w:rsidR="00073AA6" w:rsidRPr="004A72CD">
        <w:rPr>
          <w:rFonts w:asciiTheme="minorHAnsi" w:eastAsiaTheme="minorHAnsi" w:hAnsiTheme="minorHAnsi" w:cstheme="minorHAnsi"/>
          <w:bCs/>
          <w:sz w:val="26"/>
          <w:szCs w:val="26"/>
        </w:rPr>
        <w:t>,</w:t>
      </w:r>
      <w:r w:rsidRPr="004A72CD">
        <w:rPr>
          <w:rFonts w:asciiTheme="minorHAnsi" w:eastAsiaTheme="minorHAnsi" w:hAnsiTheme="minorHAnsi" w:cstheme="minorHAnsi"/>
          <w:bCs/>
          <w:sz w:val="26"/>
          <w:szCs w:val="26"/>
        </w:rPr>
        <w:t xml:space="preserve"> pronunțată în dosarul nr. 2/J/2024, s-a admis acțiunea disciplinară şi s-a aplicat pârâtului sancțiunea disciplinară constând în „mutarea disciplinară pentru o perioadă efectivă de trei ani la Tribunalul ....” pentru săvârșirea abaterii disciplinare prevăzute de art. 271 lit. q) teza I din Legea nr. 303/2022 privind statutul judecătorilor şi procurorilor. Hotărârea este definitivă prin nerecurare.</w:t>
      </w:r>
    </w:p>
    <w:p w14:paraId="0B57B440" w14:textId="7D81E6A3" w:rsidR="00895FF8" w:rsidRPr="004A72CD" w:rsidRDefault="00895FF8" w:rsidP="00D51F5A">
      <w:pPr>
        <w:spacing w:line="276" w:lineRule="auto"/>
        <w:ind w:right="43" w:firstLine="709"/>
        <w:jc w:val="both"/>
        <w:rPr>
          <w:rFonts w:asciiTheme="minorHAnsi" w:eastAsiaTheme="minorHAnsi" w:hAnsiTheme="minorHAnsi" w:cstheme="minorHAnsi"/>
          <w:bCs/>
          <w:sz w:val="26"/>
          <w:szCs w:val="26"/>
          <w:highlight w:val="yellow"/>
        </w:rPr>
      </w:pPr>
      <w:r w:rsidRPr="004A72CD">
        <w:rPr>
          <w:rFonts w:asciiTheme="minorHAnsi" w:eastAsiaTheme="minorHAnsi" w:hAnsiTheme="minorHAnsi" w:cstheme="minorHAnsi"/>
          <w:bCs/>
          <w:sz w:val="26"/>
          <w:szCs w:val="26"/>
        </w:rPr>
        <w:t>Prin Hotărârea nr. 11J din 18 iunie 2024</w:t>
      </w:r>
      <w:r w:rsidR="00073AA6" w:rsidRPr="004A72CD">
        <w:rPr>
          <w:rFonts w:asciiTheme="minorHAnsi" w:eastAsiaTheme="minorHAnsi" w:hAnsiTheme="minorHAnsi" w:cstheme="minorHAnsi"/>
          <w:bCs/>
          <w:sz w:val="26"/>
          <w:szCs w:val="26"/>
        </w:rPr>
        <w:t>,</w:t>
      </w:r>
      <w:r w:rsidRPr="004A72CD">
        <w:rPr>
          <w:rFonts w:asciiTheme="minorHAnsi" w:eastAsiaTheme="minorHAnsi" w:hAnsiTheme="minorHAnsi" w:cstheme="minorHAnsi"/>
          <w:bCs/>
          <w:sz w:val="26"/>
          <w:szCs w:val="26"/>
        </w:rPr>
        <w:t xml:space="preserve"> pronunţată în dosarul nr. 30/J/2023, cu majoritate, s-a admis acţiunea disciplinară şi s-a aplicat pârâtei sancţiunea disciplinară constând în „suspendarea din funcție pe o perioadă de 6 luni” pentru săvârşirea abaterilor disciplinare prevăzute de art. 271 lit. b) și lit. s) teza I din Legea nr. 303/2022 privind statutul judecătorilor şi procurorilor.</w:t>
      </w:r>
      <w:r w:rsidRPr="004A72CD">
        <w:rPr>
          <w:rFonts w:asciiTheme="minorHAnsi" w:eastAsiaTheme="minorHAnsi" w:hAnsiTheme="minorHAnsi" w:cstheme="minorHAnsi"/>
          <w:sz w:val="26"/>
          <w:szCs w:val="26"/>
        </w:rPr>
        <w:t xml:space="preserve"> </w:t>
      </w:r>
      <w:r w:rsidRPr="004A72CD">
        <w:rPr>
          <w:rFonts w:asciiTheme="minorHAnsi" w:eastAsiaTheme="minorHAnsi" w:hAnsiTheme="minorHAnsi" w:cstheme="minorHAnsi"/>
          <w:bCs/>
          <w:sz w:val="26"/>
          <w:szCs w:val="26"/>
        </w:rPr>
        <w:t>Prin decizia civilă nr. 211 din 14.10.2024</w:t>
      </w:r>
      <w:r w:rsidR="00327FA5" w:rsidRPr="004A72CD">
        <w:rPr>
          <w:rFonts w:asciiTheme="minorHAnsi" w:eastAsiaTheme="minorHAnsi" w:hAnsiTheme="minorHAnsi" w:cstheme="minorHAnsi"/>
          <w:bCs/>
          <w:sz w:val="26"/>
          <w:szCs w:val="26"/>
        </w:rPr>
        <w:t>,</w:t>
      </w:r>
      <w:r w:rsidRPr="004A72CD">
        <w:rPr>
          <w:rFonts w:asciiTheme="minorHAnsi" w:eastAsiaTheme="minorHAnsi" w:hAnsiTheme="minorHAnsi" w:cstheme="minorHAnsi"/>
          <w:bCs/>
          <w:sz w:val="26"/>
          <w:szCs w:val="26"/>
        </w:rPr>
        <w:t xml:space="preserve"> pronunțată de Înalta Curte de Casație şi Justiție s-a admis recursul declarat de pârâtă, s-a casat în parte hotărârea atacată şi, rejudecând,  s-a respins acţiunea disciplinară pentru săvârşirea abaterii disciplinare prevăzute de art. 271 lit. s) teza I din Legea nr. 303/2022 privind statutul judecătorilor şi procurorilor, ca neîntemeiată. În baza art. 273 alin. (1) lit. b) din Legea nr. 303/2022 privind statutul judecătorilor şi procurorilor, s-a aplicat pârâtei sancţiunea disciplinară constând în „diminuarea indemnizaţiei de încadrare brute lunare cu 10% pe o perioadă de 3 luni” pentru săvârşirea abaterii disciplinare prevăzute de art. 271 lit. b) din acelaşi act normativ. S-au menţinut celelalte dispoziţii ale hotărârii atacate.</w:t>
      </w:r>
    </w:p>
    <w:p w14:paraId="3EAAC2CF" w14:textId="5413AAF7" w:rsidR="00895FF8" w:rsidRPr="004A72CD"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 xml:space="preserve">Prin Hotărârea nr. 12J din </w:t>
      </w:r>
      <w:r w:rsidR="00806FE1" w:rsidRPr="004A72CD">
        <w:rPr>
          <w:rFonts w:asciiTheme="minorHAnsi" w:eastAsiaTheme="minorHAnsi" w:hAnsiTheme="minorHAnsi" w:cstheme="minorHAnsi"/>
          <w:bCs/>
          <w:sz w:val="26"/>
          <w:szCs w:val="26"/>
        </w:rPr>
        <w:t>0</w:t>
      </w:r>
      <w:r w:rsidRPr="004A72CD">
        <w:rPr>
          <w:rFonts w:asciiTheme="minorHAnsi" w:eastAsiaTheme="minorHAnsi" w:hAnsiTheme="minorHAnsi" w:cstheme="minorHAnsi"/>
          <w:bCs/>
          <w:sz w:val="26"/>
          <w:szCs w:val="26"/>
        </w:rPr>
        <w:t>9 octombrie 2024</w:t>
      </w:r>
      <w:r w:rsidR="00073AA6" w:rsidRPr="004A72CD">
        <w:rPr>
          <w:rFonts w:asciiTheme="minorHAnsi" w:eastAsiaTheme="minorHAnsi" w:hAnsiTheme="minorHAnsi" w:cstheme="minorHAnsi"/>
          <w:bCs/>
          <w:sz w:val="26"/>
          <w:szCs w:val="26"/>
        </w:rPr>
        <w:t>,</w:t>
      </w:r>
      <w:r w:rsidRPr="004A72CD">
        <w:rPr>
          <w:rFonts w:asciiTheme="minorHAnsi" w:eastAsiaTheme="minorHAnsi" w:hAnsiTheme="minorHAnsi" w:cstheme="minorHAnsi"/>
          <w:bCs/>
          <w:sz w:val="26"/>
          <w:szCs w:val="26"/>
        </w:rPr>
        <w:t xml:space="preserve"> pronunțată în dosarul nr. 4/J/2024, s-a admis acțiunea disciplinară şi s-a aplicat pârâtului sancțiunea disciplinară constând în „excluderea din magistratură” pentru săvârșirea abaterilor disciplinare prevăzute de art. 271 lit. g) teza I, lit. j), lit. q) teza I și lit. s) teza a II-a din Legea nr. 303/2022 privind statutul judecătorilor şi procurorilor. Hotărârea nu este definitivă.</w:t>
      </w:r>
    </w:p>
    <w:p w14:paraId="38004495" w14:textId="3B13B134" w:rsidR="00895FF8"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 xml:space="preserve">Prin Hotărârea nr. 13J din </w:t>
      </w:r>
      <w:r w:rsidR="006812AE" w:rsidRPr="004A72CD">
        <w:rPr>
          <w:rFonts w:asciiTheme="minorHAnsi" w:eastAsiaTheme="minorHAnsi" w:hAnsiTheme="minorHAnsi" w:cstheme="minorHAnsi"/>
          <w:bCs/>
          <w:sz w:val="26"/>
          <w:szCs w:val="26"/>
        </w:rPr>
        <w:t>0</w:t>
      </w:r>
      <w:r w:rsidRPr="004A72CD">
        <w:rPr>
          <w:rFonts w:asciiTheme="minorHAnsi" w:eastAsiaTheme="minorHAnsi" w:hAnsiTheme="minorHAnsi" w:cstheme="minorHAnsi"/>
          <w:bCs/>
          <w:sz w:val="26"/>
          <w:szCs w:val="26"/>
        </w:rPr>
        <w:t>9 octombrie 2024</w:t>
      </w:r>
      <w:r w:rsidR="00327FA5" w:rsidRPr="004A72CD">
        <w:rPr>
          <w:rFonts w:asciiTheme="minorHAnsi" w:eastAsiaTheme="minorHAnsi" w:hAnsiTheme="minorHAnsi" w:cstheme="minorHAnsi"/>
          <w:bCs/>
          <w:sz w:val="26"/>
          <w:szCs w:val="26"/>
        </w:rPr>
        <w:t>,</w:t>
      </w:r>
      <w:r w:rsidRPr="004A72CD">
        <w:rPr>
          <w:rFonts w:asciiTheme="minorHAnsi" w:eastAsiaTheme="minorHAnsi" w:hAnsiTheme="minorHAnsi" w:cstheme="minorHAnsi"/>
          <w:bCs/>
          <w:sz w:val="26"/>
          <w:szCs w:val="26"/>
        </w:rPr>
        <w:t xml:space="preserve"> pronunţată în dosarul nr. 5/J/2024, s-au admis</w:t>
      </w:r>
      <w:r w:rsidRPr="004A72CD">
        <w:rPr>
          <w:rFonts w:asciiTheme="minorHAnsi" w:eastAsiaTheme="minorHAnsi" w:hAnsiTheme="minorHAnsi" w:cstheme="minorHAnsi"/>
          <w:sz w:val="26"/>
          <w:szCs w:val="26"/>
        </w:rPr>
        <w:t xml:space="preserve"> </w:t>
      </w:r>
      <w:r w:rsidRPr="004A72CD">
        <w:rPr>
          <w:rFonts w:asciiTheme="minorHAnsi" w:eastAsiaTheme="minorHAnsi" w:hAnsiTheme="minorHAnsi" w:cstheme="minorHAnsi"/>
          <w:bCs/>
          <w:sz w:val="26"/>
          <w:szCs w:val="26"/>
        </w:rPr>
        <w:t>acțiunile disciplinare conexate şi s-a aplicat pârâtei sancţiunea disciplinară constând în „suspendarea din funcție pentru o perioadă de trei luni” pentru săvârșirea abaterilor disciplinare prevăzute de art. 271 lit. g) teza I și art. 271 lit. s) teza a II-a din Legea nr. 303/2022 privind statutul judecătorilor şi procurorilor. Hotărârea nu este definitivă.</w:t>
      </w:r>
    </w:p>
    <w:p w14:paraId="7272B1A4" w14:textId="77777777" w:rsidR="00352FA5" w:rsidRPr="00526426" w:rsidRDefault="00591025" w:rsidP="00352FA5">
      <w:pPr>
        <w:spacing w:line="276" w:lineRule="auto"/>
        <w:ind w:right="43" w:firstLine="709"/>
        <w:jc w:val="both"/>
        <w:rPr>
          <w:rFonts w:asciiTheme="minorHAnsi" w:eastAsiaTheme="minorHAnsi" w:hAnsiTheme="minorHAnsi" w:cstheme="minorHAnsi"/>
          <w:bCs/>
          <w:sz w:val="26"/>
          <w:szCs w:val="26"/>
        </w:rPr>
      </w:pPr>
      <w:r w:rsidRPr="005403AD">
        <w:rPr>
          <w:rFonts w:asciiTheme="minorHAnsi" w:eastAsiaTheme="minorHAnsi" w:hAnsiTheme="minorHAnsi" w:cstheme="minorHAnsi"/>
          <w:bCs/>
          <w:sz w:val="26"/>
          <w:szCs w:val="26"/>
        </w:rPr>
        <w:lastRenderedPageBreak/>
        <w:t xml:space="preserve">Prin Hotărârea nr. 14J din 13 noiembrie 2024 pronunțată în dosarul nr. 8/J/2024 s-a admis acțiunea disciplinară şi s-a aplicat pârâtului sancțiunea disciplinară constând în „diminuarea indemnizației de încadrare lunare brute cu 15% pe o perioadă de 3 luni”  pentru săvârșirea </w:t>
      </w:r>
      <w:r w:rsidRPr="00526426">
        <w:rPr>
          <w:rFonts w:asciiTheme="minorHAnsi" w:eastAsiaTheme="minorHAnsi" w:hAnsiTheme="minorHAnsi" w:cstheme="minorHAnsi"/>
          <w:bCs/>
          <w:sz w:val="26"/>
          <w:szCs w:val="26"/>
        </w:rPr>
        <w:t xml:space="preserve">abaterii disciplinare prevăzute de art.271 lit. g) teza I din Legea nr. 303/2022 privind statutul judecătorilor şi procurorilor. </w:t>
      </w:r>
      <w:r w:rsidR="00352FA5" w:rsidRPr="00526426">
        <w:rPr>
          <w:rFonts w:asciiTheme="minorHAnsi" w:eastAsiaTheme="minorHAnsi" w:hAnsiTheme="minorHAnsi" w:cstheme="minorHAnsi"/>
          <w:bCs/>
          <w:sz w:val="26"/>
          <w:szCs w:val="26"/>
        </w:rPr>
        <w:t>Hotărârea este definitivă prin nerecurare.</w:t>
      </w:r>
    </w:p>
    <w:p w14:paraId="2C0E2164" w14:textId="77777777" w:rsidR="00AA423B" w:rsidRPr="00526426" w:rsidRDefault="00AA423B" w:rsidP="00AA423B">
      <w:pPr>
        <w:spacing w:line="276" w:lineRule="auto"/>
        <w:ind w:right="43" w:firstLine="709"/>
        <w:jc w:val="both"/>
        <w:rPr>
          <w:rFonts w:asciiTheme="minorHAnsi" w:eastAsiaTheme="minorHAnsi" w:hAnsiTheme="minorHAnsi" w:cstheme="minorHAnsi"/>
          <w:bCs/>
          <w:sz w:val="26"/>
          <w:szCs w:val="26"/>
        </w:rPr>
      </w:pPr>
      <w:r w:rsidRPr="00526426">
        <w:rPr>
          <w:rFonts w:asciiTheme="minorHAnsi" w:eastAsiaTheme="minorHAnsi" w:hAnsiTheme="minorHAnsi" w:cstheme="minorHAnsi"/>
          <w:bCs/>
          <w:sz w:val="26"/>
          <w:szCs w:val="26"/>
        </w:rPr>
        <w:t>Prin Hotărârea nr. 15J din 27 noiembrie 2024 pronunțată în dosarul nr. 9/J/2024 s-a admis acțiunea disciplinară şi s-a aplicat pârâtei sancțiunea disciplinară constând în ”suspendarea din funcție pentru o perioadă de patru luni” pentru săvârșirea abaterii disciplinare prevăzute de art.271 lit. s) teza a II-a din același act normativ. Hotărârea nu este definitivă.</w:t>
      </w:r>
    </w:p>
    <w:p w14:paraId="7D53E99B" w14:textId="37812B2E" w:rsidR="00895FF8" w:rsidRPr="004A72CD" w:rsidRDefault="00895FF8" w:rsidP="00D51F5A">
      <w:pPr>
        <w:spacing w:line="276" w:lineRule="auto"/>
        <w:ind w:right="43" w:firstLine="709"/>
        <w:jc w:val="both"/>
        <w:rPr>
          <w:rFonts w:asciiTheme="minorHAnsi" w:eastAsiaTheme="minorHAnsi" w:hAnsiTheme="minorHAnsi" w:cstheme="minorHAnsi"/>
          <w:bCs/>
          <w:sz w:val="26"/>
          <w:szCs w:val="26"/>
        </w:rPr>
      </w:pPr>
      <w:r w:rsidRPr="005403AD">
        <w:rPr>
          <w:rFonts w:asciiTheme="minorHAnsi" w:eastAsiaTheme="minorHAnsi" w:hAnsiTheme="minorHAnsi" w:cstheme="minorHAnsi"/>
          <w:bCs/>
          <w:sz w:val="26"/>
          <w:szCs w:val="26"/>
        </w:rPr>
        <w:t xml:space="preserve">Astfel, până la data de </w:t>
      </w:r>
      <w:r w:rsidR="00FE6ED1">
        <w:rPr>
          <w:rFonts w:asciiTheme="minorHAnsi" w:eastAsiaTheme="minorHAnsi" w:hAnsiTheme="minorHAnsi" w:cstheme="minorHAnsi"/>
          <w:bCs/>
          <w:sz w:val="26"/>
          <w:szCs w:val="26"/>
        </w:rPr>
        <w:t>31 dec</w:t>
      </w:r>
      <w:r w:rsidR="00007BB3" w:rsidRPr="005403AD">
        <w:rPr>
          <w:rFonts w:asciiTheme="minorHAnsi" w:eastAsiaTheme="minorHAnsi" w:hAnsiTheme="minorHAnsi" w:cstheme="minorHAnsi"/>
          <w:bCs/>
          <w:sz w:val="26"/>
          <w:szCs w:val="26"/>
        </w:rPr>
        <w:t>e</w:t>
      </w:r>
      <w:r w:rsidRPr="005403AD">
        <w:rPr>
          <w:rFonts w:asciiTheme="minorHAnsi" w:eastAsiaTheme="minorHAnsi" w:hAnsiTheme="minorHAnsi" w:cstheme="minorHAnsi"/>
          <w:bCs/>
          <w:sz w:val="26"/>
          <w:szCs w:val="26"/>
        </w:rPr>
        <w:t xml:space="preserve">mbrie 2024, Secția pentru judecători </w:t>
      </w:r>
      <w:r w:rsidRPr="004A72CD">
        <w:rPr>
          <w:rFonts w:asciiTheme="minorHAnsi" w:eastAsiaTheme="minorHAnsi" w:hAnsiTheme="minorHAnsi" w:cstheme="minorHAnsi"/>
          <w:bCs/>
          <w:sz w:val="26"/>
          <w:szCs w:val="26"/>
        </w:rPr>
        <w:t xml:space="preserve">în materie disciplinară a pronunțat un număr de </w:t>
      </w:r>
      <w:r w:rsidRPr="005403AD">
        <w:rPr>
          <w:rFonts w:asciiTheme="minorHAnsi" w:eastAsiaTheme="minorHAnsi" w:hAnsiTheme="minorHAnsi" w:cstheme="minorHAnsi"/>
          <w:bCs/>
          <w:sz w:val="26"/>
          <w:szCs w:val="26"/>
        </w:rPr>
        <w:t>1</w:t>
      </w:r>
      <w:r w:rsidR="00DB7472">
        <w:rPr>
          <w:rFonts w:asciiTheme="minorHAnsi" w:eastAsiaTheme="minorHAnsi" w:hAnsiTheme="minorHAnsi" w:cstheme="minorHAnsi"/>
          <w:bCs/>
          <w:sz w:val="26"/>
          <w:szCs w:val="26"/>
        </w:rPr>
        <w:t>5</w:t>
      </w:r>
      <w:r w:rsidRPr="005403AD">
        <w:rPr>
          <w:rFonts w:asciiTheme="minorHAnsi" w:eastAsiaTheme="minorHAnsi" w:hAnsiTheme="minorHAnsi" w:cstheme="minorHAnsi"/>
          <w:bCs/>
          <w:sz w:val="26"/>
          <w:szCs w:val="26"/>
        </w:rPr>
        <w:t xml:space="preserve"> hotărâri</w:t>
      </w:r>
      <w:r w:rsidRPr="004A72CD">
        <w:rPr>
          <w:rFonts w:asciiTheme="minorHAnsi" w:eastAsiaTheme="minorHAnsi" w:hAnsiTheme="minorHAnsi" w:cstheme="minorHAnsi"/>
          <w:bCs/>
          <w:sz w:val="26"/>
          <w:szCs w:val="26"/>
        </w:rPr>
        <w:t xml:space="preserve">, după cum urmează: </w:t>
      </w:r>
    </w:p>
    <w:p w14:paraId="1735EB94" w14:textId="3CA486D8" w:rsidR="00895FF8" w:rsidRPr="004A72CD"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- 1</w:t>
      </w:r>
      <w:r w:rsidR="00DB7472">
        <w:rPr>
          <w:rFonts w:asciiTheme="minorHAnsi" w:eastAsiaTheme="minorHAnsi" w:hAnsiTheme="minorHAnsi" w:cstheme="minorHAnsi"/>
          <w:bCs/>
          <w:sz w:val="26"/>
          <w:szCs w:val="26"/>
        </w:rPr>
        <w:t>2</w:t>
      </w:r>
      <w:r w:rsidRPr="004A72CD">
        <w:rPr>
          <w:rFonts w:asciiTheme="minorHAnsi" w:eastAsiaTheme="minorHAnsi" w:hAnsiTheme="minorHAnsi" w:cstheme="minorHAnsi"/>
          <w:bCs/>
          <w:sz w:val="26"/>
          <w:szCs w:val="26"/>
        </w:rPr>
        <w:t xml:space="preserve"> acțiuni disciplinare admise (</w:t>
      </w:r>
      <w:r w:rsidR="00DB7472">
        <w:rPr>
          <w:rFonts w:asciiTheme="minorHAnsi" w:eastAsiaTheme="minorHAnsi" w:hAnsiTheme="minorHAnsi" w:cstheme="minorHAnsi"/>
          <w:bCs/>
          <w:sz w:val="26"/>
          <w:szCs w:val="26"/>
        </w:rPr>
        <w:t>8</w:t>
      </w:r>
      <w:r w:rsidRPr="004A72CD">
        <w:rPr>
          <w:rFonts w:asciiTheme="minorHAnsi" w:eastAsiaTheme="minorHAnsi" w:hAnsiTheme="minorHAnsi" w:cstheme="minorHAnsi"/>
          <w:bCs/>
          <w:sz w:val="26"/>
          <w:szCs w:val="26"/>
        </w:rPr>
        <w:t xml:space="preserve"> hotărâri definitive, </w:t>
      </w:r>
      <w:r w:rsidR="00DB7472">
        <w:rPr>
          <w:rFonts w:asciiTheme="minorHAnsi" w:eastAsiaTheme="minorHAnsi" w:hAnsiTheme="minorHAnsi" w:cstheme="minorHAnsi"/>
          <w:bCs/>
          <w:sz w:val="26"/>
          <w:szCs w:val="26"/>
        </w:rPr>
        <w:t>4</w:t>
      </w:r>
      <w:r w:rsidRPr="004A72CD">
        <w:rPr>
          <w:rFonts w:asciiTheme="minorHAnsi" w:eastAsiaTheme="minorHAnsi" w:hAnsiTheme="minorHAnsi" w:cstheme="minorHAnsi"/>
          <w:bCs/>
          <w:sz w:val="26"/>
          <w:szCs w:val="26"/>
        </w:rPr>
        <w:t xml:space="preserve"> hotărâri nedefinitive)</w:t>
      </w:r>
    </w:p>
    <w:p w14:paraId="0A9B4172" w14:textId="77777777" w:rsidR="00895FF8" w:rsidRPr="004A72CD"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 o acțiune disciplinară admisă în parte (o hotărâre definitivă)</w:t>
      </w:r>
    </w:p>
    <w:p w14:paraId="012A5A21" w14:textId="77777777" w:rsidR="00895FF8"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 o acțiune disciplinară respinsă (o hotărâre definitivă)</w:t>
      </w:r>
    </w:p>
    <w:p w14:paraId="7CA24C70" w14:textId="77777777" w:rsidR="00133F3C" w:rsidRDefault="00133F3C" w:rsidP="00133F3C">
      <w:pPr>
        <w:spacing w:line="276" w:lineRule="auto"/>
        <w:ind w:right="43" w:firstLine="709"/>
        <w:jc w:val="both"/>
        <w:rPr>
          <w:rFonts w:asciiTheme="minorHAnsi" w:eastAsiaTheme="minorHAnsi" w:hAnsiTheme="minorHAnsi" w:cstheme="minorHAnsi"/>
          <w:bCs/>
          <w:sz w:val="26"/>
          <w:szCs w:val="26"/>
        </w:rPr>
      </w:pPr>
      <w:r>
        <w:rPr>
          <w:rFonts w:asciiTheme="minorHAnsi" w:eastAsiaTheme="minorHAnsi" w:hAnsiTheme="minorHAnsi" w:cstheme="minorHAnsi"/>
          <w:bCs/>
          <w:sz w:val="26"/>
          <w:szCs w:val="26"/>
        </w:rPr>
        <w:t>- într-un dosar s-a respins propunerea privind suspendarea din funcție, ca neîntemeiată.</w:t>
      </w:r>
    </w:p>
    <w:p w14:paraId="50D061CE" w14:textId="77777777" w:rsidR="00895FF8" w:rsidRPr="004A72CD"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Facem mențiunea că în două cauze a fost admisă excepția conexității, respectiv dosarul 32/J/2023 la dosarul nr. 25/J/2023, iar dosarul nr. 6/J/2024 la dosarul nr. 5/J/2024.</w:t>
      </w:r>
    </w:p>
    <w:p w14:paraId="2B115D41" w14:textId="49B15B8F" w:rsidR="00133F3C" w:rsidRDefault="00133F3C" w:rsidP="00133F3C">
      <w:pPr>
        <w:spacing w:line="276" w:lineRule="auto"/>
        <w:ind w:right="43" w:firstLine="709"/>
        <w:jc w:val="both"/>
        <w:rPr>
          <w:rFonts w:asciiTheme="minorHAnsi" w:eastAsiaTheme="minorHAnsi" w:hAnsiTheme="minorHAnsi" w:cstheme="minorHAnsi"/>
          <w:bCs/>
          <w:sz w:val="26"/>
          <w:szCs w:val="26"/>
        </w:rPr>
      </w:pPr>
      <w:r w:rsidRPr="005403AD">
        <w:rPr>
          <w:rFonts w:asciiTheme="minorHAnsi" w:eastAsiaTheme="minorHAnsi" w:hAnsiTheme="minorHAnsi" w:cstheme="minorHAnsi"/>
          <w:bCs/>
          <w:sz w:val="26"/>
          <w:szCs w:val="26"/>
        </w:rPr>
        <w:t xml:space="preserve">La data de </w:t>
      </w:r>
      <w:r w:rsidR="00856681">
        <w:rPr>
          <w:rFonts w:asciiTheme="minorHAnsi" w:eastAsiaTheme="minorHAnsi" w:hAnsiTheme="minorHAnsi" w:cstheme="minorHAnsi"/>
          <w:bCs/>
          <w:sz w:val="26"/>
          <w:szCs w:val="26"/>
        </w:rPr>
        <w:t>31 dec</w:t>
      </w:r>
      <w:r w:rsidRPr="005403AD">
        <w:rPr>
          <w:rFonts w:asciiTheme="minorHAnsi" w:eastAsiaTheme="minorHAnsi" w:hAnsiTheme="minorHAnsi" w:cstheme="minorHAnsi"/>
          <w:bCs/>
          <w:sz w:val="26"/>
          <w:szCs w:val="26"/>
        </w:rPr>
        <w:t xml:space="preserve">embrie 2024, pe rolul Secției pentru judecători în materie disciplinară se află un număr de 3 dosare </w:t>
      </w:r>
      <w:r>
        <w:rPr>
          <w:rFonts w:asciiTheme="minorHAnsi" w:eastAsiaTheme="minorHAnsi" w:hAnsiTheme="minorHAnsi" w:cstheme="minorHAnsi"/>
          <w:bCs/>
          <w:sz w:val="26"/>
          <w:szCs w:val="26"/>
        </w:rPr>
        <w:t xml:space="preserve">în vederea soluționării. </w:t>
      </w:r>
    </w:p>
    <w:p w14:paraId="20BA34AF" w14:textId="77777777" w:rsidR="00895FF8" w:rsidRPr="004A72CD"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Stocul dosarelor Secției pentru judecători în materie disciplinară la data de 01.01.2024: 9 dosare înregistrate în anul 2023 şi un dosar suspendat din anul 2019. Total stoc: 10 dosare.</w:t>
      </w:r>
    </w:p>
    <w:p w14:paraId="2283F11F" w14:textId="77777777" w:rsidR="00895FF8" w:rsidRPr="004A72CD"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Potrivit art. 65 alin. (1) din Regulamentul de organizare și funcționare a Consiliului Superior al Magistraturii, aprobat prin Hotărârea nr. 122/06.07.2023, Consiliul îndeplinește, prin Secția pentru procurori, rolul de instanță de judecată în domeniul răspunderii disciplinare a procurorilor pentru faptele prevăzute la art. 271 din Legea nr. 303/2022.</w:t>
      </w:r>
    </w:p>
    <w:p w14:paraId="6D7F7B63" w14:textId="7097F0BF" w:rsidR="00252CE9" w:rsidRPr="005403AD" w:rsidRDefault="00252CE9" w:rsidP="00252CE9">
      <w:pPr>
        <w:spacing w:line="276" w:lineRule="auto"/>
        <w:ind w:right="43" w:firstLine="709"/>
        <w:jc w:val="both"/>
        <w:rPr>
          <w:rFonts w:asciiTheme="minorHAnsi" w:eastAsiaTheme="minorHAnsi" w:hAnsiTheme="minorHAnsi" w:cstheme="minorHAnsi"/>
          <w:bCs/>
          <w:sz w:val="26"/>
          <w:szCs w:val="26"/>
        </w:rPr>
      </w:pPr>
      <w:r w:rsidRPr="005403AD">
        <w:rPr>
          <w:rFonts w:asciiTheme="minorHAnsi" w:eastAsiaTheme="minorHAnsi" w:hAnsiTheme="minorHAnsi" w:cstheme="minorHAnsi"/>
          <w:bCs/>
          <w:sz w:val="26"/>
          <w:szCs w:val="26"/>
        </w:rPr>
        <w:t xml:space="preserve">Până la data de </w:t>
      </w:r>
      <w:r w:rsidR="00FC6827">
        <w:rPr>
          <w:rFonts w:asciiTheme="minorHAnsi" w:eastAsiaTheme="minorHAnsi" w:hAnsiTheme="minorHAnsi" w:cstheme="minorHAnsi"/>
          <w:bCs/>
          <w:sz w:val="26"/>
          <w:szCs w:val="26"/>
        </w:rPr>
        <w:t>31 dec</w:t>
      </w:r>
      <w:r w:rsidRPr="005403AD">
        <w:rPr>
          <w:rFonts w:asciiTheme="minorHAnsi" w:eastAsiaTheme="minorHAnsi" w:hAnsiTheme="minorHAnsi" w:cstheme="minorHAnsi"/>
          <w:bCs/>
          <w:sz w:val="26"/>
          <w:szCs w:val="26"/>
        </w:rPr>
        <w:t>embrie 2024, pe rolul Secției pentru procurori în materie disciplinară s-au înregistrat două dosare (un dosar având ca obiect suspendarea din funcţie a magistratului până la soluţionarea definitivă a acţiunii disciplinare întemeiate pe dispoziţiile art. 52 alin. (1) din Legea nr. 305/2022, iar un dosar având ca obiect acțiune disciplinară).</w:t>
      </w:r>
      <w:r w:rsidR="00022376" w:rsidRPr="005403AD">
        <w:rPr>
          <w:rFonts w:asciiTheme="minorHAnsi" w:eastAsiaTheme="minorHAnsi" w:hAnsiTheme="minorHAnsi" w:cstheme="minorHAnsi"/>
          <w:bCs/>
          <w:sz w:val="26"/>
          <w:szCs w:val="26"/>
        </w:rPr>
        <w:t xml:space="preserve"> </w:t>
      </w:r>
    </w:p>
    <w:p w14:paraId="58165249" w14:textId="77777777" w:rsidR="00895FF8" w:rsidRPr="004A72CD"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Astfel, Secția pentru procurori în materie disciplinară a pronunțat următoarele hotărâri:</w:t>
      </w:r>
    </w:p>
    <w:p w14:paraId="6B5F8FA3" w14:textId="35B9C814" w:rsidR="00895FF8" w:rsidRPr="004A72CD"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 xml:space="preserve">Prin Hotărârea nr. 1P din </w:t>
      </w:r>
      <w:r w:rsidR="007B5759" w:rsidRPr="004A72CD">
        <w:rPr>
          <w:rFonts w:asciiTheme="minorHAnsi" w:eastAsiaTheme="minorHAnsi" w:hAnsiTheme="minorHAnsi" w:cstheme="minorHAnsi"/>
          <w:bCs/>
          <w:sz w:val="26"/>
          <w:szCs w:val="26"/>
        </w:rPr>
        <w:t>0</w:t>
      </w:r>
      <w:r w:rsidRPr="004A72CD">
        <w:rPr>
          <w:rFonts w:asciiTheme="minorHAnsi" w:eastAsiaTheme="minorHAnsi" w:hAnsiTheme="minorHAnsi" w:cstheme="minorHAnsi"/>
          <w:bCs/>
          <w:sz w:val="26"/>
          <w:szCs w:val="26"/>
        </w:rPr>
        <w:t>3 aprilie 2024, pronunțată în dosarul nr. 3/P/2022, s-a respins acțiunea disciplinară având ca obiect săvârșirea abaterilor disciplinare prevăzute de art. 99 lit. a) și lit. d) teza I din Legea nr. 303/2004</w:t>
      </w:r>
      <w:r w:rsidRPr="004A72CD">
        <w:rPr>
          <w:rFonts w:asciiTheme="minorHAnsi" w:eastAsiaTheme="minorHAnsi" w:hAnsiTheme="minorHAnsi" w:cstheme="minorHAnsi"/>
          <w:sz w:val="26"/>
          <w:szCs w:val="26"/>
        </w:rPr>
        <w:t xml:space="preserve"> </w:t>
      </w:r>
      <w:r w:rsidRPr="004A72CD">
        <w:rPr>
          <w:rFonts w:asciiTheme="minorHAnsi" w:eastAsiaTheme="minorHAnsi" w:hAnsiTheme="minorHAnsi" w:cstheme="minorHAnsi"/>
          <w:bCs/>
          <w:sz w:val="26"/>
          <w:szCs w:val="26"/>
        </w:rPr>
        <w:t>privind statutul judecătorilor și procurorilor, ca neîntemeiată. Hotărârea este definitivă prin nerecurare.</w:t>
      </w:r>
    </w:p>
    <w:p w14:paraId="4C16473E" w14:textId="333D6E39" w:rsidR="00895FF8" w:rsidRPr="004A72CD"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 xml:space="preserve">Prin Hotărârea nr. 2P din </w:t>
      </w:r>
      <w:r w:rsidR="007B5759" w:rsidRPr="004A72CD">
        <w:rPr>
          <w:rFonts w:asciiTheme="minorHAnsi" w:eastAsiaTheme="minorHAnsi" w:hAnsiTheme="minorHAnsi" w:cstheme="minorHAnsi"/>
          <w:bCs/>
          <w:sz w:val="26"/>
          <w:szCs w:val="26"/>
        </w:rPr>
        <w:t>0</w:t>
      </w:r>
      <w:r w:rsidRPr="004A72CD">
        <w:rPr>
          <w:rFonts w:asciiTheme="minorHAnsi" w:eastAsiaTheme="minorHAnsi" w:hAnsiTheme="minorHAnsi" w:cstheme="minorHAnsi"/>
          <w:bCs/>
          <w:sz w:val="26"/>
          <w:szCs w:val="26"/>
        </w:rPr>
        <w:t>3 aprilie 2024, pronunțată în dosarul nr. 1/P/2024, s-a constatat nulitatea acțiunii disciplinare având ca obiect săvârșirea abaterii disciplinare prevăzută de art. 271 lit. g) din Legea nr. 303/2022</w:t>
      </w:r>
      <w:r w:rsidRPr="004A72CD">
        <w:rPr>
          <w:rFonts w:asciiTheme="minorHAnsi" w:eastAsiaTheme="minorHAnsi" w:hAnsiTheme="minorHAnsi" w:cstheme="minorHAnsi"/>
          <w:sz w:val="26"/>
          <w:szCs w:val="26"/>
        </w:rPr>
        <w:t xml:space="preserve"> </w:t>
      </w:r>
      <w:r w:rsidRPr="004A72CD">
        <w:rPr>
          <w:rFonts w:asciiTheme="minorHAnsi" w:eastAsiaTheme="minorHAnsi" w:hAnsiTheme="minorHAnsi" w:cstheme="minorHAnsi"/>
          <w:bCs/>
          <w:sz w:val="26"/>
          <w:szCs w:val="26"/>
        </w:rPr>
        <w:t>privind statutul judecătorilor și procurorilor. Prin decizia civilă nr. 165 din 09.09.2024 pronunțată de Înalta Curte de Casație şi Justiție s-a respins recursul declarat de reclamantă, ca nefondat.</w:t>
      </w:r>
    </w:p>
    <w:p w14:paraId="0DB7E613" w14:textId="56BA5B12" w:rsidR="00895FF8" w:rsidRPr="004A72CD"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 xml:space="preserve">Prin Hotărârea nr. 3P din </w:t>
      </w:r>
      <w:r w:rsidR="007B5759" w:rsidRPr="004A72CD">
        <w:rPr>
          <w:rFonts w:asciiTheme="minorHAnsi" w:eastAsiaTheme="minorHAnsi" w:hAnsiTheme="minorHAnsi" w:cstheme="minorHAnsi"/>
          <w:bCs/>
          <w:sz w:val="26"/>
          <w:szCs w:val="26"/>
        </w:rPr>
        <w:t>0</w:t>
      </w:r>
      <w:r w:rsidRPr="004A72CD">
        <w:rPr>
          <w:rFonts w:asciiTheme="minorHAnsi" w:eastAsiaTheme="minorHAnsi" w:hAnsiTheme="minorHAnsi" w:cstheme="minorHAnsi"/>
          <w:bCs/>
          <w:sz w:val="26"/>
          <w:szCs w:val="26"/>
        </w:rPr>
        <w:t>3 aprilie 2024, pronunțată în dosarul nr. 12/P/2023, s-a admis acțiunea disciplinară şi s-a aplicat pârâtei sancțiunea disciplinară constând în „avertisment” pentru săvârșirea abaterii disciplinare prevăzute de art. 271 lit. h) teza I din Legea nr. 303/2022</w:t>
      </w:r>
      <w:r w:rsidRPr="004A72CD">
        <w:rPr>
          <w:rFonts w:asciiTheme="minorHAnsi" w:eastAsiaTheme="minorHAnsi" w:hAnsiTheme="minorHAnsi" w:cstheme="minorHAnsi"/>
          <w:sz w:val="26"/>
          <w:szCs w:val="26"/>
        </w:rPr>
        <w:t xml:space="preserve"> </w:t>
      </w:r>
      <w:r w:rsidRPr="004A72CD">
        <w:rPr>
          <w:rFonts w:asciiTheme="minorHAnsi" w:eastAsiaTheme="minorHAnsi" w:hAnsiTheme="minorHAnsi" w:cstheme="minorHAnsi"/>
          <w:bCs/>
          <w:sz w:val="26"/>
          <w:szCs w:val="26"/>
        </w:rPr>
        <w:t>privind statutul judecătorilor și procurorilor. Hotărârea este definitivă prin nerecurare.</w:t>
      </w:r>
    </w:p>
    <w:p w14:paraId="6351DA04" w14:textId="77777777" w:rsidR="00FC6827" w:rsidRPr="00526426" w:rsidRDefault="00895FF8" w:rsidP="00FC6827">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lastRenderedPageBreak/>
        <w:t xml:space="preserve">Prin Hotărârea nr. 4P din </w:t>
      </w:r>
      <w:r w:rsidR="007B5759" w:rsidRPr="004A72CD">
        <w:rPr>
          <w:rFonts w:asciiTheme="minorHAnsi" w:eastAsiaTheme="minorHAnsi" w:hAnsiTheme="minorHAnsi" w:cstheme="minorHAnsi"/>
          <w:bCs/>
          <w:sz w:val="26"/>
          <w:szCs w:val="26"/>
        </w:rPr>
        <w:t>0</w:t>
      </w:r>
      <w:r w:rsidRPr="004A72CD">
        <w:rPr>
          <w:rFonts w:asciiTheme="minorHAnsi" w:eastAsiaTheme="minorHAnsi" w:hAnsiTheme="minorHAnsi" w:cstheme="minorHAnsi"/>
          <w:bCs/>
          <w:sz w:val="26"/>
          <w:szCs w:val="26"/>
        </w:rPr>
        <w:t xml:space="preserve">9 aprilie 2024, pronunțată în dosarul nr. 8/P/2020, s-a admis acțiunea disciplinară şi s-a aplicat pârâtei sancțiunea disciplinară constând în „retrogradare din grad </w:t>
      </w:r>
      <w:r w:rsidRPr="00526426">
        <w:rPr>
          <w:rFonts w:asciiTheme="minorHAnsi" w:eastAsiaTheme="minorHAnsi" w:hAnsiTheme="minorHAnsi" w:cstheme="minorHAnsi"/>
          <w:bCs/>
          <w:sz w:val="26"/>
          <w:szCs w:val="26"/>
        </w:rPr>
        <w:t>profesional corespunzător P</w:t>
      </w:r>
      <w:r w:rsidR="00D7327B" w:rsidRPr="00526426">
        <w:rPr>
          <w:rFonts w:asciiTheme="minorHAnsi" w:eastAsiaTheme="minorHAnsi" w:hAnsiTheme="minorHAnsi" w:cstheme="minorHAnsi"/>
          <w:bCs/>
          <w:sz w:val="26"/>
          <w:szCs w:val="26"/>
        </w:rPr>
        <w:t>.</w:t>
      </w:r>
      <w:r w:rsidRPr="00526426">
        <w:rPr>
          <w:rFonts w:asciiTheme="minorHAnsi" w:eastAsiaTheme="minorHAnsi" w:hAnsiTheme="minorHAnsi" w:cstheme="minorHAnsi"/>
          <w:bCs/>
          <w:sz w:val="26"/>
          <w:szCs w:val="26"/>
        </w:rPr>
        <w:t>Î</w:t>
      </w:r>
      <w:r w:rsidR="00D7327B" w:rsidRPr="00526426">
        <w:rPr>
          <w:rFonts w:asciiTheme="minorHAnsi" w:eastAsiaTheme="minorHAnsi" w:hAnsiTheme="minorHAnsi" w:cstheme="minorHAnsi"/>
          <w:bCs/>
          <w:sz w:val="26"/>
          <w:szCs w:val="26"/>
        </w:rPr>
        <w:t>.</w:t>
      </w:r>
      <w:r w:rsidRPr="00526426">
        <w:rPr>
          <w:rFonts w:asciiTheme="minorHAnsi" w:eastAsiaTheme="minorHAnsi" w:hAnsiTheme="minorHAnsi" w:cstheme="minorHAnsi"/>
          <w:bCs/>
          <w:sz w:val="26"/>
          <w:szCs w:val="26"/>
        </w:rPr>
        <w:t>C</w:t>
      </w:r>
      <w:r w:rsidR="00D7327B" w:rsidRPr="00526426">
        <w:rPr>
          <w:rFonts w:asciiTheme="minorHAnsi" w:eastAsiaTheme="minorHAnsi" w:hAnsiTheme="minorHAnsi" w:cstheme="minorHAnsi"/>
          <w:bCs/>
          <w:sz w:val="26"/>
          <w:szCs w:val="26"/>
        </w:rPr>
        <w:t>.</w:t>
      </w:r>
      <w:r w:rsidRPr="00526426">
        <w:rPr>
          <w:rFonts w:asciiTheme="minorHAnsi" w:eastAsiaTheme="minorHAnsi" w:hAnsiTheme="minorHAnsi" w:cstheme="minorHAnsi"/>
          <w:bCs/>
          <w:sz w:val="26"/>
          <w:szCs w:val="26"/>
        </w:rPr>
        <w:t>C</w:t>
      </w:r>
      <w:r w:rsidR="00D7327B" w:rsidRPr="00526426">
        <w:rPr>
          <w:rFonts w:asciiTheme="minorHAnsi" w:eastAsiaTheme="minorHAnsi" w:hAnsiTheme="minorHAnsi" w:cstheme="minorHAnsi"/>
          <w:bCs/>
          <w:sz w:val="26"/>
          <w:szCs w:val="26"/>
        </w:rPr>
        <w:t>.</w:t>
      </w:r>
      <w:r w:rsidRPr="00526426">
        <w:rPr>
          <w:rFonts w:asciiTheme="minorHAnsi" w:eastAsiaTheme="minorHAnsi" w:hAnsiTheme="minorHAnsi" w:cstheme="minorHAnsi"/>
          <w:bCs/>
          <w:sz w:val="26"/>
          <w:szCs w:val="26"/>
        </w:rPr>
        <w:t>J</w:t>
      </w:r>
      <w:r w:rsidR="00D7327B" w:rsidRPr="00526426">
        <w:rPr>
          <w:rFonts w:asciiTheme="minorHAnsi" w:eastAsiaTheme="minorHAnsi" w:hAnsiTheme="minorHAnsi" w:cstheme="minorHAnsi"/>
          <w:bCs/>
          <w:sz w:val="26"/>
          <w:szCs w:val="26"/>
        </w:rPr>
        <w:t>.</w:t>
      </w:r>
      <w:r w:rsidRPr="00526426">
        <w:rPr>
          <w:rFonts w:asciiTheme="minorHAnsi" w:eastAsiaTheme="minorHAnsi" w:hAnsiTheme="minorHAnsi" w:cstheme="minorHAnsi"/>
          <w:bCs/>
          <w:sz w:val="26"/>
          <w:szCs w:val="26"/>
        </w:rPr>
        <w:t xml:space="preserve"> în grad profesional de parchet de pe lângă curtea de apel” pentru săvârșirea abaterilor disciplinare prevăzute de art. 99 lit. m) și lit. t) teza I din Legea nr. 303/2004</w:t>
      </w:r>
      <w:r w:rsidRPr="00526426">
        <w:rPr>
          <w:rFonts w:asciiTheme="minorHAnsi" w:eastAsiaTheme="minorHAnsi" w:hAnsiTheme="minorHAnsi" w:cstheme="minorHAnsi"/>
          <w:sz w:val="26"/>
          <w:szCs w:val="26"/>
        </w:rPr>
        <w:t xml:space="preserve"> </w:t>
      </w:r>
      <w:r w:rsidRPr="00526426">
        <w:rPr>
          <w:rFonts w:asciiTheme="minorHAnsi" w:eastAsiaTheme="minorHAnsi" w:hAnsiTheme="minorHAnsi" w:cstheme="minorHAnsi"/>
          <w:bCs/>
          <w:sz w:val="26"/>
          <w:szCs w:val="26"/>
        </w:rPr>
        <w:t xml:space="preserve">privind statutul judecătorilor și procurorilor. </w:t>
      </w:r>
      <w:r w:rsidR="00FC6827" w:rsidRPr="00526426">
        <w:rPr>
          <w:rFonts w:asciiTheme="minorHAnsi" w:eastAsiaTheme="minorHAnsi" w:hAnsiTheme="minorHAnsi" w:cstheme="minorHAnsi"/>
          <w:bCs/>
          <w:sz w:val="26"/>
          <w:szCs w:val="26"/>
        </w:rPr>
        <w:t>Prin decizia civilă nr. 267 din 02.12.2024 pronunțată de Înalta Curte de Casație şi Justiție s-a respins recursul declarat de pârâtă, ca nefondat.</w:t>
      </w:r>
    </w:p>
    <w:p w14:paraId="010B93B0" w14:textId="77777777" w:rsidR="005E394F" w:rsidRPr="00526426" w:rsidRDefault="00895FF8" w:rsidP="005E394F">
      <w:pPr>
        <w:spacing w:line="276" w:lineRule="auto"/>
        <w:ind w:right="43" w:firstLine="709"/>
        <w:jc w:val="both"/>
        <w:rPr>
          <w:rFonts w:asciiTheme="minorHAnsi" w:eastAsiaTheme="minorHAnsi" w:hAnsiTheme="minorHAnsi" w:cstheme="minorHAnsi"/>
          <w:bCs/>
          <w:sz w:val="26"/>
          <w:szCs w:val="26"/>
        </w:rPr>
      </w:pPr>
      <w:r w:rsidRPr="00526426">
        <w:rPr>
          <w:rFonts w:asciiTheme="minorHAnsi" w:eastAsiaTheme="minorHAnsi" w:hAnsiTheme="minorHAnsi" w:cstheme="minorHAnsi"/>
          <w:bCs/>
          <w:sz w:val="26"/>
          <w:szCs w:val="26"/>
        </w:rPr>
        <w:t xml:space="preserve">Prin Hotărârea nr. 5P din </w:t>
      </w:r>
      <w:r w:rsidR="007B5759" w:rsidRPr="00526426">
        <w:rPr>
          <w:rFonts w:asciiTheme="minorHAnsi" w:eastAsiaTheme="minorHAnsi" w:hAnsiTheme="minorHAnsi" w:cstheme="minorHAnsi"/>
          <w:bCs/>
          <w:sz w:val="26"/>
          <w:szCs w:val="26"/>
        </w:rPr>
        <w:t>0</w:t>
      </w:r>
      <w:r w:rsidRPr="00526426">
        <w:rPr>
          <w:rFonts w:asciiTheme="minorHAnsi" w:eastAsiaTheme="minorHAnsi" w:hAnsiTheme="minorHAnsi" w:cstheme="minorHAnsi"/>
          <w:bCs/>
          <w:sz w:val="26"/>
          <w:szCs w:val="26"/>
        </w:rPr>
        <w:t>9 aprilie 2024, pronunțată în dosarul nr. 10/P/2023, s-a respins acțiunea disciplinară având ca obiect săvârșirea abaterilor disciplinare prevăzute de art. 271 lit. e) și lit. j) din Legea nr. 303/2022</w:t>
      </w:r>
      <w:r w:rsidR="002A197E" w:rsidRPr="00526426">
        <w:rPr>
          <w:rFonts w:asciiTheme="minorHAnsi" w:eastAsiaTheme="minorHAnsi" w:hAnsiTheme="minorHAnsi" w:cstheme="minorHAnsi"/>
          <w:bCs/>
          <w:sz w:val="26"/>
          <w:szCs w:val="26"/>
        </w:rPr>
        <w:t xml:space="preserve"> privind statutul judecătorilor şi procurorilor</w:t>
      </w:r>
      <w:r w:rsidRPr="00526426">
        <w:rPr>
          <w:rFonts w:asciiTheme="minorHAnsi" w:eastAsiaTheme="minorHAnsi" w:hAnsiTheme="minorHAnsi" w:cstheme="minorHAnsi"/>
          <w:bCs/>
          <w:sz w:val="26"/>
          <w:szCs w:val="26"/>
        </w:rPr>
        <w:t xml:space="preserve">, ca neîntemeiată. </w:t>
      </w:r>
      <w:r w:rsidR="005E394F" w:rsidRPr="00526426">
        <w:rPr>
          <w:rFonts w:asciiTheme="minorHAnsi" w:eastAsiaTheme="minorHAnsi" w:hAnsiTheme="minorHAnsi" w:cstheme="minorHAnsi"/>
          <w:bCs/>
          <w:sz w:val="26"/>
          <w:szCs w:val="26"/>
        </w:rPr>
        <w:t>Prin decizia civilă nr. 266 din 02.12.2024 pronunțată de Înalta Curte de Casație şi Justiție s-a respins recursul declarat de reclamantă, ca nefondat.</w:t>
      </w:r>
    </w:p>
    <w:p w14:paraId="5A75B746" w14:textId="0A8D3042" w:rsidR="00895FF8" w:rsidRPr="004A72CD" w:rsidRDefault="00895FF8" w:rsidP="00D51F5A">
      <w:pPr>
        <w:spacing w:line="276" w:lineRule="auto"/>
        <w:ind w:right="43" w:firstLine="709"/>
        <w:jc w:val="both"/>
        <w:rPr>
          <w:rFonts w:asciiTheme="minorHAnsi" w:eastAsiaTheme="minorHAnsi" w:hAnsiTheme="minorHAnsi" w:cstheme="minorHAnsi"/>
          <w:bCs/>
          <w:color w:val="FF0000"/>
          <w:sz w:val="26"/>
          <w:szCs w:val="26"/>
        </w:rPr>
      </w:pPr>
      <w:r w:rsidRPr="004A72CD">
        <w:rPr>
          <w:rFonts w:asciiTheme="minorHAnsi" w:eastAsiaTheme="minorHAnsi" w:hAnsiTheme="minorHAnsi" w:cstheme="minorHAnsi"/>
          <w:bCs/>
          <w:sz w:val="26"/>
          <w:szCs w:val="26"/>
        </w:rPr>
        <w:t xml:space="preserve">Prin Hotărârea nr. 6P din </w:t>
      </w:r>
      <w:r w:rsidR="007B5759" w:rsidRPr="004A72CD">
        <w:rPr>
          <w:rFonts w:asciiTheme="minorHAnsi" w:eastAsiaTheme="minorHAnsi" w:hAnsiTheme="minorHAnsi" w:cstheme="minorHAnsi"/>
          <w:bCs/>
          <w:sz w:val="26"/>
          <w:szCs w:val="26"/>
        </w:rPr>
        <w:t>0</w:t>
      </w:r>
      <w:r w:rsidRPr="004A72CD">
        <w:rPr>
          <w:rFonts w:asciiTheme="minorHAnsi" w:eastAsiaTheme="minorHAnsi" w:hAnsiTheme="minorHAnsi" w:cstheme="minorHAnsi"/>
          <w:bCs/>
          <w:sz w:val="26"/>
          <w:szCs w:val="26"/>
        </w:rPr>
        <w:t>9 aprilie 2024, pronunțată în dosarul nr. 13/P/2023, s-a respins acțiunea disciplinară având ca obiect săvârșirea abaterii disciplinare prevăzute de art. 271 lit. c) din Legea nr. 303/2022</w:t>
      </w:r>
      <w:r w:rsidR="00D7327B" w:rsidRPr="004A72CD">
        <w:rPr>
          <w:rFonts w:asciiTheme="minorHAnsi" w:eastAsiaTheme="minorHAnsi" w:hAnsiTheme="minorHAnsi" w:cstheme="minorHAnsi"/>
          <w:bCs/>
          <w:sz w:val="26"/>
          <w:szCs w:val="26"/>
        </w:rPr>
        <w:t xml:space="preserve"> privind statutul judecătorilor şi procurorilor</w:t>
      </w:r>
      <w:r w:rsidRPr="004A72CD">
        <w:rPr>
          <w:rFonts w:asciiTheme="minorHAnsi" w:eastAsiaTheme="minorHAnsi" w:hAnsiTheme="minorHAnsi" w:cstheme="minorHAnsi"/>
          <w:bCs/>
          <w:sz w:val="26"/>
          <w:szCs w:val="26"/>
        </w:rPr>
        <w:t>, ca neîntemeiată. Hotărârea este definitivă prin nerecurare.</w:t>
      </w:r>
    </w:p>
    <w:p w14:paraId="69E6E161" w14:textId="77777777" w:rsidR="005E394F" w:rsidRPr="00526426" w:rsidRDefault="00895FF8" w:rsidP="005E394F">
      <w:pPr>
        <w:spacing w:line="276" w:lineRule="auto"/>
        <w:ind w:right="43" w:firstLine="709"/>
        <w:jc w:val="both"/>
        <w:rPr>
          <w:rFonts w:asciiTheme="minorHAnsi" w:eastAsiaTheme="minorHAnsi" w:hAnsiTheme="minorHAnsi" w:cstheme="minorHAnsi"/>
          <w:bCs/>
          <w:sz w:val="26"/>
          <w:szCs w:val="26"/>
        </w:rPr>
      </w:pPr>
      <w:r w:rsidRPr="00526426">
        <w:rPr>
          <w:rFonts w:asciiTheme="minorHAnsi" w:eastAsiaTheme="minorHAnsi" w:hAnsiTheme="minorHAnsi" w:cstheme="minorHAnsi"/>
          <w:bCs/>
          <w:sz w:val="26"/>
          <w:szCs w:val="26"/>
        </w:rPr>
        <w:t xml:space="preserve">Prin Hotărârea nr. 7P din 12 iunie 2024, pronunțată în dosarul nr. 5/P/2021, s-a admis acțiunea disciplinară și s-a aplicat pârâtei sancțiunea disciplinară constând în „suspendarea din funcție pe o perioadă de 6 luni” pentru săvârșirea abaterilor disciplinare prevăzute de art. </w:t>
      </w:r>
      <w:r w:rsidRPr="00526426">
        <w:rPr>
          <w:rFonts w:asciiTheme="minorHAnsi" w:eastAsiaTheme="minorHAnsi" w:hAnsiTheme="minorHAnsi" w:cstheme="minorHAnsi"/>
          <w:sz w:val="26"/>
          <w:szCs w:val="26"/>
        </w:rPr>
        <w:t>99 lit. c), f), k) teza a II-a și m) din Legea nr. 303/2004</w:t>
      </w:r>
      <w:r w:rsidR="00D7327B" w:rsidRPr="00526426">
        <w:rPr>
          <w:rFonts w:asciiTheme="minorHAnsi" w:eastAsiaTheme="minorHAnsi" w:hAnsiTheme="minorHAnsi" w:cstheme="minorHAnsi"/>
          <w:bCs/>
          <w:sz w:val="26"/>
          <w:szCs w:val="26"/>
        </w:rPr>
        <w:t xml:space="preserve"> privind statutul judecătorilor şi procurorilor</w:t>
      </w:r>
      <w:r w:rsidRPr="00526426">
        <w:rPr>
          <w:rFonts w:asciiTheme="minorHAnsi" w:eastAsiaTheme="minorHAnsi" w:hAnsiTheme="minorHAnsi" w:cstheme="minorHAnsi"/>
          <w:sz w:val="26"/>
          <w:szCs w:val="26"/>
        </w:rPr>
        <w:t>.</w:t>
      </w:r>
      <w:r w:rsidRPr="00526426">
        <w:rPr>
          <w:rFonts w:asciiTheme="minorHAnsi" w:eastAsiaTheme="minorHAnsi" w:hAnsiTheme="minorHAnsi" w:cstheme="minorHAnsi"/>
          <w:bCs/>
          <w:sz w:val="26"/>
          <w:szCs w:val="26"/>
        </w:rPr>
        <w:t xml:space="preserve"> </w:t>
      </w:r>
      <w:r w:rsidR="005E394F" w:rsidRPr="00526426">
        <w:rPr>
          <w:rFonts w:asciiTheme="minorHAnsi" w:eastAsiaTheme="minorHAnsi" w:hAnsiTheme="minorHAnsi" w:cstheme="minorHAnsi"/>
          <w:bCs/>
          <w:sz w:val="26"/>
          <w:szCs w:val="26"/>
        </w:rPr>
        <w:t>Prin decizia civilă nr. 263 din 02.12.2024 pronunțată de Înalta Curte de Casație şi Justiție s-a respins recursul declarat de pârâtă, ca nefondat.</w:t>
      </w:r>
    </w:p>
    <w:p w14:paraId="3627ADDA" w14:textId="77777777" w:rsidR="005E394F" w:rsidRPr="00526426" w:rsidRDefault="00895FF8" w:rsidP="005E394F">
      <w:pPr>
        <w:spacing w:line="276" w:lineRule="auto"/>
        <w:ind w:right="43" w:firstLine="709"/>
        <w:jc w:val="both"/>
        <w:rPr>
          <w:rFonts w:asciiTheme="minorHAnsi" w:eastAsiaTheme="minorHAnsi" w:hAnsiTheme="minorHAnsi" w:cstheme="minorHAnsi"/>
          <w:bCs/>
          <w:sz w:val="26"/>
          <w:szCs w:val="26"/>
        </w:rPr>
      </w:pPr>
      <w:r w:rsidRPr="00526426">
        <w:rPr>
          <w:rFonts w:asciiTheme="minorHAnsi" w:eastAsiaTheme="minorHAnsi" w:hAnsiTheme="minorHAnsi" w:cstheme="minorHAnsi"/>
          <w:bCs/>
          <w:sz w:val="26"/>
          <w:szCs w:val="26"/>
        </w:rPr>
        <w:t>Prin Hotărârea nr. 8P din 26 iunie 2024, pronunțată în dosarul nr. 9/P/2023, s-a respins acțiunea disciplinară având ca obiect săvârșirea abaterii disciplinare prevăzută de art. 271 lit. g) din Legea nr. 303/2022</w:t>
      </w:r>
      <w:r w:rsidR="00D7327B" w:rsidRPr="00526426">
        <w:rPr>
          <w:rFonts w:asciiTheme="minorHAnsi" w:eastAsiaTheme="minorHAnsi" w:hAnsiTheme="minorHAnsi" w:cstheme="minorHAnsi"/>
          <w:bCs/>
          <w:sz w:val="26"/>
          <w:szCs w:val="26"/>
        </w:rPr>
        <w:t xml:space="preserve"> privind statutul judecătorilor şi procurorilor</w:t>
      </w:r>
      <w:r w:rsidRPr="00526426">
        <w:rPr>
          <w:rFonts w:asciiTheme="minorHAnsi" w:eastAsiaTheme="minorHAnsi" w:hAnsiTheme="minorHAnsi" w:cstheme="minorHAnsi"/>
          <w:bCs/>
          <w:sz w:val="26"/>
          <w:szCs w:val="26"/>
        </w:rPr>
        <w:t xml:space="preserve">, ca neîntemeiată. </w:t>
      </w:r>
      <w:r w:rsidR="005E394F" w:rsidRPr="00526426">
        <w:rPr>
          <w:rFonts w:asciiTheme="minorHAnsi" w:eastAsiaTheme="minorHAnsi" w:hAnsiTheme="minorHAnsi" w:cstheme="minorHAnsi"/>
          <w:bCs/>
          <w:sz w:val="26"/>
          <w:szCs w:val="26"/>
        </w:rPr>
        <w:t>Prin decizia civilă nr. 264 din 02.12.2024 pronunțată de Înalta Curte de Casație şi Justiție s-a respins recursul declarat de reclamantă, ca nefondat.</w:t>
      </w:r>
    </w:p>
    <w:p w14:paraId="4E88E553" w14:textId="2B4557BE" w:rsidR="00895FF8" w:rsidRPr="004A72CD" w:rsidRDefault="00895FF8" w:rsidP="00D51F5A">
      <w:pPr>
        <w:spacing w:line="276" w:lineRule="auto"/>
        <w:ind w:right="43" w:firstLine="709"/>
        <w:jc w:val="both"/>
        <w:rPr>
          <w:rFonts w:asciiTheme="minorHAnsi" w:eastAsiaTheme="minorHAnsi" w:hAnsiTheme="minorHAnsi" w:cstheme="minorHAnsi"/>
          <w:bCs/>
          <w:sz w:val="26"/>
          <w:szCs w:val="26"/>
        </w:rPr>
      </w:pPr>
      <w:r w:rsidRPr="004A72CD">
        <w:rPr>
          <w:rFonts w:asciiTheme="minorHAnsi" w:eastAsiaTheme="minorHAnsi" w:hAnsiTheme="minorHAnsi" w:cstheme="minorHAnsi"/>
          <w:bCs/>
          <w:sz w:val="26"/>
          <w:szCs w:val="26"/>
        </w:rPr>
        <w:t>Prin Hotărârea nr. 9P din 26 iunie 2024, pronunțată în dosarul nr. 1/P/2023, s-a admis acțiunea disciplinară și s-a aplicat pârâtului sancțiunea disciplinară constând în „diminuarea indemnizației de încadrare lunare brute cu 10% pe o perioadă de 3 luni” pentru săvârșirea abaterii disciplinare prevăzută de art. 271 lit. a) din Legea nr. 303/2022</w:t>
      </w:r>
      <w:r w:rsidR="00D7327B" w:rsidRPr="004A72CD">
        <w:rPr>
          <w:rFonts w:asciiTheme="minorHAnsi" w:eastAsiaTheme="minorHAnsi" w:hAnsiTheme="minorHAnsi" w:cstheme="minorHAnsi"/>
          <w:bCs/>
          <w:sz w:val="26"/>
          <w:szCs w:val="26"/>
        </w:rPr>
        <w:t xml:space="preserve"> privind statutul judecătorilor şi procurorilor</w:t>
      </w:r>
      <w:r w:rsidRPr="004A72CD">
        <w:rPr>
          <w:rFonts w:asciiTheme="minorHAnsi" w:eastAsiaTheme="minorHAnsi" w:hAnsiTheme="minorHAnsi" w:cstheme="minorHAnsi"/>
          <w:sz w:val="26"/>
          <w:szCs w:val="26"/>
        </w:rPr>
        <w:t>.</w:t>
      </w:r>
      <w:r w:rsidRPr="004A72CD">
        <w:rPr>
          <w:rFonts w:asciiTheme="minorHAnsi" w:eastAsiaTheme="minorHAnsi" w:hAnsiTheme="minorHAnsi" w:cstheme="minorHAnsi"/>
          <w:bCs/>
          <w:sz w:val="26"/>
          <w:szCs w:val="26"/>
        </w:rPr>
        <w:t xml:space="preserve"> Hotărârea nu este definitivă.</w:t>
      </w:r>
    </w:p>
    <w:p w14:paraId="5F625B18" w14:textId="41D4DFD2" w:rsidR="008E49FF" w:rsidRPr="005403AD" w:rsidRDefault="008E49FF" w:rsidP="008E49FF">
      <w:pPr>
        <w:spacing w:line="276" w:lineRule="auto"/>
        <w:ind w:right="43" w:firstLine="709"/>
        <w:jc w:val="both"/>
        <w:rPr>
          <w:rFonts w:asciiTheme="minorHAnsi" w:eastAsiaTheme="minorHAnsi" w:hAnsiTheme="minorHAnsi" w:cstheme="minorHAnsi"/>
          <w:bCs/>
          <w:sz w:val="26"/>
          <w:szCs w:val="26"/>
        </w:rPr>
      </w:pPr>
      <w:r>
        <w:rPr>
          <w:rFonts w:asciiTheme="minorHAnsi" w:eastAsiaTheme="minorHAnsi" w:hAnsiTheme="minorHAnsi" w:cstheme="minorHAnsi"/>
          <w:bCs/>
          <w:sz w:val="26"/>
          <w:szCs w:val="26"/>
        </w:rPr>
        <w:t xml:space="preserve">Prin Hotărârea nr. 10P din 26 iunie 2024, pronunțată în dosarul nr. 6/P/2023, s-a respins acțiunea disciplinară având ca obiect săvârșirea abaterilor disciplinare prevăzute de art. 271 lit. s) teza a II-a și lit. l) teza a II-a din Legea nr. 303/2022 privind statutul judecătorilor şi procurorilor, ca neîntemeiată. </w:t>
      </w:r>
      <w:r w:rsidRPr="005403AD">
        <w:rPr>
          <w:rFonts w:asciiTheme="minorHAnsi" w:eastAsiaTheme="minorHAnsi" w:hAnsiTheme="minorHAnsi" w:cstheme="minorHAnsi"/>
          <w:bCs/>
          <w:sz w:val="26"/>
          <w:szCs w:val="26"/>
        </w:rPr>
        <w:t>Prin decizia civilă nr. 229 din 04.11.2024 pronunțată de Înalta Curte de Casație şi Justiție s-au respins recursurile declarate de reclamantă şi pârât, ca nefondate.</w:t>
      </w:r>
    </w:p>
    <w:p w14:paraId="5B4D9377" w14:textId="77777777" w:rsidR="008E49FF" w:rsidRPr="005403AD" w:rsidRDefault="008E49FF" w:rsidP="008E49FF">
      <w:pPr>
        <w:spacing w:line="276" w:lineRule="auto"/>
        <w:ind w:right="43" w:firstLine="709"/>
        <w:jc w:val="both"/>
        <w:rPr>
          <w:rFonts w:asciiTheme="minorHAnsi" w:eastAsiaTheme="minorHAnsi" w:hAnsiTheme="minorHAnsi" w:cstheme="minorHAnsi"/>
          <w:bCs/>
          <w:sz w:val="26"/>
          <w:szCs w:val="26"/>
        </w:rPr>
      </w:pPr>
      <w:r w:rsidRPr="005403AD">
        <w:rPr>
          <w:rFonts w:asciiTheme="minorHAnsi" w:eastAsiaTheme="minorHAnsi" w:hAnsiTheme="minorHAnsi" w:cstheme="minorHAnsi"/>
          <w:bCs/>
          <w:sz w:val="26"/>
          <w:szCs w:val="26"/>
        </w:rPr>
        <w:t>Prin Hotărârea nr. 11P din 26 iunie 2024, pronunțată în dosarul nr. 8/P/2023, s-a respins acțiunea disciplinară având ca obiect săvârșirea abaterii disciplinare prevăzută de art. 271 lit. h) teza I din Legea nr. 303/2022 privind statutul judecătorilor şi procurorilor, ca neîntemeiată. Prin decizia civilă nr. 243 din 04.11.2024 pronunțată de Înalta Curte de Casație şi Justiție s-a respins recursul declarat de reclamantă, ca nefondat.</w:t>
      </w:r>
    </w:p>
    <w:p w14:paraId="4A1F1DB6" w14:textId="77777777" w:rsidR="008E49FF" w:rsidRPr="005403AD" w:rsidRDefault="008E49FF" w:rsidP="008E49FF">
      <w:pPr>
        <w:spacing w:line="276" w:lineRule="auto"/>
        <w:ind w:right="43" w:firstLine="709"/>
        <w:jc w:val="both"/>
        <w:rPr>
          <w:rFonts w:asciiTheme="minorHAnsi" w:eastAsiaTheme="minorHAnsi" w:hAnsiTheme="minorHAnsi" w:cstheme="minorHAnsi"/>
          <w:bCs/>
          <w:sz w:val="26"/>
          <w:szCs w:val="26"/>
        </w:rPr>
      </w:pPr>
      <w:r w:rsidRPr="005403AD">
        <w:rPr>
          <w:rFonts w:asciiTheme="minorHAnsi" w:eastAsiaTheme="minorHAnsi" w:hAnsiTheme="minorHAnsi" w:cstheme="minorHAnsi"/>
          <w:bCs/>
          <w:sz w:val="26"/>
          <w:szCs w:val="26"/>
        </w:rPr>
        <w:lastRenderedPageBreak/>
        <w:t>Prin Hotărârea nr. 12P din 13 noiembrie 2024, pronunțată în dosarul nr. 14/P/2019, s-a respins acțiunea disciplinară având ca obiect săvârșirea abaterii disciplinare prevăzută de art. 99 lit. i) teza I din Legea nr. 303/2004 privind statutul judecătorilor şi procurorilor, ca neîntemeiată. Hotărârea nu este definitivă.</w:t>
      </w:r>
    </w:p>
    <w:p w14:paraId="26C3B506" w14:textId="77777777" w:rsidR="008E49FF" w:rsidRPr="00526426" w:rsidRDefault="008E49FF" w:rsidP="008E49FF">
      <w:pPr>
        <w:spacing w:line="276" w:lineRule="auto"/>
        <w:ind w:right="43" w:firstLine="709"/>
        <w:jc w:val="both"/>
        <w:rPr>
          <w:rFonts w:asciiTheme="minorHAnsi" w:eastAsiaTheme="minorHAnsi" w:hAnsiTheme="minorHAnsi" w:cstheme="minorHAnsi"/>
          <w:bCs/>
          <w:sz w:val="26"/>
          <w:szCs w:val="26"/>
        </w:rPr>
      </w:pPr>
      <w:r w:rsidRPr="005403AD">
        <w:rPr>
          <w:rFonts w:asciiTheme="minorHAnsi" w:eastAsiaTheme="minorHAnsi" w:hAnsiTheme="minorHAnsi" w:cstheme="minorHAnsi"/>
          <w:bCs/>
          <w:sz w:val="26"/>
          <w:szCs w:val="26"/>
        </w:rPr>
        <w:t xml:space="preserve">Prin Hotărârea nr. 13P din 20 noiembrie 2024 pronunţată, în dosarul nr. 2/P/2024, s-a admis propunerea privind </w:t>
      </w:r>
      <w:r w:rsidRPr="00526426">
        <w:rPr>
          <w:rFonts w:asciiTheme="minorHAnsi" w:eastAsiaTheme="minorHAnsi" w:hAnsiTheme="minorHAnsi" w:cstheme="minorHAnsi"/>
          <w:bCs/>
          <w:sz w:val="26"/>
          <w:szCs w:val="26"/>
        </w:rPr>
        <w:t>suspendarea din funcție şi s-a dispus suspendarea din funcţie până la finalizarea, în mod definitiv, a acţiunii disciplinare. Hotărârea nu este definitivă.</w:t>
      </w:r>
    </w:p>
    <w:p w14:paraId="6E792141" w14:textId="77777777" w:rsidR="004207EF" w:rsidRPr="00526426" w:rsidRDefault="004207EF" w:rsidP="004207EF">
      <w:pPr>
        <w:spacing w:line="276" w:lineRule="auto"/>
        <w:ind w:right="43" w:firstLine="709"/>
        <w:jc w:val="both"/>
        <w:rPr>
          <w:rFonts w:asciiTheme="minorHAnsi" w:eastAsiaTheme="minorHAnsi" w:hAnsiTheme="minorHAnsi" w:cstheme="minorHAnsi"/>
          <w:bCs/>
          <w:sz w:val="26"/>
          <w:szCs w:val="26"/>
        </w:rPr>
      </w:pPr>
      <w:r w:rsidRPr="00526426">
        <w:rPr>
          <w:rFonts w:asciiTheme="minorHAnsi" w:eastAsiaTheme="minorHAnsi" w:hAnsiTheme="minorHAnsi" w:cstheme="minorHAnsi"/>
          <w:bCs/>
          <w:sz w:val="26"/>
          <w:szCs w:val="26"/>
        </w:rPr>
        <w:t>Prin Hotărârea nr. 14P din 27 noiembrie 2024 pronunţată, în dosarul nr. 13/P/2021, s-a admis acțiunea disciplinară şi s-a aplicat pârâtului sancțiunea disciplinară constând în „retrogradare din grad profesional corespunzător P.Î.C.C.J. în grad profesional de parchet de pe lângă curtea de apel” pentru săvârșirea abaterilor disciplinare prevăzute de art. 99 lit. a) și lit. m) teza I din Legea nr. 303/2004 privind statutul judecătorilor și procurorilor. În conformitate cu dispoziţiile art. 52</w:t>
      </w:r>
      <w:r w:rsidRPr="00526426">
        <w:rPr>
          <w:rFonts w:asciiTheme="minorHAnsi" w:eastAsiaTheme="minorHAnsi" w:hAnsiTheme="minorHAnsi" w:cstheme="minorHAnsi"/>
          <w:bCs/>
          <w:sz w:val="26"/>
          <w:szCs w:val="26"/>
          <w:vertAlign w:val="superscript"/>
        </w:rPr>
        <w:t>1</w:t>
      </w:r>
      <w:r w:rsidRPr="00526426">
        <w:rPr>
          <w:rFonts w:asciiTheme="minorHAnsi" w:eastAsiaTheme="minorHAnsi" w:hAnsiTheme="minorHAnsi" w:cstheme="minorHAnsi"/>
          <w:bCs/>
          <w:sz w:val="26"/>
          <w:szCs w:val="26"/>
        </w:rPr>
        <w:t xml:space="preserve"> alin. (2) din Legea nr. 317/2004 privind Consiliul Superior al Magistraturii, republicată, cu modificările şi completările ulterioare, sancţiunea disciplinară nu se va mai executa. Hotărârea nu este definitivă.</w:t>
      </w:r>
    </w:p>
    <w:p w14:paraId="37FDB63F" w14:textId="77777777" w:rsidR="004207EF" w:rsidRPr="00526426" w:rsidRDefault="004207EF" w:rsidP="004207EF">
      <w:pPr>
        <w:spacing w:line="276" w:lineRule="auto"/>
        <w:ind w:right="43" w:firstLine="709"/>
        <w:jc w:val="both"/>
        <w:rPr>
          <w:rFonts w:asciiTheme="minorHAnsi" w:eastAsiaTheme="minorHAnsi" w:hAnsiTheme="minorHAnsi" w:cstheme="minorHAnsi"/>
          <w:bCs/>
          <w:sz w:val="26"/>
          <w:szCs w:val="26"/>
        </w:rPr>
      </w:pPr>
      <w:r w:rsidRPr="00526426">
        <w:rPr>
          <w:rFonts w:asciiTheme="minorHAnsi" w:eastAsiaTheme="minorHAnsi" w:hAnsiTheme="minorHAnsi" w:cstheme="minorHAnsi"/>
          <w:bCs/>
          <w:sz w:val="26"/>
          <w:szCs w:val="26"/>
        </w:rPr>
        <w:t>Prin Hotărârea nr. 15P din 02 decembrie 2024 pronunţată, în dosarul nr. 9/P/2020, s-a respins acțiunea disciplinară având ca obiect săvârșirea abaterii disciplinare prevăzută de art. 99 lit. a) din Legea nr. 303/2004 privind statutul judecătorilor şi procurorilor, ca neîntemeiată. Hotărârea nu este definitivă.</w:t>
      </w:r>
    </w:p>
    <w:p w14:paraId="63F9E38C" w14:textId="77777777" w:rsidR="004207EF" w:rsidRPr="00526426" w:rsidRDefault="004207EF" w:rsidP="004207EF">
      <w:pPr>
        <w:spacing w:line="276" w:lineRule="auto"/>
        <w:ind w:right="43" w:firstLine="709"/>
        <w:jc w:val="both"/>
        <w:rPr>
          <w:rFonts w:asciiTheme="minorHAnsi" w:eastAsiaTheme="minorHAnsi" w:hAnsiTheme="minorHAnsi" w:cstheme="minorHAnsi"/>
          <w:bCs/>
          <w:sz w:val="26"/>
          <w:szCs w:val="26"/>
        </w:rPr>
      </w:pPr>
      <w:r w:rsidRPr="00526426">
        <w:rPr>
          <w:rFonts w:asciiTheme="minorHAnsi" w:eastAsiaTheme="minorHAnsi" w:hAnsiTheme="minorHAnsi" w:cstheme="minorHAnsi"/>
          <w:bCs/>
          <w:sz w:val="26"/>
          <w:szCs w:val="26"/>
        </w:rPr>
        <w:t>Astfel, până la data de 31 decembrie 2024, Secția pentru procurori în materie disciplinară a pronunțat un număr de 15 hotărâri, după cum urmează:</w:t>
      </w:r>
    </w:p>
    <w:p w14:paraId="049B5C30" w14:textId="77777777" w:rsidR="004207EF" w:rsidRPr="00526426" w:rsidRDefault="004207EF" w:rsidP="004207EF">
      <w:pPr>
        <w:spacing w:line="276" w:lineRule="auto"/>
        <w:ind w:right="43" w:firstLine="709"/>
        <w:jc w:val="both"/>
        <w:rPr>
          <w:rFonts w:asciiTheme="minorHAnsi" w:eastAsiaTheme="minorHAnsi" w:hAnsiTheme="minorHAnsi" w:cstheme="minorHAnsi"/>
          <w:bCs/>
          <w:sz w:val="26"/>
          <w:szCs w:val="26"/>
        </w:rPr>
      </w:pPr>
      <w:r w:rsidRPr="00526426">
        <w:rPr>
          <w:rFonts w:asciiTheme="minorHAnsi" w:eastAsiaTheme="minorHAnsi" w:hAnsiTheme="minorHAnsi" w:cstheme="minorHAnsi"/>
          <w:bCs/>
          <w:sz w:val="26"/>
          <w:szCs w:val="26"/>
        </w:rPr>
        <w:t>- 5 acţiuni disciplinare admise (3 hotărâri definitive şi 2 hotărâri nedefinitive)</w:t>
      </w:r>
    </w:p>
    <w:p w14:paraId="572C473F" w14:textId="77777777" w:rsidR="004207EF" w:rsidRPr="00526426" w:rsidRDefault="004207EF" w:rsidP="004207EF">
      <w:pPr>
        <w:spacing w:line="276" w:lineRule="auto"/>
        <w:ind w:right="43" w:firstLine="709"/>
        <w:jc w:val="both"/>
        <w:rPr>
          <w:rFonts w:asciiTheme="minorHAnsi" w:eastAsiaTheme="minorHAnsi" w:hAnsiTheme="minorHAnsi" w:cstheme="minorHAnsi"/>
          <w:bCs/>
          <w:sz w:val="26"/>
          <w:szCs w:val="26"/>
        </w:rPr>
      </w:pPr>
      <w:r w:rsidRPr="00526426">
        <w:rPr>
          <w:rFonts w:asciiTheme="minorHAnsi" w:eastAsiaTheme="minorHAnsi" w:hAnsiTheme="minorHAnsi" w:cstheme="minorHAnsi"/>
          <w:bCs/>
          <w:sz w:val="26"/>
          <w:szCs w:val="26"/>
        </w:rPr>
        <w:t>- 8 acțiuni disciplinare respinse (6 hotărârile definitive și 2 hotărâri nedefinitive)</w:t>
      </w:r>
    </w:p>
    <w:p w14:paraId="3B534434" w14:textId="77777777" w:rsidR="008E49FF" w:rsidRPr="005403AD" w:rsidRDefault="008E49FF" w:rsidP="008E49FF">
      <w:pPr>
        <w:spacing w:line="276" w:lineRule="auto"/>
        <w:ind w:right="43" w:firstLine="709"/>
        <w:jc w:val="both"/>
        <w:rPr>
          <w:rFonts w:asciiTheme="minorHAnsi" w:eastAsiaTheme="minorHAnsi" w:hAnsiTheme="minorHAnsi" w:cstheme="minorHAnsi"/>
          <w:bCs/>
          <w:sz w:val="26"/>
          <w:szCs w:val="26"/>
        </w:rPr>
      </w:pPr>
      <w:r w:rsidRPr="005403AD">
        <w:rPr>
          <w:rFonts w:asciiTheme="minorHAnsi" w:eastAsiaTheme="minorHAnsi" w:hAnsiTheme="minorHAnsi" w:cstheme="minorHAnsi"/>
          <w:bCs/>
          <w:sz w:val="26"/>
          <w:szCs w:val="26"/>
        </w:rPr>
        <w:t>- într-un dosar s-a constatat nulitatea absolută a acțiunii disciplinare (hotărârea este definitivă)</w:t>
      </w:r>
    </w:p>
    <w:p w14:paraId="046C3FA2" w14:textId="77777777" w:rsidR="008E49FF" w:rsidRPr="005403AD" w:rsidRDefault="008E49FF" w:rsidP="008E49FF">
      <w:pPr>
        <w:spacing w:line="276" w:lineRule="auto"/>
        <w:ind w:right="43" w:firstLine="709"/>
        <w:jc w:val="both"/>
        <w:rPr>
          <w:rFonts w:asciiTheme="minorHAnsi" w:eastAsiaTheme="minorHAnsi" w:hAnsiTheme="minorHAnsi" w:cstheme="minorHAnsi"/>
          <w:bCs/>
          <w:sz w:val="26"/>
          <w:szCs w:val="26"/>
        </w:rPr>
      </w:pPr>
      <w:r w:rsidRPr="005403AD">
        <w:rPr>
          <w:rFonts w:asciiTheme="minorHAnsi" w:eastAsiaTheme="minorHAnsi" w:hAnsiTheme="minorHAnsi" w:cstheme="minorHAnsi"/>
          <w:bCs/>
          <w:sz w:val="26"/>
          <w:szCs w:val="26"/>
        </w:rPr>
        <w:t>- într-un dosar s-a admis propunerea privind suspendarea din funcție (hotărârea nu este definitivă)</w:t>
      </w:r>
    </w:p>
    <w:p w14:paraId="07B9FDE8" w14:textId="03D8A6EE" w:rsidR="00A84F98" w:rsidRPr="004A72CD" w:rsidRDefault="008E49FF" w:rsidP="00A84F98">
      <w:pPr>
        <w:spacing w:line="276" w:lineRule="auto"/>
        <w:ind w:right="43" w:firstLine="709"/>
        <w:jc w:val="both"/>
        <w:rPr>
          <w:rFonts w:asciiTheme="minorHAnsi" w:eastAsiaTheme="minorHAnsi" w:hAnsiTheme="minorHAnsi" w:cstheme="minorHAnsi"/>
          <w:bCs/>
          <w:sz w:val="26"/>
          <w:szCs w:val="26"/>
        </w:rPr>
      </w:pPr>
      <w:r w:rsidRPr="005403AD">
        <w:rPr>
          <w:rFonts w:asciiTheme="minorHAnsi" w:eastAsiaTheme="minorHAnsi" w:hAnsiTheme="minorHAnsi" w:cstheme="minorHAnsi"/>
          <w:bCs/>
          <w:sz w:val="26"/>
          <w:szCs w:val="26"/>
        </w:rPr>
        <w:t xml:space="preserve">De asemenea, până la data de </w:t>
      </w:r>
      <w:r w:rsidR="00F623B4">
        <w:rPr>
          <w:rFonts w:asciiTheme="minorHAnsi" w:eastAsiaTheme="minorHAnsi" w:hAnsiTheme="minorHAnsi" w:cstheme="minorHAnsi"/>
          <w:bCs/>
          <w:sz w:val="26"/>
          <w:szCs w:val="26"/>
        </w:rPr>
        <w:t>31 dec</w:t>
      </w:r>
      <w:r w:rsidRPr="005403AD">
        <w:rPr>
          <w:rFonts w:asciiTheme="minorHAnsi" w:eastAsiaTheme="minorHAnsi" w:hAnsiTheme="minorHAnsi" w:cstheme="minorHAnsi"/>
          <w:bCs/>
          <w:sz w:val="26"/>
          <w:szCs w:val="26"/>
        </w:rPr>
        <w:t>embrie 2024, Secţia pentru procurori în materie disciplinară a dispus suspendarea judecății cauzei în două dosare (soluţie care a fost desfiinţată de către Înalta Curte de Casaţie şi Justiţie în dosarele nr.</w:t>
      </w:r>
      <w:r w:rsidR="005403AD">
        <w:rPr>
          <w:rFonts w:asciiTheme="minorHAnsi" w:eastAsiaTheme="minorHAnsi" w:hAnsiTheme="minorHAnsi" w:cstheme="minorHAnsi"/>
          <w:bCs/>
          <w:sz w:val="26"/>
          <w:szCs w:val="26"/>
        </w:rPr>
        <w:t xml:space="preserve"> </w:t>
      </w:r>
      <w:r w:rsidRPr="005403AD">
        <w:rPr>
          <w:rFonts w:asciiTheme="minorHAnsi" w:eastAsiaTheme="minorHAnsi" w:hAnsiTheme="minorHAnsi" w:cstheme="minorHAnsi"/>
          <w:bCs/>
          <w:sz w:val="26"/>
          <w:szCs w:val="26"/>
        </w:rPr>
        <w:t>880/1/2024 și nr.</w:t>
      </w:r>
      <w:r w:rsidR="005403AD">
        <w:rPr>
          <w:rFonts w:asciiTheme="minorHAnsi" w:eastAsiaTheme="minorHAnsi" w:hAnsiTheme="minorHAnsi" w:cstheme="minorHAnsi"/>
          <w:bCs/>
          <w:sz w:val="26"/>
          <w:szCs w:val="26"/>
        </w:rPr>
        <w:t xml:space="preserve"> </w:t>
      </w:r>
      <w:r w:rsidRPr="005403AD">
        <w:rPr>
          <w:rFonts w:asciiTheme="minorHAnsi" w:eastAsiaTheme="minorHAnsi" w:hAnsiTheme="minorHAnsi" w:cstheme="minorHAnsi"/>
          <w:bCs/>
          <w:sz w:val="26"/>
          <w:szCs w:val="26"/>
        </w:rPr>
        <w:t xml:space="preserve">881/1/2024 şi prin care a dispus continuarea judecăţii) și a repus pe rol, din oficiu, un număr de </w:t>
      </w:r>
      <w:r w:rsidR="00F623B4">
        <w:rPr>
          <w:rFonts w:asciiTheme="minorHAnsi" w:eastAsiaTheme="minorHAnsi" w:hAnsiTheme="minorHAnsi" w:cstheme="minorHAnsi"/>
          <w:bCs/>
          <w:sz w:val="26"/>
          <w:szCs w:val="26"/>
        </w:rPr>
        <w:t>6</w:t>
      </w:r>
      <w:r w:rsidRPr="005403AD">
        <w:rPr>
          <w:rFonts w:asciiTheme="minorHAnsi" w:eastAsiaTheme="minorHAnsi" w:hAnsiTheme="minorHAnsi" w:cstheme="minorHAnsi"/>
          <w:bCs/>
          <w:sz w:val="26"/>
          <w:szCs w:val="26"/>
        </w:rPr>
        <w:t xml:space="preserve"> dosare (după soluționarea definitivă a dosarelor nr. 793/46/2021 şi nr. 791/46/2021 ale Curţii de Apel Alba Iulia, nr. 792/46/2021 al Curţii de Apel Brașov</w:t>
      </w:r>
      <w:r w:rsidR="00A84F98">
        <w:rPr>
          <w:rFonts w:asciiTheme="minorHAnsi" w:eastAsiaTheme="minorHAnsi" w:hAnsiTheme="minorHAnsi" w:cstheme="minorHAnsi"/>
          <w:bCs/>
          <w:sz w:val="26"/>
          <w:szCs w:val="26"/>
        </w:rPr>
        <w:t xml:space="preserve">, </w:t>
      </w:r>
      <w:r w:rsidR="00A84F98" w:rsidRPr="00526426">
        <w:rPr>
          <w:rFonts w:asciiTheme="minorHAnsi" w:eastAsiaTheme="minorHAnsi" w:hAnsiTheme="minorHAnsi" w:cstheme="minorHAnsi"/>
          <w:bCs/>
          <w:sz w:val="26"/>
          <w:szCs w:val="26"/>
        </w:rPr>
        <w:t>respectiv după soluţionarea definitivă a dosarului nr.1911/1/2023 al Înaltei Curţi de Casaţie şi Justiţie – Completul de 5 judecători, având ca obiect rechizitoriul nr. 21/P/2018 al Parchetului de pe lângă Înalta Curte de Casaţie şi Justiţie).</w:t>
      </w:r>
    </w:p>
    <w:p w14:paraId="58C8B553" w14:textId="3A44128B" w:rsidR="008E49FF" w:rsidRPr="005403AD" w:rsidRDefault="008E49FF" w:rsidP="008E49FF">
      <w:pPr>
        <w:spacing w:line="276" w:lineRule="auto"/>
        <w:ind w:right="43" w:firstLine="709"/>
        <w:jc w:val="both"/>
        <w:rPr>
          <w:rFonts w:asciiTheme="minorHAnsi" w:eastAsiaTheme="minorHAnsi" w:hAnsiTheme="minorHAnsi" w:cstheme="minorHAnsi"/>
          <w:bCs/>
          <w:sz w:val="26"/>
          <w:szCs w:val="26"/>
        </w:rPr>
      </w:pPr>
      <w:r w:rsidRPr="005403AD">
        <w:rPr>
          <w:rFonts w:asciiTheme="minorHAnsi" w:eastAsiaTheme="minorHAnsi" w:hAnsiTheme="minorHAnsi" w:cstheme="minorHAnsi"/>
          <w:bCs/>
          <w:sz w:val="26"/>
          <w:szCs w:val="26"/>
        </w:rPr>
        <w:t xml:space="preserve">La data de </w:t>
      </w:r>
      <w:r w:rsidR="00187BE6">
        <w:rPr>
          <w:rFonts w:asciiTheme="minorHAnsi" w:eastAsiaTheme="minorHAnsi" w:hAnsiTheme="minorHAnsi" w:cstheme="minorHAnsi"/>
          <w:bCs/>
          <w:sz w:val="26"/>
          <w:szCs w:val="26"/>
        </w:rPr>
        <w:t>31 dec</w:t>
      </w:r>
      <w:r w:rsidRPr="005403AD">
        <w:rPr>
          <w:rFonts w:asciiTheme="minorHAnsi" w:eastAsiaTheme="minorHAnsi" w:hAnsiTheme="minorHAnsi" w:cstheme="minorHAnsi"/>
          <w:bCs/>
          <w:sz w:val="26"/>
          <w:szCs w:val="26"/>
        </w:rPr>
        <w:t xml:space="preserve">embrie 2024, pe rolul Secției pentru procurori în materie disciplinară se află un număr de </w:t>
      </w:r>
      <w:r w:rsidR="00187BE6">
        <w:rPr>
          <w:rFonts w:asciiTheme="minorHAnsi" w:eastAsiaTheme="minorHAnsi" w:hAnsiTheme="minorHAnsi" w:cstheme="minorHAnsi"/>
          <w:bCs/>
          <w:sz w:val="26"/>
          <w:szCs w:val="26"/>
        </w:rPr>
        <w:t>6</w:t>
      </w:r>
      <w:r w:rsidRPr="005403AD">
        <w:rPr>
          <w:rFonts w:asciiTheme="minorHAnsi" w:eastAsiaTheme="minorHAnsi" w:hAnsiTheme="minorHAnsi" w:cstheme="minorHAnsi"/>
          <w:bCs/>
          <w:sz w:val="26"/>
          <w:szCs w:val="26"/>
        </w:rPr>
        <w:t xml:space="preserve"> dosare în vederea soluționării, din care un dosar a fost trimis de Înalta Curte de Casaţie şi Justiţie în vederea continuării judecăţii ca urmare a casării hotărârii (dosar nr. 1746/1/2023 al Înaltei Curţi de Casaţie şi Justiţie).</w:t>
      </w:r>
    </w:p>
    <w:p w14:paraId="2D905FE7" w14:textId="55B1226D" w:rsidR="001E6E83" w:rsidRPr="00E803F1" w:rsidRDefault="008E49FF" w:rsidP="00E803F1">
      <w:pPr>
        <w:spacing w:line="276" w:lineRule="auto"/>
        <w:ind w:right="43" w:firstLine="709"/>
        <w:jc w:val="both"/>
        <w:rPr>
          <w:rFonts w:asciiTheme="minorHAnsi" w:eastAsiaTheme="minorHAnsi" w:hAnsiTheme="minorHAnsi" w:cstheme="minorHAnsi"/>
          <w:bCs/>
          <w:sz w:val="26"/>
          <w:szCs w:val="26"/>
        </w:rPr>
      </w:pPr>
      <w:r>
        <w:rPr>
          <w:rFonts w:asciiTheme="minorHAnsi" w:eastAsiaTheme="minorHAnsi" w:hAnsiTheme="minorHAnsi" w:cstheme="minorHAnsi"/>
          <w:bCs/>
          <w:sz w:val="26"/>
          <w:szCs w:val="26"/>
        </w:rPr>
        <w:t>Stocul dosarelor Secției pentru procurori în materie disciplinară la data de 01 ianuarie 2024: 1 dosar înregistrat în anul 2020 + 1 dosar înregistrat în anul 2021 + 1 dosar înregistrat în anul 2022 + 9 dosare înregistrate în anul 2023 + 10 dosare suspendate (2 dosare din anul 2018 + 3 dosare din anul 2019 + 1 dosar din anul 2020 + 4 dosar din anul 2021). Total în stoc: 22 dosare.</w:t>
      </w:r>
      <w:bookmarkStart w:id="114" w:name="_Toc430867124"/>
    </w:p>
    <w:p w14:paraId="2A8C878F" w14:textId="77777777" w:rsidR="00895FF8" w:rsidRPr="004A72CD" w:rsidRDefault="00895FF8" w:rsidP="00D51F5A">
      <w:pPr>
        <w:suppressLineNumbers/>
        <w:suppressAutoHyphens/>
        <w:spacing w:before="240" w:line="276" w:lineRule="auto"/>
        <w:jc w:val="center"/>
        <w:outlineLvl w:val="0"/>
        <w:rPr>
          <w:rFonts w:asciiTheme="minorHAnsi" w:eastAsiaTheme="majorEastAsia" w:hAnsiTheme="minorHAnsi" w:cstheme="minorHAnsi"/>
          <w:b/>
          <w:sz w:val="26"/>
          <w:szCs w:val="26"/>
        </w:rPr>
      </w:pPr>
      <w:bookmarkStart w:id="115" w:name="_Toc187824382"/>
      <w:r w:rsidRPr="004A72CD">
        <w:rPr>
          <w:rFonts w:asciiTheme="minorHAnsi" w:eastAsiaTheme="majorEastAsia" w:hAnsiTheme="minorHAnsi" w:cstheme="minorHAnsi"/>
          <w:b/>
          <w:sz w:val="26"/>
          <w:szCs w:val="26"/>
        </w:rPr>
        <w:lastRenderedPageBreak/>
        <w:t>CAPITOLUL V</w:t>
      </w:r>
      <w:bookmarkEnd w:id="115"/>
    </w:p>
    <w:p w14:paraId="6C393929" w14:textId="77777777" w:rsidR="00895FF8" w:rsidRPr="004A72CD" w:rsidRDefault="00895FF8" w:rsidP="00D51F5A">
      <w:pPr>
        <w:suppressLineNumbers/>
        <w:suppressAutoHyphens/>
        <w:spacing w:line="276" w:lineRule="auto"/>
        <w:jc w:val="center"/>
        <w:outlineLvl w:val="0"/>
        <w:rPr>
          <w:rFonts w:asciiTheme="minorHAnsi" w:eastAsiaTheme="majorEastAsia" w:hAnsiTheme="minorHAnsi" w:cstheme="minorHAnsi"/>
          <w:b/>
          <w:sz w:val="26"/>
          <w:szCs w:val="26"/>
        </w:rPr>
      </w:pPr>
      <w:bookmarkStart w:id="116" w:name="_Toc187824383"/>
      <w:r w:rsidRPr="004A72CD">
        <w:rPr>
          <w:rFonts w:asciiTheme="minorHAnsi" w:eastAsiaTheme="majorEastAsia" w:hAnsiTheme="minorHAnsi" w:cstheme="minorHAnsi"/>
          <w:b/>
          <w:sz w:val="26"/>
          <w:szCs w:val="26"/>
        </w:rPr>
        <w:t>Bugetul Consiliului Superior al Magistraturii</w:t>
      </w:r>
      <w:bookmarkEnd w:id="114"/>
      <w:bookmarkEnd w:id="116"/>
      <w:r w:rsidRPr="004A72CD">
        <w:rPr>
          <w:rFonts w:asciiTheme="minorHAnsi" w:eastAsiaTheme="majorEastAsia" w:hAnsiTheme="minorHAnsi" w:cstheme="minorHAnsi"/>
          <w:b/>
          <w:sz w:val="26"/>
          <w:szCs w:val="26"/>
        </w:rPr>
        <w:t xml:space="preserve"> </w:t>
      </w:r>
    </w:p>
    <w:p w14:paraId="6A52CD48" w14:textId="77777777" w:rsidR="00895FF8" w:rsidRPr="004A72CD" w:rsidRDefault="00895FF8" w:rsidP="00D51F5A">
      <w:pPr>
        <w:keepNext/>
        <w:tabs>
          <w:tab w:val="left" w:pos="851"/>
        </w:tabs>
        <w:spacing w:line="276" w:lineRule="auto"/>
        <w:jc w:val="both"/>
        <w:outlineLvl w:val="1"/>
        <w:rPr>
          <w:rFonts w:asciiTheme="minorHAnsi" w:eastAsiaTheme="minorHAnsi" w:hAnsiTheme="minorHAnsi" w:cstheme="minorHAnsi"/>
          <w:b/>
          <w:sz w:val="26"/>
          <w:szCs w:val="26"/>
        </w:rPr>
      </w:pPr>
      <w:bookmarkStart w:id="117" w:name="_Toc462750069"/>
    </w:p>
    <w:p w14:paraId="059A38DF" w14:textId="748D5F6C" w:rsidR="00895FF8" w:rsidRPr="00452041" w:rsidRDefault="00895FF8" w:rsidP="00F8012F">
      <w:pPr>
        <w:pStyle w:val="Heading2"/>
        <w:rPr>
          <w:rFonts w:eastAsiaTheme="minorHAnsi"/>
          <w:lang w:val="pt-PT"/>
        </w:rPr>
      </w:pPr>
      <w:bookmarkStart w:id="118" w:name="_Toc187824384"/>
      <w:r w:rsidRPr="00452041">
        <w:rPr>
          <w:rFonts w:eastAsiaTheme="minorHAnsi"/>
          <w:lang w:val="pt-PT"/>
        </w:rPr>
        <w:t>V.1.</w:t>
      </w:r>
      <w:r w:rsidRPr="00452041">
        <w:rPr>
          <w:rFonts w:eastAsiaTheme="minorHAnsi"/>
          <w:lang w:val="pt-PT"/>
        </w:rPr>
        <w:tab/>
        <w:t>Dinamica bugetului 202</w:t>
      </w:r>
      <w:r w:rsidR="005C614B" w:rsidRPr="00452041">
        <w:rPr>
          <w:rFonts w:eastAsiaTheme="minorHAnsi"/>
          <w:lang w:val="pt-PT"/>
        </w:rPr>
        <w:t>3</w:t>
      </w:r>
      <w:r w:rsidRPr="00452041">
        <w:rPr>
          <w:rFonts w:eastAsiaTheme="minorHAnsi"/>
          <w:lang w:val="pt-PT"/>
        </w:rPr>
        <w:t>-202</w:t>
      </w:r>
      <w:r w:rsidR="005C614B" w:rsidRPr="00452041">
        <w:rPr>
          <w:rFonts w:eastAsiaTheme="minorHAnsi"/>
          <w:lang w:val="pt-PT"/>
        </w:rPr>
        <w:t>4</w:t>
      </w:r>
      <w:r w:rsidRPr="00452041">
        <w:rPr>
          <w:rFonts w:eastAsiaTheme="minorHAnsi"/>
          <w:lang w:val="pt-PT"/>
        </w:rPr>
        <w:t xml:space="preserve"> şi perspectiva pentru anul 20</w:t>
      </w:r>
      <w:bookmarkEnd w:id="117"/>
      <w:r w:rsidRPr="00452041">
        <w:rPr>
          <w:rFonts w:eastAsiaTheme="minorHAnsi"/>
          <w:lang w:val="pt-PT"/>
        </w:rPr>
        <w:t>2</w:t>
      </w:r>
      <w:r w:rsidR="005C614B" w:rsidRPr="00452041">
        <w:rPr>
          <w:rFonts w:eastAsiaTheme="minorHAnsi"/>
          <w:lang w:val="pt-PT"/>
        </w:rPr>
        <w:t>5</w:t>
      </w:r>
      <w:bookmarkEnd w:id="118"/>
    </w:p>
    <w:p w14:paraId="08848434" w14:textId="77777777" w:rsidR="00895FF8" w:rsidRPr="004A72CD" w:rsidRDefault="00895FF8" w:rsidP="00D51F5A">
      <w:pPr>
        <w:spacing w:line="276" w:lineRule="auto"/>
        <w:ind w:right="48" w:firstLine="709"/>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 xml:space="preserve"> Politica bugetară pe anul 2024 a susţinut, în mare măsură, activitatea desfăşurată de Consiliul Superior al Magistraturii şi de instituţiile aflate în coordonarea Consiliului, stabilindu-se o finanţare corespunzătoare prin estimarea bugetului pentru fiecare obiectiv în parte. </w:t>
      </w:r>
    </w:p>
    <w:p w14:paraId="5ED0736A" w14:textId="096A6BC1" w:rsidR="00895FF8" w:rsidRPr="004A72CD" w:rsidRDefault="00895FF8" w:rsidP="00D51F5A">
      <w:pPr>
        <w:spacing w:line="276" w:lineRule="auto"/>
        <w:ind w:right="48" w:firstLine="709"/>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Astfel, programul de cheltuieli potrivit bugetului de stat acordat pentru întreaga activitate desfăşurată de Consiliul Superior al Magistraturii, precum şi în perspectiva anului 202</w:t>
      </w:r>
      <w:r w:rsidR="005C614B">
        <w:rPr>
          <w:rFonts w:asciiTheme="minorHAnsi" w:eastAsiaTheme="minorHAnsi" w:hAnsiTheme="minorHAnsi" w:cstheme="minorHAnsi"/>
          <w:sz w:val="26"/>
          <w:szCs w:val="26"/>
        </w:rPr>
        <w:t>5</w:t>
      </w:r>
      <w:r w:rsidRPr="004A72CD">
        <w:rPr>
          <w:rFonts w:asciiTheme="minorHAnsi" w:eastAsiaTheme="minorHAnsi" w:hAnsiTheme="minorHAnsi" w:cstheme="minorHAnsi"/>
          <w:sz w:val="26"/>
          <w:szCs w:val="26"/>
        </w:rPr>
        <w:t>, în dinamică, este următorul:</w:t>
      </w:r>
    </w:p>
    <w:p w14:paraId="7DE89002" w14:textId="09900B4F" w:rsidR="00895FF8" w:rsidRPr="004A72CD" w:rsidRDefault="00895FF8" w:rsidP="00D51F5A">
      <w:pPr>
        <w:spacing w:line="276" w:lineRule="auto"/>
        <w:jc w:val="both"/>
        <w:rPr>
          <w:rFonts w:asciiTheme="minorHAnsi" w:eastAsiaTheme="minorHAnsi" w:hAnsiTheme="minorHAnsi" w:cstheme="minorHAnsi"/>
          <w:b/>
          <w:sz w:val="26"/>
          <w:szCs w:val="26"/>
        </w:rPr>
      </w:pPr>
      <w:r w:rsidRPr="004A72CD">
        <w:rPr>
          <w:rFonts w:asciiTheme="minorHAnsi" w:eastAsiaTheme="minorHAnsi" w:hAnsiTheme="minorHAnsi" w:cstheme="minorHAnsi"/>
          <w:b/>
          <w:sz w:val="26"/>
          <w:szCs w:val="26"/>
        </w:rPr>
        <w:t>Dinamica bugetului total al C.S.M. în anii 202</w:t>
      </w:r>
      <w:r w:rsidR="005C614B">
        <w:rPr>
          <w:rFonts w:asciiTheme="minorHAnsi" w:eastAsiaTheme="minorHAnsi" w:hAnsiTheme="minorHAnsi" w:cstheme="minorHAnsi"/>
          <w:b/>
          <w:sz w:val="26"/>
          <w:szCs w:val="26"/>
        </w:rPr>
        <w:t>3</w:t>
      </w:r>
      <w:r w:rsidR="00E63C8C" w:rsidRPr="004A72CD">
        <w:rPr>
          <w:rFonts w:asciiTheme="minorHAnsi" w:eastAsiaTheme="minorHAnsi" w:hAnsiTheme="minorHAnsi" w:cstheme="minorHAnsi"/>
          <w:b/>
          <w:sz w:val="26"/>
          <w:szCs w:val="26"/>
        </w:rPr>
        <w:t xml:space="preserve"> </w:t>
      </w:r>
      <w:r w:rsidRPr="004A72CD">
        <w:rPr>
          <w:rFonts w:asciiTheme="minorHAnsi" w:eastAsiaTheme="minorHAnsi" w:hAnsiTheme="minorHAnsi" w:cstheme="minorHAnsi"/>
          <w:b/>
          <w:sz w:val="26"/>
          <w:szCs w:val="26"/>
        </w:rPr>
        <w:t>-</w:t>
      </w:r>
      <w:r w:rsidR="00E63C8C" w:rsidRPr="004A72CD">
        <w:rPr>
          <w:rFonts w:asciiTheme="minorHAnsi" w:eastAsiaTheme="minorHAnsi" w:hAnsiTheme="minorHAnsi" w:cstheme="minorHAnsi"/>
          <w:b/>
          <w:sz w:val="26"/>
          <w:szCs w:val="26"/>
        </w:rPr>
        <w:t xml:space="preserve"> </w:t>
      </w:r>
      <w:r w:rsidRPr="004A72CD">
        <w:rPr>
          <w:rFonts w:asciiTheme="minorHAnsi" w:eastAsiaTheme="minorHAnsi" w:hAnsiTheme="minorHAnsi" w:cstheme="minorHAnsi"/>
          <w:b/>
          <w:sz w:val="26"/>
          <w:szCs w:val="26"/>
        </w:rPr>
        <w:t>202</w:t>
      </w:r>
      <w:r w:rsidR="005C614B">
        <w:rPr>
          <w:rFonts w:asciiTheme="minorHAnsi" w:eastAsiaTheme="minorHAnsi" w:hAnsiTheme="minorHAnsi" w:cstheme="minorHAnsi"/>
          <w:b/>
          <w:sz w:val="26"/>
          <w:szCs w:val="26"/>
        </w:rPr>
        <w:t>4</w:t>
      </w:r>
      <w:r w:rsidRPr="004A72CD">
        <w:rPr>
          <w:rFonts w:asciiTheme="minorHAnsi" w:eastAsiaTheme="minorHAnsi" w:hAnsiTheme="minorHAnsi" w:cstheme="minorHAnsi"/>
          <w:b/>
          <w:sz w:val="26"/>
          <w:szCs w:val="26"/>
        </w:rPr>
        <w:t xml:space="preserve"> şi perspectiva anului 202</w:t>
      </w:r>
      <w:r w:rsidR="00AC08E5">
        <w:rPr>
          <w:rFonts w:asciiTheme="minorHAnsi" w:eastAsiaTheme="minorHAnsi" w:hAnsiTheme="minorHAnsi" w:cstheme="minorHAnsi"/>
          <w:b/>
          <w:sz w:val="26"/>
          <w:szCs w:val="26"/>
        </w:rPr>
        <w:t>5</w:t>
      </w:r>
      <w:r w:rsidRPr="004A72CD">
        <w:rPr>
          <w:rFonts w:asciiTheme="minorHAnsi" w:eastAsiaTheme="minorHAnsi" w:hAnsiTheme="minorHAnsi" w:cstheme="minorHAnsi"/>
          <w:b/>
          <w:sz w:val="26"/>
          <w:szCs w:val="26"/>
        </w:rPr>
        <w:t>:</w:t>
      </w:r>
    </w:p>
    <w:p w14:paraId="5DE98925" w14:textId="77777777" w:rsidR="00895FF8" w:rsidRPr="004A72CD" w:rsidRDefault="00895FF8" w:rsidP="00D51F5A">
      <w:pPr>
        <w:spacing w:line="276" w:lineRule="auto"/>
        <w:jc w:val="both"/>
        <w:rPr>
          <w:rFonts w:asciiTheme="minorHAnsi" w:eastAsiaTheme="minorHAnsi" w:hAnsiTheme="minorHAnsi" w:cstheme="minorHAnsi"/>
          <w:b/>
          <w:sz w:val="26"/>
          <w:szCs w:val="26"/>
        </w:rPr>
      </w:pPr>
      <w:r w:rsidRPr="004A72CD">
        <w:rPr>
          <w:rFonts w:asciiTheme="minorHAnsi" w:eastAsiaTheme="minorHAnsi" w:hAnsiTheme="minorHAnsi" w:cstheme="minorHAnsi"/>
          <w:b/>
          <w:sz w:val="26"/>
          <w:szCs w:val="26"/>
        </w:rPr>
        <w:tab/>
      </w:r>
      <w:r w:rsidRPr="004A72CD">
        <w:rPr>
          <w:rFonts w:asciiTheme="minorHAnsi" w:eastAsiaTheme="minorHAnsi" w:hAnsiTheme="minorHAnsi" w:cstheme="minorHAnsi"/>
          <w:b/>
          <w:sz w:val="26"/>
          <w:szCs w:val="26"/>
        </w:rPr>
        <w:tab/>
      </w:r>
      <w:r w:rsidRPr="004A72CD">
        <w:rPr>
          <w:rFonts w:asciiTheme="minorHAnsi" w:eastAsiaTheme="minorHAnsi" w:hAnsiTheme="minorHAnsi" w:cstheme="minorHAnsi"/>
          <w:b/>
          <w:sz w:val="26"/>
          <w:szCs w:val="26"/>
        </w:rPr>
        <w:tab/>
      </w:r>
      <w:r w:rsidRPr="004A72CD">
        <w:rPr>
          <w:rFonts w:asciiTheme="minorHAnsi" w:eastAsiaTheme="minorHAnsi" w:hAnsiTheme="minorHAnsi" w:cstheme="minorHAnsi"/>
          <w:b/>
          <w:sz w:val="26"/>
          <w:szCs w:val="26"/>
        </w:rPr>
        <w:tab/>
      </w:r>
      <w:r w:rsidRPr="004A72CD">
        <w:rPr>
          <w:rFonts w:asciiTheme="minorHAnsi" w:eastAsiaTheme="minorHAnsi" w:hAnsiTheme="minorHAnsi" w:cstheme="minorHAnsi"/>
          <w:b/>
          <w:sz w:val="26"/>
          <w:szCs w:val="26"/>
        </w:rPr>
        <w:tab/>
      </w:r>
      <w:r w:rsidRPr="004A72CD">
        <w:rPr>
          <w:rFonts w:asciiTheme="minorHAnsi" w:eastAsiaTheme="minorHAnsi" w:hAnsiTheme="minorHAnsi" w:cstheme="minorHAnsi"/>
          <w:b/>
          <w:sz w:val="26"/>
          <w:szCs w:val="26"/>
        </w:rPr>
        <w:tab/>
      </w:r>
      <w:r w:rsidRPr="004A72CD">
        <w:rPr>
          <w:rFonts w:asciiTheme="minorHAnsi" w:eastAsiaTheme="minorHAnsi" w:hAnsiTheme="minorHAnsi" w:cstheme="minorHAnsi"/>
          <w:b/>
          <w:sz w:val="26"/>
          <w:szCs w:val="26"/>
        </w:rPr>
        <w:tab/>
      </w:r>
      <w:r w:rsidRPr="004A72CD">
        <w:rPr>
          <w:rFonts w:asciiTheme="minorHAnsi" w:eastAsiaTheme="minorHAnsi" w:hAnsiTheme="minorHAnsi" w:cstheme="minorHAnsi"/>
          <w:b/>
          <w:sz w:val="26"/>
          <w:szCs w:val="26"/>
        </w:rPr>
        <w:tab/>
      </w:r>
      <w:r w:rsidRPr="004A72CD">
        <w:rPr>
          <w:rFonts w:asciiTheme="minorHAnsi" w:eastAsiaTheme="minorHAnsi" w:hAnsiTheme="minorHAnsi" w:cstheme="minorHAnsi"/>
          <w:b/>
          <w:sz w:val="26"/>
          <w:szCs w:val="26"/>
        </w:rPr>
        <w:tab/>
      </w:r>
      <w:r w:rsidRPr="004A72CD">
        <w:rPr>
          <w:rFonts w:asciiTheme="minorHAnsi" w:eastAsiaTheme="minorHAnsi" w:hAnsiTheme="minorHAnsi" w:cstheme="minorHAnsi"/>
          <w:b/>
          <w:sz w:val="26"/>
          <w:szCs w:val="26"/>
        </w:rPr>
        <w:tab/>
      </w:r>
      <w:r w:rsidRPr="004A72CD">
        <w:rPr>
          <w:rFonts w:asciiTheme="minorHAnsi" w:eastAsiaTheme="minorHAnsi" w:hAnsiTheme="minorHAnsi" w:cstheme="minorHAnsi"/>
          <w:b/>
          <w:sz w:val="26"/>
          <w:szCs w:val="26"/>
        </w:rPr>
        <w:tab/>
      </w:r>
      <w:r w:rsidRPr="004A72CD">
        <w:rPr>
          <w:rFonts w:asciiTheme="minorHAnsi" w:eastAsiaTheme="minorHAnsi" w:hAnsiTheme="minorHAnsi" w:cstheme="minorHAnsi"/>
          <w:b/>
          <w:sz w:val="26"/>
          <w:szCs w:val="26"/>
        </w:rPr>
        <w:tab/>
        <w:t>mii lei/mii euro</w:t>
      </w:r>
    </w:p>
    <w:tbl>
      <w:tblPr>
        <w:tblW w:w="10055" w:type="dxa"/>
        <w:jc w:val="center"/>
        <w:tblLook w:val="04A0" w:firstRow="1" w:lastRow="0" w:firstColumn="1" w:lastColumn="0" w:noHBand="0" w:noVBand="1"/>
      </w:tblPr>
      <w:tblGrid>
        <w:gridCol w:w="566"/>
        <w:gridCol w:w="1602"/>
        <w:gridCol w:w="1083"/>
        <w:gridCol w:w="1211"/>
        <w:gridCol w:w="939"/>
        <w:gridCol w:w="1261"/>
        <w:gridCol w:w="1255"/>
        <w:gridCol w:w="1071"/>
        <w:gridCol w:w="1067"/>
      </w:tblGrid>
      <w:tr w:rsidR="009D3C00" w:rsidRPr="002F5AB8" w14:paraId="4071FF00" w14:textId="77777777" w:rsidTr="00F8012F">
        <w:trPr>
          <w:trHeight w:val="405"/>
          <w:jc w:val="center"/>
        </w:trPr>
        <w:tc>
          <w:tcPr>
            <w:tcW w:w="566"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AE2A6E3" w14:textId="77777777" w:rsidR="009D3C00" w:rsidRPr="002F5AB8" w:rsidRDefault="009D3C00" w:rsidP="00612067">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Nr. crt.</w:t>
            </w:r>
          </w:p>
        </w:tc>
        <w:tc>
          <w:tcPr>
            <w:tcW w:w="1602"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42935E5" w14:textId="77777777" w:rsidR="009D3C00" w:rsidRPr="002F5AB8" w:rsidRDefault="009D3C00" w:rsidP="00612067">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 xml:space="preserve">BUGET C.S.M. total </w:t>
            </w:r>
          </w:p>
        </w:tc>
        <w:tc>
          <w:tcPr>
            <w:tcW w:w="1083" w:type="dxa"/>
            <w:vMerge w:val="restart"/>
            <w:tcBorders>
              <w:top w:val="single" w:sz="8" w:space="0" w:color="auto"/>
              <w:left w:val="nil"/>
              <w:right w:val="nil"/>
            </w:tcBorders>
            <w:shd w:val="clear" w:color="auto" w:fill="D9D9D9" w:themeFill="background1" w:themeFillShade="D9"/>
            <w:vAlign w:val="center"/>
            <w:hideMark/>
          </w:tcPr>
          <w:p w14:paraId="7C056D73" w14:textId="77777777" w:rsidR="009D3C00" w:rsidRPr="002F5AB8" w:rsidRDefault="009D3C00" w:rsidP="00612067">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Credite</w:t>
            </w:r>
          </w:p>
        </w:tc>
        <w:tc>
          <w:tcPr>
            <w:tcW w:w="215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7744DE1E" w14:textId="77777777" w:rsidR="009D3C00" w:rsidRPr="002F5AB8" w:rsidRDefault="009D3C00" w:rsidP="00612067">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2023</w:t>
            </w:r>
          </w:p>
        </w:tc>
        <w:tc>
          <w:tcPr>
            <w:tcW w:w="2516" w:type="dxa"/>
            <w:gridSpan w:val="2"/>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280A2328" w14:textId="77777777" w:rsidR="009D3C00" w:rsidRPr="002F5AB8" w:rsidRDefault="009D3C00" w:rsidP="00612067">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2024</w:t>
            </w:r>
          </w:p>
        </w:tc>
        <w:tc>
          <w:tcPr>
            <w:tcW w:w="2138" w:type="dxa"/>
            <w:gridSpan w:val="2"/>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27F36B8E" w14:textId="77777777" w:rsidR="009D3C00" w:rsidRPr="002F5AB8" w:rsidRDefault="009D3C00" w:rsidP="00612067">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2025</w:t>
            </w:r>
          </w:p>
        </w:tc>
      </w:tr>
      <w:tr w:rsidR="009D3C00" w:rsidRPr="002F5AB8" w14:paraId="5ADA6D03" w14:textId="77777777" w:rsidTr="00F8012F">
        <w:trPr>
          <w:trHeight w:val="360"/>
          <w:jc w:val="center"/>
        </w:trPr>
        <w:tc>
          <w:tcPr>
            <w:tcW w:w="566"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05089B9" w14:textId="77777777" w:rsidR="009D3C00" w:rsidRPr="002F5AB8" w:rsidRDefault="009D3C00" w:rsidP="00612067">
            <w:pPr>
              <w:rPr>
                <w:rFonts w:ascii="Calibri Light" w:hAnsi="Calibri Light" w:cs="Calibri Light"/>
                <w:color w:val="000000" w:themeColor="text1"/>
                <w:sz w:val="26"/>
                <w:szCs w:val="26"/>
                <w:lang w:eastAsia="ro-RO"/>
              </w:rPr>
            </w:pPr>
          </w:p>
        </w:tc>
        <w:tc>
          <w:tcPr>
            <w:tcW w:w="1602"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CC07F88" w14:textId="77777777" w:rsidR="009D3C00" w:rsidRPr="002F5AB8" w:rsidRDefault="009D3C00" w:rsidP="00612067">
            <w:pPr>
              <w:rPr>
                <w:rFonts w:ascii="Calibri Light" w:hAnsi="Calibri Light" w:cs="Calibri Light"/>
                <w:color w:val="000000" w:themeColor="text1"/>
                <w:sz w:val="26"/>
                <w:szCs w:val="26"/>
                <w:lang w:eastAsia="ro-RO"/>
              </w:rPr>
            </w:pPr>
          </w:p>
        </w:tc>
        <w:tc>
          <w:tcPr>
            <w:tcW w:w="1083" w:type="dxa"/>
            <w:vMerge/>
            <w:tcBorders>
              <w:left w:val="nil"/>
              <w:bottom w:val="single" w:sz="8" w:space="0" w:color="auto"/>
              <w:right w:val="single" w:sz="8" w:space="0" w:color="auto"/>
            </w:tcBorders>
            <w:shd w:val="clear" w:color="auto" w:fill="D9D9D9" w:themeFill="background1" w:themeFillShade="D9"/>
            <w:vAlign w:val="center"/>
            <w:hideMark/>
          </w:tcPr>
          <w:p w14:paraId="5FE97206" w14:textId="77777777" w:rsidR="009D3C00" w:rsidRPr="002F5AB8" w:rsidRDefault="009D3C00" w:rsidP="00612067">
            <w:pPr>
              <w:jc w:val="center"/>
              <w:rPr>
                <w:rFonts w:ascii="Calibri Light" w:hAnsi="Calibri Light" w:cs="Calibri Light"/>
                <w:color w:val="000000" w:themeColor="text1"/>
                <w:sz w:val="26"/>
                <w:szCs w:val="26"/>
                <w:lang w:eastAsia="ro-RO"/>
              </w:rPr>
            </w:pPr>
          </w:p>
        </w:tc>
        <w:tc>
          <w:tcPr>
            <w:tcW w:w="1211" w:type="dxa"/>
            <w:tcBorders>
              <w:top w:val="nil"/>
              <w:left w:val="nil"/>
              <w:bottom w:val="single" w:sz="8" w:space="0" w:color="auto"/>
              <w:right w:val="single" w:sz="8" w:space="0" w:color="auto"/>
            </w:tcBorders>
            <w:shd w:val="clear" w:color="auto" w:fill="D9D9D9" w:themeFill="background1" w:themeFillShade="D9"/>
            <w:vAlign w:val="center"/>
            <w:hideMark/>
          </w:tcPr>
          <w:p w14:paraId="19C8466B" w14:textId="77777777" w:rsidR="009D3C00" w:rsidRPr="002F5AB8" w:rsidRDefault="009D3C00" w:rsidP="00612067">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LEI</w:t>
            </w:r>
          </w:p>
        </w:tc>
        <w:tc>
          <w:tcPr>
            <w:tcW w:w="939" w:type="dxa"/>
            <w:tcBorders>
              <w:top w:val="nil"/>
              <w:left w:val="nil"/>
              <w:bottom w:val="single" w:sz="8" w:space="0" w:color="auto"/>
              <w:right w:val="single" w:sz="8" w:space="0" w:color="auto"/>
            </w:tcBorders>
            <w:shd w:val="clear" w:color="auto" w:fill="D9D9D9" w:themeFill="background1" w:themeFillShade="D9"/>
            <w:vAlign w:val="center"/>
            <w:hideMark/>
          </w:tcPr>
          <w:p w14:paraId="3342427A" w14:textId="77777777" w:rsidR="009D3C00" w:rsidRPr="002F5AB8" w:rsidRDefault="009D3C00" w:rsidP="00612067">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EURO</w:t>
            </w:r>
          </w:p>
        </w:tc>
        <w:tc>
          <w:tcPr>
            <w:tcW w:w="1261" w:type="dxa"/>
            <w:tcBorders>
              <w:top w:val="nil"/>
              <w:left w:val="nil"/>
              <w:bottom w:val="single" w:sz="8" w:space="0" w:color="auto"/>
              <w:right w:val="single" w:sz="8" w:space="0" w:color="auto"/>
            </w:tcBorders>
            <w:shd w:val="clear" w:color="auto" w:fill="D9D9D9" w:themeFill="background1" w:themeFillShade="D9"/>
            <w:vAlign w:val="center"/>
            <w:hideMark/>
          </w:tcPr>
          <w:p w14:paraId="0FFD005D" w14:textId="77777777" w:rsidR="009D3C00" w:rsidRPr="002F5AB8" w:rsidRDefault="009D3C00" w:rsidP="00612067">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LEI</w:t>
            </w:r>
          </w:p>
        </w:tc>
        <w:tc>
          <w:tcPr>
            <w:tcW w:w="1255" w:type="dxa"/>
            <w:tcBorders>
              <w:top w:val="nil"/>
              <w:left w:val="nil"/>
              <w:bottom w:val="single" w:sz="8" w:space="0" w:color="auto"/>
              <w:right w:val="single" w:sz="8" w:space="0" w:color="auto"/>
            </w:tcBorders>
            <w:shd w:val="clear" w:color="auto" w:fill="D9D9D9" w:themeFill="background1" w:themeFillShade="D9"/>
            <w:vAlign w:val="center"/>
            <w:hideMark/>
          </w:tcPr>
          <w:p w14:paraId="7803B28B" w14:textId="77777777" w:rsidR="009D3C00" w:rsidRPr="002F5AB8" w:rsidRDefault="009D3C00" w:rsidP="00612067">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EURO</w:t>
            </w:r>
          </w:p>
        </w:tc>
        <w:tc>
          <w:tcPr>
            <w:tcW w:w="1071" w:type="dxa"/>
            <w:tcBorders>
              <w:top w:val="nil"/>
              <w:left w:val="nil"/>
              <w:bottom w:val="single" w:sz="8" w:space="0" w:color="auto"/>
              <w:right w:val="single" w:sz="8" w:space="0" w:color="auto"/>
            </w:tcBorders>
            <w:shd w:val="clear" w:color="auto" w:fill="D9D9D9" w:themeFill="background1" w:themeFillShade="D9"/>
            <w:vAlign w:val="center"/>
            <w:hideMark/>
          </w:tcPr>
          <w:p w14:paraId="40E578A1" w14:textId="77777777" w:rsidR="009D3C00" w:rsidRPr="002F5AB8" w:rsidRDefault="009D3C00" w:rsidP="00612067">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LEI</w:t>
            </w:r>
          </w:p>
        </w:tc>
        <w:tc>
          <w:tcPr>
            <w:tcW w:w="1067" w:type="dxa"/>
            <w:tcBorders>
              <w:top w:val="nil"/>
              <w:left w:val="nil"/>
              <w:bottom w:val="single" w:sz="8" w:space="0" w:color="auto"/>
              <w:right w:val="single" w:sz="8" w:space="0" w:color="auto"/>
            </w:tcBorders>
            <w:shd w:val="clear" w:color="auto" w:fill="D9D9D9" w:themeFill="background1" w:themeFillShade="D9"/>
            <w:vAlign w:val="center"/>
            <w:hideMark/>
          </w:tcPr>
          <w:p w14:paraId="3E519553" w14:textId="77777777" w:rsidR="009D3C00" w:rsidRPr="002F5AB8" w:rsidRDefault="009D3C00" w:rsidP="00612067">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EURO</w:t>
            </w:r>
          </w:p>
        </w:tc>
      </w:tr>
      <w:tr w:rsidR="00E709E8" w:rsidRPr="002F5AB8" w14:paraId="1D491413" w14:textId="77777777" w:rsidTr="009D3C00">
        <w:trPr>
          <w:trHeight w:val="510"/>
          <w:jc w:val="center"/>
        </w:trPr>
        <w:tc>
          <w:tcPr>
            <w:tcW w:w="566" w:type="dxa"/>
            <w:tcBorders>
              <w:top w:val="nil"/>
              <w:left w:val="single" w:sz="8" w:space="0" w:color="auto"/>
              <w:bottom w:val="single" w:sz="8" w:space="0" w:color="auto"/>
              <w:right w:val="single" w:sz="8" w:space="0" w:color="auto"/>
            </w:tcBorders>
            <w:shd w:val="clear" w:color="auto" w:fill="auto"/>
            <w:vAlign w:val="center"/>
            <w:hideMark/>
          </w:tcPr>
          <w:p w14:paraId="08950075" w14:textId="77777777" w:rsidR="00E709E8" w:rsidRPr="002F5AB8" w:rsidRDefault="00E709E8" w:rsidP="00E709E8">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1</w:t>
            </w:r>
          </w:p>
        </w:tc>
        <w:tc>
          <w:tcPr>
            <w:tcW w:w="1602" w:type="dxa"/>
            <w:vMerge w:val="restart"/>
            <w:tcBorders>
              <w:top w:val="nil"/>
              <w:left w:val="single" w:sz="8" w:space="0" w:color="auto"/>
              <w:bottom w:val="single" w:sz="8" w:space="0" w:color="000000"/>
              <w:right w:val="single" w:sz="8" w:space="0" w:color="auto"/>
            </w:tcBorders>
            <w:shd w:val="clear" w:color="auto" w:fill="auto"/>
            <w:vAlign w:val="center"/>
            <w:hideMark/>
          </w:tcPr>
          <w:p w14:paraId="573F3F5A" w14:textId="77777777" w:rsidR="00E709E8" w:rsidRPr="002F5AB8" w:rsidRDefault="00E709E8" w:rsidP="00E709E8">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 xml:space="preserve">BUGET C.S.M. total </w:t>
            </w:r>
          </w:p>
        </w:tc>
        <w:tc>
          <w:tcPr>
            <w:tcW w:w="1083" w:type="dxa"/>
            <w:tcBorders>
              <w:top w:val="nil"/>
              <w:left w:val="nil"/>
              <w:bottom w:val="single" w:sz="8" w:space="0" w:color="auto"/>
              <w:right w:val="single" w:sz="8" w:space="0" w:color="auto"/>
            </w:tcBorders>
            <w:shd w:val="clear" w:color="auto" w:fill="auto"/>
            <w:vAlign w:val="center"/>
            <w:hideMark/>
          </w:tcPr>
          <w:p w14:paraId="306E3809" w14:textId="77777777" w:rsidR="00E709E8" w:rsidRPr="002F5AB8" w:rsidRDefault="00E709E8" w:rsidP="00E709E8">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CA</w:t>
            </w:r>
          </w:p>
        </w:tc>
        <w:tc>
          <w:tcPr>
            <w:tcW w:w="1211" w:type="dxa"/>
            <w:tcBorders>
              <w:top w:val="nil"/>
              <w:left w:val="nil"/>
              <w:bottom w:val="single" w:sz="8" w:space="0" w:color="auto"/>
              <w:right w:val="single" w:sz="8" w:space="0" w:color="auto"/>
            </w:tcBorders>
            <w:shd w:val="clear" w:color="auto" w:fill="auto"/>
            <w:vAlign w:val="center"/>
            <w:hideMark/>
          </w:tcPr>
          <w:p w14:paraId="0F689108" w14:textId="77777777" w:rsidR="00E709E8" w:rsidRPr="002F5AB8" w:rsidRDefault="00E709E8" w:rsidP="00E709E8">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277,425</w:t>
            </w:r>
          </w:p>
        </w:tc>
        <w:tc>
          <w:tcPr>
            <w:tcW w:w="939" w:type="dxa"/>
            <w:tcBorders>
              <w:top w:val="nil"/>
              <w:left w:val="nil"/>
              <w:bottom w:val="single" w:sz="8" w:space="0" w:color="auto"/>
              <w:right w:val="single" w:sz="8" w:space="0" w:color="auto"/>
            </w:tcBorders>
            <w:shd w:val="clear" w:color="auto" w:fill="auto"/>
            <w:vAlign w:val="center"/>
            <w:hideMark/>
          </w:tcPr>
          <w:p w14:paraId="399098A1" w14:textId="77777777" w:rsidR="00E709E8" w:rsidRPr="002F5AB8" w:rsidRDefault="00E709E8" w:rsidP="00E709E8">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55,485</w:t>
            </w:r>
          </w:p>
        </w:tc>
        <w:tc>
          <w:tcPr>
            <w:tcW w:w="1261" w:type="dxa"/>
            <w:tcBorders>
              <w:top w:val="nil"/>
              <w:left w:val="nil"/>
              <w:bottom w:val="single" w:sz="8" w:space="0" w:color="auto"/>
              <w:right w:val="single" w:sz="8" w:space="0" w:color="auto"/>
            </w:tcBorders>
            <w:shd w:val="clear" w:color="auto" w:fill="auto"/>
            <w:vAlign w:val="center"/>
            <w:hideMark/>
          </w:tcPr>
          <w:p w14:paraId="7B3C1F38" w14:textId="6B046BF7" w:rsidR="00E709E8" w:rsidRPr="00E709E8" w:rsidRDefault="00E709E8" w:rsidP="00E709E8">
            <w:pPr>
              <w:jc w:val="center"/>
              <w:rPr>
                <w:rFonts w:ascii="Calibri Light" w:hAnsi="Calibri Light" w:cs="Calibri Light"/>
                <w:sz w:val="26"/>
                <w:szCs w:val="26"/>
                <w:lang w:eastAsia="ro-RO"/>
              </w:rPr>
            </w:pPr>
            <w:r w:rsidRPr="00E709E8">
              <w:rPr>
                <w:rFonts w:ascii="Calibri Light" w:hAnsi="Calibri Light" w:cs="Calibri Light"/>
                <w:sz w:val="26"/>
                <w:szCs w:val="26"/>
                <w:lang w:eastAsia="ro-RO"/>
              </w:rPr>
              <w:t>319,502</w:t>
            </w:r>
          </w:p>
        </w:tc>
        <w:tc>
          <w:tcPr>
            <w:tcW w:w="1255" w:type="dxa"/>
            <w:tcBorders>
              <w:top w:val="nil"/>
              <w:left w:val="nil"/>
              <w:bottom w:val="single" w:sz="8" w:space="0" w:color="auto"/>
              <w:right w:val="single" w:sz="8" w:space="0" w:color="auto"/>
            </w:tcBorders>
            <w:shd w:val="clear" w:color="auto" w:fill="auto"/>
            <w:vAlign w:val="center"/>
            <w:hideMark/>
          </w:tcPr>
          <w:p w14:paraId="4C86932A" w14:textId="067E6593" w:rsidR="00E709E8" w:rsidRPr="00E709E8" w:rsidRDefault="00E709E8" w:rsidP="00E709E8">
            <w:pPr>
              <w:jc w:val="center"/>
              <w:rPr>
                <w:rFonts w:ascii="Calibri Light" w:hAnsi="Calibri Light" w:cs="Calibri Light"/>
                <w:sz w:val="26"/>
                <w:szCs w:val="26"/>
                <w:lang w:eastAsia="ro-RO"/>
              </w:rPr>
            </w:pPr>
            <w:r w:rsidRPr="00E709E8">
              <w:rPr>
                <w:rFonts w:ascii="Calibri Light" w:hAnsi="Calibri Light" w:cs="Calibri Light"/>
                <w:sz w:val="26"/>
                <w:szCs w:val="26"/>
                <w:lang w:eastAsia="ro-RO"/>
              </w:rPr>
              <w:t>63,900</w:t>
            </w:r>
          </w:p>
        </w:tc>
        <w:tc>
          <w:tcPr>
            <w:tcW w:w="1071" w:type="dxa"/>
            <w:tcBorders>
              <w:top w:val="nil"/>
              <w:left w:val="nil"/>
              <w:bottom w:val="single" w:sz="8" w:space="0" w:color="auto"/>
              <w:right w:val="single" w:sz="8" w:space="0" w:color="auto"/>
            </w:tcBorders>
            <w:shd w:val="clear" w:color="auto" w:fill="auto"/>
            <w:vAlign w:val="center"/>
            <w:hideMark/>
          </w:tcPr>
          <w:p w14:paraId="61C89AC8" w14:textId="61DA980F" w:rsidR="00E709E8" w:rsidRPr="00E709E8" w:rsidRDefault="00E709E8" w:rsidP="00E709E8">
            <w:pPr>
              <w:jc w:val="center"/>
              <w:rPr>
                <w:rFonts w:ascii="Calibri Light" w:hAnsi="Calibri Light" w:cs="Calibri Light"/>
                <w:sz w:val="26"/>
                <w:szCs w:val="26"/>
                <w:lang w:eastAsia="ro-RO"/>
              </w:rPr>
            </w:pPr>
            <w:r w:rsidRPr="00E709E8">
              <w:rPr>
                <w:rFonts w:ascii="Calibri Light" w:hAnsi="Calibri Light" w:cs="Calibri Light"/>
                <w:sz w:val="26"/>
                <w:szCs w:val="26"/>
                <w:lang w:eastAsia="ro-RO"/>
              </w:rPr>
              <w:t>453,109</w:t>
            </w:r>
          </w:p>
        </w:tc>
        <w:tc>
          <w:tcPr>
            <w:tcW w:w="1067" w:type="dxa"/>
            <w:tcBorders>
              <w:top w:val="nil"/>
              <w:left w:val="nil"/>
              <w:bottom w:val="single" w:sz="8" w:space="0" w:color="auto"/>
              <w:right w:val="single" w:sz="8" w:space="0" w:color="auto"/>
            </w:tcBorders>
            <w:shd w:val="clear" w:color="auto" w:fill="auto"/>
            <w:vAlign w:val="center"/>
            <w:hideMark/>
          </w:tcPr>
          <w:p w14:paraId="67E6D367" w14:textId="4C0F3676" w:rsidR="00E709E8" w:rsidRPr="00E709E8" w:rsidRDefault="00E709E8" w:rsidP="00E709E8">
            <w:pPr>
              <w:jc w:val="center"/>
              <w:rPr>
                <w:rFonts w:ascii="Calibri Light" w:hAnsi="Calibri Light" w:cs="Calibri Light"/>
                <w:sz w:val="26"/>
                <w:szCs w:val="26"/>
                <w:lang w:eastAsia="ro-RO"/>
              </w:rPr>
            </w:pPr>
            <w:r w:rsidRPr="00E709E8">
              <w:rPr>
                <w:rFonts w:ascii="Calibri Light" w:hAnsi="Calibri Light" w:cs="Calibri Light"/>
                <w:sz w:val="26"/>
                <w:szCs w:val="26"/>
                <w:lang w:eastAsia="ro-RO"/>
              </w:rPr>
              <w:t>90,622</w:t>
            </w:r>
          </w:p>
        </w:tc>
      </w:tr>
      <w:tr w:rsidR="00E709E8" w:rsidRPr="002F5AB8" w14:paraId="22ACACD8" w14:textId="77777777" w:rsidTr="009D3C00">
        <w:trPr>
          <w:trHeight w:val="360"/>
          <w:jc w:val="center"/>
        </w:trPr>
        <w:tc>
          <w:tcPr>
            <w:tcW w:w="566" w:type="dxa"/>
            <w:tcBorders>
              <w:top w:val="nil"/>
              <w:left w:val="single" w:sz="8" w:space="0" w:color="auto"/>
              <w:bottom w:val="single" w:sz="8" w:space="0" w:color="auto"/>
              <w:right w:val="single" w:sz="8" w:space="0" w:color="auto"/>
            </w:tcBorders>
            <w:shd w:val="clear" w:color="auto" w:fill="auto"/>
            <w:noWrap/>
            <w:vAlign w:val="center"/>
            <w:hideMark/>
          </w:tcPr>
          <w:p w14:paraId="1793E7D5" w14:textId="77777777" w:rsidR="00E709E8" w:rsidRPr="002F5AB8" w:rsidRDefault="00E709E8" w:rsidP="00E709E8">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2</w:t>
            </w:r>
          </w:p>
        </w:tc>
        <w:tc>
          <w:tcPr>
            <w:tcW w:w="1602" w:type="dxa"/>
            <w:vMerge/>
            <w:tcBorders>
              <w:top w:val="nil"/>
              <w:left w:val="single" w:sz="8" w:space="0" w:color="auto"/>
              <w:bottom w:val="single" w:sz="8" w:space="0" w:color="000000"/>
              <w:right w:val="single" w:sz="8" w:space="0" w:color="auto"/>
            </w:tcBorders>
            <w:vAlign w:val="center"/>
            <w:hideMark/>
          </w:tcPr>
          <w:p w14:paraId="2031A26F" w14:textId="77777777" w:rsidR="00E709E8" w:rsidRPr="002F5AB8" w:rsidRDefault="00E709E8" w:rsidP="00E709E8">
            <w:pPr>
              <w:rPr>
                <w:rFonts w:ascii="Calibri Light" w:hAnsi="Calibri Light" w:cs="Calibri Light"/>
                <w:color w:val="000000" w:themeColor="text1"/>
                <w:sz w:val="26"/>
                <w:szCs w:val="26"/>
                <w:lang w:eastAsia="ro-RO"/>
              </w:rPr>
            </w:pPr>
          </w:p>
        </w:tc>
        <w:tc>
          <w:tcPr>
            <w:tcW w:w="1083" w:type="dxa"/>
            <w:tcBorders>
              <w:top w:val="nil"/>
              <w:left w:val="nil"/>
              <w:bottom w:val="single" w:sz="8" w:space="0" w:color="auto"/>
              <w:right w:val="single" w:sz="8" w:space="0" w:color="auto"/>
            </w:tcBorders>
            <w:shd w:val="clear" w:color="auto" w:fill="auto"/>
            <w:noWrap/>
            <w:vAlign w:val="center"/>
            <w:hideMark/>
          </w:tcPr>
          <w:p w14:paraId="2B313DD0" w14:textId="77777777" w:rsidR="00E709E8" w:rsidRPr="002F5AB8" w:rsidRDefault="00E709E8" w:rsidP="00E709E8">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CB</w:t>
            </w:r>
          </w:p>
        </w:tc>
        <w:tc>
          <w:tcPr>
            <w:tcW w:w="1211" w:type="dxa"/>
            <w:tcBorders>
              <w:top w:val="nil"/>
              <w:left w:val="nil"/>
              <w:bottom w:val="single" w:sz="8" w:space="0" w:color="auto"/>
              <w:right w:val="single" w:sz="8" w:space="0" w:color="auto"/>
            </w:tcBorders>
            <w:shd w:val="clear" w:color="auto" w:fill="auto"/>
            <w:vAlign w:val="center"/>
            <w:hideMark/>
          </w:tcPr>
          <w:p w14:paraId="1B1D24F7" w14:textId="77777777" w:rsidR="00E709E8" w:rsidRPr="002F5AB8" w:rsidRDefault="00E709E8" w:rsidP="00E709E8">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299,070</w:t>
            </w:r>
          </w:p>
        </w:tc>
        <w:tc>
          <w:tcPr>
            <w:tcW w:w="939" w:type="dxa"/>
            <w:tcBorders>
              <w:top w:val="nil"/>
              <w:left w:val="nil"/>
              <w:bottom w:val="single" w:sz="8" w:space="0" w:color="auto"/>
              <w:right w:val="single" w:sz="8" w:space="0" w:color="auto"/>
            </w:tcBorders>
            <w:shd w:val="clear" w:color="auto" w:fill="auto"/>
            <w:vAlign w:val="center"/>
            <w:hideMark/>
          </w:tcPr>
          <w:p w14:paraId="481FC762" w14:textId="77777777" w:rsidR="00E709E8" w:rsidRPr="002F5AB8" w:rsidRDefault="00E709E8" w:rsidP="00E709E8">
            <w:pPr>
              <w:jc w:val="center"/>
              <w:rPr>
                <w:rFonts w:ascii="Calibri Light" w:hAnsi="Calibri Light" w:cs="Calibri Light"/>
                <w:color w:val="000000" w:themeColor="text1"/>
                <w:sz w:val="26"/>
                <w:szCs w:val="26"/>
                <w:lang w:eastAsia="ro-RO"/>
              </w:rPr>
            </w:pPr>
            <w:r w:rsidRPr="002F5AB8">
              <w:rPr>
                <w:rFonts w:ascii="Calibri Light" w:hAnsi="Calibri Light" w:cs="Calibri Light"/>
                <w:color w:val="000000" w:themeColor="text1"/>
                <w:sz w:val="26"/>
                <w:szCs w:val="26"/>
                <w:lang w:eastAsia="ro-RO"/>
              </w:rPr>
              <w:t>59,814</w:t>
            </w:r>
          </w:p>
        </w:tc>
        <w:tc>
          <w:tcPr>
            <w:tcW w:w="1261" w:type="dxa"/>
            <w:tcBorders>
              <w:top w:val="nil"/>
              <w:left w:val="nil"/>
              <w:bottom w:val="single" w:sz="8" w:space="0" w:color="auto"/>
              <w:right w:val="single" w:sz="8" w:space="0" w:color="auto"/>
            </w:tcBorders>
            <w:shd w:val="clear" w:color="auto" w:fill="auto"/>
            <w:vAlign w:val="center"/>
            <w:hideMark/>
          </w:tcPr>
          <w:p w14:paraId="0630E886" w14:textId="38C070A0" w:rsidR="00E709E8" w:rsidRPr="00E709E8" w:rsidRDefault="00E709E8" w:rsidP="00E709E8">
            <w:pPr>
              <w:jc w:val="center"/>
              <w:rPr>
                <w:rFonts w:ascii="Calibri Light" w:hAnsi="Calibri Light" w:cs="Calibri Light"/>
                <w:sz w:val="26"/>
                <w:szCs w:val="26"/>
                <w:lang w:eastAsia="ro-RO"/>
              </w:rPr>
            </w:pPr>
            <w:r w:rsidRPr="00E709E8">
              <w:rPr>
                <w:rFonts w:ascii="Calibri Light" w:hAnsi="Calibri Light" w:cs="Calibri Light"/>
                <w:sz w:val="26"/>
                <w:szCs w:val="26"/>
                <w:lang w:eastAsia="ro-RO"/>
              </w:rPr>
              <w:t>317,694</w:t>
            </w:r>
          </w:p>
        </w:tc>
        <w:tc>
          <w:tcPr>
            <w:tcW w:w="1255" w:type="dxa"/>
            <w:tcBorders>
              <w:top w:val="nil"/>
              <w:left w:val="nil"/>
              <w:bottom w:val="single" w:sz="8" w:space="0" w:color="auto"/>
              <w:right w:val="single" w:sz="8" w:space="0" w:color="auto"/>
            </w:tcBorders>
            <w:shd w:val="clear" w:color="auto" w:fill="auto"/>
            <w:vAlign w:val="center"/>
            <w:hideMark/>
          </w:tcPr>
          <w:p w14:paraId="1D552211" w14:textId="22449A0A" w:rsidR="00E709E8" w:rsidRPr="00E709E8" w:rsidRDefault="00E709E8" w:rsidP="00E709E8">
            <w:pPr>
              <w:jc w:val="center"/>
              <w:rPr>
                <w:rFonts w:ascii="Calibri Light" w:hAnsi="Calibri Light" w:cs="Calibri Light"/>
                <w:sz w:val="26"/>
                <w:szCs w:val="26"/>
                <w:lang w:eastAsia="ro-RO"/>
              </w:rPr>
            </w:pPr>
            <w:r w:rsidRPr="00E709E8">
              <w:rPr>
                <w:rFonts w:ascii="Calibri Light" w:hAnsi="Calibri Light" w:cs="Calibri Light"/>
                <w:sz w:val="26"/>
                <w:szCs w:val="26"/>
                <w:lang w:eastAsia="ro-RO"/>
              </w:rPr>
              <w:t>63,539</w:t>
            </w:r>
          </w:p>
        </w:tc>
        <w:tc>
          <w:tcPr>
            <w:tcW w:w="1071" w:type="dxa"/>
            <w:tcBorders>
              <w:top w:val="nil"/>
              <w:left w:val="nil"/>
              <w:bottom w:val="single" w:sz="8" w:space="0" w:color="auto"/>
              <w:right w:val="single" w:sz="8" w:space="0" w:color="auto"/>
            </w:tcBorders>
            <w:shd w:val="clear" w:color="auto" w:fill="auto"/>
            <w:vAlign w:val="center"/>
            <w:hideMark/>
          </w:tcPr>
          <w:p w14:paraId="6608A14B" w14:textId="02934439" w:rsidR="00E709E8" w:rsidRPr="00E709E8" w:rsidRDefault="00E709E8" w:rsidP="00E709E8">
            <w:pPr>
              <w:jc w:val="center"/>
              <w:rPr>
                <w:rFonts w:ascii="Calibri Light" w:hAnsi="Calibri Light" w:cs="Calibri Light"/>
                <w:sz w:val="26"/>
                <w:szCs w:val="26"/>
                <w:lang w:eastAsia="ro-RO"/>
              </w:rPr>
            </w:pPr>
            <w:r w:rsidRPr="00E709E8">
              <w:rPr>
                <w:rFonts w:ascii="Calibri Light" w:hAnsi="Calibri Light" w:cs="Calibri Light"/>
                <w:sz w:val="26"/>
                <w:szCs w:val="26"/>
                <w:lang w:eastAsia="ro-RO"/>
              </w:rPr>
              <w:t>444,241</w:t>
            </w:r>
          </w:p>
        </w:tc>
        <w:tc>
          <w:tcPr>
            <w:tcW w:w="1067" w:type="dxa"/>
            <w:tcBorders>
              <w:top w:val="nil"/>
              <w:left w:val="nil"/>
              <w:bottom w:val="single" w:sz="8" w:space="0" w:color="auto"/>
              <w:right w:val="single" w:sz="8" w:space="0" w:color="auto"/>
            </w:tcBorders>
            <w:shd w:val="clear" w:color="auto" w:fill="auto"/>
            <w:vAlign w:val="center"/>
            <w:hideMark/>
          </w:tcPr>
          <w:p w14:paraId="7420A025" w14:textId="1183A165" w:rsidR="00E709E8" w:rsidRPr="00E709E8" w:rsidRDefault="00E709E8" w:rsidP="00E709E8">
            <w:pPr>
              <w:jc w:val="center"/>
              <w:rPr>
                <w:rFonts w:ascii="Calibri Light" w:hAnsi="Calibri Light" w:cs="Calibri Light"/>
                <w:sz w:val="26"/>
                <w:szCs w:val="26"/>
                <w:lang w:eastAsia="ro-RO"/>
              </w:rPr>
            </w:pPr>
            <w:r w:rsidRPr="00E709E8">
              <w:rPr>
                <w:rFonts w:ascii="Calibri Light" w:hAnsi="Calibri Light" w:cs="Calibri Light"/>
                <w:sz w:val="26"/>
                <w:szCs w:val="26"/>
                <w:lang w:eastAsia="ro-RO"/>
              </w:rPr>
              <w:t>88,848</w:t>
            </w:r>
          </w:p>
        </w:tc>
      </w:tr>
    </w:tbl>
    <w:p w14:paraId="0E14267B" w14:textId="77777777" w:rsidR="00895FF8" w:rsidRPr="004A72CD" w:rsidRDefault="00895FF8" w:rsidP="00D51F5A">
      <w:pPr>
        <w:spacing w:line="276" w:lineRule="auto"/>
        <w:ind w:firstLine="720"/>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CA: credite de angajament</w:t>
      </w:r>
    </w:p>
    <w:p w14:paraId="3614F09C" w14:textId="77777777" w:rsidR="00895FF8" w:rsidRPr="004A72CD" w:rsidRDefault="00895FF8" w:rsidP="00D51F5A">
      <w:pPr>
        <w:spacing w:line="276" w:lineRule="auto"/>
        <w:ind w:firstLine="720"/>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CB: credite bugetare</w:t>
      </w:r>
    </w:p>
    <w:p w14:paraId="52D0DD69" w14:textId="77777777" w:rsidR="00895FF8" w:rsidRPr="004A72CD" w:rsidRDefault="00895FF8" w:rsidP="00D51F5A">
      <w:pPr>
        <w:spacing w:line="276" w:lineRule="auto"/>
        <w:ind w:firstLine="720"/>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 xml:space="preserve">Măsurile ce au fost adoptate au avut în vedere riscurile determinate de evoluţiile economice interne şi externe şi au impus adoptarea unei politici bugetare prudente. </w:t>
      </w:r>
    </w:p>
    <w:p w14:paraId="31CAD59E" w14:textId="21899D0C" w:rsidR="00895FF8" w:rsidRPr="004A72CD" w:rsidRDefault="00895FF8" w:rsidP="00D51F5A">
      <w:pPr>
        <w:spacing w:line="276" w:lineRule="auto"/>
        <w:ind w:firstLine="720"/>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Datele pentru anul 202</w:t>
      </w:r>
      <w:r w:rsidR="00E709E8">
        <w:rPr>
          <w:rFonts w:asciiTheme="minorHAnsi" w:eastAsiaTheme="minorHAnsi" w:hAnsiTheme="minorHAnsi" w:cstheme="minorHAnsi"/>
          <w:sz w:val="26"/>
          <w:szCs w:val="26"/>
        </w:rPr>
        <w:t>5</w:t>
      </w:r>
      <w:r w:rsidRPr="004A72CD">
        <w:rPr>
          <w:rFonts w:asciiTheme="minorHAnsi" w:eastAsiaTheme="minorHAnsi" w:hAnsiTheme="minorHAnsi" w:cstheme="minorHAnsi"/>
          <w:sz w:val="26"/>
          <w:szCs w:val="26"/>
        </w:rPr>
        <w:t xml:space="preserve"> reprezintă necesarul de cheltuieli stabilit pentru buna funcționare a Consiliul Superior al Magistraturii.</w:t>
      </w:r>
    </w:p>
    <w:p w14:paraId="4D71EB62" w14:textId="77777777" w:rsidR="00895FF8" w:rsidRPr="004A72CD" w:rsidRDefault="00895FF8" w:rsidP="00D51F5A">
      <w:pPr>
        <w:spacing w:line="276" w:lineRule="auto"/>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ab/>
        <w:t>Reprezentată grafic, evoluţia bugetului se prezintă astfel:</w:t>
      </w:r>
    </w:p>
    <w:p w14:paraId="265FF867" w14:textId="18D9DD1D" w:rsidR="00895FF8" w:rsidRPr="004A72CD" w:rsidRDefault="009D3C00" w:rsidP="00D51F5A">
      <w:pPr>
        <w:spacing w:line="276" w:lineRule="auto"/>
        <w:jc w:val="center"/>
        <w:rPr>
          <w:rFonts w:asciiTheme="minorHAnsi" w:eastAsiaTheme="minorHAnsi" w:hAnsiTheme="minorHAnsi" w:cstheme="minorHAnsi"/>
          <w:b/>
          <w:sz w:val="26"/>
          <w:szCs w:val="26"/>
          <w:lang w:eastAsia="en-GB"/>
        </w:rPr>
      </w:pPr>
      <w:r w:rsidRPr="00313FEF">
        <w:rPr>
          <w:rFonts w:asciiTheme="minorHAnsi" w:hAnsiTheme="minorHAnsi" w:cstheme="minorHAnsi"/>
          <w:sz w:val="26"/>
          <w:szCs w:val="26"/>
          <w:lang w:eastAsia="ro-RO"/>
        </w:rPr>
        <w:drawing>
          <wp:inline distT="0" distB="0" distL="0" distR="0" wp14:anchorId="79046232" wp14:editId="38380F00">
            <wp:extent cx="5372100" cy="3367087"/>
            <wp:effectExtent l="0" t="0" r="0" b="5080"/>
            <wp:docPr id="654574240" name="Chart 1">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7A2954F" w14:textId="29F8A96A" w:rsidR="00895FF8" w:rsidRPr="004A72CD" w:rsidRDefault="00895FF8" w:rsidP="009D3C00">
      <w:pPr>
        <w:tabs>
          <w:tab w:val="left" w:pos="5433"/>
        </w:tabs>
        <w:spacing w:line="276" w:lineRule="auto"/>
        <w:ind w:firstLine="709"/>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Bugetul Consiliului Superior al Magistraturii pe anul 2024 a fost aprobat prin Legea bugetului de stat nr. 421/2023 şi este structurat astfel: Consiliul Superior al Magistraturii (Aparatul Propriu), Inspecția Judiciară, Institutul Naţional al Magistraturii şi Şcoala Naţională de Grefieri.</w:t>
      </w:r>
    </w:p>
    <w:p w14:paraId="2346C900" w14:textId="77777777" w:rsidR="00895FF8" w:rsidRPr="004A72CD" w:rsidRDefault="00895FF8" w:rsidP="00D51F5A">
      <w:pPr>
        <w:spacing w:line="276" w:lineRule="auto"/>
        <w:jc w:val="center"/>
        <w:rPr>
          <w:rFonts w:asciiTheme="minorHAnsi" w:eastAsia="SimSun" w:hAnsiTheme="minorHAnsi" w:cstheme="minorHAnsi"/>
          <w:b/>
          <w:bCs/>
          <w:sz w:val="26"/>
          <w:szCs w:val="26"/>
          <w:lang w:eastAsia="zh-CN"/>
        </w:rPr>
      </w:pPr>
    </w:p>
    <w:p w14:paraId="6D99BB8C" w14:textId="7A4149CF" w:rsidR="00895FF8" w:rsidRPr="004A72CD" w:rsidRDefault="00895FF8" w:rsidP="00D51F5A">
      <w:pPr>
        <w:spacing w:line="276" w:lineRule="auto"/>
        <w:jc w:val="center"/>
        <w:rPr>
          <w:rFonts w:asciiTheme="minorHAnsi" w:eastAsiaTheme="minorHAnsi" w:hAnsiTheme="minorHAnsi" w:cstheme="minorHAnsi"/>
          <w:sz w:val="26"/>
          <w:szCs w:val="26"/>
        </w:rPr>
      </w:pPr>
      <w:r w:rsidRPr="004A72CD">
        <w:rPr>
          <w:rFonts w:asciiTheme="minorHAnsi" w:eastAsia="SimSun" w:hAnsiTheme="minorHAnsi" w:cstheme="minorHAnsi"/>
          <w:b/>
          <w:bCs/>
          <w:sz w:val="26"/>
          <w:szCs w:val="26"/>
          <w:lang w:eastAsia="zh-CN"/>
        </w:rPr>
        <w:t>SITUAŢIA FINANŢĂRII CONSILIULUI SUPERIOR AL MAGISTRATURII</w:t>
      </w:r>
    </w:p>
    <w:p w14:paraId="3DBCCCB1" w14:textId="7D0D1160" w:rsidR="00895FF8" w:rsidRPr="004A72CD" w:rsidRDefault="00895FF8" w:rsidP="00D51F5A">
      <w:pPr>
        <w:spacing w:line="276" w:lineRule="auto"/>
        <w:jc w:val="center"/>
        <w:rPr>
          <w:rFonts w:asciiTheme="minorHAnsi" w:eastAsia="SimSun" w:hAnsiTheme="minorHAnsi" w:cstheme="minorHAnsi"/>
          <w:b/>
          <w:bCs/>
          <w:sz w:val="26"/>
          <w:szCs w:val="26"/>
          <w:lang w:eastAsia="zh-CN"/>
        </w:rPr>
      </w:pPr>
      <w:r w:rsidRPr="004A72CD">
        <w:rPr>
          <w:rFonts w:asciiTheme="minorHAnsi" w:eastAsia="SimSun" w:hAnsiTheme="minorHAnsi" w:cstheme="minorHAnsi"/>
          <w:b/>
          <w:bCs/>
          <w:sz w:val="26"/>
          <w:szCs w:val="26"/>
          <w:lang w:eastAsia="zh-CN"/>
        </w:rPr>
        <w:t>PE ANII 2023, 2024 ŞI ÎN PERSPECTIVA ANULUI 2025</w:t>
      </w:r>
    </w:p>
    <w:p w14:paraId="0F056C42" w14:textId="77777777" w:rsidR="00895FF8" w:rsidRPr="004A72CD" w:rsidRDefault="00895FF8" w:rsidP="00D51F5A">
      <w:pPr>
        <w:spacing w:line="276" w:lineRule="auto"/>
        <w:jc w:val="center"/>
        <w:rPr>
          <w:rFonts w:asciiTheme="minorHAnsi" w:eastAsia="SimSun" w:hAnsiTheme="minorHAnsi" w:cstheme="minorHAnsi"/>
          <w:b/>
          <w:bCs/>
          <w:sz w:val="26"/>
          <w:szCs w:val="26"/>
          <w:lang w:eastAsia="zh-CN"/>
        </w:rPr>
      </w:pPr>
      <w:r w:rsidRPr="004A72CD">
        <w:rPr>
          <w:rFonts w:asciiTheme="minorHAnsi" w:eastAsia="SimSun" w:hAnsiTheme="minorHAnsi" w:cstheme="minorHAnsi"/>
          <w:b/>
          <w:bCs/>
          <w:sz w:val="26"/>
          <w:szCs w:val="26"/>
          <w:lang w:eastAsia="zh-CN"/>
        </w:rPr>
        <w:tab/>
      </w:r>
      <w:r w:rsidRPr="004A72CD">
        <w:rPr>
          <w:rFonts w:asciiTheme="minorHAnsi" w:eastAsia="SimSun" w:hAnsiTheme="minorHAnsi" w:cstheme="minorHAnsi"/>
          <w:b/>
          <w:bCs/>
          <w:sz w:val="26"/>
          <w:szCs w:val="26"/>
          <w:lang w:eastAsia="zh-CN"/>
        </w:rPr>
        <w:tab/>
      </w:r>
      <w:r w:rsidRPr="004A72CD">
        <w:rPr>
          <w:rFonts w:asciiTheme="minorHAnsi" w:eastAsia="SimSun" w:hAnsiTheme="minorHAnsi" w:cstheme="minorHAnsi"/>
          <w:b/>
          <w:bCs/>
          <w:sz w:val="26"/>
          <w:szCs w:val="26"/>
          <w:lang w:eastAsia="zh-CN"/>
        </w:rPr>
        <w:tab/>
      </w:r>
      <w:r w:rsidRPr="004A72CD">
        <w:rPr>
          <w:rFonts w:asciiTheme="minorHAnsi" w:eastAsia="SimSun" w:hAnsiTheme="minorHAnsi" w:cstheme="minorHAnsi"/>
          <w:b/>
          <w:bCs/>
          <w:sz w:val="26"/>
          <w:szCs w:val="26"/>
          <w:lang w:eastAsia="zh-CN"/>
        </w:rPr>
        <w:tab/>
      </w:r>
      <w:r w:rsidRPr="004A72CD">
        <w:rPr>
          <w:rFonts w:asciiTheme="minorHAnsi" w:eastAsia="SimSun" w:hAnsiTheme="minorHAnsi" w:cstheme="minorHAnsi"/>
          <w:b/>
          <w:bCs/>
          <w:sz w:val="26"/>
          <w:szCs w:val="26"/>
          <w:lang w:eastAsia="zh-CN"/>
        </w:rPr>
        <w:tab/>
      </w:r>
      <w:r w:rsidRPr="004A72CD">
        <w:rPr>
          <w:rFonts w:asciiTheme="minorHAnsi" w:eastAsia="SimSun" w:hAnsiTheme="minorHAnsi" w:cstheme="minorHAnsi"/>
          <w:b/>
          <w:bCs/>
          <w:sz w:val="26"/>
          <w:szCs w:val="26"/>
          <w:lang w:eastAsia="zh-CN"/>
        </w:rPr>
        <w:tab/>
      </w:r>
    </w:p>
    <w:p w14:paraId="5E16DE2A" w14:textId="77777777" w:rsidR="00895FF8" w:rsidRPr="004A72CD" w:rsidRDefault="00895FF8" w:rsidP="009D3C00">
      <w:pPr>
        <w:spacing w:line="276" w:lineRule="auto"/>
        <w:jc w:val="right"/>
        <w:rPr>
          <w:rFonts w:asciiTheme="minorHAnsi" w:eastAsia="SimSun" w:hAnsiTheme="minorHAnsi" w:cstheme="minorHAnsi"/>
          <w:b/>
          <w:bCs/>
          <w:sz w:val="26"/>
          <w:szCs w:val="26"/>
          <w:lang w:eastAsia="zh-CN"/>
        </w:rPr>
      </w:pPr>
      <w:r w:rsidRPr="004A72CD">
        <w:rPr>
          <w:rFonts w:asciiTheme="minorHAnsi" w:eastAsia="SimSun" w:hAnsiTheme="minorHAnsi" w:cstheme="minorHAnsi"/>
          <w:b/>
          <w:bCs/>
          <w:sz w:val="26"/>
          <w:szCs w:val="26"/>
          <w:lang w:eastAsia="zh-CN"/>
        </w:rPr>
        <w:tab/>
      </w:r>
      <w:r w:rsidRPr="004A72CD">
        <w:rPr>
          <w:rFonts w:asciiTheme="minorHAnsi" w:eastAsia="SimSun" w:hAnsiTheme="minorHAnsi" w:cstheme="minorHAnsi"/>
          <w:b/>
          <w:bCs/>
          <w:sz w:val="26"/>
          <w:szCs w:val="26"/>
          <w:lang w:eastAsia="zh-CN"/>
        </w:rPr>
        <w:tab/>
      </w:r>
      <w:r w:rsidRPr="004A72CD">
        <w:rPr>
          <w:rFonts w:asciiTheme="minorHAnsi" w:eastAsia="SimSun" w:hAnsiTheme="minorHAnsi" w:cstheme="minorHAnsi"/>
          <w:b/>
          <w:bCs/>
          <w:sz w:val="26"/>
          <w:szCs w:val="26"/>
          <w:lang w:eastAsia="zh-CN"/>
        </w:rPr>
        <w:tab/>
      </w:r>
      <w:r w:rsidRPr="004A72CD">
        <w:rPr>
          <w:rFonts w:asciiTheme="minorHAnsi" w:eastAsia="SimSun" w:hAnsiTheme="minorHAnsi" w:cstheme="minorHAnsi"/>
          <w:b/>
          <w:bCs/>
          <w:sz w:val="26"/>
          <w:szCs w:val="26"/>
          <w:lang w:eastAsia="zh-CN"/>
        </w:rPr>
        <w:tab/>
      </w:r>
      <w:r w:rsidRPr="004A72CD">
        <w:rPr>
          <w:rFonts w:asciiTheme="minorHAnsi" w:eastAsia="SimSun" w:hAnsiTheme="minorHAnsi" w:cstheme="minorHAnsi"/>
          <w:b/>
          <w:bCs/>
          <w:sz w:val="26"/>
          <w:szCs w:val="26"/>
          <w:lang w:eastAsia="zh-CN"/>
        </w:rPr>
        <w:tab/>
      </w:r>
      <w:r w:rsidRPr="004A72CD">
        <w:rPr>
          <w:rFonts w:asciiTheme="minorHAnsi" w:eastAsia="SimSun" w:hAnsiTheme="minorHAnsi" w:cstheme="minorHAnsi"/>
          <w:b/>
          <w:bCs/>
          <w:sz w:val="26"/>
          <w:szCs w:val="26"/>
          <w:lang w:eastAsia="zh-CN"/>
        </w:rPr>
        <w:tab/>
      </w:r>
      <w:r w:rsidRPr="004A72CD">
        <w:rPr>
          <w:rFonts w:asciiTheme="minorHAnsi" w:eastAsia="SimSun" w:hAnsiTheme="minorHAnsi" w:cstheme="minorHAnsi"/>
          <w:b/>
          <w:bCs/>
          <w:sz w:val="26"/>
          <w:szCs w:val="26"/>
          <w:lang w:eastAsia="zh-CN"/>
        </w:rPr>
        <w:tab/>
      </w:r>
      <w:r w:rsidRPr="004A72CD">
        <w:rPr>
          <w:rFonts w:asciiTheme="minorHAnsi" w:eastAsia="SimSun" w:hAnsiTheme="minorHAnsi" w:cstheme="minorHAnsi"/>
          <w:b/>
          <w:bCs/>
          <w:sz w:val="26"/>
          <w:szCs w:val="26"/>
          <w:lang w:eastAsia="zh-CN"/>
        </w:rPr>
        <w:tab/>
      </w:r>
      <w:r w:rsidRPr="004A72CD">
        <w:rPr>
          <w:rFonts w:asciiTheme="minorHAnsi" w:eastAsia="SimSun" w:hAnsiTheme="minorHAnsi" w:cstheme="minorHAnsi"/>
          <w:b/>
          <w:bCs/>
          <w:sz w:val="26"/>
          <w:szCs w:val="26"/>
          <w:lang w:eastAsia="zh-CN"/>
        </w:rPr>
        <w:tab/>
      </w:r>
      <w:r w:rsidRPr="004A72CD">
        <w:rPr>
          <w:rFonts w:asciiTheme="minorHAnsi" w:eastAsia="SimSun" w:hAnsiTheme="minorHAnsi" w:cstheme="minorHAnsi"/>
          <w:b/>
          <w:bCs/>
          <w:sz w:val="26"/>
          <w:szCs w:val="26"/>
          <w:lang w:eastAsia="zh-CN"/>
        </w:rPr>
        <w:tab/>
      </w:r>
      <w:r w:rsidRPr="004A72CD">
        <w:rPr>
          <w:rFonts w:asciiTheme="minorHAnsi" w:eastAsia="SimSun" w:hAnsiTheme="minorHAnsi" w:cstheme="minorHAnsi"/>
          <w:b/>
          <w:bCs/>
          <w:sz w:val="26"/>
          <w:szCs w:val="26"/>
          <w:lang w:eastAsia="zh-CN"/>
        </w:rPr>
        <w:tab/>
      </w:r>
      <w:r w:rsidRPr="004A72CD">
        <w:rPr>
          <w:rFonts w:asciiTheme="minorHAnsi" w:eastAsia="SimSun" w:hAnsiTheme="minorHAnsi" w:cstheme="minorHAnsi"/>
          <w:b/>
          <w:bCs/>
          <w:sz w:val="26"/>
          <w:szCs w:val="26"/>
          <w:lang w:eastAsia="zh-CN"/>
        </w:rPr>
        <w:tab/>
        <w:t xml:space="preserve">   mii lei/euro</w:t>
      </w:r>
    </w:p>
    <w:tbl>
      <w:tblPr>
        <w:tblW w:w="10449" w:type="dxa"/>
        <w:jc w:val="center"/>
        <w:tblLook w:val="04A0" w:firstRow="1" w:lastRow="0" w:firstColumn="1" w:lastColumn="0" w:noHBand="0" w:noVBand="1"/>
      </w:tblPr>
      <w:tblGrid>
        <w:gridCol w:w="1838"/>
        <w:gridCol w:w="551"/>
        <w:gridCol w:w="866"/>
        <w:gridCol w:w="794"/>
        <w:gridCol w:w="866"/>
        <w:gridCol w:w="794"/>
        <w:gridCol w:w="766"/>
        <w:gridCol w:w="794"/>
        <w:gridCol w:w="766"/>
        <w:gridCol w:w="854"/>
        <w:gridCol w:w="766"/>
        <w:gridCol w:w="794"/>
      </w:tblGrid>
      <w:tr w:rsidR="009D3C00" w:rsidRPr="002F5AB8" w14:paraId="033DB214" w14:textId="77777777" w:rsidTr="009D3C00">
        <w:trPr>
          <w:trHeight w:val="300"/>
          <w:jc w:val="center"/>
        </w:trPr>
        <w:tc>
          <w:tcPr>
            <w:tcW w:w="1838" w:type="dxa"/>
            <w:tcBorders>
              <w:top w:val="single" w:sz="4" w:space="0" w:color="auto"/>
              <w:left w:val="single" w:sz="4" w:space="0" w:color="auto"/>
              <w:bottom w:val="single" w:sz="4" w:space="0" w:color="auto"/>
              <w:right w:val="single" w:sz="4" w:space="0" w:color="auto"/>
            </w:tcBorders>
            <w:shd w:val="clear" w:color="000000" w:fill="DBDBDB"/>
            <w:vAlign w:val="center"/>
            <w:hideMark/>
          </w:tcPr>
          <w:p w14:paraId="21C9A3D1" w14:textId="77777777" w:rsidR="009D3C00" w:rsidRPr="002F5AB8" w:rsidRDefault="009D3C00" w:rsidP="00612067">
            <w:pPr>
              <w:keepNext/>
              <w:keepLines/>
              <w:rPr>
                <w:rFonts w:ascii="Times New Roman" w:hAnsi="Times New Roman"/>
                <w:b/>
                <w:bCs/>
                <w:color w:val="000000"/>
                <w:sz w:val="20"/>
                <w:lang w:eastAsia="ro-RO"/>
              </w:rPr>
            </w:pPr>
            <w:r w:rsidRPr="002F5AB8">
              <w:rPr>
                <w:rFonts w:ascii="Times New Roman" w:hAnsi="Times New Roman"/>
                <w:b/>
                <w:bCs/>
                <w:color w:val="000000"/>
                <w:sz w:val="20"/>
                <w:lang w:eastAsia="ro-RO"/>
              </w:rPr>
              <w:t>ANUL 2023</w:t>
            </w:r>
          </w:p>
        </w:tc>
        <w:tc>
          <w:tcPr>
            <w:tcW w:w="551" w:type="dxa"/>
            <w:tcBorders>
              <w:top w:val="single" w:sz="4" w:space="0" w:color="auto"/>
              <w:left w:val="nil"/>
              <w:bottom w:val="single" w:sz="4" w:space="0" w:color="auto"/>
              <w:right w:val="single" w:sz="4" w:space="0" w:color="auto"/>
            </w:tcBorders>
            <w:shd w:val="clear" w:color="000000" w:fill="DBDBDB"/>
            <w:vAlign w:val="center"/>
            <w:hideMark/>
          </w:tcPr>
          <w:p w14:paraId="4F9E45FE" w14:textId="77777777" w:rsidR="009D3C00" w:rsidRPr="002F5AB8" w:rsidRDefault="009D3C00" w:rsidP="00612067">
            <w:pPr>
              <w:keepNext/>
              <w:keepLines/>
              <w:rPr>
                <w:rFonts w:ascii="Times New Roman" w:hAnsi="Times New Roman"/>
                <w:b/>
                <w:bCs/>
                <w:color w:val="000000"/>
                <w:sz w:val="20"/>
                <w:lang w:eastAsia="ro-RO"/>
              </w:rPr>
            </w:pPr>
            <w:r w:rsidRPr="002F5AB8">
              <w:rPr>
                <w:rFonts w:ascii="Times New Roman" w:hAnsi="Times New Roman"/>
                <w:b/>
                <w:bCs/>
                <w:color w:val="000000"/>
                <w:sz w:val="20"/>
                <w:lang w:eastAsia="ro-RO"/>
              </w:rPr>
              <w:t> </w:t>
            </w:r>
          </w:p>
        </w:tc>
        <w:tc>
          <w:tcPr>
            <w:tcW w:w="1660" w:type="dxa"/>
            <w:gridSpan w:val="2"/>
            <w:tcBorders>
              <w:top w:val="single" w:sz="4" w:space="0" w:color="auto"/>
              <w:left w:val="nil"/>
              <w:bottom w:val="single" w:sz="4" w:space="0" w:color="auto"/>
              <w:right w:val="single" w:sz="4" w:space="0" w:color="auto"/>
            </w:tcBorders>
            <w:shd w:val="clear" w:color="000000" w:fill="DBDBDB"/>
            <w:noWrap/>
            <w:vAlign w:val="center"/>
            <w:hideMark/>
          </w:tcPr>
          <w:p w14:paraId="05EFFC8A" w14:textId="77777777" w:rsidR="009D3C00" w:rsidRPr="002F5AB8" w:rsidRDefault="009D3C00" w:rsidP="00612067">
            <w:pPr>
              <w:keepNext/>
              <w:keepLines/>
              <w:jc w:val="center"/>
              <w:rPr>
                <w:rFonts w:ascii="Times New Roman" w:hAnsi="Times New Roman"/>
                <w:b/>
                <w:bCs/>
                <w:color w:val="000000"/>
                <w:sz w:val="20"/>
                <w:lang w:eastAsia="ro-RO"/>
              </w:rPr>
            </w:pPr>
            <w:r w:rsidRPr="002F5AB8">
              <w:rPr>
                <w:rFonts w:ascii="Times New Roman" w:hAnsi="Times New Roman"/>
                <w:b/>
                <w:bCs/>
                <w:color w:val="000000"/>
                <w:sz w:val="20"/>
                <w:lang w:eastAsia="ro-RO"/>
              </w:rPr>
              <w:t>TOTAL</w:t>
            </w:r>
          </w:p>
        </w:tc>
        <w:tc>
          <w:tcPr>
            <w:tcW w:w="1660" w:type="dxa"/>
            <w:gridSpan w:val="2"/>
            <w:tcBorders>
              <w:top w:val="single" w:sz="4" w:space="0" w:color="auto"/>
              <w:left w:val="nil"/>
              <w:bottom w:val="single" w:sz="4" w:space="0" w:color="auto"/>
              <w:right w:val="single" w:sz="4" w:space="0" w:color="auto"/>
            </w:tcBorders>
            <w:shd w:val="clear" w:color="000000" w:fill="DBDBDB"/>
            <w:noWrap/>
            <w:vAlign w:val="center"/>
            <w:hideMark/>
          </w:tcPr>
          <w:p w14:paraId="62B7F6BF" w14:textId="77777777" w:rsidR="009D3C00" w:rsidRPr="002F5AB8" w:rsidRDefault="009D3C00" w:rsidP="00612067">
            <w:pPr>
              <w:keepNext/>
              <w:keepLines/>
              <w:jc w:val="center"/>
              <w:rPr>
                <w:rFonts w:ascii="Times New Roman" w:hAnsi="Times New Roman"/>
                <w:b/>
                <w:bCs/>
                <w:color w:val="000000"/>
                <w:sz w:val="20"/>
                <w:lang w:eastAsia="ro-RO"/>
              </w:rPr>
            </w:pPr>
            <w:r w:rsidRPr="002F5AB8">
              <w:rPr>
                <w:rFonts w:ascii="Times New Roman" w:hAnsi="Times New Roman"/>
                <w:b/>
                <w:bCs/>
                <w:color w:val="000000"/>
                <w:sz w:val="20"/>
                <w:lang w:eastAsia="ro-RO"/>
              </w:rPr>
              <w:t xml:space="preserve"> CSM APARAT PROPRIU</w:t>
            </w:r>
          </w:p>
        </w:tc>
        <w:tc>
          <w:tcPr>
            <w:tcW w:w="1560" w:type="dxa"/>
            <w:gridSpan w:val="2"/>
            <w:tcBorders>
              <w:top w:val="single" w:sz="4" w:space="0" w:color="auto"/>
              <w:left w:val="nil"/>
              <w:bottom w:val="single" w:sz="4" w:space="0" w:color="auto"/>
              <w:right w:val="single" w:sz="4" w:space="0" w:color="000000"/>
            </w:tcBorders>
            <w:shd w:val="clear" w:color="000000" w:fill="DBDBDB"/>
            <w:noWrap/>
            <w:vAlign w:val="center"/>
            <w:hideMark/>
          </w:tcPr>
          <w:p w14:paraId="4681FB91" w14:textId="77777777" w:rsidR="009D3C00" w:rsidRPr="002F5AB8" w:rsidRDefault="009D3C00" w:rsidP="00612067">
            <w:pPr>
              <w:keepNext/>
              <w:keepLines/>
              <w:jc w:val="center"/>
              <w:rPr>
                <w:rFonts w:ascii="Times New Roman" w:hAnsi="Times New Roman"/>
                <w:b/>
                <w:bCs/>
                <w:color w:val="000000"/>
                <w:sz w:val="20"/>
                <w:lang w:eastAsia="ro-RO"/>
              </w:rPr>
            </w:pPr>
            <w:r w:rsidRPr="002F5AB8">
              <w:rPr>
                <w:rFonts w:ascii="Times New Roman" w:hAnsi="Times New Roman"/>
                <w:b/>
                <w:bCs/>
                <w:color w:val="000000"/>
                <w:sz w:val="20"/>
                <w:lang w:eastAsia="ro-RO"/>
              </w:rPr>
              <w:t>INSPECTIA JUDICIARA</w:t>
            </w:r>
          </w:p>
        </w:tc>
        <w:tc>
          <w:tcPr>
            <w:tcW w:w="1620" w:type="dxa"/>
            <w:gridSpan w:val="2"/>
            <w:tcBorders>
              <w:top w:val="single" w:sz="4" w:space="0" w:color="auto"/>
              <w:left w:val="nil"/>
              <w:bottom w:val="single" w:sz="4" w:space="0" w:color="auto"/>
              <w:right w:val="single" w:sz="4" w:space="0" w:color="auto"/>
            </w:tcBorders>
            <w:shd w:val="clear" w:color="000000" w:fill="DBDBDB"/>
            <w:noWrap/>
            <w:vAlign w:val="center"/>
            <w:hideMark/>
          </w:tcPr>
          <w:p w14:paraId="039CBF06" w14:textId="77777777" w:rsidR="009D3C00" w:rsidRPr="002F5AB8" w:rsidRDefault="009D3C00" w:rsidP="00612067">
            <w:pPr>
              <w:keepNext/>
              <w:keepLines/>
              <w:jc w:val="center"/>
              <w:rPr>
                <w:rFonts w:ascii="Times New Roman" w:hAnsi="Times New Roman"/>
                <w:b/>
                <w:bCs/>
                <w:color w:val="000000"/>
                <w:sz w:val="20"/>
                <w:lang w:eastAsia="ro-RO"/>
              </w:rPr>
            </w:pPr>
            <w:r w:rsidRPr="002F5AB8">
              <w:rPr>
                <w:rFonts w:ascii="Times New Roman" w:hAnsi="Times New Roman"/>
                <w:b/>
                <w:bCs/>
                <w:color w:val="000000"/>
                <w:sz w:val="20"/>
                <w:lang w:eastAsia="ro-RO"/>
              </w:rPr>
              <w:t>INM</w:t>
            </w:r>
          </w:p>
        </w:tc>
        <w:tc>
          <w:tcPr>
            <w:tcW w:w="1560" w:type="dxa"/>
            <w:gridSpan w:val="2"/>
            <w:tcBorders>
              <w:top w:val="single" w:sz="4" w:space="0" w:color="auto"/>
              <w:left w:val="nil"/>
              <w:bottom w:val="single" w:sz="4" w:space="0" w:color="auto"/>
              <w:right w:val="single" w:sz="4" w:space="0" w:color="auto"/>
            </w:tcBorders>
            <w:shd w:val="clear" w:color="000000" w:fill="DBDBDB"/>
            <w:noWrap/>
            <w:vAlign w:val="center"/>
            <w:hideMark/>
          </w:tcPr>
          <w:p w14:paraId="2F58F863" w14:textId="77777777" w:rsidR="009D3C00" w:rsidRPr="002F5AB8" w:rsidRDefault="009D3C00" w:rsidP="00612067">
            <w:pPr>
              <w:keepNext/>
              <w:keepLines/>
              <w:jc w:val="center"/>
              <w:rPr>
                <w:rFonts w:ascii="Times New Roman" w:hAnsi="Times New Roman"/>
                <w:b/>
                <w:bCs/>
                <w:color w:val="000000"/>
                <w:sz w:val="20"/>
                <w:lang w:eastAsia="ro-RO"/>
              </w:rPr>
            </w:pPr>
            <w:r w:rsidRPr="002F5AB8">
              <w:rPr>
                <w:rFonts w:ascii="Times New Roman" w:hAnsi="Times New Roman"/>
                <w:b/>
                <w:bCs/>
                <w:color w:val="000000"/>
                <w:sz w:val="20"/>
                <w:lang w:eastAsia="ro-RO"/>
              </w:rPr>
              <w:t>SNG</w:t>
            </w:r>
          </w:p>
        </w:tc>
      </w:tr>
      <w:tr w:rsidR="009D3C00" w:rsidRPr="002F5AB8" w14:paraId="6150287A" w14:textId="77777777" w:rsidTr="009D3C00">
        <w:trPr>
          <w:trHeight w:val="30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70E56102" w14:textId="77777777" w:rsidR="009D3C00" w:rsidRPr="002F5AB8" w:rsidRDefault="009D3C00" w:rsidP="00612067">
            <w:pPr>
              <w:keepNext/>
              <w:keepLines/>
              <w:rPr>
                <w:rFonts w:ascii="Times New Roman" w:hAnsi="Times New Roman"/>
                <w:b/>
                <w:bCs/>
                <w:color w:val="000000"/>
                <w:sz w:val="20"/>
                <w:lang w:eastAsia="ro-RO"/>
              </w:rPr>
            </w:pPr>
            <w:r w:rsidRPr="002F5AB8">
              <w:rPr>
                <w:rFonts w:ascii="Times New Roman" w:hAnsi="Times New Roman"/>
                <w:b/>
                <w:bCs/>
                <w:color w:val="000000"/>
                <w:sz w:val="20"/>
                <w:lang w:eastAsia="ro-RO"/>
              </w:rPr>
              <w:t>BUGET  CSM</w:t>
            </w:r>
          </w:p>
        </w:tc>
        <w:tc>
          <w:tcPr>
            <w:tcW w:w="551" w:type="dxa"/>
            <w:tcBorders>
              <w:top w:val="nil"/>
              <w:left w:val="nil"/>
              <w:bottom w:val="single" w:sz="4" w:space="0" w:color="auto"/>
              <w:right w:val="single" w:sz="4" w:space="0" w:color="auto"/>
            </w:tcBorders>
            <w:shd w:val="clear" w:color="000000" w:fill="D9D9D9"/>
            <w:vAlign w:val="bottom"/>
            <w:hideMark/>
          </w:tcPr>
          <w:p w14:paraId="2AC78F54" w14:textId="77777777" w:rsidR="009D3C00" w:rsidRPr="002F5AB8" w:rsidRDefault="009D3C00" w:rsidP="00612067">
            <w:pPr>
              <w:keepNext/>
              <w:keepLines/>
              <w:jc w:val="center"/>
              <w:rPr>
                <w:rFonts w:ascii="Times New Roman" w:hAnsi="Times New Roman"/>
                <w:b/>
                <w:bCs/>
                <w:color w:val="000000"/>
                <w:sz w:val="20"/>
                <w:lang w:eastAsia="ro-RO"/>
              </w:rPr>
            </w:pPr>
            <w:r w:rsidRPr="002F5AB8">
              <w:rPr>
                <w:rFonts w:ascii="Times New Roman" w:hAnsi="Times New Roman"/>
                <w:b/>
                <w:bCs/>
                <w:color w:val="000000"/>
                <w:sz w:val="20"/>
                <w:lang w:eastAsia="ro-RO"/>
              </w:rPr>
              <w:t> </w:t>
            </w:r>
          </w:p>
        </w:tc>
        <w:tc>
          <w:tcPr>
            <w:tcW w:w="866" w:type="dxa"/>
            <w:tcBorders>
              <w:top w:val="nil"/>
              <w:left w:val="nil"/>
              <w:bottom w:val="single" w:sz="4" w:space="0" w:color="auto"/>
              <w:right w:val="single" w:sz="4" w:space="0" w:color="auto"/>
            </w:tcBorders>
            <w:shd w:val="clear" w:color="000000" w:fill="D9D9D9"/>
            <w:noWrap/>
            <w:vAlign w:val="bottom"/>
            <w:hideMark/>
          </w:tcPr>
          <w:p w14:paraId="44D24ED3" w14:textId="77777777" w:rsidR="009D3C00" w:rsidRPr="002F5AB8" w:rsidRDefault="009D3C00" w:rsidP="00612067">
            <w:pPr>
              <w:keepNext/>
              <w:keepLines/>
              <w:jc w:val="center"/>
              <w:rPr>
                <w:rFonts w:ascii="Times New Roman" w:hAnsi="Times New Roman"/>
                <w:b/>
                <w:bCs/>
                <w:color w:val="000000"/>
                <w:sz w:val="20"/>
                <w:lang w:eastAsia="ro-RO"/>
              </w:rPr>
            </w:pPr>
            <w:r w:rsidRPr="002F5AB8">
              <w:rPr>
                <w:rFonts w:ascii="Times New Roman" w:hAnsi="Times New Roman"/>
                <w:b/>
                <w:bCs/>
                <w:color w:val="000000"/>
                <w:sz w:val="20"/>
                <w:lang w:eastAsia="ro-RO"/>
              </w:rPr>
              <w:t>LEI</w:t>
            </w:r>
          </w:p>
        </w:tc>
        <w:tc>
          <w:tcPr>
            <w:tcW w:w="794" w:type="dxa"/>
            <w:tcBorders>
              <w:top w:val="nil"/>
              <w:left w:val="nil"/>
              <w:bottom w:val="single" w:sz="4" w:space="0" w:color="auto"/>
              <w:right w:val="single" w:sz="4" w:space="0" w:color="auto"/>
            </w:tcBorders>
            <w:shd w:val="clear" w:color="000000" w:fill="D9D9D9"/>
            <w:noWrap/>
            <w:vAlign w:val="bottom"/>
            <w:hideMark/>
          </w:tcPr>
          <w:p w14:paraId="5326CF2A" w14:textId="77777777" w:rsidR="009D3C00" w:rsidRPr="002F5AB8" w:rsidRDefault="009D3C00" w:rsidP="00612067">
            <w:pPr>
              <w:keepNext/>
              <w:keepLines/>
              <w:jc w:val="center"/>
              <w:rPr>
                <w:rFonts w:ascii="Times New Roman" w:hAnsi="Times New Roman"/>
                <w:b/>
                <w:bCs/>
                <w:color w:val="000000"/>
                <w:sz w:val="20"/>
                <w:lang w:eastAsia="ro-RO"/>
              </w:rPr>
            </w:pPr>
            <w:r w:rsidRPr="002F5AB8">
              <w:rPr>
                <w:rFonts w:ascii="Times New Roman" w:hAnsi="Times New Roman"/>
                <w:b/>
                <w:bCs/>
                <w:color w:val="000000"/>
                <w:sz w:val="20"/>
                <w:lang w:eastAsia="ro-RO"/>
              </w:rPr>
              <w:t>EURO</w:t>
            </w:r>
          </w:p>
        </w:tc>
        <w:tc>
          <w:tcPr>
            <w:tcW w:w="866" w:type="dxa"/>
            <w:tcBorders>
              <w:top w:val="nil"/>
              <w:left w:val="nil"/>
              <w:bottom w:val="single" w:sz="4" w:space="0" w:color="auto"/>
              <w:right w:val="single" w:sz="4" w:space="0" w:color="auto"/>
            </w:tcBorders>
            <w:shd w:val="clear" w:color="000000" w:fill="D9D9D9"/>
            <w:noWrap/>
            <w:vAlign w:val="bottom"/>
            <w:hideMark/>
          </w:tcPr>
          <w:p w14:paraId="12E66849" w14:textId="77777777" w:rsidR="009D3C00" w:rsidRPr="002F5AB8" w:rsidRDefault="009D3C00" w:rsidP="00612067">
            <w:pPr>
              <w:keepNext/>
              <w:keepLines/>
              <w:jc w:val="center"/>
              <w:rPr>
                <w:rFonts w:ascii="Times New Roman" w:hAnsi="Times New Roman"/>
                <w:b/>
                <w:bCs/>
                <w:color w:val="000000"/>
                <w:sz w:val="20"/>
                <w:lang w:eastAsia="ro-RO"/>
              </w:rPr>
            </w:pPr>
            <w:r w:rsidRPr="002F5AB8">
              <w:rPr>
                <w:rFonts w:ascii="Times New Roman" w:hAnsi="Times New Roman"/>
                <w:b/>
                <w:bCs/>
                <w:color w:val="000000"/>
                <w:sz w:val="20"/>
                <w:lang w:eastAsia="ro-RO"/>
              </w:rPr>
              <w:t>LEI</w:t>
            </w:r>
          </w:p>
        </w:tc>
        <w:tc>
          <w:tcPr>
            <w:tcW w:w="794" w:type="dxa"/>
            <w:tcBorders>
              <w:top w:val="nil"/>
              <w:left w:val="nil"/>
              <w:bottom w:val="single" w:sz="4" w:space="0" w:color="auto"/>
              <w:right w:val="single" w:sz="4" w:space="0" w:color="auto"/>
            </w:tcBorders>
            <w:shd w:val="clear" w:color="000000" w:fill="D9D9D9"/>
            <w:noWrap/>
            <w:vAlign w:val="bottom"/>
            <w:hideMark/>
          </w:tcPr>
          <w:p w14:paraId="2C3B6CD2" w14:textId="77777777" w:rsidR="009D3C00" w:rsidRPr="002F5AB8" w:rsidRDefault="009D3C00" w:rsidP="00612067">
            <w:pPr>
              <w:keepNext/>
              <w:keepLines/>
              <w:jc w:val="center"/>
              <w:rPr>
                <w:rFonts w:ascii="Times New Roman" w:hAnsi="Times New Roman"/>
                <w:b/>
                <w:bCs/>
                <w:color w:val="000000"/>
                <w:sz w:val="20"/>
                <w:lang w:eastAsia="ro-RO"/>
              </w:rPr>
            </w:pPr>
            <w:r w:rsidRPr="002F5AB8">
              <w:rPr>
                <w:rFonts w:ascii="Times New Roman" w:hAnsi="Times New Roman"/>
                <w:b/>
                <w:bCs/>
                <w:color w:val="000000"/>
                <w:sz w:val="20"/>
                <w:lang w:eastAsia="ro-RO"/>
              </w:rPr>
              <w:t>EURO</w:t>
            </w:r>
          </w:p>
        </w:tc>
        <w:tc>
          <w:tcPr>
            <w:tcW w:w="766" w:type="dxa"/>
            <w:tcBorders>
              <w:top w:val="nil"/>
              <w:left w:val="nil"/>
              <w:bottom w:val="single" w:sz="4" w:space="0" w:color="auto"/>
              <w:right w:val="single" w:sz="4" w:space="0" w:color="auto"/>
            </w:tcBorders>
            <w:shd w:val="clear" w:color="000000" w:fill="D9D9D9"/>
            <w:noWrap/>
            <w:vAlign w:val="bottom"/>
            <w:hideMark/>
          </w:tcPr>
          <w:p w14:paraId="7ECA85E2" w14:textId="77777777" w:rsidR="009D3C00" w:rsidRPr="002F5AB8" w:rsidRDefault="009D3C00" w:rsidP="00612067">
            <w:pPr>
              <w:keepNext/>
              <w:keepLines/>
              <w:jc w:val="center"/>
              <w:rPr>
                <w:rFonts w:ascii="Times New Roman" w:hAnsi="Times New Roman"/>
                <w:b/>
                <w:bCs/>
                <w:color w:val="000000"/>
                <w:sz w:val="20"/>
                <w:lang w:eastAsia="ro-RO"/>
              </w:rPr>
            </w:pPr>
            <w:r w:rsidRPr="002F5AB8">
              <w:rPr>
                <w:rFonts w:ascii="Times New Roman" w:hAnsi="Times New Roman"/>
                <w:b/>
                <w:bCs/>
                <w:color w:val="000000"/>
                <w:sz w:val="20"/>
                <w:lang w:eastAsia="ro-RO"/>
              </w:rPr>
              <w:t>LEI</w:t>
            </w:r>
          </w:p>
        </w:tc>
        <w:tc>
          <w:tcPr>
            <w:tcW w:w="794" w:type="dxa"/>
            <w:tcBorders>
              <w:top w:val="nil"/>
              <w:left w:val="nil"/>
              <w:bottom w:val="single" w:sz="4" w:space="0" w:color="auto"/>
              <w:right w:val="single" w:sz="4" w:space="0" w:color="auto"/>
            </w:tcBorders>
            <w:shd w:val="clear" w:color="000000" w:fill="D9D9D9"/>
            <w:noWrap/>
            <w:vAlign w:val="bottom"/>
            <w:hideMark/>
          </w:tcPr>
          <w:p w14:paraId="3A7F27E3" w14:textId="77777777" w:rsidR="009D3C00" w:rsidRPr="002F5AB8" w:rsidRDefault="009D3C00" w:rsidP="00612067">
            <w:pPr>
              <w:keepNext/>
              <w:keepLines/>
              <w:jc w:val="center"/>
              <w:rPr>
                <w:rFonts w:ascii="Times New Roman" w:hAnsi="Times New Roman"/>
                <w:b/>
                <w:bCs/>
                <w:color w:val="000000"/>
                <w:sz w:val="20"/>
                <w:lang w:eastAsia="ro-RO"/>
              </w:rPr>
            </w:pPr>
            <w:r w:rsidRPr="002F5AB8">
              <w:rPr>
                <w:rFonts w:ascii="Times New Roman" w:hAnsi="Times New Roman"/>
                <w:b/>
                <w:bCs/>
                <w:color w:val="000000"/>
                <w:sz w:val="20"/>
                <w:lang w:eastAsia="ro-RO"/>
              </w:rPr>
              <w:t>EURO</w:t>
            </w:r>
          </w:p>
        </w:tc>
        <w:tc>
          <w:tcPr>
            <w:tcW w:w="766" w:type="dxa"/>
            <w:tcBorders>
              <w:top w:val="nil"/>
              <w:left w:val="nil"/>
              <w:bottom w:val="single" w:sz="4" w:space="0" w:color="auto"/>
              <w:right w:val="single" w:sz="4" w:space="0" w:color="auto"/>
            </w:tcBorders>
            <w:shd w:val="clear" w:color="000000" w:fill="D9D9D9"/>
            <w:noWrap/>
            <w:vAlign w:val="bottom"/>
            <w:hideMark/>
          </w:tcPr>
          <w:p w14:paraId="3B2A01D0" w14:textId="77777777" w:rsidR="009D3C00" w:rsidRPr="002F5AB8" w:rsidRDefault="009D3C00" w:rsidP="00612067">
            <w:pPr>
              <w:keepNext/>
              <w:keepLines/>
              <w:jc w:val="center"/>
              <w:rPr>
                <w:rFonts w:ascii="Times New Roman" w:hAnsi="Times New Roman"/>
                <w:b/>
                <w:bCs/>
                <w:color w:val="000000"/>
                <w:sz w:val="20"/>
                <w:lang w:eastAsia="ro-RO"/>
              </w:rPr>
            </w:pPr>
            <w:r w:rsidRPr="002F5AB8">
              <w:rPr>
                <w:rFonts w:ascii="Times New Roman" w:hAnsi="Times New Roman"/>
                <w:b/>
                <w:bCs/>
                <w:color w:val="000000"/>
                <w:sz w:val="20"/>
                <w:lang w:eastAsia="ro-RO"/>
              </w:rPr>
              <w:t>LEI</w:t>
            </w:r>
          </w:p>
        </w:tc>
        <w:tc>
          <w:tcPr>
            <w:tcW w:w="854" w:type="dxa"/>
            <w:tcBorders>
              <w:top w:val="nil"/>
              <w:left w:val="nil"/>
              <w:bottom w:val="single" w:sz="4" w:space="0" w:color="auto"/>
              <w:right w:val="single" w:sz="4" w:space="0" w:color="auto"/>
            </w:tcBorders>
            <w:shd w:val="clear" w:color="000000" w:fill="D9D9D9"/>
            <w:noWrap/>
            <w:vAlign w:val="bottom"/>
            <w:hideMark/>
          </w:tcPr>
          <w:p w14:paraId="559453F0" w14:textId="77777777" w:rsidR="009D3C00" w:rsidRPr="002F5AB8" w:rsidRDefault="009D3C00" w:rsidP="00612067">
            <w:pPr>
              <w:keepNext/>
              <w:keepLines/>
              <w:jc w:val="center"/>
              <w:rPr>
                <w:rFonts w:ascii="Times New Roman" w:hAnsi="Times New Roman"/>
                <w:b/>
                <w:bCs/>
                <w:color w:val="000000"/>
                <w:sz w:val="20"/>
                <w:lang w:eastAsia="ro-RO"/>
              </w:rPr>
            </w:pPr>
            <w:r w:rsidRPr="002F5AB8">
              <w:rPr>
                <w:rFonts w:ascii="Times New Roman" w:hAnsi="Times New Roman"/>
                <w:b/>
                <w:bCs/>
                <w:color w:val="000000"/>
                <w:sz w:val="20"/>
                <w:lang w:eastAsia="ro-RO"/>
              </w:rPr>
              <w:t>EURO</w:t>
            </w:r>
          </w:p>
        </w:tc>
        <w:tc>
          <w:tcPr>
            <w:tcW w:w="766" w:type="dxa"/>
            <w:tcBorders>
              <w:top w:val="nil"/>
              <w:left w:val="nil"/>
              <w:bottom w:val="single" w:sz="4" w:space="0" w:color="auto"/>
              <w:right w:val="single" w:sz="4" w:space="0" w:color="auto"/>
            </w:tcBorders>
            <w:shd w:val="clear" w:color="000000" w:fill="D9D9D9"/>
            <w:noWrap/>
            <w:vAlign w:val="bottom"/>
            <w:hideMark/>
          </w:tcPr>
          <w:p w14:paraId="3665140D" w14:textId="77777777" w:rsidR="009D3C00" w:rsidRPr="002F5AB8" w:rsidRDefault="009D3C00" w:rsidP="00612067">
            <w:pPr>
              <w:keepNext/>
              <w:keepLines/>
              <w:jc w:val="center"/>
              <w:rPr>
                <w:rFonts w:ascii="Times New Roman" w:hAnsi="Times New Roman"/>
                <w:b/>
                <w:bCs/>
                <w:color w:val="000000"/>
                <w:sz w:val="20"/>
                <w:lang w:eastAsia="ro-RO"/>
              </w:rPr>
            </w:pPr>
            <w:r w:rsidRPr="002F5AB8">
              <w:rPr>
                <w:rFonts w:ascii="Times New Roman" w:hAnsi="Times New Roman"/>
                <w:b/>
                <w:bCs/>
                <w:color w:val="000000"/>
                <w:sz w:val="20"/>
                <w:lang w:eastAsia="ro-RO"/>
              </w:rPr>
              <w:t>LEI</w:t>
            </w:r>
          </w:p>
        </w:tc>
        <w:tc>
          <w:tcPr>
            <w:tcW w:w="794" w:type="dxa"/>
            <w:tcBorders>
              <w:top w:val="nil"/>
              <w:left w:val="nil"/>
              <w:bottom w:val="single" w:sz="4" w:space="0" w:color="auto"/>
              <w:right w:val="single" w:sz="4" w:space="0" w:color="auto"/>
            </w:tcBorders>
            <w:shd w:val="clear" w:color="000000" w:fill="D9D9D9"/>
            <w:noWrap/>
            <w:vAlign w:val="bottom"/>
            <w:hideMark/>
          </w:tcPr>
          <w:p w14:paraId="5EBF05D8" w14:textId="77777777" w:rsidR="009D3C00" w:rsidRPr="002F5AB8" w:rsidRDefault="009D3C00" w:rsidP="00612067">
            <w:pPr>
              <w:keepNext/>
              <w:keepLines/>
              <w:jc w:val="center"/>
              <w:rPr>
                <w:rFonts w:ascii="Times New Roman" w:hAnsi="Times New Roman"/>
                <w:b/>
                <w:bCs/>
                <w:color w:val="000000"/>
                <w:sz w:val="20"/>
                <w:lang w:eastAsia="ro-RO"/>
              </w:rPr>
            </w:pPr>
            <w:r w:rsidRPr="002F5AB8">
              <w:rPr>
                <w:rFonts w:ascii="Times New Roman" w:hAnsi="Times New Roman"/>
                <w:b/>
                <w:bCs/>
                <w:color w:val="000000"/>
                <w:sz w:val="20"/>
                <w:lang w:eastAsia="ro-RO"/>
              </w:rPr>
              <w:t>EURO</w:t>
            </w:r>
          </w:p>
        </w:tc>
      </w:tr>
      <w:tr w:rsidR="009D3C00" w:rsidRPr="002F5AB8" w14:paraId="7C72A5B9" w14:textId="77777777" w:rsidTr="009D3C00">
        <w:trPr>
          <w:trHeight w:val="300"/>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5B2DB792" w14:textId="77777777" w:rsidR="009D3C00" w:rsidRPr="002F5AB8" w:rsidRDefault="009D3C00" w:rsidP="00612067">
            <w:pPr>
              <w:keepNext/>
              <w:keepLines/>
              <w:rPr>
                <w:rFonts w:ascii="Times New Roman" w:hAnsi="Times New Roman"/>
                <w:b/>
                <w:bCs/>
                <w:color w:val="000000"/>
                <w:sz w:val="20"/>
                <w:lang w:eastAsia="ro-RO"/>
              </w:rPr>
            </w:pPr>
            <w:r w:rsidRPr="002F5AB8">
              <w:rPr>
                <w:rFonts w:ascii="Times New Roman" w:hAnsi="Times New Roman"/>
                <w:b/>
                <w:bCs/>
                <w:color w:val="000000"/>
                <w:sz w:val="20"/>
                <w:lang w:eastAsia="ro-RO"/>
              </w:rPr>
              <w:t>TOTAL  din care:</w:t>
            </w:r>
          </w:p>
        </w:tc>
        <w:tc>
          <w:tcPr>
            <w:tcW w:w="551" w:type="dxa"/>
            <w:tcBorders>
              <w:top w:val="nil"/>
              <w:left w:val="nil"/>
              <w:bottom w:val="single" w:sz="4" w:space="0" w:color="auto"/>
              <w:right w:val="single" w:sz="4" w:space="0" w:color="auto"/>
            </w:tcBorders>
            <w:shd w:val="clear" w:color="auto" w:fill="auto"/>
            <w:vAlign w:val="center"/>
            <w:hideMark/>
          </w:tcPr>
          <w:p w14:paraId="03E8416C" w14:textId="77777777" w:rsidR="009D3C00" w:rsidRPr="002F5AB8" w:rsidRDefault="009D3C00" w:rsidP="00612067">
            <w:pPr>
              <w:keepNext/>
              <w:keepLines/>
              <w:rPr>
                <w:rFonts w:ascii="Times New Roman" w:hAnsi="Times New Roman"/>
                <w:b/>
                <w:bCs/>
                <w:color w:val="000000"/>
                <w:sz w:val="20"/>
                <w:lang w:eastAsia="ro-RO"/>
              </w:rPr>
            </w:pPr>
            <w:r w:rsidRPr="002F5AB8">
              <w:rPr>
                <w:rFonts w:ascii="Times New Roman" w:hAnsi="Times New Roman"/>
                <w:b/>
                <w:bCs/>
                <w:color w:val="000000"/>
                <w:sz w:val="20"/>
                <w:lang w:eastAsia="ro-RO"/>
              </w:rPr>
              <w:t>CA</w:t>
            </w:r>
          </w:p>
        </w:tc>
        <w:tc>
          <w:tcPr>
            <w:tcW w:w="866" w:type="dxa"/>
            <w:tcBorders>
              <w:top w:val="nil"/>
              <w:left w:val="nil"/>
              <w:bottom w:val="single" w:sz="4" w:space="0" w:color="auto"/>
              <w:right w:val="single" w:sz="4" w:space="0" w:color="auto"/>
            </w:tcBorders>
            <w:shd w:val="clear" w:color="auto" w:fill="auto"/>
            <w:noWrap/>
            <w:vAlign w:val="bottom"/>
            <w:hideMark/>
          </w:tcPr>
          <w:p w14:paraId="00227680"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277,425</w:t>
            </w:r>
          </w:p>
        </w:tc>
        <w:tc>
          <w:tcPr>
            <w:tcW w:w="794" w:type="dxa"/>
            <w:tcBorders>
              <w:top w:val="nil"/>
              <w:left w:val="nil"/>
              <w:bottom w:val="single" w:sz="4" w:space="0" w:color="auto"/>
              <w:right w:val="single" w:sz="4" w:space="0" w:color="auto"/>
            </w:tcBorders>
            <w:shd w:val="clear" w:color="auto" w:fill="auto"/>
            <w:noWrap/>
            <w:vAlign w:val="bottom"/>
            <w:hideMark/>
          </w:tcPr>
          <w:p w14:paraId="4528AAB2"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48,935</w:t>
            </w:r>
          </w:p>
        </w:tc>
        <w:tc>
          <w:tcPr>
            <w:tcW w:w="866" w:type="dxa"/>
            <w:tcBorders>
              <w:top w:val="nil"/>
              <w:left w:val="nil"/>
              <w:bottom w:val="single" w:sz="4" w:space="0" w:color="auto"/>
              <w:right w:val="single" w:sz="4" w:space="0" w:color="auto"/>
            </w:tcBorders>
            <w:shd w:val="clear" w:color="auto" w:fill="auto"/>
            <w:noWrap/>
            <w:vAlign w:val="bottom"/>
            <w:hideMark/>
          </w:tcPr>
          <w:p w14:paraId="44295039"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155,392</w:t>
            </w:r>
          </w:p>
        </w:tc>
        <w:tc>
          <w:tcPr>
            <w:tcW w:w="794" w:type="dxa"/>
            <w:tcBorders>
              <w:top w:val="nil"/>
              <w:left w:val="nil"/>
              <w:bottom w:val="single" w:sz="4" w:space="0" w:color="auto"/>
              <w:right w:val="single" w:sz="4" w:space="0" w:color="auto"/>
            </w:tcBorders>
            <w:shd w:val="clear" w:color="auto" w:fill="auto"/>
            <w:noWrap/>
            <w:vAlign w:val="bottom"/>
            <w:hideMark/>
          </w:tcPr>
          <w:p w14:paraId="7FF76F99"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31,580</w:t>
            </w:r>
          </w:p>
        </w:tc>
        <w:tc>
          <w:tcPr>
            <w:tcW w:w="766" w:type="dxa"/>
            <w:tcBorders>
              <w:top w:val="nil"/>
              <w:left w:val="nil"/>
              <w:bottom w:val="single" w:sz="4" w:space="0" w:color="auto"/>
              <w:right w:val="single" w:sz="4" w:space="0" w:color="auto"/>
            </w:tcBorders>
            <w:shd w:val="clear" w:color="auto" w:fill="auto"/>
            <w:noWrap/>
            <w:vAlign w:val="bottom"/>
            <w:hideMark/>
          </w:tcPr>
          <w:p w14:paraId="52813911"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36,645</w:t>
            </w:r>
          </w:p>
        </w:tc>
        <w:tc>
          <w:tcPr>
            <w:tcW w:w="794" w:type="dxa"/>
            <w:tcBorders>
              <w:top w:val="nil"/>
              <w:left w:val="nil"/>
              <w:bottom w:val="single" w:sz="4" w:space="0" w:color="auto"/>
              <w:right w:val="single" w:sz="4" w:space="0" w:color="auto"/>
            </w:tcBorders>
            <w:shd w:val="clear" w:color="auto" w:fill="auto"/>
            <w:noWrap/>
            <w:vAlign w:val="bottom"/>
            <w:hideMark/>
          </w:tcPr>
          <w:p w14:paraId="42771E03"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7,447</w:t>
            </w:r>
          </w:p>
        </w:tc>
        <w:tc>
          <w:tcPr>
            <w:tcW w:w="766" w:type="dxa"/>
            <w:tcBorders>
              <w:top w:val="nil"/>
              <w:left w:val="nil"/>
              <w:bottom w:val="single" w:sz="4" w:space="0" w:color="auto"/>
              <w:right w:val="single" w:sz="4" w:space="0" w:color="auto"/>
            </w:tcBorders>
            <w:shd w:val="clear" w:color="auto" w:fill="auto"/>
            <w:noWrap/>
            <w:vAlign w:val="bottom"/>
            <w:hideMark/>
          </w:tcPr>
          <w:p w14:paraId="6EC734F3"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72,088</w:t>
            </w:r>
          </w:p>
        </w:tc>
        <w:tc>
          <w:tcPr>
            <w:tcW w:w="854" w:type="dxa"/>
            <w:tcBorders>
              <w:top w:val="nil"/>
              <w:left w:val="nil"/>
              <w:bottom w:val="single" w:sz="4" w:space="0" w:color="auto"/>
              <w:right w:val="single" w:sz="4" w:space="0" w:color="auto"/>
            </w:tcBorders>
            <w:shd w:val="clear" w:color="auto" w:fill="auto"/>
            <w:noWrap/>
            <w:vAlign w:val="bottom"/>
            <w:hideMark/>
          </w:tcPr>
          <w:p w14:paraId="6B4742A3"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14,652</w:t>
            </w:r>
          </w:p>
        </w:tc>
        <w:tc>
          <w:tcPr>
            <w:tcW w:w="766" w:type="dxa"/>
            <w:tcBorders>
              <w:top w:val="nil"/>
              <w:left w:val="nil"/>
              <w:bottom w:val="single" w:sz="4" w:space="0" w:color="auto"/>
              <w:right w:val="single" w:sz="4" w:space="0" w:color="auto"/>
            </w:tcBorders>
            <w:shd w:val="clear" w:color="auto" w:fill="auto"/>
            <w:noWrap/>
            <w:vAlign w:val="bottom"/>
            <w:hideMark/>
          </w:tcPr>
          <w:p w14:paraId="27D46ADE"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13,300</w:t>
            </w:r>
          </w:p>
        </w:tc>
        <w:tc>
          <w:tcPr>
            <w:tcW w:w="794" w:type="dxa"/>
            <w:tcBorders>
              <w:top w:val="nil"/>
              <w:left w:val="nil"/>
              <w:bottom w:val="single" w:sz="4" w:space="0" w:color="auto"/>
              <w:right w:val="single" w:sz="4" w:space="0" w:color="auto"/>
            </w:tcBorders>
            <w:shd w:val="clear" w:color="auto" w:fill="auto"/>
            <w:noWrap/>
            <w:vAlign w:val="bottom"/>
            <w:hideMark/>
          </w:tcPr>
          <w:p w14:paraId="1B147FAC"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2,703</w:t>
            </w:r>
          </w:p>
        </w:tc>
      </w:tr>
      <w:tr w:rsidR="009D3C00" w:rsidRPr="002F5AB8" w14:paraId="467F57D5" w14:textId="77777777" w:rsidTr="009D3C00">
        <w:trPr>
          <w:trHeight w:val="300"/>
          <w:jc w:val="center"/>
        </w:trPr>
        <w:tc>
          <w:tcPr>
            <w:tcW w:w="1838" w:type="dxa"/>
            <w:vMerge/>
            <w:tcBorders>
              <w:top w:val="nil"/>
              <w:left w:val="single" w:sz="4" w:space="0" w:color="auto"/>
              <w:bottom w:val="single" w:sz="4" w:space="0" w:color="000000"/>
              <w:right w:val="single" w:sz="4" w:space="0" w:color="auto"/>
            </w:tcBorders>
            <w:vAlign w:val="center"/>
            <w:hideMark/>
          </w:tcPr>
          <w:p w14:paraId="554CABE8" w14:textId="77777777" w:rsidR="009D3C00" w:rsidRPr="002F5AB8" w:rsidRDefault="009D3C00" w:rsidP="00612067">
            <w:pPr>
              <w:keepNext/>
              <w:keepLines/>
              <w:rPr>
                <w:rFonts w:ascii="Times New Roman" w:hAnsi="Times New Roman"/>
                <w:b/>
                <w:bCs/>
                <w:color w:val="000000"/>
                <w:sz w:val="20"/>
                <w:lang w:eastAsia="ro-RO"/>
              </w:rPr>
            </w:pPr>
          </w:p>
        </w:tc>
        <w:tc>
          <w:tcPr>
            <w:tcW w:w="551" w:type="dxa"/>
            <w:tcBorders>
              <w:top w:val="nil"/>
              <w:left w:val="nil"/>
              <w:bottom w:val="single" w:sz="4" w:space="0" w:color="auto"/>
              <w:right w:val="single" w:sz="4" w:space="0" w:color="auto"/>
            </w:tcBorders>
            <w:shd w:val="clear" w:color="auto" w:fill="auto"/>
            <w:vAlign w:val="center"/>
            <w:hideMark/>
          </w:tcPr>
          <w:p w14:paraId="796BCD4D" w14:textId="77777777" w:rsidR="009D3C00" w:rsidRPr="002F5AB8" w:rsidRDefault="009D3C00" w:rsidP="00612067">
            <w:pPr>
              <w:keepNext/>
              <w:keepLines/>
              <w:rPr>
                <w:rFonts w:ascii="Times New Roman" w:hAnsi="Times New Roman"/>
                <w:b/>
                <w:bCs/>
                <w:color w:val="000000"/>
                <w:sz w:val="20"/>
                <w:lang w:eastAsia="ro-RO"/>
              </w:rPr>
            </w:pPr>
            <w:r w:rsidRPr="002F5AB8">
              <w:rPr>
                <w:rFonts w:ascii="Times New Roman" w:hAnsi="Times New Roman"/>
                <w:b/>
                <w:bCs/>
                <w:color w:val="000000"/>
                <w:sz w:val="20"/>
                <w:lang w:eastAsia="ro-RO"/>
              </w:rPr>
              <w:t>CB</w:t>
            </w:r>
          </w:p>
        </w:tc>
        <w:tc>
          <w:tcPr>
            <w:tcW w:w="866" w:type="dxa"/>
            <w:tcBorders>
              <w:top w:val="nil"/>
              <w:left w:val="nil"/>
              <w:bottom w:val="single" w:sz="4" w:space="0" w:color="auto"/>
              <w:right w:val="single" w:sz="4" w:space="0" w:color="auto"/>
            </w:tcBorders>
            <w:shd w:val="clear" w:color="auto" w:fill="auto"/>
            <w:noWrap/>
            <w:vAlign w:val="bottom"/>
            <w:hideMark/>
          </w:tcPr>
          <w:p w14:paraId="37B00400"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299,070</w:t>
            </w:r>
          </w:p>
        </w:tc>
        <w:tc>
          <w:tcPr>
            <w:tcW w:w="794" w:type="dxa"/>
            <w:tcBorders>
              <w:top w:val="nil"/>
              <w:left w:val="nil"/>
              <w:bottom w:val="single" w:sz="4" w:space="0" w:color="auto"/>
              <w:right w:val="single" w:sz="4" w:space="0" w:color="auto"/>
            </w:tcBorders>
            <w:shd w:val="clear" w:color="auto" w:fill="auto"/>
            <w:noWrap/>
            <w:vAlign w:val="bottom"/>
            <w:hideMark/>
          </w:tcPr>
          <w:p w14:paraId="769645BE"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53,333</w:t>
            </w:r>
          </w:p>
        </w:tc>
        <w:tc>
          <w:tcPr>
            <w:tcW w:w="866" w:type="dxa"/>
            <w:tcBorders>
              <w:top w:val="nil"/>
              <w:left w:val="nil"/>
              <w:bottom w:val="single" w:sz="4" w:space="0" w:color="auto"/>
              <w:right w:val="single" w:sz="4" w:space="0" w:color="auto"/>
            </w:tcBorders>
            <w:shd w:val="clear" w:color="auto" w:fill="auto"/>
            <w:noWrap/>
            <w:vAlign w:val="bottom"/>
            <w:hideMark/>
          </w:tcPr>
          <w:p w14:paraId="7DFE90BE"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173,305</w:t>
            </w:r>
          </w:p>
        </w:tc>
        <w:tc>
          <w:tcPr>
            <w:tcW w:w="794" w:type="dxa"/>
            <w:tcBorders>
              <w:top w:val="nil"/>
              <w:left w:val="nil"/>
              <w:bottom w:val="single" w:sz="4" w:space="0" w:color="auto"/>
              <w:right w:val="single" w:sz="4" w:space="0" w:color="auto"/>
            </w:tcBorders>
            <w:shd w:val="clear" w:color="auto" w:fill="auto"/>
            <w:noWrap/>
            <w:vAlign w:val="bottom"/>
            <w:hideMark/>
          </w:tcPr>
          <w:p w14:paraId="2A03B9A4"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35,220</w:t>
            </w:r>
          </w:p>
        </w:tc>
        <w:tc>
          <w:tcPr>
            <w:tcW w:w="766" w:type="dxa"/>
            <w:tcBorders>
              <w:top w:val="nil"/>
              <w:left w:val="nil"/>
              <w:bottom w:val="single" w:sz="4" w:space="0" w:color="auto"/>
              <w:right w:val="single" w:sz="4" w:space="0" w:color="auto"/>
            </w:tcBorders>
            <w:shd w:val="clear" w:color="auto" w:fill="auto"/>
            <w:noWrap/>
            <w:vAlign w:val="bottom"/>
            <w:hideMark/>
          </w:tcPr>
          <w:p w14:paraId="6BF5A2B7"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36,645</w:t>
            </w:r>
          </w:p>
        </w:tc>
        <w:tc>
          <w:tcPr>
            <w:tcW w:w="794" w:type="dxa"/>
            <w:tcBorders>
              <w:top w:val="nil"/>
              <w:left w:val="nil"/>
              <w:bottom w:val="single" w:sz="4" w:space="0" w:color="auto"/>
              <w:right w:val="single" w:sz="4" w:space="0" w:color="auto"/>
            </w:tcBorders>
            <w:shd w:val="clear" w:color="auto" w:fill="auto"/>
            <w:noWrap/>
            <w:vAlign w:val="bottom"/>
            <w:hideMark/>
          </w:tcPr>
          <w:p w14:paraId="49703407"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7,447</w:t>
            </w:r>
          </w:p>
        </w:tc>
        <w:tc>
          <w:tcPr>
            <w:tcW w:w="766" w:type="dxa"/>
            <w:tcBorders>
              <w:top w:val="nil"/>
              <w:left w:val="nil"/>
              <w:bottom w:val="single" w:sz="4" w:space="0" w:color="auto"/>
              <w:right w:val="single" w:sz="4" w:space="0" w:color="auto"/>
            </w:tcBorders>
            <w:shd w:val="clear" w:color="auto" w:fill="auto"/>
            <w:noWrap/>
            <w:vAlign w:val="bottom"/>
            <w:hideMark/>
          </w:tcPr>
          <w:p w14:paraId="7088B998"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74,127</w:t>
            </w:r>
          </w:p>
        </w:tc>
        <w:tc>
          <w:tcPr>
            <w:tcW w:w="854" w:type="dxa"/>
            <w:tcBorders>
              <w:top w:val="nil"/>
              <w:left w:val="nil"/>
              <w:bottom w:val="single" w:sz="4" w:space="0" w:color="auto"/>
              <w:right w:val="single" w:sz="4" w:space="0" w:color="auto"/>
            </w:tcBorders>
            <w:shd w:val="clear" w:color="auto" w:fill="auto"/>
            <w:noWrap/>
            <w:vAlign w:val="bottom"/>
            <w:hideMark/>
          </w:tcPr>
          <w:p w14:paraId="4845003E"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15,066</w:t>
            </w:r>
          </w:p>
        </w:tc>
        <w:tc>
          <w:tcPr>
            <w:tcW w:w="766" w:type="dxa"/>
            <w:tcBorders>
              <w:top w:val="nil"/>
              <w:left w:val="nil"/>
              <w:bottom w:val="single" w:sz="4" w:space="0" w:color="auto"/>
              <w:right w:val="single" w:sz="4" w:space="0" w:color="auto"/>
            </w:tcBorders>
            <w:shd w:val="clear" w:color="auto" w:fill="auto"/>
            <w:noWrap/>
            <w:vAlign w:val="bottom"/>
            <w:hideMark/>
          </w:tcPr>
          <w:p w14:paraId="1A272677"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14,993</w:t>
            </w:r>
          </w:p>
        </w:tc>
        <w:tc>
          <w:tcPr>
            <w:tcW w:w="794" w:type="dxa"/>
            <w:tcBorders>
              <w:top w:val="nil"/>
              <w:left w:val="nil"/>
              <w:bottom w:val="single" w:sz="4" w:space="0" w:color="auto"/>
              <w:right w:val="single" w:sz="4" w:space="0" w:color="auto"/>
            </w:tcBorders>
            <w:shd w:val="clear" w:color="auto" w:fill="auto"/>
            <w:noWrap/>
            <w:vAlign w:val="bottom"/>
            <w:hideMark/>
          </w:tcPr>
          <w:p w14:paraId="6AFB51D5" w14:textId="77777777" w:rsidR="009D3C00" w:rsidRPr="002F5AB8" w:rsidRDefault="009D3C00" w:rsidP="00612067">
            <w:pPr>
              <w:keepNext/>
              <w:keepLines/>
              <w:jc w:val="right"/>
              <w:rPr>
                <w:rFonts w:ascii="Times New Roman" w:hAnsi="Times New Roman"/>
                <w:b/>
                <w:bCs/>
                <w:color w:val="000000"/>
                <w:sz w:val="20"/>
                <w:lang w:eastAsia="ro-RO"/>
              </w:rPr>
            </w:pPr>
            <w:r w:rsidRPr="002F5AB8">
              <w:rPr>
                <w:rFonts w:ascii="Times New Roman" w:hAnsi="Times New Roman"/>
                <w:b/>
                <w:bCs/>
                <w:color w:val="000000"/>
                <w:sz w:val="20"/>
                <w:lang w:eastAsia="ro-RO"/>
              </w:rPr>
              <w:t>3,047</w:t>
            </w:r>
          </w:p>
        </w:tc>
      </w:tr>
      <w:tr w:rsidR="009D3C00" w:rsidRPr="002F5AB8" w14:paraId="5301CBDD" w14:textId="77777777" w:rsidTr="009D3C00">
        <w:trPr>
          <w:trHeight w:val="300"/>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1E595F2C"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Cheltuieli de personal</w:t>
            </w:r>
          </w:p>
        </w:tc>
        <w:tc>
          <w:tcPr>
            <w:tcW w:w="551" w:type="dxa"/>
            <w:tcBorders>
              <w:top w:val="nil"/>
              <w:left w:val="nil"/>
              <w:bottom w:val="single" w:sz="4" w:space="0" w:color="auto"/>
              <w:right w:val="single" w:sz="4" w:space="0" w:color="auto"/>
            </w:tcBorders>
            <w:shd w:val="clear" w:color="auto" w:fill="auto"/>
            <w:vAlign w:val="center"/>
            <w:hideMark/>
          </w:tcPr>
          <w:p w14:paraId="65A4D7D3"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CA</w:t>
            </w:r>
          </w:p>
        </w:tc>
        <w:tc>
          <w:tcPr>
            <w:tcW w:w="866" w:type="dxa"/>
            <w:tcBorders>
              <w:top w:val="nil"/>
              <w:left w:val="nil"/>
              <w:bottom w:val="single" w:sz="4" w:space="0" w:color="auto"/>
              <w:right w:val="single" w:sz="4" w:space="0" w:color="auto"/>
            </w:tcBorders>
            <w:shd w:val="clear" w:color="auto" w:fill="auto"/>
            <w:noWrap/>
            <w:vAlign w:val="bottom"/>
            <w:hideMark/>
          </w:tcPr>
          <w:p w14:paraId="7FF8A65F"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174,732</w:t>
            </w:r>
          </w:p>
        </w:tc>
        <w:tc>
          <w:tcPr>
            <w:tcW w:w="794" w:type="dxa"/>
            <w:tcBorders>
              <w:top w:val="nil"/>
              <w:left w:val="nil"/>
              <w:bottom w:val="single" w:sz="4" w:space="0" w:color="auto"/>
              <w:right w:val="single" w:sz="4" w:space="0" w:color="auto"/>
            </w:tcBorders>
            <w:shd w:val="clear" w:color="auto" w:fill="auto"/>
            <w:noWrap/>
            <w:vAlign w:val="bottom"/>
            <w:hideMark/>
          </w:tcPr>
          <w:p w14:paraId="011379DC"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28,668</w:t>
            </w:r>
          </w:p>
        </w:tc>
        <w:tc>
          <w:tcPr>
            <w:tcW w:w="866" w:type="dxa"/>
            <w:tcBorders>
              <w:top w:val="nil"/>
              <w:left w:val="nil"/>
              <w:bottom w:val="single" w:sz="4" w:space="0" w:color="auto"/>
              <w:right w:val="single" w:sz="4" w:space="0" w:color="auto"/>
            </w:tcBorders>
            <w:shd w:val="clear" w:color="auto" w:fill="auto"/>
            <w:noWrap/>
            <w:vAlign w:val="bottom"/>
            <w:hideMark/>
          </w:tcPr>
          <w:p w14:paraId="63369D66"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101,092</w:t>
            </w:r>
          </w:p>
        </w:tc>
        <w:tc>
          <w:tcPr>
            <w:tcW w:w="794" w:type="dxa"/>
            <w:tcBorders>
              <w:top w:val="nil"/>
              <w:left w:val="nil"/>
              <w:bottom w:val="single" w:sz="4" w:space="0" w:color="auto"/>
              <w:right w:val="single" w:sz="4" w:space="0" w:color="auto"/>
            </w:tcBorders>
            <w:shd w:val="clear" w:color="auto" w:fill="auto"/>
            <w:noWrap/>
            <w:vAlign w:val="bottom"/>
            <w:hideMark/>
          </w:tcPr>
          <w:p w14:paraId="41413FE7"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20,545</w:t>
            </w:r>
          </w:p>
        </w:tc>
        <w:tc>
          <w:tcPr>
            <w:tcW w:w="766" w:type="dxa"/>
            <w:tcBorders>
              <w:top w:val="nil"/>
              <w:left w:val="nil"/>
              <w:bottom w:val="single" w:sz="4" w:space="0" w:color="auto"/>
              <w:right w:val="single" w:sz="4" w:space="0" w:color="auto"/>
            </w:tcBorders>
            <w:shd w:val="clear" w:color="auto" w:fill="auto"/>
            <w:noWrap/>
            <w:vAlign w:val="bottom"/>
            <w:hideMark/>
          </w:tcPr>
          <w:p w14:paraId="7F3D4ACB"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33,675</w:t>
            </w:r>
          </w:p>
        </w:tc>
        <w:tc>
          <w:tcPr>
            <w:tcW w:w="794" w:type="dxa"/>
            <w:tcBorders>
              <w:top w:val="nil"/>
              <w:left w:val="nil"/>
              <w:bottom w:val="single" w:sz="4" w:space="0" w:color="auto"/>
              <w:right w:val="single" w:sz="4" w:space="0" w:color="auto"/>
            </w:tcBorders>
            <w:shd w:val="clear" w:color="auto" w:fill="auto"/>
            <w:noWrap/>
            <w:vAlign w:val="bottom"/>
            <w:hideMark/>
          </w:tcPr>
          <w:p w14:paraId="6D6B51B1"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6,844</w:t>
            </w:r>
          </w:p>
        </w:tc>
        <w:tc>
          <w:tcPr>
            <w:tcW w:w="766" w:type="dxa"/>
            <w:tcBorders>
              <w:top w:val="nil"/>
              <w:left w:val="nil"/>
              <w:bottom w:val="single" w:sz="4" w:space="0" w:color="auto"/>
              <w:right w:val="single" w:sz="4" w:space="0" w:color="auto"/>
            </w:tcBorders>
            <w:shd w:val="clear" w:color="auto" w:fill="auto"/>
            <w:noWrap/>
            <w:vAlign w:val="bottom"/>
            <w:hideMark/>
          </w:tcPr>
          <w:p w14:paraId="4929EE8F"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29,230</w:t>
            </w:r>
          </w:p>
        </w:tc>
        <w:tc>
          <w:tcPr>
            <w:tcW w:w="854" w:type="dxa"/>
            <w:tcBorders>
              <w:top w:val="nil"/>
              <w:left w:val="nil"/>
              <w:bottom w:val="single" w:sz="4" w:space="0" w:color="auto"/>
              <w:right w:val="single" w:sz="4" w:space="0" w:color="auto"/>
            </w:tcBorders>
            <w:shd w:val="clear" w:color="auto" w:fill="auto"/>
            <w:noWrap/>
            <w:vAlign w:val="bottom"/>
            <w:hideMark/>
          </w:tcPr>
          <w:p w14:paraId="68B1B625"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5,941</w:t>
            </w:r>
          </w:p>
        </w:tc>
        <w:tc>
          <w:tcPr>
            <w:tcW w:w="766" w:type="dxa"/>
            <w:tcBorders>
              <w:top w:val="nil"/>
              <w:left w:val="nil"/>
              <w:bottom w:val="single" w:sz="4" w:space="0" w:color="auto"/>
              <w:right w:val="single" w:sz="4" w:space="0" w:color="auto"/>
            </w:tcBorders>
            <w:shd w:val="clear" w:color="auto" w:fill="auto"/>
            <w:noWrap/>
            <w:vAlign w:val="bottom"/>
            <w:hideMark/>
          </w:tcPr>
          <w:p w14:paraId="04A58D40"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10,735</w:t>
            </w:r>
          </w:p>
        </w:tc>
        <w:tc>
          <w:tcPr>
            <w:tcW w:w="794" w:type="dxa"/>
            <w:tcBorders>
              <w:top w:val="nil"/>
              <w:left w:val="nil"/>
              <w:bottom w:val="single" w:sz="4" w:space="0" w:color="auto"/>
              <w:right w:val="single" w:sz="4" w:space="0" w:color="auto"/>
            </w:tcBorders>
            <w:shd w:val="clear" w:color="auto" w:fill="auto"/>
            <w:noWrap/>
            <w:vAlign w:val="bottom"/>
            <w:hideMark/>
          </w:tcPr>
          <w:p w14:paraId="5E2881A0"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2,182</w:t>
            </w:r>
          </w:p>
        </w:tc>
      </w:tr>
      <w:tr w:rsidR="009D3C00" w:rsidRPr="002F5AB8" w14:paraId="583606EB" w14:textId="77777777" w:rsidTr="009D3C00">
        <w:trPr>
          <w:trHeight w:val="300"/>
          <w:jc w:val="center"/>
        </w:trPr>
        <w:tc>
          <w:tcPr>
            <w:tcW w:w="1838" w:type="dxa"/>
            <w:vMerge/>
            <w:tcBorders>
              <w:top w:val="nil"/>
              <w:left w:val="single" w:sz="4" w:space="0" w:color="auto"/>
              <w:bottom w:val="single" w:sz="4" w:space="0" w:color="000000"/>
              <w:right w:val="single" w:sz="4" w:space="0" w:color="auto"/>
            </w:tcBorders>
            <w:vAlign w:val="center"/>
            <w:hideMark/>
          </w:tcPr>
          <w:p w14:paraId="06F6B6FA" w14:textId="77777777" w:rsidR="009D3C00" w:rsidRPr="002F5AB8" w:rsidRDefault="009D3C00" w:rsidP="00612067">
            <w:pPr>
              <w:keepNext/>
              <w:keepLines/>
              <w:rPr>
                <w:rFonts w:ascii="Times New Roman" w:hAnsi="Times New Roman"/>
                <w:color w:val="000000"/>
                <w:sz w:val="20"/>
                <w:lang w:eastAsia="ro-RO"/>
              </w:rPr>
            </w:pPr>
          </w:p>
        </w:tc>
        <w:tc>
          <w:tcPr>
            <w:tcW w:w="551" w:type="dxa"/>
            <w:tcBorders>
              <w:top w:val="nil"/>
              <w:left w:val="nil"/>
              <w:bottom w:val="single" w:sz="4" w:space="0" w:color="auto"/>
              <w:right w:val="single" w:sz="4" w:space="0" w:color="auto"/>
            </w:tcBorders>
            <w:shd w:val="clear" w:color="auto" w:fill="auto"/>
            <w:vAlign w:val="center"/>
            <w:hideMark/>
          </w:tcPr>
          <w:p w14:paraId="41D6588E"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CB</w:t>
            </w:r>
          </w:p>
        </w:tc>
        <w:tc>
          <w:tcPr>
            <w:tcW w:w="866" w:type="dxa"/>
            <w:tcBorders>
              <w:top w:val="nil"/>
              <w:left w:val="nil"/>
              <w:bottom w:val="single" w:sz="4" w:space="0" w:color="auto"/>
              <w:right w:val="single" w:sz="4" w:space="0" w:color="auto"/>
            </w:tcBorders>
            <w:shd w:val="clear" w:color="auto" w:fill="auto"/>
            <w:noWrap/>
            <w:vAlign w:val="bottom"/>
            <w:hideMark/>
          </w:tcPr>
          <w:p w14:paraId="57102137"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174,732</w:t>
            </w:r>
          </w:p>
        </w:tc>
        <w:tc>
          <w:tcPr>
            <w:tcW w:w="794" w:type="dxa"/>
            <w:tcBorders>
              <w:top w:val="nil"/>
              <w:left w:val="nil"/>
              <w:bottom w:val="single" w:sz="4" w:space="0" w:color="auto"/>
              <w:right w:val="single" w:sz="4" w:space="0" w:color="auto"/>
            </w:tcBorders>
            <w:shd w:val="clear" w:color="auto" w:fill="auto"/>
            <w:noWrap/>
            <w:vAlign w:val="bottom"/>
            <w:hideMark/>
          </w:tcPr>
          <w:p w14:paraId="20D72ED2"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28,668</w:t>
            </w:r>
          </w:p>
        </w:tc>
        <w:tc>
          <w:tcPr>
            <w:tcW w:w="866" w:type="dxa"/>
            <w:tcBorders>
              <w:top w:val="nil"/>
              <w:left w:val="nil"/>
              <w:bottom w:val="single" w:sz="4" w:space="0" w:color="auto"/>
              <w:right w:val="single" w:sz="4" w:space="0" w:color="auto"/>
            </w:tcBorders>
            <w:shd w:val="clear" w:color="auto" w:fill="auto"/>
            <w:noWrap/>
            <w:vAlign w:val="bottom"/>
            <w:hideMark/>
          </w:tcPr>
          <w:p w14:paraId="7A2C0115"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101,092</w:t>
            </w:r>
          </w:p>
        </w:tc>
        <w:tc>
          <w:tcPr>
            <w:tcW w:w="794" w:type="dxa"/>
            <w:tcBorders>
              <w:top w:val="nil"/>
              <w:left w:val="nil"/>
              <w:bottom w:val="single" w:sz="4" w:space="0" w:color="auto"/>
              <w:right w:val="single" w:sz="4" w:space="0" w:color="auto"/>
            </w:tcBorders>
            <w:shd w:val="clear" w:color="auto" w:fill="auto"/>
            <w:noWrap/>
            <w:vAlign w:val="bottom"/>
            <w:hideMark/>
          </w:tcPr>
          <w:p w14:paraId="053277D2"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20,545</w:t>
            </w:r>
          </w:p>
        </w:tc>
        <w:tc>
          <w:tcPr>
            <w:tcW w:w="766" w:type="dxa"/>
            <w:tcBorders>
              <w:top w:val="nil"/>
              <w:left w:val="nil"/>
              <w:bottom w:val="single" w:sz="4" w:space="0" w:color="auto"/>
              <w:right w:val="single" w:sz="4" w:space="0" w:color="auto"/>
            </w:tcBorders>
            <w:shd w:val="clear" w:color="auto" w:fill="auto"/>
            <w:noWrap/>
            <w:vAlign w:val="bottom"/>
            <w:hideMark/>
          </w:tcPr>
          <w:p w14:paraId="7C2B6A0F"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33,675</w:t>
            </w:r>
          </w:p>
        </w:tc>
        <w:tc>
          <w:tcPr>
            <w:tcW w:w="794" w:type="dxa"/>
            <w:tcBorders>
              <w:top w:val="nil"/>
              <w:left w:val="nil"/>
              <w:bottom w:val="single" w:sz="4" w:space="0" w:color="auto"/>
              <w:right w:val="single" w:sz="4" w:space="0" w:color="auto"/>
            </w:tcBorders>
            <w:shd w:val="clear" w:color="auto" w:fill="auto"/>
            <w:noWrap/>
            <w:vAlign w:val="bottom"/>
            <w:hideMark/>
          </w:tcPr>
          <w:p w14:paraId="2890B930"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6,844</w:t>
            </w:r>
          </w:p>
        </w:tc>
        <w:tc>
          <w:tcPr>
            <w:tcW w:w="766" w:type="dxa"/>
            <w:tcBorders>
              <w:top w:val="nil"/>
              <w:left w:val="nil"/>
              <w:bottom w:val="single" w:sz="4" w:space="0" w:color="auto"/>
              <w:right w:val="single" w:sz="4" w:space="0" w:color="auto"/>
            </w:tcBorders>
            <w:shd w:val="clear" w:color="auto" w:fill="auto"/>
            <w:noWrap/>
            <w:vAlign w:val="bottom"/>
            <w:hideMark/>
          </w:tcPr>
          <w:p w14:paraId="531D241A"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29,230</w:t>
            </w:r>
          </w:p>
        </w:tc>
        <w:tc>
          <w:tcPr>
            <w:tcW w:w="854" w:type="dxa"/>
            <w:tcBorders>
              <w:top w:val="nil"/>
              <w:left w:val="nil"/>
              <w:bottom w:val="single" w:sz="4" w:space="0" w:color="auto"/>
              <w:right w:val="single" w:sz="4" w:space="0" w:color="auto"/>
            </w:tcBorders>
            <w:shd w:val="clear" w:color="auto" w:fill="auto"/>
            <w:noWrap/>
            <w:vAlign w:val="bottom"/>
            <w:hideMark/>
          </w:tcPr>
          <w:p w14:paraId="1FFEE618"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5,941</w:t>
            </w:r>
          </w:p>
        </w:tc>
        <w:tc>
          <w:tcPr>
            <w:tcW w:w="766" w:type="dxa"/>
            <w:tcBorders>
              <w:top w:val="nil"/>
              <w:left w:val="nil"/>
              <w:bottom w:val="single" w:sz="4" w:space="0" w:color="auto"/>
              <w:right w:val="single" w:sz="4" w:space="0" w:color="auto"/>
            </w:tcBorders>
            <w:shd w:val="clear" w:color="auto" w:fill="auto"/>
            <w:noWrap/>
            <w:vAlign w:val="bottom"/>
            <w:hideMark/>
          </w:tcPr>
          <w:p w14:paraId="10CDE8BC"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10,735</w:t>
            </w:r>
          </w:p>
        </w:tc>
        <w:tc>
          <w:tcPr>
            <w:tcW w:w="794" w:type="dxa"/>
            <w:tcBorders>
              <w:top w:val="nil"/>
              <w:left w:val="nil"/>
              <w:bottom w:val="single" w:sz="4" w:space="0" w:color="auto"/>
              <w:right w:val="single" w:sz="4" w:space="0" w:color="auto"/>
            </w:tcBorders>
            <w:shd w:val="clear" w:color="auto" w:fill="auto"/>
            <w:noWrap/>
            <w:vAlign w:val="bottom"/>
            <w:hideMark/>
          </w:tcPr>
          <w:p w14:paraId="466628BF"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2,182</w:t>
            </w:r>
          </w:p>
        </w:tc>
      </w:tr>
      <w:tr w:rsidR="009D3C00" w:rsidRPr="002F5AB8" w14:paraId="62E5A3F5" w14:textId="77777777" w:rsidTr="009D3C00">
        <w:trPr>
          <w:trHeight w:val="300"/>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2BB455EA"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Bunuri și servicii</w:t>
            </w:r>
          </w:p>
        </w:tc>
        <w:tc>
          <w:tcPr>
            <w:tcW w:w="551" w:type="dxa"/>
            <w:tcBorders>
              <w:top w:val="nil"/>
              <w:left w:val="nil"/>
              <w:bottom w:val="single" w:sz="4" w:space="0" w:color="auto"/>
              <w:right w:val="single" w:sz="4" w:space="0" w:color="auto"/>
            </w:tcBorders>
            <w:shd w:val="clear" w:color="auto" w:fill="auto"/>
            <w:vAlign w:val="center"/>
            <w:hideMark/>
          </w:tcPr>
          <w:p w14:paraId="4050C51B"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CA</w:t>
            </w:r>
          </w:p>
        </w:tc>
        <w:tc>
          <w:tcPr>
            <w:tcW w:w="866" w:type="dxa"/>
            <w:tcBorders>
              <w:top w:val="nil"/>
              <w:left w:val="nil"/>
              <w:bottom w:val="single" w:sz="4" w:space="0" w:color="auto"/>
              <w:right w:val="single" w:sz="4" w:space="0" w:color="auto"/>
            </w:tcBorders>
            <w:shd w:val="clear" w:color="auto" w:fill="auto"/>
            <w:noWrap/>
            <w:vAlign w:val="bottom"/>
            <w:hideMark/>
          </w:tcPr>
          <w:p w14:paraId="75A66124"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13,324</w:t>
            </w:r>
          </w:p>
        </w:tc>
        <w:tc>
          <w:tcPr>
            <w:tcW w:w="794" w:type="dxa"/>
            <w:tcBorders>
              <w:top w:val="nil"/>
              <w:left w:val="nil"/>
              <w:bottom w:val="single" w:sz="4" w:space="0" w:color="auto"/>
              <w:right w:val="single" w:sz="4" w:space="0" w:color="auto"/>
            </w:tcBorders>
            <w:shd w:val="clear" w:color="auto" w:fill="auto"/>
            <w:noWrap/>
            <w:vAlign w:val="bottom"/>
            <w:hideMark/>
          </w:tcPr>
          <w:p w14:paraId="0AE99519"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2,239</w:t>
            </w:r>
          </w:p>
        </w:tc>
        <w:tc>
          <w:tcPr>
            <w:tcW w:w="866" w:type="dxa"/>
            <w:tcBorders>
              <w:top w:val="nil"/>
              <w:left w:val="nil"/>
              <w:bottom w:val="single" w:sz="4" w:space="0" w:color="auto"/>
              <w:right w:val="single" w:sz="4" w:space="0" w:color="auto"/>
            </w:tcBorders>
            <w:shd w:val="clear" w:color="auto" w:fill="auto"/>
            <w:noWrap/>
            <w:vAlign w:val="bottom"/>
            <w:hideMark/>
          </w:tcPr>
          <w:p w14:paraId="3E098CAA"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8,038</w:t>
            </w:r>
          </w:p>
        </w:tc>
        <w:tc>
          <w:tcPr>
            <w:tcW w:w="794" w:type="dxa"/>
            <w:tcBorders>
              <w:top w:val="nil"/>
              <w:left w:val="nil"/>
              <w:bottom w:val="single" w:sz="4" w:space="0" w:color="auto"/>
              <w:right w:val="single" w:sz="4" w:space="0" w:color="auto"/>
            </w:tcBorders>
            <w:shd w:val="clear" w:color="auto" w:fill="auto"/>
            <w:noWrap/>
            <w:vAlign w:val="bottom"/>
            <w:hideMark/>
          </w:tcPr>
          <w:p w14:paraId="0F663286"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1,634</w:t>
            </w:r>
          </w:p>
        </w:tc>
        <w:tc>
          <w:tcPr>
            <w:tcW w:w="766" w:type="dxa"/>
            <w:tcBorders>
              <w:top w:val="nil"/>
              <w:left w:val="nil"/>
              <w:bottom w:val="single" w:sz="4" w:space="0" w:color="auto"/>
              <w:right w:val="single" w:sz="4" w:space="0" w:color="auto"/>
            </w:tcBorders>
            <w:shd w:val="clear" w:color="auto" w:fill="auto"/>
            <w:noWrap/>
            <w:vAlign w:val="bottom"/>
            <w:hideMark/>
          </w:tcPr>
          <w:p w14:paraId="5EACED35"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2,309</w:t>
            </w:r>
          </w:p>
        </w:tc>
        <w:tc>
          <w:tcPr>
            <w:tcW w:w="794" w:type="dxa"/>
            <w:tcBorders>
              <w:top w:val="nil"/>
              <w:left w:val="nil"/>
              <w:bottom w:val="single" w:sz="4" w:space="0" w:color="auto"/>
              <w:right w:val="single" w:sz="4" w:space="0" w:color="auto"/>
            </w:tcBorders>
            <w:shd w:val="clear" w:color="auto" w:fill="auto"/>
            <w:noWrap/>
            <w:vAlign w:val="bottom"/>
            <w:hideMark/>
          </w:tcPr>
          <w:p w14:paraId="2B1502BD"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469</w:t>
            </w:r>
          </w:p>
        </w:tc>
        <w:tc>
          <w:tcPr>
            <w:tcW w:w="766" w:type="dxa"/>
            <w:tcBorders>
              <w:top w:val="nil"/>
              <w:left w:val="nil"/>
              <w:bottom w:val="single" w:sz="4" w:space="0" w:color="auto"/>
              <w:right w:val="single" w:sz="4" w:space="0" w:color="auto"/>
            </w:tcBorders>
            <w:shd w:val="clear" w:color="auto" w:fill="auto"/>
            <w:noWrap/>
            <w:vAlign w:val="bottom"/>
            <w:hideMark/>
          </w:tcPr>
          <w:p w14:paraId="6016E97F"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2,523</w:t>
            </w:r>
          </w:p>
        </w:tc>
        <w:tc>
          <w:tcPr>
            <w:tcW w:w="854" w:type="dxa"/>
            <w:tcBorders>
              <w:top w:val="nil"/>
              <w:left w:val="nil"/>
              <w:bottom w:val="single" w:sz="4" w:space="0" w:color="auto"/>
              <w:right w:val="single" w:sz="4" w:space="0" w:color="auto"/>
            </w:tcBorders>
            <w:shd w:val="clear" w:color="auto" w:fill="auto"/>
            <w:noWrap/>
            <w:vAlign w:val="bottom"/>
            <w:hideMark/>
          </w:tcPr>
          <w:p w14:paraId="6A0888FF"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513</w:t>
            </w:r>
          </w:p>
        </w:tc>
        <w:tc>
          <w:tcPr>
            <w:tcW w:w="766" w:type="dxa"/>
            <w:tcBorders>
              <w:top w:val="nil"/>
              <w:left w:val="nil"/>
              <w:bottom w:val="single" w:sz="4" w:space="0" w:color="auto"/>
              <w:right w:val="single" w:sz="4" w:space="0" w:color="auto"/>
            </w:tcBorders>
            <w:shd w:val="clear" w:color="auto" w:fill="auto"/>
            <w:noWrap/>
            <w:vAlign w:val="bottom"/>
            <w:hideMark/>
          </w:tcPr>
          <w:p w14:paraId="647C9300"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454</w:t>
            </w:r>
          </w:p>
        </w:tc>
        <w:tc>
          <w:tcPr>
            <w:tcW w:w="794" w:type="dxa"/>
            <w:tcBorders>
              <w:top w:val="nil"/>
              <w:left w:val="nil"/>
              <w:bottom w:val="single" w:sz="4" w:space="0" w:color="auto"/>
              <w:right w:val="single" w:sz="4" w:space="0" w:color="auto"/>
            </w:tcBorders>
            <w:shd w:val="clear" w:color="auto" w:fill="auto"/>
            <w:noWrap/>
            <w:vAlign w:val="bottom"/>
            <w:hideMark/>
          </w:tcPr>
          <w:p w14:paraId="1A204437"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92</w:t>
            </w:r>
          </w:p>
        </w:tc>
      </w:tr>
      <w:tr w:rsidR="009D3C00" w:rsidRPr="002F5AB8" w14:paraId="7A6DA113" w14:textId="77777777" w:rsidTr="009D3C00">
        <w:trPr>
          <w:trHeight w:val="300"/>
          <w:jc w:val="center"/>
        </w:trPr>
        <w:tc>
          <w:tcPr>
            <w:tcW w:w="1838" w:type="dxa"/>
            <w:vMerge/>
            <w:tcBorders>
              <w:top w:val="nil"/>
              <w:left w:val="single" w:sz="4" w:space="0" w:color="auto"/>
              <w:bottom w:val="single" w:sz="4" w:space="0" w:color="000000"/>
              <w:right w:val="single" w:sz="4" w:space="0" w:color="auto"/>
            </w:tcBorders>
            <w:vAlign w:val="center"/>
            <w:hideMark/>
          </w:tcPr>
          <w:p w14:paraId="1ECFCDC4" w14:textId="77777777" w:rsidR="009D3C00" w:rsidRPr="002F5AB8" w:rsidRDefault="009D3C00" w:rsidP="00612067">
            <w:pPr>
              <w:keepNext/>
              <w:keepLines/>
              <w:rPr>
                <w:rFonts w:ascii="Times New Roman" w:hAnsi="Times New Roman"/>
                <w:color w:val="000000"/>
                <w:sz w:val="20"/>
                <w:lang w:eastAsia="ro-RO"/>
              </w:rPr>
            </w:pPr>
          </w:p>
        </w:tc>
        <w:tc>
          <w:tcPr>
            <w:tcW w:w="551" w:type="dxa"/>
            <w:tcBorders>
              <w:top w:val="nil"/>
              <w:left w:val="nil"/>
              <w:bottom w:val="single" w:sz="4" w:space="0" w:color="auto"/>
              <w:right w:val="single" w:sz="4" w:space="0" w:color="auto"/>
            </w:tcBorders>
            <w:shd w:val="clear" w:color="auto" w:fill="auto"/>
            <w:vAlign w:val="center"/>
            <w:hideMark/>
          </w:tcPr>
          <w:p w14:paraId="251590ED"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CB</w:t>
            </w:r>
          </w:p>
        </w:tc>
        <w:tc>
          <w:tcPr>
            <w:tcW w:w="866" w:type="dxa"/>
            <w:tcBorders>
              <w:top w:val="nil"/>
              <w:left w:val="nil"/>
              <w:bottom w:val="single" w:sz="4" w:space="0" w:color="auto"/>
              <w:right w:val="single" w:sz="4" w:space="0" w:color="auto"/>
            </w:tcBorders>
            <w:shd w:val="clear" w:color="auto" w:fill="auto"/>
            <w:noWrap/>
            <w:vAlign w:val="bottom"/>
            <w:hideMark/>
          </w:tcPr>
          <w:p w14:paraId="47659AD4"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13,324</w:t>
            </w:r>
          </w:p>
        </w:tc>
        <w:tc>
          <w:tcPr>
            <w:tcW w:w="794" w:type="dxa"/>
            <w:tcBorders>
              <w:top w:val="nil"/>
              <w:left w:val="nil"/>
              <w:bottom w:val="single" w:sz="4" w:space="0" w:color="auto"/>
              <w:right w:val="single" w:sz="4" w:space="0" w:color="auto"/>
            </w:tcBorders>
            <w:shd w:val="clear" w:color="auto" w:fill="auto"/>
            <w:noWrap/>
            <w:vAlign w:val="bottom"/>
            <w:hideMark/>
          </w:tcPr>
          <w:p w14:paraId="1FF1A2D7"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2,239</w:t>
            </w:r>
          </w:p>
        </w:tc>
        <w:tc>
          <w:tcPr>
            <w:tcW w:w="866" w:type="dxa"/>
            <w:tcBorders>
              <w:top w:val="nil"/>
              <w:left w:val="nil"/>
              <w:bottom w:val="single" w:sz="4" w:space="0" w:color="auto"/>
              <w:right w:val="single" w:sz="4" w:space="0" w:color="auto"/>
            </w:tcBorders>
            <w:shd w:val="clear" w:color="auto" w:fill="auto"/>
            <w:noWrap/>
            <w:vAlign w:val="bottom"/>
            <w:hideMark/>
          </w:tcPr>
          <w:p w14:paraId="1400D432"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8,038</w:t>
            </w:r>
          </w:p>
        </w:tc>
        <w:tc>
          <w:tcPr>
            <w:tcW w:w="794" w:type="dxa"/>
            <w:tcBorders>
              <w:top w:val="nil"/>
              <w:left w:val="nil"/>
              <w:bottom w:val="single" w:sz="4" w:space="0" w:color="auto"/>
              <w:right w:val="single" w:sz="4" w:space="0" w:color="auto"/>
            </w:tcBorders>
            <w:shd w:val="clear" w:color="auto" w:fill="auto"/>
            <w:noWrap/>
            <w:vAlign w:val="bottom"/>
            <w:hideMark/>
          </w:tcPr>
          <w:p w14:paraId="7ED93D94"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1,634</w:t>
            </w:r>
          </w:p>
        </w:tc>
        <w:tc>
          <w:tcPr>
            <w:tcW w:w="766" w:type="dxa"/>
            <w:tcBorders>
              <w:top w:val="nil"/>
              <w:left w:val="nil"/>
              <w:bottom w:val="single" w:sz="4" w:space="0" w:color="auto"/>
              <w:right w:val="single" w:sz="4" w:space="0" w:color="auto"/>
            </w:tcBorders>
            <w:shd w:val="clear" w:color="auto" w:fill="auto"/>
            <w:noWrap/>
            <w:vAlign w:val="bottom"/>
            <w:hideMark/>
          </w:tcPr>
          <w:p w14:paraId="6F1C588A"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2,309</w:t>
            </w:r>
          </w:p>
        </w:tc>
        <w:tc>
          <w:tcPr>
            <w:tcW w:w="794" w:type="dxa"/>
            <w:tcBorders>
              <w:top w:val="nil"/>
              <w:left w:val="nil"/>
              <w:bottom w:val="single" w:sz="4" w:space="0" w:color="auto"/>
              <w:right w:val="single" w:sz="4" w:space="0" w:color="auto"/>
            </w:tcBorders>
            <w:shd w:val="clear" w:color="auto" w:fill="auto"/>
            <w:noWrap/>
            <w:vAlign w:val="bottom"/>
            <w:hideMark/>
          </w:tcPr>
          <w:p w14:paraId="2D7D970D"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469</w:t>
            </w:r>
          </w:p>
        </w:tc>
        <w:tc>
          <w:tcPr>
            <w:tcW w:w="766" w:type="dxa"/>
            <w:tcBorders>
              <w:top w:val="nil"/>
              <w:left w:val="nil"/>
              <w:bottom w:val="single" w:sz="4" w:space="0" w:color="auto"/>
              <w:right w:val="single" w:sz="4" w:space="0" w:color="auto"/>
            </w:tcBorders>
            <w:shd w:val="clear" w:color="auto" w:fill="auto"/>
            <w:noWrap/>
            <w:vAlign w:val="bottom"/>
            <w:hideMark/>
          </w:tcPr>
          <w:p w14:paraId="46189D5F"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2,523</w:t>
            </w:r>
          </w:p>
        </w:tc>
        <w:tc>
          <w:tcPr>
            <w:tcW w:w="854" w:type="dxa"/>
            <w:tcBorders>
              <w:top w:val="nil"/>
              <w:left w:val="nil"/>
              <w:bottom w:val="single" w:sz="4" w:space="0" w:color="auto"/>
              <w:right w:val="single" w:sz="4" w:space="0" w:color="auto"/>
            </w:tcBorders>
            <w:shd w:val="clear" w:color="auto" w:fill="auto"/>
            <w:noWrap/>
            <w:vAlign w:val="bottom"/>
            <w:hideMark/>
          </w:tcPr>
          <w:p w14:paraId="395A2293"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513</w:t>
            </w:r>
          </w:p>
        </w:tc>
        <w:tc>
          <w:tcPr>
            <w:tcW w:w="766" w:type="dxa"/>
            <w:tcBorders>
              <w:top w:val="nil"/>
              <w:left w:val="nil"/>
              <w:bottom w:val="single" w:sz="4" w:space="0" w:color="auto"/>
              <w:right w:val="single" w:sz="4" w:space="0" w:color="auto"/>
            </w:tcBorders>
            <w:shd w:val="clear" w:color="auto" w:fill="auto"/>
            <w:noWrap/>
            <w:vAlign w:val="bottom"/>
            <w:hideMark/>
          </w:tcPr>
          <w:p w14:paraId="51ED2BCE"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454</w:t>
            </w:r>
          </w:p>
        </w:tc>
        <w:tc>
          <w:tcPr>
            <w:tcW w:w="794" w:type="dxa"/>
            <w:tcBorders>
              <w:top w:val="nil"/>
              <w:left w:val="nil"/>
              <w:bottom w:val="single" w:sz="4" w:space="0" w:color="auto"/>
              <w:right w:val="single" w:sz="4" w:space="0" w:color="auto"/>
            </w:tcBorders>
            <w:shd w:val="clear" w:color="auto" w:fill="auto"/>
            <w:noWrap/>
            <w:vAlign w:val="bottom"/>
            <w:hideMark/>
          </w:tcPr>
          <w:p w14:paraId="12B665D7"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92</w:t>
            </w:r>
          </w:p>
        </w:tc>
      </w:tr>
      <w:tr w:rsidR="009D3C00" w:rsidRPr="002F5AB8" w14:paraId="35F8E1D5" w14:textId="77777777" w:rsidTr="009D3C00">
        <w:trPr>
          <w:trHeight w:val="300"/>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5AC94A0A"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Transferuri</w:t>
            </w:r>
          </w:p>
        </w:tc>
        <w:tc>
          <w:tcPr>
            <w:tcW w:w="551" w:type="dxa"/>
            <w:tcBorders>
              <w:top w:val="nil"/>
              <w:left w:val="nil"/>
              <w:bottom w:val="single" w:sz="4" w:space="0" w:color="auto"/>
              <w:right w:val="single" w:sz="4" w:space="0" w:color="auto"/>
            </w:tcBorders>
            <w:shd w:val="clear" w:color="auto" w:fill="auto"/>
            <w:vAlign w:val="center"/>
            <w:hideMark/>
          </w:tcPr>
          <w:p w14:paraId="772A5073"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CA</w:t>
            </w:r>
          </w:p>
        </w:tc>
        <w:tc>
          <w:tcPr>
            <w:tcW w:w="866" w:type="dxa"/>
            <w:tcBorders>
              <w:top w:val="nil"/>
              <w:left w:val="nil"/>
              <w:bottom w:val="single" w:sz="4" w:space="0" w:color="auto"/>
              <w:right w:val="single" w:sz="4" w:space="0" w:color="auto"/>
            </w:tcBorders>
            <w:shd w:val="clear" w:color="auto" w:fill="auto"/>
            <w:noWrap/>
            <w:vAlign w:val="bottom"/>
            <w:hideMark/>
          </w:tcPr>
          <w:p w14:paraId="2D5D3E6B"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8</w:t>
            </w:r>
          </w:p>
        </w:tc>
        <w:tc>
          <w:tcPr>
            <w:tcW w:w="794" w:type="dxa"/>
            <w:tcBorders>
              <w:top w:val="nil"/>
              <w:left w:val="nil"/>
              <w:bottom w:val="single" w:sz="4" w:space="0" w:color="auto"/>
              <w:right w:val="single" w:sz="4" w:space="0" w:color="auto"/>
            </w:tcBorders>
            <w:shd w:val="clear" w:color="auto" w:fill="auto"/>
            <w:noWrap/>
            <w:vAlign w:val="bottom"/>
            <w:hideMark/>
          </w:tcPr>
          <w:p w14:paraId="6D306569"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w:t>
            </w:r>
          </w:p>
        </w:tc>
        <w:tc>
          <w:tcPr>
            <w:tcW w:w="866" w:type="dxa"/>
            <w:tcBorders>
              <w:top w:val="nil"/>
              <w:left w:val="nil"/>
              <w:bottom w:val="single" w:sz="4" w:space="0" w:color="auto"/>
              <w:right w:val="single" w:sz="4" w:space="0" w:color="auto"/>
            </w:tcBorders>
            <w:shd w:val="clear" w:color="auto" w:fill="auto"/>
            <w:noWrap/>
            <w:vAlign w:val="bottom"/>
            <w:hideMark/>
          </w:tcPr>
          <w:p w14:paraId="74AF657A"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94" w:type="dxa"/>
            <w:tcBorders>
              <w:top w:val="nil"/>
              <w:left w:val="nil"/>
              <w:bottom w:val="single" w:sz="4" w:space="0" w:color="auto"/>
              <w:right w:val="single" w:sz="4" w:space="0" w:color="auto"/>
            </w:tcBorders>
            <w:shd w:val="clear" w:color="auto" w:fill="auto"/>
            <w:noWrap/>
            <w:vAlign w:val="bottom"/>
            <w:hideMark/>
          </w:tcPr>
          <w:p w14:paraId="07D4EEBD"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66" w:type="dxa"/>
            <w:tcBorders>
              <w:top w:val="nil"/>
              <w:left w:val="nil"/>
              <w:bottom w:val="single" w:sz="4" w:space="0" w:color="auto"/>
              <w:right w:val="single" w:sz="4" w:space="0" w:color="auto"/>
            </w:tcBorders>
            <w:shd w:val="clear" w:color="auto" w:fill="auto"/>
            <w:noWrap/>
            <w:vAlign w:val="bottom"/>
            <w:hideMark/>
          </w:tcPr>
          <w:p w14:paraId="0ED76E0D"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 </w:t>
            </w:r>
          </w:p>
        </w:tc>
        <w:tc>
          <w:tcPr>
            <w:tcW w:w="794" w:type="dxa"/>
            <w:tcBorders>
              <w:top w:val="nil"/>
              <w:left w:val="nil"/>
              <w:bottom w:val="single" w:sz="4" w:space="0" w:color="auto"/>
              <w:right w:val="single" w:sz="4" w:space="0" w:color="auto"/>
            </w:tcBorders>
            <w:shd w:val="clear" w:color="auto" w:fill="auto"/>
            <w:noWrap/>
            <w:vAlign w:val="bottom"/>
            <w:hideMark/>
          </w:tcPr>
          <w:p w14:paraId="79A5B4B2"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66" w:type="dxa"/>
            <w:tcBorders>
              <w:top w:val="nil"/>
              <w:left w:val="nil"/>
              <w:bottom w:val="single" w:sz="4" w:space="0" w:color="auto"/>
              <w:right w:val="single" w:sz="4" w:space="0" w:color="auto"/>
            </w:tcBorders>
            <w:shd w:val="clear" w:color="auto" w:fill="auto"/>
            <w:noWrap/>
            <w:vAlign w:val="bottom"/>
            <w:hideMark/>
          </w:tcPr>
          <w:p w14:paraId="651217E8"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8</w:t>
            </w:r>
          </w:p>
        </w:tc>
        <w:tc>
          <w:tcPr>
            <w:tcW w:w="854" w:type="dxa"/>
            <w:tcBorders>
              <w:top w:val="nil"/>
              <w:left w:val="nil"/>
              <w:bottom w:val="single" w:sz="4" w:space="0" w:color="auto"/>
              <w:right w:val="single" w:sz="4" w:space="0" w:color="auto"/>
            </w:tcBorders>
            <w:shd w:val="clear" w:color="auto" w:fill="auto"/>
            <w:noWrap/>
            <w:vAlign w:val="bottom"/>
            <w:hideMark/>
          </w:tcPr>
          <w:p w14:paraId="022C1A3E"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w:t>
            </w:r>
          </w:p>
        </w:tc>
        <w:tc>
          <w:tcPr>
            <w:tcW w:w="766" w:type="dxa"/>
            <w:tcBorders>
              <w:top w:val="nil"/>
              <w:left w:val="nil"/>
              <w:bottom w:val="single" w:sz="4" w:space="0" w:color="auto"/>
              <w:right w:val="single" w:sz="4" w:space="0" w:color="auto"/>
            </w:tcBorders>
            <w:shd w:val="clear" w:color="auto" w:fill="auto"/>
            <w:noWrap/>
            <w:vAlign w:val="bottom"/>
            <w:hideMark/>
          </w:tcPr>
          <w:p w14:paraId="70F772C5"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94" w:type="dxa"/>
            <w:tcBorders>
              <w:top w:val="nil"/>
              <w:left w:val="nil"/>
              <w:bottom w:val="single" w:sz="4" w:space="0" w:color="auto"/>
              <w:right w:val="single" w:sz="4" w:space="0" w:color="auto"/>
            </w:tcBorders>
            <w:shd w:val="clear" w:color="auto" w:fill="auto"/>
            <w:noWrap/>
            <w:vAlign w:val="bottom"/>
            <w:hideMark/>
          </w:tcPr>
          <w:p w14:paraId="5FFADCE3"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r>
      <w:tr w:rsidR="009D3C00" w:rsidRPr="002F5AB8" w14:paraId="64B5C653" w14:textId="77777777" w:rsidTr="009D3C00">
        <w:trPr>
          <w:trHeight w:val="300"/>
          <w:jc w:val="center"/>
        </w:trPr>
        <w:tc>
          <w:tcPr>
            <w:tcW w:w="1838" w:type="dxa"/>
            <w:vMerge/>
            <w:tcBorders>
              <w:top w:val="nil"/>
              <w:left w:val="single" w:sz="4" w:space="0" w:color="auto"/>
              <w:bottom w:val="single" w:sz="4" w:space="0" w:color="000000"/>
              <w:right w:val="single" w:sz="4" w:space="0" w:color="auto"/>
            </w:tcBorders>
            <w:vAlign w:val="center"/>
            <w:hideMark/>
          </w:tcPr>
          <w:p w14:paraId="27FC7B67" w14:textId="77777777" w:rsidR="009D3C00" w:rsidRPr="002F5AB8" w:rsidRDefault="009D3C00" w:rsidP="00612067">
            <w:pPr>
              <w:keepNext/>
              <w:keepLines/>
              <w:rPr>
                <w:rFonts w:ascii="Times New Roman" w:hAnsi="Times New Roman"/>
                <w:color w:val="000000"/>
                <w:sz w:val="20"/>
                <w:lang w:eastAsia="ro-RO"/>
              </w:rPr>
            </w:pPr>
          </w:p>
        </w:tc>
        <w:tc>
          <w:tcPr>
            <w:tcW w:w="551" w:type="dxa"/>
            <w:tcBorders>
              <w:top w:val="nil"/>
              <w:left w:val="nil"/>
              <w:bottom w:val="single" w:sz="4" w:space="0" w:color="auto"/>
              <w:right w:val="single" w:sz="4" w:space="0" w:color="auto"/>
            </w:tcBorders>
            <w:shd w:val="clear" w:color="auto" w:fill="auto"/>
            <w:vAlign w:val="center"/>
            <w:hideMark/>
          </w:tcPr>
          <w:p w14:paraId="1C16DBC9"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CB</w:t>
            </w:r>
          </w:p>
        </w:tc>
        <w:tc>
          <w:tcPr>
            <w:tcW w:w="866" w:type="dxa"/>
            <w:tcBorders>
              <w:top w:val="nil"/>
              <w:left w:val="nil"/>
              <w:bottom w:val="single" w:sz="4" w:space="0" w:color="auto"/>
              <w:right w:val="single" w:sz="4" w:space="0" w:color="auto"/>
            </w:tcBorders>
            <w:shd w:val="clear" w:color="auto" w:fill="auto"/>
            <w:noWrap/>
            <w:vAlign w:val="bottom"/>
            <w:hideMark/>
          </w:tcPr>
          <w:p w14:paraId="33FA7ECB"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8</w:t>
            </w:r>
          </w:p>
        </w:tc>
        <w:tc>
          <w:tcPr>
            <w:tcW w:w="794" w:type="dxa"/>
            <w:tcBorders>
              <w:top w:val="nil"/>
              <w:left w:val="nil"/>
              <w:bottom w:val="single" w:sz="4" w:space="0" w:color="auto"/>
              <w:right w:val="single" w:sz="4" w:space="0" w:color="auto"/>
            </w:tcBorders>
            <w:shd w:val="clear" w:color="auto" w:fill="auto"/>
            <w:noWrap/>
            <w:vAlign w:val="bottom"/>
            <w:hideMark/>
          </w:tcPr>
          <w:p w14:paraId="2BDF043E"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w:t>
            </w:r>
          </w:p>
        </w:tc>
        <w:tc>
          <w:tcPr>
            <w:tcW w:w="866" w:type="dxa"/>
            <w:tcBorders>
              <w:top w:val="nil"/>
              <w:left w:val="nil"/>
              <w:bottom w:val="single" w:sz="4" w:space="0" w:color="auto"/>
              <w:right w:val="single" w:sz="4" w:space="0" w:color="auto"/>
            </w:tcBorders>
            <w:shd w:val="clear" w:color="auto" w:fill="auto"/>
            <w:noWrap/>
            <w:vAlign w:val="bottom"/>
            <w:hideMark/>
          </w:tcPr>
          <w:p w14:paraId="25B297D7"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94" w:type="dxa"/>
            <w:tcBorders>
              <w:top w:val="nil"/>
              <w:left w:val="nil"/>
              <w:bottom w:val="single" w:sz="4" w:space="0" w:color="auto"/>
              <w:right w:val="single" w:sz="4" w:space="0" w:color="auto"/>
            </w:tcBorders>
            <w:shd w:val="clear" w:color="auto" w:fill="auto"/>
            <w:noWrap/>
            <w:vAlign w:val="bottom"/>
            <w:hideMark/>
          </w:tcPr>
          <w:p w14:paraId="4F77DA5D"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66" w:type="dxa"/>
            <w:tcBorders>
              <w:top w:val="nil"/>
              <w:left w:val="nil"/>
              <w:bottom w:val="single" w:sz="4" w:space="0" w:color="auto"/>
              <w:right w:val="single" w:sz="4" w:space="0" w:color="auto"/>
            </w:tcBorders>
            <w:shd w:val="clear" w:color="auto" w:fill="auto"/>
            <w:noWrap/>
            <w:vAlign w:val="bottom"/>
            <w:hideMark/>
          </w:tcPr>
          <w:p w14:paraId="4400F1A9"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 </w:t>
            </w:r>
          </w:p>
        </w:tc>
        <w:tc>
          <w:tcPr>
            <w:tcW w:w="794" w:type="dxa"/>
            <w:tcBorders>
              <w:top w:val="nil"/>
              <w:left w:val="nil"/>
              <w:bottom w:val="single" w:sz="4" w:space="0" w:color="auto"/>
              <w:right w:val="single" w:sz="4" w:space="0" w:color="auto"/>
            </w:tcBorders>
            <w:shd w:val="clear" w:color="auto" w:fill="auto"/>
            <w:noWrap/>
            <w:vAlign w:val="bottom"/>
            <w:hideMark/>
          </w:tcPr>
          <w:p w14:paraId="7343ABFF"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66" w:type="dxa"/>
            <w:tcBorders>
              <w:top w:val="nil"/>
              <w:left w:val="nil"/>
              <w:bottom w:val="single" w:sz="4" w:space="0" w:color="auto"/>
              <w:right w:val="single" w:sz="4" w:space="0" w:color="auto"/>
            </w:tcBorders>
            <w:shd w:val="clear" w:color="auto" w:fill="auto"/>
            <w:noWrap/>
            <w:vAlign w:val="bottom"/>
            <w:hideMark/>
          </w:tcPr>
          <w:p w14:paraId="062A3A0B"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8</w:t>
            </w:r>
          </w:p>
        </w:tc>
        <w:tc>
          <w:tcPr>
            <w:tcW w:w="854" w:type="dxa"/>
            <w:tcBorders>
              <w:top w:val="nil"/>
              <w:left w:val="nil"/>
              <w:bottom w:val="single" w:sz="4" w:space="0" w:color="auto"/>
              <w:right w:val="single" w:sz="4" w:space="0" w:color="auto"/>
            </w:tcBorders>
            <w:shd w:val="clear" w:color="auto" w:fill="auto"/>
            <w:noWrap/>
            <w:vAlign w:val="bottom"/>
            <w:hideMark/>
          </w:tcPr>
          <w:p w14:paraId="1D017AC2"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w:t>
            </w:r>
          </w:p>
        </w:tc>
        <w:tc>
          <w:tcPr>
            <w:tcW w:w="766" w:type="dxa"/>
            <w:tcBorders>
              <w:top w:val="nil"/>
              <w:left w:val="nil"/>
              <w:bottom w:val="single" w:sz="4" w:space="0" w:color="auto"/>
              <w:right w:val="single" w:sz="4" w:space="0" w:color="auto"/>
            </w:tcBorders>
            <w:shd w:val="clear" w:color="auto" w:fill="auto"/>
            <w:noWrap/>
            <w:vAlign w:val="bottom"/>
            <w:hideMark/>
          </w:tcPr>
          <w:p w14:paraId="5CCF383F"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94" w:type="dxa"/>
            <w:tcBorders>
              <w:top w:val="nil"/>
              <w:left w:val="nil"/>
              <w:bottom w:val="single" w:sz="4" w:space="0" w:color="auto"/>
              <w:right w:val="single" w:sz="4" w:space="0" w:color="auto"/>
            </w:tcBorders>
            <w:shd w:val="clear" w:color="auto" w:fill="auto"/>
            <w:noWrap/>
            <w:vAlign w:val="bottom"/>
            <w:hideMark/>
          </w:tcPr>
          <w:p w14:paraId="14ADA593"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r>
      <w:tr w:rsidR="009D3C00" w:rsidRPr="002F5AB8" w14:paraId="1B9988D0" w14:textId="77777777" w:rsidTr="009D3C00">
        <w:trPr>
          <w:trHeight w:val="300"/>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2C865AC2"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Alte transferuri</w:t>
            </w:r>
          </w:p>
        </w:tc>
        <w:tc>
          <w:tcPr>
            <w:tcW w:w="551" w:type="dxa"/>
            <w:tcBorders>
              <w:top w:val="nil"/>
              <w:left w:val="nil"/>
              <w:bottom w:val="single" w:sz="4" w:space="0" w:color="auto"/>
              <w:right w:val="single" w:sz="4" w:space="0" w:color="auto"/>
            </w:tcBorders>
            <w:shd w:val="clear" w:color="auto" w:fill="auto"/>
            <w:vAlign w:val="center"/>
            <w:hideMark/>
          </w:tcPr>
          <w:p w14:paraId="3954A0F0"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CA</w:t>
            </w:r>
          </w:p>
        </w:tc>
        <w:tc>
          <w:tcPr>
            <w:tcW w:w="866" w:type="dxa"/>
            <w:tcBorders>
              <w:top w:val="nil"/>
              <w:left w:val="nil"/>
              <w:bottom w:val="single" w:sz="4" w:space="0" w:color="auto"/>
              <w:right w:val="single" w:sz="4" w:space="0" w:color="auto"/>
            </w:tcBorders>
            <w:shd w:val="clear" w:color="auto" w:fill="auto"/>
            <w:noWrap/>
            <w:vAlign w:val="bottom"/>
            <w:hideMark/>
          </w:tcPr>
          <w:p w14:paraId="7EAEF691"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52</w:t>
            </w:r>
          </w:p>
        </w:tc>
        <w:tc>
          <w:tcPr>
            <w:tcW w:w="794" w:type="dxa"/>
            <w:tcBorders>
              <w:top w:val="nil"/>
              <w:left w:val="nil"/>
              <w:bottom w:val="single" w:sz="4" w:space="0" w:color="auto"/>
              <w:right w:val="single" w:sz="4" w:space="0" w:color="auto"/>
            </w:tcBorders>
            <w:shd w:val="clear" w:color="auto" w:fill="auto"/>
            <w:noWrap/>
            <w:vAlign w:val="bottom"/>
            <w:hideMark/>
          </w:tcPr>
          <w:p w14:paraId="193621A6"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10</w:t>
            </w:r>
          </w:p>
        </w:tc>
        <w:tc>
          <w:tcPr>
            <w:tcW w:w="866" w:type="dxa"/>
            <w:tcBorders>
              <w:top w:val="nil"/>
              <w:left w:val="nil"/>
              <w:bottom w:val="single" w:sz="4" w:space="0" w:color="auto"/>
              <w:right w:val="single" w:sz="4" w:space="0" w:color="auto"/>
            </w:tcBorders>
            <w:shd w:val="clear" w:color="auto" w:fill="auto"/>
            <w:noWrap/>
            <w:vAlign w:val="bottom"/>
            <w:hideMark/>
          </w:tcPr>
          <w:p w14:paraId="4CB59247"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26</w:t>
            </w:r>
          </w:p>
        </w:tc>
        <w:tc>
          <w:tcPr>
            <w:tcW w:w="794" w:type="dxa"/>
            <w:tcBorders>
              <w:top w:val="nil"/>
              <w:left w:val="nil"/>
              <w:bottom w:val="single" w:sz="4" w:space="0" w:color="auto"/>
              <w:right w:val="single" w:sz="4" w:space="0" w:color="auto"/>
            </w:tcBorders>
            <w:shd w:val="clear" w:color="auto" w:fill="auto"/>
            <w:noWrap/>
            <w:vAlign w:val="bottom"/>
            <w:hideMark/>
          </w:tcPr>
          <w:p w14:paraId="6CB997BD"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5</w:t>
            </w:r>
          </w:p>
        </w:tc>
        <w:tc>
          <w:tcPr>
            <w:tcW w:w="766" w:type="dxa"/>
            <w:tcBorders>
              <w:top w:val="nil"/>
              <w:left w:val="nil"/>
              <w:bottom w:val="single" w:sz="4" w:space="0" w:color="auto"/>
              <w:right w:val="single" w:sz="4" w:space="0" w:color="auto"/>
            </w:tcBorders>
            <w:shd w:val="clear" w:color="auto" w:fill="auto"/>
            <w:noWrap/>
            <w:vAlign w:val="bottom"/>
            <w:hideMark/>
          </w:tcPr>
          <w:p w14:paraId="26FF27B8"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 </w:t>
            </w:r>
          </w:p>
        </w:tc>
        <w:tc>
          <w:tcPr>
            <w:tcW w:w="794" w:type="dxa"/>
            <w:tcBorders>
              <w:top w:val="nil"/>
              <w:left w:val="nil"/>
              <w:bottom w:val="single" w:sz="4" w:space="0" w:color="auto"/>
              <w:right w:val="single" w:sz="4" w:space="0" w:color="auto"/>
            </w:tcBorders>
            <w:shd w:val="clear" w:color="auto" w:fill="auto"/>
            <w:noWrap/>
            <w:vAlign w:val="bottom"/>
            <w:hideMark/>
          </w:tcPr>
          <w:p w14:paraId="25A393A3"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66" w:type="dxa"/>
            <w:tcBorders>
              <w:top w:val="nil"/>
              <w:left w:val="nil"/>
              <w:bottom w:val="single" w:sz="4" w:space="0" w:color="auto"/>
              <w:right w:val="single" w:sz="4" w:space="0" w:color="auto"/>
            </w:tcBorders>
            <w:shd w:val="clear" w:color="auto" w:fill="auto"/>
            <w:noWrap/>
            <w:vAlign w:val="bottom"/>
            <w:hideMark/>
          </w:tcPr>
          <w:p w14:paraId="0F63AD3C"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26</w:t>
            </w:r>
          </w:p>
        </w:tc>
        <w:tc>
          <w:tcPr>
            <w:tcW w:w="854" w:type="dxa"/>
            <w:tcBorders>
              <w:top w:val="nil"/>
              <w:left w:val="nil"/>
              <w:bottom w:val="single" w:sz="4" w:space="0" w:color="auto"/>
              <w:right w:val="single" w:sz="4" w:space="0" w:color="auto"/>
            </w:tcBorders>
            <w:shd w:val="clear" w:color="auto" w:fill="auto"/>
            <w:noWrap/>
            <w:vAlign w:val="bottom"/>
            <w:hideMark/>
          </w:tcPr>
          <w:p w14:paraId="7DF9822D"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5</w:t>
            </w:r>
          </w:p>
        </w:tc>
        <w:tc>
          <w:tcPr>
            <w:tcW w:w="766" w:type="dxa"/>
            <w:tcBorders>
              <w:top w:val="nil"/>
              <w:left w:val="nil"/>
              <w:bottom w:val="single" w:sz="4" w:space="0" w:color="auto"/>
              <w:right w:val="single" w:sz="4" w:space="0" w:color="auto"/>
            </w:tcBorders>
            <w:shd w:val="clear" w:color="auto" w:fill="auto"/>
            <w:noWrap/>
            <w:vAlign w:val="bottom"/>
            <w:hideMark/>
          </w:tcPr>
          <w:p w14:paraId="6803FF11"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94" w:type="dxa"/>
            <w:tcBorders>
              <w:top w:val="nil"/>
              <w:left w:val="nil"/>
              <w:bottom w:val="single" w:sz="4" w:space="0" w:color="auto"/>
              <w:right w:val="single" w:sz="4" w:space="0" w:color="auto"/>
            </w:tcBorders>
            <w:shd w:val="clear" w:color="auto" w:fill="auto"/>
            <w:noWrap/>
            <w:vAlign w:val="bottom"/>
            <w:hideMark/>
          </w:tcPr>
          <w:p w14:paraId="7C5D1FCA"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r>
      <w:tr w:rsidR="009D3C00" w:rsidRPr="002F5AB8" w14:paraId="627C3634" w14:textId="77777777" w:rsidTr="009D3C00">
        <w:trPr>
          <w:trHeight w:val="300"/>
          <w:jc w:val="center"/>
        </w:trPr>
        <w:tc>
          <w:tcPr>
            <w:tcW w:w="1838" w:type="dxa"/>
            <w:vMerge/>
            <w:tcBorders>
              <w:top w:val="nil"/>
              <w:left w:val="single" w:sz="4" w:space="0" w:color="auto"/>
              <w:bottom w:val="single" w:sz="4" w:space="0" w:color="000000"/>
              <w:right w:val="single" w:sz="4" w:space="0" w:color="auto"/>
            </w:tcBorders>
            <w:vAlign w:val="center"/>
            <w:hideMark/>
          </w:tcPr>
          <w:p w14:paraId="6C2253EC" w14:textId="77777777" w:rsidR="009D3C00" w:rsidRPr="002F5AB8" w:rsidRDefault="009D3C00" w:rsidP="00612067">
            <w:pPr>
              <w:keepNext/>
              <w:keepLines/>
              <w:rPr>
                <w:rFonts w:ascii="Times New Roman" w:hAnsi="Times New Roman"/>
                <w:color w:val="000000"/>
                <w:sz w:val="20"/>
                <w:lang w:eastAsia="ro-RO"/>
              </w:rPr>
            </w:pPr>
          </w:p>
        </w:tc>
        <w:tc>
          <w:tcPr>
            <w:tcW w:w="551" w:type="dxa"/>
            <w:tcBorders>
              <w:top w:val="nil"/>
              <w:left w:val="nil"/>
              <w:bottom w:val="single" w:sz="4" w:space="0" w:color="auto"/>
              <w:right w:val="single" w:sz="4" w:space="0" w:color="auto"/>
            </w:tcBorders>
            <w:shd w:val="clear" w:color="auto" w:fill="auto"/>
            <w:vAlign w:val="center"/>
            <w:hideMark/>
          </w:tcPr>
          <w:p w14:paraId="7BFA860F"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CB</w:t>
            </w:r>
          </w:p>
        </w:tc>
        <w:tc>
          <w:tcPr>
            <w:tcW w:w="866" w:type="dxa"/>
            <w:tcBorders>
              <w:top w:val="nil"/>
              <w:left w:val="nil"/>
              <w:bottom w:val="single" w:sz="4" w:space="0" w:color="auto"/>
              <w:right w:val="single" w:sz="4" w:space="0" w:color="auto"/>
            </w:tcBorders>
            <w:shd w:val="clear" w:color="auto" w:fill="auto"/>
            <w:noWrap/>
            <w:vAlign w:val="bottom"/>
            <w:hideMark/>
          </w:tcPr>
          <w:p w14:paraId="54F5DB12"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52</w:t>
            </w:r>
          </w:p>
        </w:tc>
        <w:tc>
          <w:tcPr>
            <w:tcW w:w="794" w:type="dxa"/>
            <w:tcBorders>
              <w:top w:val="nil"/>
              <w:left w:val="nil"/>
              <w:bottom w:val="single" w:sz="4" w:space="0" w:color="auto"/>
              <w:right w:val="single" w:sz="4" w:space="0" w:color="auto"/>
            </w:tcBorders>
            <w:shd w:val="clear" w:color="auto" w:fill="auto"/>
            <w:noWrap/>
            <w:vAlign w:val="bottom"/>
            <w:hideMark/>
          </w:tcPr>
          <w:p w14:paraId="76E2117C"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10</w:t>
            </w:r>
          </w:p>
        </w:tc>
        <w:tc>
          <w:tcPr>
            <w:tcW w:w="866" w:type="dxa"/>
            <w:tcBorders>
              <w:top w:val="nil"/>
              <w:left w:val="nil"/>
              <w:bottom w:val="single" w:sz="4" w:space="0" w:color="auto"/>
              <w:right w:val="single" w:sz="4" w:space="0" w:color="auto"/>
            </w:tcBorders>
            <w:shd w:val="clear" w:color="auto" w:fill="auto"/>
            <w:noWrap/>
            <w:vAlign w:val="bottom"/>
            <w:hideMark/>
          </w:tcPr>
          <w:p w14:paraId="59C5BAFB"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26</w:t>
            </w:r>
          </w:p>
        </w:tc>
        <w:tc>
          <w:tcPr>
            <w:tcW w:w="794" w:type="dxa"/>
            <w:tcBorders>
              <w:top w:val="nil"/>
              <w:left w:val="nil"/>
              <w:bottom w:val="single" w:sz="4" w:space="0" w:color="auto"/>
              <w:right w:val="single" w:sz="4" w:space="0" w:color="auto"/>
            </w:tcBorders>
            <w:shd w:val="clear" w:color="auto" w:fill="auto"/>
            <w:noWrap/>
            <w:vAlign w:val="bottom"/>
            <w:hideMark/>
          </w:tcPr>
          <w:p w14:paraId="11A30F9F"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5</w:t>
            </w:r>
          </w:p>
        </w:tc>
        <w:tc>
          <w:tcPr>
            <w:tcW w:w="766" w:type="dxa"/>
            <w:tcBorders>
              <w:top w:val="nil"/>
              <w:left w:val="nil"/>
              <w:bottom w:val="single" w:sz="4" w:space="0" w:color="auto"/>
              <w:right w:val="single" w:sz="4" w:space="0" w:color="auto"/>
            </w:tcBorders>
            <w:shd w:val="clear" w:color="auto" w:fill="auto"/>
            <w:noWrap/>
            <w:vAlign w:val="bottom"/>
            <w:hideMark/>
          </w:tcPr>
          <w:p w14:paraId="379AF179"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 </w:t>
            </w:r>
          </w:p>
        </w:tc>
        <w:tc>
          <w:tcPr>
            <w:tcW w:w="794" w:type="dxa"/>
            <w:tcBorders>
              <w:top w:val="nil"/>
              <w:left w:val="nil"/>
              <w:bottom w:val="single" w:sz="4" w:space="0" w:color="auto"/>
              <w:right w:val="single" w:sz="4" w:space="0" w:color="auto"/>
            </w:tcBorders>
            <w:shd w:val="clear" w:color="auto" w:fill="auto"/>
            <w:noWrap/>
            <w:vAlign w:val="bottom"/>
            <w:hideMark/>
          </w:tcPr>
          <w:p w14:paraId="4E2E76F6"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66" w:type="dxa"/>
            <w:tcBorders>
              <w:top w:val="nil"/>
              <w:left w:val="nil"/>
              <w:bottom w:val="single" w:sz="4" w:space="0" w:color="auto"/>
              <w:right w:val="single" w:sz="4" w:space="0" w:color="auto"/>
            </w:tcBorders>
            <w:shd w:val="clear" w:color="auto" w:fill="auto"/>
            <w:noWrap/>
            <w:vAlign w:val="bottom"/>
            <w:hideMark/>
          </w:tcPr>
          <w:p w14:paraId="6796AA8F"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26</w:t>
            </w:r>
          </w:p>
        </w:tc>
        <w:tc>
          <w:tcPr>
            <w:tcW w:w="854" w:type="dxa"/>
            <w:tcBorders>
              <w:top w:val="nil"/>
              <w:left w:val="nil"/>
              <w:bottom w:val="single" w:sz="4" w:space="0" w:color="auto"/>
              <w:right w:val="single" w:sz="4" w:space="0" w:color="auto"/>
            </w:tcBorders>
            <w:shd w:val="clear" w:color="auto" w:fill="auto"/>
            <w:noWrap/>
            <w:vAlign w:val="bottom"/>
            <w:hideMark/>
          </w:tcPr>
          <w:p w14:paraId="1A1A1F12"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5</w:t>
            </w:r>
          </w:p>
        </w:tc>
        <w:tc>
          <w:tcPr>
            <w:tcW w:w="766" w:type="dxa"/>
            <w:tcBorders>
              <w:top w:val="nil"/>
              <w:left w:val="nil"/>
              <w:bottom w:val="single" w:sz="4" w:space="0" w:color="auto"/>
              <w:right w:val="single" w:sz="4" w:space="0" w:color="auto"/>
            </w:tcBorders>
            <w:shd w:val="clear" w:color="auto" w:fill="auto"/>
            <w:noWrap/>
            <w:vAlign w:val="bottom"/>
            <w:hideMark/>
          </w:tcPr>
          <w:p w14:paraId="7726B753"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94" w:type="dxa"/>
            <w:tcBorders>
              <w:top w:val="nil"/>
              <w:left w:val="nil"/>
              <w:bottom w:val="single" w:sz="4" w:space="0" w:color="auto"/>
              <w:right w:val="single" w:sz="4" w:space="0" w:color="auto"/>
            </w:tcBorders>
            <w:shd w:val="clear" w:color="auto" w:fill="auto"/>
            <w:noWrap/>
            <w:vAlign w:val="bottom"/>
            <w:hideMark/>
          </w:tcPr>
          <w:p w14:paraId="2353D76D"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r>
      <w:tr w:rsidR="009D3C00" w:rsidRPr="002F5AB8" w14:paraId="542FC17F" w14:textId="77777777" w:rsidTr="009D3C00">
        <w:trPr>
          <w:trHeight w:val="300"/>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52385F47"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Proiecte cu finanțare din FEN postaderare</w:t>
            </w:r>
          </w:p>
        </w:tc>
        <w:tc>
          <w:tcPr>
            <w:tcW w:w="551" w:type="dxa"/>
            <w:tcBorders>
              <w:top w:val="nil"/>
              <w:left w:val="nil"/>
              <w:bottom w:val="single" w:sz="4" w:space="0" w:color="auto"/>
              <w:right w:val="single" w:sz="4" w:space="0" w:color="auto"/>
            </w:tcBorders>
            <w:shd w:val="clear" w:color="auto" w:fill="auto"/>
            <w:vAlign w:val="center"/>
            <w:hideMark/>
          </w:tcPr>
          <w:p w14:paraId="57AC0055"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CA</w:t>
            </w:r>
          </w:p>
        </w:tc>
        <w:tc>
          <w:tcPr>
            <w:tcW w:w="866" w:type="dxa"/>
            <w:tcBorders>
              <w:top w:val="nil"/>
              <w:left w:val="nil"/>
              <w:bottom w:val="single" w:sz="4" w:space="0" w:color="auto"/>
              <w:right w:val="single" w:sz="4" w:space="0" w:color="auto"/>
            </w:tcBorders>
            <w:shd w:val="clear" w:color="auto" w:fill="auto"/>
            <w:noWrap/>
            <w:vAlign w:val="bottom"/>
            <w:hideMark/>
          </w:tcPr>
          <w:p w14:paraId="7C95990A"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94" w:type="dxa"/>
            <w:tcBorders>
              <w:top w:val="nil"/>
              <w:left w:val="nil"/>
              <w:bottom w:val="single" w:sz="4" w:space="0" w:color="auto"/>
              <w:right w:val="single" w:sz="4" w:space="0" w:color="auto"/>
            </w:tcBorders>
            <w:shd w:val="clear" w:color="auto" w:fill="auto"/>
            <w:noWrap/>
            <w:vAlign w:val="bottom"/>
            <w:hideMark/>
          </w:tcPr>
          <w:p w14:paraId="121CFE82"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866" w:type="dxa"/>
            <w:tcBorders>
              <w:top w:val="nil"/>
              <w:left w:val="nil"/>
              <w:bottom w:val="single" w:sz="4" w:space="0" w:color="auto"/>
              <w:right w:val="single" w:sz="4" w:space="0" w:color="auto"/>
            </w:tcBorders>
            <w:shd w:val="clear" w:color="auto" w:fill="auto"/>
            <w:noWrap/>
            <w:vAlign w:val="bottom"/>
            <w:hideMark/>
          </w:tcPr>
          <w:p w14:paraId="7D5C8E06"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94" w:type="dxa"/>
            <w:tcBorders>
              <w:top w:val="nil"/>
              <w:left w:val="nil"/>
              <w:bottom w:val="single" w:sz="4" w:space="0" w:color="auto"/>
              <w:right w:val="single" w:sz="4" w:space="0" w:color="auto"/>
            </w:tcBorders>
            <w:shd w:val="clear" w:color="auto" w:fill="auto"/>
            <w:noWrap/>
            <w:vAlign w:val="bottom"/>
            <w:hideMark/>
          </w:tcPr>
          <w:p w14:paraId="62C18359"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66" w:type="dxa"/>
            <w:tcBorders>
              <w:top w:val="nil"/>
              <w:left w:val="nil"/>
              <w:bottom w:val="single" w:sz="4" w:space="0" w:color="auto"/>
              <w:right w:val="single" w:sz="4" w:space="0" w:color="auto"/>
            </w:tcBorders>
            <w:shd w:val="clear" w:color="auto" w:fill="auto"/>
            <w:noWrap/>
            <w:vAlign w:val="bottom"/>
            <w:hideMark/>
          </w:tcPr>
          <w:p w14:paraId="34D8E13F"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 </w:t>
            </w:r>
          </w:p>
        </w:tc>
        <w:tc>
          <w:tcPr>
            <w:tcW w:w="794" w:type="dxa"/>
            <w:tcBorders>
              <w:top w:val="nil"/>
              <w:left w:val="nil"/>
              <w:bottom w:val="single" w:sz="4" w:space="0" w:color="auto"/>
              <w:right w:val="single" w:sz="4" w:space="0" w:color="auto"/>
            </w:tcBorders>
            <w:shd w:val="clear" w:color="auto" w:fill="auto"/>
            <w:noWrap/>
            <w:vAlign w:val="bottom"/>
            <w:hideMark/>
          </w:tcPr>
          <w:p w14:paraId="7F4607A6"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66" w:type="dxa"/>
            <w:tcBorders>
              <w:top w:val="nil"/>
              <w:left w:val="nil"/>
              <w:bottom w:val="single" w:sz="4" w:space="0" w:color="auto"/>
              <w:right w:val="single" w:sz="4" w:space="0" w:color="auto"/>
            </w:tcBorders>
            <w:shd w:val="clear" w:color="auto" w:fill="auto"/>
            <w:noWrap/>
            <w:vAlign w:val="bottom"/>
            <w:hideMark/>
          </w:tcPr>
          <w:p w14:paraId="3CA05C5F"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854" w:type="dxa"/>
            <w:tcBorders>
              <w:top w:val="nil"/>
              <w:left w:val="nil"/>
              <w:bottom w:val="single" w:sz="4" w:space="0" w:color="auto"/>
              <w:right w:val="single" w:sz="4" w:space="0" w:color="auto"/>
            </w:tcBorders>
            <w:shd w:val="clear" w:color="auto" w:fill="auto"/>
            <w:noWrap/>
            <w:vAlign w:val="bottom"/>
            <w:hideMark/>
          </w:tcPr>
          <w:p w14:paraId="6F048618"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66" w:type="dxa"/>
            <w:tcBorders>
              <w:top w:val="nil"/>
              <w:left w:val="nil"/>
              <w:bottom w:val="single" w:sz="4" w:space="0" w:color="auto"/>
              <w:right w:val="single" w:sz="4" w:space="0" w:color="auto"/>
            </w:tcBorders>
            <w:shd w:val="clear" w:color="auto" w:fill="auto"/>
            <w:noWrap/>
            <w:vAlign w:val="bottom"/>
            <w:hideMark/>
          </w:tcPr>
          <w:p w14:paraId="1B9941E7"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94" w:type="dxa"/>
            <w:tcBorders>
              <w:top w:val="nil"/>
              <w:left w:val="nil"/>
              <w:bottom w:val="single" w:sz="4" w:space="0" w:color="auto"/>
              <w:right w:val="single" w:sz="4" w:space="0" w:color="auto"/>
            </w:tcBorders>
            <w:shd w:val="clear" w:color="auto" w:fill="auto"/>
            <w:noWrap/>
            <w:vAlign w:val="bottom"/>
            <w:hideMark/>
          </w:tcPr>
          <w:p w14:paraId="61820612"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r>
      <w:tr w:rsidR="009D3C00" w:rsidRPr="002F5AB8" w14:paraId="2D0A9BD1" w14:textId="77777777" w:rsidTr="009D3C00">
        <w:trPr>
          <w:trHeight w:val="420"/>
          <w:jc w:val="center"/>
        </w:trPr>
        <w:tc>
          <w:tcPr>
            <w:tcW w:w="1838" w:type="dxa"/>
            <w:vMerge/>
            <w:tcBorders>
              <w:top w:val="nil"/>
              <w:left w:val="single" w:sz="4" w:space="0" w:color="auto"/>
              <w:bottom w:val="single" w:sz="4" w:space="0" w:color="000000"/>
              <w:right w:val="single" w:sz="4" w:space="0" w:color="auto"/>
            </w:tcBorders>
            <w:vAlign w:val="center"/>
            <w:hideMark/>
          </w:tcPr>
          <w:p w14:paraId="471F00A0" w14:textId="77777777" w:rsidR="009D3C00" w:rsidRPr="002F5AB8" w:rsidRDefault="009D3C00" w:rsidP="00612067">
            <w:pPr>
              <w:keepNext/>
              <w:keepLines/>
              <w:rPr>
                <w:rFonts w:ascii="Times New Roman" w:hAnsi="Times New Roman"/>
                <w:color w:val="000000"/>
                <w:sz w:val="20"/>
                <w:lang w:eastAsia="ro-RO"/>
              </w:rPr>
            </w:pPr>
          </w:p>
        </w:tc>
        <w:tc>
          <w:tcPr>
            <w:tcW w:w="551" w:type="dxa"/>
            <w:tcBorders>
              <w:top w:val="nil"/>
              <w:left w:val="nil"/>
              <w:bottom w:val="single" w:sz="4" w:space="0" w:color="auto"/>
              <w:right w:val="single" w:sz="4" w:space="0" w:color="auto"/>
            </w:tcBorders>
            <w:shd w:val="clear" w:color="auto" w:fill="auto"/>
            <w:vAlign w:val="center"/>
            <w:hideMark/>
          </w:tcPr>
          <w:p w14:paraId="0B67CBA7"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CB</w:t>
            </w:r>
          </w:p>
        </w:tc>
        <w:tc>
          <w:tcPr>
            <w:tcW w:w="866" w:type="dxa"/>
            <w:tcBorders>
              <w:top w:val="nil"/>
              <w:left w:val="nil"/>
              <w:bottom w:val="single" w:sz="4" w:space="0" w:color="auto"/>
              <w:right w:val="single" w:sz="4" w:space="0" w:color="auto"/>
            </w:tcBorders>
            <w:shd w:val="clear" w:color="auto" w:fill="auto"/>
            <w:noWrap/>
            <w:vAlign w:val="bottom"/>
            <w:hideMark/>
          </w:tcPr>
          <w:p w14:paraId="27FC6AC2"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94" w:type="dxa"/>
            <w:tcBorders>
              <w:top w:val="nil"/>
              <w:left w:val="nil"/>
              <w:bottom w:val="single" w:sz="4" w:space="0" w:color="auto"/>
              <w:right w:val="single" w:sz="4" w:space="0" w:color="auto"/>
            </w:tcBorders>
            <w:shd w:val="clear" w:color="auto" w:fill="auto"/>
            <w:noWrap/>
            <w:vAlign w:val="bottom"/>
            <w:hideMark/>
          </w:tcPr>
          <w:p w14:paraId="19986AF2"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866" w:type="dxa"/>
            <w:tcBorders>
              <w:top w:val="nil"/>
              <w:left w:val="nil"/>
              <w:bottom w:val="single" w:sz="4" w:space="0" w:color="auto"/>
              <w:right w:val="single" w:sz="4" w:space="0" w:color="auto"/>
            </w:tcBorders>
            <w:shd w:val="clear" w:color="auto" w:fill="auto"/>
            <w:noWrap/>
            <w:vAlign w:val="bottom"/>
            <w:hideMark/>
          </w:tcPr>
          <w:p w14:paraId="074B90EC"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94" w:type="dxa"/>
            <w:tcBorders>
              <w:top w:val="nil"/>
              <w:left w:val="nil"/>
              <w:bottom w:val="single" w:sz="4" w:space="0" w:color="auto"/>
              <w:right w:val="single" w:sz="4" w:space="0" w:color="auto"/>
            </w:tcBorders>
            <w:shd w:val="clear" w:color="auto" w:fill="auto"/>
            <w:noWrap/>
            <w:vAlign w:val="bottom"/>
            <w:hideMark/>
          </w:tcPr>
          <w:p w14:paraId="79035A63"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66" w:type="dxa"/>
            <w:tcBorders>
              <w:top w:val="nil"/>
              <w:left w:val="nil"/>
              <w:bottom w:val="single" w:sz="4" w:space="0" w:color="auto"/>
              <w:right w:val="single" w:sz="4" w:space="0" w:color="auto"/>
            </w:tcBorders>
            <w:shd w:val="clear" w:color="auto" w:fill="auto"/>
            <w:noWrap/>
            <w:vAlign w:val="bottom"/>
            <w:hideMark/>
          </w:tcPr>
          <w:p w14:paraId="10AF9210"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 </w:t>
            </w:r>
          </w:p>
        </w:tc>
        <w:tc>
          <w:tcPr>
            <w:tcW w:w="794" w:type="dxa"/>
            <w:tcBorders>
              <w:top w:val="nil"/>
              <w:left w:val="nil"/>
              <w:bottom w:val="single" w:sz="4" w:space="0" w:color="auto"/>
              <w:right w:val="single" w:sz="4" w:space="0" w:color="auto"/>
            </w:tcBorders>
            <w:shd w:val="clear" w:color="auto" w:fill="auto"/>
            <w:noWrap/>
            <w:vAlign w:val="bottom"/>
            <w:hideMark/>
          </w:tcPr>
          <w:p w14:paraId="3A831A4C"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66" w:type="dxa"/>
            <w:tcBorders>
              <w:top w:val="nil"/>
              <w:left w:val="nil"/>
              <w:bottom w:val="single" w:sz="4" w:space="0" w:color="auto"/>
              <w:right w:val="single" w:sz="4" w:space="0" w:color="auto"/>
            </w:tcBorders>
            <w:shd w:val="clear" w:color="auto" w:fill="auto"/>
            <w:noWrap/>
            <w:vAlign w:val="bottom"/>
            <w:hideMark/>
          </w:tcPr>
          <w:p w14:paraId="5294AF13"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854" w:type="dxa"/>
            <w:tcBorders>
              <w:top w:val="nil"/>
              <w:left w:val="nil"/>
              <w:bottom w:val="single" w:sz="4" w:space="0" w:color="auto"/>
              <w:right w:val="single" w:sz="4" w:space="0" w:color="auto"/>
            </w:tcBorders>
            <w:shd w:val="clear" w:color="auto" w:fill="auto"/>
            <w:noWrap/>
            <w:vAlign w:val="bottom"/>
            <w:hideMark/>
          </w:tcPr>
          <w:p w14:paraId="2D0D4119"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66" w:type="dxa"/>
            <w:tcBorders>
              <w:top w:val="nil"/>
              <w:left w:val="nil"/>
              <w:bottom w:val="single" w:sz="4" w:space="0" w:color="auto"/>
              <w:right w:val="single" w:sz="4" w:space="0" w:color="auto"/>
            </w:tcBorders>
            <w:shd w:val="clear" w:color="auto" w:fill="auto"/>
            <w:noWrap/>
            <w:vAlign w:val="bottom"/>
            <w:hideMark/>
          </w:tcPr>
          <w:p w14:paraId="708723B6"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94" w:type="dxa"/>
            <w:tcBorders>
              <w:top w:val="nil"/>
              <w:left w:val="nil"/>
              <w:bottom w:val="single" w:sz="4" w:space="0" w:color="auto"/>
              <w:right w:val="single" w:sz="4" w:space="0" w:color="auto"/>
            </w:tcBorders>
            <w:shd w:val="clear" w:color="auto" w:fill="auto"/>
            <w:noWrap/>
            <w:vAlign w:val="bottom"/>
            <w:hideMark/>
          </w:tcPr>
          <w:p w14:paraId="0B71EFD6"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r>
      <w:tr w:rsidR="009D3C00" w:rsidRPr="002F5AB8" w14:paraId="36C4FB15" w14:textId="77777777" w:rsidTr="009D3C00">
        <w:trPr>
          <w:trHeight w:val="360"/>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0B0867D0"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Proiecte cu finanțare din FEN aferente cadrului financiar 2014-2020</w:t>
            </w:r>
          </w:p>
        </w:tc>
        <w:tc>
          <w:tcPr>
            <w:tcW w:w="551" w:type="dxa"/>
            <w:tcBorders>
              <w:top w:val="nil"/>
              <w:left w:val="nil"/>
              <w:bottom w:val="single" w:sz="4" w:space="0" w:color="auto"/>
              <w:right w:val="single" w:sz="4" w:space="0" w:color="auto"/>
            </w:tcBorders>
            <w:shd w:val="clear" w:color="auto" w:fill="auto"/>
            <w:vAlign w:val="center"/>
            <w:hideMark/>
          </w:tcPr>
          <w:p w14:paraId="5C834398"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CA</w:t>
            </w:r>
          </w:p>
        </w:tc>
        <w:tc>
          <w:tcPr>
            <w:tcW w:w="866" w:type="dxa"/>
            <w:tcBorders>
              <w:top w:val="nil"/>
              <w:left w:val="nil"/>
              <w:bottom w:val="single" w:sz="4" w:space="0" w:color="auto"/>
              <w:right w:val="single" w:sz="4" w:space="0" w:color="auto"/>
            </w:tcBorders>
            <w:shd w:val="clear" w:color="auto" w:fill="auto"/>
            <w:noWrap/>
            <w:vAlign w:val="bottom"/>
            <w:hideMark/>
          </w:tcPr>
          <w:p w14:paraId="32C4FE6E"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43,260</w:t>
            </w:r>
          </w:p>
        </w:tc>
        <w:tc>
          <w:tcPr>
            <w:tcW w:w="794" w:type="dxa"/>
            <w:tcBorders>
              <w:top w:val="nil"/>
              <w:left w:val="nil"/>
              <w:bottom w:val="single" w:sz="4" w:space="0" w:color="auto"/>
              <w:right w:val="single" w:sz="4" w:space="0" w:color="auto"/>
            </w:tcBorders>
            <w:shd w:val="clear" w:color="auto" w:fill="auto"/>
            <w:noWrap/>
            <w:vAlign w:val="bottom"/>
            <w:hideMark/>
          </w:tcPr>
          <w:p w14:paraId="4A617E21"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8,752</w:t>
            </w:r>
          </w:p>
        </w:tc>
        <w:tc>
          <w:tcPr>
            <w:tcW w:w="866" w:type="dxa"/>
            <w:tcBorders>
              <w:top w:val="nil"/>
              <w:left w:val="nil"/>
              <w:bottom w:val="single" w:sz="4" w:space="0" w:color="auto"/>
              <w:right w:val="single" w:sz="4" w:space="0" w:color="auto"/>
            </w:tcBorders>
            <w:shd w:val="clear" w:color="auto" w:fill="auto"/>
            <w:noWrap/>
            <w:vAlign w:val="bottom"/>
            <w:hideMark/>
          </w:tcPr>
          <w:p w14:paraId="19308C5C"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40,276</w:t>
            </w:r>
          </w:p>
        </w:tc>
        <w:tc>
          <w:tcPr>
            <w:tcW w:w="794" w:type="dxa"/>
            <w:tcBorders>
              <w:top w:val="nil"/>
              <w:left w:val="nil"/>
              <w:bottom w:val="single" w:sz="4" w:space="0" w:color="auto"/>
              <w:right w:val="single" w:sz="4" w:space="0" w:color="auto"/>
            </w:tcBorders>
            <w:shd w:val="clear" w:color="auto" w:fill="auto"/>
            <w:noWrap/>
            <w:vAlign w:val="bottom"/>
            <w:hideMark/>
          </w:tcPr>
          <w:p w14:paraId="76856D20"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8,185</w:t>
            </w:r>
          </w:p>
        </w:tc>
        <w:tc>
          <w:tcPr>
            <w:tcW w:w="766" w:type="dxa"/>
            <w:tcBorders>
              <w:top w:val="nil"/>
              <w:left w:val="nil"/>
              <w:bottom w:val="single" w:sz="4" w:space="0" w:color="auto"/>
              <w:right w:val="single" w:sz="4" w:space="0" w:color="auto"/>
            </w:tcBorders>
            <w:shd w:val="clear" w:color="auto" w:fill="auto"/>
            <w:noWrap/>
            <w:vAlign w:val="bottom"/>
            <w:hideMark/>
          </w:tcPr>
          <w:p w14:paraId="77B85E4E"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196</w:t>
            </w:r>
          </w:p>
        </w:tc>
        <w:tc>
          <w:tcPr>
            <w:tcW w:w="794" w:type="dxa"/>
            <w:tcBorders>
              <w:top w:val="nil"/>
              <w:left w:val="nil"/>
              <w:bottom w:val="single" w:sz="4" w:space="0" w:color="auto"/>
              <w:right w:val="single" w:sz="4" w:space="0" w:color="auto"/>
            </w:tcBorders>
            <w:shd w:val="clear" w:color="auto" w:fill="auto"/>
            <w:noWrap/>
            <w:vAlign w:val="bottom"/>
            <w:hideMark/>
          </w:tcPr>
          <w:p w14:paraId="7706D5F0"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40</w:t>
            </w:r>
          </w:p>
        </w:tc>
        <w:tc>
          <w:tcPr>
            <w:tcW w:w="766" w:type="dxa"/>
            <w:tcBorders>
              <w:top w:val="nil"/>
              <w:left w:val="nil"/>
              <w:bottom w:val="single" w:sz="4" w:space="0" w:color="auto"/>
              <w:right w:val="single" w:sz="4" w:space="0" w:color="auto"/>
            </w:tcBorders>
            <w:shd w:val="clear" w:color="auto" w:fill="auto"/>
            <w:noWrap/>
            <w:vAlign w:val="bottom"/>
            <w:hideMark/>
          </w:tcPr>
          <w:p w14:paraId="5C4A3EEA"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1,997</w:t>
            </w:r>
          </w:p>
        </w:tc>
        <w:tc>
          <w:tcPr>
            <w:tcW w:w="854" w:type="dxa"/>
            <w:tcBorders>
              <w:top w:val="nil"/>
              <w:left w:val="nil"/>
              <w:bottom w:val="single" w:sz="4" w:space="0" w:color="auto"/>
              <w:right w:val="single" w:sz="4" w:space="0" w:color="auto"/>
            </w:tcBorders>
            <w:shd w:val="clear" w:color="auto" w:fill="auto"/>
            <w:noWrap/>
            <w:vAlign w:val="bottom"/>
            <w:hideMark/>
          </w:tcPr>
          <w:p w14:paraId="275C720C"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406</w:t>
            </w:r>
          </w:p>
        </w:tc>
        <w:tc>
          <w:tcPr>
            <w:tcW w:w="766" w:type="dxa"/>
            <w:tcBorders>
              <w:top w:val="nil"/>
              <w:left w:val="nil"/>
              <w:bottom w:val="single" w:sz="4" w:space="0" w:color="auto"/>
              <w:right w:val="single" w:sz="4" w:space="0" w:color="auto"/>
            </w:tcBorders>
            <w:shd w:val="clear" w:color="auto" w:fill="auto"/>
            <w:noWrap/>
            <w:vAlign w:val="bottom"/>
            <w:hideMark/>
          </w:tcPr>
          <w:p w14:paraId="20900470"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791</w:t>
            </w:r>
          </w:p>
        </w:tc>
        <w:tc>
          <w:tcPr>
            <w:tcW w:w="794" w:type="dxa"/>
            <w:tcBorders>
              <w:top w:val="nil"/>
              <w:left w:val="nil"/>
              <w:bottom w:val="single" w:sz="4" w:space="0" w:color="auto"/>
              <w:right w:val="single" w:sz="4" w:space="0" w:color="auto"/>
            </w:tcBorders>
            <w:shd w:val="clear" w:color="auto" w:fill="auto"/>
            <w:noWrap/>
            <w:vAlign w:val="bottom"/>
            <w:hideMark/>
          </w:tcPr>
          <w:p w14:paraId="5006FA81"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161</w:t>
            </w:r>
          </w:p>
        </w:tc>
      </w:tr>
      <w:tr w:rsidR="009D3C00" w:rsidRPr="002F5AB8" w14:paraId="1A10FF77" w14:textId="77777777" w:rsidTr="009D3C00">
        <w:trPr>
          <w:trHeight w:val="330"/>
          <w:jc w:val="center"/>
        </w:trPr>
        <w:tc>
          <w:tcPr>
            <w:tcW w:w="1838" w:type="dxa"/>
            <w:vMerge/>
            <w:tcBorders>
              <w:top w:val="nil"/>
              <w:left w:val="single" w:sz="4" w:space="0" w:color="auto"/>
              <w:bottom w:val="single" w:sz="4" w:space="0" w:color="000000"/>
              <w:right w:val="single" w:sz="4" w:space="0" w:color="auto"/>
            </w:tcBorders>
            <w:vAlign w:val="center"/>
            <w:hideMark/>
          </w:tcPr>
          <w:p w14:paraId="3DE134C3" w14:textId="77777777" w:rsidR="009D3C00" w:rsidRPr="002F5AB8" w:rsidRDefault="009D3C00" w:rsidP="00612067">
            <w:pPr>
              <w:keepNext/>
              <w:keepLines/>
              <w:rPr>
                <w:rFonts w:ascii="Times New Roman" w:hAnsi="Times New Roman"/>
                <w:color w:val="000000"/>
                <w:sz w:val="20"/>
                <w:lang w:eastAsia="ro-RO"/>
              </w:rPr>
            </w:pPr>
          </w:p>
        </w:tc>
        <w:tc>
          <w:tcPr>
            <w:tcW w:w="551" w:type="dxa"/>
            <w:tcBorders>
              <w:top w:val="nil"/>
              <w:left w:val="nil"/>
              <w:bottom w:val="single" w:sz="4" w:space="0" w:color="auto"/>
              <w:right w:val="single" w:sz="4" w:space="0" w:color="auto"/>
            </w:tcBorders>
            <w:shd w:val="clear" w:color="auto" w:fill="auto"/>
            <w:vAlign w:val="center"/>
            <w:hideMark/>
          </w:tcPr>
          <w:p w14:paraId="03B1F868"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CB</w:t>
            </w:r>
          </w:p>
        </w:tc>
        <w:tc>
          <w:tcPr>
            <w:tcW w:w="866" w:type="dxa"/>
            <w:tcBorders>
              <w:top w:val="nil"/>
              <w:left w:val="nil"/>
              <w:bottom w:val="single" w:sz="4" w:space="0" w:color="auto"/>
              <w:right w:val="single" w:sz="4" w:space="0" w:color="auto"/>
            </w:tcBorders>
            <w:shd w:val="clear" w:color="auto" w:fill="auto"/>
            <w:noWrap/>
            <w:vAlign w:val="bottom"/>
            <w:hideMark/>
          </w:tcPr>
          <w:p w14:paraId="5D935FE8"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66,883</w:t>
            </w:r>
          </w:p>
        </w:tc>
        <w:tc>
          <w:tcPr>
            <w:tcW w:w="794" w:type="dxa"/>
            <w:tcBorders>
              <w:top w:val="nil"/>
              <w:left w:val="nil"/>
              <w:bottom w:val="single" w:sz="4" w:space="0" w:color="auto"/>
              <w:right w:val="single" w:sz="4" w:space="0" w:color="auto"/>
            </w:tcBorders>
            <w:shd w:val="clear" w:color="auto" w:fill="auto"/>
            <w:noWrap/>
            <w:vAlign w:val="bottom"/>
            <w:hideMark/>
          </w:tcPr>
          <w:p w14:paraId="79D334F9"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13,552</w:t>
            </w:r>
          </w:p>
        </w:tc>
        <w:tc>
          <w:tcPr>
            <w:tcW w:w="866" w:type="dxa"/>
            <w:tcBorders>
              <w:top w:val="nil"/>
              <w:left w:val="nil"/>
              <w:bottom w:val="single" w:sz="4" w:space="0" w:color="auto"/>
              <w:right w:val="single" w:sz="4" w:space="0" w:color="auto"/>
            </w:tcBorders>
            <w:shd w:val="clear" w:color="auto" w:fill="auto"/>
            <w:noWrap/>
            <w:vAlign w:val="bottom"/>
            <w:hideMark/>
          </w:tcPr>
          <w:p w14:paraId="36A431AA"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60,167</w:t>
            </w:r>
          </w:p>
        </w:tc>
        <w:tc>
          <w:tcPr>
            <w:tcW w:w="794" w:type="dxa"/>
            <w:tcBorders>
              <w:top w:val="nil"/>
              <w:left w:val="nil"/>
              <w:bottom w:val="single" w:sz="4" w:space="0" w:color="auto"/>
              <w:right w:val="single" w:sz="4" w:space="0" w:color="auto"/>
            </w:tcBorders>
            <w:shd w:val="clear" w:color="auto" w:fill="auto"/>
            <w:noWrap/>
            <w:vAlign w:val="bottom"/>
            <w:hideMark/>
          </w:tcPr>
          <w:p w14:paraId="54120E50"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12,227</w:t>
            </w:r>
          </w:p>
        </w:tc>
        <w:tc>
          <w:tcPr>
            <w:tcW w:w="766" w:type="dxa"/>
            <w:tcBorders>
              <w:top w:val="nil"/>
              <w:left w:val="nil"/>
              <w:bottom w:val="single" w:sz="4" w:space="0" w:color="auto"/>
              <w:right w:val="single" w:sz="4" w:space="0" w:color="auto"/>
            </w:tcBorders>
            <w:shd w:val="clear" w:color="auto" w:fill="auto"/>
            <w:noWrap/>
            <w:vAlign w:val="bottom"/>
            <w:hideMark/>
          </w:tcPr>
          <w:p w14:paraId="53BBFECF"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196</w:t>
            </w:r>
          </w:p>
        </w:tc>
        <w:tc>
          <w:tcPr>
            <w:tcW w:w="794" w:type="dxa"/>
            <w:tcBorders>
              <w:top w:val="nil"/>
              <w:left w:val="nil"/>
              <w:bottom w:val="single" w:sz="4" w:space="0" w:color="auto"/>
              <w:right w:val="single" w:sz="4" w:space="0" w:color="auto"/>
            </w:tcBorders>
            <w:shd w:val="clear" w:color="auto" w:fill="auto"/>
            <w:noWrap/>
            <w:vAlign w:val="bottom"/>
            <w:hideMark/>
          </w:tcPr>
          <w:p w14:paraId="6E2B2CAE"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40</w:t>
            </w:r>
          </w:p>
        </w:tc>
        <w:tc>
          <w:tcPr>
            <w:tcW w:w="766" w:type="dxa"/>
            <w:tcBorders>
              <w:top w:val="nil"/>
              <w:left w:val="nil"/>
              <w:bottom w:val="single" w:sz="4" w:space="0" w:color="auto"/>
              <w:right w:val="single" w:sz="4" w:space="0" w:color="auto"/>
            </w:tcBorders>
            <w:shd w:val="clear" w:color="auto" w:fill="auto"/>
            <w:noWrap/>
            <w:vAlign w:val="bottom"/>
            <w:hideMark/>
          </w:tcPr>
          <w:p w14:paraId="095DF51E"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4,036</w:t>
            </w:r>
          </w:p>
        </w:tc>
        <w:tc>
          <w:tcPr>
            <w:tcW w:w="854" w:type="dxa"/>
            <w:tcBorders>
              <w:top w:val="nil"/>
              <w:left w:val="nil"/>
              <w:bottom w:val="single" w:sz="4" w:space="0" w:color="auto"/>
              <w:right w:val="single" w:sz="4" w:space="0" w:color="auto"/>
            </w:tcBorders>
            <w:shd w:val="clear" w:color="auto" w:fill="auto"/>
            <w:noWrap/>
            <w:vAlign w:val="bottom"/>
            <w:hideMark/>
          </w:tcPr>
          <w:p w14:paraId="74913492"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820</w:t>
            </w:r>
          </w:p>
        </w:tc>
        <w:tc>
          <w:tcPr>
            <w:tcW w:w="766" w:type="dxa"/>
            <w:tcBorders>
              <w:top w:val="nil"/>
              <w:left w:val="nil"/>
              <w:bottom w:val="single" w:sz="4" w:space="0" w:color="auto"/>
              <w:right w:val="single" w:sz="4" w:space="0" w:color="auto"/>
            </w:tcBorders>
            <w:shd w:val="clear" w:color="auto" w:fill="auto"/>
            <w:noWrap/>
            <w:vAlign w:val="bottom"/>
            <w:hideMark/>
          </w:tcPr>
          <w:p w14:paraId="019AB97B"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2,484</w:t>
            </w:r>
          </w:p>
        </w:tc>
        <w:tc>
          <w:tcPr>
            <w:tcW w:w="794" w:type="dxa"/>
            <w:tcBorders>
              <w:top w:val="nil"/>
              <w:left w:val="nil"/>
              <w:bottom w:val="single" w:sz="4" w:space="0" w:color="auto"/>
              <w:right w:val="single" w:sz="4" w:space="0" w:color="auto"/>
            </w:tcBorders>
            <w:shd w:val="clear" w:color="auto" w:fill="auto"/>
            <w:noWrap/>
            <w:vAlign w:val="bottom"/>
            <w:hideMark/>
          </w:tcPr>
          <w:p w14:paraId="27CA61A7"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505</w:t>
            </w:r>
          </w:p>
        </w:tc>
      </w:tr>
      <w:tr w:rsidR="009D3C00" w:rsidRPr="002F5AB8" w14:paraId="13F835CB" w14:textId="77777777" w:rsidTr="009D3C00">
        <w:trPr>
          <w:trHeight w:val="300"/>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19253543"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Alte cheltuieli</w:t>
            </w:r>
          </w:p>
        </w:tc>
        <w:tc>
          <w:tcPr>
            <w:tcW w:w="551" w:type="dxa"/>
            <w:tcBorders>
              <w:top w:val="nil"/>
              <w:left w:val="nil"/>
              <w:bottom w:val="single" w:sz="4" w:space="0" w:color="auto"/>
              <w:right w:val="single" w:sz="4" w:space="0" w:color="auto"/>
            </w:tcBorders>
            <w:shd w:val="clear" w:color="auto" w:fill="auto"/>
            <w:vAlign w:val="center"/>
            <w:hideMark/>
          </w:tcPr>
          <w:p w14:paraId="43790FF0"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CA</w:t>
            </w:r>
          </w:p>
        </w:tc>
        <w:tc>
          <w:tcPr>
            <w:tcW w:w="866" w:type="dxa"/>
            <w:tcBorders>
              <w:top w:val="nil"/>
              <w:left w:val="nil"/>
              <w:bottom w:val="single" w:sz="4" w:space="0" w:color="auto"/>
              <w:right w:val="single" w:sz="4" w:space="0" w:color="auto"/>
            </w:tcBorders>
            <w:shd w:val="clear" w:color="auto" w:fill="auto"/>
            <w:noWrap/>
            <w:vAlign w:val="bottom"/>
            <w:hideMark/>
          </w:tcPr>
          <w:p w14:paraId="16653C0D"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41,593</w:t>
            </w:r>
          </w:p>
        </w:tc>
        <w:tc>
          <w:tcPr>
            <w:tcW w:w="794" w:type="dxa"/>
            <w:tcBorders>
              <w:top w:val="nil"/>
              <w:left w:val="nil"/>
              <w:bottom w:val="single" w:sz="4" w:space="0" w:color="auto"/>
              <w:right w:val="single" w:sz="4" w:space="0" w:color="auto"/>
            </w:tcBorders>
            <w:shd w:val="clear" w:color="auto" w:fill="auto"/>
            <w:noWrap/>
            <w:vAlign w:val="bottom"/>
            <w:hideMark/>
          </w:tcPr>
          <w:p w14:paraId="44BD7007"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8,427</w:t>
            </w:r>
          </w:p>
        </w:tc>
        <w:tc>
          <w:tcPr>
            <w:tcW w:w="866" w:type="dxa"/>
            <w:tcBorders>
              <w:top w:val="nil"/>
              <w:left w:val="nil"/>
              <w:bottom w:val="single" w:sz="4" w:space="0" w:color="auto"/>
              <w:right w:val="single" w:sz="4" w:space="0" w:color="auto"/>
            </w:tcBorders>
            <w:shd w:val="clear" w:color="auto" w:fill="auto"/>
            <w:noWrap/>
            <w:vAlign w:val="bottom"/>
            <w:hideMark/>
          </w:tcPr>
          <w:p w14:paraId="327F83F3"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1,903</w:t>
            </w:r>
          </w:p>
        </w:tc>
        <w:tc>
          <w:tcPr>
            <w:tcW w:w="794" w:type="dxa"/>
            <w:tcBorders>
              <w:top w:val="nil"/>
              <w:left w:val="nil"/>
              <w:bottom w:val="single" w:sz="4" w:space="0" w:color="auto"/>
              <w:right w:val="single" w:sz="4" w:space="0" w:color="auto"/>
            </w:tcBorders>
            <w:shd w:val="clear" w:color="auto" w:fill="auto"/>
            <w:noWrap/>
            <w:vAlign w:val="bottom"/>
            <w:hideMark/>
          </w:tcPr>
          <w:p w14:paraId="60F5DF16"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387</w:t>
            </w:r>
          </w:p>
        </w:tc>
        <w:tc>
          <w:tcPr>
            <w:tcW w:w="766" w:type="dxa"/>
            <w:tcBorders>
              <w:top w:val="nil"/>
              <w:left w:val="nil"/>
              <w:bottom w:val="single" w:sz="4" w:space="0" w:color="auto"/>
              <w:right w:val="single" w:sz="4" w:space="0" w:color="auto"/>
            </w:tcBorders>
            <w:shd w:val="clear" w:color="auto" w:fill="auto"/>
            <w:noWrap/>
            <w:vAlign w:val="bottom"/>
            <w:hideMark/>
          </w:tcPr>
          <w:p w14:paraId="537C38B7"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130</w:t>
            </w:r>
          </w:p>
        </w:tc>
        <w:tc>
          <w:tcPr>
            <w:tcW w:w="794" w:type="dxa"/>
            <w:tcBorders>
              <w:top w:val="nil"/>
              <w:left w:val="nil"/>
              <w:bottom w:val="single" w:sz="4" w:space="0" w:color="auto"/>
              <w:right w:val="single" w:sz="4" w:space="0" w:color="auto"/>
            </w:tcBorders>
            <w:shd w:val="clear" w:color="auto" w:fill="auto"/>
            <w:noWrap/>
            <w:vAlign w:val="bottom"/>
            <w:hideMark/>
          </w:tcPr>
          <w:p w14:paraId="5F98A9A2"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26</w:t>
            </w:r>
          </w:p>
        </w:tc>
        <w:tc>
          <w:tcPr>
            <w:tcW w:w="766" w:type="dxa"/>
            <w:tcBorders>
              <w:top w:val="nil"/>
              <w:left w:val="nil"/>
              <w:bottom w:val="single" w:sz="4" w:space="0" w:color="auto"/>
              <w:right w:val="single" w:sz="4" w:space="0" w:color="auto"/>
            </w:tcBorders>
            <w:shd w:val="clear" w:color="auto" w:fill="auto"/>
            <w:noWrap/>
            <w:vAlign w:val="bottom"/>
            <w:hideMark/>
          </w:tcPr>
          <w:p w14:paraId="7EB08DEE"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38,285</w:t>
            </w:r>
          </w:p>
        </w:tc>
        <w:tc>
          <w:tcPr>
            <w:tcW w:w="854" w:type="dxa"/>
            <w:tcBorders>
              <w:top w:val="nil"/>
              <w:left w:val="nil"/>
              <w:bottom w:val="single" w:sz="4" w:space="0" w:color="auto"/>
              <w:right w:val="single" w:sz="4" w:space="0" w:color="auto"/>
            </w:tcBorders>
            <w:shd w:val="clear" w:color="auto" w:fill="auto"/>
            <w:noWrap/>
            <w:vAlign w:val="bottom"/>
            <w:hideMark/>
          </w:tcPr>
          <w:p w14:paraId="5641DABF"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7,781</w:t>
            </w:r>
          </w:p>
        </w:tc>
        <w:tc>
          <w:tcPr>
            <w:tcW w:w="766" w:type="dxa"/>
            <w:tcBorders>
              <w:top w:val="nil"/>
              <w:left w:val="nil"/>
              <w:bottom w:val="single" w:sz="4" w:space="0" w:color="auto"/>
              <w:right w:val="single" w:sz="4" w:space="0" w:color="auto"/>
            </w:tcBorders>
            <w:shd w:val="clear" w:color="auto" w:fill="auto"/>
            <w:noWrap/>
            <w:vAlign w:val="bottom"/>
            <w:hideMark/>
          </w:tcPr>
          <w:p w14:paraId="3771B1D2"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1,275</w:t>
            </w:r>
          </w:p>
        </w:tc>
        <w:tc>
          <w:tcPr>
            <w:tcW w:w="794" w:type="dxa"/>
            <w:tcBorders>
              <w:top w:val="nil"/>
              <w:left w:val="nil"/>
              <w:bottom w:val="single" w:sz="4" w:space="0" w:color="auto"/>
              <w:right w:val="single" w:sz="4" w:space="0" w:color="auto"/>
            </w:tcBorders>
            <w:shd w:val="clear" w:color="auto" w:fill="auto"/>
            <w:noWrap/>
            <w:vAlign w:val="bottom"/>
            <w:hideMark/>
          </w:tcPr>
          <w:p w14:paraId="1FBF965D"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259</w:t>
            </w:r>
          </w:p>
        </w:tc>
      </w:tr>
      <w:tr w:rsidR="009D3C00" w:rsidRPr="002F5AB8" w14:paraId="608A604F" w14:textId="77777777" w:rsidTr="009D3C00">
        <w:trPr>
          <w:trHeight w:val="285"/>
          <w:jc w:val="center"/>
        </w:trPr>
        <w:tc>
          <w:tcPr>
            <w:tcW w:w="1838" w:type="dxa"/>
            <w:vMerge/>
            <w:tcBorders>
              <w:top w:val="nil"/>
              <w:left w:val="single" w:sz="4" w:space="0" w:color="auto"/>
              <w:bottom w:val="single" w:sz="4" w:space="0" w:color="000000"/>
              <w:right w:val="single" w:sz="4" w:space="0" w:color="auto"/>
            </w:tcBorders>
            <w:vAlign w:val="center"/>
            <w:hideMark/>
          </w:tcPr>
          <w:p w14:paraId="34347594" w14:textId="77777777" w:rsidR="009D3C00" w:rsidRPr="002F5AB8" w:rsidRDefault="009D3C00" w:rsidP="00612067">
            <w:pPr>
              <w:keepNext/>
              <w:keepLines/>
              <w:rPr>
                <w:rFonts w:ascii="Times New Roman" w:hAnsi="Times New Roman"/>
                <w:color w:val="000000"/>
                <w:sz w:val="20"/>
                <w:lang w:eastAsia="ro-RO"/>
              </w:rPr>
            </w:pPr>
          </w:p>
        </w:tc>
        <w:tc>
          <w:tcPr>
            <w:tcW w:w="551" w:type="dxa"/>
            <w:tcBorders>
              <w:top w:val="nil"/>
              <w:left w:val="nil"/>
              <w:bottom w:val="single" w:sz="4" w:space="0" w:color="auto"/>
              <w:right w:val="single" w:sz="4" w:space="0" w:color="auto"/>
            </w:tcBorders>
            <w:shd w:val="clear" w:color="auto" w:fill="auto"/>
            <w:vAlign w:val="center"/>
            <w:hideMark/>
          </w:tcPr>
          <w:p w14:paraId="5B8F7785"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CB</w:t>
            </w:r>
          </w:p>
        </w:tc>
        <w:tc>
          <w:tcPr>
            <w:tcW w:w="866" w:type="dxa"/>
            <w:tcBorders>
              <w:top w:val="nil"/>
              <w:left w:val="nil"/>
              <w:bottom w:val="single" w:sz="4" w:space="0" w:color="auto"/>
              <w:right w:val="single" w:sz="4" w:space="0" w:color="auto"/>
            </w:tcBorders>
            <w:shd w:val="clear" w:color="auto" w:fill="auto"/>
            <w:noWrap/>
            <w:vAlign w:val="bottom"/>
            <w:hideMark/>
          </w:tcPr>
          <w:p w14:paraId="29E91178"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41,593</w:t>
            </w:r>
          </w:p>
        </w:tc>
        <w:tc>
          <w:tcPr>
            <w:tcW w:w="794" w:type="dxa"/>
            <w:tcBorders>
              <w:top w:val="nil"/>
              <w:left w:val="nil"/>
              <w:bottom w:val="single" w:sz="4" w:space="0" w:color="auto"/>
              <w:right w:val="single" w:sz="4" w:space="0" w:color="auto"/>
            </w:tcBorders>
            <w:shd w:val="clear" w:color="auto" w:fill="auto"/>
            <w:noWrap/>
            <w:vAlign w:val="bottom"/>
            <w:hideMark/>
          </w:tcPr>
          <w:p w14:paraId="6D4FEE80"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8,427</w:t>
            </w:r>
          </w:p>
        </w:tc>
        <w:tc>
          <w:tcPr>
            <w:tcW w:w="866" w:type="dxa"/>
            <w:tcBorders>
              <w:top w:val="nil"/>
              <w:left w:val="nil"/>
              <w:bottom w:val="single" w:sz="4" w:space="0" w:color="auto"/>
              <w:right w:val="single" w:sz="4" w:space="0" w:color="auto"/>
            </w:tcBorders>
            <w:shd w:val="clear" w:color="auto" w:fill="auto"/>
            <w:noWrap/>
            <w:vAlign w:val="bottom"/>
            <w:hideMark/>
          </w:tcPr>
          <w:p w14:paraId="2E7D9066"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1,903</w:t>
            </w:r>
          </w:p>
        </w:tc>
        <w:tc>
          <w:tcPr>
            <w:tcW w:w="794" w:type="dxa"/>
            <w:tcBorders>
              <w:top w:val="nil"/>
              <w:left w:val="nil"/>
              <w:bottom w:val="single" w:sz="4" w:space="0" w:color="auto"/>
              <w:right w:val="single" w:sz="4" w:space="0" w:color="auto"/>
            </w:tcBorders>
            <w:shd w:val="clear" w:color="auto" w:fill="auto"/>
            <w:noWrap/>
            <w:vAlign w:val="bottom"/>
            <w:hideMark/>
          </w:tcPr>
          <w:p w14:paraId="2219621D"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387</w:t>
            </w:r>
          </w:p>
        </w:tc>
        <w:tc>
          <w:tcPr>
            <w:tcW w:w="766" w:type="dxa"/>
            <w:tcBorders>
              <w:top w:val="nil"/>
              <w:left w:val="nil"/>
              <w:bottom w:val="single" w:sz="4" w:space="0" w:color="auto"/>
              <w:right w:val="single" w:sz="4" w:space="0" w:color="auto"/>
            </w:tcBorders>
            <w:shd w:val="clear" w:color="auto" w:fill="auto"/>
            <w:noWrap/>
            <w:vAlign w:val="bottom"/>
            <w:hideMark/>
          </w:tcPr>
          <w:p w14:paraId="42D5A9D5"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130</w:t>
            </w:r>
          </w:p>
        </w:tc>
        <w:tc>
          <w:tcPr>
            <w:tcW w:w="794" w:type="dxa"/>
            <w:tcBorders>
              <w:top w:val="nil"/>
              <w:left w:val="nil"/>
              <w:bottom w:val="single" w:sz="4" w:space="0" w:color="auto"/>
              <w:right w:val="single" w:sz="4" w:space="0" w:color="auto"/>
            </w:tcBorders>
            <w:shd w:val="clear" w:color="auto" w:fill="auto"/>
            <w:noWrap/>
            <w:vAlign w:val="bottom"/>
            <w:hideMark/>
          </w:tcPr>
          <w:p w14:paraId="19E12C2B"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26</w:t>
            </w:r>
          </w:p>
        </w:tc>
        <w:tc>
          <w:tcPr>
            <w:tcW w:w="766" w:type="dxa"/>
            <w:tcBorders>
              <w:top w:val="nil"/>
              <w:left w:val="nil"/>
              <w:bottom w:val="single" w:sz="4" w:space="0" w:color="auto"/>
              <w:right w:val="single" w:sz="4" w:space="0" w:color="auto"/>
            </w:tcBorders>
            <w:shd w:val="clear" w:color="auto" w:fill="auto"/>
            <w:noWrap/>
            <w:vAlign w:val="bottom"/>
            <w:hideMark/>
          </w:tcPr>
          <w:p w14:paraId="6E6834A7"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38,285</w:t>
            </w:r>
          </w:p>
        </w:tc>
        <w:tc>
          <w:tcPr>
            <w:tcW w:w="854" w:type="dxa"/>
            <w:tcBorders>
              <w:top w:val="nil"/>
              <w:left w:val="nil"/>
              <w:bottom w:val="single" w:sz="4" w:space="0" w:color="auto"/>
              <w:right w:val="single" w:sz="4" w:space="0" w:color="auto"/>
            </w:tcBorders>
            <w:shd w:val="clear" w:color="auto" w:fill="auto"/>
            <w:noWrap/>
            <w:vAlign w:val="bottom"/>
            <w:hideMark/>
          </w:tcPr>
          <w:p w14:paraId="2EB8CC00"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7,781</w:t>
            </w:r>
          </w:p>
        </w:tc>
        <w:tc>
          <w:tcPr>
            <w:tcW w:w="766" w:type="dxa"/>
            <w:tcBorders>
              <w:top w:val="nil"/>
              <w:left w:val="nil"/>
              <w:bottom w:val="single" w:sz="4" w:space="0" w:color="auto"/>
              <w:right w:val="single" w:sz="4" w:space="0" w:color="auto"/>
            </w:tcBorders>
            <w:shd w:val="clear" w:color="auto" w:fill="auto"/>
            <w:noWrap/>
            <w:vAlign w:val="bottom"/>
            <w:hideMark/>
          </w:tcPr>
          <w:p w14:paraId="0276F40B"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1,275</w:t>
            </w:r>
          </w:p>
        </w:tc>
        <w:tc>
          <w:tcPr>
            <w:tcW w:w="794" w:type="dxa"/>
            <w:tcBorders>
              <w:top w:val="nil"/>
              <w:left w:val="nil"/>
              <w:bottom w:val="single" w:sz="4" w:space="0" w:color="auto"/>
              <w:right w:val="single" w:sz="4" w:space="0" w:color="auto"/>
            </w:tcBorders>
            <w:shd w:val="clear" w:color="auto" w:fill="auto"/>
            <w:noWrap/>
            <w:vAlign w:val="bottom"/>
            <w:hideMark/>
          </w:tcPr>
          <w:p w14:paraId="287D0DE2"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259</w:t>
            </w:r>
          </w:p>
        </w:tc>
      </w:tr>
      <w:tr w:rsidR="009D3C00" w:rsidRPr="002F5AB8" w14:paraId="6A5E3252" w14:textId="77777777" w:rsidTr="009D3C00">
        <w:trPr>
          <w:trHeight w:val="540"/>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379D92F0"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Proiecte cu finanțare din sumele reprezentând asistență financiară nerambursabilă PNRR</w:t>
            </w:r>
          </w:p>
        </w:tc>
        <w:tc>
          <w:tcPr>
            <w:tcW w:w="551" w:type="dxa"/>
            <w:tcBorders>
              <w:top w:val="nil"/>
              <w:left w:val="nil"/>
              <w:bottom w:val="single" w:sz="4" w:space="0" w:color="auto"/>
              <w:right w:val="single" w:sz="4" w:space="0" w:color="auto"/>
            </w:tcBorders>
            <w:shd w:val="clear" w:color="auto" w:fill="auto"/>
            <w:vAlign w:val="center"/>
            <w:hideMark/>
          </w:tcPr>
          <w:p w14:paraId="331ACBAB"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CA</w:t>
            </w:r>
          </w:p>
        </w:tc>
        <w:tc>
          <w:tcPr>
            <w:tcW w:w="866" w:type="dxa"/>
            <w:tcBorders>
              <w:top w:val="nil"/>
              <w:left w:val="nil"/>
              <w:bottom w:val="single" w:sz="4" w:space="0" w:color="auto"/>
              <w:right w:val="single" w:sz="4" w:space="0" w:color="auto"/>
            </w:tcBorders>
            <w:shd w:val="clear" w:color="auto" w:fill="auto"/>
            <w:noWrap/>
            <w:vAlign w:val="bottom"/>
            <w:hideMark/>
          </w:tcPr>
          <w:p w14:paraId="260427BB"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3,927</w:t>
            </w:r>
          </w:p>
        </w:tc>
        <w:tc>
          <w:tcPr>
            <w:tcW w:w="794" w:type="dxa"/>
            <w:tcBorders>
              <w:top w:val="nil"/>
              <w:left w:val="nil"/>
              <w:bottom w:val="single" w:sz="4" w:space="0" w:color="auto"/>
              <w:right w:val="single" w:sz="4" w:space="0" w:color="auto"/>
            </w:tcBorders>
            <w:shd w:val="clear" w:color="auto" w:fill="auto"/>
            <w:noWrap/>
            <w:vAlign w:val="bottom"/>
            <w:hideMark/>
          </w:tcPr>
          <w:p w14:paraId="0874E4CA"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798</w:t>
            </w:r>
          </w:p>
        </w:tc>
        <w:tc>
          <w:tcPr>
            <w:tcW w:w="866" w:type="dxa"/>
            <w:tcBorders>
              <w:top w:val="nil"/>
              <w:left w:val="nil"/>
              <w:bottom w:val="single" w:sz="4" w:space="0" w:color="auto"/>
              <w:right w:val="single" w:sz="4" w:space="0" w:color="auto"/>
            </w:tcBorders>
            <w:shd w:val="clear" w:color="auto" w:fill="auto"/>
            <w:noWrap/>
            <w:vAlign w:val="bottom"/>
            <w:hideMark/>
          </w:tcPr>
          <w:p w14:paraId="0779C12C"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3,927</w:t>
            </w:r>
          </w:p>
        </w:tc>
        <w:tc>
          <w:tcPr>
            <w:tcW w:w="794" w:type="dxa"/>
            <w:tcBorders>
              <w:top w:val="nil"/>
              <w:left w:val="nil"/>
              <w:bottom w:val="single" w:sz="4" w:space="0" w:color="auto"/>
              <w:right w:val="single" w:sz="4" w:space="0" w:color="auto"/>
            </w:tcBorders>
            <w:shd w:val="clear" w:color="auto" w:fill="auto"/>
            <w:noWrap/>
            <w:vAlign w:val="bottom"/>
            <w:hideMark/>
          </w:tcPr>
          <w:p w14:paraId="64F479C4"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798</w:t>
            </w:r>
          </w:p>
        </w:tc>
        <w:tc>
          <w:tcPr>
            <w:tcW w:w="766" w:type="dxa"/>
            <w:tcBorders>
              <w:top w:val="nil"/>
              <w:left w:val="nil"/>
              <w:bottom w:val="single" w:sz="4" w:space="0" w:color="auto"/>
              <w:right w:val="single" w:sz="4" w:space="0" w:color="auto"/>
            </w:tcBorders>
            <w:shd w:val="clear" w:color="auto" w:fill="auto"/>
            <w:noWrap/>
            <w:vAlign w:val="bottom"/>
            <w:hideMark/>
          </w:tcPr>
          <w:p w14:paraId="11F04AAB"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 </w:t>
            </w:r>
          </w:p>
        </w:tc>
        <w:tc>
          <w:tcPr>
            <w:tcW w:w="794" w:type="dxa"/>
            <w:tcBorders>
              <w:top w:val="nil"/>
              <w:left w:val="nil"/>
              <w:bottom w:val="single" w:sz="4" w:space="0" w:color="auto"/>
              <w:right w:val="single" w:sz="4" w:space="0" w:color="auto"/>
            </w:tcBorders>
            <w:shd w:val="clear" w:color="auto" w:fill="auto"/>
            <w:noWrap/>
            <w:vAlign w:val="bottom"/>
            <w:hideMark/>
          </w:tcPr>
          <w:p w14:paraId="4A6D3C44"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66" w:type="dxa"/>
            <w:tcBorders>
              <w:top w:val="nil"/>
              <w:left w:val="nil"/>
              <w:bottom w:val="single" w:sz="4" w:space="0" w:color="auto"/>
              <w:right w:val="single" w:sz="4" w:space="0" w:color="auto"/>
            </w:tcBorders>
            <w:shd w:val="clear" w:color="auto" w:fill="auto"/>
            <w:noWrap/>
            <w:vAlign w:val="bottom"/>
            <w:hideMark/>
          </w:tcPr>
          <w:p w14:paraId="5BADD4BE"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854" w:type="dxa"/>
            <w:tcBorders>
              <w:top w:val="nil"/>
              <w:left w:val="nil"/>
              <w:bottom w:val="single" w:sz="4" w:space="0" w:color="auto"/>
              <w:right w:val="single" w:sz="4" w:space="0" w:color="auto"/>
            </w:tcBorders>
            <w:shd w:val="clear" w:color="auto" w:fill="auto"/>
            <w:noWrap/>
            <w:vAlign w:val="bottom"/>
            <w:hideMark/>
          </w:tcPr>
          <w:p w14:paraId="36C76746"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66" w:type="dxa"/>
            <w:tcBorders>
              <w:top w:val="nil"/>
              <w:left w:val="nil"/>
              <w:bottom w:val="single" w:sz="4" w:space="0" w:color="auto"/>
              <w:right w:val="single" w:sz="4" w:space="0" w:color="auto"/>
            </w:tcBorders>
            <w:shd w:val="clear" w:color="auto" w:fill="auto"/>
            <w:noWrap/>
            <w:vAlign w:val="bottom"/>
            <w:hideMark/>
          </w:tcPr>
          <w:p w14:paraId="1AD1B1A3"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94" w:type="dxa"/>
            <w:tcBorders>
              <w:top w:val="nil"/>
              <w:left w:val="nil"/>
              <w:bottom w:val="single" w:sz="4" w:space="0" w:color="auto"/>
              <w:right w:val="single" w:sz="4" w:space="0" w:color="auto"/>
            </w:tcBorders>
            <w:shd w:val="clear" w:color="auto" w:fill="auto"/>
            <w:noWrap/>
            <w:vAlign w:val="bottom"/>
            <w:hideMark/>
          </w:tcPr>
          <w:p w14:paraId="79987F72"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r>
      <w:tr w:rsidR="009D3C00" w:rsidRPr="002F5AB8" w14:paraId="4B8547F6" w14:textId="77777777" w:rsidTr="009D3C00">
        <w:trPr>
          <w:trHeight w:val="525"/>
          <w:jc w:val="center"/>
        </w:trPr>
        <w:tc>
          <w:tcPr>
            <w:tcW w:w="1838" w:type="dxa"/>
            <w:vMerge/>
            <w:tcBorders>
              <w:top w:val="nil"/>
              <w:left w:val="single" w:sz="4" w:space="0" w:color="auto"/>
              <w:bottom w:val="single" w:sz="4" w:space="0" w:color="000000"/>
              <w:right w:val="single" w:sz="4" w:space="0" w:color="auto"/>
            </w:tcBorders>
            <w:vAlign w:val="center"/>
            <w:hideMark/>
          </w:tcPr>
          <w:p w14:paraId="3ABD6202" w14:textId="77777777" w:rsidR="009D3C00" w:rsidRPr="002F5AB8" w:rsidRDefault="009D3C00" w:rsidP="00612067">
            <w:pPr>
              <w:keepNext/>
              <w:keepLines/>
              <w:rPr>
                <w:rFonts w:ascii="Times New Roman" w:hAnsi="Times New Roman"/>
                <w:color w:val="000000"/>
                <w:sz w:val="20"/>
                <w:lang w:eastAsia="ro-RO"/>
              </w:rPr>
            </w:pPr>
          </w:p>
        </w:tc>
        <w:tc>
          <w:tcPr>
            <w:tcW w:w="551" w:type="dxa"/>
            <w:tcBorders>
              <w:top w:val="nil"/>
              <w:left w:val="nil"/>
              <w:bottom w:val="single" w:sz="4" w:space="0" w:color="auto"/>
              <w:right w:val="single" w:sz="4" w:space="0" w:color="auto"/>
            </w:tcBorders>
            <w:shd w:val="clear" w:color="auto" w:fill="auto"/>
            <w:vAlign w:val="center"/>
            <w:hideMark/>
          </w:tcPr>
          <w:p w14:paraId="0E65C7FD"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CB</w:t>
            </w:r>
          </w:p>
        </w:tc>
        <w:tc>
          <w:tcPr>
            <w:tcW w:w="866" w:type="dxa"/>
            <w:tcBorders>
              <w:top w:val="nil"/>
              <w:left w:val="nil"/>
              <w:bottom w:val="single" w:sz="4" w:space="0" w:color="auto"/>
              <w:right w:val="single" w:sz="4" w:space="0" w:color="auto"/>
            </w:tcBorders>
            <w:shd w:val="clear" w:color="auto" w:fill="auto"/>
            <w:noWrap/>
            <w:vAlign w:val="bottom"/>
            <w:hideMark/>
          </w:tcPr>
          <w:p w14:paraId="71B5DF8B"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1,949</w:t>
            </w:r>
          </w:p>
        </w:tc>
        <w:tc>
          <w:tcPr>
            <w:tcW w:w="794" w:type="dxa"/>
            <w:tcBorders>
              <w:top w:val="nil"/>
              <w:left w:val="nil"/>
              <w:bottom w:val="single" w:sz="4" w:space="0" w:color="auto"/>
              <w:right w:val="single" w:sz="4" w:space="0" w:color="auto"/>
            </w:tcBorders>
            <w:shd w:val="clear" w:color="auto" w:fill="auto"/>
            <w:noWrap/>
            <w:vAlign w:val="bottom"/>
            <w:hideMark/>
          </w:tcPr>
          <w:p w14:paraId="694DBEE5"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396</w:t>
            </w:r>
          </w:p>
        </w:tc>
        <w:tc>
          <w:tcPr>
            <w:tcW w:w="866" w:type="dxa"/>
            <w:tcBorders>
              <w:top w:val="nil"/>
              <w:left w:val="nil"/>
              <w:bottom w:val="single" w:sz="4" w:space="0" w:color="auto"/>
              <w:right w:val="single" w:sz="4" w:space="0" w:color="auto"/>
            </w:tcBorders>
            <w:shd w:val="clear" w:color="auto" w:fill="auto"/>
            <w:noWrap/>
            <w:vAlign w:val="bottom"/>
            <w:hideMark/>
          </w:tcPr>
          <w:p w14:paraId="66A14A81"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1,949</w:t>
            </w:r>
          </w:p>
        </w:tc>
        <w:tc>
          <w:tcPr>
            <w:tcW w:w="794" w:type="dxa"/>
            <w:tcBorders>
              <w:top w:val="nil"/>
              <w:left w:val="nil"/>
              <w:bottom w:val="single" w:sz="4" w:space="0" w:color="auto"/>
              <w:right w:val="single" w:sz="4" w:space="0" w:color="auto"/>
            </w:tcBorders>
            <w:shd w:val="clear" w:color="auto" w:fill="auto"/>
            <w:noWrap/>
            <w:vAlign w:val="bottom"/>
            <w:hideMark/>
          </w:tcPr>
          <w:p w14:paraId="54B4259B"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396</w:t>
            </w:r>
          </w:p>
        </w:tc>
        <w:tc>
          <w:tcPr>
            <w:tcW w:w="766" w:type="dxa"/>
            <w:tcBorders>
              <w:top w:val="nil"/>
              <w:left w:val="nil"/>
              <w:bottom w:val="single" w:sz="4" w:space="0" w:color="auto"/>
              <w:right w:val="single" w:sz="4" w:space="0" w:color="auto"/>
            </w:tcBorders>
            <w:shd w:val="clear" w:color="auto" w:fill="auto"/>
            <w:noWrap/>
            <w:vAlign w:val="bottom"/>
            <w:hideMark/>
          </w:tcPr>
          <w:p w14:paraId="1E1396FC"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 </w:t>
            </w:r>
          </w:p>
        </w:tc>
        <w:tc>
          <w:tcPr>
            <w:tcW w:w="794" w:type="dxa"/>
            <w:tcBorders>
              <w:top w:val="nil"/>
              <w:left w:val="nil"/>
              <w:bottom w:val="single" w:sz="4" w:space="0" w:color="auto"/>
              <w:right w:val="single" w:sz="4" w:space="0" w:color="auto"/>
            </w:tcBorders>
            <w:shd w:val="clear" w:color="auto" w:fill="auto"/>
            <w:noWrap/>
            <w:vAlign w:val="bottom"/>
            <w:hideMark/>
          </w:tcPr>
          <w:p w14:paraId="7093F5B2"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66" w:type="dxa"/>
            <w:tcBorders>
              <w:top w:val="nil"/>
              <w:left w:val="nil"/>
              <w:bottom w:val="single" w:sz="4" w:space="0" w:color="auto"/>
              <w:right w:val="single" w:sz="4" w:space="0" w:color="auto"/>
            </w:tcBorders>
            <w:shd w:val="clear" w:color="auto" w:fill="auto"/>
            <w:noWrap/>
            <w:vAlign w:val="bottom"/>
            <w:hideMark/>
          </w:tcPr>
          <w:p w14:paraId="774597AF"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854" w:type="dxa"/>
            <w:tcBorders>
              <w:top w:val="nil"/>
              <w:left w:val="nil"/>
              <w:bottom w:val="single" w:sz="4" w:space="0" w:color="auto"/>
              <w:right w:val="single" w:sz="4" w:space="0" w:color="auto"/>
            </w:tcBorders>
            <w:shd w:val="clear" w:color="auto" w:fill="auto"/>
            <w:noWrap/>
            <w:vAlign w:val="bottom"/>
            <w:hideMark/>
          </w:tcPr>
          <w:p w14:paraId="43D915AD"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66" w:type="dxa"/>
            <w:tcBorders>
              <w:top w:val="nil"/>
              <w:left w:val="nil"/>
              <w:bottom w:val="single" w:sz="4" w:space="0" w:color="auto"/>
              <w:right w:val="single" w:sz="4" w:space="0" w:color="auto"/>
            </w:tcBorders>
            <w:shd w:val="clear" w:color="auto" w:fill="auto"/>
            <w:noWrap/>
            <w:vAlign w:val="bottom"/>
            <w:hideMark/>
          </w:tcPr>
          <w:p w14:paraId="7A21667C"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c>
          <w:tcPr>
            <w:tcW w:w="794" w:type="dxa"/>
            <w:tcBorders>
              <w:top w:val="nil"/>
              <w:left w:val="nil"/>
              <w:bottom w:val="single" w:sz="4" w:space="0" w:color="auto"/>
              <w:right w:val="single" w:sz="4" w:space="0" w:color="auto"/>
            </w:tcBorders>
            <w:shd w:val="clear" w:color="auto" w:fill="auto"/>
            <w:noWrap/>
            <w:vAlign w:val="bottom"/>
            <w:hideMark/>
          </w:tcPr>
          <w:p w14:paraId="6E659EAD"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0</w:t>
            </w:r>
          </w:p>
        </w:tc>
      </w:tr>
      <w:tr w:rsidR="009D3C00" w:rsidRPr="002F5AB8" w14:paraId="2DA7C496" w14:textId="77777777" w:rsidTr="009D3C00">
        <w:trPr>
          <w:trHeight w:val="300"/>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53267E9C"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Cheltuieli de capital</w:t>
            </w:r>
          </w:p>
        </w:tc>
        <w:tc>
          <w:tcPr>
            <w:tcW w:w="551" w:type="dxa"/>
            <w:tcBorders>
              <w:top w:val="nil"/>
              <w:left w:val="nil"/>
              <w:bottom w:val="single" w:sz="4" w:space="0" w:color="auto"/>
              <w:right w:val="single" w:sz="4" w:space="0" w:color="auto"/>
            </w:tcBorders>
            <w:shd w:val="clear" w:color="auto" w:fill="auto"/>
            <w:vAlign w:val="center"/>
            <w:hideMark/>
          </w:tcPr>
          <w:p w14:paraId="06D40323"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CA</w:t>
            </w:r>
          </w:p>
        </w:tc>
        <w:tc>
          <w:tcPr>
            <w:tcW w:w="866" w:type="dxa"/>
            <w:tcBorders>
              <w:top w:val="nil"/>
              <w:left w:val="nil"/>
              <w:bottom w:val="single" w:sz="4" w:space="0" w:color="auto"/>
              <w:right w:val="single" w:sz="4" w:space="0" w:color="auto"/>
            </w:tcBorders>
            <w:shd w:val="clear" w:color="auto" w:fill="auto"/>
            <w:noWrap/>
            <w:vAlign w:val="bottom"/>
            <w:hideMark/>
          </w:tcPr>
          <w:p w14:paraId="0E890EBD"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529</w:t>
            </w:r>
          </w:p>
        </w:tc>
        <w:tc>
          <w:tcPr>
            <w:tcW w:w="794" w:type="dxa"/>
            <w:tcBorders>
              <w:top w:val="nil"/>
              <w:left w:val="nil"/>
              <w:bottom w:val="single" w:sz="4" w:space="0" w:color="auto"/>
              <w:right w:val="single" w:sz="4" w:space="0" w:color="auto"/>
            </w:tcBorders>
            <w:shd w:val="clear" w:color="auto" w:fill="auto"/>
            <w:noWrap/>
            <w:vAlign w:val="bottom"/>
            <w:hideMark/>
          </w:tcPr>
          <w:p w14:paraId="3B0724E7"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39</w:t>
            </w:r>
          </w:p>
        </w:tc>
        <w:tc>
          <w:tcPr>
            <w:tcW w:w="866" w:type="dxa"/>
            <w:tcBorders>
              <w:top w:val="nil"/>
              <w:left w:val="nil"/>
              <w:bottom w:val="single" w:sz="4" w:space="0" w:color="auto"/>
              <w:right w:val="single" w:sz="4" w:space="0" w:color="auto"/>
            </w:tcBorders>
            <w:shd w:val="clear" w:color="auto" w:fill="auto"/>
            <w:noWrap/>
            <w:vAlign w:val="bottom"/>
            <w:hideMark/>
          </w:tcPr>
          <w:p w14:paraId="1C1F8D42"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130</w:t>
            </w:r>
          </w:p>
        </w:tc>
        <w:tc>
          <w:tcPr>
            <w:tcW w:w="794" w:type="dxa"/>
            <w:tcBorders>
              <w:top w:val="nil"/>
              <w:left w:val="nil"/>
              <w:bottom w:val="single" w:sz="4" w:space="0" w:color="auto"/>
              <w:right w:val="single" w:sz="4" w:space="0" w:color="auto"/>
            </w:tcBorders>
            <w:shd w:val="clear" w:color="auto" w:fill="auto"/>
            <w:noWrap/>
            <w:vAlign w:val="bottom"/>
            <w:hideMark/>
          </w:tcPr>
          <w:p w14:paraId="017AE091"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26</w:t>
            </w:r>
          </w:p>
        </w:tc>
        <w:tc>
          <w:tcPr>
            <w:tcW w:w="766" w:type="dxa"/>
            <w:tcBorders>
              <w:top w:val="nil"/>
              <w:left w:val="nil"/>
              <w:bottom w:val="single" w:sz="4" w:space="0" w:color="auto"/>
              <w:right w:val="single" w:sz="4" w:space="0" w:color="auto"/>
            </w:tcBorders>
            <w:shd w:val="clear" w:color="auto" w:fill="auto"/>
            <w:noWrap/>
            <w:vAlign w:val="bottom"/>
            <w:hideMark/>
          </w:tcPr>
          <w:p w14:paraId="6205C801"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335</w:t>
            </w:r>
          </w:p>
        </w:tc>
        <w:tc>
          <w:tcPr>
            <w:tcW w:w="794" w:type="dxa"/>
            <w:tcBorders>
              <w:top w:val="nil"/>
              <w:left w:val="nil"/>
              <w:bottom w:val="single" w:sz="4" w:space="0" w:color="auto"/>
              <w:right w:val="single" w:sz="4" w:space="0" w:color="auto"/>
            </w:tcBorders>
            <w:shd w:val="clear" w:color="auto" w:fill="auto"/>
            <w:noWrap/>
            <w:vAlign w:val="bottom"/>
            <w:hideMark/>
          </w:tcPr>
          <w:p w14:paraId="12D6CA73"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68</w:t>
            </w:r>
          </w:p>
        </w:tc>
        <w:tc>
          <w:tcPr>
            <w:tcW w:w="766" w:type="dxa"/>
            <w:tcBorders>
              <w:top w:val="nil"/>
              <w:left w:val="nil"/>
              <w:bottom w:val="single" w:sz="4" w:space="0" w:color="auto"/>
              <w:right w:val="single" w:sz="4" w:space="0" w:color="auto"/>
            </w:tcBorders>
            <w:shd w:val="clear" w:color="auto" w:fill="auto"/>
            <w:noWrap/>
            <w:vAlign w:val="bottom"/>
            <w:hideMark/>
          </w:tcPr>
          <w:p w14:paraId="552154EC"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19</w:t>
            </w:r>
          </w:p>
        </w:tc>
        <w:tc>
          <w:tcPr>
            <w:tcW w:w="854" w:type="dxa"/>
            <w:tcBorders>
              <w:top w:val="nil"/>
              <w:left w:val="nil"/>
              <w:bottom w:val="single" w:sz="4" w:space="0" w:color="auto"/>
              <w:right w:val="single" w:sz="4" w:space="0" w:color="auto"/>
            </w:tcBorders>
            <w:shd w:val="clear" w:color="auto" w:fill="auto"/>
            <w:noWrap/>
            <w:vAlign w:val="bottom"/>
            <w:hideMark/>
          </w:tcPr>
          <w:p w14:paraId="7AC3D5F2"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4</w:t>
            </w:r>
          </w:p>
        </w:tc>
        <w:tc>
          <w:tcPr>
            <w:tcW w:w="766" w:type="dxa"/>
            <w:tcBorders>
              <w:top w:val="nil"/>
              <w:left w:val="nil"/>
              <w:bottom w:val="single" w:sz="4" w:space="0" w:color="auto"/>
              <w:right w:val="single" w:sz="4" w:space="0" w:color="auto"/>
            </w:tcBorders>
            <w:shd w:val="clear" w:color="auto" w:fill="auto"/>
            <w:noWrap/>
            <w:vAlign w:val="bottom"/>
            <w:hideMark/>
          </w:tcPr>
          <w:p w14:paraId="45F39A8D"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45</w:t>
            </w:r>
          </w:p>
        </w:tc>
        <w:tc>
          <w:tcPr>
            <w:tcW w:w="794" w:type="dxa"/>
            <w:tcBorders>
              <w:top w:val="nil"/>
              <w:left w:val="nil"/>
              <w:bottom w:val="single" w:sz="4" w:space="0" w:color="auto"/>
              <w:right w:val="single" w:sz="4" w:space="0" w:color="auto"/>
            </w:tcBorders>
            <w:shd w:val="clear" w:color="auto" w:fill="auto"/>
            <w:noWrap/>
            <w:vAlign w:val="bottom"/>
            <w:hideMark/>
          </w:tcPr>
          <w:p w14:paraId="2D7CF3F5"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9</w:t>
            </w:r>
          </w:p>
        </w:tc>
      </w:tr>
      <w:tr w:rsidR="009D3C00" w:rsidRPr="002F5AB8" w14:paraId="69B3F9E5" w14:textId="77777777" w:rsidTr="009D3C00">
        <w:trPr>
          <w:trHeight w:val="300"/>
          <w:jc w:val="center"/>
        </w:trPr>
        <w:tc>
          <w:tcPr>
            <w:tcW w:w="1838" w:type="dxa"/>
            <w:vMerge/>
            <w:tcBorders>
              <w:top w:val="nil"/>
              <w:left w:val="single" w:sz="4" w:space="0" w:color="auto"/>
              <w:bottom w:val="single" w:sz="4" w:space="0" w:color="000000"/>
              <w:right w:val="single" w:sz="4" w:space="0" w:color="auto"/>
            </w:tcBorders>
            <w:vAlign w:val="center"/>
            <w:hideMark/>
          </w:tcPr>
          <w:p w14:paraId="182D8C61" w14:textId="77777777" w:rsidR="009D3C00" w:rsidRPr="002F5AB8" w:rsidRDefault="009D3C00" w:rsidP="00612067">
            <w:pPr>
              <w:keepNext/>
              <w:keepLines/>
              <w:rPr>
                <w:rFonts w:ascii="Times New Roman" w:hAnsi="Times New Roman"/>
                <w:color w:val="000000"/>
                <w:sz w:val="20"/>
                <w:lang w:eastAsia="ro-RO"/>
              </w:rPr>
            </w:pPr>
          </w:p>
        </w:tc>
        <w:tc>
          <w:tcPr>
            <w:tcW w:w="551" w:type="dxa"/>
            <w:tcBorders>
              <w:top w:val="nil"/>
              <w:left w:val="nil"/>
              <w:bottom w:val="single" w:sz="4" w:space="0" w:color="auto"/>
              <w:right w:val="single" w:sz="4" w:space="0" w:color="auto"/>
            </w:tcBorders>
            <w:shd w:val="clear" w:color="auto" w:fill="auto"/>
            <w:noWrap/>
            <w:vAlign w:val="bottom"/>
            <w:hideMark/>
          </w:tcPr>
          <w:p w14:paraId="266F2F92" w14:textId="77777777" w:rsidR="009D3C00" w:rsidRPr="002F5AB8" w:rsidRDefault="009D3C00" w:rsidP="00612067">
            <w:pPr>
              <w:keepNext/>
              <w:keepLines/>
              <w:rPr>
                <w:rFonts w:ascii="Times New Roman" w:hAnsi="Times New Roman"/>
                <w:color w:val="000000"/>
                <w:sz w:val="20"/>
                <w:lang w:eastAsia="ro-RO"/>
              </w:rPr>
            </w:pPr>
            <w:r w:rsidRPr="002F5AB8">
              <w:rPr>
                <w:rFonts w:ascii="Times New Roman" w:hAnsi="Times New Roman"/>
                <w:color w:val="000000"/>
                <w:sz w:val="20"/>
                <w:lang w:eastAsia="ro-RO"/>
              </w:rPr>
              <w:t>CB</w:t>
            </w:r>
          </w:p>
        </w:tc>
        <w:tc>
          <w:tcPr>
            <w:tcW w:w="866" w:type="dxa"/>
            <w:tcBorders>
              <w:top w:val="nil"/>
              <w:left w:val="nil"/>
              <w:bottom w:val="single" w:sz="4" w:space="0" w:color="auto"/>
              <w:right w:val="single" w:sz="4" w:space="0" w:color="auto"/>
            </w:tcBorders>
            <w:shd w:val="clear" w:color="auto" w:fill="auto"/>
            <w:noWrap/>
            <w:vAlign w:val="bottom"/>
            <w:hideMark/>
          </w:tcPr>
          <w:p w14:paraId="1280AEB6"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529</w:t>
            </w:r>
          </w:p>
        </w:tc>
        <w:tc>
          <w:tcPr>
            <w:tcW w:w="794" w:type="dxa"/>
            <w:tcBorders>
              <w:top w:val="nil"/>
              <w:left w:val="nil"/>
              <w:bottom w:val="single" w:sz="4" w:space="0" w:color="auto"/>
              <w:right w:val="single" w:sz="4" w:space="0" w:color="auto"/>
            </w:tcBorders>
            <w:shd w:val="clear" w:color="auto" w:fill="auto"/>
            <w:noWrap/>
            <w:vAlign w:val="bottom"/>
            <w:hideMark/>
          </w:tcPr>
          <w:p w14:paraId="6DBB3835"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39</w:t>
            </w:r>
          </w:p>
        </w:tc>
        <w:tc>
          <w:tcPr>
            <w:tcW w:w="866" w:type="dxa"/>
            <w:tcBorders>
              <w:top w:val="nil"/>
              <w:left w:val="nil"/>
              <w:bottom w:val="single" w:sz="4" w:space="0" w:color="auto"/>
              <w:right w:val="single" w:sz="4" w:space="0" w:color="auto"/>
            </w:tcBorders>
            <w:shd w:val="clear" w:color="auto" w:fill="auto"/>
            <w:noWrap/>
            <w:vAlign w:val="bottom"/>
            <w:hideMark/>
          </w:tcPr>
          <w:p w14:paraId="42683D05"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130</w:t>
            </w:r>
          </w:p>
        </w:tc>
        <w:tc>
          <w:tcPr>
            <w:tcW w:w="794" w:type="dxa"/>
            <w:tcBorders>
              <w:top w:val="nil"/>
              <w:left w:val="nil"/>
              <w:bottom w:val="single" w:sz="4" w:space="0" w:color="auto"/>
              <w:right w:val="single" w:sz="4" w:space="0" w:color="auto"/>
            </w:tcBorders>
            <w:shd w:val="clear" w:color="auto" w:fill="auto"/>
            <w:noWrap/>
            <w:vAlign w:val="bottom"/>
            <w:hideMark/>
          </w:tcPr>
          <w:p w14:paraId="33F9B4B8"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26</w:t>
            </w:r>
          </w:p>
        </w:tc>
        <w:tc>
          <w:tcPr>
            <w:tcW w:w="766" w:type="dxa"/>
            <w:tcBorders>
              <w:top w:val="nil"/>
              <w:left w:val="nil"/>
              <w:bottom w:val="single" w:sz="4" w:space="0" w:color="auto"/>
              <w:right w:val="single" w:sz="4" w:space="0" w:color="auto"/>
            </w:tcBorders>
            <w:shd w:val="clear" w:color="auto" w:fill="auto"/>
            <w:noWrap/>
            <w:vAlign w:val="bottom"/>
            <w:hideMark/>
          </w:tcPr>
          <w:p w14:paraId="0D96D0C3"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335</w:t>
            </w:r>
          </w:p>
        </w:tc>
        <w:tc>
          <w:tcPr>
            <w:tcW w:w="794" w:type="dxa"/>
            <w:tcBorders>
              <w:top w:val="nil"/>
              <w:left w:val="nil"/>
              <w:bottom w:val="single" w:sz="4" w:space="0" w:color="auto"/>
              <w:right w:val="single" w:sz="4" w:space="0" w:color="auto"/>
            </w:tcBorders>
            <w:shd w:val="clear" w:color="auto" w:fill="auto"/>
            <w:noWrap/>
            <w:vAlign w:val="bottom"/>
            <w:hideMark/>
          </w:tcPr>
          <w:p w14:paraId="6DD37B1D"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68</w:t>
            </w:r>
          </w:p>
        </w:tc>
        <w:tc>
          <w:tcPr>
            <w:tcW w:w="766" w:type="dxa"/>
            <w:tcBorders>
              <w:top w:val="nil"/>
              <w:left w:val="nil"/>
              <w:bottom w:val="single" w:sz="4" w:space="0" w:color="auto"/>
              <w:right w:val="single" w:sz="4" w:space="0" w:color="auto"/>
            </w:tcBorders>
            <w:shd w:val="clear" w:color="auto" w:fill="auto"/>
            <w:noWrap/>
            <w:vAlign w:val="bottom"/>
            <w:hideMark/>
          </w:tcPr>
          <w:p w14:paraId="6527032A"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19</w:t>
            </w:r>
          </w:p>
        </w:tc>
        <w:tc>
          <w:tcPr>
            <w:tcW w:w="854" w:type="dxa"/>
            <w:tcBorders>
              <w:top w:val="nil"/>
              <w:left w:val="nil"/>
              <w:bottom w:val="single" w:sz="4" w:space="0" w:color="auto"/>
              <w:right w:val="single" w:sz="4" w:space="0" w:color="auto"/>
            </w:tcBorders>
            <w:shd w:val="clear" w:color="auto" w:fill="auto"/>
            <w:noWrap/>
            <w:vAlign w:val="bottom"/>
            <w:hideMark/>
          </w:tcPr>
          <w:p w14:paraId="24B1575F"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4</w:t>
            </w:r>
          </w:p>
        </w:tc>
        <w:tc>
          <w:tcPr>
            <w:tcW w:w="766" w:type="dxa"/>
            <w:tcBorders>
              <w:top w:val="nil"/>
              <w:left w:val="nil"/>
              <w:bottom w:val="single" w:sz="4" w:space="0" w:color="auto"/>
              <w:right w:val="single" w:sz="4" w:space="0" w:color="auto"/>
            </w:tcBorders>
            <w:shd w:val="clear" w:color="auto" w:fill="auto"/>
            <w:noWrap/>
            <w:vAlign w:val="bottom"/>
            <w:hideMark/>
          </w:tcPr>
          <w:p w14:paraId="4271ADAE"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45</w:t>
            </w:r>
          </w:p>
        </w:tc>
        <w:tc>
          <w:tcPr>
            <w:tcW w:w="794" w:type="dxa"/>
            <w:tcBorders>
              <w:top w:val="nil"/>
              <w:left w:val="nil"/>
              <w:bottom w:val="single" w:sz="4" w:space="0" w:color="auto"/>
              <w:right w:val="single" w:sz="4" w:space="0" w:color="auto"/>
            </w:tcBorders>
            <w:shd w:val="clear" w:color="auto" w:fill="auto"/>
            <w:noWrap/>
            <w:vAlign w:val="bottom"/>
            <w:hideMark/>
          </w:tcPr>
          <w:p w14:paraId="1E20C1B5" w14:textId="77777777" w:rsidR="009D3C00" w:rsidRPr="002F5AB8" w:rsidRDefault="009D3C00" w:rsidP="00612067">
            <w:pPr>
              <w:keepNext/>
              <w:keepLines/>
              <w:jc w:val="right"/>
              <w:rPr>
                <w:rFonts w:ascii="Times New Roman" w:hAnsi="Times New Roman"/>
                <w:color w:val="000000"/>
                <w:sz w:val="20"/>
                <w:lang w:eastAsia="ro-RO"/>
              </w:rPr>
            </w:pPr>
            <w:r w:rsidRPr="002F5AB8">
              <w:rPr>
                <w:rFonts w:ascii="Times New Roman" w:hAnsi="Times New Roman"/>
                <w:color w:val="000000"/>
                <w:sz w:val="20"/>
                <w:lang w:eastAsia="ro-RO"/>
              </w:rPr>
              <w:t>9</w:t>
            </w:r>
          </w:p>
        </w:tc>
      </w:tr>
    </w:tbl>
    <w:p w14:paraId="423AA4AD" w14:textId="799FD63A" w:rsidR="009D3C00" w:rsidRPr="009D3C00" w:rsidRDefault="00895FF8" w:rsidP="009D3C00">
      <w:pPr>
        <w:spacing w:line="276" w:lineRule="auto"/>
        <w:jc w:val="right"/>
        <w:rPr>
          <w:rFonts w:asciiTheme="minorHAnsi" w:eastAsia="SimSun" w:hAnsiTheme="minorHAnsi" w:cstheme="minorHAnsi"/>
          <w:b/>
          <w:bCs/>
          <w:sz w:val="26"/>
          <w:szCs w:val="26"/>
          <w:lang w:eastAsia="zh-CN"/>
        </w:rPr>
      </w:pP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t xml:space="preserve">         </w:t>
      </w: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t xml:space="preserve">  </w:t>
      </w:r>
      <w:r w:rsidR="00E933A9">
        <w:rPr>
          <w:rFonts w:asciiTheme="minorHAnsi" w:eastAsia="SimSun" w:hAnsiTheme="minorHAnsi" w:cstheme="minorHAnsi"/>
          <w:b/>
          <w:bCs/>
          <w:sz w:val="26"/>
          <w:szCs w:val="26"/>
          <w:lang w:eastAsia="zh-CN"/>
        </w:rPr>
        <w:t>m</w:t>
      </w:r>
      <w:r w:rsidRPr="004A72CD">
        <w:rPr>
          <w:rFonts w:asciiTheme="minorHAnsi" w:eastAsia="SimSun" w:hAnsiTheme="minorHAnsi" w:cstheme="minorHAnsi"/>
          <w:b/>
          <w:bCs/>
          <w:sz w:val="26"/>
          <w:szCs w:val="26"/>
          <w:lang w:eastAsia="zh-CN"/>
        </w:rPr>
        <w:t>ii</w:t>
      </w:r>
      <w:r w:rsidR="00E933A9">
        <w:rPr>
          <w:rFonts w:asciiTheme="minorHAnsi" w:eastAsia="SimSun" w:hAnsiTheme="minorHAnsi" w:cstheme="minorHAnsi"/>
          <w:b/>
          <w:bCs/>
          <w:sz w:val="26"/>
          <w:szCs w:val="26"/>
          <w:lang w:eastAsia="zh-CN"/>
        </w:rPr>
        <w:t xml:space="preserve"> </w:t>
      </w:r>
      <w:r w:rsidRPr="004A72CD">
        <w:rPr>
          <w:rFonts w:asciiTheme="minorHAnsi" w:eastAsia="SimSun" w:hAnsiTheme="minorHAnsi" w:cstheme="minorHAnsi"/>
          <w:b/>
          <w:bCs/>
          <w:sz w:val="26"/>
          <w:szCs w:val="26"/>
          <w:lang w:eastAsia="zh-CN"/>
        </w:rPr>
        <w:t>lei/euro</w:t>
      </w:r>
    </w:p>
    <w:tbl>
      <w:tblPr>
        <w:tblW w:w="10589" w:type="dxa"/>
        <w:jc w:val="center"/>
        <w:tblLook w:val="04A0" w:firstRow="1" w:lastRow="0" w:firstColumn="1" w:lastColumn="0" w:noHBand="0" w:noVBand="1"/>
      </w:tblPr>
      <w:tblGrid>
        <w:gridCol w:w="1838"/>
        <w:gridCol w:w="506"/>
        <w:gridCol w:w="877"/>
        <w:gridCol w:w="853"/>
        <w:gridCol w:w="885"/>
        <w:gridCol w:w="799"/>
        <w:gridCol w:w="14"/>
        <w:gridCol w:w="759"/>
        <w:gridCol w:w="835"/>
        <w:gridCol w:w="992"/>
        <w:gridCol w:w="773"/>
        <w:gridCol w:w="12"/>
        <w:gridCol w:w="761"/>
        <w:gridCol w:w="679"/>
        <w:gridCol w:w="6"/>
      </w:tblGrid>
      <w:tr w:rsidR="009D3C00" w:rsidRPr="002F5AB8" w14:paraId="14C5ECC1" w14:textId="77777777" w:rsidTr="00E933A9">
        <w:trPr>
          <w:trHeight w:val="345"/>
          <w:jc w:val="center"/>
        </w:trPr>
        <w:tc>
          <w:tcPr>
            <w:tcW w:w="1838" w:type="dxa"/>
            <w:tcBorders>
              <w:top w:val="single" w:sz="4" w:space="0" w:color="auto"/>
              <w:left w:val="single" w:sz="4" w:space="0" w:color="auto"/>
              <w:bottom w:val="single" w:sz="4" w:space="0" w:color="auto"/>
              <w:right w:val="single" w:sz="4" w:space="0" w:color="auto"/>
            </w:tcBorders>
            <w:shd w:val="clear" w:color="000000" w:fill="DBDBDB"/>
            <w:vAlign w:val="center"/>
            <w:hideMark/>
          </w:tcPr>
          <w:p w14:paraId="5ECC4674" w14:textId="77777777" w:rsidR="009D3C00" w:rsidRPr="002F5AB8" w:rsidRDefault="009D3C00" w:rsidP="00612067">
            <w:pP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ANUL 2024</w:t>
            </w:r>
          </w:p>
        </w:tc>
        <w:tc>
          <w:tcPr>
            <w:tcW w:w="506" w:type="dxa"/>
            <w:tcBorders>
              <w:top w:val="single" w:sz="4" w:space="0" w:color="auto"/>
              <w:left w:val="nil"/>
              <w:bottom w:val="single" w:sz="4" w:space="0" w:color="auto"/>
              <w:right w:val="single" w:sz="4" w:space="0" w:color="auto"/>
            </w:tcBorders>
            <w:shd w:val="clear" w:color="000000" w:fill="D9D9D9"/>
            <w:vAlign w:val="center"/>
            <w:hideMark/>
          </w:tcPr>
          <w:p w14:paraId="5DB7C687" w14:textId="77777777" w:rsidR="009D3C00" w:rsidRPr="002F5AB8" w:rsidRDefault="009D3C00" w:rsidP="00612067">
            <w:pP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 </w:t>
            </w:r>
          </w:p>
        </w:tc>
        <w:tc>
          <w:tcPr>
            <w:tcW w:w="173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6E480294"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TOTAL</w:t>
            </w:r>
          </w:p>
        </w:tc>
        <w:tc>
          <w:tcPr>
            <w:tcW w:w="1698" w:type="dxa"/>
            <w:gridSpan w:val="3"/>
            <w:tcBorders>
              <w:top w:val="single" w:sz="4" w:space="0" w:color="auto"/>
              <w:left w:val="nil"/>
              <w:bottom w:val="single" w:sz="4" w:space="0" w:color="auto"/>
              <w:right w:val="single" w:sz="4" w:space="0" w:color="000000"/>
            </w:tcBorders>
            <w:shd w:val="clear" w:color="000000" w:fill="D9D9D9"/>
            <w:noWrap/>
            <w:vAlign w:val="center"/>
            <w:hideMark/>
          </w:tcPr>
          <w:p w14:paraId="5B97EA4A"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CSM APARAT PROPRIU</w:t>
            </w:r>
          </w:p>
        </w:tc>
        <w:tc>
          <w:tcPr>
            <w:tcW w:w="1594"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6E0402E7"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INSPECTIA JUDICIARA</w:t>
            </w:r>
          </w:p>
        </w:tc>
        <w:tc>
          <w:tcPr>
            <w:tcW w:w="1777" w:type="dxa"/>
            <w:gridSpan w:val="3"/>
            <w:tcBorders>
              <w:top w:val="single" w:sz="4" w:space="0" w:color="auto"/>
              <w:left w:val="nil"/>
              <w:bottom w:val="single" w:sz="4" w:space="0" w:color="auto"/>
              <w:right w:val="single" w:sz="4" w:space="0" w:color="000000"/>
            </w:tcBorders>
            <w:shd w:val="clear" w:color="000000" w:fill="D9D9D9"/>
            <w:noWrap/>
            <w:vAlign w:val="center"/>
            <w:hideMark/>
          </w:tcPr>
          <w:p w14:paraId="2AF058F2"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INM</w:t>
            </w:r>
          </w:p>
        </w:tc>
        <w:tc>
          <w:tcPr>
            <w:tcW w:w="1446" w:type="dxa"/>
            <w:gridSpan w:val="3"/>
            <w:tcBorders>
              <w:top w:val="single" w:sz="4" w:space="0" w:color="auto"/>
              <w:left w:val="nil"/>
              <w:bottom w:val="single" w:sz="4" w:space="0" w:color="auto"/>
              <w:right w:val="single" w:sz="4" w:space="0" w:color="000000"/>
            </w:tcBorders>
            <w:shd w:val="clear" w:color="000000" w:fill="D9D9D9"/>
            <w:noWrap/>
            <w:vAlign w:val="center"/>
            <w:hideMark/>
          </w:tcPr>
          <w:p w14:paraId="61910DA9"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SNG</w:t>
            </w:r>
          </w:p>
        </w:tc>
      </w:tr>
      <w:tr w:rsidR="009D3C00" w:rsidRPr="002F5AB8" w14:paraId="2C6F854E" w14:textId="77777777" w:rsidTr="00E933A9">
        <w:trPr>
          <w:gridAfter w:val="1"/>
          <w:wAfter w:w="6" w:type="dxa"/>
          <w:trHeight w:val="345"/>
          <w:jc w:val="center"/>
        </w:trPr>
        <w:tc>
          <w:tcPr>
            <w:tcW w:w="1838" w:type="dxa"/>
            <w:tcBorders>
              <w:top w:val="nil"/>
              <w:left w:val="single" w:sz="4" w:space="0" w:color="auto"/>
              <w:bottom w:val="single" w:sz="4" w:space="0" w:color="auto"/>
              <w:right w:val="single" w:sz="4" w:space="0" w:color="auto"/>
            </w:tcBorders>
            <w:shd w:val="clear" w:color="000000" w:fill="D9D9D9"/>
            <w:vAlign w:val="center"/>
            <w:hideMark/>
          </w:tcPr>
          <w:p w14:paraId="08187239" w14:textId="77777777" w:rsidR="009D3C00" w:rsidRPr="002F5AB8" w:rsidRDefault="009D3C00" w:rsidP="00612067">
            <w:pP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BUGET  CSM</w:t>
            </w:r>
          </w:p>
        </w:tc>
        <w:tc>
          <w:tcPr>
            <w:tcW w:w="506" w:type="dxa"/>
            <w:tcBorders>
              <w:top w:val="nil"/>
              <w:left w:val="nil"/>
              <w:bottom w:val="single" w:sz="4" w:space="0" w:color="auto"/>
              <w:right w:val="single" w:sz="4" w:space="0" w:color="auto"/>
            </w:tcBorders>
            <w:shd w:val="clear" w:color="000000" w:fill="D9D9D9"/>
            <w:vAlign w:val="bottom"/>
            <w:hideMark/>
          </w:tcPr>
          <w:p w14:paraId="2CE29A79"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 </w:t>
            </w:r>
          </w:p>
        </w:tc>
        <w:tc>
          <w:tcPr>
            <w:tcW w:w="877" w:type="dxa"/>
            <w:tcBorders>
              <w:top w:val="nil"/>
              <w:left w:val="nil"/>
              <w:bottom w:val="single" w:sz="4" w:space="0" w:color="auto"/>
              <w:right w:val="single" w:sz="4" w:space="0" w:color="auto"/>
            </w:tcBorders>
            <w:shd w:val="clear" w:color="000000" w:fill="D9D9D9"/>
            <w:noWrap/>
            <w:vAlign w:val="bottom"/>
            <w:hideMark/>
          </w:tcPr>
          <w:p w14:paraId="0C4CDC6B"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LEI</w:t>
            </w:r>
          </w:p>
        </w:tc>
        <w:tc>
          <w:tcPr>
            <w:tcW w:w="853" w:type="dxa"/>
            <w:tcBorders>
              <w:top w:val="nil"/>
              <w:left w:val="nil"/>
              <w:bottom w:val="single" w:sz="4" w:space="0" w:color="auto"/>
              <w:right w:val="single" w:sz="4" w:space="0" w:color="auto"/>
            </w:tcBorders>
            <w:shd w:val="clear" w:color="000000" w:fill="D9D9D9"/>
            <w:noWrap/>
            <w:vAlign w:val="bottom"/>
            <w:hideMark/>
          </w:tcPr>
          <w:p w14:paraId="7BB09AC8"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EURO</w:t>
            </w:r>
          </w:p>
        </w:tc>
        <w:tc>
          <w:tcPr>
            <w:tcW w:w="885" w:type="dxa"/>
            <w:tcBorders>
              <w:top w:val="nil"/>
              <w:left w:val="nil"/>
              <w:bottom w:val="single" w:sz="4" w:space="0" w:color="auto"/>
              <w:right w:val="single" w:sz="4" w:space="0" w:color="auto"/>
            </w:tcBorders>
            <w:shd w:val="clear" w:color="000000" w:fill="D9D9D9"/>
            <w:noWrap/>
            <w:vAlign w:val="bottom"/>
            <w:hideMark/>
          </w:tcPr>
          <w:p w14:paraId="412EE76A"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LEI</w:t>
            </w:r>
          </w:p>
        </w:tc>
        <w:tc>
          <w:tcPr>
            <w:tcW w:w="799" w:type="dxa"/>
            <w:tcBorders>
              <w:top w:val="nil"/>
              <w:left w:val="nil"/>
              <w:bottom w:val="single" w:sz="4" w:space="0" w:color="auto"/>
              <w:right w:val="single" w:sz="4" w:space="0" w:color="auto"/>
            </w:tcBorders>
            <w:shd w:val="clear" w:color="000000" w:fill="D9D9D9"/>
            <w:noWrap/>
            <w:vAlign w:val="bottom"/>
            <w:hideMark/>
          </w:tcPr>
          <w:p w14:paraId="3F70919E"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EURO</w:t>
            </w:r>
          </w:p>
        </w:tc>
        <w:tc>
          <w:tcPr>
            <w:tcW w:w="773" w:type="dxa"/>
            <w:gridSpan w:val="2"/>
            <w:tcBorders>
              <w:top w:val="nil"/>
              <w:left w:val="nil"/>
              <w:bottom w:val="single" w:sz="4" w:space="0" w:color="auto"/>
              <w:right w:val="single" w:sz="4" w:space="0" w:color="auto"/>
            </w:tcBorders>
            <w:shd w:val="clear" w:color="000000" w:fill="D9D9D9"/>
            <w:noWrap/>
            <w:vAlign w:val="bottom"/>
            <w:hideMark/>
          </w:tcPr>
          <w:p w14:paraId="5C8F3882"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 </w:t>
            </w:r>
          </w:p>
        </w:tc>
        <w:tc>
          <w:tcPr>
            <w:tcW w:w="835" w:type="dxa"/>
            <w:tcBorders>
              <w:top w:val="nil"/>
              <w:left w:val="nil"/>
              <w:bottom w:val="single" w:sz="4" w:space="0" w:color="auto"/>
              <w:right w:val="single" w:sz="4" w:space="0" w:color="auto"/>
            </w:tcBorders>
            <w:shd w:val="clear" w:color="000000" w:fill="D9D9D9"/>
            <w:noWrap/>
            <w:vAlign w:val="bottom"/>
            <w:hideMark/>
          </w:tcPr>
          <w:p w14:paraId="7D77B275"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 </w:t>
            </w:r>
          </w:p>
        </w:tc>
        <w:tc>
          <w:tcPr>
            <w:tcW w:w="992" w:type="dxa"/>
            <w:tcBorders>
              <w:top w:val="nil"/>
              <w:left w:val="nil"/>
              <w:bottom w:val="single" w:sz="4" w:space="0" w:color="auto"/>
              <w:right w:val="single" w:sz="4" w:space="0" w:color="auto"/>
            </w:tcBorders>
            <w:shd w:val="clear" w:color="000000" w:fill="D9D9D9"/>
            <w:noWrap/>
            <w:vAlign w:val="bottom"/>
            <w:hideMark/>
          </w:tcPr>
          <w:p w14:paraId="74062D89"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LEI</w:t>
            </w:r>
          </w:p>
        </w:tc>
        <w:tc>
          <w:tcPr>
            <w:tcW w:w="773" w:type="dxa"/>
            <w:tcBorders>
              <w:top w:val="nil"/>
              <w:left w:val="nil"/>
              <w:bottom w:val="single" w:sz="4" w:space="0" w:color="auto"/>
              <w:right w:val="single" w:sz="4" w:space="0" w:color="auto"/>
            </w:tcBorders>
            <w:shd w:val="clear" w:color="000000" w:fill="D9D9D9"/>
            <w:noWrap/>
            <w:vAlign w:val="bottom"/>
            <w:hideMark/>
          </w:tcPr>
          <w:p w14:paraId="2C0DC480"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EURO</w:t>
            </w:r>
          </w:p>
        </w:tc>
        <w:tc>
          <w:tcPr>
            <w:tcW w:w="773" w:type="dxa"/>
            <w:gridSpan w:val="2"/>
            <w:tcBorders>
              <w:top w:val="nil"/>
              <w:left w:val="nil"/>
              <w:bottom w:val="single" w:sz="4" w:space="0" w:color="auto"/>
              <w:right w:val="single" w:sz="4" w:space="0" w:color="auto"/>
            </w:tcBorders>
            <w:shd w:val="clear" w:color="000000" w:fill="D9D9D9"/>
            <w:noWrap/>
            <w:vAlign w:val="bottom"/>
            <w:hideMark/>
          </w:tcPr>
          <w:p w14:paraId="27383359"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LEI</w:t>
            </w:r>
          </w:p>
        </w:tc>
        <w:tc>
          <w:tcPr>
            <w:tcW w:w="679" w:type="dxa"/>
            <w:tcBorders>
              <w:top w:val="nil"/>
              <w:left w:val="nil"/>
              <w:bottom w:val="single" w:sz="4" w:space="0" w:color="auto"/>
              <w:right w:val="single" w:sz="4" w:space="0" w:color="auto"/>
            </w:tcBorders>
            <w:shd w:val="clear" w:color="000000" w:fill="D9D9D9"/>
            <w:noWrap/>
            <w:vAlign w:val="bottom"/>
            <w:hideMark/>
          </w:tcPr>
          <w:p w14:paraId="3216B6CC"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EURO</w:t>
            </w:r>
          </w:p>
        </w:tc>
      </w:tr>
      <w:tr w:rsidR="00684E37" w:rsidRPr="002F5AB8" w14:paraId="33564CDD" w14:textId="77777777" w:rsidTr="00E933A9">
        <w:trPr>
          <w:gridAfter w:val="1"/>
          <w:wAfter w:w="6" w:type="dxa"/>
          <w:trHeight w:val="345"/>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4D59C8F8" w14:textId="77777777" w:rsidR="00684E37" w:rsidRPr="002F5AB8" w:rsidRDefault="00684E37" w:rsidP="00684E37">
            <w:pP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TOTAL  din care:</w:t>
            </w:r>
          </w:p>
        </w:tc>
        <w:tc>
          <w:tcPr>
            <w:tcW w:w="506" w:type="dxa"/>
            <w:tcBorders>
              <w:top w:val="nil"/>
              <w:left w:val="nil"/>
              <w:bottom w:val="single" w:sz="4" w:space="0" w:color="auto"/>
              <w:right w:val="single" w:sz="4" w:space="0" w:color="auto"/>
            </w:tcBorders>
            <w:shd w:val="clear" w:color="auto" w:fill="auto"/>
            <w:vAlign w:val="center"/>
            <w:hideMark/>
          </w:tcPr>
          <w:p w14:paraId="087F9E73" w14:textId="77777777" w:rsidR="00684E37" w:rsidRPr="002F5AB8" w:rsidRDefault="00684E37" w:rsidP="00684E37">
            <w:pP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CA</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E58C7" w14:textId="2D8B3FF8"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319 502</w:t>
            </w:r>
          </w:p>
        </w:tc>
        <w:tc>
          <w:tcPr>
            <w:tcW w:w="853" w:type="dxa"/>
            <w:tcBorders>
              <w:top w:val="single" w:sz="4" w:space="0" w:color="auto"/>
              <w:left w:val="nil"/>
              <w:bottom w:val="single" w:sz="4" w:space="0" w:color="auto"/>
              <w:right w:val="single" w:sz="4" w:space="0" w:color="auto"/>
            </w:tcBorders>
            <w:shd w:val="clear" w:color="auto" w:fill="auto"/>
            <w:noWrap/>
            <w:vAlign w:val="bottom"/>
            <w:hideMark/>
          </w:tcPr>
          <w:p w14:paraId="2CD08A35" w14:textId="75D3DC77"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53 232</w:t>
            </w:r>
          </w:p>
        </w:tc>
        <w:tc>
          <w:tcPr>
            <w:tcW w:w="885" w:type="dxa"/>
            <w:tcBorders>
              <w:top w:val="single" w:sz="4" w:space="0" w:color="auto"/>
              <w:left w:val="nil"/>
              <w:bottom w:val="single" w:sz="4" w:space="0" w:color="auto"/>
              <w:right w:val="single" w:sz="4" w:space="0" w:color="auto"/>
            </w:tcBorders>
            <w:shd w:val="clear" w:color="auto" w:fill="auto"/>
            <w:noWrap/>
            <w:vAlign w:val="bottom"/>
            <w:hideMark/>
          </w:tcPr>
          <w:p w14:paraId="5752EAC5" w14:textId="16E3F168"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143 169</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23056767" w14:textId="383DD1F8"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28 633</w:t>
            </w:r>
          </w:p>
        </w:tc>
        <w:tc>
          <w:tcPr>
            <w:tcW w:w="773" w:type="dxa"/>
            <w:gridSpan w:val="2"/>
            <w:tcBorders>
              <w:top w:val="single" w:sz="4" w:space="0" w:color="auto"/>
              <w:left w:val="nil"/>
              <w:bottom w:val="single" w:sz="4" w:space="0" w:color="auto"/>
              <w:right w:val="single" w:sz="4" w:space="0" w:color="auto"/>
            </w:tcBorders>
            <w:shd w:val="clear" w:color="auto" w:fill="auto"/>
            <w:noWrap/>
            <w:vAlign w:val="bottom"/>
            <w:hideMark/>
          </w:tcPr>
          <w:p w14:paraId="215C9A1C" w14:textId="214B0D87"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52 679</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14:paraId="7890E6C8" w14:textId="1B782DE4"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10 536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9F272DA" w14:textId="525BE6D2"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102 809</w:t>
            </w:r>
          </w:p>
        </w:tc>
        <w:tc>
          <w:tcPr>
            <w:tcW w:w="773" w:type="dxa"/>
            <w:tcBorders>
              <w:top w:val="single" w:sz="4" w:space="0" w:color="auto"/>
              <w:left w:val="nil"/>
              <w:bottom w:val="single" w:sz="4" w:space="0" w:color="auto"/>
              <w:right w:val="single" w:sz="4" w:space="0" w:color="auto"/>
            </w:tcBorders>
            <w:shd w:val="clear" w:color="auto" w:fill="auto"/>
            <w:noWrap/>
            <w:vAlign w:val="bottom"/>
            <w:hideMark/>
          </w:tcPr>
          <w:p w14:paraId="152CFA20" w14:textId="2B3064F4"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20 561</w:t>
            </w:r>
          </w:p>
        </w:tc>
        <w:tc>
          <w:tcPr>
            <w:tcW w:w="773" w:type="dxa"/>
            <w:gridSpan w:val="2"/>
            <w:tcBorders>
              <w:top w:val="single" w:sz="4" w:space="0" w:color="auto"/>
              <w:left w:val="nil"/>
              <w:bottom w:val="single" w:sz="4" w:space="0" w:color="auto"/>
              <w:right w:val="single" w:sz="4" w:space="0" w:color="auto"/>
            </w:tcBorders>
            <w:shd w:val="clear" w:color="auto" w:fill="auto"/>
            <w:noWrap/>
            <w:vAlign w:val="bottom"/>
            <w:hideMark/>
          </w:tcPr>
          <w:p w14:paraId="79846ACC" w14:textId="10FD4238"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20 845</w:t>
            </w:r>
          </w:p>
        </w:tc>
        <w:tc>
          <w:tcPr>
            <w:tcW w:w="679" w:type="dxa"/>
            <w:tcBorders>
              <w:top w:val="single" w:sz="4" w:space="0" w:color="auto"/>
              <w:left w:val="nil"/>
              <w:bottom w:val="single" w:sz="4" w:space="0" w:color="auto"/>
              <w:right w:val="single" w:sz="4" w:space="0" w:color="auto"/>
            </w:tcBorders>
            <w:shd w:val="clear" w:color="auto" w:fill="auto"/>
            <w:noWrap/>
            <w:vAlign w:val="bottom"/>
            <w:hideMark/>
          </w:tcPr>
          <w:p w14:paraId="680217C2" w14:textId="2502D23C"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4 170</w:t>
            </w:r>
          </w:p>
        </w:tc>
      </w:tr>
      <w:tr w:rsidR="00684E37" w:rsidRPr="002F5AB8" w14:paraId="0101C534" w14:textId="77777777" w:rsidTr="00E933A9">
        <w:trPr>
          <w:gridAfter w:val="1"/>
          <w:wAfter w:w="6" w:type="dxa"/>
          <w:trHeight w:val="345"/>
          <w:jc w:val="center"/>
        </w:trPr>
        <w:tc>
          <w:tcPr>
            <w:tcW w:w="1838" w:type="dxa"/>
            <w:vMerge/>
            <w:tcBorders>
              <w:top w:val="nil"/>
              <w:left w:val="single" w:sz="4" w:space="0" w:color="auto"/>
              <w:bottom w:val="single" w:sz="4" w:space="0" w:color="000000"/>
              <w:right w:val="single" w:sz="4" w:space="0" w:color="auto"/>
            </w:tcBorders>
            <w:vAlign w:val="center"/>
            <w:hideMark/>
          </w:tcPr>
          <w:p w14:paraId="10CF7688" w14:textId="77777777" w:rsidR="00684E37" w:rsidRPr="002F5AB8" w:rsidRDefault="00684E37" w:rsidP="00684E37">
            <w:pPr>
              <w:rPr>
                <w:rFonts w:ascii="Calibri Light" w:hAnsi="Calibri Light" w:cs="Calibri Light"/>
                <w:b/>
                <w:bCs/>
                <w:color w:val="000000"/>
                <w:sz w:val="20"/>
                <w:lang w:eastAsia="ro-RO"/>
              </w:rPr>
            </w:pPr>
          </w:p>
        </w:tc>
        <w:tc>
          <w:tcPr>
            <w:tcW w:w="506" w:type="dxa"/>
            <w:tcBorders>
              <w:top w:val="nil"/>
              <w:left w:val="nil"/>
              <w:bottom w:val="single" w:sz="4" w:space="0" w:color="auto"/>
              <w:right w:val="single" w:sz="4" w:space="0" w:color="auto"/>
            </w:tcBorders>
            <w:shd w:val="clear" w:color="auto" w:fill="auto"/>
            <w:vAlign w:val="center"/>
            <w:hideMark/>
          </w:tcPr>
          <w:p w14:paraId="0202F462" w14:textId="77777777" w:rsidR="00684E37" w:rsidRPr="002F5AB8" w:rsidRDefault="00684E37" w:rsidP="00684E37">
            <w:pP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CB</w:t>
            </w:r>
          </w:p>
        </w:tc>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46661730" w14:textId="7F429E49"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317 694</w:t>
            </w:r>
          </w:p>
        </w:tc>
        <w:tc>
          <w:tcPr>
            <w:tcW w:w="853" w:type="dxa"/>
            <w:tcBorders>
              <w:top w:val="nil"/>
              <w:left w:val="nil"/>
              <w:bottom w:val="single" w:sz="4" w:space="0" w:color="auto"/>
              <w:right w:val="single" w:sz="4" w:space="0" w:color="auto"/>
            </w:tcBorders>
            <w:shd w:val="clear" w:color="auto" w:fill="auto"/>
            <w:noWrap/>
            <w:vAlign w:val="bottom"/>
            <w:hideMark/>
          </w:tcPr>
          <w:p w14:paraId="55946022" w14:textId="79EAE5EB"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52 935</w:t>
            </w:r>
          </w:p>
        </w:tc>
        <w:tc>
          <w:tcPr>
            <w:tcW w:w="885" w:type="dxa"/>
            <w:tcBorders>
              <w:top w:val="nil"/>
              <w:left w:val="nil"/>
              <w:bottom w:val="single" w:sz="4" w:space="0" w:color="auto"/>
              <w:right w:val="single" w:sz="4" w:space="0" w:color="auto"/>
            </w:tcBorders>
            <w:shd w:val="clear" w:color="auto" w:fill="auto"/>
            <w:noWrap/>
            <w:vAlign w:val="bottom"/>
            <w:hideMark/>
          </w:tcPr>
          <w:p w14:paraId="3838E513" w14:textId="24A5B1D6"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143 009</w:t>
            </w:r>
          </w:p>
        </w:tc>
        <w:tc>
          <w:tcPr>
            <w:tcW w:w="799" w:type="dxa"/>
            <w:tcBorders>
              <w:top w:val="nil"/>
              <w:left w:val="nil"/>
              <w:bottom w:val="single" w:sz="4" w:space="0" w:color="auto"/>
              <w:right w:val="single" w:sz="4" w:space="0" w:color="auto"/>
            </w:tcBorders>
            <w:shd w:val="clear" w:color="auto" w:fill="auto"/>
            <w:noWrap/>
            <w:vAlign w:val="bottom"/>
            <w:hideMark/>
          </w:tcPr>
          <w:p w14:paraId="79B8D2E1" w14:textId="4BA03A62"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28 601</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427EFECB" w14:textId="7A8481B2"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52 355</w:t>
            </w:r>
          </w:p>
        </w:tc>
        <w:tc>
          <w:tcPr>
            <w:tcW w:w="835" w:type="dxa"/>
            <w:tcBorders>
              <w:top w:val="nil"/>
              <w:left w:val="nil"/>
              <w:bottom w:val="single" w:sz="4" w:space="0" w:color="auto"/>
              <w:right w:val="single" w:sz="4" w:space="0" w:color="auto"/>
            </w:tcBorders>
            <w:shd w:val="clear" w:color="auto" w:fill="auto"/>
            <w:noWrap/>
            <w:vAlign w:val="bottom"/>
            <w:hideMark/>
          </w:tcPr>
          <w:p w14:paraId="1D0191BB" w14:textId="1FF000C6"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10 471</w:t>
            </w:r>
          </w:p>
        </w:tc>
        <w:tc>
          <w:tcPr>
            <w:tcW w:w="992" w:type="dxa"/>
            <w:tcBorders>
              <w:top w:val="nil"/>
              <w:left w:val="nil"/>
              <w:bottom w:val="single" w:sz="4" w:space="0" w:color="auto"/>
              <w:right w:val="single" w:sz="4" w:space="0" w:color="auto"/>
            </w:tcBorders>
            <w:shd w:val="clear" w:color="auto" w:fill="auto"/>
            <w:noWrap/>
            <w:vAlign w:val="bottom"/>
            <w:hideMark/>
          </w:tcPr>
          <w:p w14:paraId="6040808F" w14:textId="0B635868"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102 043</w:t>
            </w:r>
          </w:p>
        </w:tc>
        <w:tc>
          <w:tcPr>
            <w:tcW w:w="773" w:type="dxa"/>
            <w:tcBorders>
              <w:top w:val="nil"/>
              <w:left w:val="nil"/>
              <w:bottom w:val="single" w:sz="4" w:space="0" w:color="auto"/>
              <w:right w:val="single" w:sz="4" w:space="0" w:color="auto"/>
            </w:tcBorders>
            <w:shd w:val="clear" w:color="auto" w:fill="auto"/>
            <w:noWrap/>
            <w:vAlign w:val="bottom"/>
            <w:hideMark/>
          </w:tcPr>
          <w:p w14:paraId="2590CEAF" w14:textId="1A8F971B"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20 408</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3F55D628" w14:textId="7360ACF2"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20 287</w:t>
            </w:r>
          </w:p>
        </w:tc>
        <w:tc>
          <w:tcPr>
            <w:tcW w:w="679" w:type="dxa"/>
            <w:tcBorders>
              <w:top w:val="nil"/>
              <w:left w:val="nil"/>
              <w:bottom w:val="single" w:sz="4" w:space="0" w:color="auto"/>
              <w:right w:val="single" w:sz="4" w:space="0" w:color="auto"/>
            </w:tcBorders>
            <w:shd w:val="clear" w:color="auto" w:fill="auto"/>
            <w:noWrap/>
            <w:vAlign w:val="bottom"/>
            <w:hideMark/>
          </w:tcPr>
          <w:p w14:paraId="5B059A6A" w14:textId="15C9D275" w:rsidR="00684E37" w:rsidRPr="007574BA" w:rsidRDefault="00684E37" w:rsidP="00D358F4">
            <w:pPr>
              <w:jc w:val="center"/>
              <w:rPr>
                <w:rFonts w:ascii="Calibri Light" w:hAnsi="Calibri Light" w:cs="Calibri Light"/>
                <w:b/>
                <w:bCs/>
                <w:sz w:val="20"/>
                <w:lang w:eastAsia="ro-RO"/>
              </w:rPr>
            </w:pPr>
            <w:r w:rsidRPr="007574BA">
              <w:rPr>
                <w:rFonts w:ascii="Calibri Light" w:hAnsi="Calibri Light" w:cs="Calibri Light"/>
                <w:b/>
                <w:bCs/>
                <w:sz w:val="20"/>
              </w:rPr>
              <w:t>4 058</w:t>
            </w:r>
          </w:p>
        </w:tc>
      </w:tr>
      <w:tr w:rsidR="00684E37" w:rsidRPr="002F5AB8" w14:paraId="364CA6C5" w14:textId="77777777" w:rsidTr="00E933A9">
        <w:trPr>
          <w:gridAfter w:val="1"/>
          <w:wAfter w:w="6" w:type="dxa"/>
          <w:trHeight w:val="345"/>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3BF7168F" w14:textId="77777777" w:rsidR="00684E37" w:rsidRPr="002F5AB8" w:rsidRDefault="00684E37" w:rsidP="00684E37">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Cheltuieli de personal</w:t>
            </w:r>
          </w:p>
        </w:tc>
        <w:tc>
          <w:tcPr>
            <w:tcW w:w="506" w:type="dxa"/>
            <w:tcBorders>
              <w:top w:val="nil"/>
              <w:left w:val="nil"/>
              <w:bottom w:val="single" w:sz="4" w:space="0" w:color="auto"/>
              <w:right w:val="single" w:sz="4" w:space="0" w:color="auto"/>
            </w:tcBorders>
            <w:shd w:val="clear" w:color="auto" w:fill="auto"/>
            <w:vAlign w:val="center"/>
            <w:hideMark/>
          </w:tcPr>
          <w:p w14:paraId="11294E69" w14:textId="77777777" w:rsidR="00684E37" w:rsidRPr="002F5AB8" w:rsidRDefault="00684E37" w:rsidP="00684E37">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CA</w:t>
            </w:r>
          </w:p>
        </w:tc>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78B1C4A5" w14:textId="3F4F733D"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237 595</w:t>
            </w:r>
          </w:p>
        </w:tc>
        <w:tc>
          <w:tcPr>
            <w:tcW w:w="853" w:type="dxa"/>
            <w:tcBorders>
              <w:top w:val="nil"/>
              <w:left w:val="nil"/>
              <w:bottom w:val="single" w:sz="4" w:space="0" w:color="auto"/>
              <w:right w:val="single" w:sz="4" w:space="0" w:color="auto"/>
            </w:tcBorders>
            <w:shd w:val="clear" w:color="auto" w:fill="auto"/>
            <w:noWrap/>
            <w:vAlign w:val="bottom"/>
            <w:hideMark/>
          </w:tcPr>
          <w:p w14:paraId="56D1D81D" w14:textId="5F9EE753"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37 626</w:t>
            </w:r>
          </w:p>
        </w:tc>
        <w:tc>
          <w:tcPr>
            <w:tcW w:w="885" w:type="dxa"/>
            <w:tcBorders>
              <w:top w:val="nil"/>
              <w:left w:val="nil"/>
              <w:bottom w:val="single" w:sz="4" w:space="0" w:color="auto"/>
              <w:right w:val="single" w:sz="4" w:space="0" w:color="auto"/>
            </w:tcBorders>
            <w:shd w:val="clear" w:color="auto" w:fill="auto"/>
            <w:noWrap/>
            <w:vAlign w:val="bottom"/>
            <w:hideMark/>
          </w:tcPr>
          <w:p w14:paraId="4B5CB936" w14:textId="7671CD4C"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127 172</w:t>
            </w:r>
          </w:p>
        </w:tc>
        <w:tc>
          <w:tcPr>
            <w:tcW w:w="799" w:type="dxa"/>
            <w:tcBorders>
              <w:top w:val="nil"/>
              <w:left w:val="nil"/>
              <w:bottom w:val="single" w:sz="4" w:space="0" w:color="auto"/>
              <w:right w:val="single" w:sz="4" w:space="0" w:color="auto"/>
            </w:tcBorders>
            <w:shd w:val="clear" w:color="auto" w:fill="auto"/>
            <w:noWrap/>
            <w:vAlign w:val="bottom"/>
            <w:hideMark/>
          </w:tcPr>
          <w:p w14:paraId="3F3A1CF1" w14:textId="0810ED74"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25 434</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3375189A" w14:textId="11316F11"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49 466</w:t>
            </w:r>
          </w:p>
        </w:tc>
        <w:tc>
          <w:tcPr>
            <w:tcW w:w="835" w:type="dxa"/>
            <w:tcBorders>
              <w:top w:val="nil"/>
              <w:left w:val="nil"/>
              <w:bottom w:val="single" w:sz="4" w:space="0" w:color="auto"/>
              <w:right w:val="single" w:sz="4" w:space="0" w:color="auto"/>
            </w:tcBorders>
            <w:shd w:val="clear" w:color="auto" w:fill="auto"/>
            <w:noWrap/>
            <w:vAlign w:val="bottom"/>
            <w:hideMark/>
          </w:tcPr>
          <w:p w14:paraId="2E3D97A0" w14:textId="06229BEF"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9 893</w:t>
            </w:r>
          </w:p>
        </w:tc>
        <w:tc>
          <w:tcPr>
            <w:tcW w:w="992" w:type="dxa"/>
            <w:tcBorders>
              <w:top w:val="nil"/>
              <w:left w:val="nil"/>
              <w:bottom w:val="single" w:sz="4" w:space="0" w:color="auto"/>
              <w:right w:val="single" w:sz="4" w:space="0" w:color="auto"/>
            </w:tcBorders>
            <w:shd w:val="clear" w:color="auto" w:fill="auto"/>
            <w:noWrap/>
            <w:vAlign w:val="bottom"/>
            <w:hideMark/>
          </w:tcPr>
          <w:p w14:paraId="0BEE9A23" w14:textId="32669D16"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44 583</w:t>
            </w:r>
          </w:p>
        </w:tc>
        <w:tc>
          <w:tcPr>
            <w:tcW w:w="773" w:type="dxa"/>
            <w:tcBorders>
              <w:top w:val="nil"/>
              <w:left w:val="nil"/>
              <w:bottom w:val="single" w:sz="4" w:space="0" w:color="auto"/>
              <w:right w:val="single" w:sz="4" w:space="0" w:color="auto"/>
            </w:tcBorders>
            <w:shd w:val="clear" w:color="auto" w:fill="auto"/>
            <w:noWrap/>
            <w:vAlign w:val="bottom"/>
            <w:hideMark/>
          </w:tcPr>
          <w:p w14:paraId="5B9BEF5B" w14:textId="4964DCB2"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8 917</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083A4A35" w14:textId="0E8FAC79"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16 374</w:t>
            </w:r>
          </w:p>
        </w:tc>
        <w:tc>
          <w:tcPr>
            <w:tcW w:w="679" w:type="dxa"/>
            <w:tcBorders>
              <w:top w:val="nil"/>
              <w:left w:val="nil"/>
              <w:bottom w:val="single" w:sz="4" w:space="0" w:color="auto"/>
              <w:right w:val="single" w:sz="4" w:space="0" w:color="auto"/>
            </w:tcBorders>
            <w:shd w:val="clear" w:color="auto" w:fill="auto"/>
            <w:noWrap/>
            <w:vAlign w:val="bottom"/>
            <w:hideMark/>
          </w:tcPr>
          <w:p w14:paraId="3F3D860E" w14:textId="5ED29452"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3 275</w:t>
            </w:r>
          </w:p>
        </w:tc>
      </w:tr>
      <w:tr w:rsidR="00684E37" w:rsidRPr="002F5AB8" w14:paraId="5B033D1B" w14:textId="77777777" w:rsidTr="00E933A9">
        <w:trPr>
          <w:gridAfter w:val="1"/>
          <w:wAfter w:w="6" w:type="dxa"/>
          <w:trHeight w:val="345"/>
          <w:jc w:val="center"/>
        </w:trPr>
        <w:tc>
          <w:tcPr>
            <w:tcW w:w="1838" w:type="dxa"/>
            <w:vMerge/>
            <w:tcBorders>
              <w:top w:val="nil"/>
              <w:left w:val="single" w:sz="4" w:space="0" w:color="auto"/>
              <w:bottom w:val="single" w:sz="4" w:space="0" w:color="000000"/>
              <w:right w:val="single" w:sz="4" w:space="0" w:color="auto"/>
            </w:tcBorders>
            <w:vAlign w:val="center"/>
            <w:hideMark/>
          </w:tcPr>
          <w:p w14:paraId="35A6ABAF" w14:textId="77777777" w:rsidR="00684E37" w:rsidRPr="002F5AB8" w:rsidRDefault="00684E37" w:rsidP="00684E37">
            <w:pPr>
              <w:rPr>
                <w:rFonts w:ascii="Calibri Light" w:hAnsi="Calibri Light" w:cs="Calibri Light"/>
                <w:color w:val="000000"/>
                <w:sz w:val="20"/>
                <w:lang w:eastAsia="ro-RO"/>
              </w:rPr>
            </w:pPr>
          </w:p>
        </w:tc>
        <w:tc>
          <w:tcPr>
            <w:tcW w:w="506" w:type="dxa"/>
            <w:tcBorders>
              <w:top w:val="nil"/>
              <w:left w:val="nil"/>
              <w:bottom w:val="single" w:sz="4" w:space="0" w:color="auto"/>
              <w:right w:val="single" w:sz="4" w:space="0" w:color="auto"/>
            </w:tcBorders>
            <w:shd w:val="clear" w:color="auto" w:fill="auto"/>
            <w:vAlign w:val="center"/>
            <w:hideMark/>
          </w:tcPr>
          <w:p w14:paraId="5615236D" w14:textId="77777777" w:rsidR="00684E37" w:rsidRPr="002F5AB8" w:rsidRDefault="00684E37" w:rsidP="00684E37">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CB</w:t>
            </w:r>
          </w:p>
        </w:tc>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03FCF80C" w14:textId="07B93EA5"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237 595</w:t>
            </w:r>
          </w:p>
        </w:tc>
        <w:tc>
          <w:tcPr>
            <w:tcW w:w="853" w:type="dxa"/>
            <w:tcBorders>
              <w:top w:val="nil"/>
              <w:left w:val="nil"/>
              <w:bottom w:val="single" w:sz="4" w:space="0" w:color="auto"/>
              <w:right w:val="single" w:sz="4" w:space="0" w:color="auto"/>
            </w:tcBorders>
            <w:shd w:val="clear" w:color="auto" w:fill="auto"/>
            <w:noWrap/>
            <w:vAlign w:val="bottom"/>
            <w:hideMark/>
          </w:tcPr>
          <w:p w14:paraId="1AC4A9F8" w14:textId="1904799A"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37 626</w:t>
            </w:r>
          </w:p>
        </w:tc>
        <w:tc>
          <w:tcPr>
            <w:tcW w:w="885" w:type="dxa"/>
            <w:tcBorders>
              <w:top w:val="nil"/>
              <w:left w:val="nil"/>
              <w:bottom w:val="single" w:sz="4" w:space="0" w:color="auto"/>
              <w:right w:val="single" w:sz="4" w:space="0" w:color="auto"/>
            </w:tcBorders>
            <w:shd w:val="clear" w:color="auto" w:fill="auto"/>
            <w:noWrap/>
            <w:vAlign w:val="bottom"/>
            <w:hideMark/>
          </w:tcPr>
          <w:p w14:paraId="05B95F1F" w14:textId="7F504EF9"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127 172</w:t>
            </w:r>
          </w:p>
        </w:tc>
        <w:tc>
          <w:tcPr>
            <w:tcW w:w="799" w:type="dxa"/>
            <w:tcBorders>
              <w:top w:val="nil"/>
              <w:left w:val="nil"/>
              <w:bottom w:val="single" w:sz="4" w:space="0" w:color="auto"/>
              <w:right w:val="single" w:sz="4" w:space="0" w:color="auto"/>
            </w:tcBorders>
            <w:shd w:val="clear" w:color="auto" w:fill="auto"/>
            <w:noWrap/>
            <w:vAlign w:val="bottom"/>
            <w:hideMark/>
          </w:tcPr>
          <w:p w14:paraId="3382DB70" w14:textId="6441468A"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25 434</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3E2933DA" w14:textId="13F8F061"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49 466</w:t>
            </w:r>
          </w:p>
        </w:tc>
        <w:tc>
          <w:tcPr>
            <w:tcW w:w="835" w:type="dxa"/>
            <w:tcBorders>
              <w:top w:val="nil"/>
              <w:left w:val="nil"/>
              <w:bottom w:val="single" w:sz="4" w:space="0" w:color="auto"/>
              <w:right w:val="single" w:sz="4" w:space="0" w:color="auto"/>
            </w:tcBorders>
            <w:shd w:val="clear" w:color="auto" w:fill="auto"/>
            <w:noWrap/>
            <w:vAlign w:val="bottom"/>
            <w:hideMark/>
          </w:tcPr>
          <w:p w14:paraId="4DB6F5B5" w14:textId="08F7FEDE"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9 893</w:t>
            </w:r>
          </w:p>
        </w:tc>
        <w:tc>
          <w:tcPr>
            <w:tcW w:w="992" w:type="dxa"/>
            <w:tcBorders>
              <w:top w:val="nil"/>
              <w:left w:val="nil"/>
              <w:bottom w:val="single" w:sz="4" w:space="0" w:color="auto"/>
              <w:right w:val="single" w:sz="4" w:space="0" w:color="auto"/>
            </w:tcBorders>
            <w:shd w:val="clear" w:color="auto" w:fill="auto"/>
            <w:noWrap/>
            <w:vAlign w:val="bottom"/>
            <w:hideMark/>
          </w:tcPr>
          <w:p w14:paraId="7EFCED7A" w14:textId="72AB6DF5"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44 583</w:t>
            </w:r>
          </w:p>
        </w:tc>
        <w:tc>
          <w:tcPr>
            <w:tcW w:w="773" w:type="dxa"/>
            <w:tcBorders>
              <w:top w:val="nil"/>
              <w:left w:val="nil"/>
              <w:bottom w:val="single" w:sz="4" w:space="0" w:color="auto"/>
              <w:right w:val="single" w:sz="4" w:space="0" w:color="auto"/>
            </w:tcBorders>
            <w:shd w:val="clear" w:color="auto" w:fill="auto"/>
            <w:noWrap/>
            <w:vAlign w:val="bottom"/>
            <w:hideMark/>
          </w:tcPr>
          <w:p w14:paraId="482F6186" w14:textId="442423D5"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8 917</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5CBD236D" w14:textId="69EFEBF9"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16 374</w:t>
            </w:r>
          </w:p>
        </w:tc>
        <w:tc>
          <w:tcPr>
            <w:tcW w:w="679" w:type="dxa"/>
            <w:tcBorders>
              <w:top w:val="nil"/>
              <w:left w:val="nil"/>
              <w:bottom w:val="single" w:sz="4" w:space="0" w:color="auto"/>
              <w:right w:val="single" w:sz="4" w:space="0" w:color="auto"/>
            </w:tcBorders>
            <w:shd w:val="clear" w:color="auto" w:fill="auto"/>
            <w:noWrap/>
            <w:vAlign w:val="bottom"/>
            <w:hideMark/>
          </w:tcPr>
          <w:p w14:paraId="5F04ECF4" w14:textId="12EA4915"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3 275</w:t>
            </w:r>
          </w:p>
        </w:tc>
      </w:tr>
      <w:tr w:rsidR="00684E37" w:rsidRPr="002F5AB8" w14:paraId="2FABFB8D" w14:textId="77777777" w:rsidTr="00E933A9">
        <w:trPr>
          <w:gridAfter w:val="1"/>
          <w:wAfter w:w="6" w:type="dxa"/>
          <w:trHeight w:val="345"/>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264C274D" w14:textId="77777777" w:rsidR="00684E37" w:rsidRPr="002F5AB8" w:rsidRDefault="00684E37" w:rsidP="00684E37">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Bunuri și servicii</w:t>
            </w:r>
          </w:p>
        </w:tc>
        <w:tc>
          <w:tcPr>
            <w:tcW w:w="506" w:type="dxa"/>
            <w:tcBorders>
              <w:top w:val="nil"/>
              <w:left w:val="nil"/>
              <w:bottom w:val="single" w:sz="4" w:space="0" w:color="auto"/>
              <w:right w:val="single" w:sz="4" w:space="0" w:color="auto"/>
            </w:tcBorders>
            <w:shd w:val="clear" w:color="auto" w:fill="auto"/>
            <w:vAlign w:val="center"/>
            <w:hideMark/>
          </w:tcPr>
          <w:p w14:paraId="528C7D6D" w14:textId="77777777" w:rsidR="00684E37" w:rsidRPr="002F5AB8" w:rsidRDefault="00684E37" w:rsidP="00684E37">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CA</w:t>
            </w:r>
          </w:p>
        </w:tc>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72B4B13C" w14:textId="16E8F50E"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21 364</w:t>
            </w:r>
          </w:p>
        </w:tc>
        <w:tc>
          <w:tcPr>
            <w:tcW w:w="853" w:type="dxa"/>
            <w:tcBorders>
              <w:top w:val="nil"/>
              <w:left w:val="nil"/>
              <w:bottom w:val="single" w:sz="4" w:space="0" w:color="auto"/>
              <w:right w:val="single" w:sz="4" w:space="0" w:color="auto"/>
            </w:tcBorders>
            <w:shd w:val="clear" w:color="auto" w:fill="auto"/>
            <w:noWrap/>
            <w:vAlign w:val="bottom"/>
            <w:hideMark/>
          </w:tcPr>
          <w:p w14:paraId="1900478E" w14:textId="6903A2EB"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3 710</w:t>
            </w:r>
          </w:p>
        </w:tc>
        <w:tc>
          <w:tcPr>
            <w:tcW w:w="885" w:type="dxa"/>
            <w:tcBorders>
              <w:top w:val="nil"/>
              <w:left w:val="nil"/>
              <w:bottom w:val="single" w:sz="4" w:space="0" w:color="auto"/>
              <w:right w:val="single" w:sz="4" w:space="0" w:color="auto"/>
            </w:tcBorders>
            <w:shd w:val="clear" w:color="auto" w:fill="auto"/>
            <w:noWrap/>
            <w:vAlign w:val="bottom"/>
            <w:hideMark/>
          </w:tcPr>
          <w:p w14:paraId="3AC5D6B2" w14:textId="226AD26B"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10 581</w:t>
            </w:r>
          </w:p>
        </w:tc>
        <w:tc>
          <w:tcPr>
            <w:tcW w:w="799" w:type="dxa"/>
            <w:tcBorders>
              <w:top w:val="nil"/>
              <w:left w:val="nil"/>
              <w:bottom w:val="single" w:sz="4" w:space="0" w:color="auto"/>
              <w:right w:val="single" w:sz="4" w:space="0" w:color="auto"/>
            </w:tcBorders>
            <w:shd w:val="clear" w:color="auto" w:fill="auto"/>
            <w:noWrap/>
            <w:vAlign w:val="bottom"/>
            <w:hideMark/>
          </w:tcPr>
          <w:p w14:paraId="52CA48C6" w14:textId="4C18B673"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2 116</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3556B32A" w14:textId="32B3148E"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2 813</w:t>
            </w:r>
          </w:p>
        </w:tc>
        <w:tc>
          <w:tcPr>
            <w:tcW w:w="835" w:type="dxa"/>
            <w:tcBorders>
              <w:top w:val="nil"/>
              <w:left w:val="nil"/>
              <w:bottom w:val="single" w:sz="4" w:space="0" w:color="auto"/>
              <w:right w:val="single" w:sz="4" w:space="0" w:color="auto"/>
            </w:tcBorders>
            <w:shd w:val="clear" w:color="auto" w:fill="auto"/>
            <w:noWrap/>
            <w:vAlign w:val="bottom"/>
            <w:hideMark/>
          </w:tcPr>
          <w:p w14:paraId="5A2426ED" w14:textId="77EA56B7"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563</w:t>
            </w:r>
          </w:p>
        </w:tc>
        <w:tc>
          <w:tcPr>
            <w:tcW w:w="992" w:type="dxa"/>
            <w:tcBorders>
              <w:top w:val="nil"/>
              <w:left w:val="nil"/>
              <w:bottom w:val="single" w:sz="4" w:space="0" w:color="auto"/>
              <w:right w:val="single" w:sz="4" w:space="0" w:color="auto"/>
            </w:tcBorders>
            <w:shd w:val="clear" w:color="auto" w:fill="auto"/>
            <w:noWrap/>
            <w:vAlign w:val="bottom"/>
            <w:hideMark/>
          </w:tcPr>
          <w:p w14:paraId="37F635AE" w14:textId="499F213D"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6 166</w:t>
            </w:r>
          </w:p>
        </w:tc>
        <w:tc>
          <w:tcPr>
            <w:tcW w:w="773" w:type="dxa"/>
            <w:tcBorders>
              <w:top w:val="nil"/>
              <w:left w:val="nil"/>
              <w:bottom w:val="single" w:sz="4" w:space="0" w:color="auto"/>
              <w:right w:val="single" w:sz="4" w:space="0" w:color="auto"/>
            </w:tcBorders>
            <w:shd w:val="clear" w:color="auto" w:fill="auto"/>
            <w:noWrap/>
            <w:vAlign w:val="bottom"/>
            <w:hideMark/>
          </w:tcPr>
          <w:p w14:paraId="7B76170B" w14:textId="1C68538E"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1 233</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7C5F0218" w14:textId="45B664FF"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1 804</w:t>
            </w:r>
          </w:p>
        </w:tc>
        <w:tc>
          <w:tcPr>
            <w:tcW w:w="679" w:type="dxa"/>
            <w:tcBorders>
              <w:top w:val="nil"/>
              <w:left w:val="nil"/>
              <w:bottom w:val="single" w:sz="4" w:space="0" w:color="auto"/>
              <w:right w:val="single" w:sz="4" w:space="0" w:color="auto"/>
            </w:tcBorders>
            <w:shd w:val="clear" w:color="auto" w:fill="auto"/>
            <w:noWrap/>
            <w:vAlign w:val="bottom"/>
            <w:hideMark/>
          </w:tcPr>
          <w:p w14:paraId="63E051B8" w14:textId="11482BAB"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361</w:t>
            </w:r>
          </w:p>
        </w:tc>
      </w:tr>
      <w:tr w:rsidR="00684E37" w:rsidRPr="002F5AB8" w14:paraId="2B85B408" w14:textId="77777777" w:rsidTr="00E933A9">
        <w:trPr>
          <w:gridAfter w:val="1"/>
          <w:wAfter w:w="6" w:type="dxa"/>
          <w:trHeight w:val="345"/>
          <w:jc w:val="center"/>
        </w:trPr>
        <w:tc>
          <w:tcPr>
            <w:tcW w:w="1838" w:type="dxa"/>
            <w:vMerge/>
            <w:tcBorders>
              <w:top w:val="nil"/>
              <w:left w:val="single" w:sz="4" w:space="0" w:color="auto"/>
              <w:bottom w:val="single" w:sz="4" w:space="0" w:color="000000"/>
              <w:right w:val="single" w:sz="4" w:space="0" w:color="auto"/>
            </w:tcBorders>
            <w:vAlign w:val="center"/>
            <w:hideMark/>
          </w:tcPr>
          <w:p w14:paraId="73DE25CA" w14:textId="77777777" w:rsidR="00684E37" w:rsidRPr="002F5AB8" w:rsidRDefault="00684E37" w:rsidP="00684E37">
            <w:pPr>
              <w:rPr>
                <w:rFonts w:ascii="Calibri Light" w:hAnsi="Calibri Light" w:cs="Calibri Light"/>
                <w:color w:val="000000"/>
                <w:sz w:val="20"/>
                <w:lang w:eastAsia="ro-RO"/>
              </w:rPr>
            </w:pPr>
          </w:p>
        </w:tc>
        <w:tc>
          <w:tcPr>
            <w:tcW w:w="506" w:type="dxa"/>
            <w:tcBorders>
              <w:top w:val="nil"/>
              <w:left w:val="nil"/>
              <w:bottom w:val="single" w:sz="4" w:space="0" w:color="auto"/>
              <w:right w:val="single" w:sz="4" w:space="0" w:color="auto"/>
            </w:tcBorders>
            <w:shd w:val="clear" w:color="auto" w:fill="auto"/>
            <w:vAlign w:val="center"/>
            <w:hideMark/>
          </w:tcPr>
          <w:p w14:paraId="2C5CA0DC" w14:textId="77777777" w:rsidR="00684E37" w:rsidRPr="002F5AB8" w:rsidRDefault="00684E37" w:rsidP="00684E37">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CB</w:t>
            </w:r>
          </w:p>
        </w:tc>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7893CFBE" w14:textId="171B3123"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19 556</w:t>
            </w:r>
          </w:p>
        </w:tc>
        <w:tc>
          <w:tcPr>
            <w:tcW w:w="853" w:type="dxa"/>
            <w:tcBorders>
              <w:top w:val="nil"/>
              <w:left w:val="nil"/>
              <w:bottom w:val="single" w:sz="4" w:space="0" w:color="auto"/>
              <w:right w:val="single" w:sz="4" w:space="0" w:color="auto"/>
            </w:tcBorders>
            <w:shd w:val="clear" w:color="auto" w:fill="auto"/>
            <w:noWrap/>
            <w:vAlign w:val="bottom"/>
            <w:hideMark/>
          </w:tcPr>
          <w:p w14:paraId="59959239" w14:textId="6320C47B"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3 413</w:t>
            </w:r>
          </w:p>
        </w:tc>
        <w:tc>
          <w:tcPr>
            <w:tcW w:w="885" w:type="dxa"/>
            <w:tcBorders>
              <w:top w:val="nil"/>
              <w:left w:val="nil"/>
              <w:bottom w:val="single" w:sz="4" w:space="0" w:color="auto"/>
              <w:right w:val="single" w:sz="4" w:space="0" w:color="auto"/>
            </w:tcBorders>
            <w:shd w:val="clear" w:color="auto" w:fill="auto"/>
            <w:noWrap/>
            <w:vAlign w:val="bottom"/>
            <w:hideMark/>
          </w:tcPr>
          <w:p w14:paraId="5A178B9E" w14:textId="5ED65D35"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10 421</w:t>
            </w:r>
          </w:p>
        </w:tc>
        <w:tc>
          <w:tcPr>
            <w:tcW w:w="799" w:type="dxa"/>
            <w:tcBorders>
              <w:top w:val="nil"/>
              <w:left w:val="nil"/>
              <w:bottom w:val="single" w:sz="4" w:space="0" w:color="auto"/>
              <w:right w:val="single" w:sz="4" w:space="0" w:color="auto"/>
            </w:tcBorders>
            <w:shd w:val="clear" w:color="auto" w:fill="auto"/>
            <w:noWrap/>
            <w:vAlign w:val="bottom"/>
            <w:hideMark/>
          </w:tcPr>
          <w:p w14:paraId="5454105A" w14:textId="24D7A176"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2 084</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38043260" w14:textId="37443459"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2 489</w:t>
            </w:r>
          </w:p>
        </w:tc>
        <w:tc>
          <w:tcPr>
            <w:tcW w:w="835" w:type="dxa"/>
            <w:tcBorders>
              <w:top w:val="nil"/>
              <w:left w:val="nil"/>
              <w:bottom w:val="single" w:sz="4" w:space="0" w:color="auto"/>
              <w:right w:val="single" w:sz="4" w:space="0" w:color="auto"/>
            </w:tcBorders>
            <w:shd w:val="clear" w:color="auto" w:fill="auto"/>
            <w:noWrap/>
            <w:vAlign w:val="bottom"/>
            <w:hideMark/>
          </w:tcPr>
          <w:p w14:paraId="140D5303" w14:textId="5E82D1DE"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498</w:t>
            </w:r>
          </w:p>
        </w:tc>
        <w:tc>
          <w:tcPr>
            <w:tcW w:w="992" w:type="dxa"/>
            <w:tcBorders>
              <w:top w:val="nil"/>
              <w:left w:val="nil"/>
              <w:bottom w:val="single" w:sz="4" w:space="0" w:color="auto"/>
              <w:right w:val="single" w:sz="4" w:space="0" w:color="auto"/>
            </w:tcBorders>
            <w:shd w:val="clear" w:color="auto" w:fill="auto"/>
            <w:noWrap/>
            <w:vAlign w:val="bottom"/>
            <w:hideMark/>
          </w:tcPr>
          <w:p w14:paraId="5E364E2A" w14:textId="0BB947B0"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5 400</w:t>
            </w:r>
          </w:p>
        </w:tc>
        <w:tc>
          <w:tcPr>
            <w:tcW w:w="773" w:type="dxa"/>
            <w:tcBorders>
              <w:top w:val="nil"/>
              <w:left w:val="nil"/>
              <w:bottom w:val="single" w:sz="4" w:space="0" w:color="auto"/>
              <w:right w:val="single" w:sz="4" w:space="0" w:color="auto"/>
            </w:tcBorders>
            <w:shd w:val="clear" w:color="auto" w:fill="auto"/>
            <w:noWrap/>
            <w:vAlign w:val="bottom"/>
            <w:hideMark/>
          </w:tcPr>
          <w:p w14:paraId="64618450" w14:textId="3DF2C3F0"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1 080</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0C1DCFDA" w14:textId="1293468D"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1 246</w:t>
            </w:r>
          </w:p>
        </w:tc>
        <w:tc>
          <w:tcPr>
            <w:tcW w:w="679" w:type="dxa"/>
            <w:tcBorders>
              <w:top w:val="nil"/>
              <w:left w:val="nil"/>
              <w:bottom w:val="single" w:sz="4" w:space="0" w:color="auto"/>
              <w:right w:val="single" w:sz="4" w:space="0" w:color="auto"/>
            </w:tcBorders>
            <w:shd w:val="clear" w:color="auto" w:fill="auto"/>
            <w:noWrap/>
            <w:vAlign w:val="bottom"/>
            <w:hideMark/>
          </w:tcPr>
          <w:p w14:paraId="6EBB890D" w14:textId="0553A90D"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249</w:t>
            </w:r>
          </w:p>
        </w:tc>
      </w:tr>
      <w:tr w:rsidR="00684E37" w:rsidRPr="002F5AB8" w14:paraId="4101CB28" w14:textId="77777777" w:rsidTr="00E933A9">
        <w:trPr>
          <w:gridAfter w:val="1"/>
          <w:wAfter w:w="6" w:type="dxa"/>
          <w:trHeight w:val="345"/>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43585792" w14:textId="77777777" w:rsidR="00684E37" w:rsidRPr="002F5AB8" w:rsidRDefault="00684E37" w:rsidP="00684E37">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Transferuri</w:t>
            </w:r>
          </w:p>
        </w:tc>
        <w:tc>
          <w:tcPr>
            <w:tcW w:w="506" w:type="dxa"/>
            <w:tcBorders>
              <w:top w:val="nil"/>
              <w:left w:val="nil"/>
              <w:bottom w:val="single" w:sz="4" w:space="0" w:color="auto"/>
              <w:right w:val="single" w:sz="4" w:space="0" w:color="auto"/>
            </w:tcBorders>
            <w:shd w:val="clear" w:color="auto" w:fill="auto"/>
            <w:vAlign w:val="center"/>
            <w:hideMark/>
          </w:tcPr>
          <w:p w14:paraId="2F244C83" w14:textId="77777777" w:rsidR="00684E37" w:rsidRPr="002F5AB8" w:rsidRDefault="00684E37" w:rsidP="00684E37">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CA</w:t>
            </w:r>
          </w:p>
        </w:tc>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1E981A94" w14:textId="231850E1"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16</w:t>
            </w:r>
          </w:p>
        </w:tc>
        <w:tc>
          <w:tcPr>
            <w:tcW w:w="853" w:type="dxa"/>
            <w:tcBorders>
              <w:top w:val="nil"/>
              <w:left w:val="nil"/>
              <w:bottom w:val="single" w:sz="4" w:space="0" w:color="auto"/>
              <w:right w:val="single" w:sz="4" w:space="0" w:color="auto"/>
            </w:tcBorders>
            <w:shd w:val="clear" w:color="auto" w:fill="auto"/>
            <w:noWrap/>
            <w:vAlign w:val="bottom"/>
            <w:hideMark/>
          </w:tcPr>
          <w:p w14:paraId="4C406333" w14:textId="0FD84035"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3</w:t>
            </w:r>
          </w:p>
        </w:tc>
        <w:tc>
          <w:tcPr>
            <w:tcW w:w="885" w:type="dxa"/>
            <w:tcBorders>
              <w:top w:val="nil"/>
              <w:left w:val="nil"/>
              <w:bottom w:val="single" w:sz="4" w:space="0" w:color="auto"/>
              <w:right w:val="single" w:sz="4" w:space="0" w:color="auto"/>
            </w:tcBorders>
            <w:shd w:val="clear" w:color="auto" w:fill="auto"/>
            <w:noWrap/>
            <w:vAlign w:val="bottom"/>
            <w:hideMark/>
          </w:tcPr>
          <w:p w14:paraId="5D2A87A6" w14:textId="5BA898FB"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799" w:type="dxa"/>
            <w:tcBorders>
              <w:top w:val="nil"/>
              <w:left w:val="nil"/>
              <w:bottom w:val="single" w:sz="4" w:space="0" w:color="auto"/>
              <w:right w:val="single" w:sz="4" w:space="0" w:color="auto"/>
            </w:tcBorders>
            <w:shd w:val="clear" w:color="auto" w:fill="auto"/>
            <w:noWrap/>
            <w:vAlign w:val="bottom"/>
            <w:hideMark/>
          </w:tcPr>
          <w:p w14:paraId="43A2C944" w14:textId="54A6A831"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57100700" w14:textId="4ACE0CCD"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835" w:type="dxa"/>
            <w:tcBorders>
              <w:top w:val="nil"/>
              <w:left w:val="nil"/>
              <w:bottom w:val="single" w:sz="4" w:space="0" w:color="auto"/>
              <w:right w:val="single" w:sz="4" w:space="0" w:color="auto"/>
            </w:tcBorders>
            <w:shd w:val="clear" w:color="auto" w:fill="auto"/>
            <w:noWrap/>
            <w:vAlign w:val="bottom"/>
            <w:hideMark/>
          </w:tcPr>
          <w:p w14:paraId="1CE967EA" w14:textId="3F2E10E4"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992" w:type="dxa"/>
            <w:tcBorders>
              <w:top w:val="nil"/>
              <w:left w:val="nil"/>
              <w:bottom w:val="single" w:sz="4" w:space="0" w:color="auto"/>
              <w:right w:val="single" w:sz="4" w:space="0" w:color="auto"/>
            </w:tcBorders>
            <w:shd w:val="clear" w:color="auto" w:fill="auto"/>
            <w:noWrap/>
            <w:vAlign w:val="bottom"/>
            <w:hideMark/>
          </w:tcPr>
          <w:p w14:paraId="4144387A" w14:textId="034BF01B"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16</w:t>
            </w:r>
          </w:p>
        </w:tc>
        <w:tc>
          <w:tcPr>
            <w:tcW w:w="773" w:type="dxa"/>
            <w:tcBorders>
              <w:top w:val="nil"/>
              <w:left w:val="nil"/>
              <w:bottom w:val="single" w:sz="4" w:space="0" w:color="auto"/>
              <w:right w:val="single" w:sz="4" w:space="0" w:color="auto"/>
            </w:tcBorders>
            <w:shd w:val="clear" w:color="auto" w:fill="auto"/>
            <w:noWrap/>
            <w:vAlign w:val="bottom"/>
            <w:hideMark/>
          </w:tcPr>
          <w:p w14:paraId="71376A32" w14:textId="24D7C3DE"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3</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75F2041C" w14:textId="0410637F"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679" w:type="dxa"/>
            <w:tcBorders>
              <w:top w:val="nil"/>
              <w:left w:val="nil"/>
              <w:bottom w:val="single" w:sz="4" w:space="0" w:color="auto"/>
              <w:right w:val="single" w:sz="4" w:space="0" w:color="auto"/>
            </w:tcBorders>
            <w:shd w:val="clear" w:color="auto" w:fill="auto"/>
            <w:noWrap/>
            <w:vAlign w:val="bottom"/>
            <w:hideMark/>
          </w:tcPr>
          <w:p w14:paraId="6094A16D" w14:textId="546A4B4C"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r>
      <w:tr w:rsidR="00684E37" w:rsidRPr="002F5AB8" w14:paraId="09F7D2AE" w14:textId="77777777" w:rsidTr="00E933A9">
        <w:trPr>
          <w:gridAfter w:val="1"/>
          <w:wAfter w:w="6" w:type="dxa"/>
          <w:trHeight w:val="345"/>
          <w:jc w:val="center"/>
        </w:trPr>
        <w:tc>
          <w:tcPr>
            <w:tcW w:w="1838" w:type="dxa"/>
            <w:vMerge/>
            <w:tcBorders>
              <w:top w:val="nil"/>
              <w:left w:val="single" w:sz="4" w:space="0" w:color="auto"/>
              <w:bottom w:val="single" w:sz="4" w:space="0" w:color="000000"/>
              <w:right w:val="single" w:sz="4" w:space="0" w:color="auto"/>
            </w:tcBorders>
            <w:vAlign w:val="center"/>
            <w:hideMark/>
          </w:tcPr>
          <w:p w14:paraId="7CDBA155" w14:textId="77777777" w:rsidR="00684E37" w:rsidRPr="002F5AB8" w:rsidRDefault="00684E37" w:rsidP="00684E37">
            <w:pPr>
              <w:rPr>
                <w:rFonts w:ascii="Calibri Light" w:hAnsi="Calibri Light" w:cs="Calibri Light"/>
                <w:color w:val="000000"/>
                <w:sz w:val="20"/>
                <w:lang w:eastAsia="ro-RO"/>
              </w:rPr>
            </w:pPr>
          </w:p>
        </w:tc>
        <w:tc>
          <w:tcPr>
            <w:tcW w:w="506" w:type="dxa"/>
            <w:tcBorders>
              <w:top w:val="nil"/>
              <w:left w:val="nil"/>
              <w:bottom w:val="single" w:sz="4" w:space="0" w:color="auto"/>
              <w:right w:val="single" w:sz="4" w:space="0" w:color="auto"/>
            </w:tcBorders>
            <w:shd w:val="clear" w:color="auto" w:fill="auto"/>
            <w:vAlign w:val="center"/>
            <w:hideMark/>
          </w:tcPr>
          <w:p w14:paraId="10C937FD" w14:textId="77777777" w:rsidR="00684E37" w:rsidRPr="002F5AB8" w:rsidRDefault="00684E37" w:rsidP="00684E37">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CB</w:t>
            </w:r>
          </w:p>
        </w:tc>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12758D00" w14:textId="44F0155E"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16</w:t>
            </w:r>
          </w:p>
        </w:tc>
        <w:tc>
          <w:tcPr>
            <w:tcW w:w="853" w:type="dxa"/>
            <w:tcBorders>
              <w:top w:val="nil"/>
              <w:left w:val="nil"/>
              <w:bottom w:val="single" w:sz="4" w:space="0" w:color="auto"/>
              <w:right w:val="single" w:sz="4" w:space="0" w:color="auto"/>
            </w:tcBorders>
            <w:shd w:val="clear" w:color="auto" w:fill="auto"/>
            <w:noWrap/>
            <w:vAlign w:val="bottom"/>
            <w:hideMark/>
          </w:tcPr>
          <w:p w14:paraId="42AEF34B" w14:textId="7E90EA6A"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3</w:t>
            </w:r>
          </w:p>
        </w:tc>
        <w:tc>
          <w:tcPr>
            <w:tcW w:w="885" w:type="dxa"/>
            <w:tcBorders>
              <w:top w:val="nil"/>
              <w:left w:val="nil"/>
              <w:bottom w:val="single" w:sz="4" w:space="0" w:color="auto"/>
              <w:right w:val="single" w:sz="4" w:space="0" w:color="auto"/>
            </w:tcBorders>
            <w:shd w:val="clear" w:color="auto" w:fill="auto"/>
            <w:noWrap/>
            <w:vAlign w:val="bottom"/>
            <w:hideMark/>
          </w:tcPr>
          <w:p w14:paraId="4CB86A39" w14:textId="30DB8A84"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799" w:type="dxa"/>
            <w:tcBorders>
              <w:top w:val="nil"/>
              <w:left w:val="nil"/>
              <w:bottom w:val="single" w:sz="4" w:space="0" w:color="auto"/>
              <w:right w:val="single" w:sz="4" w:space="0" w:color="auto"/>
            </w:tcBorders>
            <w:shd w:val="clear" w:color="auto" w:fill="auto"/>
            <w:noWrap/>
            <w:vAlign w:val="bottom"/>
            <w:hideMark/>
          </w:tcPr>
          <w:p w14:paraId="59CFEEB6" w14:textId="3627292B"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1905AC70" w14:textId="513BC813"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835" w:type="dxa"/>
            <w:tcBorders>
              <w:top w:val="nil"/>
              <w:left w:val="nil"/>
              <w:bottom w:val="single" w:sz="4" w:space="0" w:color="auto"/>
              <w:right w:val="single" w:sz="4" w:space="0" w:color="auto"/>
            </w:tcBorders>
            <w:shd w:val="clear" w:color="auto" w:fill="auto"/>
            <w:noWrap/>
            <w:vAlign w:val="bottom"/>
            <w:hideMark/>
          </w:tcPr>
          <w:p w14:paraId="09B502E2" w14:textId="69FA5900"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992" w:type="dxa"/>
            <w:tcBorders>
              <w:top w:val="nil"/>
              <w:left w:val="nil"/>
              <w:bottom w:val="single" w:sz="4" w:space="0" w:color="auto"/>
              <w:right w:val="single" w:sz="4" w:space="0" w:color="auto"/>
            </w:tcBorders>
            <w:shd w:val="clear" w:color="auto" w:fill="auto"/>
            <w:noWrap/>
            <w:vAlign w:val="bottom"/>
            <w:hideMark/>
          </w:tcPr>
          <w:p w14:paraId="003C4271" w14:textId="494CA904"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16</w:t>
            </w:r>
          </w:p>
        </w:tc>
        <w:tc>
          <w:tcPr>
            <w:tcW w:w="773" w:type="dxa"/>
            <w:tcBorders>
              <w:top w:val="nil"/>
              <w:left w:val="nil"/>
              <w:bottom w:val="single" w:sz="4" w:space="0" w:color="auto"/>
              <w:right w:val="single" w:sz="4" w:space="0" w:color="auto"/>
            </w:tcBorders>
            <w:shd w:val="clear" w:color="auto" w:fill="auto"/>
            <w:noWrap/>
            <w:vAlign w:val="bottom"/>
            <w:hideMark/>
          </w:tcPr>
          <w:p w14:paraId="22CD8E38" w14:textId="2B7B417D"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3</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42D5B16B" w14:textId="446E3595"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679" w:type="dxa"/>
            <w:tcBorders>
              <w:top w:val="nil"/>
              <w:left w:val="nil"/>
              <w:bottom w:val="single" w:sz="4" w:space="0" w:color="auto"/>
              <w:right w:val="single" w:sz="4" w:space="0" w:color="auto"/>
            </w:tcBorders>
            <w:shd w:val="clear" w:color="auto" w:fill="auto"/>
            <w:noWrap/>
            <w:vAlign w:val="bottom"/>
            <w:hideMark/>
          </w:tcPr>
          <w:p w14:paraId="1B042B24" w14:textId="51084082"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r>
      <w:tr w:rsidR="00684E37" w:rsidRPr="002F5AB8" w14:paraId="2A65B3D4" w14:textId="77777777" w:rsidTr="00E933A9">
        <w:trPr>
          <w:gridAfter w:val="1"/>
          <w:wAfter w:w="6" w:type="dxa"/>
          <w:trHeight w:val="345"/>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035A2572" w14:textId="77777777" w:rsidR="00684E37" w:rsidRPr="002F5AB8" w:rsidRDefault="00684E37" w:rsidP="00684E37">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Alte transferuri</w:t>
            </w:r>
          </w:p>
        </w:tc>
        <w:tc>
          <w:tcPr>
            <w:tcW w:w="506" w:type="dxa"/>
            <w:tcBorders>
              <w:top w:val="nil"/>
              <w:left w:val="nil"/>
              <w:bottom w:val="single" w:sz="4" w:space="0" w:color="auto"/>
              <w:right w:val="single" w:sz="4" w:space="0" w:color="auto"/>
            </w:tcBorders>
            <w:shd w:val="clear" w:color="auto" w:fill="auto"/>
            <w:vAlign w:val="center"/>
            <w:hideMark/>
          </w:tcPr>
          <w:p w14:paraId="345B3DCA" w14:textId="77777777" w:rsidR="00684E37" w:rsidRPr="002F5AB8" w:rsidRDefault="00684E37" w:rsidP="00684E37">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CA</w:t>
            </w:r>
          </w:p>
        </w:tc>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2B5E2AC7" w14:textId="3A7F6F54"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93</w:t>
            </w:r>
          </w:p>
        </w:tc>
        <w:tc>
          <w:tcPr>
            <w:tcW w:w="853" w:type="dxa"/>
            <w:tcBorders>
              <w:top w:val="nil"/>
              <w:left w:val="nil"/>
              <w:bottom w:val="single" w:sz="4" w:space="0" w:color="auto"/>
              <w:right w:val="single" w:sz="4" w:space="0" w:color="auto"/>
            </w:tcBorders>
            <w:shd w:val="clear" w:color="auto" w:fill="auto"/>
            <w:noWrap/>
            <w:vAlign w:val="bottom"/>
            <w:hideMark/>
          </w:tcPr>
          <w:p w14:paraId="569BD734" w14:textId="0E890544"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18</w:t>
            </w:r>
          </w:p>
        </w:tc>
        <w:tc>
          <w:tcPr>
            <w:tcW w:w="885" w:type="dxa"/>
            <w:tcBorders>
              <w:top w:val="nil"/>
              <w:left w:val="nil"/>
              <w:bottom w:val="single" w:sz="4" w:space="0" w:color="auto"/>
              <w:right w:val="single" w:sz="4" w:space="0" w:color="auto"/>
            </w:tcBorders>
            <w:shd w:val="clear" w:color="auto" w:fill="auto"/>
            <w:noWrap/>
            <w:vAlign w:val="bottom"/>
            <w:hideMark/>
          </w:tcPr>
          <w:p w14:paraId="339BC799" w14:textId="290ECE84"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67</w:t>
            </w:r>
          </w:p>
        </w:tc>
        <w:tc>
          <w:tcPr>
            <w:tcW w:w="799" w:type="dxa"/>
            <w:tcBorders>
              <w:top w:val="nil"/>
              <w:left w:val="nil"/>
              <w:bottom w:val="single" w:sz="4" w:space="0" w:color="auto"/>
              <w:right w:val="single" w:sz="4" w:space="0" w:color="auto"/>
            </w:tcBorders>
            <w:shd w:val="clear" w:color="auto" w:fill="auto"/>
            <w:noWrap/>
            <w:vAlign w:val="bottom"/>
            <w:hideMark/>
          </w:tcPr>
          <w:p w14:paraId="7A450D06" w14:textId="2AE0B593"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13</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46119438" w14:textId="3D0F0F07"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835" w:type="dxa"/>
            <w:tcBorders>
              <w:top w:val="nil"/>
              <w:left w:val="nil"/>
              <w:bottom w:val="single" w:sz="4" w:space="0" w:color="auto"/>
              <w:right w:val="single" w:sz="4" w:space="0" w:color="auto"/>
            </w:tcBorders>
            <w:shd w:val="clear" w:color="auto" w:fill="auto"/>
            <w:noWrap/>
            <w:vAlign w:val="bottom"/>
            <w:hideMark/>
          </w:tcPr>
          <w:p w14:paraId="2B6FF7B2" w14:textId="3CF8AFE1"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992" w:type="dxa"/>
            <w:tcBorders>
              <w:top w:val="nil"/>
              <w:left w:val="nil"/>
              <w:bottom w:val="single" w:sz="4" w:space="0" w:color="auto"/>
              <w:right w:val="single" w:sz="4" w:space="0" w:color="auto"/>
            </w:tcBorders>
            <w:shd w:val="clear" w:color="auto" w:fill="auto"/>
            <w:noWrap/>
            <w:vAlign w:val="bottom"/>
            <w:hideMark/>
          </w:tcPr>
          <w:p w14:paraId="017E28DB" w14:textId="6F83825D"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26</w:t>
            </w:r>
          </w:p>
        </w:tc>
        <w:tc>
          <w:tcPr>
            <w:tcW w:w="773" w:type="dxa"/>
            <w:tcBorders>
              <w:top w:val="nil"/>
              <w:left w:val="nil"/>
              <w:bottom w:val="single" w:sz="4" w:space="0" w:color="auto"/>
              <w:right w:val="single" w:sz="4" w:space="0" w:color="auto"/>
            </w:tcBorders>
            <w:shd w:val="clear" w:color="auto" w:fill="auto"/>
            <w:noWrap/>
            <w:vAlign w:val="bottom"/>
            <w:hideMark/>
          </w:tcPr>
          <w:p w14:paraId="5FF20E15" w14:textId="1596ED55"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5</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64132221" w14:textId="71736B8F"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679" w:type="dxa"/>
            <w:tcBorders>
              <w:top w:val="nil"/>
              <w:left w:val="nil"/>
              <w:bottom w:val="single" w:sz="4" w:space="0" w:color="auto"/>
              <w:right w:val="single" w:sz="4" w:space="0" w:color="auto"/>
            </w:tcBorders>
            <w:shd w:val="clear" w:color="auto" w:fill="auto"/>
            <w:noWrap/>
            <w:vAlign w:val="bottom"/>
            <w:hideMark/>
          </w:tcPr>
          <w:p w14:paraId="4D1143E0" w14:textId="2F72DAEB"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r>
      <w:tr w:rsidR="00684E37" w:rsidRPr="002F5AB8" w14:paraId="1445A058" w14:textId="77777777" w:rsidTr="00E933A9">
        <w:trPr>
          <w:gridAfter w:val="1"/>
          <w:wAfter w:w="6" w:type="dxa"/>
          <w:trHeight w:val="345"/>
          <w:jc w:val="center"/>
        </w:trPr>
        <w:tc>
          <w:tcPr>
            <w:tcW w:w="1838" w:type="dxa"/>
            <w:vMerge/>
            <w:tcBorders>
              <w:top w:val="nil"/>
              <w:left w:val="single" w:sz="4" w:space="0" w:color="auto"/>
              <w:bottom w:val="single" w:sz="4" w:space="0" w:color="000000"/>
              <w:right w:val="single" w:sz="4" w:space="0" w:color="auto"/>
            </w:tcBorders>
            <w:vAlign w:val="center"/>
            <w:hideMark/>
          </w:tcPr>
          <w:p w14:paraId="1AB0A27C" w14:textId="77777777" w:rsidR="00684E37" w:rsidRPr="002F5AB8" w:rsidRDefault="00684E37" w:rsidP="00684E37">
            <w:pPr>
              <w:rPr>
                <w:rFonts w:ascii="Calibri Light" w:hAnsi="Calibri Light" w:cs="Calibri Light"/>
                <w:color w:val="000000"/>
                <w:sz w:val="20"/>
                <w:lang w:eastAsia="ro-RO"/>
              </w:rPr>
            </w:pPr>
          </w:p>
        </w:tc>
        <w:tc>
          <w:tcPr>
            <w:tcW w:w="506" w:type="dxa"/>
            <w:tcBorders>
              <w:top w:val="nil"/>
              <w:left w:val="nil"/>
              <w:bottom w:val="single" w:sz="4" w:space="0" w:color="auto"/>
              <w:right w:val="single" w:sz="4" w:space="0" w:color="auto"/>
            </w:tcBorders>
            <w:shd w:val="clear" w:color="auto" w:fill="auto"/>
            <w:vAlign w:val="center"/>
            <w:hideMark/>
          </w:tcPr>
          <w:p w14:paraId="05563A0E" w14:textId="77777777" w:rsidR="00684E37" w:rsidRPr="002F5AB8" w:rsidRDefault="00684E37" w:rsidP="00684E37">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CB</w:t>
            </w:r>
          </w:p>
        </w:tc>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57FDD7BE" w14:textId="4BBDF380"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93</w:t>
            </w:r>
          </w:p>
        </w:tc>
        <w:tc>
          <w:tcPr>
            <w:tcW w:w="853" w:type="dxa"/>
            <w:tcBorders>
              <w:top w:val="nil"/>
              <w:left w:val="nil"/>
              <w:bottom w:val="single" w:sz="4" w:space="0" w:color="auto"/>
              <w:right w:val="single" w:sz="4" w:space="0" w:color="auto"/>
            </w:tcBorders>
            <w:shd w:val="clear" w:color="auto" w:fill="auto"/>
            <w:noWrap/>
            <w:vAlign w:val="bottom"/>
            <w:hideMark/>
          </w:tcPr>
          <w:p w14:paraId="404A77C1" w14:textId="3B7FAB5C"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18</w:t>
            </w:r>
          </w:p>
        </w:tc>
        <w:tc>
          <w:tcPr>
            <w:tcW w:w="885" w:type="dxa"/>
            <w:tcBorders>
              <w:top w:val="nil"/>
              <w:left w:val="nil"/>
              <w:bottom w:val="single" w:sz="4" w:space="0" w:color="auto"/>
              <w:right w:val="single" w:sz="4" w:space="0" w:color="auto"/>
            </w:tcBorders>
            <w:shd w:val="clear" w:color="auto" w:fill="auto"/>
            <w:noWrap/>
            <w:vAlign w:val="bottom"/>
            <w:hideMark/>
          </w:tcPr>
          <w:p w14:paraId="03E0F7E4" w14:textId="755B570B"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67</w:t>
            </w:r>
          </w:p>
        </w:tc>
        <w:tc>
          <w:tcPr>
            <w:tcW w:w="799" w:type="dxa"/>
            <w:tcBorders>
              <w:top w:val="nil"/>
              <w:left w:val="nil"/>
              <w:bottom w:val="single" w:sz="4" w:space="0" w:color="auto"/>
              <w:right w:val="single" w:sz="4" w:space="0" w:color="auto"/>
            </w:tcBorders>
            <w:shd w:val="clear" w:color="auto" w:fill="auto"/>
            <w:noWrap/>
            <w:vAlign w:val="bottom"/>
            <w:hideMark/>
          </w:tcPr>
          <w:p w14:paraId="689291F5" w14:textId="181CDD5D"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13</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59F663AE" w14:textId="0BF053AD"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835" w:type="dxa"/>
            <w:tcBorders>
              <w:top w:val="nil"/>
              <w:left w:val="nil"/>
              <w:bottom w:val="single" w:sz="4" w:space="0" w:color="auto"/>
              <w:right w:val="single" w:sz="4" w:space="0" w:color="auto"/>
            </w:tcBorders>
            <w:shd w:val="clear" w:color="auto" w:fill="auto"/>
            <w:noWrap/>
            <w:vAlign w:val="bottom"/>
            <w:hideMark/>
          </w:tcPr>
          <w:p w14:paraId="5C5AF7D4" w14:textId="6CB739E2"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992" w:type="dxa"/>
            <w:tcBorders>
              <w:top w:val="nil"/>
              <w:left w:val="nil"/>
              <w:bottom w:val="single" w:sz="4" w:space="0" w:color="auto"/>
              <w:right w:val="single" w:sz="4" w:space="0" w:color="auto"/>
            </w:tcBorders>
            <w:shd w:val="clear" w:color="auto" w:fill="auto"/>
            <w:noWrap/>
            <w:vAlign w:val="bottom"/>
            <w:hideMark/>
          </w:tcPr>
          <w:p w14:paraId="28E27641" w14:textId="171553BF"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26</w:t>
            </w:r>
          </w:p>
        </w:tc>
        <w:tc>
          <w:tcPr>
            <w:tcW w:w="773" w:type="dxa"/>
            <w:tcBorders>
              <w:top w:val="nil"/>
              <w:left w:val="nil"/>
              <w:bottom w:val="single" w:sz="4" w:space="0" w:color="auto"/>
              <w:right w:val="single" w:sz="4" w:space="0" w:color="auto"/>
            </w:tcBorders>
            <w:shd w:val="clear" w:color="auto" w:fill="auto"/>
            <w:noWrap/>
            <w:vAlign w:val="bottom"/>
            <w:hideMark/>
          </w:tcPr>
          <w:p w14:paraId="12DF6738" w14:textId="65D50B4B"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5</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1F878D63" w14:textId="7A11EAFA"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679" w:type="dxa"/>
            <w:tcBorders>
              <w:top w:val="nil"/>
              <w:left w:val="nil"/>
              <w:bottom w:val="single" w:sz="4" w:space="0" w:color="auto"/>
              <w:right w:val="single" w:sz="4" w:space="0" w:color="auto"/>
            </w:tcBorders>
            <w:shd w:val="clear" w:color="auto" w:fill="auto"/>
            <w:noWrap/>
            <w:vAlign w:val="bottom"/>
            <w:hideMark/>
          </w:tcPr>
          <w:p w14:paraId="2E47D1BA" w14:textId="22A04457"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r>
      <w:tr w:rsidR="00684E37" w:rsidRPr="002F5AB8" w14:paraId="4808F668" w14:textId="77777777" w:rsidTr="00E933A9">
        <w:trPr>
          <w:gridAfter w:val="1"/>
          <w:wAfter w:w="6" w:type="dxa"/>
          <w:trHeight w:val="289"/>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4E25064B" w14:textId="77777777" w:rsidR="00684E37" w:rsidRPr="002F5AB8" w:rsidRDefault="00684E37" w:rsidP="00684E37">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Proiecte cu finanțare din FEN postaderare</w:t>
            </w:r>
          </w:p>
        </w:tc>
        <w:tc>
          <w:tcPr>
            <w:tcW w:w="506" w:type="dxa"/>
            <w:tcBorders>
              <w:top w:val="nil"/>
              <w:left w:val="nil"/>
              <w:bottom w:val="single" w:sz="4" w:space="0" w:color="auto"/>
              <w:right w:val="single" w:sz="4" w:space="0" w:color="auto"/>
            </w:tcBorders>
            <w:shd w:val="clear" w:color="auto" w:fill="auto"/>
            <w:vAlign w:val="center"/>
            <w:hideMark/>
          </w:tcPr>
          <w:p w14:paraId="7D6F392B" w14:textId="77777777" w:rsidR="00684E37" w:rsidRPr="002F5AB8" w:rsidRDefault="00684E37" w:rsidP="00684E37">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CA</w:t>
            </w:r>
          </w:p>
        </w:tc>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2EF1233A" w14:textId="04641A17"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35</w:t>
            </w:r>
          </w:p>
        </w:tc>
        <w:tc>
          <w:tcPr>
            <w:tcW w:w="853" w:type="dxa"/>
            <w:tcBorders>
              <w:top w:val="nil"/>
              <w:left w:val="nil"/>
              <w:bottom w:val="single" w:sz="4" w:space="0" w:color="auto"/>
              <w:right w:val="single" w:sz="4" w:space="0" w:color="auto"/>
            </w:tcBorders>
            <w:shd w:val="clear" w:color="auto" w:fill="auto"/>
            <w:noWrap/>
            <w:vAlign w:val="bottom"/>
            <w:hideMark/>
          </w:tcPr>
          <w:p w14:paraId="73E1449B" w14:textId="127878E7"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7</w:t>
            </w:r>
          </w:p>
        </w:tc>
        <w:tc>
          <w:tcPr>
            <w:tcW w:w="885" w:type="dxa"/>
            <w:tcBorders>
              <w:top w:val="nil"/>
              <w:left w:val="nil"/>
              <w:bottom w:val="single" w:sz="4" w:space="0" w:color="auto"/>
              <w:right w:val="single" w:sz="4" w:space="0" w:color="auto"/>
            </w:tcBorders>
            <w:shd w:val="clear" w:color="auto" w:fill="auto"/>
            <w:noWrap/>
            <w:vAlign w:val="bottom"/>
            <w:hideMark/>
          </w:tcPr>
          <w:p w14:paraId="2411D4AA" w14:textId="7C130741"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35</w:t>
            </w:r>
          </w:p>
        </w:tc>
        <w:tc>
          <w:tcPr>
            <w:tcW w:w="799" w:type="dxa"/>
            <w:tcBorders>
              <w:top w:val="nil"/>
              <w:left w:val="nil"/>
              <w:bottom w:val="single" w:sz="4" w:space="0" w:color="auto"/>
              <w:right w:val="single" w:sz="4" w:space="0" w:color="auto"/>
            </w:tcBorders>
            <w:shd w:val="clear" w:color="auto" w:fill="auto"/>
            <w:noWrap/>
            <w:vAlign w:val="bottom"/>
            <w:hideMark/>
          </w:tcPr>
          <w:p w14:paraId="5B183607" w14:textId="024D8F0A"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7</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4ADD9431" w14:textId="4D0D3FCD"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835" w:type="dxa"/>
            <w:tcBorders>
              <w:top w:val="nil"/>
              <w:left w:val="nil"/>
              <w:bottom w:val="single" w:sz="4" w:space="0" w:color="auto"/>
              <w:right w:val="single" w:sz="4" w:space="0" w:color="auto"/>
            </w:tcBorders>
            <w:shd w:val="clear" w:color="auto" w:fill="auto"/>
            <w:noWrap/>
            <w:vAlign w:val="bottom"/>
            <w:hideMark/>
          </w:tcPr>
          <w:p w14:paraId="318AF9FD" w14:textId="386E5C27"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992" w:type="dxa"/>
            <w:tcBorders>
              <w:top w:val="nil"/>
              <w:left w:val="nil"/>
              <w:bottom w:val="single" w:sz="4" w:space="0" w:color="auto"/>
              <w:right w:val="single" w:sz="4" w:space="0" w:color="auto"/>
            </w:tcBorders>
            <w:shd w:val="clear" w:color="auto" w:fill="auto"/>
            <w:noWrap/>
            <w:vAlign w:val="bottom"/>
            <w:hideMark/>
          </w:tcPr>
          <w:p w14:paraId="3BA51EC0" w14:textId="1FD0F2B3"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773" w:type="dxa"/>
            <w:tcBorders>
              <w:top w:val="nil"/>
              <w:left w:val="nil"/>
              <w:bottom w:val="single" w:sz="4" w:space="0" w:color="auto"/>
              <w:right w:val="single" w:sz="4" w:space="0" w:color="auto"/>
            </w:tcBorders>
            <w:shd w:val="clear" w:color="auto" w:fill="auto"/>
            <w:noWrap/>
            <w:vAlign w:val="bottom"/>
            <w:hideMark/>
          </w:tcPr>
          <w:p w14:paraId="48997C4C" w14:textId="24A7390D"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43425390" w14:textId="6245A459"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c>
          <w:tcPr>
            <w:tcW w:w="679" w:type="dxa"/>
            <w:tcBorders>
              <w:top w:val="nil"/>
              <w:left w:val="nil"/>
              <w:bottom w:val="single" w:sz="4" w:space="0" w:color="auto"/>
              <w:right w:val="single" w:sz="4" w:space="0" w:color="auto"/>
            </w:tcBorders>
            <w:shd w:val="clear" w:color="auto" w:fill="auto"/>
            <w:noWrap/>
            <w:vAlign w:val="bottom"/>
            <w:hideMark/>
          </w:tcPr>
          <w:p w14:paraId="628CA0FD" w14:textId="49836F19" w:rsidR="00684E37" w:rsidRPr="007574BA" w:rsidRDefault="00684E37" w:rsidP="00684E37">
            <w:pPr>
              <w:jc w:val="right"/>
              <w:rPr>
                <w:rFonts w:ascii="Calibri Light" w:hAnsi="Calibri Light" w:cs="Calibri Light"/>
                <w:sz w:val="20"/>
                <w:lang w:eastAsia="ro-RO"/>
              </w:rPr>
            </w:pPr>
            <w:r w:rsidRPr="007574BA">
              <w:rPr>
                <w:rFonts w:ascii="Calibri Light" w:hAnsi="Calibri Light" w:cs="Calibri Light"/>
                <w:sz w:val="20"/>
              </w:rPr>
              <w:t>0</w:t>
            </w:r>
          </w:p>
        </w:tc>
      </w:tr>
      <w:tr w:rsidR="00CE4D7B" w:rsidRPr="002F5AB8" w14:paraId="24D86013" w14:textId="77777777" w:rsidTr="00E933A9">
        <w:trPr>
          <w:gridAfter w:val="1"/>
          <w:wAfter w:w="6" w:type="dxa"/>
          <w:trHeight w:val="360"/>
          <w:jc w:val="center"/>
        </w:trPr>
        <w:tc>
          <w:tcPr>
            <w:tcW w:w="1838" w:type="dxa"/>
            <w:vMerge/>
            <w:tcBorders>
              <w:top w:val="nil"/>
              <w:left w:val="single" w:sz="4" w:space="0" w:color="auto"/>
              <w:bottom w:val="single" w:sz="4" w:space="0" w:color="000000"/>
              <w:right w:val="single" w:sz="4" w:space="0" w:color="auto"/>
            </w:tcBorders>
            <w:vAlign w:val="center"/>
            <w:hideMark/>
          </w:tcPr>
          <w:p w14:paraId="1AE1CE39" w14:textId="77777777" w:rsidR="00CE4D7B" w:rsidRPr="002F5AB8" w:rsidRDefault="00CE4D7B" w:rsidP="00CE4D7B">
            <w:pPr>
              <w:rPr>
                <w:rFonts w:ascii="Calibri Light" w:hAnsi="Calibri Light" w:cs="Calibri Light"/>
                <w:color w:val="000000"/>
                <w:sz w:val="20"/>
                <w:lang w:eastAsia="ro-RO"/>
              </w:rPr>
            </w:pPr>
          </w:p>
        </w:tc>
        <w:tc>
          <w:tcPr>
            <w:tcW w:w="506" w:type="dxa"/>
            <w:tcBorders>
              <w:top w:val="nil"/>
              <w:left w:val="nil"/>
              <w:bottom w:val="single" w:sz="4" w:space="0" w:color="auto"/>
              <w:right w:val="single" w:sz="4" w:space="0" w:color="auto"/>
            </w:tcBorders>
            <w:shd w:val="clear" w:color="auto" w:fill="auto"/>
            <w:vAlign w:val="center"/>
            <w:hideMark/>
          </w:tcPr>
          <w:p w14:paraId="63B11D66" w14:textId="77777777" w:rsidR="00CE4D7B" w:rsidRPr="002F5AB8" w:rsidRDefault="00CE4D7B" w:rsidP="00CE4D7B">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CB</w:t>
            </w:r>
          </w:p>
        </w:tc>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1CC1B0D7" w14:textId="60D9B904"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35</w:t>
            </w:r>
          </w:p>
        </w:tc>
        <w:tc>
          <w:tcPr>
            <w:tcW w:w="853" w:type="dxa"/>
            <w:tcBorders>
              <w:top w:val="nil"/>
              <w:left w:val="nil"/>
              <w:bottom w:val="single" w:sz="4" w:space="0" w:color="auto"/>
              <w:right w:val="single" w:sz="4" w:space="0" w:color="auto"/>
            </w:tcBorders>
            <w:shd w:val="clear" w:color="auto" w:fill="auto"/>
            <w:noWrap/>
            <w:vAlign w:val="bottom"/>
            <w:hideMark/>
          </w:tcPr>
          <w:p w14:paraId="4DA9F954" w14:textId="40ECB061"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7</w:t>
            </w:r>
          </w:p>
        </w:tc>
        <w:tc>
          <w:tcPr>
            <w:tcW w:w="885" w:type="dxa"/>
            <w:tcBorders>
              <w:top w:val="nil"/>
              <w:left w:val="nil"/>
              <w:bottom w:val="single" w:sz="4" w:space="0" w:color="auto"/>
              <w:right w:val="single" w:sz="4" w:space="0" w:color="auto"/>
            </w:tcBorders>
            <w:shd w:val="clear" w:color="auto" w:fill="auto"/>
            <w:noWrap/>
            <w:vAlign w:val="bottom"/>
            <w:hideMark/>
          </w:tcPr>
          <w:p w14:paraId="0CCEE176" w14:textId="0C58797E"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35</w:t>
            </w:r>
          </w:p>
        </w:tc>
        <w:tc>
          <w:tcPr>
            <w:tcW w:w="799" w:type="dxa"/>
            <w:tcBorders>
              <w:top w:val="nil"/>
              <w:left w:val="nil"/>
              <w:bottom w:val="single" w:sz="4" w:space="0" w:color="auto"/>
              <w:right w:val="single" w:sz="4" w:space="0" w:color="auto"/>
            </w:tcBorders>
            <w:shd w:val="clear" w:color="auto" w:fill="auto"/>
            <w:noWrap/>
            <w:vAlign w:val="bottom"/>
            <w:hideMark/>
          </w:tcPr>
          <w:p w14:paraId="77AC2C74" w14:textId="7111B88E"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7</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23324E03" w14:textId="2F636BB8"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0</w:t>
            </w:r>
          </w:p>
        </w:tc>
        <w:tc>
          <w:tcPr>
            <w:tcW w:w="835" w:type="dxa"/>
            <w:tcBorders>
              <w:top w:val="nil"/>
              <w:left w:val="nil"/>
              <w:bottom w:val="single" w:sz="4" w:space="0" w:color="auto"/>
              <w:right w:val="single" w:sz="4" w:space="0" w:color="auto"/>
            </w:tcBorders>
            <w:shd w:val="clear" w:color="auto" w:fill="auto"/>
            <w:noWrap/>
            <w:vAlign w:val="bottom"/>
            <w:hideMark/>
          </w:tcPr>
          <w:p w14:paraId="5BE783E8" w14:textId="67A778DC"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0</w:t>
            </w:r>
          </w:p>
        </w:tc>
        <w:tc>
          <w:tcPr>
            <w:tcW w:w="992" w:type="dxa"/>
            <w:tcBorders>
              <w:top w:val="nil"/>
              <w:left w:val="nil"/>
              <w:bottom w:val="single" w:sz="4" w:space="0" w:color="auto"/>
              <w:right w:val="single" w:sz="4" w:space="0" w:color="auto"/>
            </w:tcBorders>
            <w:shd w:val="clear" w:color="auto" w:fill="auto"/>
            <w:noWrap/>
            <w:vAlign w:val="bottom"/>
            <w:hideMark/>
          </w:tcPr>
          <w:p w14:paraId="5BBC4BAC" w14:textId="56A5071B"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0</w:t>
            </w:r>
          </w:p>
        </w:tc>
        <w:tc>
          <w:tcPr>
            <w:tcW w:w="773" w:type="dxa"/>
            <w:tcBorders>
              <w:top w:val="nil"/>
              <w:left w:val="nil"/>
              <w:bottom w:val="single" w:sz="4" w:space="0" w:color="auto"/>
              <w:right w:val="single" w:sz="4" w:space="0" w:color="auto"/>
            </w:tcBorders>
            <w:shd w:val="clear" w:color="auto" w:fill="auto"/>
            <w:noWrap/>
            <w:vAlign w:val="bottom"/>
            <w:hideMark/>
          </w:tcPr>
          <w:p w14:paraId="61AFF101" w14:textId="090D0198"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0</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35BDA64E" w14:textId="2D2E0F74"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0</w:t>
            </w:r>
          </w:p>
        </w:tc>
        <w:tc>
          <w:tcPr>
            <w:tcW w:w="679" w:type="dxa"/>
            <w:tcBorders>
              <w:top w:val="nil"/>
              <w:left w:val="nil"/>
              <w:bottom w:val="single" w:sz="4" w:space="0" w:color="auto"/>
              <w:right w:val="single" w:sz="4" w:space="0" w:color="auto"/>
            </w:tcBorders>
            <w:shd w:val="clear" w:color="auto" w:fill="auto"/>
            <w:noWrap/>
            <w:vAlign w:val="bottom"/>
            <w:hideMark/>
          </w:tcPr>
          <w:p w14:paraId="47A1CA3D" w14:textId="197AEF68"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0</w:t>
            </w:r>
          </w:p>
        </w:tc>
      </w:tr>
      <w:tr w:rsidR="00CE4D7B" w:rsidRPr="002F5AB8" w14:paraId="7EBA6292" w14:textId="77777777" w:rsidTr="00E933A9">
        <w:trPr>
          <w:gridAfter w:val="1"/>
          <w:wAfter w:w="6" w:type="dxa"/>
          <w:trHeight w:val="360"/>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1BEA918C" w14:textId="77777777" w:rsidR="00CE4D7B" w:rsidRPr="002F5AB8" w:rsidRDefault="00CE4D7B" w:rsidP="00CE4D7B">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Proiecte cu finanțare din FEN aferente cadrului financiar 2014-2020</w:t>
            </w:r>
          </w:p>
        </w:tc>
        <w:tc>
          <w:tcPr>
            <w:tcW w:w="506" w:type="dxa"/>
            <w:tcBorders>
              <w:top w:val="nil"/>
              <w:left w:val="nil"/>
              <w:bottom w:val="single" w:sz="4" w:space="0" w:color="auto"/>
              <w:right w:val="single" w:sz="4" w:space="0" w:color="auto"/>
            </w:tcBorders>
            <w:shd w:val="clear" w:color="auto" w:fill="auto"/>
            <w:vAlign w:val="center"/>
            <w:hideMark/>
          </w:tcPr>
          <w:p w14:paraId="10DE56C5" w14:textId="77777777" w:rsidR="00CE4D7B" w:rsidRPr="002F5AB8" w:rsidRDefault="00CE4D7B" w:rsidP="00CE4D7B">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CA</w:t>
            </w:r>
          </w:p>
        </w:tc>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3CB36BCE" w14:textId="3E11ABCB"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3 365</w:t>
            </w:r>
          </w:p>
        </w:tc>
        <w:tc>
          <w:tcPr>
            <w:tcW w:w="853" w:type="dxa"/>
            <w:tcBorders>
              <w:top w:val="nil"/>
              <w:left w:val="nil"/>
              <w:bottom w:val="single" w:sz="4" w:space="0" w:color="auto"/>
              <w:right w:val="single" w:sz="4" w:space="0" w:color="auto"/>
            </w:tcBorders>
            <w:shd w:val="clear" w:color="auto" w:fill="auto"/>
            <w:noWrap/>
            <w:vAlign w:val="bottom"/>
            <w:hideMark/>
          </w:tcPr>
          <w:p w14:paraId="4A3B8611" w14:textId="41434B28"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673</w:t>
            </w:r>
          </w:p>
        </w:tc>
        <w:tc>
          <w:tcPr>
            <w:tcW w:w="885" w:type="dxa"/>
            <w:tcBorders>
              <w:top w:val="nil"/>
              <w:left w:val="nil"/>
              <w:bottom w:val="single" w:sz="4" w:space="0" w:color="auto"/>
              <w:right w:val="single" w:sz="4" w:space="0" w:color="auto"/>
            </w:tcBorders>
            <w:shd w:val="clear" w:color="auto" w:fill="auto"/>
            <w:noWrap/>
            <w:vAlign w:val="bottom"/>
            <w:hideMark/>
          </w:tcPr>
          <w:p w14:paraId="689317E9" w14:textId="1EE7C14C"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2 856</w:t>
            </w:r>
          </w:p>
        </w:tc>
        <w:tc>
          <w:tcPr>
            <w:tcW w:w="799" w:type="dxa"/>
            <w:tcBorders>
              <w:top w:val="nil"/>
              <w:left w:val="nil"/>
              <w:bottom w:val="single" w:sz="4" w:space="0" w:color="auto"/>
              <w:right w:val="single" w:sz="4" w:space="0" w:color="auto"/>
            </w:tcBorders>
            <w:shd w:val="clear" w:color="auto" w:fill="auto"/>
            <w:noWrap/>
            <w:vAlign w:val="bottom"/>
            <w:hideMark/>
          </w:tcPr>
          <w:p w14:paraId="6E092866" w14:textId="652F04D3"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571</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705FBA54" w14:textId="38264D3F"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0</w:t>
            </w:r>
          </w:p>
        </w:tc>
        <w:tc>
          <w:tcPr>
            <w:tcW w:w="835" w:type="dxa"/>
            <w:tcBorders>
              <w:top w:val="nil"/>
              <w:left w:val="nil"/>
              <w:bottom w:val="single" w:sz="4" w:space="0" w:color="auto"/>
              <w:right w:val="single" w:sz="4" w:space="0" w:color="auto"/>
            </w:tcBorders>
            <w:shd w:val="clear" w:color="auto" w:fill="auto"/>
            <w:noWrap/>
            <w:vAlign w:val="bottom"/>
            <w:hideMark/>
          </w:tcPr>
          <w:p w14:paraId="237C0A4D" w14:textId="12179D83"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0</w:t>
            </w:r>
          </w:p>
        </w:tc>
        <w:tc>
          <w:tcPr>
            <w:tcW w:w="992" w:type="dxa"/>
            <w:tcBorders>
              <w:top w:val="nil"/>
              <w:left w:val="nil"/>
              <w:bottom w:val="single" w:sz="4" w:space="0" w:color="auto"/>
              <w:right w:val="single" w:sz="4" w:space="0" w:color="auto"/>
            </w:tcBorders>
            <w:shd w:val="clear" w:color="auto" w:fill="auto"/>
            <w:noWrap/>
            <w:vAlign w:val="bottom"/>
            <w:hideMark/>
          </w:tcPr>
          <w:p w14:paraId="68A3E118" w14:textId="0949DF11"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465</w:t>
            </w:r>
          </w:p>
        </w:tc>
        <w:tc>
          <w:tcPr>
            <w:tcW w:w="773" w:type="dxa"/>
            <w:tcBorders>
              <w:top w:val="nil"/>
              <w:left w:val="nil"/>
              <w:bottom w:val="single" w:sz="4" w:space="0" w:color="auto"/>
              <w:right w:val="single" w:sz="4" w:space="0" w:color="auto"/>
            </w:tcBorders>
            <w:shd w:val="clear" w:color="auto" w:fill="auto"/>
            <w:noWrap/>
            <w:vAlign w:val="bottom"/>
            <w:hideMark/>
          </w:tcPr>
          <w:p w14:paraId="71FF4D9A" w14:textId="68C0F16F"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93</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6A50FEC2" w14:textId="56FA1227"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44</w:t>
            </w:r>
          </w:p>
        </w:tc>
        <w:tc>
          <w:tcPr>
            <w:tcW w:w="679" w:type="dxa"/>
            <w:tcBorders>
              <w:top w:val="nil"/>
              <w:left w:val="nil"/>
              <w:bottom w:val="single" w:sz="4" w:space="0" w:color="auto"/>
              <w:right w:val="single" w:sz="4" w:space="0" w:color="auto"/>
            </w:tcBorders>
            <w:shd w:val="clear" w:color="auto" w:fill="auto"/>
            <w:noWrap/>
            <w:vAlign w:val="bottom"/>
            <w:hideMark/>
          </w:tcPr>
          <w:p w14:paraId="404A5562" w14:textId="0E397229"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9</w:t>
            </w:r>
          </w:p>
        </w:tc>
      </w:tr>
      <w:tr w:rsidR="00CE4D7B" w:rsidRPr="002F5AB8" w14:paraId="17F2E067" w14:textId="77777777" w:rsidTr="00E933A9">
        <w:trPr>
          <w:gridAfter w:val="1"/>
          <w:wAfter w:w="6" w:type="dxa"/>
          <w:trHeight w:val="390"/>
          <w:jc w:val="center"/>
        </w:trPr>
        <w:tc>
          <w:tcPr>
            <w:tcW w:w="1838" w:type="dxa"/>
            <w:vMerge/>
            <w:tcBorders>
              <w:top w:val="nil"/>
              <w:left w:val="single" w:sz="4" w:space="0" w:color="auto"/>
              <w:bottom w:val="single" w:sz="4" w:space="0" w:color="000000"/>
              <w:right w:val="single" w:sz="4" w:space="0" w:color="auto"/>
            </w:tcBorders>
            <w:vAlign w:val="center"/>
            <w:hideMark/>
          </w:tcPr>
          <w:p w14:paraId="4F64704D" w14:textId="77777777" w:rsidR="00CE4D7B" w:rsidRPr="002F5AB8" w:rsidRDefault="00CE4D7B" w:rsidP="00CE4D7B">
            <w:pPr>
              <w:rPr>
                <w:rFonts w:ascii="Calibri Light" w:hAnsi="Calibri Light" w:cs="Calibri Light"/>
                <w:color w:val="000000"/>
                <w:sz w:val="20"/>
                <w:lang w:eastAsia="ro-RO"/>
              </w:rPr>
            </w:pPr>
          </w:p>
        </w:tc>
        <w:tc>
          <w:tcPr>
            <w:tcW w:w="506" w:type="dxa"/>
            <w:tcBorders>
              <w:top w:val="nil"/>
              <w:left w:val="nil"/>
              <w:bottom w:val="single" w:sz="4" w:space="0" w:color="auto"/>
              <w:right w:val="single" w:sz="4" w:space="0" w:color="auto"/>
            </w:tcBorders>
            <w:shd w:val="clear" w:color="auto" w:fill="auto"/>
            <w:vAlign w:val="center"/>
            <w:hideMark/>
          </w:tcPr>
          <w:p w14:paraId="5B351E27" w14:textId="77777777" w:rsidR="00CE4D7B" w:rsidRPr="002F5AB8" w:rsidRDefault="00CE4D7B" w:rsidP="00CE4D7B">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CB</w:t>
            </w:r>
          </w:p>
        </w:tc>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1FD29264" w14:textId="61C62B79"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3 365</w:t>
            </w:r>
          </w:p>
        </w:tc>
        <w:tc>
          <w:tcPr>
            <w:tcW w:w="853" w:type="dxa"/>
            <w:tcBorders>
              <w:top w:val="nil"/>
              <w:left w:val="nil"/>
              <w:bottom w:val="single" w:sz="4" w:space="0" w:color="auto"/>
              <w:right w:val="single" w:sz="4" w:space="0" w:color="auto"/>
            </w:tcBorders>
            <w:shd w:val="clear" w:color="auto" w:fill="auto"/>
            <w:noWrap/>
            <w:vAlign w:val="bottom"/>
            <w:hideMark/>
          </w:tcPr>
          <w:p w14:paraId="6C46C018" w14:textId="36D44C78"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673</w:t>
            </w:r>
          </w:p>
        </w:tc>
        <w:tc>
          <w:tcPr>
            <w:tcW w:w="885" w:type="dxa"/>
            <w:tcBorders>
              <w:top w:val="nil"/>
              <w:left w:val="nil"/>
              <w:bottom w:val="single" w:sz="4" w:space="0" w:color="auto"/>
              <w:right w:val="single" w:sz="4" w:space="0" w:color="auto"/>
            </w:tcBorders>
            <w:shd w:val="clear" w:color="auto" w:fill="auto"/>
            <w:noWrap/>
            <w:vAlign w:val="bottom"/>
            <w:hideMark/>
          </w:tcPr>
          <w:p w14:paraId="71445AA4" w14:textId="07303030"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2 856</w:t>
            </w:r>
          </w:p>
        </w:tc>
        <w:tc>
          <w:tcPr>
            <w:tcW w:w="799" w:type="dxa"/>
            <w:tcBorders>
              <w:top w:val="nil"/>
              <w:left w:val="nil"/>
              <w:bottom w:val="single" w:sz="4" w:space="0" w:color="auto"/>
              <w:right w:val="single" w:sz="4" w:space="0" w:color="auto"/>
            </w:tcBorders>
            <w:shd w:val="clear" w:color="auto" w:fill="auto"/>
            <w:noWrap/>
            <w:vAlign w:val="bottom"/>
            <w:hideMark/>
          </w:tcPr>
          <w:p w14:paraId="66564494" w14:textId="6DA9E520"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571</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1691DD7A" w14:textId="768076AD"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0</w:t>
            </w:r>
          </w:p>
        </w:tc>
        <w:tc>
          <w:tcPr>
            <w:tcW w:w="835" w:type="dxa"/>
            <w:tcBorders>
              <w:top w:val="nil"/>
              <w:left w:val="nil"/>
              <w:bottom w:val="single" w:sz="4" w:space="0" w:color="auto"/>
              <w:right w:val="single" w:sz="4" w:space="0" w:color="auto"/>
            </w:tcBorders>
            <w:shd w:val="clear" w:color="auto" w:fill="auto"/>
            <w:noWrap/>
            <w:vAlign w:val="bottom"/>
            <w:hideMark/>
          </w:tcPr>
          <w:p w14:paraId="74EA4086" w14:textId="29B4F668"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0</w:t>
            </w:r>
          </w:p>
        </w:tc>
        <w:tc>
          <w:tcPr>
            <w:tcW w:w="992" w:type="dxa"/>
            <w:tcBorders>
              <w:top w:val="nil"/>
              <w:left w:val="nil"/>
              <w:bottom w:val="single" w:sz="4" w:space="0" w:color="auto"/>
              <w:right w:val="single" w:sz="4" w:space="0" w:color="auto"/>
            </w:tcBorders>
            <w:shd w:val="clear" w:color="auto" w:fill="auto"/>
            <w:noWrap/>
            <w:vAlign w:val="bottom"/>
            <w:hideMark/>
          </w:tcPr>
          <w:p w14:paraId="59BA3F27" w14:textId="0E614D0D"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465</w:t>
            </w:r>
          </w:p>
        </w:tc>
        <w:tc>
          <w:tcPr>
            <w:tcW w:w="773" w:type="dxa"/>
            <w:tcBorders>
              <w:top w:val="nil"/>
              <w:left w:val="nil"/>
              <w:bottom w:val="single" w:sz="4" w:space="0" w:color="auto"/>
              <w:right w:val="single" w:sz="4" w:space="0" w:color="auto"/>
            </w:tcBorders>
            <w:shd w:val="clear" w:color="auto" w:fill="auto"/>
            <w:noWrap/>
            <w:vAlign w:val="bottom"/>
            <w:hideMark/>
          </w:tcPr>
          <w:p w14:paraId="5915995A" w14:textId="300410CB"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93</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2CA8F7E6" w14:textId="09228CC8"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44</w:t>
            </w:r>
          </w:p>
        </w:tc>
        <w:tc>
          <w:tcPr>
            <w:tcW w:w="679" w:type="dxa"/>
            <w:tcBorders>
              <w:top w:val="nil"/>
              <w:left w:val="nil"/>
              <w:bottom w:val="single" w:sz="4" w:space="0" w:color="auto"/>
              <w:right w:val="single" w:sz="4" w:space="0" w:color="auto"/>
            </w:tcBorders>
            <w:shd w:val="clear" w:color="auto" w:fill="auto"/>
            <w:noWrap/>
            <w:vAlign w:val="bottom"/>
            <w:hideMark/>
          </w:tcPr>
          <w:p w14:paraId="693B031A" w14:textId="6EAAC823"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9</w:t>
            </w:r>
          </w:p>
        </w:tc>
      </w:tr>
      <w:tr w:rsidR="00CE4D7B" w:rsidRPr="002F5AB8" w14:paraId="67F282F7" w14:textId="77777777" w:rsidTr="00E933A9">
        <w:trPr>
          <w:gridAfter w:val="1"/>
          <w:wAfter w:w="6" w:type="dxa"/>
          <w:trHeight w:val="405"/>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5B978EBB" w14:textId="77777777" w:rsidR="00CE4D7B" w:rsidRPr="002F5AB8" w:rsidRDefault="00CE4D7B" w:rsidP="00CE4D7B">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Alte cheltuieli</w:t>
            </w:r>
          </w:p>
        </w:tc>
        <w:tc>
          <w:tcPr>
            <w:tcW w:w="506" w:type="dxa"/>
            <w:tcBorders>
              <w:top w:val="nil"/>
              <w:left w:val="nil"/>
              <w:bottom w:val="single" w:sz="4" w:space="0" w:color="auto"/>
              <w:right w:val="single" w:sz="4" w:space="0" w:color="auto"/>
            </w:tcBorders>
            <w:shd w:val="clear" w:color="auto" w:fill="auto"/>
            <w:vAlign w:val="center"/>
            <w:hideMark/>
          </w:tcPr>
          <w:p w14:paraId="604B886E" w14:textId="77777777" w:rsidR="00CE4D7B" w:rsidRPr="002F5AB8" w:rsidRDefault="00CE4D7B" w:rsidP="00CE4D7B">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CA</w:t>
            </w:r>
          </w:p>
        </w:tc>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4CBDBE66" w14:textId="5411E1BD"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54 947</w:t>
            </w:r>
          </w:p>
        </w:tc>
        <w:tc>
          <w:tcPr>
            <w:tcW w:w="853" w:type="dxa"/>
            <w:tcBorders>
              <w:top w:val="nil"/>
              <w:left w:val="nil"/>
              <w:bottom w:val="single" w:sz="4" w:space="0" w:color="auto"/>
              <w:right w:val="single" w:sz="4" w:space="0" w:color="auto"/>
            </w:tcBorders>
            <w:shd w:val="clear" w:color="auto" w:fill="auto"/>
            <w:noWrap/>
            <w:vAlign w:val="bottom"/>
            <w:hideMark/>
          </w:tcPr>
          <w:p w14:paraId="263E321D" w14:textId="2DC01743"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10 936</w:t>
            </w:r>
          </w:p>
        </w:tc>
        <w:tc>
          <w:tcPr>
            <w:tcW w:w="885" w:type="dxa"/>
            <w:tcBorders>
              <w:top w:val="nil"/>
              <w:left w:val="nil"/>
              <w:bottom w:val="single" w:sz="4" w:space="0" w:color="auto"/>
              <w:right w:val="single" w:sz="4" w:space="0" w:color="auto"/>
            </w:tcBorders>
            <w:shd w:val="clear" w:color="auto" w:fill="auto"/>
            <w:noWrap/>
            <w:vAlign w:val="bottom"/>
            <w:hideMark/>
          </w:tcPr>
          <w:p w14:paraId="3B153AF5" w14:textId="3D320315"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557</w:t>
            </w:r>
          </w:p>
        </w:tc>
        <w:tc>
          <w:tcPr>
            <w:tcW w:w="799" w:type="dxa"/>
            <w:tcBorders>
              <w:top w:val="nil"/>
              <w:left w:val="nil"/>
              <w:bottom w:val="single" w:sz="4" w:space="0" w:color="auto"/>
              <w:right w:val="single" w:sz="4" w:space="0" w:color="auto"/>
            </w:tcBorders>
            <w:shd w:val="clear" w:color="auto" w:fill="auto"/>
            <w:noWrap/>
            <w:vAlign w:val="bottom"/>
            <w:hideMark/>
          </w:tcPr>
          <w:p w14:paraId="38839A3A" w14:textId="0585E84C"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111</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2BC07904" w14:textId="4DDFA09B"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265</w:t>
            </w:r>
          </w:p>
        </w:tc>
        <w:tc>
          <w:tcPr>
            <w:tcW w:w="835" w:type="dxa"/>
            <w:tcBorders>
              <w:top w:val="nil"/>
              <w:left w:val="nil"/>
              <w:bottom w:val="single" w:sz="4" w:space="0" w:color="auto"/>
              <w:right w:val="single" w:sz="4" w:space="0" w:color="auto"/>
            </w:tcBorders>
            <w:shd w:val="clear" w:color="auto" w:fill="auto"/>
            <w:noWrap/>
            <w:vAlign w:val="bottom"/>
            <w:hideMark/>
          </w:tcPr>
          <w:p w14:paraId="11EF4F0B" w14:textId="72DCC4D0"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53</w:t>
            </w:r>
          </w:p>
        </w:tc>
        <w:tc>
          <w:tcPr>
            <w:tcW w:w="992" w:type="dxa"/>
            <w:tcBorders>
              <w:top w:val="nil"/>
              <w:left w:val="nil"/>
              <w:bottom w:val="single" w:sz="4" w:space="0" w:color="auto"/>
              <w:right w:val="single" w:sz="4" w:space="0" w:color="auto"/>
            </w:tcBorders>
            <w:shd w:val="clear" w:color="auto" w:fill="auto"/>
            <w:noWrap/>
            <w:vAlign w:val="bottom"/>
            <w:hideMark/>
          </w:tcPr>
          <w:p w14:paraId="24B82281" w14:textId="71C6E6C2"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51 526</w:t>
            </w:r>
          </w:p>
        </w:tc>
        <w:tc>
          <w:tcPr>
            <w:tcW w:w="773" w:type="dxa"/>
            <w:tcBorders>
              <w:top w:val="nil"/>
              <w:left w:val="nil"/>
              <w:bottom w:val="single" w:sz="4" w:space="0" w:color="auto"/>
              <w:right w:val="single" w:sz="4" w:space="0" w:color="auto"/>
            </w:tcBorders>
            <w:shd w:val="clear" w:color="auto" w:fill="auto"/>
            <w:noWrap/>
            <w:vAlign w:val="bottom"/>
            <w:hideMark/>
          </w:tcPr>
          <w:p w14:paraId="4710699B" w14:textId="7A8D98FF"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10 305</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5BB048BB" w14:textId="42CDED3B"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2 599</w:t>
            </w:r>
          </w:p>
        </w:tc>
        <w:tc>
          <w:tcPr>
            <w:tcW w:w="679" w:type="dxa"/>
            <w:tcBorders>
              <w:top w:val="nil"/>
              <w:left w:val="nil"/>
              <w:bottom w:val="single" w:sz="4" w:space="0" w:color="auto"/>
              <w:right w:val="single" w:sz="4" w:space="0" w:color="auto"/>
            </w:tcBorders>
            <w:shd w:val="clear" w:color="auto" w:fill="auto"/>
            <w:noWrap/>
            <w:vAlign w:val="bottom"/>
            <w:hideMark/>
          </w:tcPr>
          <w:p w14:paraId="14E31D94" w14:textId="772EE4E3"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520</w:t>
            </w:r>
          </w:p>
        </w:tc>
      </w:tr>
      <w:tr w:rsidR="00CE4D7B" w:rsidRPr="002F5AB8" w14:paraId="36C059CB" w14:textId="77777777" w:rsidTr="00E933A9">
        <w:trPr>
          <w:gridAfter w:val="1"/>
          <w:wAfter w:w="6" w:type="dxa"/>
          <w:trHeight w:val="345"/>
          <w:jc w:val="center"/>
        </w:trPr>
        <w:tc>
          <w:tcPr>
            <w:tcW w:w="1838" w:type="dxa"/>
            <w:vMerge/>
            <w:tcBorders>
              <w:top w:val="nil"/>
              <w:left w:val="single" w:sz="4" w:space="0" w:color="auto"/>
              <w:bottom w:val="single" w:sz="4" w:space="0" w:color="000000"/>
              <w:right w:val="single" w:sz="4" w:space="0" w:color="auto"/>
            </w:tcBorders>
            <w:vAlign w:val="center"/>
            <w:hideMark/>
          </w:tcPr>
          <w:p w14:paraId="5D973384" w14:textId="77777777" w:rsidR="00CE4D7B" w:rsidRPr="002F5AB8" w:rsidRDefault="00CE4D7B" w:rsidP="00CE4D7B">
            <w:pPr>
              <w:rPr>
                <w:rFonts w:ascii="Calibri Light" w:hAnsi="Calibri Light" w:cs="Calibri Light"/>
                <w:color w:val="000000"/>
                <w:sz w:val="20"/>
                <w:lang w:eastAsia="ro-RO"/>
              </w:rPr>
            </w:pPr>
          </w:p>
        </w:tc>
        <w:tc>
          <w:tcPr>
            <w:tcW w:w="506" w:type="dxa"/>
            <w:tcBorders>
              <w:top w:val="nil"/>
              <w:left w:val="nil"/>
              <w:bottom w:val="single" w:sz="4" w:space="0" w:color="auto"/>
              <w:right w:val="single" w:sz="4" w:space="0" w:color="auto"/>
            </w:tcBorders>
            <w:shd w:val="clear" w:color="auto" w:fill="auto"/>
            <w:vAlign w:val="center"/>
            <w:hideMark/>
          </w:tcPr>
          <w:p w14:paraId="0CA03D7A" w14:textId="77777777" w:rsidR="00CE4D7B" w:rsidRPr="002F5AB8" w:rsidRDefault="00CE4D7B" w:rsidP="00CE4D7B">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CB</w:t>
            </w:r>
          </w:p>
        </w:tc>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7A6321B9" w14:textId="40AACFE4"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54 947</w:t>
            </w:r>
          </w:p>
        </w:tc>
        <w:tc>
          <w:tcPr>
            <w:tcW w:w="853" w:type="dxa"/>
            <w:tcBorders>
              <w:top w:val="nil"/>
              <w:left w:val="nil"/>
              <w:bottom w:val="single" w:sz="4" w:space="0" w:color="auto"/>
              <w:right w:val="single" w:sz="4" w:space="0" w:color="auto"/>
            </w:tcBorders>
            <w:shd w:val="clear" w:color="auto" w:fill="auto"/>
            <w:noWrap/>
            <w:vAlign w:val="bottom"/>
            <w:hideMark/>
          </w:tcPr>
          <w:p w14:paraId="48119D15" w14:textId="46555D38"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10 936</w:t>
            </w:r>
          </w:p>
        </w:tc>
        <w:tc>
          <w:tcPr>
            <w:tcW w:w="885" w:type="dxa"/>
            <w:tcBorders>
              <w:top w:val="nil"/>
              <w:left w:val="nil"/>
              <w:bottom w:val="single" w:sz="4" w:space="0" w:color="auto"/>
              <w:right w:val="single" w:sz="4" w:space="0" w:color="auto"/>
            </w:tcBorders>
            <w:shd w:val="clear" w:color="auto" w:fill="auto"/>
            <w:noWrap/>
            <w:vAlign w:val="bottom"/>
            <w:hideMark/>
          </w:tcPr>
          <w:p w14:paraId="66C4179A" w14:textId="3892000F"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557</w:t>
            </w:r>
          </w:p>
        </w:tc>
        <w:tc>
          <w:tcPr>
            <w:tcW w:w="799" w:type="dxa"/>
            <w:tcBorders>
              <w:top w:val="nil"/>
              <w:left w:val="nil"/>
              <w:bottom w:val="single" w:sz="4" w:space="0" w:color="auto"/>
              <w:right w:val="single" w:sz="4" w:space="0" w:color="auto"/>
            </w:tcBorders>
            <w:shd w:val="clear" w:color="auto" w:fill="auto"/>
            <w:noWrap/>
            <w:vAlign w:val="bottom"/>
            <w:hideMark/>
          </w:tcPr>
          <w:p w14:paraId="0BCA5B25" w14:textId="62FA3165"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111</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6D175901" w14:textId="1C6FFD1C"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265</w:t>
            </w:r>
          </w:p>
        </w:tc>
        <w:tc>
          <w:tcPr>
            <w:tcW w:w="835" w:type="dxa"/>
            <w:tcBorders>
              <w:top w:val="nil"/>
              <w:left w:val="nil"/>
              <w:bottom w:val="single" w:sz="4" w:space="0" w:color="auto"/>
              <w:right w:val="single" w:sz="4" w:space="0" w:color="auto"/>
            </w:tcBorders>
            <w:shd w:val="clear" w:color="auto" w:fill="auto"/>
            <w:noWrap/>
            <w:vAlign w:val="bottom"/>
            <w:hideMark/>
          </w:tcPr>
          <w:p w14:paraId="33BE6EE7" w14:textId="370347B8"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53</w:t>
            </w:r>
          </w:p>
        </w:tc>
        <w:tc>
          <w:tcPr>
            <w:tcW w:w="992" w:type="dxa"/>
            <w:tcBorders>
              <w:top w:val="nil"/>
              <w:left w:val="nil"/>
              <w:bottom w:val="single" w:sz="4" w:space="0" w:color="auto"/>
              <w:right w:val="single" w:sz="4" w:space="0" w:color="auto"/>
            </w:tcBorders>
            <w:shd w:val="clear" w:color="auto" w:fill="auto"/>
            <w:noWrap/>
            <w:vAlign w:val="bottom"/>
            <w:hideMark/>
          </w:tcPr>
          <w:p w14:paraId="2BB1715B" w14:textId="0D8E9540"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51 526</w:t>
            </w:r>
          </w:p>
        </w:tc>
        <w:tc>
          <w:tcPr>
            <w:tcW w:w="773" w:type="dxa"/>
            <w:tcBorders>
              <w:top w:val="nil"/>
              <w:left w:val="nil"/>
              <w:bottom w:val="single" w:sz="4" w:space="0" w:color="auto"/>
              <w:right w:val="single" w:sz="4" w:space="0" w:color="auto"/>
            </w:tcBorders>
            <w:shd w:val="clear" w:color="auto" w:fill="auto"/>
            <w:noWrap/>
            <w:vAlign w:val="bottom"/>
            <w:hideMark/>
          </w:tcPr>
          <w:p w14:paraId="515676F1" w14:textId="57C6B27F"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10 305</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7D1DCEF1" w14:textId="1D36B4DF"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2 599</w:t>
            </w:r>
          </w:p>
        </w:tc>
        <w:tc>
          <w:tcPr>
            <w:tcW w:w="679" w:type="dxa"/>
            <w:tcBorders>
              <w:top w:val="nil"/>
              <w:left w:val="nil"/>
              <w:bottom w:val="single" w:sz="4" w:space="0" w:color="auto"/>
              <w:right w:val="single" w:sz="4" w:space="0" w:color="auto"/>
            </w:tcBorders>
            <w:shd w:val="clear" w:color="auto" w:fill="auto"/>
            <w:noWrap/>
            <w:vAlign w:val="bottom"/>
            <w:hideMark/>
          </w:tcPr>
          <w:p w14:paraId="7B98FA1E" w14:textId="752E246B"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520</w:t>
            </w:r>
          </w:p>
        </w:tc>
      </w:tr>
      <w:tr w:rsidR="00CE4D7B" w:rsidRPr="002F5AB8" w14:paraId="284A33C9" w14:textId="77777777" w:rsidTr="00E933A9">
        <w:trPr>
          <w:gridAfter w:val="1"/>
          <w:wAfter w:w="6" w:type="dxa"/>
          <w:trHeight w:val="525"/>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0C419532" w14:textId="77777777" w:rsidR="00CE4D7B" w:rsidRPr="002F5AB8" w:rsidRDefault="00CE4D7B" w:rsidP="00CE4D7B">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Proiecte cu finanțare din sumele reprezentând asistență financiară nerambursabilă PNRR</w:t>
            </w:r>
          </w:p>
        </w:tc>
        <w:tc>
          <w:tcPr>
            <w:tcW w:w="506" w:type="dxa"/>
            <w:tcBorders>
              <w:top w:val="nil"/>
              <w:left w:val="nil"/>
              <w:bottom w:val="single" w:sz="4" w:space="0" w:color="auto"/>
              <w:right w:val="single" w:sz="4" w:space="0" w:color="auto"/>
            </w:tcBorders>
            <w:shd w:val="clear" w:color="auto" w:fill="auto"/>
            <w:vAlign w:val="center"/>
            <w:hideMark/>
          </w:tcPr>
          <w:p w14:paraId="4B05477A" w14:textId="77777777" w:rsidR="00CE4D7B" w:rsidRPr="002F5AB8" w:rsidRDefault="00CE4D7B" w:rsidP="00CE4D7B">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CA</w:t>
            </w:r>
          </w:p>
        </w:tc>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2493E286" w14:textId="32E56676"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658</w:t>
            </w:r>
          </w:p>
        </w:tc>
        <w:tc>
          <w:tcPr>
            <w:tcW w:w="853" w:type="dxa"/>
            <w:tcBorders>
              <w:top w:val="nil"/>
              <w:left w:val="nil"/>
              <w:bottom w:val="single" w:sz="4" w:space="0" w:color="auto"/>
              <w:right w:val="single" w:sz="4" w:space="0" w:color="auto"/>
            </w:tcBorders>
            <w:shd w:val="clear" w:color="auto" w:fill="auto"/>
            <w:noWrap/>
            <w:vAlign w:val="bottom"/>
            <w:hideMark/>
          </w:tcPr>
          <w:p w14:paraId="5865E1EE" w14:textId="6554038B"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132</w:t>
            </w:r>
          </w:p>
        </w:tc>
        <w:tc>
          <w:tcPr>
            <w:tcW w:w="885" w:type="dxa"/>
            <w:tcBorders>
              <w:top w:val="nil"/>
              <w:left w:val="nil"/>
              <w:bottom w:val="single" w:sz="4" w:space="0" w:color="auto"/>
              <w:right w:val="single" w:sz="4" w:space="0" w:color="auto"/>
            </w:tcBorders>
            <w:shd w:val="clear" w:color="auto" w:fill="auto"/>
            <w:noWrap/>
            <w:vAlign w:val="bottom"/>
            <w:hideMark/>
          </w:tcPr>
          <w:p w14:paraId="57994A97" w14:textId="49F2536C"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658</w:t>
            </w:r>
          </w:p>
        </w:tc>
        <w:tc>
          <w:tcPr>
            <w:tcW w:w="799" w:type="dxa"/>
            <w:tcBorders>
              <w:top w:val="nil"/>
              <w:left w:val="nil"/>
              <w:bottom w:val="single" w:sz="4" w:space="0" w:color="auto"/>
              <w:right w:val="single" w:sz="4" w:space="0" w:color="auto"/>
            </w:tcBorders>
            <w:shd w:val="clear" w:color="auto" w:fill="auto"/>
            <w:noWrap/>
            <w:vAlign w:val="bottom"/>
            <w:hideMark/>
          </w:tcPr>
          <w:p w14:paraId="2ECF689C" w14:textId="25571347"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132</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65ECF5C5" w14:textId="33CC0D1D" w:rsidR="00CE4D7B" w:rsidRPr="007574BA" w:rsidRDefault="00CE4D7B" w:rsidP="00CE4D7B">
            <w:pPr>
              <w:rPr>
                <w:rFonts w:ascii="Calibri Light" w:hAnsi="Calibri Light" w:cs="Calibri Light"/>
                <w:sz w:val="20"/>
                <w:lang w:eastAsia="ro-RO"/>
              </w:rPr>
            </w:pPr>
            <w:r w:rsidRPr="007574BA">
              <w:rPr>
                <w:rFonts w:ascii="Calibri Light" w:hAnsi="Calibri Light" w:cs="Calibri Light"/>
                <w:sz w:val="20"/>
              </w:rPr>
              <w:t> </w:t>
            </w:r>
          </w:p>
        </w:tc>
        <w:tc>
          <w:tcPr>
            <w:tcW w:w="835" w:type="dxa"/>
            <w:tcBorders>
              <w:top w:val="nil"/>
              <w:left w:val="nil"/>
              <w:bottom w:val="single" w:sz="4" w:space="0" w:color="auto"/>
              <w:right w:val="single" w:sz="4" w:space="0" w:color="auto"/>
            </w:tcBorders>
            <w:shd w:val="clear" w:color="auto" w:fill="auto"/>
            <w:noWrap/>
            <w:vAlign w:val="bottom"/>
            <w:hideMark/>
          </w:tcPr>
          <w:p w14:paraId="4E9D833F" w14:textId="01EBCFAC"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0</w:t>
            </w:r>
          </w:p>
        </w:tc>
        <w:tc>
          <w:tcPr>
            <w:tcW w:w="992" w:type="dxa"/>
            <w:tcBorders>
              <w:top w:val="nil"/>
              <w:left w:val="nil"/>
              <w:bottom w:val="single" w:sz="4" w:space="0" w:color="auto"/>
              <w:right w:val="single" w:sz="4" w:space="0" w:color="auto"/>
            </w:tcBorders>
            <w:shd w:val="clear" w:color="auto" w:fill="auto"/>
            <w:noWrap/>
            <w:vAlign w:val="bottom"/>
            <w:hideMark/>
          </w:tcPr>
          <w:p w14:paraId="0BC0EB52" w14:textId="37C13A90" w:rsidR="00CE4D7B" w:rsidRPr="007574BA" w:rsidRDefault="00CE4D7B" w:rsidP="00CE4D7B">
            <w:pPr>
              <w:rPr>
                <w:rFonts w:ascii="Calibri Light" w:hAnsi="Calibri Light" w:cs="Calibri Light"/>
                <w:sz w:val="20"/>
                <w:lang w:eastAsia="ro-RO"/>
              </w:rPr>
            </w:pPr>
            <w:r w:rsidRPr="007574BA">
              <w:rPr>
                <w:rFonts w:ascii="Calibri Light" w:hAnsi="Calibri Light" w:cs="Calibri Light"/>
                <w:sz w:val="20"/>
              </w:rPr>
              <w:t> </w:t>
            </w:r>
          </w:p>
        </w:tc>
        <w:tc>
          <w:tcPr>
            <w:tcW w:w="773" w:type="dxa"/>
            <w:tcBorders>
              <w:top w:val="nil"/>
              <w:left w:val="nil"/>
              <w:bottom w:val="single" w:sz="4" w:space="0" w:color="auto"/>
              <w:right w:val="single" w:sz="4" w:space="0" w:color="auto"/>
            </w:tcBorders>
            <w:shd w:val="clear" w:color="auto" w:fill="auto"/>
            <w:noWrap/>
            <w:vAlign w:val="bottom"/>
            <w:hideMark/>
          </w:tcPr>
          <w:p w14:paraId="03105DB1" w14:textId="4471AC5F"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0</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25E70BEB" w14:textId="748B8E38" w:rsidR="00CE4D7B" w:rsidRPr="007574BA" w:rsidRDefault="00CE4D7B" w:rsidP="00CE4D7B">
            <w:pPr>
              <w:rPr>
                <w:rFonts w:ascii="Calibri Light" w:hAnsi="Calibri Light" w:cs="Calibri Light"/>
                <w:sz w:val="20"/>
                <w:lang w:eastAsia="ro-RO"/>
              </w:rPr>
            </w:pPr>
            <w:r w:rsidRPr="007574BA">
              <w:rPr>
                <w:rFonts w:ascii="Calibri Light" w:hAnsi="Calibri Light" w:cs="Calibri Light"/>
                <w:sz w:val="20"/>
              </w:rPr>
              <w:t> </w:t>
            </w:r>
          </w:p>
        </w:tc>
        <w:tc>
          <w:tcPr>
            <w:tcW w:w="679" w:type="dxa"/>
            <w:tcBorders>
              <w:top w:val="nil"/>
              <w:left w:val="nil"/>
              <w:bottom w:val="single" w:sz="4" w:space="0" w:color="auto"/>
              <w:right w:val="single" w:sz="4" w:space="0" w:color="auto"/>
            </w:tcBorders>
            <w:shd w:val="clear" w:color="auto" w:fill="auto"/>
            <w:noWrap/>
            <w:vAlign w:val="bottom"/>
            <w:hideMark/>
          </w:tcPr>
          <w:p w14:paraId="2BC10E31" w14:textId="1AF97518"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0</w:t>
            </w:r>
          </w:p>
        </w:tc>
      </w:tr>
      <w:tr w:rsidR="00CE4D7B" w:rsidRPr="002F5AB8" w14:paraId="55A0DC8E" w14:textId="77777777" w:rsidTr="00E933A9">
        <w:trPr>
          <w:gridAfter w:val="1"/>
          <w:wAfter w:w="6" w:type="dxa"/>
          <w:trHeight w:val="555"/>
          <w:jc w:val="center"/>
        </w:trPr>
        <w:tc>
          <w:tcPr>
            <w:tcW w:w="1838" w:type="dxa"/>
            <w:vMerge/>
            <w:tcBorders>
              <w:top w:val="nil"/>
              <w:left w:val="single" w:sz="4" w:space="0" w:color="auto"/>
              <w:bottom w:val="single" w:sz="4" w:space="0" w:color="000000"/>
              <w:right w:val="single" w:sz="4" w:space="0" w:color="auto"/>
            </w:tcBorders>
            <w:vAlign w:val="center"/>
            <w:hideMark/>
          </w:tcPr>
          <w:p w14:paraId="41B17286" w14:textId="77777777" w:rsidR="00CE4D7B" w:rsidRPr="002F5AB8" w:rsidRDefault="00CE4D7B" w:rsidP="00CE4D7B">
            <w:pPr>
              <w:rPr>
                <w:rFonts w:ascii="Calibri Light" w:hAnsi="Calibri Light" w:cs="Calibri Light"/>
                <w:color w:val="000000"/>
                <w:sz w:val="20"/>
                <w:lang w:eastAsia="ro-RO"/>
              </w:rPr>
            </w:pPr>
          </w:p>
        </w:tc>
        <w:tc>
          <w:tcPr>
            <w:tcW w:w="506" w:type="dxa"/>
            <w:tcBorders>
              <w:top w:val="nil"/>
              <w:left w:val="nil"/>
              <w:bottom w:val="single" w:sz="4" w:space="0" w:color="auto"/>
              <w:right w:val="single" w:sz="4" w:space="0" w:color="auto"/>
            </w:tcBorders>
            <w:shd w:val="clear" w:color="auto" w:fill="auto"/>
            <w:vAlign w:val="center"/>
            <w:hideMark/>
          </w:tcPr>
          <w:p w14:paraId="4F83439D" w14:textId="77777777" w:rsidR="00CE4D7B" w:rsidRPr="002F5AB8" w:rsidRDefault="00CE4D7B" w:rsidP="00CE4D7B">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CB</w:t>
            </w:r>
          </w:p>
        </w:tc>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79C5BC11" w14:textId="005D5F24"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658</w:t>
            </w:r>
          </w:p>
        </w:tc>
        <w:tc>
          <w:tcPr>
            <w:tcW w:w="853" w:type="dxa"/>
            <w:tcBorders>
              <w:top w:val="nil"/>
              <w:left w:val="nil"/>
              <w:bottom w:val="single" w:sz="4" w:space="0" w:color="auto"/>
              <w:right w:val="single" w:sz="4" w:space="0" w:color="auto"/>
            </w:tcBorders>
            <w:shd w:val="clear" w:color="auto" w:fill="auto"/>
            <w:noWrap/>
            <w:vAlign w:val="bottom"/>
            <w:hideMark/>
          </w:tcPr>
          <w:p w14:paraId="31CCD6CE" w14:textId="3955ACA8"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132</w:t>
            </w:r>
          </w:p>
        </w:tc>
        <w:tc>
          <w:tcPr>
            <w:tcW w:w="885" w:type="dxa"/>
            <w:tcBorders>
              <w:top w:val="nil"/>
              <w:left w:val="nil"/>
              <w:bottom w:val="single" w:sz="4" w:space="0" w:color="auto"/>
              <w:right w:val="single" w:sz="4" w:space="0" w:color="auto"/>
            </w:tcBorders>
            <w:shd w:val="clear" w:color="auto" w:fill="auto"/>
            <w:noWrap/>
            <w:vAlign w:val="bottom"/>
            <w:hideMark/>
          </w:tcPr>
          <w:p w14:paraId="1A5975C7" w14:textId="3538BDB3"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658</w:t>
            </w:r>
          </w:p>
        </w:tc>
        <w:tc>
          <w:tcPr>
            <w:tcW w:w="799" w:type="dxa"/>
            <w:tcBorders>
              <w:top w:val="nil"/>
              <w:left w:val="nil"/>
              <w:bottom w:val="single" w:sz="4" w:space="0" w:color="auto"/>
              <w:right w:val="single" w:sz="4" w:space="0" w:color="auto"/>
            </w:tcBorders>
            <w:shd w:val="clear" w:color="auto" w:fill="auto"/>
            <w:noWrap/>
            <w:vAlign w:val="bottom"/>
            <w:hideMark/>
          </w:tcPr>
          <w:p w14:paraId="75081E12" w14:textId="0D5D0A01"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132</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53767D04" w14:textId="7B0C9DD1" w:rsidR="00CE4D7B" w:rsidRPr="007574BA" w:rsidRDefault="00CE4D7B" w:rsidP="00CE4D7B">
            <w:pPr>
              <w:rPr>
                <w:rFonts w:ascii="Calibri Light" w:hAnsi="Calibri Light" w:cs="Calibri Light"/>
                <w:sz w:val="20"/>
                <w:lang w:eastAsia="ro-RO"/>
              </w:rPr>
            </w:pPr>
            <w:r w:rsidRPr="007574BA">
              <w:rPr>
                <w:rFonts w:ascii="Calibri Light" w:hAnsi="Calibri Light" w:cs="Calibri Light"/>
                <w:sz w:val="20"/>
              </w:rPr>
              <w:t> </w:t>
            </w:r>
          </w:p>
        </w:tc>
        <w:tc>
          <w:tcPr>
            <w:tcW w:w="835" w:type="dxa"/>
            <w:tcBorders>
              <w:top w:val="nil"/>
              <w:left w:val="nil"/>
              <w:bottom w:val="single" w:sz="4" w:space="0" w:color="auto"/>
              <w:right w:val="single" w:sz="4" w:space="0" w:color="auto"/>
            </w:tcBorders>
            <w:shd w:val="clear" w:color="auto" w:fill="auto"/>
            <w:noWrap/>
            <w:vAlign w:val="bottom"/>
            <w:hideMark/>
          </w:tcPr>
          <w:p w14:paraId="03A6F2A0" w14:textId="1F2D670B"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0</w:t>
            </w:r>
          </w:p>
        </w:tc>
        <w:tc>
          <w:tcPr>
            <w:tcW w:w="992" w:type="dxa"/>
            <w:tcBorders>
              <w:top w:val="nil"/>
              <w:left w:val="nil"/>
              <w:bottom w:val="single" w:sz="4" w:space="0" w:color="auto"/>
              <w:right w:val="single" w:sz="4" w:space="0" w:color="auto"/>
            </w:tcBorders>
            <w:shd w:val="clear" w:color="auto" w:fill="auto"/>
            <w:noWrap/>
            <w:vAlign w:val="bottom"/>
            <w:hideMark/>
          </w:tcPr>
          <w:p w14:paraId="36B69461" w14:textId="6C8C217A" w:rsidR="00CE4D7B" w:rsidRPr="007574BA" w:rsidRDefault="00CE4D7B" w:rsidP="00CE4D7B">
            <w:pPr>
              <w:rPr>
                <w:rFonts w:ascii="Calibri Light" w:hAnsi="Calibri Light" w:cs="Calibri Light"/>
                <w:sz w:val="20"/>
                <w:lang w:eastAsia="ro-RO"/>
              </w:rPr>
            </w:pPr>
            <w:r w:rsidRPr="007574BA">
              <w:rPr>
                <w:rFonts w:ascii="Calibri Light" w:hAnsi="Calibri Light" w:cs="Calibri Light"/>
                <w:sz w:val="20"/>
              </w:rPr>
              <w:t> </w:t>
            </w:r>
          </w:p>
        </w:tc>
        <w:tc>
          <w:tcPr>
            <w:tcW w:w="773" w:type="dxa"/>
            <w:tcBorders>
              <w:top w:val="nil"/>
              <w:left w:val="nil"/>
              <w:bottom w:val="single" w:sz="4" w:space="0" w:color="auto"/>
              <w:right w:val="single" w:sz="4" w:space="0" w:color="auto"/>
            </w:tcBorders>
            <w:shd w:val="clear" w:color="auto" w:fill="auto"/>
            <w:noWrap/>
            <w:vAlign w:val="bottom"/>
            <w:hideMark/>
          </w:tcPr>
          <w:p w14:paraId="1567262E" w14:textId="638905C7"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0</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31307D7E" w14:textId="5C8DCE6C" w:rsidR="00CE4D7B" w:rsidRPr="007574BA" w:rsidRDefault="00CE4D7B" w:rsidP="00CE4D7B">
            <w:pPr>
              <w:rPr>
                <w:rFonts w:ascii="Calibri Light" w:hAnsi="Calibri Light" w:cs="Calibri Light"/>
                <w:sz w:val="20"/>
                <w:lang w:eastAsia="ro-RO"/>
              </w:rPr>
            </w:pPr>
            <w:r w:rsidRPr="007574BA">
              <w:rPr>
                <w:rFonts w:ascii="Calibri Light" w:hAnsi="Calibri Light" w:cs="Calibri Light"/>
                <w:sz w:val="20"/>
              </w:rPr>
              <w:t> </w:t>
            </w:r>
          </w:p>
        </w:tc>
        <w:tc>
          <w:tcPr>
            <w:tcW w:w="679" w:type="dxa"/>
            <w:tcBorders>
              <w:top w:val="nil"/>
              <w:left w:val="nil"/>
              <w:bottom w:val="single" w:sz="4" w:space="0" w:color="auto"/>
              <w:right w:val="single" w:sz="4" w:space="0" w:color="auto"/>
            </w:tcBorders>
            <w:shd w:val="clear" w:color="auto" w:fill="auto"/>
            <w:noWrap/>
            <w:vAlign w:val="bottom"/>
            <w:hideMark/>
          </w:tcPr>
          <w:p w14:paraId="2C4B08E4" w14:textId="55BFE6A5"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0</w:t>
            </w:r>
          </w:p>
        </w:tc>
      </w:tr>
      <w:tr w:rsidR="00CE4D7B" w:rsidRPr="002F5AB8" w14:paraId="21EA6B9B" w14:textId="77777777" w:rsidTr="00E933A9">
        <w:trPr>
          <w:gridAfter w:val="1"/>
          <w:wAfter w:w="6" w:type="dxa"/>
          <w:trHeight w:val="345"/>
          <w:jc w:val="center"/>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173A299A" w14:textId="77777777" w:rsidR="00CE4D7B" w:rsidRPr="002F5AB8" w:rsidRDefault="00CE4D7B" w:rsidP="00CE4D7B">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Cheltuieli de capital</w:t>
            </w:r>
          </w:p>
        </w:tc>
        <w:tc>
          <w:tcPr>
            <w:tcW w:w="506" w:type="dxa"/>
            <w:tcBorders>
              <w:top w:val="nil"/>
              <w:left w:val="nil"/>
              <w:bottom w:val="single" w:sz="4" w:space="0" w:color="auto"/>
              <w:right w:val="single" w:sz="4" w:space="0" w:color="auto"/>
            </w:tcBorders>
            <w:shd w:val="clear" w:color="auto" w:fill="auto"/>
            <w:vAlign w:val="center"/>
            <w:hideMark/>
          </w:tcPr>
          <w:p w14:paraId="2D5AAFA5" w14:textId="77777777" w:rsidR="00CE4D7B" w:rsidRPr="002F5AB8" w:rsidRDefault="00CE4D7B" w:rsidP="00CE4D7B">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CA</w:t>
            </w:r>
          </w:p>
        </w:tc>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0B111759" w14:textId="29DFBC01"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1 429</w:t>
            </w:r>
          </w:p>
        </w:tc>
        <w:tc>
          <w:tcPr>
            <w:tcW w:w="853" w:type="dxa"/>
            <w:tcBorders>
              <w:top w:val="nil"/>
              <w:left w:val="nil"/>
              <w:bottom w:val="single" w:sz="4" w:space="0" w:color="auto"/>
              <w:right w:val="single" w:sz="4" w:space="0" w:color="auto"/>
            </w:tcBorders>
            <w:shd w:val="clear" w:color="auto" w:fill="auto"/>
            <w:noWrap/>
            <w:vAlign w:val="bottom"/>
            <w:hideMark/>
          </w:tcPr>
          <w:p w14:paraId="29B972F9" w14:textId="2F47186F"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259</w:t>
            </w:r>
          </w:p>
        </w:tc>
        <w:tc>
          <w:tcPr>
            <w:tcW w:w="885" w:type="dxa"/>
            <w:tcBorders>
              <w:top w:val="nil"/>
              <w:left w:val="nil"/>
              <w:bottom w:val="single" w:sz="4" w:space="0" w:color="auto"/>
              <w:right w:val="single" w:sz="4" w:space="0" w:color="auto"/>
            </w:tcBorders>
            <w:shd w:val="clear" w:color="auto" w:fill="auto"/>
            <w:noWrap/>
            <w:vAlign w:val="bottom"/>
            <w:hideMark/>
          </w:tcPr>
          <w:p w14:paraId="4A7C726E" w14:textId="580BA8D1"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1 243</w:t>
            </w:r>
          </w:p>
        </w:tc>
        <w:tc>
          <w:tcPr>
            <w:tcW w:w="799" w:type="dxa"/>
            <w:tcBorders>
              <w:top w:val="nil"/>
              <w:left w:val="nil"/>
              <w:bottom w:val="single" w:sz="4" w:space="0" w:color="auto"/>
              <w:right w:val="single" w:sz="4" w:space="0" w:color="auto"/>
            </w:tcBorders>
            <w:shd w:val="clear" w:color="auto" w:fill="auto"/>
            <w:noWrap/>
            <w:vAlign w:val="bottom"/>
            <w:hideMark/>
          </w:tcPr>
          <w:p w14:paraId="233EB3BD" w14:textId="1FE2F40E"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249</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378221F8" w14:textId="46762698"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135</w:t>
            </w:r>
          </w:p>
        </w:tc>
        <w:tc>
          <w:tcPr>
            <w:tcW w:w="835" w:type="dxa"/>
            <w:tcBorders>
              <w:top w:val="nil"/>
              <w:left w:val="nil"/>
              <w:bottom w:val="single" w:sz="4" w:space="0" w:color="auto"/>
              <w:right w:val="single" w:sz="4" w:space="0" w:color="auto"/>
            </w:tcBorders>
            <w:shd w:val="clear" w:color="auto" w:fill="auto"/>
            <w:noWrap/>
            <w:vAlign w:val="bottom"/>
            <w:hideMark/>
          </w:tcPr>
          <w:p w14:paraId="165DE570" w14:textId="28E6368B"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27</w:t>
            </w:r>
          </w:p>
        </w:tc>
        <w:tc>
          <w:tcPr>
            <w:tcW w:w="992" w:type="dxa"/>
            <w:tcBorders>
              <w:top w:val="nil"/>
              <w:left w:val="nil"/>
              <w:bottom w:val="single" w:sz="4" w:space="0" w:color="auto"/>
              <w:right w:val="single" w:sz="4" w:space="0" w:color="auto"/>
            </w:tcBorders>
            <w:shd w:val="clear" w:color="auto" w:fill="auto"/>
            <w:noWrap/>
            <w:vAlign w:val="bottom"/>
            <w:hideMark/>
          </w:tcPr>
          <w:p w14:paraId="2B37B1F6" w14:textId="511C042F"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27</w:t>
            </w:r>
          </w:p>
        </w:tc>
        <w:tc>
          <w:tcPr>
            <w:tcW w:w="773" w:type="dxa"/>
            <w:tcBorders>
              <w:top w:val="nil"/>
              <w:left w:val="nil"/>
              <w:bottom w:val="single" w:sz="4" w:space="0" w:color="auto"/>
              <w:right w:val="single" w:sz="4" w:space="0" w:color="auto"/>
            </w:tcBorders>
            <w:shd w:val="clear" w:color="auto" w:fill="auto"/>
            <w:noWrap/>
            <w:vAlign w:val="bottom"/>
            <w:hideMark/>
          </w:tcPr>
          <w:p w14:paraId="12B2EDA8" w14:textId="3F2C3B11"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5</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7553FDDA" w14:textId="00DBD791"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24</w:t>
            </w:r>
          </w:p>
        </w:tc>
        <w:tc>
          <w:tcPr>
            <w:tcW w:w="679" w:type="dxa"/>
            <w:tcBorders>
              <w:top w:val="nil"/>
              <w:left w:val="nil"/>
              <w:bottom w:val="single" w:sz="4" w:space="0" w:color="auto"/>
              <w:right w:val="single" w:sz="4" w:space="0" w:color="auto"/>
            </w:tcBorders>
            <w:shd w:val="clear" w:color="auto" w:fill="auto"/>
            <w:noWrap/>
            <w:vAlign w:val="bottom"/>
            <w:hideMark/>
          </w:tcPr>
          <w:p w14:paraId="323E7A66" w14:textId="75B854EB"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5</w:t>
            </w:r>
          </w:p>
        </w:tc>
      </w:tr>
      <w:tr w:rsidR="00CE4D7B" w:rsidRPr="002F5AB8" w14:paraId="3EFD0DFA" w14:textId="77777777" w:rsidTr="00E933A9">
        <w:trPr>
          <w:gridAfter w:val="1"/>
          <w:wAfter w:w="6" w:type="dxa"/>
          <w:trHeight w:val="345"/>
          <w:jc w:val="center"/>
        </w:trPr>
        <w:tc>
          <w:tcPr>
            <w:tcW w:w="1838" w:type="dxa"/>
            <w:vMerge/>
            <w:tcBorders>
              <w:top w:val="nil"/>
              <w:left w:val="single" w:sz="4" w:space="0" w:color="auto"/>
              <w:bottom w:val="single" w:sz="4" w:space="0" w:color="000000"/>
              <w:right w:val="single" w:sz="4" w:space="0" w:color="auto"/>
            </w:tcBorders>
            <w:vAlign w:val="center"/>
            <w:hideMark/>
          </w:tcPr>
          <w:p w14:paraId="392ED6E7" w14:textId="77777777" w:rsidR="00CE4D7B" w:rsidRPr="002F5AB8" w:rsidRDefault="00CE4D7B" w:rsidP="00CE4D7B">
            <w:pPr>
              <w:rPr>
                <w:rFonts w:ascii="Calibri Light" w:hAnsi="Calibri Light" w:cs="Calibri Light"/>
                <w:color w:val="000000"/>
                <w:sz w:val="20"/>
                <w:lang w:eastAsia="ro-RO"/>
              </w:rPr>
            </w:pPr>
          </w:p>
        </w:tc>
        <w:tc>
          <w:tcPr>
            <w:tcW w:w="506" w:type="dxa"/>
            <w:tcBorders>
              <w:top w:val="nil"/>
              <w:left w:val="nil"/>
              <w:bottom w:val="single" w:sz="4" w:space="0" w:color="auto"/>
              <w:right w:val="single" w:sz="4" w:space="0" w:color="auto"/>
            </w:tcBorders>
            <w:shd w:val="clear" w:color="auto" w:fill="auto"/>
            <w:noWrap/>
            <w:vAlign w:val="bottom"/>
            <w:hideMark/>
          </w:tcPr>
          <w:p w14:paraId="54F71B3B" w14:textId="77777777" w:rsidR="00CE4D7B" w:rsidRPr="002F5AB8" w:rsidRDefault="00CE4D7B" w:rsidP="00CE4D7B">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CB</w:t>
            </w:r>
          </w:p>
        </w:tc>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26DC92EE" w14:textId="4FBEE404"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1 429</w:t>
            </w:r>
          </w:p>
        </w:tc>
        <w:tc>
          <w:tcPr>
            <w:tcW w:w="853" w:type="dxa"/>
            <w:tcBorders>
              <w:top w:val="nil"/>
              <w:left w:val="nil"/>
              <w:bottom w:val="single" w:sz="4" w:space="0" w:color="auto"/>
              <w:right w:val="single" w:sz="4" w:space="0" w:color="auto"/>
            </w:tcBorders>
            <w:shd w:val="clear" w:color="auto" w:fill="auto"/>
            <w:noWrap/>
            <w:vAlign w:val="bottom"/>
            <w:hideMark/>
          </w:tcPr>
          <w:p w14:paraId="76FD8EE5" w14:textId="18699595"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259</w:t>
            </w:r>
          </w:p>
        </w:tc>
        <w:tc>
          <w:tcPr>
            <w:tcW w:w="885" w:type="dxa"/>
            <w:tcBorders>
              <w:top w:val="nil"/>
              <w:left w:val="nil"/>
              <w:bottom w:val="single" w:sz="4" w:space="0" w:color="auto"/>
              <w:right w:val="single" w:sz="4" w:space="0" w:color="auto"/>
            </w:tcBorders>
            <w:shd w:val="clear" w:color="auto" w:fill="auto"/>
            <w:noWrap/>
            <w:vAlign w:val="bottom"/>
            <w:hideMark/>
          </w:tcPr>
          <w:p w14:paraId="785FF09B" w14:textId="71AC410A"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1 243</w:t>
            </w:r>
          </w:p>
        </w:tc>
        <w:tc>
          <w:tcPr>
            <w:tcW w:w="799" w:type="dxa"/>
            <w:tcBorders>
              <w:top w:val="nil"/>
              <w:left w:val="nil"/>
              <w:bottom w:val="single" w:sz="4" w:space="0" w:color="auto"/>
              <w:right w:val="single" w:sz="4" w:space="0" w:color="auto"/>
            </w:tcBorders>
            <w:shd w:val="clear" w:color="auto" w:fill="auto"/>
            <w:noWrap/>
            <w:vAlign w:val="bottom"/>
            <w:hideMark/>
          </w:tcPr>
          <w:p w14:paraId="139E6F9C" w14:textId="00987A27"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249</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402C6C8B" w14:textId="40C3DAD3"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135</w:t>
            </w:r>
          </w:p>
        </w:tc>
        <w:tc>
          <w:tcPr>
            <w:tcW w:w="835" w:type="dxa"/>
            <w:tcBorders>
              <w:top w:val="nil"/>
              <w:left w:val="nil"/>
              <w:bottom w:val="single" w:sz="4" w:space="0" w:color="auto"/>
              <w:right w:val="single" w:sz="4" w:space="0" w:color="auto"/>
            </w:tcBorders>
            <w:shd w:val="clear" w:color="auto" w:fill="auto"/>
            <w:noWrap/>
            <w:vAlign w:val="bottom"/>
            <w:hideMark/>
          </w:tcPr>
          <w:p w14:paraId="034CE52B" w14:textId="289F1A2D"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27</w:t>
            </w:r>
          </w:p>
        </w:tc>
        <w:tc>
          <w:tcPr>
            <w:tcW w:w="992" w:type="dxa"/>
            <w:tcBorders>
              <w:top w:val="nil"/>
              <w:left w:val="nil"/>
              <w:bottom w:val="single" w:sz="4" w:space="0" w:color="auto"/>
              <w:right w:val="single" w:sz="4" w:space="0" w:color="auto"/>
            </w:tcBorders>
            <w:shd w:val="clear" w:color="auto" w:fill="auto"/>
            <w:noWrap/>
            <w:vAlign w:val="bottom"/>
            <w:hideMark/>
          </w:tcPr>
          <w:p w14:paraId="38005FD7" w14:textId="17FA067A"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27</w:t>
            </w:r>
          </w:p>
        </w:tc>
        <w:tc>
          <w:tcPr>
            <w:tcW w:w="773" w:type="dxa"/>
            <w:tcBorders>
              <w:top w:val="nil"/>
              <w:left w:val="nil"/>
              <w:bottom w:val="single" w:sz="4" w:space="0" w:color="auto"/>
              <w:right w:val="single" w:sz="4" w:space="0" w:color="auto"/>
            </w:tcBorders>
            <w:shd w:val="clear" w:color="auto" w:fill="auto"/>
            <w:noWrap/>
            <w:vAlign w:val="bottom"/>
            <w:hideMark/>
          </w:tcPr>
          <w:p w14:paraId="01697DF3" w14:textId="76761A39"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5</w:t>
            </w:r>
          </w:p>
        </w:tc>
        <w:tc>
          <w:tcPr>
            <w:tcW w:w="773" w:type="dxa"/>
            <w:gridSpan w:val="2"/>
            <w:tcBorders>
              <w:top w:val="nil"/>
              <w:left w:val="nil"/>
              <w:bottom w:val="single" w:sz="4" w:space="0" w:color="auto"/>
              <w:right w:val="single" w:sz="4" w:space="0" w:color="auto"/>
            </w:tcBorders>
            <w:shd w:val="clear" w:color="auto" w:fill="auto"/>
            <w:noWrap/>
            <w:vAlign w:val="bottom"/>
            <w:hideMark/>
          </w:tcPr>
          <w:p w14:paraId="4711784B" w14:textId="3A82F566"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24</w:t>
            </w:r>
          </w:p>
        </w:tc>
        <w:tc>
          <w:tcPr>
            <w:tcW w:w="679" w:type="dxa"/>
            <w:tcBorders>
              <w:top w:val="nil"/>
              <w:left w:val="nil"/>
              <w:bottom w:val="single" w:sz="4" w:space="0" w:color="auto"/>
              <w:right w:val="single" w:sz="4" w:space="0" w:color="auto"/>
            </w:tcBorders>
            <w:shd w:val="clear" w:color="auto" w:fill="auto"/>
            <w:noWrap/>
            <w:vAlign w:val="bottom"/>
            <w:hideMark/>
          </w:tcPr>
          <w:p w14:paraId="0440A4C0" w14:textId="0994977C" w:rsidR="00CE4D7B" w:rsidRPr="007574BA" w:rsidRDefault="00CE4D7B" w:rsidP="00CE4D7B">
            <w:pPr>
              <w:jc w:val="right"/>
              <w:rPr>
                <w:rFonts w:ascii="Calibri Light" w:hAnsi="Calibri Light" w:cs="Calibri Light"/>
                <w:sz w:val="20"/>
                <w:lang w:eastAsia="ro-RO"/>
              </w:rPr>
            </w:pPr>
            <w:r w:rsidRPr="007574BA">
              <w:rPr>
                <w:rFonts w:ascii="Calibri Light" w:hAnsi="Calibri Light" w:cs="Calibri Light"/>
                <w:sz w:val="20"/>
              </w:rPr>
              <w:t>5</w:t>
            </w:r>
          </w:p>
        </w:tc>
      </w:tr>
    </w:tbl>
    <w:p w14:paraId="5C62EA2A" w14:textId="77777777" w:rsidR="00895FF8" w:rsidRPr="004A72CD" w:rsidRDefault="00895FF8" w:rsidP="009D3C00">
      <w:pPr>
        <w:spacing w:line="276" w:lineRule="auto"/>
        <w:ind w:left="7788" w:right="-2" w:firstLine="708"/>
        <w:jc w:val="right"/>
        <w:rPr>
          <w:rFonts w:asciiTheme="minorHAnsi" w:eastAsiaTheme="minorHAnsi" w:hAnsiTheme="minorHAnsi" w:cstheme="minorHAnsi"/>
          <w:b/>
          <w:sz w:val="26"/>
          <w:szCs w:val="26"/>
        </w:rPr>
      </w:pPr>
      <w:r w:rsidRPr="004A72CD">
        <w:rPr>
          <w:rFonts w:asciiTheme="minorHAnsi" w:eastAsiaTheme="minorHAnsi" w:hAnsiTheme="minorHAnsi" w:cstheme="minorHAnsi"/>
          <w:b/>
          <w:sz w:val="26"/>
          <w:szCs w:val="26"/>
        </w:rPr>
        <w:t>mii lei/euro</w:t>
      </w:r>
    </w:p>
    <w:tbl>
      <w:tblPr>
        <w:tblW w:w="10485" w:type="dxa"/>
        <w:tblLook w:val="04A0" w:firstRow="1" w:lastRow="0" w:firstColumn="1" w:lastColumn="0" w:noHBand="0" w:noVBand="1"/>
      </w:tblPr>
      <w:tblGrid>
        <w:gridCol w:w="1808"/>
        <w:gridCol w:w="567"/>
        <w:gridCol w:w="874"/>
        <w:gridCol w:w="773"/>
        <w:gridCol w:w="874"/>
        <w:gridCol w:w="773"/>
        <w:gridCol w:w="773"/>
        <w:gridCol w:w="850"/>
        <w:gridCol w:w="874"/>
        <w:gridCol w:w="773"/>
        <w:gridCol w:w="773"/>
        <w:gridCol w:w="773"/>
      </w:tblGrid>
      <w:tr w:rsidR="009D3C00" w:rsidRPr="002F5AB8" w14:paraId="6A626502" w14:textId="77777777" w:rsidTr="001E6AB2">
        <w:trPr>
          <w:trHeight w:val="690"/>
        </w:trPr>
        <w:tc>
          <w:tcPr>
            <w:tcW w:w="1808" w:type="dxa"/>
            <w:tcBorders>
              <w:top w:val="single" w:sz="4" w:space="0" w:color="auto"/>
              <w:left w:val="single" w:sz="4" w:space="0" w:color="auto"/>
              <w:bottom w:val="single" w:sz="4" w:space="0" w:color="auto"/>
              <w:right w:val="single" w:sz="4" w:space="0" w:color="auto"/>
            </w:tcBorders>
            <w:shd w:val="clear" w:color="000000" w:fill="DBDBDB"/>
            <w:vAlign w:val="center"/>
            <w:hideMark/>
          </w:tcPr>
          <w:p w14:paraId="3CB4C163" w14:textId="77777777" w:rsidR="009D3C00" w:rsidRPr="002F5AB8" w:rsidRDefault="009D3C00" w:rsidP="00612067">
            <w:pP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ANUL 2025</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14:paraId="7D6BBFD6" w14:textId="77777777" w:rsidR="009D3C00" w:rsidRPr="002F5AB8" w:rsidRDefault="009D3C00" w:rsidP="00612067">
            <w:pP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 </w:t>
            </w:r>
          </w:p>
        </w:tc>
        <w:tc>
          <w:tcPr>
            <w:tcW w:w="1647"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29AB82E2"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TOTAL</w:t>
            </w:r>
          </w:p>
        </w:tc>
        <w:tc>
          <w:tcPr>
            <w:tcW w:w="1647"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33C8E19B"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CSM APARAT PROPRIU</w:t>
            </w:r>
          </w:p>
        </w:tc>
        <w:tc>
          <w:tcPr>
            <w:tcW w:w="1623"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3C83D86B"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INSPECTIA JUDICIARA</w:t>
            </w:r>
          </w:p>
        </w:tc>
        <w:tc>
          <w:tcPr>
            <w:tcW w:w="1647"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291243EF"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INM</w:t>
            </w:r>
          </w:p>
        </w:tc>
        <w:tc>
          <w:tcPr>
            <w:tcW w:w="1546"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3CC4F11B"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SNG</w:t>
            </w:r>
          </w:p>
        </w:tc>
      </w:tr>
      <w:tr w:rsidR="009D3C00" w:rsidRPr="002F5AB8" w14:paraId="6F9D7BD7" w14:textId="77777777" w:rsidTr="001E6AB2">
        <w:trPr>
          <w:trHeight w:val="338"/>
        </w:trPr>
        <w:tc>
          <w:tcPr>
            <w:tcW w:w="1808" w:type="dxa"/>
            <w:tcBorders>
              <w:top w:val="nil"/>
              <w:left w:val="single" w:sz="4" w:space="0" w:color="auto"/>
              <w:bottom w:val="single" w:sz="4" w:space="0" w:color="auto"/>
              <w:right w:val="single" w:sz="4" w:space="0" w:color="auto"/>
            </w:tcBorders>
            <w:shd w:val="clear" w:color="000000" w:fill="D9D9D9"/>
            <w:vAlign w:val="center"/>
            <w:hideMark/>
          </w:tcPr>
          <w:p w14:paraId="5BC9F383" w14:textId="77777777" w:rsidR="009D3C00" w:rsidRPr="002F5AB8" w:rsidRDefault="009D3C00" w:rsidP="00612067">
            <w:pP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BUGET  CSM</w:t>
            </w:r>
          </w:p>
        </w:tc>
        <w:tc>
          <w:tcPr>
            <w:tcW w:w="567" w:type="dxa"/>
            <w:tcBorders>
              <w:top w:val="nil"/>
              <w:left w:val="nil"/>
              <w:bottom w:val="single" w:sz="4" w:space="0" w:color="auto"/>
              <w:right w:val="single" w:sz="4" w:space="0" w:color="auto"/>
            </w:tcBorders>
            <w:shd w:val="clear" w:color="000000" w:fill="D9D9D9"/>
            <w:vAlign w:val="bottom"/>
            <w:hideMark/>
          </w:tcPr>
          <w:p w14:paraId="6D8FD71B"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 </w:t>
            </w:r>
          </w:p>
        </w:tc>
        <w:tc>
          <w:tcPr>
            <w:tcW w:w="874" w:type="dxa"/>
            <w:tcBorders>
              <w:top w:val="nil"/>
              <w:left w:val="nil"/>
              <w:bottom w:val="single" w:sz="4" w:space="0" w:color="auto"/>
              <w:right w:val="single" w:sz="4" w:space="0" w:color="auto"/>
            </w:tcBorders>
            <w:shd w:val="clear" w:color="000000" w:fill="D9D9D9"/>
            <w:noWrap/>
            <w:vAlign w:val="bottom"/>
            <w:hideMark/>
          </w:tcPr>
          <w:p w14:paraId="423C23F0"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LEI</w:t>
            </w:r>
          </w:p>
        </w:tc>
        <w:tc>
          <w:tcPr>
            <w:tcW w:w="773" w:type="dxa"/>
            <w:tcBorders>
              <w:top w:val="nil"/>
              <w:left w:val="nil"/>
              <w:bottom w:val="single" w:sz="4" w:space="0" w:color="auto"/>
              <w:right w:val="single" w:sz="4" w:space="0" w:color="auto"/>
            </w:tcBorders>
            <w:shd w:val="clear" w:color="000000" w:fill="D9D9D9"/>
            <w:noWrap/>
            <w:vAlign w:val="bottom"/>
            <w:hideMark/>
          </w:tcPr>
          <w:p w14:paraId="183B9537"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EURO</w:t>
            </w:r>
          </w:p>
        </w:tc>
        <w:tc>
          <w:tcPr>
            <w:tcW w:w="874" w:type="dxa"/>
            <w:tcBorders>
              <w:top w:val="nil"/>
              <w:left w:val="nil"/>
              <w:bottom w:val="single" w:sz="4" w:space="0" w:color="auto"/>
              <w:right w:val="single" w:sz="4" w:space="0" w:color="auto"/>
            </w:tcBorders>
            <w:shd w:val="clear" w:color="000000" w:fill="D9D9D9"/>
            <w:noWrap/>
            <w:vAlign w:val="bottom"/>
            <w:hideMark/>
          </w:tcPr>
          <w:p w14:paraId="40D82F74"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LEI</w:t>
            </w:r>
          </w:p>
        </w:tc>
        <w:tc>
          <w:tcPr>
            <w:tcW w:w="773" w:type="dxa"/>
            <w:tcBorders>
              <w:top w:val="nil"/>
              <w:left w:val="nil"/>
              <w:bottom w:val="single" w:sz="4" w:space="0" w:color="auto"/>
              <w:right w:val="single" w:sz="4" w:space="0" w:color="auto"/>
            </w:tcBorders>
            <w:shd w:val="clear" w:color="000000" w:fill="D9D9D9"/>
            <w:noWrap/>
            <w:vAlign w:val="bottom"/>
            <w:hideMark/>
          </w:tcPr>
          <w:p w14:paraId="40A15220"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EURO</w:t>
            </w:r>
          </w:p>
        </w:tc>
        <w:tc>
          <w:tcPr>
            <w:tcW w:w="773" w:type="dxa"/>
            <w:tcBorders>
              <w:top w:val="nil"/>
              <w:left w:val="nil"/>
              <w:bottom w:val="single" w:sz="4" w:space="0" w:color="auto"/>
              <w:right w:val="single" w:sz="4" w:space="0" w:color="auto"/>
            </w:tcBorders>
            <w:shd w:val="clear" w:color="000000" w:fill="D9D9D9"/>
            <w:noWrap/>
            <w:vAlign w:val="bottom"/>
            <w:hideMark/>
          </w:tcPr>
          <w:p w14:paraId="07D87F6D"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LEI</w:t>
            </w:r>
          </w:p>
        </w:tc>
        <w:tc>
          <w:tcPr>
            <w:tcW w:w="850" w:type="dxa"/>
            <w:tcBorders>
              <w:top w:val="nil"/>
              <w:left w:val="nil"/>
              <w:bottom w:val="single" w:sz="4" w:space="0" w:color="auto"/>
              <w:right w:val="single" w:sz="4" w:space="0" w:color="auto"/>
            </w:tcBorders>
            <w:shd w:val="clear" w:color="000000" w:fill="D9D9D9"/>
            <w:noWrap/>
            <w:vAlign w:val="bottom"/>
            <w:hideMark/>
          </w:tcPr>
          <w:p w14:paraId="179D3E5C"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EURO</w:t>
            </w:r>
          </w:p>
        </w:tc>
        <w:tc>
          <w:tcPr>
            <w:tcW w:w="874" w:type="dxa"/>
            <w:tcBorders>
              <w:top w:val="nil"/>
              <w:left w:val="nil"/>
              <w:bottom w:val="single" w:sz="4" w:space="0" w:color="auto"/>
              <w:right w:val="single" w:sz="4" w:space="0" w:color="auto"/>
            </w:tcBorders>
            <w:shd w:val="clear" w:color="000000" w:fill="D9D9D9"/>
            <w:noWrap/>
            <w:vAlign w:val="bottom"/>
            <w:hideMark/>
          </w:tcPr>
          <w:p w14:paraId="066E0706"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LEI</w:t>
            </w:r>
          </w:p>
        </w:tc>
        <w:tc>
          <w:tcPr>
            <w:tcW w:w="773" w:type="dxa"/>
            <w:tcBorders>
              <w:top w:val="nil"/>
              <w:left w:val="nil"/>
              <w:bottom w:val="single" w:sz="4" w:space="0" w:color="auto"/>
              <w:right w:val="single" w:sz="4" w:space="0" w:color="auto"/>
            </w:tcBorders>
            <w:shd w:val="clear" w:color="000000" w:fill="D9D9D9"/>
            <w:noWrap/>
            <w:vAlign w:val="bottom"/>
            <w:hideMark/>
          </w:tcPr>
          <w:p w14:paraId="46101C1D"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EURO</w:t>
            </w:r>
          </w:p>
        </w:tc>
        <w:tc>
          <w:tcPr>
            <w:tcW w:w="773" w:type="dxa"/>
            <w:tcBorders>
              <w:top w:val="nil"/>
              <w:left w:val="nil"/>
              <w:bottom w:val="single" w:sz="4" w:space="0" w:color="auto"/>
              <w:right w:val="single" w:sz="4" w:space="0" w:color="auto"/>
            </w:tcBorders>
            <w:shd w:val="clear" w:color="000000" w:fill="D9D9D9"/>
            <w:noWrap/>
            <w:vAlign w:val="bottom"/>
            <w:hideMark/>
          </w:tcPr>
          <w:p w14:paraId="73136172"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LEI</w:t>
            </w:r>
          </w:p>
        </w:tc>
        <w:tc>
          <w:tcPr>
            <w:tcW w:w="773" w:type="dxa"/>
            <w:tcBorders>
              <w:top w:val="nil"/>
              <w:left w:val="nil"/>
              <w:bottom w:val="single" w:sz="4" w:space="0" w:color="auto"/>
              <w:right w:val="single" w:sz="4" w:space="0" w:color="auto"/>
            </w:tcBorders>
            <w:shd w:val="clear" w:color="000000" w:fill="D9D9D9"/>
            <w:noWrap/>
            <w:vAlign w:val="bottom"/>
            <w:hideMark/>
          </w:tcPr>
          <w:p w14:paraId="498E353F" w14:textId="77777777" w:rsidR="009D3C00" w:rsidRPr="002F5AB8" w:rsidRDefault="009D3C00" w:rsidP="00612067">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EURO</w:t>
            </w:r>
          </w:p>
        </w:tc>
      </w:tr>
      <w:tr w:rsidR="001E6AB2" w:rsidRPr="002F5AB8" w14:paraId="50968DF3" w14:textId="77777777" w:rsidTr="001E6AB2">
        <w:trPr>
          <w:trHeight w:val="300"/>
        </w:trPr>
        <w:tc>
          <w:tcPr>
            <w:tcW w:w="1808" w:type="dxa"/>
            <w:vMerge w:val="restart"/>
            <w:tcBorders>
              <w:top w:val="nil"/>
              <w:left w:val="single" w:sz="4" w:space="0" w:color="auto"/>
              <w:bottom w:val="single" w:sz="4" w:space="0" w:color="000000"/>
              <w:right w:val="single" w:sz="4" w:space="0" w:color="auto"/>
            </w:tcBorders>
            <w:shd w:val="clear" w:color="auto" w:fill="auto"/>
            <w:vAlign w:val="center"/>
            <w:hideMark/>
          </w:tcPr>
          <w:p w14:paraId="07A4CBAA" w14:textId="77777777" w:rsidR="001E6AB2" w:rsidRPr="002F5AB8" w:rsidRDefault="001E6AB2" w:rsidP="001E6AB2">
            <w:pPr>
              <w:jc w:val="cente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TOTAL  din care:</w:t>
            </w:r>
          </w:p>
        </w:tc>
        <w:tc>
          <w:tcPr>
            <w:tcW w:w="567" w:type="dxa"/>
            <w:tcBorders>
              <w:top w:val="nil"/>
              <w:left w:val="nil"/>
              <w:bottom w:val="single" w:sz="4" w:space="0" w:color="auto"/>
              <w:right w:val="single" w:sz="4" w:space="0" w:color="auto"/>
            </w:tcBorders>
            <w:shd w:val="clear" w:color="auto" w:fill="auto"/>
            <w:vAlign w:val="center"/>
            <w:hideMark/>
          </w:tcPr>
          <w:p w14:paraId="5825E33E" w14:textId="77777777" w:rsidR="001E6AB2" w:rsidRPr="002F5AB8" w:rsidRDefault="001E6AB2" w:rsidP="001E6AB2">
            <w:pP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CA</w:t>
            </w:r>
          </w:p>
        </w:tc>
        <w:tc>
          <w:tcPr>
            <w:tcW w:w="8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B9AFD" w14:textId="39F1FB4E" w:rsidR="001E6AB2" w:rsidRPr="007574BA" w:rsidRDefault="001E6AB2" w:rsidP="001E6AB2">
            <w:pPr>
              <w:jc w:val="right"/>
              <w:rPr>
                <w:rFonts w:ascii="Calibri Light" w:hAnsi="Calibri Light" w:cs="Calibri Light"/>
                <w:b/>
                <w:bCs/>
                <w:sz w:val="20"/>
                <w:lang w:eastAsia="ro-RO"/>
              </w:rPr>
            </w:pPr>
            <w:r w:rsidRPr="007574BA">
              <w:rPr>
                <w:rFonts w:ascii="Calibri Light" w:hAnsi="Calibri Light" w:cs="Calibri Light"/>
                <w:b/>
                <w:bCs/>
                <w:sz w:val="20"/>
              </w:rPr>
              <w:t>453 109</w:t>
            </w:r>
          </w:p>
        </w:tc>
        <w:tc>
          <w:tcPr>
            <w:tcW w:w="773" w:type="dxa"/>
            <w:tcBorders>
              <w:top w:val="single" w:sz="4" w:space="0" w:color="auto"/>
              <w:left w:val="nil"/>
              <w:bottom w:val="single" w:sz="4" w:space="0" w:color="auto"/>
              <w:right w:val="single" w:sz="4" w:space="0" w:color="auto"/>
            </w:tcBorders>
            <w:shd w:val="clear" w:color="auto" w:fill="auto"/>
            <w:noWrap/>
            <w:vAlign w:val="bottom"/>
            <w:hideMark/>
          </w:tcPr>
          <w:p w14:paraId="46C5B11B" w14:textId="002BB784" w:rsidR="001E6AB2" w:rsidRPr="007574BA" w:rsidRDefault="001E6AB2" w:rsidP="001E6AB2">
            <w:pPr>
              <w:jc w:val="right"/>
              <w:rPr>
                <w:rFonts w:ascii="Calibri Light" w:hAnsi="Calibri Light" w:cs="Calibri Light"/>
                <w:b/>
                <w:bCs/>
                <w:sz w:val="20"/>
                <w:lang w:eastAsia="ro-RO"/>
              </w:rPr>
            </w:pPr>
            <w:r w:rsidRPr="007574BA">
              <w:rPr>
                <w:rFonts w:ascii="Calibri Light" w:hAnsi="Calibri Light" w:cs="Calibri Light"/>
                <w:b/>
                <w:bCs/>
                <w:sz w:val="20"/>
              </w:rPr>
              <w:t>75 870</w:t>
            </w:r>
          </w:p>
        </w:tc>
        <w:tc>
          <w:tcPr>
            <w:tcW w:w="874" w:type="dxa"/>
            <w:tcBorders>
              <w:top w:val="single" w:sz="4" w:space="0" w:color="auto"/>
              <w:left w:val="nil"/>
              <w:bottom w:val="single" w:sz="4" w:space="0" w:color="auto"/>
              <w:right w:val="single" w:sz="4" w:space="0" w:color="auto"/>
            </w:tcBorders>
            <w:shd w:val="clear" w:color="auto" w:fill="auto"/>
            <w:noWrap/>
            <w:vAlign w:val="bottom"/>
            <w:hideMark/>
          </w:tcPr>
          <w:p w14:paraId="29282071" w14:textId="3B9C347C" w:rsidR="001E6AB2" w:rsidRPr="007574BA" w:rsidRDefault="001E6AB2" w:rsidP="001E6AB2">
            <w:pPr>
              <w:jc w:val="right"/>
              <w:rPr>
                <w:rFonts w:ascii="Calibri Light" w:hAnsi="Calibri Light" w:cs="Calibri Light"/>
                <w:b/>
                <w:bCs/>
                <w:sz w:val="20"/>
                <w:lang w:eastAsia="ro-RO"/>
              </w:rPr>
            </w:pPr>
            <w:r w:rsidRPr="007574BA">
              <w:rPr>
                <w:rFonts w:ascii="Calibri Light" w:hAnsi="Calibri Light" w:cs="Calibri Light"/>
                <w:b/>
                <w:bCs/>
                <w:sz w:val="20"/>
              </w:rPr>
              <w:t>171 913</w:t>
            </w:r>
          </w:p>
        </w:tc>
        <w:tc>
          <w:tcPr>
            <w:tcW w:w="773" w:type="dxa"/>
            <w:tcBorders>
              <w:top w:val="single" w:sz="4" w:space="0" w:color="auto"/>
              <w:left w:val="nil"/>
              <w:bottom w:val="single" w:sz="4" w:space="0" w:color="auto"/>
              <w:right w:val="single" w:sz="4" w:space="0" w:color="auto"/>
            </w:tcBorders>
            <w:shd w:val="clear" w:color="auto" w:fill="auto"/>
            <w:noWrap/>
            <w:vAlign w:val="bottom"/>
            <w:hideMark/>
          </w:tcPr>
          <w:p w14:paraId="03715B68" w14:textId="0CBCF737" w:rsidR="001E6AB2" w:rsidRPr="007574BA" w:rsidRDefault="001E6AB2" w:rsidP="001E6AB2">
            <w:pPr>
              <w:jc w:val="right"/>
              <w:rPr>
                <w:rFonts w:ascii="Calibri Light" w:hAnsi="Calibri Light" w:cs="Calibri Light"/>
                <w:b/>
                <w:bCs/>
                <w:sz w:val="20"/>
                <w:lang w:eastAsia="ro-RO"/>
              </w:rPr>
            </w:pPr>
            <w:r w:rsidRPr="007574BA">
              <w:rPr>
                <w:rFonts w:ascii="Calibri Light" w:hAnsi="Calibri Light" w:cs="Calibri Light"/>
                <w:b/>
                <w:bCs/>
                <w:sz w:val="20"/>
              </w:rPr>
              <w:t>34 382</w:t>
            </w:r>
          </w:p>
        </w:tc>
        <w:tc>
          <w:tcPr>
            <w:tcW w:w="773" w:type="dxa"/>
            <w:tcBorders>
              <w:top w:val="nil"/>
              <w:left w:val="nil"/>
              <w:bottom w:val="single" w:sz="4" w:space="0" w:color="auto"/>
              <w:right w:val="single" w:sz="4" w:space="0" w:color="auto"/>
            </w:tcBorders>
            <w:shd w:val="clear" w:color="auto" w:fill="auto"/>
            <w:noWrap/>
            <w:vAlign w:val="bottom"/>
            <w:hideMark/>
          </w:tcPr>
          <w:p w14:paraId="2ECC5BC8" w14:textId="77777777" w:rsidR="001E6AB2" w:rsidRPr="002F5AB8" w:rsidRDefault="001E6AB2" w:rsidP="001E6AB2">
            <w:pPr>
              <w:jc w:val="right"/>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73,750</w:t>
            </w:r>
          </w:p>
        </w:tc>
        <w:tc>
          <w:tcPr>
            <w:tcW w:w="850" w:type="dxa"/>
            <w:tcBorders>
              <w:top w:val="nil"/>
              <w:left w:val="nil"/>
              <w:bottom w:val="single" w:sz="4" w:space="0" w:color="auto"/>
              <w:right w:val="single" w:sz="4" w:space="0" w:color="auto"/>
            </w:tcBorders>
            <w:shd w:val="clear" w:color="auto" w:fill="auto"/>
            <w:noWrap/>
            <w:vAlign w:val="bottom"/>
            <w:hideMark/>
          </w:tcPr>
          <w:p w14:paraId="70E9C791" w14:textId="77777777" w:rsidR="001E6AB2" w:rsidRPr="002F5AB8" w:rsidRDefault="001E6AB2" w:rsidP="001E6AB2">
            <w:pPr>
              <w:jc w:val="right"/>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14,749</w:t>
            </w:r>
          </w:p>
        </w:tc>
        <w:tc>
          <w:tcPr>
            <w:tcW w:w="874" w:type="dxa"/>
            <w:tcBorders>
              <w:top w:val="nil"/>
              <w:left w:val="nil"/>
              <w:bottom w:val="single" w:sz="4" w:space="0" w:color="auto"/>
              <w:right w:val="single" w:sz="4" w:space="0" w:color="auto"/>
            </w:tcBorders>
            <w:shd w:val="clear" w:color="auto" w:fill="auto"/>
            <w:noWrap/>
            <w:vAlign w:val="bottom"/>
            <w:hideMark/>
          </w:tcPr>
          <w:p w14:paraId="539A038E" w14:textId="77777777" w:rsidR="001E6AB2" w:rsidRPr="002F5AB8" w:rsidRDefault="001E6AB2" w:rsidP="001E6AB2">
            <w:pPr>
              <w:jc w:val="right"/>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149,610</w:t>
            </w:r>
          </w:p>
        </w:tc>
        <w:tc>
          <w:tcPr>
            <w:tcW w:w="773" w:type="dxa"/>
            <w:tcBorders>
              <w:top w:val="nil"/>
              <w:left w:val="nil"/>
              <w:bottom w:val="single" w:sz="4" w:space="0" w:color="auto"/>
              <w:right w:val="single" w:sz="4" w:space="0" w:color="auto"/>
            </w:tcBorders>
            <w:shd w:val="clear" w:color="auto" w:fill="auto"/>
            <w:noWrap/>
            <w:vAlign w:val="bottom"/>
            <w:hideMark/>
          </w:tcPr>
          <w:p w14:paraId="56873E6B" w14:textId="77777777" w:rsidR="001E6AB2" w:rsidRPr="002F5AB8" w:rsidRDefault="001E6AB2" w:rsidP="001E6AB2">
            <w:pPr>
              <w:jc w:val="right"/>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29,921</w:t>
            </w:r>
          </w:p>
        </w:tc>
        <w:tc>
          <w:tcPr>
            <w:tcW w:w="773" w:type="dxa"/>
            <w:tcBorders>
              <w:top w:val="nil"/>
              <w:left w:val="nil"/>
              <w:bottom w:val="single" w:sz="4" w:space="0" w:color="auto"/>
              <w:right w:val="single" w:sz="4" w:space="0" w:color="auto"/>
            </w:tcBorders>
            <w:shd w:val="clear" w:color="auto" w:fill="auto"/>
            <w:noWrap/>
            <w:vAlign w:val="bottom"/>
            <w:hideMark/>
          </w:tcPr>
          <w:p w14:paraId="1D7274ED" w14:textId="77777777" w:rsidR="001E6AB2" w:rsidRPr="002F5AB8" w:rsidRDefault="001E6AB2" w:rsidP="001E6AB2">
            <w:pPr>
              <w:jc w:val="right"/>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57,836</w:t>
            </w:r>
          </w:p>
        </w:tc>
        <w:tc>
          <w:tcPr>
            <w:tcW w:w="773" w:type="dxa"/>
            <w:tcBorders>
              <w:top w:val="nil"/>
              <w:left w:val="nil"/>
              <w:bottom w:val="single" w:sz="4" w:space="0" w:color="auto"/>
              <w:right w:val="single" w:sz="4" w:space="0" w:color="auto"/>
            </w:tcBorders>
            <w:shd w:val="clear" w:color="auto" w:fill="auto"/>
            <w:noWrap/>
            <w:vAlign w:val="bottom"/>
            <w:hideMark/>
          </w:tcPr>
          <w:p w14:paraId="4AFC6AB5" w14:textId="77777777" w:rsidR="001E6AB2" w:rsidRPr="002F5AB8" w:rsidRDefault="001E6AB2" w:rsidP="001E6AB2">
            <w:pPr>
              <w:jc w:val="right"/>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11,567</w:t>
            </w:r>
          </w:p>
        </w:tc>
      </w:tr>
      <w:tr w:rsidR="001E6AB2" w:rsidRPr="002F5AB8" w14:paraId="40405BAD" w14:textId="77777777" w:rsidTr="001E6AB2">
        <w:trPr>
          <w:trHeight w:val="345"/>
        </w:trPr>
        <w:tc>
          <w:tcPr>
            <w:tcW w:w="1808" w:type="dxa"/>
            <w:vMerge/>
            <w:tcBorders>
              <w:top w:val="nil"/>
              <w:left w:val="single" w:sz="4" w:space="0" w:color="auto"/>
              <w:bottom w:val="single" w:sz="4" w:space="0" w:color="000000"/>
              <w:right w:val="single" w:sz="4" w:space="0" w:color="auto"/>
            </w:tcBorders>
            <w:vAlign w:val="center"/>
            <w:hideMark/>
          </w:tcPr>
          <w:p w14:paraId="3AD08835" w14:textId="77777777" w:rsidR="001E6AB2" w:rsidRPr="002F5AB8" w:rsidRDefault="001E6AB2" w:rsidP="001E6AB2">
            <w:pPr>
              <w:rPr>
                <w:rFonts w:ascii="Calibri Light" w:hAnsi="Calibri Light" w:cs="Calibri Light"/>
                <w:b/>
                <w:bCs/>
                <w:color w:val="000000"/>
                <w:sz w:val="20"/>
                <w:lang w:eastAsia="ro-RO"/>
              </w:rPr>
            </w:pPr>
          </w:p>
        </w:tc>
        <w:tc>
          <w:tcPr>
            <w:tcW w:w="567" w:type="dxa"/>
            <w:tcBorders>
              <w:top w:val="nil"/>
              <w:left w:val="nil"/>
              <w:bottom w:val="single" w:sz="4" w:space="0" w:color="auto"/>
              <w:right w:val="single" w:sz="4" w:space="0" w:color="auto"/>
            </w:tcBorders>
            <w:shd w:val="clear" w:color="auto" w:fill="auto"/>
            <w:vAlign w:val="center"/>
            <w:hideMark/>
          </w:tcPr>
          <w:p w14:paraId="6D06266D" w14:textId="77777777" w:rsidR="001E6AB2" w:rsidRPr="002F5AB8" w:rsidRDefault="001E6AB2" w:rsidP="001E6AB2">
            <w:pPr>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CB</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FFD2740" w14:textId="5C8BAFE5" w:rsidR="001E6AB2" w:rsidRPr="007574BA" w:rsidRDefault="001E6AB2" w:rsidP="001E6AB2">
            <w:pPr>
              <w:jc w:val="right"/>
              <w:rPr>
                <w:rFonts w:ascii="Calibri Light" w:hAnsi="Calibri Light" w:cs="Calibri Light"/>
                <w:b/>
                <w:bCs/>
                <w:sz w:val="20"/>
                <w:lang w:eastAsia="ro-RO"/>
              </w:rPr>
            </w:pPr>
            <w:r w:rsidRPr="007574BA">
              <w:rPr>
                <w:rFonts w:ascii="Calibri Light" w:hAnsi="Calibri Light" w:cs="Calibri Light"/>
                <w:b/>
                <w:bCs/>
                <w:sz w:val="20"/>
              </w:rPr>
              <w:t>444 241</w:t>
            </w:r>
          </w:p>
        </w:tc>
        <w:tc>
          <w:tcPr>
            <w:tcW w:w="773" w:type="dxa"/>
            <w:tcBorders>
              <w:top w:val="nil"/>
              <w:left w:val="nil"/>
              <w:bottom w:val="single" w:sz="4" w:space="0" w:color="auto"/>
              <w:right w:val="single" w:sz="4" w:space="0" w:color="auto"/>
            </w:tcBorders>
            <w:shd w:val="clear" w:color="auto" w:fill="auto"/>
            <w:noWrap/>
            <w:vAlign w:val="bottom"/>
            <w:hideMark/>
          </w:tcPr>
          <w:p w14:paraId="4DD77B45" w14:textId="578BBDE7" w:rsidR="001E6AB2" w:rsidRPr="007574BA" w:rsidRDefault="001E6AB2" w:rsidP="001E6AB2">
            <w:pPr>
              <w:jc w:val="right"/>
              <w:rPr>
                <w:rFonts w:ascii="Calibri Light" w:hAnsi="Calibri Light" w:cs="Calibri Light"/>
                <w:b/>
                <w:bCs/>
                <w:sz w:val="20"/>
                <w:lang w:eastAsia="ro-RO"/>
              </w:rPr>
            </w:pPr>
            <w:r w:rsidRPr="007574BA">
              <w:rPr>
                <w:rFonts w:ascii="Calibri Light" w:hAnsi="Calibri Light" w:cs="Calibri Light"/>
                <w:b/>
                <w:bCs/>
                <w:sz w:val="20"/>
              </w:rPr>
              <w:t>74 096</w:t>
            </w:r>
          </w:p>
        </w:tc>
        <w:tc>
          <w:tcPr>
            <w:tcW w:w="874" w:type="dxa"/>
            <w:tcBorders>
              <w:top w:val="nil"/>
              <w:left w:val="nil"/>
              <w:bottom w:val="single" w:sz="4" w:space="0" w:color="auto"/>
              <w:right w:val="single" w:sz="4" w:space="0" w:color="auto"/>
            </w:tcBorders>
            <w:shd w:val="clear" w:color="auto" w:fill="auto"/>
            <w:noWrap/>
            <w:vAlign w:val="bottom"/>
            <w:hideMark/>
          </w:tcPr>
          <w:p w14:paraId="5EA0E8AC" w14:textId="73F8E5A0" w:rsidR="001E6AB2" w:rsidRPr="007574BA" w:rsidRDefault="001E6AB2" w:rsidP="001E6AB2">
            <w:pPr>
              <w:jc w:val="right"/>
              <w:rPr>
                <w:rFonts w:ascii="Calibri Light" w:hAnsi="Calibri Light" w:cs="Calibri Light"/>
                <w:b/>
                <w:bCs/>
                <w:sz w:val="20"/>
                <w:lang w:eastAsia="ro-RO"/>
              </w:rPr>
            </w:pPr>
            <w:r w:rsidRPr="007574BA">
              <w:rPr>
                <w:rFonts w:ascii="Calibri Light" w:hAnsi="Calibri Light" w:cs="Calibri Light"/>
                <w:b/>
                <w:bCs/>
                <w:sz w:val="20"/>
              </w:rPr>
              <w:t>169 276</w:t>
            </w:r>
          </w:p>
        </w:tc>
        <w:tc>
          <w:tcPr>
            <w:tcW w:w="773" w:type="dxa"/>
            <w:tcBorders>
              <w:top w:val="nil"/>
              <w:left w:val="nil"/>
              <w:bottom w:val="single" w:sz="4" w:space="0" w:color="auto"/>
              <w:right w:val="single" w:sz="4" w:space="0" w:color="auto"/>
            </w:tcBorders>
            <w:shd w:val="clear" w:color="auto" w:fill="auto"/>
            <w:noWrap/>
            <w:vAlign w:val="bottom"/>
            <w:hideMark/>
          </w:tcPr>
          <w:p w14:paraId="5E0AE9D2" w14:textId="1D0A5F52" w:rsidR="001E6AB2" w:rsidRPr="007574BA" w:rsidRDefault="001E6AB2" w:rsidP="001E6AB2">
            <w:pPr>
              <w:jc w:val="right"/>
              <w:rPr>
                <w:rFonts w:ascii="Calibri Light" w:hAnsi="Calibri Light" w:cs="Calibri Light"/>
                <w:b/>
                <w:bCs/>
                <w:sz w:val="20"/>
                <w:lang w:eastAsia="ro-RO"/>
              </w:rPr>
            </w:pPr>
            <w:r w:rsidRPr="007574BA">
              <w:rPr>
                <w:rFonts w:ascii="Calibri Light" w:hAnsi="Calibri Light" w:cs="Calibri Light"/>
                <w:b/>
                <w:bCs/>
                <w:sz w:val="20"/>
              </w:rPr>
              <w:t>33 854</w:t>
            </w:r>
          </w:p>
        </w:tc>
        <w:tc>
          <w:tcPr>
            <w:tcW w:w="773" w:type="dxa"/>
            <w:tcBorders>
              <w:top w:val="nil"/>
              <w:left w:val="nil"/>
              <w:bottom w:val="single" w:sz="4" w:space="0" w:color="auto"/>
              <w:right w:val="single" w:sz="4" w:space="0" w:color="auto"/>
            </w:tcBorders>
            <w:shd w:val="clear" w:color="auto" w:fill="auto"/>
            <w:noWrap/>
            <w:vAlign w:val="bottom"/>
            <w:hideMark/>
          </w:tcPr>
          <w:p w14:paraId="63B9073C" w14:textId="77777777" w:rsidR="001E6AB2" w:rsidRPr="002F5AB8" w:rsidRDefault="001E6AB2" w:rsidP="001E6AB2">
            <w:pPr>
              <w:jc w:val="right"/>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73,750</w:t>
            </w:r>
          </w:p>
        </w:tc>
        <w:tc>
          <w:tcPr>
            <w:tcW w:w="850" w:type="dxa"/>
            <w:tcBorders>
              <w:top w:val="nil"/>
              <w:left w:val="nil"/>
              <w:bottom w:val="single" w:sz="4" w:space="0" w:color="auto"/>
              <w:right w:val="single" w:sz="4" w:space="0" w:color="auto"/>
            </w:tcBorders>
            <w:shd w:val="clear" w:color="auto" w:fill="auto"/>
            <w:noWrap/>
            <w:vAlign w:val="bottom"/>
            <w:hideMark/>
          </w:tcPr>
          <w:p w14:paraId="4C5782DB" w14:textId="77777777" w:rsidR="001E6AB2" w:rsidRPr="002F5AB8" w:rsidRDefault="001E6AB2" w:rsidP="001E6AB2">
            <w:pPr>
              <w:jc w:val="right"/>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14,749</w:t>
            </w:r>
          </w:p>
        </w:tc>
        <w:tc>
          <w:tcPr>
            <w:tcW w:w="874" w:type="dxa"/>
            <w:tcBorders>
              <w:top w:val="nil"/>
              <w:left w:val="nil"/>
              <w:bottom w:val="single" w:sz="4" w:space="0" w:color="auto"/>
              <w:right w:val="single" w:sz="4" w:space="0" w:color="auto"/>
            </w:tcBorders>
            <w:shd w:val="clear" w:color="auto" w:fill="auto"/>
            <w:noWrap/>
            <w:vAlign w:val="bottom"/>
            <w:hideMark/>
          </w:tcPr>
          <w:p w14:paraId="5443E147" w14:textId="77777777" w:rsidR="001E6AB2" w:rsidRPr="002F5AB8" w:rsidRDefault="001E6AB2" w:rsidP="001E6AB2">
            <w:pPr>
              <w:jc w:val="right"/>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143,379</w:t>
            </w:r>
          </w:p>
        </w:tc>
        <w:tc>
          <w:tcPr>
            <w:tcW w:w="773" w:type="dxa"/>
            <w:tcBorders>
              <w:top w:val="nil"/>
              <w:left w:val="nil"/>
              <w:bottom w:val="single" w:sz="4" w:space="0" w:color="auto"/>
              <w:right w:val="single" w:sz="4" w:space="0" w:color="auto"/>
            </w:tcBorders>
            <w:shd w:val="clear" w:color="auto" w:fill="auto"/>
            <w:noWrap/>
            <w:vAlign w:val="bottom"/>
            <w:hideMark/>
          </w:tcPr>
          <w:p w14:paraId="4B2632D7" w14:textId="77777777" w:rsidR="001E6AB2" w:rsidRPr="002F5AB8" w:rsidRDefault="001E6AB2" w:rsidP="001E6AB2">
            <w:pPr>
              <w:jc w:val="right"/>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28,675</w:t>
            </w:r>
          </w:p>
        </w:tc>
        <w:tc>
          <w:tcPr>
            <w:tcW w:w="773" w:type="dxa"/>
            <w:tcBorders>
              <w:top w:val="nil"/>
              <w:left w:val="nil"/>
              <w:bottom w:val="single" w:sz="4" w:space="0" w:color="auto"/>
              <w:right w:val="single" w:sz="4" w:space="0" w:color="auto"/>
            </w:tcBorders>
            <w:shd w:val="clear" w:color="auto" w:fill="auto"/>
            <w:noWrap/>
            <w:vAlign w:val="bottom"/>
            <w:hideMark/>
          </w:tcPr>
          <w:p w14:paraId="137937FA" w14:textId="77777777" w:rsidR="001E6AB2" w:rsidRPr="002F5AB8" w:rsidRDefault="001E6AB2" w:rsidP="001E6AB2">
            <w:pPr>
              <w:jc w:val="right"/>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57,836</w:t>
            </w:r>
          </w:p>
        </w:tc>
        <w:tc>
          <w:tcPr>
            <w:tcW w:w="773" w:type="dxa"/>
            <w:tcBorders>
              <w:top w:val="nil"/>
              <w:left w:val="nil"/>
              <w:bottom w:val="single" w:sz="4" w:space="0" w:color="auto"/>
              <w:right w:val="single" w:sz="4" w:space="0" w:color="auto"/>
            </w:tcBorders>
            <w:shd w:val="clear" w:color="auto" w:fill="auto"/>
            <w:noWrap/>
            <w:vAlign w:val="bottom"/>
            <w:hideMark/>
          </w:tcPr>
          <w:p w14:paraId="2C652B71" w14:textId="77777777" w:rsidR="001E6AB2" w:rsidRPr="002F5AB8" w:rsidRDefault="001E6AB2" w:rsidP="001E6AB2">
            <w:pPr>
              <w:jc w:val="right"/>
              <w:rPr>
                <w:rFonts w:ascii="Calibri Light" w:hAnsi="Calibri Light" w:cs="Calibri Light"/>
                <w:b/>
                <w:bCs/>
                <w:color w:val="000000"/>
                <w:sz w:val="20"/>
                <w:lang w:eastAsia="ro-RO"/>
              </w:rPr>
            </w:pPr>
            <w:r w:rsidRPr="002F5AB8">
              <w:rPr>
                <w:rFonts w:ascii="Calibri Light" w:hAnsi="Calibri Light" w:cs="Calibri Light"/>
                <w:b/>
                <w:bCs/>
                <w:color w:val="000000"/>
                <w:sz w:val="20"/>
                <w:lang w:eastAsia="ro-RO"/>
              </w:rPr>
              <w:t>11,567</w:t>
            </w:r>
          </w:p>
        </w:tc>
      </w:tr>
      <w:tr w:rsidR="001E6AB2" w:rsidRPr="002F5AB8" w14:paraId="7BD0B1D9" w14:textId="77777777" w:rsidTr="001E6AB2">
        <w:trPr>
          <w:trHeight w:val="300"/>
        </w:trPr>
        <w:tc>
          <w:tcPr>
            <w:tcW w:w="1808" w:type="dxa"/>
            <w:vMerge w:val="restart"/>
            <w:tcBorders>
              <w:top w:val="nil"/>
              <w:left w:val="single" w:sz="4" w:space="0" w:color="auto"/>
              <w:bottom w:val="single" w:sz="4" w:space="0" w:color="000000"/>
              <w:right w:val="single" w:sz="4" w:space="0" w:color="auto"/>
            </w:tcBorders>
            <w:shd w:val="clear" w:color="auto" w:fill="auto"/>
            <w:vAlign w:val="center"/>
            <w:hideMark/>
          </w:tcPr>
          <w:p w14:paraId="0009DC96"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Cheltuieli de personal</w:t>
            </w:r>
          </w:p>
        </w:tc>
        <w:tc>
          <w:tcPr>
            <w:tcW w:w="567" w:type="dxa"/>
            <w:tcBorders>
              <w:top w:val="nil"/>
              <w:left w:val="nil"/>
              <w:bottom w:val="single" w:sz="4" w:space="0" w:color="auto"/>
              <w:right w:val="single" w:sz="4" w:space="0" w:color="auto"/>
            </w:tcBorders>
            <w:shd w:val="clear" w:color="auto" w:fill="auto"/>
            <w:vAlign w:val="center"/>
            <w:hideMark/>
          </w:tcPr>
          <w:p w14:paraId="156006B7"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CA</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FEE5202" w14:textId="7FDDD86A"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311 038</w:t>
            </w:r>
          </w:p>
        </w:tc>
        <w:tc>
          <w:tcPr>
            <w:tcW w:w="773" w:type="dxa"/>
            <w:tcBorders>
              <w:top w:val="nil"/>
              <w:left w:val="nil"/>
              <w:bottom w:val="single" w:sz="4" w:space="0" w:color="auto"/>
              <w:right w:val="single" w:sz="4" w:space="0" w:color="auto"/>
            </w:tcBorders>
            <w:shd w:val="clear" w:color="auto" w:fill="auto"/>
            <w:noWrap/>
            <w:vAlign w:val="bottom"/>
            <w:hideMark/>
          </w:tcPr>
          <w:p w14:paraId="14CCC85A" w14:textId="1237FCB2"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50 412</w:t>
            </w:r>
          </w:p>
        </w:tc>
        <w:tc>
          <w:tcPr>
            <w:tcW w:w="874" w:type="dxa"/>
            <w:tcBorders>
              <w:top w:val="nil"/>
              <w:left w:val="nil"/>
              <w:bottom w:val="single" w:sz="4" w:space="0" w:color="auto"/>
              <w:right w:val="single" w:sz="4" w:space="0" w:color="auto"/>
            </w:tcBorders>
            <w:shd w:val="clear" w:color="auto" w:fill="auto"/>
            <w:noWrap/>
            <w:vAlign w:val="bottom"/>
            <w:hideMark/>
          </w:tcPr>
          <w:p w14:paraId="0F2ED9BF" w14:textId="77397767"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148 661</w:t>
            </w:r>
          </w:p>
        </w:tc>
        <w:tc>
          <w:tcPr>
            <w:tcW w:w="773" w:type="dxa"/>
            <w:tcBorders>
              <w:top w:val="nil"/>
              <w:left w:val="nil"/>
              <w:bottom w:val="single" w:sz="4" w:space="0" w:color="auto"/>
              <w:right w:val="single" w:sz="4" w:space="0" w:color="auto"/>
            </w:tcBorders>
            <w:shd w:val="clear" w:color="auto" w:fill="auto"/>
            <w:noWrap/>
            <w:vAlign w:val="bottom"/>
            <w:hideMark/>
          </w:tcPr>
          <w:p w14:paraId="13643EF2" w14:textId="7E17B113"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29 732</w:t>
            </w:r>
          </w:p>
        </w:tc>
        <w:tc>
          <w:tcPr>
            <w:tcW w:w="773" w:type="dxa"/>
            <w:tcBorders>
              <w:top w:val="nil"/>
              <w:left w:val="nil"/>
              <w:bottom w:val="single" w:sz="4" w:space="0" w:color="auto"/>
              <w:right w:val="single" w:sz="4" w:space="0" w:color="auto"/>
            </w:tcBorders>
            <w:shd w:val="clear" w:color="auto" w:fill="auto"/>
            <w:noWrap/>
            <w:vAlign w:val="bottom"/>
            <w:hideMark/>
          </w:tcPr>
          <w:p w14:paraId="07CF7321"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58,976</w:t>
            </w:r>
          </w:p>
        </w:tc>
        <w:tc>
          <w:tcPr>
            <w:tcW w:w="850" w:type="dxa"/>
            <w:tcBorders>
              <w:top w:val="nil"/>
              <w:left w:val="nil"/>
              <w:bottom w:val="single" w:sz="4" w:space="0" w:color="auto"/>
              <w:right w:val="single" w:sz="4" w:space="0" w:color="auto"/>
            </w:tcBorders>
            <w:shd w:val="clear" w:color="auto" w:fill="auto"/>
            <w:noWrap/>
            <w:vAlign w:val="bottom"/>
            <w:hideMark/>
          </w:tcPr>
          <w:p w14:paraId="3C8068B8"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11,795</w:t>
            </w:r>
          </w:p>
        </w:tc>
        <w:tc>
          <w:tcPr>
            <w:tcW w:w="874" w:type="dxa"/>
            <w:tcBorders>
              <w:top w:val="nil"/>
              <w:left w:val="nil"/>
              <w:bottom w:val="single" w:sz="4" w:space="0" w:color="auto"/>
              <w:right w:val="single" w:sz="4" w:space="0" w:color="auto"/>
            </w:tcBorders>
            <w:shd w:val="clear" w:color="auto" w:fill="auto"/>
            <w:noWrap/>
            <w:vAlign w:val="bottom"/>
            <w:hideMark/>
          </w:tcPr>
          <w:p w14:paraId="253E295F"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59,500</w:t>
            </w:r>
          </w:p>
        </w:tc>
        <w:tc>
          <w:tcPr>
            <w:tcW w:w="773" w:type="dxa"/>
            <w:tcBorders>
              <w:top w:val="nil"/>
              <w:left w:val="nil"/>
              <w:bottom w:val="single" w:sz="4" w:space="0" w:color="auto"/>
              <w:right w:val="single" w:sz="4" w:space="0" w:color="auto"/>
            </w:tcBorders>
            <w:shd w:val="clear" w:color="auto" w:fill="auto"/>
            <w:noWrap/>
            <w:vAlign w:val="bottom"/>
            <w:hideMark/>
          </w:tcPr>
          <w:p w14:paraId="5CC5E2C6"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11,900</w:t>
            </w:r>
          </w:p>
        </w:tc>
        <w:tc>
          <w:tcPr>
            <w:tcW w:w="773" w:type="dxa"/>
            <w:tcBorders>
              <w:top w:val="nil"/>
              <w:left w:val="nil"/>
              <w:bottom w:val="single" w:sz="4" w:space="0" w:color="auto"/>
              <w:right w:val="single" w:sz="4" w:space="0" w:color="auto"/>
            </w:tcBorders>
            <w:shd w:val="clear" w:color="auto" w:fill="auto"/>
            <w:noWrap/>
            <w:vAlign w:val="bottom"/>
            <w:hideMark/>
          </w:tcPr>
          <w:p w14:paraId="2E99A7CA"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43,901</w:t>
            </w:r>
          </w:p>
        </w:tc>
        <w:tc>
          <w:tcPr>
            <w:tcW w:w="773" w:type="dxa"/>
            <w:tcBorders>
              <w:top w:val="nil"/>
              <w:left w:val="nil"/>
              <w:bottom w:val="single" w:sz="4" w:space="0" w:color="auto"/>
              <w:right w:val="single" w:sz="4" w:space="0" w:color="auto"/>
            </w:tcBorders>
            <w:shd w:val="clear" w:color="auto" w:fill="auto"/>
            <w:noWrap/>
            <w:vAlign w:val="bottom"/>
            <w:hideMark/>
          </w:tcPr>
          <w:p w14:paraId="57C6AC66"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8,780</w:t>
            </w:r>
          </w:p>
        </w:tc>
      </w:tr>
      <w:tr w:rsidR="001E6AB2" w:rsidRPr="002F5AB8" w14:paraId="2335757C" w14:textId="77777777" w:rsidTr="001E6AB2">
        <w:trPr>
          <w:trHeight w:val="345"/>
        </w:trPr>
        <w:tc>
          <w:tcPr>
            <w:tcW w:w="1808" w:type="dxa"/>
            <w:vMerge/>
            <w:tcBorders>
              <w:top w:val="nil"/>
              <w:left w:val="single" w:sz="4" w:space="0" w:color="auto"/>
              <w:bottom w:val="single" w:sz="4" w:space="0" w:color="000000"/>
              <w:right w:val="single" w:sz="4" w:space="0" w:color="auto"/>
            </w:tcBorders>
            <w:vAlign w:val="center"/>
            <w:hideMark/>
          </w:tcPr>
          <w:p w14:paraId="1043C826" w14:textId="77777777" w:rsidR="001E6AB2" w:rsidRPr="002F5AB8" w:rsidRDefault="001E6AB2" w:rsidP="001E6AB2">
            <w:pPr>
              <w:rPr>
                <w:rFonts w:ascii="Calibri Light" w:hAnsi="Calibri Light" w:cs="Calibri Light"/>
                <w:color w:val="000000"/>
                <w:sz w:val="20"/>
                <w:lang w:eastAsia="ro-RO"/>
              </w:rPr>
            </w:pPr>
          </w:p>
        </w:tc>
        <w:tc>
          <w:tcPr>
            <w:tcW w:w="567" w:type="dxa"/>
            <w:tcBorders>
              <w:top w:val="nil"/>
              <w:left w:val="nil"/>
              <w:bottom w:val="single" w:sz="4" w:space="0" w:color="auto"/>
              <w:right w:val="single" w:sz="4" w:space="0" w:color="auto"/>
            </w:tcBorders>
            <w:shd w:val="clear" w:color="auto" w:fill="auto"/>
            <w:vAlign w:val="center"/>
            <w:hideMark/>
          </w:tcPr>
          <w:p w14:paraId="13620617"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CB</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3290613F" w14:textId="5801E389"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311 038</w:t>
            </w:r>
          </w:p>
        </w:tc>
        <w:tc>
          <w:tcPr>
            <w:tcW w:w="773" w:type="dxa"/>
            <w:tcBorders>
              <w:top w:val="nil"/>
              <w:left w:val="nil"/>
              <w:bottom w:val="single" w:sz="4" w:space="0" w:color="auto"/>
              <w:right w:val="single" w:sz="4" w:space="0" w:color="auto"/>
            </w:tcBorders>
            <w:shd w:val="clear" w:color="auto" w:fill="auto"/>
            <w:noWrap/>
            <w:vAlign w:val="bottom"/>
            <w:hideMark/>
          </w:tcPr>
          <w:p w14:paraId="67EF6CE6" w14:textId="48ADC876"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50 412</w:t>
            </w:r>
          </w:p>
        </w:tc>
        <w:tc>
          <w:tcPr>
            <w:tcW w:w="874" w:type="dxa"/>
            <w:tcBorders>
              <w:top w:val="nil"/>
              <w:left w:val="nil"/>
              <w:bottom w:val="single" w:sz="4" w:space="0" w:color="auto"/>
              <w:right w:val="single" w:sz="4" w:space="0" w:color="auto"/>
            </w:tcBorders>
            <w:shd w:val="clear" w:color="auto" w:fill="auto"/>
            <w:noWrap/>
            <w:vAlign w:val="bottom"/>
            <w:hideMark/>
          </w:tcPr>
          <w:p w14:paraId="6731AA8A" w14:textId="11A36BC6"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148 661</w:t>
            </w:r>
          </w:p>
        </w:tc>
        <w:tc>
          <w:tcPr>
            <w:tcW w:w="773" w:type="dxa"/>
            <w:tcBorders>
              <w:top w:val="nil"/>
              <w:left w:val="nil"/>
              <w:bottom w:val="single" w:sz="4" w:space="0" w:color="auto"/>
              <w:right w:val="single" w:sz="4" w:space="0" w:color="auto"/>
            </w:tcBorders>
            <w:shd w:val="clear" w:color="auto" w:fill="auto"/>
            <w:noWrap/>
            <w:vAlign w:val="bottom"/>
            <w:hideMark/>
          </w:tcPr>
          <w:p w14:paraId="77685B0D" w14:textId="1B4186EB"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29 732</w:t>
            </w:r>
          </w:p>
        </w:tc>
        <w:tc>
          <w:tcPr>
            <w:tcW w:w="773" w:type="dxa"/>
            <w:tcBorders>
              <w:top w:val="nil"/>
              <w:left w:val="nil"/>
              <w:bottom w:val="single" w:sz="4" w:space="0" w:color="auto"/>
              <w:right w:val="single" w:sz="4" w:space="0" w:color="auto"/>
            </w:tcBorders>
            <w:shd w:val="clear" w:color="auto" w:fill="auto"/>
            <w:noWrap/>
            <w:vAlign w:val="bottom"/>
            <w:hideMark/>
          </w:tcPr>
          <w:p w14:paraId="797A09A4"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58,976</w:t>
            </w:r>
          </w:p>
        </w:tc>
        <w:tc>
          <w:tcPr>
            <w:tcW w:w="850" w:type="dxa"/>
            <w:tcBorders>
              <w:top w:val="nil"/>
              <w:left w:val="nil"/>
              <w:bottom w:val="single" w:sz="4" w:space="0" w:color="auto"/>
              <w:right w:val="single" w:sz="4" w:space="0" w:color="auto"/>
            </w:tcBorders>
            <w:shd w:val="clear" w:color="auto" w:fill="auto"/>
            <w:noWrap/>
            <w:vAlign w:val="bottom"/>
            <w:hideMark/>
          </w:tcPr>
          <w:p w14:paraId="59D0C599"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11,795</w:t>
            </w:r>
          </w:p>
        </w:tc>
        <w:tc>
          <w:tcPr>
            <w:tcW w:w="874" w:type="dxa"/>
            <w:tcBorders>
              <w:top w:val="nil"/>
              <w:left w:val="nil"/>
              <w:bottom w:val="single" w:sz="4" w:space="0" w:color="auto"/>
              <w:right w:val="single" w:sz="4" w:space="0" w:color="auto"/>
            </w:tcBorders>
            <w:shd w:val="clear" w:color="auto" w:fill="auto"/>
            <w:noWrap/>
            <w:vAlign w:val="bottom"/>
            <w:hideMark/>
          </w:tcPr>
          <w:p w14:paraId="39396383"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59,500</w:t>
            </w:r>
          </w:p>
        </w:tc>
        <w:tc>
          <w:tcPr>
            <w:tcW w:w="773" w:type="dxa"/>
            <w:tcBorders>
              <w:top w:val="nil"/>
              <w:left w:val="nil"/>
              <w:bottom w:val="single" w:sz="4" w:space="0" w:color="auto"/>
              <w:right w:val="single" w:sz="4" w:space="0" w:color="auto"/>
            </w:tcBorders>
            <w:shd w:val="clear" w:color="auto" w:fill="auto"/>
            <w:noWrap/>
            <w:vAlign w:val="bottom"/>
            <w:hideMark/>
          </w:tcPr>
          <w:p w14:paraId="69AB65C4"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11,900</w:t>
            </w:r>
          </w:p>
        </w:tc>
        <w:tc>
          <w:tcPr>
            <w:tcW w:w="773" w:type="dxa"/>
            <w:tcBorders>
              <w:top w:val="nil"/>
              <w:left w:val="nil"/>
              <w:bottom w:val="single" w:sz="4" w:space="0" w:color="auto"/>
              <w:right w:val="single" w:sz="4" w:space="0" w:color="auto"/>
            </w:tcBorders>
            <w:shd w:val="clear" w:color="auto" w:fill="auto"/>
            <w:noWrap/>
            <w:vAlign w:val="bottom"/>
            <w:hideMark/>
          </w:tcPr>
          <w:p w14:paraId="6F6BED7C"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43,901</w:t>
            </w:r>
          </w:p>
        </w:tc>
        <w:tc>
          <w:tcPr>
            <w:tcW w:w="773" w:type="dxa"/>
            <w:tcBorders>
              <w:top w:val="nil"/>
              <w:left w:val="nil"/>
              <w:bottom w:val="single" w:sz="4" w:space="0" w:color="auto"/>
              <w:right w:val="single" w:sz="4" w:space="0" w:color="auto"/>
            </w:tcBorders>
            <w:shd w:val="clear" w:color="auto" w:fill="auto"/>
            <w:noWrap/>
            <w:vAlign w:val="bottom"/>
            <w:hideMark/>
          </w:tcPr>
          <w:p w14:paraId="1A82B3B9"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8,780</w:t>
            </w:r>
          </w:p>
        </w:tc>
      </w:tr>
      <w:tr w:rsidR="001E6AB2" w:rsidRPr="002F5AB8" w14:paraId="322AD3E0" w14:textId="77777777" w:rsidTr="001E6AB2">
        <w:trPr>
          <w:trHeight w:val="300"/>
        </w:trPr>
        <w:tc>
          <w:tcPr>
            <w:tcW w:w="1808" w:type="dxa"/>
            <w:vMerge w:val="restart"/>
            <w:tcBorders>
              <w:top w:val="nil"/>
              <w:left w:val="single" w:sz="4" w:space="0" w:color="auto"/>
              <w:bottom w:val="single" w:sz="4" w:space="0" w:color="000000"/>
              <w:right w:val="single" w:sz="4" w:space="0" w:color="auto"/>
            </w:tcBorders>
            <w:shd w:val="clear" w:color="auto" w:fill="auto"/>
            <w:vAlign w:val="center"/>
            <w:hideMark/>
          </w:tcPr>
          <w:p w14:paraId="54E8CF24"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Bunuri și servicii</w:t>
            </w:r>
          </w:p>
        </w:tc>
        <w:tc>
          <w:tcPr>
            <w:tcW w:w="567" w:type="dxa"/>
            <w:tcBorders>
              <w:top w:val="nil"/>
              <w:left w:val="nil"/>
              <w:bottom w:val="single" w:sz="4" w:space="0" w:color="auto"/>
              <w:right w:val="single" w:sz="4" w:space="0" w:color="auto"/>
            </w:tcBorders>
            <w:shd w:val="clear" w:color="auto" w:fill="auto"/>
            <w:vAlign w:val="center"/>
            <w:hideMark/>
          </w:tcPr>
          <w:p w14:paraId="025F81A8"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CA</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24FDBAE3" w14:textId="588F100E"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48 350</w:t>
            </w:r>
          </w:p>
        </w:tc>
        <w:tc>
          <w:tcPr>
            <w:tcW w:w="773" w:type="dxa"/>
            <w:tcBorders>
              <w:top w:val="nil"/>
              <w:left w:val="nil"/>
              <w:bottom w:val="single" w:sz="4" w:space="0" w:color="auto"/>
              <w:right w:val="single" w:sz="4" w:space="0" w:color="auto"/>
            </w:tcBorders>
            <w:shd w:val="clear" w:color="auto" w:fill="auto"/>
            <w:noWrap/>
            <w:vAlign w:val="bottom"/>
            <w:hideMark/>
          </w:tcPr>
          <w:p w14:paraId="34F75A6E" w14:textId="4045FD68"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8 938</w:t>
            </w:r>
          </w:p>
        </w:tc>
        <w:tc>
          <w:tcPr>
            <w:tcW w:w="874" w:type="dxa"/>
            <w:tcBorders>
              <w:top w:val="nil"/>
              <w:left w:val="nil"/>
              <w:bottom w:val="single" w:sz="4" w:space="0" w:color="auto"/>
              <w:right w:val="single" w:sz="4" w:space="0" w:color="auto"/>
            </w:tcBorders>
            <w:shd w:val="clear" w:color="auto" w:fill="auto"/>
            <w:noWrap/>
            <w:vAlign w:val="bottom"/>
            <w:hideMark/>
          </w:tcPr>
          <w:p w14:paraId="1054EEC7" w14:textId="1128AF06"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15 332</w:t>
            </w:r>
          </w:p>
        </w:tc>
        <w:tc>
          <w:tcPr>
            <w:tcW w:w="773" w:type="dxa"/>
            <w:tcBorders>
              <w:top w:val="nil"/>
              <w:left w:val="nil"/>
              <w:bottom w:val="single" w:sz="4" w:space="0" w:color="auto"/>
              <w:right w:val="single" w:sz="4" w:space="0" w:color="auto"/>
            </w:tcBorders>
            <w:shd w:val="clear" w:color="auto" w:fill="auto"/>
            <w:noWrap/>
            <w:vAlign w:val="bottom"/>
            <w:hideMark/>
          </w:tcPr>
          <w:p w14:paraId="25590057" w14:textId="0A609322"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3 066</w:t>
            </w:r>
          </w:p>
        </w:tc>
        <w:tc>
          <w:tcPr>
            <w:tcW w:w="773" w:type="dxa"/>
            <w:tcBorders>
              <w:top w:val="nil"/>
              <w:left w:val="nil"/>
              <w:bottom w:val="single" w:sz="4" w:space="0" w:color="auto"/>
              <w:right w:val="single" w:sz="4" w:space="0" w:color="auto"/>
            </w:tcBorders>
            <w:shd w:val="clear" w:color="auto" w:fill="auto"/>
            <w:noWrap/>
            <w:vAlign w:val="bottom"/>
            <w:hideMark/>
          </w:tcPr>
          <w:p w14:paraId="626EDE59"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3,660</w:t>
            </w:r>
          </w:p>
        </w:tc>
        <w:tc>
          <w:tcPr>
            <w:tcW w:w="850" w:type="dxa"/>
            <w:tcBorders>
              <w:top w:val="nil"/>
              <w:left w:val="nil"/>
              <w:bottom w:val="single" w:sz="4" w:space="0" w:color="auto"/>
              <w:right w:val="single" w:sz="4" w:space="0" w:color="auto"/>
            </w:tcBorders>
            <w:shd w:val="clear" w:color="auto" w:fill="auto"/>
            <w:noWrap/>
            <w:vAlign w:val="bottom"/>
            <w:hideMark/>
          </w:tcPr>
          <w:p w14:paraId="5254E6E1"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732</w:t>
            </w:r>
          </w:p>
        </w:tc>
        <w:tc>
          <w:tcPr>
            <w:tcW w:w="874" w:type="dxa"/>
            <w:tcBorders>
              <w:top w:val="nil"/>
              <w:left w:val="nil"/>
              <w:bottom w:val="single" w:sz="4" w:space="0" w:color="auto"/>
              <w:right w:val="single" w:sz="4" w:space="0" w:color="auto"/>
            </w:tcBorders>
            <w:shd w:val="clear" w:color="auto" w:fill="auto"/>
            <w:noWrap/>
            <w:vAlign w:val="bottom"/>
            <w:hideMark/>
          </w:tcPr>
          <w:p w14:paraId="1E2A2AD2"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23,095</w:t>
            </w:r>
          </w:p>
        </w:tc>
        <w:tc>
          <w:tcPr>
            <w:tcW w:w="773" w:type="dxa"/>
            <w:tcBorders>
              <w:top w:val="nil"/>
              <w:left w:val="nil"/>
              <w:bottom w:val="single" w:sz="4" w:space="0" w:color="auto"/>
              <w:right w:val="single" w:sz="4" w:space="0" w:color="auto"/>
            </w:tcBorders>
            <w:shd w:val="clear" w:color="auto" w:fill="auto"/>
            <w:noWrap/>
            <w:vAlign w:val="bottom"/>
            <w:hideMark/>
          </w:tcPr>
          <w:p w14:paraId="52B96F0A"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4,619</w:t>
            </w:r>
          </w:p>
        </w:tc>
        <w:tc>
          <w:tcPr>
            <w:tcW w:w="773" w:type="dxa"/>
            <w:tcBorders>
              <w:top w:val="nil"/>
              <w:left w:val="nil"/>
              <w:bottom w:val="single" w:sz="4" w:space="0" w:color="auto"/>
              <w:right w:val="single" w:sz="4" w:space="0" w:color="auto"/>
            </w:tcBorders>
            <w:shd w:val="clear" w:color="auto" w:fill="auto"/>
            <w:noWrap/>
            <w:vAlign w:val="bottom"/>
            <w:hideMark/>
          </w:tcPr>
          <w:p w14:paraId="2EE5A7AE"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6,263</w:t>
            </w:r>
          </w:p>
        </w:tc>
        <w:tc>
          <w:tcPr>
            <w:tcW w:w="773" w:type="dxa"/>
            <w:tcBorders>
              <w:top w:val="nil"/>
              <w:left w:val="nil"/>
              <w:bottom w:val="single" w:sz="4" w:space="0" w:color="auto"/>
              <w:right w:val="single" w:sz="4" w:space="0" w:color="auto"/>
            </w:tcBorders>
            <w:shd w:val="clear" w:color="auto" w:fill="auto"/>
            <w:noWrap/>
            <w:vAlign w:val="bottom"/>
            <w:hideMark/>
          </w:tcPr>
          <w:p w14:paraId="3B5E77E8"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1,253</w:t>
            </w:r>
          </w:p>
        </w:tc>
      </w:tr>
      <w:tr w:rsidR="001E6AB2" w:rsidRPr="002F5AB8" w14:paraId="1BE8C62D" w14:textId="77777777" w:rsidTr="001E6AB2">
        <w:trPr>
          <w:trHeight w:val="345"/>
        </w:trPr>
        <w:tc>
          <w:tcPr>
            <w:tcW w:w="1808" w:type="dxa"/>
            <w:vMerge/>
            <w:tcBorders>
              <w:top w:val="nil"/>
              <w:left w:val="single" w:sz="4" w:space="0" w:color="auto"/>
              <w:bottom w:val="single" w:sz="4" w:space="0" w:color="000000"/>
              <w:right w:val="single" w:sz="4" w:space="0" w:color="auto"/>
            </w:tcBorders>
            <w:vAlign w:val="center"/>
            <w:hideMark/>
          </w:tcPr>
          <w:p w14:paraId="300F14FD" w14:textId="77777777" w:rsidR="001E6AB2" w:rsidRPr="002F5AB8" w:rsidRDefault="001E6AB2" w:rsidP="001E6AB2">
            <w:pPr>
              <w:rPr>
                <w:rFonts w:ascii="Calibri Light" w:hAnsi="Calibri Light" w:cs="Calibri Light"/>
                <w:color w:val="000000"/>
                <w:sz w:val="20"/>
                <w:lang w:eastAsia="ro-RO"/>
              </w:rPr>
            </w:pPr>
          </w:p>
        </w:tc>
        <w:tc>
          <w:tcPr>
            <w:tcW w:w="567" w:type="dxa"/>
            <w:tcBorders>
              <w:top w:val="nil"/>
              <w:left w:val="nil"/>
              <w:bottom w:val="single" w:sz="4" w:space="0" w:color="auto"/>
              <w:right w:val="single" w:sz="4" w:space="0" w:color="auto"/>
            </w:tcBorders>
            <w:shd w:val="clear" w:color="auto" w:fill="auto"/>
            <w:vAlign w:val="center"/>
            <w:hideMark/>
          </w:tcPr>
          <w:p w14:paraId="4DA4F4DE"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CB</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4C52C303" w14:textId="34CC38EE"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48 350</w:t>
            </w:r>
          </w:p>
        </w:tc>
        <w:tc>
          <w:tcPr>
            <w:tcW w:w="773" w:type="dxa"/>
            <w:tcBorders>
              <w:top w:val="nil"/>
              <w:left w:val="nil"/>
              <w:bottom w:val="single" w:sz="4" w:space="0" w:color="auto"/>
              <w:right w:val="single" w:sz="4" w:space="0" w:color="auto"/>
            </w:tcBorders>
            <w:shd w:val="clear" w:color="auto" w:fill="auto"/>
            <w:noWrap/>
            <w:vAlign w:val="bottom"/>
            <w:hideMark/>
          </w:tcPr>
          <w:p w14:paraId="1E10262E" w14:textId="2E5FA5E8"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8 938</w:t>
            </w:r>
          </w:p>
        </w:tc>
        <w:tc>
          <w:tcPr>
            <w:tcW w:w="874" w:type="dxa"/>
            <w:tcBorders>
              <w:top w:val="nil"/>
              <w:left w:val="nil"/>
              <w:bottom w:val="single" w:sz="4" w:space="0" w:color="auto"/>
              <w:right w:val="single" w:sz="4" w:space="0" w:color="auto"/>
            </w:tcBorders>
            <w:shd w:val="clear" w:color="auto" w:fill="auto"/>
            <w:noWrap/>
            <w:vAlign w:val="bottom"/>
            <w:hideMark/>
          </w:tcPr>
          <w:p w14:paraId="6C956F40" w14:textId="2E7361A8"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15 332</w:t>
            </w:r>
          </w:p>
        </w:tc>
        <w:tc>
          <w:tcPr>
            <w:tcW w:w="773" w:type="dxa"/>
            <w:tcBorders>
              <w:top w:val="nil"/>
              <w:left w:val="nil"/>
              <w:bottom w:val="single" w:sz="4" w:space="0" w:color="auto"/>
              <w:right w:val="single" w:sz="4" w:space="0" w:color="auto"/>
            </w:tcBorders>
            <w:shd w:val="clear" w:color="auto" w:fill="auto"/>
            <w:noWrap/>
            <w:vAlign w:val="bottom"/>
            <w:hideMark/>
          </w:tcPr>
          <w:p w14:paraId="3BD9E176" w14:textId="23BD4C2F"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3 066</w:t>
            </w:r>
          </w:p>
        </w:tc>
        <w:tc>
          <w:tcPr>
            <w:tcW w:w="773" w:type="dxa"/>
            <w:tcBorders>
              <w:top w:val="nil"/>
              <w:left w:val="nil"/>
              <w:bottom w:val="single" w:sz="4" w:space="0" w:color="auto"/>
              <w:right w:val="single" w:sz="4" w:space="0" w:color="auto"/>
            </w:tcBorders>
            <w:shd w:val="clear" w:color="auto" w:fill="auto"/>
            <w:noWrap/>
            <w:vAlign w:val="bottom"/>
            <w:hideMark/>
          </w:tcPr>
          <w:p w14:paraId="30AB4568"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3,660</w:t>
            </w:r>
          </w:p>
        </w:tc>
        <w:tc>
          <w:tcPr>
            <w:tcW w:w="850" w:type="dxa"/>
            <w:tcBorders>
              <w:top w:val="nil"/>
              <w:left w:val="nil"/>
              <w:bottom w:val="single" w:sz="4" w:space="0" w:color="auto"/>
              <w:right w:val="single" w:sz="4" w:space="0" w:color="auto"/>
            </w:tcBorders>
            <w:shd w:val="clear" w:color="auto" w:fill="auto"/>
            <w:noWrap/>
            <w:vAlign w:val="bottom"/>
            <w:hideMark/>
          </w:tcPr>
          <w:p w14:paraId="359282F2"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732</w:t>
            </w:r>
          </w:p>
        </w:tc>
        <w:tc>
          <w:tcPr>
            <w:tcW w:w="874" w:type="dxa"/>
            <w:tcBorders>
              <w:top w:val="nil"/>
              <w:left w:val="nil"/>
              <w:bottom w:val="single" w:sz="4" w:space="0" w:color="auto"/>
              <w:right w:val="single" w:sz="4" w:space="0" w:color="auto"/>
            </w:tcBorders>
            <w:shd w:val="clear" w:color="auto" w:fill="auto"/>
            <w:noWrap/>
            <w:vAlign w:val="bottom"/>
            <w:hideMark/>
          </w:tcPr>
          <w:p w14:paraId="50B6416C"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23,095</w:t>
            </w:r>
          </w:p>
        </w:tc>
        <w:tc>
          <w:tcPr>
            <w:tcW w:w="773" w:type="dxa"/>
            <w:tcBorders>
              <w:top w:val="nil"/>
              <w:left w:val="nil"/>
              <w:bottom w:val="single" w:sz="4" w:space="0" w:color="auto"/>
              <w:right w:val="single" w:sz="4" w:space="0" w:color="auto"/>
            </w:tcBorders>
            <w:shd w:val="clear" w:color="auto" w:fill="auto"/>
            <w:noWrap/>
            <w:vAlign w:val="bottom"/>
            <w:hideMark/>
          </w:tcPr>
          <w:p w14:paraId="7AF8BF52"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4,619</w:t>
            </w:r>
          </w:p>
        </w:tc>
        <w:tc>
          <w:tcPr>
            <w:tcW w:w="773" w:type="dxa"/>
            <w:tcBorders>
              <w:top w:val="nil"/>
              <w:left w:val="nil"/>
              <w:bottom w:val="single" w:sz="4" w:space="0" w:color="auto"/>
              <w:right w:val="single" w:sz="4" w:space="0" w:color="auto"/>
            </w:tcBorders>
            <w:shd w:val="clear" w:color="auto" w:fill="auto"/>
            <w:noWrap/>
            <w:vAlign w:val="bottom"/>
            <w:hideMark/>
          </w:tcPr>
          <w:p w14:paraId="33D0ACFE"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6,263</w:t>
            </w:r>
          </w:p>
        </w:tc>
        <w:tc>
          <w:tcPr>
            <w:tcW w:w="773" w:type="dxa"/>
            <w:tcBorders>
              <w:top w:val="nil"/>
              <w:left w:val="nil"/>
              <w:bottom w:val="single" w:sz="4" w:space="0" w:color="auto"/>
              <w:right w:val="single" w:sz="4" w:space="0" w:color="auto"/>
            </w:tcBorders>
            <w:shd w:val="clear" w:color="auto" w:fill="auto"/>
            <w:noWrap/>
            <w:vAlign w:val="bottom"/>
            <w:hideMark/>
          </w:tcPr>
          <w:p w14:paraId="67895E05"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1,253</w:t>
            </w:r>
          </w:p>
        </w:tc>
      </w:tr>
      <w:tr w:rsidR="001E6AB2" w:rsidRPr="002F5AB8" w14:paraId="0DAA8471" w14:textId="77777777" w:rsidTr="001E6AB2">
        <w:trPr>
          <w:trHeight w:val="300"/>
        </w:trPr>
        <w:tc>
          <w:tcPr>
            <w:tcW w:w="1808" w:type="dxa"/>
            <w:vMerge w:val="restart"/>
            <w:tcBorders>
              <w:top w:val="nil"/>
              <w:left w:val="single" w:sz="4" w:space="0" w:color="auto"/>
              <w:bottom w:val="single" w:sz="4" w:space="0" w:color="000000"/>
              <w:right w:val="single" w:sz="4" w:space="0" w:color="auto"/>
            </w:tcBorders>
            <w:shd w:val="clear" w:color="auto" w:fill="auto"/>
            <w:vAlign w:val="center"/>
            <w:hideMark/>
          </w:tcPr>
          <w:p w14:paraId="4C077674"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Transferuri</w:t>
            </w:r>
          </w:p>
        </w:tc>
        <w:tc>
          <w:tcPr>
            <w:tcW w:w="567" w:type="dxa"/>
            <w:tcBorders>
              <w:top w:val="nil"/>
              <w:left w:val="nil"/>
              <w:bottom w:val="single" w:sz="4" w:space="0" w:color="auto"/>
              <w:right w:val="single" w:sz="4" w:space="0" w:color="auto"/>
            </w:tcBorders>
            <w:shd w:val="clear" w:color="auto" w:fill="auto"/>
            <w:vAlign w:val="center"/>
            <w:hideMark/>
          </w:tcPr>
          <w:p w14:paraId="55580C44"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CA</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2DDB7B86" w14:textId="6899F2B7"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0</w:t>
            </w:r>
          </w:p>
        </w:tc>
        <w:tc>
          <w:tcPr>
            <w:tcW w:w="773" w:type="dxa"/>
            <w:tcBorders>
              <w:top w:val="nil"/>
              <w:left w:val="nil"/>
              <w:bottom w:val="single" w:sz="4" w:space="0" w:color="auto"/>
              <w:right w:val="single" w:sz="4" w:space="0" w:color="auto"/>
            </w:tcBorders>
            <w:shd w:val="clear" w:color="auto" w:fill="auto"/>
            <w:noWrap/>
            <w:vAlign w:val="bottom"/>
            <w:hideMark/>
          </w:tcPr>
          <w:p w14:paraId="581E8FF5" w14:textId="4B6DB707"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0</w:t>
            </w:r>
          </w:p>
        </w:tc>
        <w:tc>
          <w:tcPr>
            <w:tcW w:w="874" w:type="dxa"/>
            <w:tcBorders>
              <w:top w:val="nil"/>
              <w:left w:val="nil"/>
              <w:bottom w:val="single" w:sz="4" w:space="0" w:color="auto"/>
              <w:right w:val="single" w:sz="4" w:space="0" w:color="auto"/>
            </w:tcBorders>
            <w:shd w:val="clear" w:color="auto" w:fill="auto"/>
            <w:noWrap/>
            <w:vAlign w:val="bottom"/>
            <w:hideMark/>
          </w:tcPr>
          <w:p w14:paraId="27858066" w14:textId="41A2BD3D"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0</w:t>
            </w:r>
          </w:p>
        </w:tc>
        <w:tc>
          <w:tcPr>
            <w:tcW w:w="773" w:type="dxa"/>
            <w:tcBorders>
              <w:top w:val="nil"/>
              <w:left w:val="nil"/>
              <w:bottom w:val="single" w:sz="4" w:space="0" w:color="auto"/>
              <w:right w:val="single" w:sz="4" w:space="0" w:color="auto"/>
            </w:tcBorders>
            <w:shd w:val="clear" w:color="auto" w:fill="auto"/>
            <w:noWrap/>
            <w:vAlign w:val="bottom"/>
            <w:hideMark/>
          </w:tcPr>
          <w:p w14:paraId="479B8D17" w14:textId="67CB3422"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0</w:t>
            </w:r>
          </w:p>
        </w:tc>
        <w:tc>
          <w:tcPr>
            <w:tcW w:w="773" w:type="dxa"/>
            <w:tcBorders>
              <w:top w:val="nil"/>
              <w:left w:val="nil"/>
              <w:bottom w:val="single" w:sz="4" w:space="0" w:color="auto"/>
              <w:right w:val="single" w:sz="4" w:space="0" w:color="auto"/>
            </w:tcBorders>
            <w:shd w:val="clear" w:color="auto" w:fill="auto"/>
            <w:noWrap/>
            <w:vAlign w:val="bottom"/>
            <w:hideMark/>
          </w:tcPr>
          <w:p w14:paraId="3580827F"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850" w:type="dxa"/>
            <w:tcBorders>
              <w:top w:val="nil"/>
              <w:left w:val="nil"/>
              <w:bottom w:val="single" w:sz="4" w:space="0" w:color="auto"/>
              <w:right w:val="single" w:sz="4" w:space="0" w:color="auto"/>
            </w:tcBorders>
            <w:shd w:val="clear" w:color="auto" w:fill="auto"/>
            <w:noWrap/>
            <w:vAlign w:val="bottom"/>
            <w:hideMark/>
          </w:tcPr>
          <w:p w14:paraId="1E1B257E"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874" w:type="dxa"/>
            <w:tcBorders>
              <w:top w:val="nil"/>
              <w:left w:val="nil"/>
              <w:bottom w:val="single" w:sz="4" w:space="0" w:color="auto"/>
              <w:right w:val="single" w:sz="4" w:space="0" w:color="auto"/>
            </w:tcBorders>
            <w:shd w:val="clear" w:color="auto" w:fill="auto"/>
            <w:noWrap/>
            <w:vAlign w:val="bottom"/>
            <w:hideMark/>
          </w:tcPr>
          <w:p w14:paraId="127A2712"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773" w:type="dxa"/>
            <w:tcBorders>
              <w:top w:val="nil"/>
              <w:left w:val="nil"/>
              <w:bottom w:val="single" w:sz="4" w:space="0" w:color="auto"/>
              <w:right w:val="single" w:sz="4" w:space="0" w:color="auto"/>
            </w:tcBorders>
            <w:shd w:val="clear" w:color="auto" w:fill="auto"/>
            <w:noWrap/>
            <w:vAlign w:val="bottom"/>
            <w:hideMark/>
          </w:tcPr>
          <w:p w14:paraId="73399E46"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773" w:type="dxa"/>
            <w:tcBorders>
              <w:top w:val="nil"/>
              <w:left w:val="nil"/>
              <w:bottom w:val="single" w:sz="4" w:space="0" w:color="auto"/>
              <w:right w:val="single" w:sz="4" w:space="0" w:color="auto"/>
            </w:tcBorders>
            <w:shd w:val="clear" w:color="auto" w:fill="auto"/>
            <w:noWrap/>
            <w:vAlign w:val="bottom"/>
            <w:hideMark/>
          </w:tcPr>
          <w:p w14:paraId="0479E13D"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773" w:type="dxa"/>
            <w:tcBorders>
              <w:top w:val="nil"/>
              <w:left w:val="nil"/>
              <w:bottom w:val="single" w:sz="4" w:space="0" w:color="auto"/>
              <w:right w:val="single" w:sz="4" w:space="0" w:color="auto"/>
            </w:tcBorders>
            <w:shd w:val="clear" w:color="auto" w:fill="auto"/>
            <w:noWrap/>
            <w:vAlign w:val="bottom"/>
            <w:hideMark/>
          </w:tcPr>
          <w:p w14:paraId="52C293BC"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r>
      <w:tr w:rsidR="001E6AB2" w:rsidRPr="002F5AB8" w14:paraId="5C7AC709" w14:textId="77777777" w:rsidTr="001E6AB2">
        <w:trPr>
          <w:trHeight w:val="345"/>
        </w:trPr>
        <w:tc>
          <w:tcPr>
            <w:tcW w:w="1808" w:type="dxa"/>
            <w:vMerge/>
            <w:tcBorders>
              <w:top w:val="nil"/>
              <w:left w:val="single" w:sz="4" w:space="0" w:color="auto"/>
              <w:bottom w:val="single" w:sz="4" w:space="0" w:color="000000"/>
              <w:right w:val="single" w:sz="4" w:space="0" w:color="auto"/>
            </w:tcBorders>
            <w:vAlign w:val="center"/>
            <w:hideMark/>
          </w:tcPr>
          <w:p w14:paraId="61A7A12A" w14:textId="77777777" w:rsidR="001E6AB2" w:rsidRPr="002F5AB8" w:rsidRDefault="001E6AB2" w:rsidP="001E6AB2">
            <w:pPr>
              <w:rPr>
                <w:rFonts w:ascii="Calibri Light" w:hAnsi="Calibri Light" w:cs="Calibri Light"/>
                <w:color w:val="000000"/>
                <w:sz w:val="20"/>
                <w:lang w:eastAsia="ro-RO"/>
              </w:rPr>
            </w:pPr>
          </w:p>
        </w:tc>
        <w:tc>
          <w:tcPr>
            <w:tcW w:w="567" w:type="dxa"/>
            <w:tcBorders>
              <w:top w:val="nil"/>
              <w:left w:val="nil"/>
              <w:bottom w:val="single" w:sz="4" w:space="0" w:color="auto"/>
              <w:right w:val="single" w:sz="4" w:space="0" w:color="auto"/>
            </w:tcBorders>
            <w:shd w:val="clear" w:color="auto" w:fill="auto"/>
            <w:vAlign w:val="center"/>
            <w:hideMark/>
          </w:tcPr>
          <w:p w14:paraId="76DEB859"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CB</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59532458" w14:textId="6F9F2BFB"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0</w:t>
            </w:r>
          </w:p>
        </w:tc>
        <w:tc>
          <w:tcPr>
            <w:tcW w:w="773" w:type="dxa"/>
            <w:tcBorders>
              <w:top w:val="nil"/>
              <w:left w:val="nil"/>
              <w:bottom w:val="single" w:sz="4" w:space="0" w:color="auto"/>
              <w:right w:val="single" w:sz="4" w:space="0" w:color="auto"/>
            </w:tcBorders>
            <w:shd w:val="clear" w:color="auto" w:fill="auto"/>
            <w:noWrap/>
            <w:vAlign w:val="bottom"/>
            <w:hideMark/>
          </w:tcPr>
          <w:p w14:paraId="65A6211A" w14:textId="39178FA6"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0</w:t>
            </w:r>
          </w:p>
        </w:tc>
        <w:tc>
          <w:tcPr>
            <w:tcW w:w="874" w:type="dxa"/>
            <w:tcBorders>
              <w:top w:val="nil"/>
              <w:left w:val="nil"/>
              <w:bottom w:val="single" w:sz="4" w:space="0" w:color="auto"/>
              <w:right w:val="single" w:sz="4" w:space="0" w:color="auto"/>
            </w:tcBorders>
            <w:shd w:val="clear" w:color="auto" w:fill="auto"/>
            <w:noWrap/>
            <w:vAlign w:val="bottom"/>
            <w:hideMark/>
          </w:tcPr>
          <w:p w14:paraId="3150DA2F" w14:textId="76DA7FA0"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0</w:t>
            </w:r>
          </w:p>
        </w:tc>
        <w:tc>
          <w:tcPr>
            <w:tcW w:w="773" w:type="dxa"/>
            <w:tcBorders>
              <w:top w:val="nil"/>
              <w:left w:val="nil"/>
              <w:bottom w:val="single" w:sz="4" w:space="0" w:color="auto"/>
              <w:right w:val="single" w:sz="4" w:space="0" w:color="auto"/>
            </w:tcBorders>
            <w:shd w:val="clear" w:color="auto" w:fill="auto"/>
            <w:noWrap/>
            <w:vAlign w:val="bottom"/>
            <w:hideMark/>
          </w:tcPr>
          <w:p w14:paraId="05CEFA98" w14:textId="53E9F43C"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0</w:t>
            </w:r>
          </w:p>
        </w:tc>
        <w:tc>
          <w:tcPr>
            <w:tcW w:w="773" w:type="dxa"/>
            <w:tcBorders>
              <w:top w:val="nil"/>
              <w:left w:val="nil"/>
              <w:bottom w:val="single" w:sz="4" w:space="0" w:color="auto"/>
              <w:right w:val="single" w:sz="4" w:space="0" w:color="auto"/>
            </w:tcBorders>
            <w:shd w:val="clear" w:color="auto" w:fill="auto"/>
            <w:noWrap/>
            <w:vAlign w:val="bottom"/>
            <w:hideMark/>
          </w:tcPr>
          <w:p w14:paraId="70705190"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850" w:type="dxa"/>
            <w:tcBorders>
              <w:top w:val="nil"/>
              <w:left w:val="nil"/>
              <w:bottom w:val="single" w:sz="4" w:space="0" w:color="auto"/>
              <w:right w:val="single" w:sz="4" w:space="0" w:color="auto"/>
            </w:tcBorders>
            <w:shd w:val="clear" w:color="auto" w:fill="auto"/>
            <w:noWrap/>
            <w:vAlign w:val="bottom"/>
            <w:hideMark/>
          </w:tcPr>
          <w:p w14:paraId="1FF5F1EF"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874" w:type="dxa"/>
            <w:tcBorders>
              <w:top w:val="nil"/>
              <w:left w:val="nil"/>
              <w:bottom w:val="single" w:sz="4" w:space="0" w:color="auto"/>
              <w:right w:val="single" w:sz="4" w:space="0" w:color="auto"/>
            </w:tcBorders>
            <w:shd w:val="clear" w:color="auto" w:fill="auto"/>
            <w:noWrap/>
            <w:vAlign w:val="bottom"/>
            <w:hideMark/>
          </w:tcPr>
          <w:p w14:paraId="394F119A"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773" w:type="dxa"/>
            <w:tcBorders>
              <w:top w:val="nil"/>
              <w:left w:val="nil"/>
              <w:bottom w:val="single" w:sz="4" w:space="0" w:color="auto"/>
              <w:right w:val="single" w:sz="4" w:space="0" w:color="auto"/>
            </w:tcBorders>
            <w:shd w:val="clear" w:color="auto" w:fill="auto"/>
            <w:noWrap/>
            <w:vAlign w:val="bottom"/>
            <w:hideMark/>
          </w:tcPr>
          <w:p w14:paraId="29630821"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773" w:type="dxa"/>
            <w:tcBorders>
              <w:top w:val="nil"/>
              <w:left w:val="nil"/>
              <w:bottom w:val="single" w:sz="4" w:space="0" w:color="auto"/>
              <w:right w:val="single" w:sz="4" w:space="0" w:color="auto"/>
            </w:tcBorders>
            <w:shd w:val="clear" w:color="auto" w:fill="auto"/>
            <w:noWrap/>
            <w:vAlign w:val="bottom"/>
            <w:hideMark/>
          </w:tcPr>
          <w:p w14:paraId="573BA2E4"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773" w:type="dxa"/>
            <w:tcBorders>
              <w:top w:val="nil"/>
              <w:left w:val="nil"/>
              <w:bottom w:val="single" w:sz="4" w:space="0" w:color="auto"/>
              <w:right w:val="single" w:sz="4" w:space="0" w:color="auto"/>
            </w:tcBorders>
            <w:shd w:val="clear" w:color="auto" w:fill="auto"/>
            <w:noWrap/>
            <w:vAlign w:val="bottom"/>
            <w:hideMark/>
          </w:tcPr>
          <w:p w14:paraId="25E4FAEB"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r>
      <w:tr w:rsidR="001E6AB2" w:rsidRPr="002F5AB8" w14:paraId="0DC0D895" w14:textId="77777777" w:rsidTr="001E6AB2">
        <w:trPr>
          <w:trHeight w:val="300"/>
        </w:trPr>
        <w:tc>
          <w:tcPr>
            <w:tcW w:w="1808" w:type="dxa"/>
            <w:vMerge w:val="restart"/>
            <w:tcBorders>
              <w:top w:val="nil"/>
              <w:left w:val="single" w:sz="4" w:space="0" w:color="auto"/>
              <w:bottom w:val="single" w:sz="4" w:space="0" w:color="000000"/>
              <w:right w:val="single" w:sz="4" w:space="0" w:color="auto"/>
            </w:tcBorders>
            <w:shd w:val="clear" w:color="auto" w:fill="auto"/>
            <w:vAlign w:val="center"/>
            <w:hideMark/>
          </w:tcPr>
          <w:p w14:paraId="6D3290EA"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Alte transferuri</w:t>
            </w:r>
          </w:p>
        </w:tc>
        <w:tc>
          <w:tcPr>
            <w:tcW w:w="567" w:type="dxa"/>
            <w:tcBorders>
              <w:top w:val="nil"/>
              <w:left w:val="nil"/>
              <w:bottom w:val="single" w:sz="4" w:space="0" w:color="auto"/>
              <w:right w:val="single" w:sz="4" w:space="0" w:color="auto"/>
            </w:tcBorders>
            <w:shd w:val="clear" w:color="auto" w:fill="auto"/>
            <w:vAlign w:val="center"/>
            <w:hideMark/>
          </w:tcPr>
          <w:p w14:paraId="47EE4962"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CA</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B820F7E" w14:textId="5865874A"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172</w:t>
            </w:r>
          </w:p>
        </w:tc>
        <w:tc>
          <w:tcPr>
            <w:tcW w:w="773" w:type="dxa"/>
            <w:tcBorders>
              <w:top w:val="nil"/>
              <w:left w:val="nil"/>
              <w:bottom w:val="single" w:sz="4" w:space="0" w:color="auto"/>
              <w:right w:val="single" w:sz="4" w:space="0" w:color="auto"/>
            </w:tcBorders>
            <w:shd w:val="clear" w:color="auto" w:fill="auto"/>
            <w:noWrap/>
            <w:vAlign w:val="bottom"/>
            <w:hideMark/>
          </w:tcPr>
          <w:p w14:paraId="679914E9" w14:textId="18CAF821"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29</w:t>
            </w:r>
          </w:p>
        </w:tc>
        <w:tc>
          <w:tcPr>
            <w:tcW w:w="874" w:type="dxa"/>
            <w:tcBorders>
              <w:top w:val="nil"/>
              <w:left w:val="nil"/>
              <w:bottom w:val="single" w:sz="4" w:space="0" w:color="auto"/>
              <w:right w:val="single" w:sz="4" w:space="0" w:color="auto"/>
            </w:tcBorders>
            <w:shd w:val="clear" w:color="auto" w:fill="auto"/>
            <w:noWrap/>
            <w:vAlign w:val="bottom"/>
            <w:hideMark/>
          </w:tcPr>
          <w:p w14:paraId="76C41B10" w14:textId="67327322"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60</w:t>
            </w:r>
          </w:p>
        </w:tc>
        <w:tc>
          <w:tcPr>
            <w:tcW w:w="773" w:type="dxa"/>
            <w:tcBorders>
              <w:top w:val="nil"/>
              <w:left w:val="nil"/>
              <w:bottom w:val="single" w:sz="4" w:space="0" w:color="auto"/>
              <w:right w:val="single" w:sz="4" w:space="0" w:color="auto"/>
            </w:tcBorders>
            <w:shd w:val="clear" w:color="auto" w:fill="auto"/>
            <w:noWrap/>
            <w:vAlign w:val="bottom"/>
            <w:hideMark/>
          </w:tcPr>
          <w:p w14:paraId="5C4F2EA5" w14:textId="30E811DB"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12</w:t>
            </w:r>
          </w:p>
        </w:tc>
        <w:tc>
          <w:tcPr>
            <w:tcW w:w="773" w:type="dxa"/>
            <w:tcBorders>
              <w:top w:val="nil"/>
              <w:left w:val="nil"/>
              <w:bottom w:val="single" w:sz="4" w:space="0" w:color="auto"/>
              <w:right w:val="single" w:sz="4" w:space="0" w:color="auto"/>
            </w:tcBorders>
            <w:shd w:val="clear" w:color="auto" w:fill="auto"/>
            <w:noWrap/>
            <w:vAlign w:val="bottom"/>
            <w:hideMark/>
          </w:tcPr>
          <w:p w14:paraId="64BD5744"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26</w:t>
            </w:r>
          </w:p>
        </w:tc>
        <w:tc>
          <w:tcPr>
            <w:tcW w:w="850" w:type="dxa"/>
            <w:tcBorders>
              <w:top w:val="nil"/>
              <w:left w:val="nil"/>
              <w:bottom w:val="single" w:sz="4" w:space="0" w:color="auto"/>
              <w:right w:val="single" w:sz="4" w:space="0" w:color="auto"/>
            </w:tcBorders>
            <w:shd w:val="clear" w:color="auto" w:fill="auto"/>
            <w:noWrap/>
            <w:vAlign w:val="bottom"/>
            <w:hideMark/>
          </w:tcPr>
          <w:p w14:paraId="4EC9B80D"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5</w:t>
            </w:r>
          </w:p>
        </w:tc>
        <w:tc>
          <w:tcPr>
            <w:tcW w:w="874" w:type="dxa"/>
            <w:tcBorders>
              <w:top w:val="nil"/>
              <w:left w:val="nil"/>
              <w:bottom w:val="single" w:sz="4" w:space="0" w:color="auto"/>
              <w:right w:val="single" w:sz="4" w:space="0" w:color="auto"/>
            </w:tcBorders>
            <w:shd w:val="clear" w:color="auto" w:fill="auto"/>
            <w:noWrap/>
            <w:vAlign w:val="bottom"/>
            <w:hideMark/>
          </w:tcPr>
          <w:p w14:paraId="2BA6973A"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86</w:t>
            </w:r>
          </w:p>
        </w:tc>
        <w:tc>
          <w:tcPr>
            <w:tcW w:w="773" w:type="dxa"/>
            <w:tcBorders>
              <w:top w:val="nil"/>
              <w:left w:val="nil"/>
              <w:bottom w:val="single" w:sz="4" w:space="0" w:color="auto"/>
              <w:right w:val="single" w:sz="4" w:space="0" w:color="auto"/>
            </w:tcBorders>
            <w:shd w:val="clear" w:color="auto" w:fill="auto"/>
            <w:noWrap/>
            <w:vAlign w:val="bottom"/>
            <w:hideMark/>
          </w:tcPr>
          <w:p w14:paraId="31045101"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17</w:t>
            </w:r>
          </w:p>
        </w:tc>
        <w:tc>
          <w:tcPr>
            <w:tcW w:w="773" w:type="dxa"/>
            <w:tcBorders>
              <w:top w:val="nil"/>
              <w:left w:val="nil"/>
              <w:bottom w:val="single" w:sz="4" w:space="0" w:color="auto"/>
              <w:right w:val="single" w:sz="4" w:space="0" w:color="auto"/>
            </w:tcBorders>
            <w:shd w:val="clear" w:color="auto" w:fill="auto"/>
            <w:noWrap/>
            <w:vAlign w:val="bottom"/>
            <w:hideMark/>
          </w:tcPr>
          <w:p w14:paraId="0DA47167"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773" w:type="dxa"/>
            <w:tcBorders>
              <w:top w:val="nil"/>
              <w:left w:val="nil"/>
              <w:bottom w:val="single" w:sz="4" w:space="0" w:color="auto"/>
              <w:right w:val="single" w:sz="4" w:space="0" w:color="auto"/>
            </w:tcBorders>
            <w:shd w:val="clear" w:color="auto" w:fill="auto"/>
            <w:noWrap/>
            <w:vAlign w:val="bottom"/>
            <w:hideMark/>
          </w:tcPr>
          <w:p w14:paraId="789F2E51"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r>
      <w:tr w:rsidR="001E6AB2" w:rsidRPr="002F5AB8" w14:paraId="029C2138" w14:textId="77777777" w:rsidTr="001E6AB2">
        <w:trPr>
          <w:trHeight w:val="345"/>
        </w:trPr>
        <w:tc>
          <w:tcPr>
            <w:tcW w:w="1808" w:type="dxa"/>
            <w:vMerge/>
            <w:tcBorders>
              <w:top w:val="nil"/>
              <w:left w:val="single" w:sz="4" w:space="0" w:color="auto"/>
              <w:bottom w:val="single" w:sz="4" w:space="0" w:color="000000"/>
              <w:right w:val="single" w:sz="4" w:space="0" w:color="auto"/>
            </w:tcBorders>
            <w:vAlign w:val="center"/>
            <w:hideMark/>
          </w:tcPr>
          <w:p w14:paraId="3A41890C" w14:textId="77777777" w:rsidR="001E6AB2" w:rsidRPr="002F5AB8" w:rsidRDefault="001E6AB2" w:rsidP="001E6AB2">
            <w:pPr>
              <w:rPr>
                <w:rFonts w:ascii="Calibri Light" w:hAnsi="Calibri Light" w:cs="Calibri Light"/>
                <w:color w:val="000000"/>
                <w:sz w:val="20"/>
                <w:lang w:eastAsia="ro-RO"/>
              </w:rPr>
            </w:pPr>
          </w:p>
        </w:tc>
        <w:tc>
          <w:tcPr>
            <w:tcW w:w="567" w:type="dxa"/>
            <w:tcBorders>
              <w:top w:val="nil"/>
              <w:left w:val="nil"/>
              <w:bottom w:val="single" w:sz="4" w:space="0" w:color="auto"/>
              <w:right w:val="single" w:sz="4" w:space="0" w:color="auto"/>
            </w:tcBorders>
            <w:shd w:val="clear" w:color="auto" w:fill="auto"/>
            <w:vAlign w:val="center"/>
            <w:hideMark/>
          </w:tcPr>
          <w:p w14:paraId="7F335EAF"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CB</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0C44ACB" w14:textId="2B6D3783"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172</w:t>
            </w:r>
          </w:p>
        </w:tc>
        <w:tc>
          <w:tcPr>
            <w:tcW w:w="773" w:type="dxa"/>
            <w:tcBorders>
              <w:top w:val="nil"/>
              <w:left w:val="nil"/>
              <w:bottom w:val="single" w:sz="4" w:space="0" w:color="auto"/>
              <w:right w:val="single" w:sz="4" w:space="0" w:color="auto"/>
            </w:tcBorders>
            <w:shd w:val="clear" w:color="auto" w:fill="auto"/>
            <w:noWrap/>
            <w:vAlign w:val="bottom"/>
            <w:hideMark/>
          </w:tcPr>
          <w:p w14:paraId="35764B41" w14:textId="0B508E18"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29</w:t>
            </w:r>
          </w:p>
        </w:tc>
        <w:tc>
          <w:tcPr>
            <w:tcW w:w="874" w:type="dxa"/>
            <w:tcBorders>
              <w:top w:val="nil"/>
              <w:left w:val="nil"/>
              <w:bottom w:val="single" w:sz="4" w:space="0" w:color="auto"/>
              <w:right w:val="single" w:sz="4" w:space="0" w:color="auto"/>
            </w:tcBorders>
            <w:shd w:val="clear" w:color="auto" w:fill="auto"/>
            <w:noWrap/>
            <w:vAlign w:val="bottom"/>
            <w:hideMark/>
          </w:tcPr>
          <w:p w14:paraId="1631B9AF" w14:textId="288887E6"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60</w:t>
            </w:r>
          </w:p>
        </w:tc>
        <w:tc>
          <w:tcPr>
            <w:tcW w:w="773" w:type="dxa"/>
            <w:tcBorders>
              <w:top w:val="nil"/>
              <w:left w:val="nil"/>
              <w:bottom w:val="single" w:sz="4" w:space="0" w:color="auto"/>
              <w:right w:val="single" w:sz="4" w:space="0" w:color="auto"/>
            </w:tcBorders>
            <w:shd w:val="clear" w:color="auto" w:fill="auto"/>
            <w:noWrap/>
            <w:vAlign w:val="bottom"/>
            <w:hideMark/>
          </w:tcPr>
          <w:p w14:paraId="0CAD237A" w14:textId="559A699E"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12</w:t>
            </w:r>
          </w:p>
        </w:tc>
        <w:tc>
          <w:tcPr>
            <w:tcW w:w="773" w:type="dxa"/>
            <w:tcBorders>
              <w:top w:val="nil"/>
              <w:left w:val="nil"/>
              <w:bottom w:val="single" w:sz="4" w:space="0" w:color="auto"/>
              <w:right w:val="single" w:sz="4" w:space="0" w:color="auto"/>
            </w:tcBorders>
            <w:shd w:val="clear" w:color="auto" w:fill="auto"/>
            <w:noWrap/>
            <w:vAlign w:val="bottom"/>
            <w:hideMark/>
          </w:tcPr>
          <w:p w14:paraId="6936BBEF"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26</w:t>
            </w:r>
          </w:p>
        </w:tc>
        <w:tc>
          <w:tcPr>
            <w:tcW w:w="850" w:type="dxa"/>
            <w:tcBorders>
              <w:top w:val="nil"/>
              <w:left w:val="nil"/>
              <w:bottom w:val="single" w:sz="4" w:space="0" w:color="auto"/>
              <w:right w:val="single" w:sz="4" w:space="0" w:color="auto"/>
            </w:tcBorders>
            <w:shd w:val="clear" w:color="auto" w:fill="auto"/>
            <w:noWrap/>
            <w:vAlign w:val="bottom"/>
            <w:hideMark/>
          </w:tcPr>
          <w:p w14:paraId="73D4BE00"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5</w:t>
            </w:r>
          </w:p>
        </w:tc>
        <w:tc>
          <w:tcPr>
            <w:tcW w:w="874" w:type="dxa"/>
            <w:tcBorders>
              <w:top w:val="nil"/>
              <w:left w:val="nil"/>
              <w:bottom w:val="single" w:sz="4" w:space="0" w:color="auto"/>
              <w:right w:val="single" w:sz="4" w:space="0" w:color="auto"/>
            </w:tcBorders>
            <w:shd w:val="clear" w:color="auto" w:fill="auto"/>
            <w:noWrap/>
            <w:vAlign w:val="bottom"/>
            <w:hideMark/>
          </w:tcPr>
          <w:p w14:paraId="438A01B5"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86</w:t>
            </w:r>
          </w:p>
        </w:tc>
        <w:tc>
          <w:tcPr>
            <w:tcW w:w="773" w:type="dxa"/>
            <w:tcBorders>
              <w:top w:val="nil"/>
              <w:left w:val="nil"/>
              <w:bottom w:val="single" w:sz="4" w:space="0" w:color="auto"/>
              <w:right w:val="single" w:sz="4" w:space="0" w:color="auto"/>
            </w:tcBorders>
            <w:shd w:val="clear" w:color="auto" w:fill="auto"/>
            <w:noWrap/>
            <w:vAlign w:val="bottom"/>
            <w:hideMark/>
          </w:tcPr>
          <w:p w14:paraId="20705266"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17</w:t>
            </w:r>
          </w:p>
        </w:tc>
        <w:tc>
          <w:tcPr>
            <w:tcW w:w="773" w:type="dxa"/>
            <w:tcBorders>
              <w:top w:val="nil"/>
              <w:left w:val="nil"/>
              <w:bottom w:val="single" w:sz="4" w:space="0" w:color="auto"/>
              <w:right w:val="single" w:sz="4" w:space="0" w:color="auto"/>
            </w:tcBorders>
            <w:shd w:val="clear" w:color="auto" w:fill="auto"/>
            <w:noWrap/>
            <w:vAlign w:val="bottom"/>
            <w:hideMark/>
          </w:tcPr>
          <w:p w14:paraId="1015DE23"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773" w:type="dxa"/>
            <w:tcBorders>
              <w:top w:val="nil"/>
              <w:left w:val="nil"/>
              <w:bottom w:val="single" w:sz="4" w:space="0" w:color="auto"/>
              <w:right w:val="single" w:sz="4" w:space="0" w:color="auto"/>
            </w:tcBorders>
            <w:shd w:val="clear" w:color="auto" w:fill="auto"/>
            <w:noWrap/>
            <w:vAlign w:val="bottom"/>
            <w:hideMark/>
          </w:tcPr>
          <w:p w14:paraId="31F79857"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r>
      <w:tr w:rsidR="001E6AB2" w:rsidRPr="002F5AB8" w14:paraId="4C36C18B" w14:textId="77777777" w:rsidTr="001E6AB2">
        <w:trPr>
          <w:trHeight w:val="300"/>
        </w:trPr>
        <w:tc>
          <w:tcPr>
            <w:tcW w:w="1808" w:type="dxa"/>
            <w:vMerge w:val="restart"/>
            <w:tcBorders>
              <w:top w:val="nil"/>
              <w:left w:val="single" w:sz="4" w:space="0" w:color="auto"/>
              <w:bottom w:val="single" w:sz="4" w:space="0" w:color="000000"/>
              <w:right w:val="single" w:sz="4" w:space="0" w:color="auto"/>
            </w:tcBorders>
            <w:shd w:val="clear" w:color="auto" w:fill="auto"/>
            <w:vAlign w:val="center"/>
            <w:hideMark/>
          </w:tcPr>
          <w:p w14:paraId="3AB30C21"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Proiecte cu finanțare din FEN postaderare</w:t>
            </w:r>
          </w:p>
        </w:tc>
        <w:tc>
          <w:tcPr>
            <w:tcW w:w="567" w:type="dxa"/>
            <w:tcBorders>
              <w:top w:val="nil"/>
              <w:left w:val="nil"/>
              <w:bottom w:val="single" w:sz="4" w:space="0" w:color="auto"/>
              <w:right w:val="single" w:sz="4" w:space="0" w:color="auto"/>
            </w:tcBorders>
            <w:shd w:val="clear" w:color="auto" w:fill="auto"/>
            <w:vAlign w:val="center"/>
            <w:hideMark/>
          </w:tcPr>
          <w:p w14:paraId="01E51CF8"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CA</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4D950B71" w14:textId="719F00E3"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14 995</w:t>
            </w:r>
          </w:p>
        </w:tc>
        <w:tc>
          <w:tcPr>
            <w:tcW w:w="773" w:type="dxa"/>
            <w:tcBorders>
              <w:top w:val="nil"/>
              <w:left w:val="nil"/>
              <w:bottom w:val="single" w:sz="4" w:space="0" w:color="auto"/>
              <w:right w:val="single" w:sz="4" w:space="0" w:color="auto"/>
            </w:tcBorders>
            <w:shd w:val="clear" w:color="auto" w:fill="auto"/>
            <w:noWrap/>
            <w:vAlign w:val="bottom"/>
            <w:hideMark/>
          </w:tcPr>
          <w:p w14:paraId="69E4D47A" w14:textId="0E2E4B5B"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2 999</w:t>
            </w:r>
          </w:p>
        </w:tc>
        <w:tc>
          <w:tcPr>
            <w:tcW w:w="874" w:type="dxa"/>
            <w:tcBorders>
              <w:top w:val="nil"/>
              <w:left w:val="nil"/>
              <w:bottom w:val="single" w:sz="4" w:space="0" w:color="auto"/>
              <w:right w:val="single" w:sz="4" w:space="0" w:color="auto"/>
            </w:tcBorders>
            <w:shd w:val="clear" w:color="auto" w:fill="auto"/>
            <w:noWrap/>
            <w:vAlign w:val="bottom"/>
            <w:hideMark/>
          </w:tcPr>
          <w:p w14:paraId="0AB848C8" w14:textId="24AF5218"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4 639</w:t>
            </w:r>
          </w:p>
        </w:tc>
        <w:tc>
          <w:tcPr>
            <w:tcW w:w="773" w:type="dxa"/>
            <w:tcBorders>
              <w:top w:val="nil"/>
              <w:left w:val="nil"/>
              <w:bottom w:val="single" w:sz="4" w:space="0" w:color="auto"/>
              <w:right w:val="single" w:sz="4" w:space="0" w:color="auto"/>
            </w:tcBorders>
            <w:shd w:val="clear" w:color="auto" w:fill="auto"/>
            <w:noWrap/>
            <w:vAlign w:val="bottom"/>
            <w:hideMark/>
          </w:tcPr>
          <w:p w14:paraId="5ACCC8D1" w14:textId="4930EE8A"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928</w:t>
            </w:r>
          </w:p>
        </w:tc>
        <w:tc>
          <w:tcPr>
            <w:tcW w:w="773" w:type="dxa"/>
            <w:tcBorders>
              <w:top w:val="nil"/>
              <w:left w:val="nil"/>
              <w:bottom w:val="single" w:sz="4" w:space="0" w:color="auto"/>
              <w:right w:val="single" w:sz="4" w:space="0" w:color="auto"/>
            </w:tcBorders>
            <w:shd w:val="clear" w:color="auto" w:fill="auto"/>
            <w:noWrap/>
            <w:vAlign w:val="bottom"/>
            <w:hideMark/>
          </w:tcPr>
          <w:p w14:paraId="7D40E18C"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850" w:type="dxa"/>
            <w:tcBorders>
              <w:top w:val="nil"/>
              <w:left w:val="nil"/>
              <w:bottom w:val="single" w:sz="4" w:space="0" w:color="auto"/>
              <w:right w:val="single" w:sz="4" w:space="0" w:color="auto"/>
            </w:tcBorders>
            <w:shd w:val="clear" w:color="auto" w:fill="auto"/>
            <w:noWrap/>
            <w:vAlign w:val="bottom"/>
            <w:hideMark/>
          </w:tcPr>
          <w:p w14:paraId="3D19C014"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874" w:type="dxa"/>
            <w:tcBorders>
              <w:top w:val="nil"/>
              <w:left w:val="nil"/>
              <w:bottom w:val="single" w:sz="4" w:space="0" w:color="auto"/>
              <w:right w:val="single" w:sz="4" w:space="0" w:color="auto"/>
            </w:tcBorders>
            <w:shd w:val="clear" w:color="auto" w:fill="auto"/>
            <w:noWrap/>
            <w:vAlign w:val="bottom"/>
            <w:hideMark/>
          </w:tcPr>
          <w:p w14:paraId="1FEAA1CC"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10,341</w:t>
            </w:r>
          </w:p>
        </w:tc>
        <w:tc>
          <w:tcPr>
            <w:tcW w:w="773" w:type="dxa"/>
            <w:tcBorders>
              <w:top w:val="nil"/>
              <w:left w:val="nil"/>
              <w:bottom w:val="single" w:sz="4" w:space="0" w:color="auto"/>
              <w:right w:val="single" w:sz="4" w:space="0" w:color="auto"/>
            </w:tcBorders>
            <w:shd w:val="clear" w:color="auto" w:fill="auto"/>
            <w:noWrap/>
            <w:vAlign w:val="bottom"/>
            <w:hideMark/>
          </w:tcPr>
          <w:p w14:paraId="074DE37B"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2,068</w:t>
            </w:r>
          </w:p>
        </w:tc>
        <w:tc>
          <w:tcPr>
            <w:tcW w:w="773" w:type="dxa"/>
            <w:tcBorders>
              <w:top w:val="nil"/>
              <w:left w:val="nil"/>
              <w:bottom w:val="single" w:sz="4" w:space="0" w:color="auto"/>
              <w:right w:val="single" w:sz="4" w:space="0" w:color="auto"/>
            </w:tcBorders>
            <w:shd w:val="clear" w:color="auto" w:fill="auto"/>
            <w:noWrap/>
            <w:vAlign w:val="bottom"/>
            <w:hideMark/>
          </w:tcPr>
          <w:p w14:paraId="521CAD64"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15</w:t>
            </w:r>
          </w:p>
        </w:tc>
        <w:tc>
          <w:tcPr>
            <w:tcW w:w="773" w:type="dxa"/>
            <w:tcBorders>
              <w:top w:val="nil"/>
              <w:left w:val="nil"/>
              <w:bottom w:val="single" w:sz="4" w:space="0" w:color="auto"/>
              <w:right w:val="single" w:sz="4" w:space="0" w:color="auto"/>
            </w:tcBorders>
            <w:shd w:val="clear" w:color="auto" w:fill="auto"/>
            <w:noWrap/>
            <w:vAlign w:val="bottom"/>
            <w:hideMark/>
          </w:tcPr>
          <w:p w14:paraId="3134A8A6"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3</w:t>
            </w:r>
          </w:p>
        </w:tc>
      </w:tr>
      <w:tr w:rsidR="001E6AB2" w:rsidRPr="002F5AB8" w14:paraId="02177247" w14:textId="77777777" w:rsidTr="001E6AB2">
        <w:trPr>
          <w:trHeight w:val="390"/>
        </w:trPr>
        <w:tc>
          <w:tcPr>
            <w:tcW w:w="1808" w:type="dxa"/>
            <w:vMerge/>
            <w:tcBorders>
              <w:top w:val="nil"/>
              <w:left w:val="single" w:sz="4" w:space="0" w:color="auto"/>
              <w:bottom w:val="single" w:sz="4" w:space="0" w:color="000000"/>
              <w:right w:val="single" w:sz="4" w:space="0" w:color="auto"/>
            </w:tcBorders>
            <w:vAlign w:val="center"/>
            <w:hideMark/>
          </w:tcPr>
          <w:p w14:paraId="6BABD825" w14:textId="77777777" w:rsidR="001E6AB2" w:rsidRPr="002F5AB8" w:rsidRDefault="001E6AB2" w:rsidP="001E6AB2">
            <w:pPr>
              <w:rPr>
                <w:rFonts w:ascii="Calibri Light" w:hAnsi="Calibri Light" w:cs="Calibri Light"/>
                <w:color w:val="000000"/>
                <w:sz w:val="20"/>
                <w:lang w:eastAsia="ro-RO"/>
              </w:rPr>
            </w:pPr>
          </w:p>
        </w:tc>
        <w:tc>
          <w:tcPr>
            <w:tcW w:w="567" w:type="dxa"/>
            <w:tcBorders>
              <w:top w:val="nil"/>
              <w:left w:val="nil"/>
              <w:bottom w:val="single" w:sz="4" w:space="0" w:color="auto"/>
              <w:right w:val="single" w:sz="4" w:space="0" w:color="auto"/>
            </w:tcBorders>
            <w:shd w:val="clear" w:color="auto" w:fill="auto"/>
            <w:vAlign w:val="center"/>
            <w:hideMark/>
          </w:tcPr>
          <w:p w14:paraId="3A8FFDCD"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CB</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41086CC7" w14:textId="197F8BA6"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6 127</w:t>
            </w:r>
          </w:p>
        </w:tc>
        <w:tc>
          <w:tcPr>
            <w:tcW w:w="773" w:type="dxa"/>
            <w:tcBorders>
              <w:top w:val="nil"/>
              <w:left w:val="nil"/>
              <w:bottom w:val="single" w:sz="4" w:space="0" w:color="auto"/>
              <w:right w:val="single" w:sz="4" w:space="0" w:color="auto"/>
            </w:tcBorders>
            <w:shd w:val="clear" w:color="auto" w:fill="auto"/>
            <w:noWrap/>
            <w:vAlign w:val="bottom"/>
            <w:hideMark/>
          </w:tcPr>
          <w:p w14:paraId="7B41D6D2" w14:textId="71D33864"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1 225</w:t>
            </w:r>
          </w:p>
        </w:tc>
        <w:tc>
          <w:tcPr>
            <w:tcW w:w="874" w:type="dxa"/>
            <w:tcBorders>
              <w:top w:val="nil"/>
              <w:left w:val="nil"/>
              <w:bottom w:val="single" w:sz="4" w:space="0" w:color="auto"/>
              <w:right w:val="single" w:sz="4" w:space="0" w:color="auto"/>
            </w:tcBorders>
            <w:shd w:val="clear" w:color="auto" w:fill="auto"/>
            <w:noWrap/>
            <w:vAlign w:val="bottom"/>
            <w:hideMark/>
          </w:tcPr>
          <w:p w14:paraId="27DB2FE6" w14:textId="31A68561"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2 002</w:t>
            </w:r>
          </w:p>
        </w:tc>
        <w:tc>
          <w:tcPr>
            <w:tcW w:w="773" w:type="dxa"/>
            <w:tcBorders>
              <w:top w:val="nil"/>
              <w:left w:val="nil"/>
              <w:bottom w:val="single" w:sz="4" w:space="0" w:color="auto"/>
              <w:right w:val="single" w:sz="4" w:space="0" w:color="auto"/>
            </w:tcBorders>
            <w:shd w:val="clear" w:color="auto" w:fill="auto"/>
            <w:noWrap/>
            <w:vAlign w:val="bottom"/>
            <w:hideMark/>
          </w:tcPr>
          <w:p w14:paraId="1EC95CE7" w14:textId="2B9015D8"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400</w:t>
            </w:r>
          </w:p>
        </w:tc>
        <w:tc>
          <w:tcPr>
            <w:tcW w:w="773" w:type="dxa"/>
            <w:tcBorders>
              <w:top w:val="nil"/>
              <w:left w:val="nil"/>
              <w:bottom w:val="single" w:sz="4" w:space="0" w:color="auto"/>
              <w:right w:val="single" w:sz="4" w:space="0" w:color="auto"/>
            </w:tcBorders>
            <w:shd w:val="clear" w:color="auto" w:fill="auto"/>
            <w:noWrap/>
            <w:vAlign w:val="bottom"/>
            <w:hideMark/>
          </w:tcPr>
          <w:p w14:paraId="2DFDD54C"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850" w:type="dxa"/>
            <w:tcBorders>
              <w:top w:val="nil"/>
              <w:left w:val="nil"/>
              <w:bottom w:val="single" w:sz="4" w:space="0" w:color="auto"/>
              <w:right w:val="single" w:sz="4" w:space="0" w:color="auto"/>
            </w:tcBorders>
            <w:shd w:val="clear" w:color="auto" w:fill="auto"/>
            <w:noWrap/>
            <w:vAlign w:val="bottom"/>
            <w:hideMark/>
          </w:tcPr>
          <w:p w14:paraId="7DEC941B"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874" w:type="dxa"/>
            <w:tcBorders>
              <w:top w:val="nil"/>
              <w:left w:val="nil"/>
              <w:bottom w:val="single" w:sz="4" w:space="0" w:color="auto"/>
              <w:right w:val="single" w:sz="4" w:space="0" w:color="auto"/>
            </w:tcBorders>
            <w:shd w:val="clear" w:color="auto" w:fill="auto"/>
            <w:noWrap/>
            <w:vAlign w:val="bottom"/>
            <w:hideMark/>
          </w:tcPr>
          <w:p w14:paraId="77FAC54B"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4,110</w:t>
            </w:r>
          </w:p>
        </w:tc>
        <w:tc>
          <w:tcPr>
            <w:tcW w:w="773" w:type="dxa"/>
            <w:tcBorders>
              <w:top w:val="nil"/>
              <w:left w:val="nil"/>
              <w:bottom w:val="single" w:sz="4" w:space="0" w:color="auto"/>
              <w:right w:val="single" w:sz="4" w:space="0" w:color="auto"/>
            </w:tcBorders>
            <w:shd w:val="clear" w:color="auto" w:fill="auto"/>
            <w:noWrap/>
            <w:vAlign w:val="bottom"/>
            <w:hideMark/>
          </w:tcPr>
          <w:p w14:paraId="6A6FC741"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822</w:t>
            </w:r>
          </w:p>
        </w:tc>
        <w:tc>
          <w:tcPr>
            <w:tcW w:w="773" w:type="dxa"/>
            <w:tcBorders>
              <w:top w:val="nil"/>
              <w:left w:val="nil"/>
              <w:bottom w:val="single" w:sz="4" w:space="0" w:color="auto"/>
              <w:right w:val="single" w:sz="4" w:space="0" w:color="auto"/>
            </w:tcBorders>
            <w:shd w:val="clear" w:color="auto" w:fill="auto"/>
            <w:noWrap/>
            <w:vAlign w:val="bottom"/>
            <w:hideMark/>
          </w:tcPr>
          <w:p w14:paraId="5D3BEFF0"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15</w:t>
            </w:r>
          </w:p>
        </w:tc>
        <w:tc>
          <w:tcPr>
            <w:tcW w:w="773" w:type="dxa"/>
            <w:tcBorders>
              <w:top w:val="nil"/>
              <w:left w:val="nil"/>
              <w:bottom w:val="single" w:sz="4" w:space="0" w:color="auto"/>
              <w:right w:val="single" w:sz="4" w:space="0" w:color="auto"/>
            </w:tcBorders>
            <w:shd w:val="clear" w:color="auto" w:fill="auto"/>
            <w:noWrap/>
            <w:vAlign w:val="bottom"/>
            <w:hideMark/>
          </w:tcPr>
          <w:p w14:paraId="5F70B688"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3</w:t>
            </w:r>
          </w:p>
        </w:tc>
      </w:tr>
      <w:tr w:rsidR="001E6AB2" w:rsidRPr="002F5AB8" w14:paraId="0E294CC8" w14:textId="77777777" w:rsidTr="001E6AB2">
        <w:trPr>
          <w:trHeight w:val="480"/>
        </w:trPr>
        <w:tc>
          <w:tcPr>
            <w:tcW w:w="1808" w:type="dxa"/>
            <w:vMerge w:val="restart"/>
            <w:tcBorders>
              <w:top w:val="nil"/>
              <w:left w:val="single" w:sz="4" w:space="0" w:color="auto"/>
              <w:bottom w:val="single" w:sz="4" w:space="0" w:color="000000"/>
              <w:right w:val="single" w:sz="4" w:space="0" w:color="auto"/>
            </w:tcBorders>
            <w:shd w:val="clear" w:color="auto" w:fill="auto"/>
            <w:vAlign w:val="center"/>
            <w:hideMark/>
          </w:tcPr>
          <w:p w14:paraId="5887AC5D"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Proiecte cu finanțare din FEN aferente cadrului financiar 2014-2020</w:t>
            </w:r>
          </w:p>
        </w:tc>
        <w:tc>
          <w:tcPr>
            <w:tcW w:w="567" w:type="dxa"/>
            <w:tcBorders>
              <w:top w:val="nil"/>
              <w:left w:val="nil"/>
              <w:bottom w:val="single" w:sz="4" w:space="0" w:color="auto"/>
              <w:right w:val="single" w:sz="4" w:space="0" w:color="auto"/>
            </w:tcBorders>
            <w:shd w:val="clear" w:color="auto" w:fill="auto"/>
            <w:vAlign w:val="center"/>
            <w:hideMark/>
          </w:tcPr>
          <w:p w14:paraId="67EC49D2"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CA</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6ED8EC8E" w14:textId="6DF92E92"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305</w:t>
            </w:r>
          </w:p>
        </w:tc>
        <w:tc>
          <w:tcPr>
            <w:tcW w:w="773" w:type="dxa"/>
            <w:tcBorders>
              <w:top w:val="nil"/>
              <w:left w:val="nil"/>
              <w:bottom w:val="single" w:sz="4" w:space="0" w:color="auto"/>
              <w:right w:val="single" w:sz="4" w:space="0" w:color="auto"/>
            </w:tcBorders>
            <w:shd w:val="clear" w:color="auto" w:fill="auto"/>
            <w:noWrap/>
            <w:vAlign w:val="bottom"/>
            <w:hideMark/>
          </w:tcPr>
          <w:p w14:paraId="12F7F9AD" w14:textId="4198872D"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61</w:t>
            </w:r>
          </w:p>
        </w:tc>
        <w:tc>
          <w:tcPr>
            <w:tcW w:w="874" w:type="dxa"/>
            <w:tcBorders>
              <w:top w:val="nil"/>
              <w:left w:val="nil"/>
              <w:bottom w:val="single" w:sz="4" w:space="0" w:color="auto"/>
              <w:right w:val="single" w:sz="4" w:space="0" w:color="auto"/>
            </w:tcBorders>
            <w:shd w:val="clear" w:color="auto" w:fill="auto"/>
            <w:noWrap/>
            <w:vAlign w:val="bottom"/>
            <w:hideMark/>
          </w:tcPr>
          <w:p w14:paraId="4E321F83" w14:textId="2E466496"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305</w:t>
            </w:r>
          </w:p>
        </w:tc>
        <w:tc>
          <w:tcPr>
            <w:tcW w:w="773" w:type="dxa"/>
            <w:tcBorders>
              <w:top w:val="nil"/>
              <w:left w:val="nil"/>
              <w:bottom w:val="single" w:sz="4" w:space="0" w:color="auto"/>
              <w:right w:val="single" w:sz="4" w:space="0" w:color="auto"/>
            </w:tcBorders>
            <w:shd w:val="clear" w:color="auto" w:fill="auto"/>
            <w:noWrap/>
            <w:vAlign w:val="bottom"/>
            <w:hideMark/>
          </w:tcPr>
          <w:p w14:paraId="73EFD13C" w14:textId="1CB68B1E"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61</w:t>
            </w:r>
          </w:p>
        </w:tc>
        <w:tc>
          <w:tcPr>
            <w:tcW w:w="773" w:type="dxa"/>
            <w:tcBorders>
              <w:top w:val="nil"/>
              <w:left w:val="nil"/>
              <w:bottom w:val="single" w:sz="4" w:space="0" w:color="auto"/>
              <w:right w:val="single" w:sz="4" w:space="0" w:color="auto"/>
            </w:tcBorders>
            <w:shd w:val="clear" w:color="auto" w:fill="auto"/>
            <w:noWrap/>
            <w:vAlign w:val="bottom"/>
            <w:hideMark/>
          </w:tcPr>
          <w:p w14:paraId="523AD32C"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850" w:type="dxa"/>
            <w:tcBorders>
              <w:top w:val="nil"/>
              <w:left w:val="nil"/>
              <w:bottom w:val="single" w:sz="4" w:space="0" w:color="auto"/>
              <w:right w:val="single" w:sz="4" w:space="0" w:color="auto"/>
            </w:tcBorders>
            <w:shd w:val="clear" w:color="auto" w:fill="auto"/>
            <w:noWrap/>
            <w:vAlign w:val="bottom"/>
            <w:hideMark/>
          </w:tcPr>
          <w:p w14:paraId="35C419E0"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874" w:type="dxa"/>
            <w:tcBorders>
              <w:top w:val="nil"/>
              <w:left w:val="nil"/>
              <w:bottom w:val="single" w:sz="4" w:space="0" w:color="auto"/>
              <w:right w:val="single" w:sz="4" w:space="0" w:color="auto"/>
            </w:tcBorders>
            <w:shd w:val="clear" w:color="000000" w:fill="FFFFFF"/>
            <w:noWrap/>
            <w:vAlign w:val="bottom"/>
            <w:hideMark/>
          </w:tcPr>
          <w:p w14:paraId="3F216684"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 </w:t>
            </w:r>
          </w:p>
        </w:tc>
        <w:tc>
          <w:tcPr>
            <w:tcW w:w="773" w:type="dxa"/>
            <w:tcBorders>
              <w:top w:val="nil"/>
              <w:left w:val="nil"/>
              <w:bottom w:val="single" w:sz="4" w:space="0" w:color="auto"/>
              <w:right w:val="single" w:sz="4" w:space="0" w:color="auto"/>
            </w:tcBorders>
            <w:shd w:val="clear" w:color="auto" w:fill="auto"/>
            <w:noWrap/>
            <w:vAlign w:val="bottom"/>
            <w:hideMark/>
          </w:tcPr>
          <w:p w14:paraId="7F669C02"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773" w:type="dxa"/>
            <w:tcBorders>
              <w:top w:val="nil"/>
              <w:left w:val="nil"/>
              <w:bottom w:val="single" w:sz="4" w:space="0" w:color="auto"/>
              <w:right w:val="single" w:sz="4" w:space="0" w:color="auto"/>
            </w:tcBorders>
            <w:shd w:val="clear" w:color="auto" w:fill="auto"/>
            <w:noWrap/>
            <w:vAlign w:val="bottom"/>
            <w:hideMark/>
          </w:tcPr>
          <w:p w14:paraId="1E7BF290"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773" w:type="dxa"/>
            <w:tcBorders>
              <w:top w:val="nil"/>
              <w:left w:val="nil"/>
              <w:bottom w:val="single" w:sz="4" w:space="0" w:color="auto"/>
              <w:right w:val="single" w:sz="4" w:space="0" w:color="auto"/>
            </w:tcBorders>
            <w:shd w:val="clear" w:color="auto" w:fill="auto"/>
            <w:noWrap/>
            <w:vAlign w:val="bottom"/>
            <w:hideMark/>
          </w:tcPr>
          <w:p w14:paraId="14153F47"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r>
      <w:tr w:rsidR="001E6AB2" w:rsidRPr="002F5AB8" w14:paraId="3D1280F4" w14:textId="77777777" w:rsidTr="001E6AB2">
        <w:trPr>
          <w:trHeight w:val="510"/>
        </w:trPr>
        <w:tc>
          <w:tcPr>
            <w:tcW w:w="1808" w:type="dxa"/>
            <w:vMerge/>
            <w:tcBorders>
              <w:top w:val="nil"/>
              <w:left w:val="single" w:sz="4" w:space="0" w:color="auto"/>
              <w:bottom w:val="single" w:sz="4" w:space="0" w:color="000000"/>
              <w:right w:val="single" w:sz="4" w:space="0" w:color="auto"/>
            </w:tcBorders>
            <w:vAlign w:val="center"/>
            <w:hideMark/>
          </w:tcPr>
          <w:p w14:paraId="61733ACB" w14:textId="77777777" w:rsidR="001E6AB2" w:rsidRPr="002F5AB8" w:rsidRDefault="001E6AB2" w:rsidP="001E6AB2">
            <w:pPr>
              <w:rPr>
                <w:rFonts w:ascii="Calibri Light" w:hAnsi="Calibri Light" w:cs="Calibri Light"/>
                <w:color w:val="000000"/>
                <w:sz w:val="20"/>
                <w:lang w:eastAsia="ro-RO"/>
              </w:rPr>
            </w:pPr>
          </w:p>
        </w:tc>
        <w:tc>
          <w:tcPr>
            <w:tcW w:w="567" w:type="dxa"/>
            <w:tcBorders>
              <w:top w:val="nil"/>
              <w:left w:val="nil"/>
              <w:bottom w:val="single" w:sz="4" w:space="0" w:color="auto"/>
              <w:right w:val="single" w:sz="4" w:space="0" w:color="auto"/>
            </w:tcBorders>
            <w:shd w:val="clear" w:color="auto" w:fill="auto"/>
            <w:vAlign w:val="center"/>
            <w:hideMark/>
          </w:tcPr>
          <w:p w14:paraId="1CA3690C"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CB</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4401A908" w14:textId="031D1D06"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305</w:t>
            </w:r>
          </w:p>
        </w:tc>
        <w:tc>
          <w:tcPr>
            <w:tcW w:w="773" w:type="dxa"/>
            <w:tcBorders>
              <w:top w:val="nil"/>
              <w:left w:val="nil"/>
              <w:bottom w:val="single" w:sz="4" w:space="0" w:color="auto"/>
              <w:right w:val="single" w:sz="4" w:space="0" w:color="auto"/>
            </w:tcBorders>
            <w:shd w:val="clear" w:color="auto" w:fill="auto"/>
            <w:noWrap/>
            <w:vAlign w:val="bottom"/>
            <w:hideMark/>
          </w:tcPr>
          <w:p w14:paraId="0EBE702D" w14:textId="0861A994"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61</w:t>
            </w:r>
          </w:p>
        </w:tc>
        <w:tc>
          <w:tcPr>
            <w:tcW w:w="874" w:type="dxa"/>
            <w:tcBorders>
              <w:top w:val="nil"/>
              <w:left w:val="nil"/>
              <w:bottom w:val="single" w:sz="4" w:space="0" w:color="auto"/>
              <w:right w:val="single" w:sz="4" w:space="0" w:color="auto"/>
            </w:tcBorders>
            <w:shd w:val="clear" w:color="auto" w:fill="auto"/>
            <w:noWrap/>
            <w:vAlign w:val="bottom"/>
            <w:hideMark/>
          </w:tcPr>
          <w:p w14:paraId="3AE220C6" w14:textId="69B748E6"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305</w:t>
            </w:r>
          </w:p>
        </w:tc>
        <w:tc>
          <w:tcPr>
            <w:tcW w:w="773" w:type="dxa"/>
            <w:tcBorders>
              <w:top w:val="nil"/>
              <w:left w:val="nil"/>
              <w:bottom w:val="single" w:sz="4" w:space="0" w:color="auto"/>
              <w:right w:val="single" w:sz="4" w:space="0" w:color="auto"/>
            </w:tcBorders>
            <w:shd w:val="clear" w:color="auto" w:fill="auto"/>
            <w:noWrap/>
            <w:vAlign w:val="bottom"/>
            <w:hideMark/>
          </w:tcPr>
          <w:p w14:paraId="10102F23" w14:textId="0FA32CD8"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61</w:t>
            </w:r>
          </w:p>
        </w:tc>
        <w:tc>
          <w:tcPr>
            <w:tcW w:w="773" w:type="dxa"/>
            <w:tcBorders>
              <w:top w:val="nil"/>
              <w:left w:val="nil"/>
              <w:bottom w:val="single" w:sz="4" w:space="0" w:color="auto"/>
              <w:right w:val="single" w:sz="4" w:space="0" w:color="auto"/>
            </w:tcBorders>
            <w:shd w:val="clear" w:color="auto" w:fill="auto"/>
            <w:noWrap/>
            <w:vAlign w:val="bottom"/>
            <w:hideMark/>
          </w:tcPr>
          <w:p w14:paraId="57ED1812"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850" w:type="dxa"/>
            <w:tcBorders>
              <w:top w:val="nil"/>
              <w:left w:val="nil"/>
              <w:bottom w:val="single" w:sz="4" w:space="0" w:color="auto"/>
              <w:right w:val="single" w:sz="4" w:space="0" w:color="auto"/>
            </w:tcBorders>
            <w:shd w:val="clear" w:color="auto" w:fill="auto"/>
            <w:noWrap/>
            <w:vAlign w:val="bottom"/>
            <w:hideMark/>
          </w:tcPr>
          <w:p w14:paraId="3DC159E2"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874" w:type="dxa"/>
            <w:tcBorders>
              <w:top w:val="nil"/>
              <w:left w:val="nil"/>
              <w:bottom w:val="single" w:sz="4" w:space="0" w:color="auto"/>
              <w:right w:val="single" w:sz="4" w:space="0" w:color="auto"/>
            </w:tcBorders>
            <w:shd w:val="clear" w:color="000000" w:fill="FFFFFF"/>
            <w:noWrap/>
            <w:vAlign w:val="bottom"/>
            <w:hideMark/>
          </w:tcPr>
          <w:p w14:paraId="3DA209CB"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773" w:type="dxa"/>
            <w:tcBorders>
              <w:top w:val="nil"/>
              <w:left w:val="nil"/>
              <w:bottom w:val="single" w:sz="4" w:space="0" w:color="auto"/>
              <w:right w:val="single" w:sz="4" w:space="0" w:color="auto"/>
            </w:tcBorders>
            <w:shd w:val="clear" w:color="auto" w:fill="auto"/>
            <w:noWrap/>
            <w:vAlign w:val="bottom"/>
            <w:hideMark/>
          </w:tcPr>
          <w:p w14:paraId="0C5E90A8"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773" w:type="dxa"/>
            <w:tcBorders>
              <w:top w:val="nil"/>
              <w:left w:val="nil"/>
              <w:bottom w:val="single" w:sz="4" w:space="0" w:color="auto"/>
              <w:right w:val="single" w:sz="4" w:space="0" w:color="auto"/>
            </w:tcBorders>
            <w:shd w:val="clear" w:color="auto" w:fill="auto"/>
            <w:noWrap/>
            <w:vAlign w:val="bottom"/>
            <w:hideMark/>
          </w:tcPr>
          <w:p w14:paraId="22E043B1"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773" w:type="dxa"/>
            <w:tcBorders>
              <w:top w:val="nil"/>
              <w:left w:val="nil"/>
              <w:bottom w:val="single" w:sz="4" w:space="0" w:color="auto"/>
              <w:right w:val="single" w:sz="4" w:space="0" w:color="auto"/>
            </w:tcBorders>
            <w:shd w:val="clear" w:color="auto" w:fill="auto"/>
            <w:noWrap/>
            <w:vAlign w:val="bottom"/>
            <w:hideMark/>
          </w:tcPr>
          <w:p w14:paraId="10919BCB"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r>
      <w:tr w:rsidR="001E6AB2" w:rsidRPr="002F5AB8" w14:paraId="7E9416A6" w14:textId="77777777" w:rsidTr="001E6AB2">
        <w:trPr>
          <w:trHeight w:val="300"/>
        </w:trPr>
        <w:tc>
          <w:tcPr>
            <w:tcW w:w="1808" w:type="dxa"/>
            <w:vMerge w:val="restart"/>
            <w:tcBorders>
              <w:top w:val="nil"/>
              <w:left w:val="single" w:sz="4" w:space="0" w:color="auto"/>
              <w:bottom w:val="single" w:sz="4" w:space="0" w:color="000000"/>
              <w:right w:val="single" w:sz="4" w:space="0" w:color="auto"/>
            </w:tcBorders>
            <w:shd w:val="clear" w:color="auto" w:fill="auto"/>
            <w:vAlign w:val="center"/>
            <w:hideMark/>
          </w:tcPr>
          <w:p w14:paraId="09E9F20D"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Alte cheltuieli</w:t>
            </w:r>
          </w:p>
        </w:tc>
        <w:tc>
          <w:tcPr>
            <w:tcW w:w="567" w:type="dxa"/>
            <w:tcBorders>
              <w:top w:val="nil"/>
              <w:left w:val="nil"/>
              <w:bottom w:val="single" w:sz="4" w:space="0" w:color="auto"/>
              <w:right w:val="single" w:sz="4" w:space="0" w:color="auto"/>
            </w:tcBorders>
            <w:shd w:val="clear" w:color="auto" w:fill="auto"/>
            <w:vAlign w:val="center"/>
            <w:hideMark/>
          </w:tcPr>
          <w:p w14:paraId="6EF7954A"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CA</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2B273D68" w14:textId="3C0C2178"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70 431</w:t>
            </w:r>
          </w:p>
        </w:tc>
        <w:tc>
          <w:tcPr>
            <w:tcW w:w="773" w:type="dxa"/>
            <w:tcBorders>
              <w:top w:val="nil"/>
              <w:left w:val="nil"/>
              <w:bottom w:val="single" w:sz="4" w:space="0" w:color="auto"/>
              <w:right w:val="single" w:sz="4" w:space="0" w:color="auto"/>
            </w:tcBorders>
            <w:shd w:val="clear" w:color="auto" w:fill="auto"/>
            <w:noWrap/>
            <w:vAlign w:val="bottom"/>
            <w:hideMark/>
          </w:tcPr>
          <w:p w14:paraId="1B6B8CA2" w14:textId="3FEEEABA"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12 746</w:t>
            </w:r>
          </w:p>
        </w:tc>
        <w:tc>
          <w:tcPr>
            <w:tcW w:w="874" w:type="dxa"/>
            <w:tcBorders>
              <w:top w:val="nil"/>
              <w:left w:val="nil"/>
              <w:bottom w:val="single" w:sz="4" w:space="0" w:color="auto"/>
              <w:right w:val="single" w:sz="4" w:space="0" w:color="auto"/>
            </w:tcBorders>
            <w:shd w:val="clear" w:color="auto" w:fill="auto"/>
            <w:noWrap/>
            <w:vAlign w:val="bottom"/>
            <w:hideMark/>
          </w:tcPr>
          <w:p w14:paraId="07FEF221" w14:textId="2E8D6A23"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922</w:t>
            </w:r>
          </w:p>
        </w:tc>
        <w:tc>
          <w:tcPr>
            <w:tcW w:w="773" w:type="dxa"/>
            <w:tcBorders>
              <w:top w:val="nil"/>
              <w:left w:val="nil"/>
              <w:bottom w:val="single" w:sz="4" w:space="0" w:color="auto"/>
              <w:right w:val="single" w:sz="4" w:space="0" w:color="auto"/>
            </w:tcBorders>
            <w:shd w:val="clear" w:color="auto" w:fill="auto"/>
            <w:noWrap/>
            <w:vAlign w:val="bottom"/>
            <w:hideMark/>
          </w:tcPr>
          <w:p w14:paraId="5A9B9635" w14:textId="2ADCA7C5"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184</w:t>
            </w:r>
          </w:p>
        </w:tc>
        <w:tc>
          <w:tcPr>
            <w:tcW w:w="773" w:type="dxa"/>
            <w:tcBorders>
              <w:top w:val="nil"/>
              <w:left w:val="nil"/>
              <w:bottom w:val="single" w:sz="4" w:space="0" w:color="auto"/>
              <w:right w:val="single" w:sz="4" w:space="0" w:color="auto"/>
            </w:tcBorders>
            <w:shd w:val="clear" w:color="auto" w:fill="auto"/>
            <w:noWrap/>
            <w:vAlign w:val="bottom"/>
            <w:hideMark/>
          </w:tcPr>
          <w:p w14:paraId="1DDE4E44"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6,697</w:t>
            </w:r>
          </w:p>
        </w:tc>
        <w:tc>
          <w:tcPr>
            <w:tcW w:w="850" w:type="dxa"/>
            <w:tcBorders>
              <w:top w:val="nil"/>
              <w:left w:val="nil"/>
              <w:bottom w:val="single" w:sz="4" w:space="0" w:color="auto"/>
              <w:right w:val="single" w:sz="4" w:space="0" w:color="auto"/>
            </w:tcBorders>
            <w:shd w:val="clear" w:color="auto" w:fill="auto"/>
            <w:noWrap/>
            <w:vAlign w:val="bottom"/>
            <w:hideMark/>
          </w:tcPr>
          <w:p w14:paraId="746D4677"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1,339</w:t>
            </w:r>
          </w:p>
        </w:tc>
        <w:tc>
          <w:tcPr>
            <w:tcW w:w="874" w:type="dxa"/>
            <w:tcBorders>
              <w:top w:val="nil"/>
              <w:left w:val="nil"/>
              <w:bottom w:val="single" w:sz="4" w:space="0" w:color="auto"/>
              <w:right w:val="single" w:sz="4" w:space="0" w:color="auto"/>
            </w:tcBorders>
            <w:shd w:val="clear" w:color="auto" w:fill="auto"/>
            <w:noWrap/>
            <w:vAlign w:val="bottom"/>
            <w:hideMark/>
          </w:tcPr>
          <w:p w14:paraId="1F35332D"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55,962</w:t>
            </w:r>
          </w:p>
        </w:tc>
        <w:tc>
          <w:tcPr>
            <w:tcW w:w="773" w:type="dxa"/>
            <w:tcBorders>
              <w:top w:val="nil"/>
              <w:left w:val="nil"/>
              <w:bottom w:val="single" w:sz="4" w:space="0" w:color="auto"/>
              <w:right w:val="single" w:sz="4" w:space="0" w:color="auto"/>
            </w:tcBorders>
            <w:shd w:val="clear" w:color="auto" w:fill="auto"/>
            <w:noWrap/>
            <w:vAlign w:val="bottom"/>
            <w:hideMark/>
          </w:tcPr>
          <w:p w14:paraId="56F90735"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11,192</w:t>
            </w:r>
          </w:p>
        </w:tc>
        <w:tc>
          <w:tcPr>
            <w:tcW w:w="773" w:type="dxa"/>
            <w:tcBorders>
              <w:top w:val="nil"/>
              <w:left w:val="nil"/>
              <w:bottom w:val="single" w:sz="4" w:space="0" w:color="auto"/>
              <w:right w:val="single" w:sz="4" w:space="0" w:color="auto"/>
            </w:tcBorders>
            <w:shd w:val="clear" w:color="auto" w:fill="auto"/>
            <w:noWrap/>
            <w:vAlign w:val="bottom"/>
            <w:hideMark/>
          </w:tcPr>
          <w:p w14:paraId="2A966F7F"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6,850</w:t>
            </w:r>
          </w:p>
        </w:tc>
        <w:tc>
          <w:tcPr>
            <w:tcW w:w="773" w:type="dxa"/>
            <w:tcBorders>
              <w:top w:val="nil"/>
              <w:left w:val="nil"/>
              <w:bottom w:val="single" w:sz="4" w:space="0" w:color="auto"/>
              <w:right w:val="single" w:sz="4" w:space="0" w:color="auto"/>
            </w:tcBorders>
            <w:shd w:val="clear" w:color="auto" w:fill="auto"/>
            <w:noWrap/>
            <w:vAlign w:val="bottom"/>
            <w:hideMark/>
          </w:tcPr>
          <w:p w14:paraId="68401C8C"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1,370</w:t>
            </w:r>
          </w:p>
        </w:tc>
      </w:tr>
      <w:tr w:rsidR="001E6AB2" w:rsidRPr="002F5AB8" w14:paraId="2701651E" w14:textId="77777777" w:rsidTr="001E6AB2">
        <w:trPr>
          <w:trHeight w:val="345"/>
        </w:trPr>
        <w:tc>
          <w:tcPr>
            <w:tcW w:w="1808" w:type="dxa"/>
            <w:vMerge/>
            <w:tcBorders>
              <w:top w:val="nil"/>
              <w:left w:val="single" w:sz="4" w:space="0" w:color="auto"/>
              <w:bottom w:val="single" w:sz="4" w:space="0" w:color="000000"/>
              <w:right w:val="single" w:sz="4" w:space="0" w:color="auto"/>
            </w:tcBorders>
            <w:vAlign w:val="center"/>
            <w:hideMark/>
          </w:tcPr>
          <w:p w14:paraId="1235DECF" w14:textId="77777777" w:rsidR="001E6AB2" w:rsidRPr="002F5AB8" w:rsidRDefault="001E6AB2" w:rsidP="001E6AB2">
            <w:pPr>
              <w:rPr>
                <w:rFonts w:ascii="Calibri Light" w:hAnsi="Calibri Light" w:cs="Calibri Light"/>
                <w:color w:val="000000"/>
                <w:sz w:val="20"/>
                <w:lang w:eastAsia="ro-RO"/>
              </w:rPr>
            </w:pPr>
          </w:p>
        </w:tc>
        <w:tc>
          <w:tcPr>
            <w:tcW w:w="567" w:type="dxa"/>
            <w:tcBorders>
              <w:top w:val="nil"/>
              <w:left w:val="nil"/>
              <w:bottom w:val="single" w:sz="4" w:space="0" w:color="auto"/>
              <w:right w:val="single" w:sz="4" w:space="0" w:color="auto"/>
            </w:tcBorders>
            <w:shd w:val="clear" w:color="auto" w:fill="auto"/>
            <w:vAlign w:val="center"/>
            <w:hideMark/>
          </w:tcPr>
          <w:p w14:paraId="37B17275"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CB</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2D80C261" w14:textId="65E6BCD9"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70 431</w:t>
            </w:r>
          </w:p>
        </w:tc>
        <w:tc>
          <w:tcPr>
            <w:tcW w:w="773" w:type="dxa"/>
            <w:tcBorders>
              <w:top w:val="nil"/>
              <w:left w:val="nil"/>
              <w:bottom w:val="single" w:sz="4" w:space="0" w:color="auto"/>
              <w:right w:val="single" w:sz="4" w:space="0" w:color="auto"/>
            </w:tcBorders>
            <w:shd w:val="clear" w:color="auto" w:fill="auto"/>
            <w:noWrap/>
            <w:vAlign w:val="bottom"/>
            <w:hideMark/>
          </w:tcPr>
          <w:p w14:paraId="3FADCED7" w14:textId="5AD81D1D"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12 746</w:t>
            </w:r>
          </w:p>
        </w:tc>
        <w:tc>
          <w:tcPr>
            <w:tcW w:w="874" w:type="dxa"/>
            <w:tcBorders>
              <w:top w:val="nil"/>
              <w:left w:val="nil"/>
              <w:bottom w:val="single" w:sz="4" w:space="0" w:color="auto"/>
              <w:right w:val="single" w:sz="4" w:space="0" w:color="auto"/>
            </w:tcBorders>
            <w:shd w:val="clear" w:color="auto" w:fill="auto"/>
            <w:noWrap/>
            <w:vAlign w:val="bottom"/>
            <w:hideMark/>
          </w:tcPr>
          <w:p w14:paraId="09E4F283" w14:textId="0381D0AB"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922</w:t>
            </w:r>
          </w:p>
        </w:tc>
        <w:tc>
          <w:tcPr>
            <w:tcW w:w="773" w:type="dxa"/>
            <w:tcBorders>
              <w:top w:val="nil"/>
              <w:left w:val="nil"/>
              <w:bottom w:val="single" w:sz="4" w:space="0" w:color="auto"/>
              <w:right w:val="single" w:sz="4" w:space="0" w:color="auto"/>
            </w:tcBorders>
            <w:shd w:val="clear" w:color="auto" w:fill="auto"/>
            <w:noWrap/>
            <w:vAlign w:val="bottom"/>
            <w:hideMark/>
          </w:tcPr>
          <w:p w14:paraId="2F384E5A" w14:textId="719EA214"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184</w:t>
            </w:r>
          </w:p>
        </w:tc>
        <w:tc>
          <w:tcPr>
            <w:tcW w:w="773" w:type="dxa"/>
            <w:tcBorders>
              <w:top w:val="nil"/>
              <w:left w:val="nil"/>
              <w:bottom w:val="single" w:sz="4" w:space="0" w:color="auto"/>
              <w:right w:val="single" w:sz="4" w:space="0" w:color="auto"/>
            </w:tcBorders>
            <w:shd w:val="clear" w:color="auto" w:fill="auto"/>
            <w:noWrap/>
            <w:vAlign w:val="bottom"/>
            <w:hideMark/>
          </w:tcPr>
          <w:p w14:paraId="1E22A678"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6,697</w:t>
            </w:r>
          </w:p>
        </w:tc>
        <w:tc>
          <w:tcPr>
            <w:tcW w:w="850" w:type="dxa"/>
            <w:tcBorders>
              <w:top w:val="nil"/>
              <w:left w:val="nil"/>
              <w:bottom w:val="single" w:sz="4" w:space="0" w:color="auto"/>
              <w:right w:val="single" w:sz="4" w:space="0" w:color="auto"/>
            </w:tcBorders>
            <w:shd w:val="clear" w:color="auto" w:fill="auto"/>
            <w:noWrap/>
            <w:vAlign w:val="bottom"/>
            <w:hideMark/>
          </w:tcPr>
          <w:p w14:paraId="3258FFEB"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1,339</w:t>
            </w:r>
          </w:p>
        </w:tc>
        <w:tc>
          <w:tcPr>
            <w:tcW w:w="874" w:type="dxa"/>
            <w:tcBorders>
              <w:top w:val="nil"/>
              <w:left w:val="nil"/>
              <w:bottom w:val="single" w:sz="4" w:space="0" w:color="auto"/>
              <w:right w:val="single" w:sz="4" w:space="0" w:color="auto"/>
            </w:tcBorders>
            <w:shd w:val="clear" w:color="auto" w:fill="auto"/>
            <w:noWrap/>
            <w:vAlign w:val="bottom"/>
            <w:hideMark/>
          </w:tcPr>
          <w:p w14:paraId="1B5EA84D"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55,962</w:t>
            </w:r>
          </w:p>
        </w:tc>
        <w:tc>
          <w:tcPr>
            <w:tcW w:w="773" w:type="dxa"/>
            <w:tcBorders>
              <w:top w:val="nil"/>
              <w:left w:val="nil"/>
              <w:bottom w:val="single" w:sz="4" w:space="0" w:color="auto"/>
              <w:right w:val="single" w:sz="4" w:space="0" w:color="auto"/>
            </w:tcBorders>
            <w:shd w:val="clear" w:color="auto" w:fill="auto"/>
            <w:noWrap/>
            <w:vAlign w:val="bottom"/>
            <w:hideMark/>
          </w:tcPr>
          <w:p w14:paraId="196B41DB"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11,192</w:t>
            </w:r>
          </w:p>
        </w:tc>
        <w:tc>
          <w:tcPr>
            <w:tcW w:w="773" w:type="dxa"/>
            <w:tcBorders>
              <w:top w:val="nil"/>
              <w:left w:val="nil"/>
              <w:bottom w:val="single" w:sz="4" w:space="0" w:color="auto"/>
              <w:right w:val="single" w:sz="4" w:space="0" w:color="auto"/>
            </w:tcBorders>
            <w:shd w:val="clear" w:color="auto" w:fill="auto"/>
            <w:noWrap/>
            <w:vAlign w:val="bottom"/>
            <w:hideMark/>
          </w:tcPr>
          <w:p w14:paraId="42CA24A8"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6,850</w:t>
            </w:r>
          </w:p>
        </w:tc>
        <w:tc>
          <w:tcPr>
            <w:tcW w:w="773" w:type="dxa"/>
            <w:tcBorders>
              <w:top w:val="nil"/>
              <w:left w:val="nil"/>
              <w:bottom w:val="single" w:sz="4" w:space="0" w:color="auto"/>
              <w:right w:val="single" w:sz="4" w:space="0" w:color="auto"/>
            </w:tcBorders>
            <w:shd w:val="clear" w:color="auto" w:fill="auto"/>
            <w:noWrap/>
            <w:vAlign w:val="bottom"/>
            <w:hideMark/>
          </w:tcPr>
          <w:p w14:paraId="5FED206A"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1,370</w:t>
            </w:r>
          </w:p>
        </w:tc>
      </w:tr>
      <w:tr w:rsidR="001E6AB2" w:rsidRPr="002F5AB8" w14:paraId="2B27F2F3" w14:textId="77777777" w:rsidTr="001E6AB2">
        <w:trPr>
          <w:trHeight w:val="390"/>
        </w:trPr>
        <w:tc>
          <w:tcPr>
            <w:tcW w:w="1808" w:type="dxa"/>
            <w:vMerge w:val="restart"/>
            <w:tcBorders>
              <w:top w:val="nil"/>
              <w:left w:val="single" w:sz="4" w:space="0" w:color="auto"/>
              <w:bottom w:val="single" w:sz="4" w:space="0" w:color="000000"/>
              <w:right w:val="single" w:sz="4" w:space="0" w:color="auto"/>
            </w:tcBorders>
            <w:shd w:val="clear" w:color="auto" w:fill="auto"/>
            <w:vAlign w:val="center"/>
            <w:hideMark/>
          </w:tcPr>
          <w:p w14:paraId="7B90E4DF"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Proiecte cu finanțare din sumele reprezentând asistență financiară nerambursabilă PNRR</w:t>
            </w:r>
          </w:p>
        </w:tc>
        <w:tc>
          <w:tcPr>
            <w:tcW w:w="567" w:type="dxa"/>
            <w:tcBorders>
              <w:top w:val="nil"/>
              <w:left w:val="nil"/>
              <w:bottom w:val="single" w:sz="4" w:space="0" w:color="auto"/>
              <w:right w:val="single" w:sz="4" w:space="0" w:color="auto"/>
            </w:tcBorders>
            <w:shd w:val="clear" w:color="auto" w:fill="auto"/>
            <w:vAlign w:val="center"/>
            <w:hideMark/>
          </w:tcPr>
          <w:p w14:paraId="00A928F7"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CA</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4953936" w14:textId="7C83154B"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754</w:t>
            </w:r>
          </w:p>
        </w:tc>
        <w:tc>
          <w:tcPr>
            <w:tcW w:w="773" w:type="dxa"/>
            <w:tcBorders>
              <w:top w:val="nil"/>
              <w:left w:val="nil"/>
              <w:bottom w:val="single" w:sz="4" w:space="0" w:color="auto"/>
              <w:right w:val="single" w:sz="4" w:space="0" w:color="auto"/>
            </w:tcBorders>
            <w:shd w:val="clear" w:color="auto" w:fill="auto"/>
            <w:noWrap/>
            <w:vAlign w:val="bottom"/>
            <w:hideMark/>
          </w:tcPr>
          <w:p w14:paraId="1BC0B047" w14:textId="3D8114E4"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151</w:t>
            </w:r>
          </w:p>
        </w:tc>
        <w:tc>
          <w:tcPr>
            <w:tcW w:w="874" w:type="dxa"/>
            <w:tcBorders>
              <w:top w:val="nil"/>
              <w:left w:val="nil"/>
              <w:bottom w:val="single" w:sz="4" w:space="0" w:color="auto"/>
              <w:right w:val="single" w:sz="4" w:space="0" w:color="auto"/>
            </w:tcBorders>
            <w:shd w:val="clear" w:color="000000" w:fill="FFFFFF"/>
            <w:noWrap/>
            <w:vAlign w:val="bottom"/>
            <w:hideMark/>
          </w:tcPr>
          <w:p w14:paraId="4A3742C6" w14:textId="7746016C"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754</w:t>
            </w:r>
          </w:p>
        </w:tc>
        <w:tc>
          <w:tcPr>
            <w:tcW w:w="773" w:type="dxa"/>
            <w:tcBorders>
              <w:top w:val="nil"/>
              <w:left w:val="nil"/>
              <w:bottom w:val="single" w:sz="4" w:space="0" w:color="auto"/>
              <w:right w:val="single" w:sz="4" w:space="0" w:color="auto"/>
            </w:tcBorders>
            <w:shd w:val="clear" w:color="auto" w:fill="auto"/>
            <w:noWrap/>
            <w:vAlign w:val="bottom"/>
            <w:hideMark/>
          </w:tcPr>
          <w:p w14:paraId="45097B7F" w14:textId="5985C320"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151</w:t>
            </w:r>
          </w:p>
        </w:tc>
        <w:tc>
          <w:tcPr>
            <w:tcW w:w="773" w:type="dxa"/>
            <w:tcBorders>
              <w:top w:val="nil"/>
              <w:left w:val="nil"/>
              <w:bottom w:val="single" w:sz="4" w:space="0" w:color="auto"/>
              <w:right w:val="single" w:sz="4" w:space="0" w:color="auto"/>
            </w:tcBorders>
            <w:shd w:val="clear" w:color="000000" w:fill="FFFFFF"/>
            <w:noWrap/>
            <w:vAlign w:val="bottom"/>
            <w:hideMark/>
          </w:tcPr>
          <w:p w14:paraId="17D3A19D"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850" w:type="dxa"/>
            <w:tcBorders>
              <w:top w:val="nil"/>
              <w:left w:val="nil"/>
              <w:bottom w:val="single" w:sz="4" w:space="0" w:color="auto"/>
              <w:right w:val="single" w:sz="4" w:space="0" w:color="auto"/>
            </w:tcBorders>
            <w:shd w:val="clear" w:color="auto" w:fill="auto"/>
            <w:noWrap/>
            <w:vAlign w:val="bottom"/>
            <w:hideMark/>
          </w:tcPr>
          <w:p w14:paraId="2CEBBBC9"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874" w:type="dxa"/>
            <w:tcBorders>
              <w:top w:val="nil"/>
              <w:left w:val="nil"/>
              <w:bottom w:val="single" w:sz="4" w:space="0" w:color="auto"/>
              <w:right w:val="single" w:sz="4" w:space="0" w:color="auto"/>
            </w:tcBorders>
            <w:shd w:val="clear" w:color="auto" w:fill="auto"/>
            <w:noWrap/>
            <w:vAlign w:val="bottom"/>
            <w:hideMark/>
          </w:tcPr>
          <w:p w14:paraId="6A8FC6E3"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773" w:type="dxa"/>
            <w:tcBorders>
              <w:top w:val="nil"/>
              <w:left w:val="nil"/>
              <w:bottom w:val="single" w:sz="4" w:space="0" w:color="auto"/>
              <w:right w:val="single" w:sz="4" w:space="0" w:color="auto"/>
            </w:tcBorders>
            <w:shd w:val="clear" w:color="auto" w:fill="auto"/>
            <w:noWrap/>
            <w:vAlign w:val="bottom"/>
            <w:hideMark/>
          </w:tcPr>
          <w:p w14:paraId="28CDED80"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773" w:type="dxa"/>
            <w:tcBorders>
              <w:top w:val="nil"/>
              <w:left w:val="nil"/>
              <w:bottom w:val="single" w:sz="4" w:space="0" w:color="auto"/>
              <w:right w:val="single" w:sz="4" w:space="0" w:color="auto"/>
            </w:tcBorders>
            <w:shd w:val="clear" w:color="auto" w:fill="auto"/>
            <w:noWrap/>
            <w:vAlign w:val="bottom"/>
            <w:hideMark/>
          </w:tcPr>
          <w:p w14:paraId="7F1D04B7"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773" w:type="dxa"/>
            <w:tcBorders>
              <w:top w:val="nil"/>
              <w:left w:val="nil"/>
              <w:bottom w:val="single" w:sz="4" w:space="0" w:color="auto"/>
              <w:right w:val="single" w:sz="4" w:space="0" w:color="auto"/>
            </w:tcBorders>
            <w:shd w:val="clear" w:color="auto" w:fill="auto"/>
            <w:noWrap/>
            <w:vAlign w:val="bottom"/>
            <w:hideMark/>
          </w:tcPr>
          <w:p w14:paraId="174AC9AF"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r>
      <w:tr w:rsidR="001E6AB2" w:rsidRPr="002F5AB8" w14:paraId="77234ECC" w14:textId="77777777" w:rsidTr="001E6AB2">
        <w:trPr>
          <w:trHeight w:val="480"/>
        </w:trPr>
        <w:tc>
          <w:tcPr>
            <w:tcW w:w="1808" w:type="dxa"/>
            <w:vMerge/>
            <w:tcBorders>
              <w:top w:val="nil"/>
              <w:left w:val="single" w:sz="4" w:space="0" w:color="auto"/>
              <w:bottom w:val="single" w:sz="4" w:space="0" w:color="000000"/>
              <w:right w:val="single" w:sz="4" w:space="0" w:color="auto"/>
            </w:tcBorders>
            <w:vAlign w:val="center"/>
            <w:hideMark/>
          </w:tcPr>
          <w:p w14:paraId="36A02CD8" w14:textId="77777777" w:rsidR="001E6AB2" w:rsidRPr="002F5AB8" w:rsidRDefault="001E6AB2" w:rsidP="001E6AB2">
            <w:pPr>
              <w:rPr>
                <w:rFonts w:ascii="Calibri Light" w:hAnsi="Calibri Light" w:cs="Calibri Light"/>
                <w:color w:val="000000"/>
                <w:sz w:val="20"/>
                <w:lang w:eastAsia="ro-RO"/>
              </w:rPr>
            </w:pPr>
          </w:p>
        </w:tc>
        <w:tc>
          <w:tcPr>
            <w:tcW w:w="567" w:type="dxa"/>
            <w:tcBorders>
              <w:top w:val="nil"/>
              <w:left w:val="nil"/>
              <w:bottom w:val="single" w:sz="4" w:space="0" w:color="auto"/>
              <w:right w:val="single" w:sz="4" w:space="0" w:color="auto"/>
            </w:tcBorders>
            <w:shd w:val="clear" w:color="auto" w:fill="auto"/>
            <w:vAlign w:val="center"/>
            <w:hideMark/>
          </w:tcPr>
          <w:p w14:paraId="39E528C5"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CB</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2759E04A" w14:textId="1961379E"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754</w:t>
            </w:r>
          </w:p>
        </w:tc>
        <w:tc>
          <w:tcPr>
            <w:tcW w:w="773" w:type="dxa"/>
            <w:tcBorders>
              <w:top w:val="nil"/>
              <w:left w:val="nil"/>
              <w:bottom w:val="single" w:sz="4" w:space="0" w:color="auto"/>
              <w:right w:val="single" w:sz="4" w:space="0" w:color="auto"/>
            </w:tcBorders>
            <w:shd w:val="clear" w:color="auto" w:fill="auto"/>
            <w:noWrap/>
            <w:vAlign w:val="bottom"/>
            <w:hideMark/>
          </w:tcPr>
          <w:p w14:paraId="3DFE3EBD" w14:textId="1B719C95"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151</w:t>
            </w:r>
          </w:p>
        </w:tc>
        <w:tc>
          <w:tcPr>
            <w:tcW w:w="874" w:type="dxa"/>
            <w:tcBorders>
              <w:top w:val="nil"/>
              <w:left w:val="nil"/>
              <w:bottom w:val="single" w:sz="4" w:space="0" w:color="auto"/>
              <w:right w:val="single" w:sz="4" w:space="0" w:color="auto"/>
            </w:tcBorders>
            <w:shd w:val="clear" w:color="000000" w:fill="FFFFFF"/>
            <w:noWrap/>
            <w:vAlign w:val="bottom"/>
            <w:hideMark/>
          </w:tcPr>
          <w:p w14:paraId="5DB9B9EA" w14:textId="7B2D08A2"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754</w:t>
            </w:r>
          </w:p>
        </w:tc>
        <w:tc>
          <w:tcPr>
            <w:tcW w:w="773" w:type="dxa"/>
            <w:tcBorders>
              <w:top w:val="nil"/>
              <w:left w:val="nil"/>
              <w:bottom w:val="single" w:sz="4" w:space="0" w:color="auto"/>
              <w:right w:val="single" w:sz="4" w:space="0" w:color="auto"/>
            </w:tcBorders>
            <w:shd w:val="clear" w:color="auto" w:fill="auto"/>
            <w:noWrap/>
            <w:vAlign w:val="bottom"/>
            <w:hideMark/>
          </w:tcPr>
          <w:p w14:paraId="391E3D5F" w14:textId="69F1A5AA"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151</w:t>
            </w:r>
          </w:p>
        </w:tc>
        <w:tc>
          <w:tcPr>
            <w:tcW w:w="773" w:type="dxa"/>
            <w:tcBorders>
              <w:top w:val="nil"/>
              <w:left w:val="nil"/>
              <w:bottom w:val="single" w:sz="4" w:space="0" w:color="auto"/>
              <w:right w:val="single" w:sz="4" w:space="0" w:color="auto"/>
            </w:tcBorders>
            <w:shd w:val="clear" w:color="000000" w:fill="FFFFFF"/>
            <w:noWrap/>
            <w:vAlign w:val="bottom"/>
            <w:hideMark/>
          </w:tcPr>
          <w:p w14:paraId="5825268C"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850" w:type="dxa"/>
            <w:tcBorders>
              <w:top w:val="nil"/>
              <w:left w:val="nil"/>
              <w:bottom w:val="single" w:sz="4" w:space="0" w:color="auto"/>
              <w:right w:val="single" w:sz="4" w:space="0" w:color="auto"/>
            </w:tcBorders>
            <w:shd w:val="clear" w:color="auto" w:fill="auto"/>
            <w:noWrap/>
            <w:vAlign w:val="bottom"/>
            <w:hideMark/>
          </w:tcPr>
          <w:p w14:paraId="2444BC2D"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874" w:type="dxa"/>
            <w:tcBorders>
              <w:top w:val="nil"/>
              <w:left w:val="nil"/>
              <w:bottom w:val="single" w:sz="4" w:space="0" w:color="auto"/>
              <w:right w:val="single" w:sz="4" w:space="0" w:color="auto"/>
            </w:tcBorders>
            <w:shd w:val="clear" w:color="auto" w:fill="auto"/>
            <w:noWrap/>
            <w:vAlign w:val="bottom"/>
            <w:hideMark/>
          </w:tcPr>
          <w:p w14:paraId="7BF3D2BA"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773" w:type="dxa"/>
            <w:tcBorders>
              <w:top w:val="nil"/>
              <w:left w:val="nil"/>
              <w:bottom w:val="single" w:sz="4" w:space="0" w:color="auto"/>
              <w:right w:val="single" w:sz="4" w:space="0" w:color="auto"/>
            </w:tcBorders>
            <w:shd w:val="clear" w:color="auto" w:fill="auto"/>
            <w:noWrap/>
            <w:vAlign w:val="bottom"/>
            <w:hideMark/>
          </w:tcPr>
          <w:p w14:paraId="53E8153E"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773" w:type="dxa"/>
            <w:tcBorders>
              <w:top w:val="nil"/>
              <w:left w:val="nil"/>
              <w:bottom w:val="single" w:sz="4" w:space="0" w:color="auto"/>
              <w:right w:val="single" w:sz="4" w:space="0" w:color="auto"/>
            </w:tcBorders>
            <w:shd w:val="clear" w:color="auto" w:fill="auto"/>
            <w:noWrap/>
            <w:vAlign w:val="bottom"/>
            <w:hideMark/>
          </w:tcPr>
          <w:p w14:paraId="0983C61E"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c>
          <w:tcPr>
            <w:tcW w:w="773" w:type="dxa"/>
            <w:tcBorders>
              <w:top w:val="nil"/>
              <w:left w:val="nil"/>
              <w:bottom w:val="single" w:sz="4" w:space="0" w:color="auto"/>
              <w:right w:val="single" w:sz="4" w:space="0" w:color="auto"/>
            </w:tcBorders>
            <w:shd w:val="clear" w:color="auto" w:fill="auto"/>
            <w:noWrap/>
            <w:vAlign w:val="bottom"/>
            <w:hideMark/>
          </w:tcPr>
          <w:p w14:paraId="1F54112B"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0</w:t>
            </w:r>
          </w:p>
        </w:tc>
      </w:tr>
      <w:tr w:rsidR="001E6AB2" w:rsidRPr="002F5AB8" w14:paraId="215D3DE2" w14:textId="77777777" w:rsidTr="001E6AB2">
        <w:trPr>
          <w:trHeight w:val="300"/>
        </w:trPr>
        <w:tc>
          <w:tcPr>
            <w:tcW w:w="1808" w:type="dxa"/>
            <w:vMerge w:val="restart"/>
            <w:tcBorders>
              <w:top w:val="nil"/>
              <w:left w:val="single" w:sz="4" w:space="0" w:color="auto"/>
              <w:bottom w:val="single" w:sz="4" w:space="0" w:color="000000"/>
              <w:right w:val="single" w:sz="4" w:space="0" w:color="auto"/>
            </w:tcBorders>
            <w:shd w:val="clear" w:color="auto" w:fill="auto"/>
            <w:vAlign w:val="center"/>
            <w:hideMark/>
          </w:tcPr>
          <w:p w14:paraId="2092E072"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Cheltuieli de capital</w:t>
            </w:r>
          </w:p>
        </w:tc>
        <w:tc>
          <w:tcPr>
            <w:tcW w:w="567" w:type="dxa"/>
            <w:tcBorders>
              <w:top w:val="nil"/>
              <w:left w:val="nil"/>
              <w:bottom w:val="single" w:sz="4" w:space="0" w:color="auto"/>
              <w:right w:val="single" w:sz="4" w:space="0" w:color="auto"/>
            </w:tcBorders>
            <w:shd w:val="clear" w:color="auto" w:fill="auto"/>
            <w:vAlign w:val="center"/>
            <w:hideMark/>
          </w:tcPr>
          <w:p w14:paraId="3DB94477"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CA</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078454E9" w14:textId="5A660250"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7 064</w:t>
            </w:r>
          </w:p>
        </w:tc>
        <w:tc>
          <w:tcPr>
            <w:tcW w:w="773" w:type="dxa"/>
            <w:tcBorders>
              <w:top w:val="nil"/>
              <w:left w:val="nil"/>
              <w:bottom w:val="single" w:sz="4" w:space="0" w:color="auto"/>
              <w:right w:val="single" w:sz="4" w:space="0" w:color="auto"/>
            </w:tcBorders>
            <w:shd w:val="clear" w:color="auto" w:fill="auto"/>
            <w:noWrap/>
            <w:vAlign w:val="bottom"/>
            <w:hideMark/>
          </w:tcPr>
          <w:p w14:paraId="7ABA33A6" w14:textId="6A120505"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534</w:t>
            </w:r>
          </w:p>
        </w:tc>
        <w:tc>
          <w:tcPr>
            <w:tcW w:w="874" w:type="dxa"/>
            <w:tcBorders>
              <w:top w:val="nil"/>
              <w:left w:val="nil"/>
              <w:bottom w:val="single" w:sz="4" w:space="0" w:color="auto"/>
              <w:right w:val="single" w:sz="4" w:space="0" w:color="auto"/>
            </w:tcBorders>
            <w:shd w:val="clear" w:color="auto" w:fill="auto"/>
            <w:noWrap/>
            <w:vAlign w:val="bottom"/>
            <w:hideMark/>
          </w:tcPr>
          <w:p w14:paraId="545C72AC" w14:textId="47835F98"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1 240</w:t>
            </w:r>
          </w:p>
        </w:tc>
        <w:tc>
          <w:tcPr>
            <w:tcW w:w="773" w:type="dxa"/>
            <w:tcBorders>
              <w:top w:val="nil"/>
              <w:left w:val="nil"/>
              <w:bottom w:val="single" w:sz="4" w:space="0" w:color="auto"/>
              <w:right w:val="single" w:sz="4" w:space="0" w:color="auto"/>
            </w:tcBorders>
            <w:shd w:val="clear" w:color="auto" w:fill="auto"/>
            <w:noWrap/>
            <w:vAlign w:val="bottom"/>
            <w:hideMark/>
          </w:tcPr>
          <w:p w14:paraId="79A804A0" w14:textId="47FDC4CA"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248</w:t>
            </w:r>
          </w:p>
        </w:tc>
        <w:tc>
          <w:tcPr>
            <w:tcW w:w="773" w:type="dxa"/>
            <w:tcBorders>
              <w:top w:val="nil"/>
              <w:left w:val="nil"/>
              <w:bottom w:val="single" w:sz="4" w:space="0" w:color="auto"/>
              <w:right w:val="single" w:sz="4" w:space="0" w:color="auto"/>
            </w:tcBorders>
            <w:shd w:val="clear" w:color="auto" w:fill="auto"/>
            <w:noWrap/>
            <w:vAlign w:val="bottom"/>
            <w:hideMark/>
          </w:tcPr>
          <w:p w14:paraId="3DC66DA7"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4,391</w:t>
            </w:r>
          </w:p>
        </w:tc>
        <w:tc>
          <w:tcPr>
            <w:tcW w:w="850" w:type="dxa"/>
            <w:tcBorders>
              <w:top w:val="nil"/>
              <w:left w:val="nil"/>
              <w:bottom w:val="single" w:sz="4" w:space="0" w:color="auto"/>
              <w:right w:val="single" w:sz="4" w:space="0" w:color="auto"/>
            </w:tcBorders>
            <w:shd w:val="clear" w:color="auto" w:fill="auto"/>
            <w:noWrap/>
            <w:vAlign w:val="bottom"/>
            <w:hideMark/>
          </w:tcPr>
          <w:p w14:paraId="00697F81"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878</w:t>
            </w:r>
          </w:p>
        </w:tc>
        <w:tc>
          <w:tcPr>
            <w:tcW w:w="874" w:type="dxa"/>
            <w:tcBorders>
              <w:top w:val="nil"/>
              <w:left w:val="nil"/>
              <w:bottom w:val="single" w:sz="4" w:space="0" w:color="auto"/>
              <w:right w:val="single" w:sz="4" w:space="0" w:color="auto"/>
            </w:tcBorders>
            <w:shd w:val="clear" w:color="auto" w:fill="auto"/>
            <w:noWrap/>
            <w:vAlign w:val="bottom"/>
            <w:hideMark/>
          </w:tcPr>
          <w:p w14:paraId="6A4D378D"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626</w:t>
            </w:r>
          </w:p>
        </w:tc>
        <w:tc>
          <w:tcPr>
            <w:tcW w:w="773" w:type="dxa"/>
            <w:tcBorders>
              <w:top w:val="nil"/>
              <w:left w:val="nil"/>
              <w:bottom w:val="single" w:sz="4" w:space="0" w:color="auto"/>
              <w:right w:val="single" w:sz="4" w:space="0" w:color="auto"/>
            </w:tcBorders>
            <w:shd w:val="clear" w:color="auto" w:fill="auto"/>
            <w:noWrap/>
            <w:vAlign w:val="bottom"/>
            <w:hideMark/>
          </w:tcPr>
          <w:p w14:paraId="2F590533"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125</w:t>
            </w:r>
          </w:p>
        </w:tc>
        <w:tc>
          <w:tcPr>
            <w:tcW w:w="773" w:type="dxa"/>
            <w:tcBorders>
              <w:top w:val="nil"/>
              <w:left w:val="nil"/>
              <w:bottom w:val="single" w:sz="4" w:space="0" w:color="auto"/>
              <w:right w:val="single" w:sz="4" w:space="0" w:color="auto"/>
            </w:tcBorders>
            <w:shd w:val="clear" w:color="auto" w:fill="auto"/>
            <w:noWrap/>
            <w:vAlign w:val="bottom"/>
            <w:hideMark/>
          </w:tcPr>
          <w:p w14:paraId="052949C0"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807</w:t>
            </w:r>
          </w:p>
        </w:tc>
        <w:tc>
          <w:tcPr>
            <w:tcW w:w="773" w:type="dxa"/>
            <w:tcBorders>
              <w:top w:val="nil"/>
              <w:left w:val="nil"/>
              <w:bottom w:val="single" w:sz="4" w:space="0" w:color="auto"/>
              <w:right w:val="single" w:sz="4" w:space="0" w:color="auto"/>
            </w:tcBorders>
            <w:shd w:val="clear" w:color="auto" w:fill="auto"/>
            <w:noWrap/>
            <w:vAlign w:val="bottom"/>
            <w:hideMark/>
          </w:tcPr>
          <w:p w14:paraId="1BFF0486"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161</w:t>
            </w:r>
          </w:p>
        </w:tc>
      </w:tr>
      <w:tr w:rsidR="001E6AB2" w:rsidRPr="002F5AB8" w14:paraId="7406EE77" w14:textId="77777777" w:rsidTr="001E6AB2">
        <w:trPr>
          <w:trHeight w:val="345"/>
        </w:trPr>
        <w:tc>
          <w:tcPr>
            <w:tcW w:w="1808" w:type="dxa"/>
            <w:vMerge/>
            <w:tcBorders>
              <w:top w:val="nil"/>
              <w:left w:val="single" w:sz="4" w:space="0" w:color="auto"/>
              <w:bottom w:val="single" w:sz="4" w:space="0" w:color="000000"/>
              <w:right w:val="single" w:sz="4" w:space="0" w:color="auto"/>
            </w:tcBorders>
            <w:vAlign w:val="center"/>
            <w:hideMark/>
          </w:tcPr>
          <w:p w14:paraId="111BB93B" w14:textId="77777777" w:rsidR="001E6AB2" w:rsidRPr="002F5AB8" w:rsidRDefault="001E6AB2" w:rsidP="001E6AB2">
            <w:pPr>
              <w:rPr>
                <w:rFonts w:ascii="Calibri Light" w:hAnsi="Calibri Light" w:cs="Calibri Light"/>
                <w:color w:val="000000"/>
                <w:sz w:val="20"/>
                <w:lang w:eastAsia="ro-RO"/>
              </w:rPr>
            </w:pPr>
          </w:p>
        </w:tc>
        <w:tc>
          <w:tcPr>
            <w:tcW w:w="567" w:type="dxa"/>
            <w:tcBorders>
              <w:top w:val="nil"/>
              <w:left w:val="nil"/>
              <w:bottom w:val="single" w:sz="4" w:space="0" w:color="auto"/>
              <w:right w:val="single" w:sz="4" w:space="0" w:color="auto"/>
            </w:tcBorders>
            <w:shd w:val="clear" w:color="auto" w:fill="auto"/>
            <w:noWrap/>
            <w:vAlign w:val="bottom"/>
            <w:hideMark/>
          </w:tcPr>
          <w:p w14:paraId="6F9DD3C3" w14:textId="77777777" w:rsidR="001E6AB2" w:rsidRPr="002F5AB8" w:rsidRDefault="001E6AB2" w:rsidP="001E6AB2">
            <w:pPr>
              <w:rPr>
                <w:rFonts w:ascii="Calibri Light" w:hAnsi="Calibri Light" w:cs="Calibri Light"/>
                <w:color w:val="000000"/>
                <w:sz w:val="20"/>
                <w:lang w:eastAsia="ro-RO"/>
              </w:rPr>
            </w:pPr>
            <w:r w:rsidRPr="002F5AB8">
              <w:rPr>
                <w:rFonts w:ascii="Calibri Light" w:hAnsi="Calibri Light" w:cs="Calibri Light"/>
                <w:color w:val="000000"/>
                <w:sz w:val="20"/>
                <w:lang w:eastAsia="ro-RO"/>
              </w:rPr>
              <w:t>CB</w:t>
            </w:r>
          </w:p>
        </w:tc>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4D1DD0C" w14:textId="7D0FFA95"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7 064</w:t>
            </w:r>
          </w:p>
        </w:tc>
        <w:tc>
          <w:tcPr>
            <w:tcW w:w="773" w:type="dxa"/>
            <w:tcBorders>
              <w:top w:val="nil"/>
              <w:left w:val="nil"/>
              <w:bottom w:val="single" w:sz="4" w:space="0" w:color="auto"/>
              <w:right w:val="single" w:sz="4" w:space="0" w:color="auto"/>
            </w:tcBorders>
            <w:shd w:val="clear" w:color="auto" w:fill="auto"/>
            <w:noWrap/>
            <w:vAlign w:val="bottom"/>
            <w:hideMark/>
          </w:tcPr>
          <w:p w14:paraId="5219DCEA" w14:textId="36B87152"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534</w:t>
            </w:r>
          </w:p>
        </w:tc>
        <w:tc>
          <w:tcPr>
            <w:tcW w:w="874" w:type="dxa"/>
            <w:tcBorders>
              <w:top w:val="nil"/>
              <w:left w:val="nil"/>
              <w:bottom w:val="single" w:sz="4" w:space="0" w:color="auto"/>
              <w:right w:val="single" w:sz="4" w:space="0" w:color="auto"/>
            </w:tcBorders>
            <w:shd w:val="clear" w:color="auto" w:fill="auto"/>
            <w:noWrap/>
            <w:vAlign w:val="bottom"/>
            <w:hideMark/>
          </w:tcPr>
          <w:p w14:paraId="453CE8C1" w14:textId="1C04ACB6"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1 240</w:t>
            </w:r>
          </w:p>
        </w:tc>
        <w:tc>
          <w:tcPr>
            <w:tcW w:w="773" w:type="dxa"/>
            <w:tcBorders>
              <w:top w:val="nil"/>
              <w:left w:val="nil"/>
              <w:bottom w:val="single" w:sz="4" w:space="0" w:color="auto"/>
              <w:right w:val="single" w:sz="4" w:space="0" w:color="auto"/>
            </w:tcBorders>
            <w:shd w:val="clear" w:color="auto" w:fill="auto"/>
            <w:noWrap/>
            <w:vAlign w:val="bottom"/>
            <w:hideMark/>
          </w:tcPr>
          <w:p w14:paraId="4CBA1598" w14:textId="302BE409" w:rsidR="001E6AB2" w:rsidRPr="007574BA" w:rsidRDefault="001E6AB2" w:rsidP="001E6AB2">
            <w:pPr>
              <w:jc w:val="right"/>
              <w:rPr>
                <w:rFonts w:ascii="Calibri Light" w:hAnsi="Calibri Light" w:cs="Calibri Light"/>
                <w:sz w:val="20"/>
                <w:lang w:eastAsia="ro-RO"/>
              </w:rPr>
            </w:pPr>
            <w:r w:rsidRPr="007574BA">
              <w:rPr>
                <w:rFonts w:ascii="Calibri Light" w:hAnsi="Calibri Light" w:cs="Calibri Light"/>
                <w:sz w:val="20"/>
              </w:rPr>
              <w:t>248</w:t>
            </w:r>
          </w:p>
        </w:tc>
        <w:tc>
          <w:tcPr>
            <w:tcW w:w="773" w:type="dxa"/>
            <w:tcBorders>
              <w:top w:val="nil"/>
              <w:left w:val="nil"/>
              <w:bottom w:val="single" w:sz="4" w:space="0" w:color="auto"/>
              <w:right w:val="single" w:sz="4" w:space="0" w:color="auto"/>
            </w:tcBorders>
            <w:shd w:val="clear" w:color="auto" w:fill="auto"/>
            <w:noWrap/>
            <w:vAlign w:val="bottom"/>
            <w:hideMark/>
          </w:tcPr>
          <w:p w14:paraId="19DB4E20"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4,391</w:t>
            </w:r>
          </w:p>
        </w:tc>
        <w:tc>
          <w:tcPr>
            <w:tcW w:w="850" w:type="dxa"/>
            <w:tcBorders>
              <w:top w:val="nil"/>
              <w:left w:val="nil"/>
              <w:bottom w:val="single" w:sz="4" w:space="0" w:color="auto"/>
              <w:right w:val="single" w:sz="4" w:space="0" w:color="auto"/>
            </w:tcBorders>
            <w:shd w:val="clear" w:color="auto" w:fill="auto"/>
            <w:noWrap/>
            <w:vAlign w:val="bottom"/>
            <w:hideMark/>
          </w:tcPr>
          <w:p w14:paraId="0D50D64E"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878</w:t>
            </w:r>
          </w:p>
        </w:tc>
        <w:tc>
          <w:tcPr>
            <w:tcW w:w="874" w:type="dxa"/>
            <w:tcBorders>
              <w:top w:val="nil"/>
              <w:left w:val="nil"/>
              <w:bottom w:val="single" w:sz="4" w:space="0" w:color="auto"/>
              <w:right w:val="single" w:sz="4" w:space="0" w:color="auto"/>
            </w:tcBorders>
            <w:shd w:val="clear" w:color="auto" w:fill="auto"/>
            <w:noWrap/>
            <w:vAlign w:val="bottom"/>
            <w:hideMark/>
          </w:tcPr>
          <w:p w14:paraId="713A160C"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626</w:t>
            </w:r>
          </w:p>
        </w:tc>
        <w:tc>
          <w:tcPr>
            <w:tcW w:w="773" w:type="dxa"/>
            <w:tcBorders>
              <w:top w:val="nil"/>
              <w:left w:val="nil"/>
              <w:bottom w:val="single" w:sz="4" w:space="0" w:color="auto"/>
              <w:right w:val="single" w:sz="4" w:space="0" w:color="auto"/>
            </w:tcBorders>
            <w:shd w:val="clear" w:color="auto" w:fill="auto"/>
            <w:noWrap/>
            <w:vAlign w:val="bottom"/>
            <w:hideMark/>
          </w:tcPr>
          <w:p w14:paraId="5C6CAE89"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125</w:t>
            </w:r>
          </w:p>
        </w:tc>
        <w:tc>
          <w:tcPr>
            <w:tcW w:w="773" w:type="dxa"/>
            <w:tcBorders>
              <w:top w:val="nil"/>
              <w:left w:val="nil"/>
              <w:bottom w:val="single" w:sz="4" w:space="0" w:color="auto"/>
              <w:right w:val="single" w:sz="4" w:space="0" w:color="auto"/>
            </w:tcBorders>
            <w:shd w:val="clear" w:color="auto" w:fill="auto"/>
            <w:noWrap/>
            <w:vAlign w:val="bottom"/>
            <w:hideMark/>
          </w:tcPr>
          <w:p w14:paraId="5070B86D"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807</w:t>
            </w:r>
          </w:p>
        </w:tc>
        <w:tc>
          <w:tcPr>
            <w:tcW w:w="773" w:type="dxa"/>
            <w:tcBorders>
              <w:top w:val="nil"/>
              <w:left w:val="nil"/>
              <w:bottom w:val="single" w:sz="4" w:space="0" w:color="auto"/>
              <w:right w:val="single" w:sz="4" w:space="0" w:color="auto"/>
            </w:tcBorders>
            <w:shd w:val="clear" w:color="auto" w:fill="auto"/>
            <w:noWrap/>
            <w:vAlign w:val="bottom"/>
            <w:hideMark/>
          </w:tcPr>
          <w:p w14:paraId="0F6014B4" w14:textId="77777777" w:rsidR="001E6AB2" w:rsidRPr="002F5AB8" w:rsidRDefault="001E6AB2" w:rsidP="001E6AB2">
            <w:pPr>
              <w:jc w:val="right"/>
              <w:rPr>
                <w:rFonts w:ascii="Calibri Light" w:hAnsi="Calibri Light" w:cs="Calibri Light"/>
                <w:color w:val="000000"/>
                <w:sz w:val="20"/>
                <w:lang w:eastAsia="ro-RO"/>
              </w:rPr>
            </w:pPr>
            <w:r w:rsidRPr="002F5AB8">
              <w:rPr>
                <w:rFonts w:ascii="Calibri Light" w:hAnsi="Calibri Light" w:cs="Calibri Light"/>
                <w:color w:val="000000"/>
                <w:sz w:val="20"/>
                <w:lang w:eastAsia="ro-RO"/>
              </w:rPr>
              <w:t>161</w:t>
            </w:r>
          </w:p>
        </w:tc>
      </w:tr>
    </w:tbl>
    <w:p w14:paraId="58D1E9ED" w14:textId="234BF253" w:rsidR="00895FF8" w:rsidRPr="004A72CD" w:rsidRDefault="00895FF8" w:rsidP="009D3C00">
      <w:pPr>
        <w:keepNext/>
        <w:keepLines/>
        <w:spacing w:line="276" w:lineRule="auto"/>
        <w:ind w:right="-180"/>
        <w:jc w:val="both"/>
        <w:rPr>
          <w:rFonts w:asciiTheme="minorHAnsi" w:eastAsiaTheme="minorHAnsi" w:hAnsiTheme="minorHAnsi" w:cstheme="minorHAnsi"/>
          <w:b/>
          <w:sz w:val="26"/>
          <w:szCs w:val="26"/>
        </w:rPr>
      </w:pPr>
      <w:r w:rsidRPr="004A72CD">
        <w:rPr>
          <w:rFonts w:asciiTheme="minorHAnsi" w:eastAsiaTheme="minorHAnsi" w:hAnsiTheme="minorHAnsi" w:cstheme="minorHAnsi"/>
          <w:sz w:val="26"/>
          <w:szCs w:val="26"/>
        </w:rPr>
        <w:lastRenderedPageBreak/>
        <w:t>Prezentarea grafică, precum şi dinamica bugetelor pe perioada 2023</w:t>
      </w:r>
      <w:r w:rsidR="00936805" w:rsidRPr="004A72CD">
        <w:rPr>
          <w:rFonts w:asciiTheme="minorHAnsi" w:eastAsiaTheme="minorHAnsi" w:hAnsiTheme="minorHAnsi" w:cstheme="minorHAnsi"/>
          <w:sz w:val="26"/>
          <w:szCs w:val="26"/>
        </w:rPr>
        <w:t xml:space="preserve"> </w:t>
      </w:r>
      <w:r w:rsidRPr="004A72CD">
        <w:rPr>
          <w:rFonts w:asciiTheme="minorHAnsi" w:eastAsiaTheme="minorHAnsi" w:hAnsiTheme="minorHAnsi" w:cstheme="minorHAnsi"/>
          <w:sz w:val="26"/>
          <w:szCs w:val="26"/>
        </w:rPr>
        <w:t>-</w:t>
      </w:r>
      <w:r w:rsidR="00936805" w:rsidRPr="004A72CD">
        <w:rPr>
          <w:rFonts w:asciiTheme="minorHAnsi" w:eastAsiaTheme="minorHAnsi" w:hAnsiTheme="minorHAnsi" w:cstheme="minorHAnsi"/>
          <w:sz w:val="26"/>
          <w:szCs w:val="26"/>
        </w:rPr>
        <w:t xml:space="preserve"> </w:t>
      </w:r>
      <w:r w:rsidRPr="004A72CD">
        <w:rPr>
          <w:rFonts w:asciiTheme="minorHAnsi" w:eastAsiaTheme="minorHAnsi" w:hAnsiTheme="minorHAnsi" w:cstheme="minorHAnsi"/>
          <w:sz w:val="26"/>
          <w:szCs w:val="26"/>
        </w:rPr>
        <w:t>2025 este ilustrată, astfel:</w:t>
      </w:r>
    </w:p>
    <w:p w14:paraId="35968C2C" w14:textId="77777777" w:rsidR="00895FF8" w:rsidRPr="004A72CD" w:rsidRDefault="00895FF8" w:rsidP="009D3C00">
      <w:pPr>
        <w:keepNext/>
        <w:keepLines/>
        <w:spacing w:line="276" w:lineRule="auto"/>
        <w:ind w:right="-180"/>
        <w:jc w:val="center"/>
        <w:rPr>
          <w:rFonts w:asciiTheme="minorHAnsi" w:eastAsiaTheme="minorHAnsi" w:hAnsiTheme="minorHAnsi" w:cstheme="minorHAnsi"/>
          <w:b/>
          <w:sz w:val="26"/>
          <w:szCs w:val="26"/>
        </w:rPr>
      </w:pPr>
      <w:r w:rsidRPr="004A72CD">
        <w:rPr>
          <w:rFonts w:asciiTheme="minorHAnsi" w:eastAsiaTheme="minorHAnsi" w:hAnsiTheme="minorHAnsi" w:cstheme="minorHAnsi"/>
          <w:b/>
          <w:sz w:val="26"/>
          <w:szCs w:val="26"/>
        </w:rPr>
        <w:t xml:space="preserve">CONSILIUL SUPERIOR AL MAGISTRATURII </w:t>
      </w:r>
    </w:p>
    <w:p w14:paraId="6B8C432E" w14:textId="77777777" w:rsidR="00895FF8" w:rsidRPr="004A72CD" w:rsidRDefault="00895FF8" w:rsidP="009D3C00">
      <w:pPr>
        <w:keepNext/>
        <w:keepLines/>
        <w:spacing w:line="276" w:lineRule="auto"/>
        <w:ind w:right="-180"/>
        <w:jc w:val="center"/>
        <w:rPr>
          <w:rFonts w:asciiTheme="minorHAnsi" w:eastAsiaTheme="minorHAnsi" w:hAnsiTheme="minorHAnsi" w:cstheme="minorHAnsi"/>
          <w:b/>
          <w:sz w:val="26"/>
          <w:szCs w:val="26"/>
        </w:rPr>
      </w:pPr>
      <w:r w:rsidRPr="004A72CD">
        <w:rPr>
          <w:rFonts w:asciiTheme="minorHAnsi" w:eastAsiaTheme="minorHAnsi" w:hAnsiTheme="minorHAnsi" w:cstheme="minorHAnsi"/>
          <w:b/>
          <w:sz w:val="26"/>
          <w:szCs w:val="26"/>
        </w:rPr>
        <w:t>APARAT PROPRIU</w:t>
      </w:r>
    </w:p>
    <w:p w14:paraId="561FB448" w14:textId="77777777" w:rsidR="009D3C00" w:rsidRDefault="009D3C00" w:rsidP="009D3C00">
      <w:pPr>
        <w:spacing w:line="276" w:lineRule="auto"/>
        <w:jc w:val="center"/>
        <w:rPr>
          <w:rFonts w:asciiTheme="minorHAnsi" w:eastAsiaTheme="minorHAnsi" w:hAnsiTheme="minorHAnsi" w:cstheme="minorHAnsi"/>
          <w:b/>
          <w:sz w:val="26"/>
          <w:szCs w:val="26"/>
        </w:rPr>
      </w:pPr>
      <w:r w:rsidRPr="00313FEF">
        <w:rPr>
          <w:rFonts w:asciiTheme="minorHAnsi" w:hAnsiTheme="minorHAnsi" w:cstheme="minorHAnsi"/>
          <w:sz w:val="26"/>
          <w:szCs w:val="26"/>
          <w:lang w:eastAsia="ro-RO"/>
        </w:rPr>
        <w:drawing>
          <wp:inline distT="0" distB="0" distL="0" distR="0" wp14:anchorId="6C44587C" wp14:editId="15037B92">
            <wp:extent cx="5416828" cy="4113559"/>
            <wp:effectExtent l="0" t="0" r="12700" b="1270"/>
            <wp:docPr id="1089921388" name="Chart 1">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FDB266F" w14:textId="2EC5F679" w:rsidR="00895FF8" w:rsidRPr="004A72CD" w:rsidRDefault="00895FF8" w:rsidP="009D3C00">
      <w:pPr>
        <w:spacing w:line="276" w:lineRule="auto"/>
        <w:jc w:val="right"/>
        <w:rPr>
          <w:rFonts w:asciiTheme="minorHAnsi" w:eastAsiaTheme="minorHAnsi" w:hAnsiTheme="minorHAnsi" w:cstheme="minorHAnsi"/>
          <w:b/>
          <w:sz w:val="26"/>
          <w:szCs w:val="26"/>
        </w:rPr>
      </w:pPr>
      <w:r w:rsidRPr="004A72CD">
        <w:rPr>
          <w:rFonts w:asciiTheme="minorHAnsi" w:eastAsiaTheme="minorHAnsi" w:hAnsiTheme="minorHAnsi" w:cstheme="minorHAnsi"/>
          <w:b/>
          <w:sz w:val="26"/>
          <w:szCs w:val="26"/>
        </w:rPr>
        <w:t>mii lei</w:t>
      </w:r>
    </w:p>
    <w:tbl>
      <w:tblPr>
        <w:tblW w:w="10528" w:type="dxa"/>
        <w:jc w:val="center"/>
        <w:tblLayout w:type="fixed"/>
        <w:tblLook w:val="04A0" w:firstRow="1" w:lastRow="0" w:firstColumn="1" w:lastColumn="0" w:noHBand="0" w:noVBand="1"/>
      </w:tblPr>
      <w:tblGrid>
        <w:gridCol w:w="663"/>
        <w:gridCol w:w="603"/>
        <w:gridCol w:w="851"/>
        <w:gridCol w:w="992"/>
        <w:gridCol w:w="850"/>
        <w:gridCol w:w="769"/>
        <w:gridCol w:w="767"/>
        <w:gridCol w:w="776"/>
        <w:gridCol w:w="1232"/>
        <w:gridCol w:w="759"/>
        <w:gridCol w:w="1414"/>
        <w:gridCol w:w="852"/>
      </w:tblGrid>
      <w:tr w:rsidR="009D3C00" w:rsidRPr="00FE68AC" w14:paraId="1080A102" w14:textId="77777777" w:rsidTr="009D3C00">
        <w:trPr>
          <w:trHeight w:val="1800"/>
          <w:jc w:val="center"/>
        </w:trPr>
        <w:tc>
          <w:tcPr>
            <w:tcW w:w="663"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4F29FE2F" w14:textId="77777777" w:rsidR="009D3C00" w:rsidRPr="00FE68AC" w:rsidRDefault="009D3C00" w:rsidP="00612067">
            <w:pPr>
              <w:jc w:val="center"/>
              <w:rPr>
                <w:rFonts w:ascii="Calibri Light" w:hAnsi="Calibri Light" w:cs="Calibri Light"/>
                <w:color w:val="000000"/>
                <w:sz w:val="20"/>
                <w:lang w:eastAsia="ro-RO"/>
              </w:rPr>
            </w:pPr>
            <w:r w:rsidRPr="00FE68AC">
              <w:rPr>
                <w:rFonts w:ascii="Calibri Light" w:hAnsi="Calibri Light" w:cs="Calibri Light"/>
                <w:color w:val="000000"/>
                <w:sz w:val="20"/>
                <w:lang w:eastAsia="ro-RO"/>
              </w:rPr>
              <w:t>An</w:t>
            </w:r>
          </w:p>
        </w:tc>
        <w:tc>
          <w:tcPr>
            <w:tcW w:w="603" w:type="dxa"/>
            <w:tcBorders>
              <w:top w:val="single" w:sz="8" w:space="0" w:color="auto"/>
              <w:left w:val="nil"/>
              <w:bottom w:val="single" w:sz="4" w:space="0" w:color="auto"/>
              <w:right w:val="single" w:sz="4" w:space="0" w:color="auto"/>
            </w:tcBorders>
            <w:shd w:val="clear" w:color="000000" w:fill="D9D9D9"/>
            <w:vAlign w:val="center"/>
            <w:hideMark/>
          </w:tcPr>
          <w:p w14:paraId="19093EB2" w14:textId="77777777" w:rsidR="009D3C00" w:rsidRPr="00FE68AC" w:rsidRDefault="009D3C00" w:rsidP="00612067">
            <w:pPr>
              <w:jc w:val="center"/>
              <w:rPr>
                <w:rFonts w:ascii="Calibri Light" w:hAnsi="Calibri Light" w:cs="Calibri Light"/>
                <w:color w:val="000000"/>
                <w:sz w:val="20"/>
                <w:lang w:eastAsia="ro-RO"/>
              </w:rPr>
            </w:pPr>
            <w:r w:rsidRPr="00FE68AC">
              <w:rPr>
                <w:rFonts w:ascii="Calibri Light" w:hAnsi="Calibri Light" w:cs="Calibri Light"/>
                <w:color w:val="000000"/>
                <w:sz w:val="20"/>
                <w:lang w:eastAsia="ro-RO"/>
              </w:rPr>
              <w:t>Tip</w:t>
            </w:r>
            <w:r w:rsidRPr="00FE68AC">
              <w:rPr>
                <w:rFonts w:ascii="Calibri Light" w:hAnsi="Calibri Light" w:cs="Calibri Light"/>
                <w:color w:val="000000"/>
                <w:sz w:val="20"/>
                <w:lang w:eastAsia="ro-RO"/>
              </w:rPr>
              <w:br/>
              <w:t>cre</w:t>
            </w:r>
            <w:r>
              <w:rPr>
                <w:rFonts w:ascii="Calibri Light" w:hAnsi="Calibri Light" w:cs="Calibri Light"/>
                <w:color w:val="000000"/>
                <w:sz w:val="20"/>
                <w:lang w:eastAsia="ro-RO"/>
              </w:rPr>
              <w:t>-</w:t>
            </w:r>
            <w:r w:rsidRPr="00FE68AC">
              <w:rPr>
                <w:rFonts w:ascii="Calibri Light" w:hAnsi="Calibri Light" w:cs="Calibri Light"/>
                <w:color w:val="000000"/>
                <w:sz w:val="20"/>
                <w:lang w:eastAsia="ro-RO"/>
              </w:rPr>
              <w:t>dit</w:t>
            </w:r>
          </w:p>
        </w:tc>
        <w:tc>
          <w:tcPr>
            <w:tcW w:w="851" w:type="dxa"/>
            <w:tcBorders>
              <w:top w:val="single" w:sz="8" w:space="0" w:color="auto"/>
              <w:left w:val="nil"/>
              <w:bottom w:val="single" w:sz="4" w:space="0" w:color="auto"/>
              <w:right w:val="single" w:sz="4" w:space="0" w:color="auto"/>
            </w:tcBorders>
            <w:shd w:val="clear" w:color="000000" w:fill="D9D9D9"/>
            <w:vAlign w:val="center"/>
            <w:hideMark/>
          </w:tcPr>
          <w:p w14:paraId="12B7028A" w14:textId="77777777" w:rsidR="009D3C00" w:rsidRPr="00FE68AC" w:rsidRDefault="009D3C00" w:rsidP="00612067">
            <w:pPr>
              <w:jc w:val="center"/>
              <w:rPr>
                <w:rFonts w:ascii="Calibri Light" w:hAnsi="Calibri Light" w:cs="Calibri Light"/>
                <w:color w:val="000000"/>
                <w:sz w:val="20"/>
                <w:lang w:eastAsia="ro-RO"/>
              </w:rPr>
            </w:pPr>
            <w:r w:rsidRPr="00FE68AC">
              <w:rPr>
                <w:rFonts w:ascii="Calibri Light" w:hAnsi="Calibri Light" w:cs="Calibri Light"/>
                <w:color w:val="000000"/>
                <w:sz w:val="20"/>
                <w:lang w:eastAsia="ro-RO"/>
              </w:rPr>
              <w:t>Total</w:t>
            </w:r>
          </w:p>
        </w:tc>
        <w:tc>
          <w:tcPr>
            <w:tcW w:w="992" w:type="dxa"/>
            <w:tcBorders>
              <w:top w:val="single" w:sz="8" w:space="0" w:color="auto"/>
              <w:left w:val="nil"/>
              <w:bottom w:val="single" w:sz="4" w:space="0" w:color="auto"/>
              <w:right w:val="single" w:sz="4" w:space="0" w:color="auto"/>
            </w:tcBorders>
            <w:shd w:val="clear" w:color="000000" w:fill="D9D9D9"/>
            <w:vAlign w:val="center"/>
            <w:hideMark/>
          </w:tcPr>
          <w:p w14:paraId="11E933BD" w14:textId="77777777" w:rsidR="009D3C00" w:rsidRPr="00FE68AC" w:rsidRDefault="009D3C00" w:rsidP="00612067">
            <w:pPr>
              <w:jc w:val="center"/>
              <w:rPr>
                <w:rFonts w:ascii="Calibri Light" w:hAnsi="Calibri Light" w:cs="Calibri Light"/>
                <w:color w:val="000000"/>
                <w:sz w:val="20"/>
                <w:lang w:eastAsia="ro-RO"/>
              </w:rPr>
            </w:pPr>
            <w:r w:rsidRPr="00FE68AC">
              <w:rPr>
                <w:rFonts w:ascii="Calibri Light" w:hAnsi="Calibri Light" w:cs="Calibri Light"/>
                <w:color w:val="000000"/>
                <w:sz w:val="20"/>
                <w:lang w:eastAsia="ro-RO"/>
              </w:rPr>
              <w:t>Cheltuieli de personal</w:t>
            </w:r>
          </w:p>
        </w:tc>
        <w:tc>
          <w:tcPr>
            <w:tcW w:w="850" w:type="dxa"/>
            <w:tcBorders>
              <w:top w:val="single" w:sz="8" w:space="0" w:color="auto"/>
              <w:left w:val="nil"/>
              <w:bottom w:val="single" w:sz="4" w:space="0" w:color="auto"/>
              <w:right w:val="single" w:sz="4" w:space="0" w:color="auto"/>
            </w:tcBorders>
            <w:shd w:val="clear" w:color="000000" w:fill="D9D9D9"/>
            <w:vAlign w:val="center"/>
            <w:hideMark/>
          </w:tcPr>
          <w:p w14:paraId="3A7297B4" w14:textId="77777777" w:rsidR="009D3C00" w:rsidRPr="00FE68AC" w:rsidRDefault="009D3C00" w:rsidP="00612067">
            <w:pPr>
              <w:jc w:val="center"/>
              <w:rPr>
                <w:rFonts w:ascii="Calibri Light" w:hAnsi="Calibri Light" w:cs="Calibri Light"/>
                <w:color w:val="000000"/>
                <w:sz w:val="20"/>
                <w:lang w:eastAsia="ro-RO"/>
              </w:rPr>
            </w:pPr>
            <w:r w:rsidRPr="00FE68AC">
              <w:rPr>
                <w:rFonts w:ascii="Calibri Light" w:hAnsi="Calibri Light" w:cs="Calibri Light"/>
                <w:color w:val="000000"/>
                <w:sz w:val="20"/>
                <w:lang w:eastAsia="ro-RO"/>
              </w:rPr>
              <w:t>Bunuri și servicii</w:t>
            </w:r>
          </w:p>
        </w:tc>
        <w:tc>
          <w:tcPr>
            <w:tcW w:w="769" w:type="dxa"/>
            <w:tcBorders>
              <w:top w:val="single" w:sz="8" w:space="0" w:color="auto"/>
              <w:left w:val="nil"/>
              <w:bottom w:val="single" w:sz="4" w:space="0" w:color="auto"/>
              <w:right w:val="single" w:sz="4" w:space="0" w:color="auto"/>
            </w:tcBorders>
            <w:shd w:val="clear" w:color="000000" w:fill="D9D9D9"/>
            <w:vAlign w:val="center"/>
            <w:hideMark/>
          </w:tcPr>
          <w:p w14:paraId="59329727" w14:textId="77777777" w:rsidR="009D3C00" w:rsidRPr="00FE68AC" w:rsidRDefault="009D3C00" w:rsidP="00612067">
            <w:pPr>
              <w:jc w:val="center"/>
              <w:rPr>
                <w:rFonts w:ascii="Calibri Light" w:hAnsi="Calibri Light" w:cs="Calibri Light"/>
                <w:color w:val="000000"/>
                <w:sz w:val="20"/>
                <w:lang w:eastAsia="ro-RO"/>
              </w:rPr>
            </w:pPr>
            <w:r w:rsidRPr="00FE68AC">
              <w:rPr>
                <w:rFonts w:ascii="Calibri Light" w:hAnsi="Calibri Light" w:cs="Calibri Light"/>
                <w:color w:val="000000"/>
                <w:sz w:val="20"/>
                <w:lang w:eastAsia="ro-RO"/>
              </w:rPr>
              <w:t>Trans-feruri</w:t>
            </w:r>
          </w:p>
        </w:tc>
        <w:tc>
          <w:tcPr>
            <w:tcW w:w="767" w:type="dxa"/>
            <w:tcBorders>
              <w:top w:val="single" w:sz="8" w:space="0" w:color="auto"/>
              <w:left w:val="nil"/>
              <w:bottom w:val="single" w:sz="4" w:space="0" w:color="auto"/>
              <w:right w:val="single" w:sz="4" w:space="0" w:color="auto"/>
            </w:tcBorders>
            <w:shd w:val="clear" w:color="000000" w:fill="D9D9D9"/>
            <w:vAlign w:val="center"/>
            <w:hideMark/>
          </w:tcPr>
          <w:p w14:paraId="04DD86F1" w14:textId="77777777" w:rsidR="009D3C00" w:rsidRPr="00FE68AC" w:rsidRDefault="009D3C00" w:rsidP="00612067">
            <w:pPr>
              <w:jc w:val="center"/>
              <w:rPr>
                <w:rFonts w:ascii="Calibri Light" w:hAnsi="Calibri Light" w:cs="Calibri Light"/>
                <w:color w:val="000000"/>
                <w:sz w:val="20"/>
                <w:lang w:eastAsia="ro-RO"/>
              </w:rPr>
            </w:pPr>
            <w:r w:rsidRPr="00FE68AC">
              <w:rPr>
                <w:rFonts w:ascii="Calibri Light" w:hAnsi="Calibri Light" w:cs="Calibri Light"/>
                <w:color w:val="000000"/>
                <w:sz w:val="20"/>
                <w:lang w:eastAsia="ro-RO"/>
              </w:rPr>
              <w:t>Alte trans-feruri</w:t>
            </w:r>
          </w:p>
        </w:tc>
        <w:tc>
          <w:tcPr>
            <w:tcW w:w="776" w:type="dxa"/>
            <w:tcBorders>
              <w:top w:val="single" w:sz="8" w:space="0" w:color="auto"/>
              <w:left w:val="nil"/>
              <w:bottom w:val="single" w:sz="4" w:space="0" w:color="auto"/>
              <w:right w:val="single" w:sz="4" w:space="0" w:color="auto"/>
            </w:tcBorders>
            <w:shd w:val="clear" w:color="000000" w:fill="D9D9D9"/>
            <w:vAlign w:val="center"/>
            <w:hideMark/>
          </w:tcPr>
          <w:p w14:paraId="418E81E0" w14:textId="77777777" w:rsidR="009D3C00" w:rsidRPr="00FE68AC" w:rsidRDefault="009D3C00" w:rsidP="00612067">
            <w:pPr>
              <w:jc w:val="center"/>
              <w:rPr>
                <w:rFonts w:ascii="Calibri Light" w:hAnsi="Calibri Light" w:cs="Calibri Light"/>
                <w:color w:val="000000"/>
                <w:sz w:val="20"/>
                <w:lang w:eastAsia="ro-RO"/>
              </w:rPr>
            </w:pPr>
            <w:r w:rsidRPr="00FE68AC">
              <w:rPr>
                <w:rFonts w:ascii="Calibri Light" w:hAnsi="Calibri Light" w:cs="Calibri Light"/>
                <w:color w:val="000000"/>
                <w:sz w:val="20"/>
                <w:lang w:eastAsia="ro-RO"/>
              </w:rPr>
              <w:t xml:space="preserve">Proiecte cu finanțare </w:t>
            </w:r>
            <w:r w:rsidRPr="00FE68AC">
              <w:rPr>
                <w:rFonts w:ascii="Calibri Light" w:hAnsi="Calibri Light" w:cs="Calibri Light"/>
                <w:color w:val="000000"/>
                <w:sz w:val="20"/>
                <w:lang w:eastAsia="ro-RO"/>
              </w:rPr>
              <w:br/>
              <w:t>din FEN postaderare</w:t>
            </w:r>
          </w:p>
        </w:tc>
        <w:tc>
          <w:tcPr>
            <w:tcW w:w="1232" w:type="dxa"/>
            <w:tcBorders>
              <w:top w:val="single" w:sz="8" w:space="0" w:color="auto"/>
              <w:left w:val="nil"/>
              <w:bottom w:val="single" w:sz="4" w:space="0" w:color="auto"/>
              <w:right w:val="single" w:sz="4" w:space="0" w:color="auto"/>
            </w:tcBorders>
            <w:shd w:val="clear" w:color="000000" w:fill="D9D9D9"/>
            <w:vAlign w:val="center"/>
            <w:hideMark/>
          </w:tcPr>
          <w:p w14:paraId="13193C4E" w14:textId="77777777" w:rsidR="009D3C00" w:rsidRPr="00FE68AC" w:rsidRDefault="009D3C00" w:rsidP="00612067">
            <w:pPr>
              <w:jc w:val="center"/>
              <w:rPr>
                <w:rFonts w:ascii="Calibri Light" w:hAnsi="Calibri Light" w:cs="Calibri Light"/>
                <w:color w:val="000000"/>
                <w:sz w:val="20"/>
                <w:lang w:eastAsia="ro-RO"/>
              </w:rPr>
            </w:pPr>
            <w:r w:rsidRPr="00FE68AC">
              <w:rPr>
                <w:rFonts w:ascii="Calibri Light" w:hAnsi="Calibri Light" w:cs="Calibri Light"/>
                <w:color w:val="000000"/>
                <w:sz w:val="20"/>
                <w:lang w:eastAsia="ro-RO"/>
              </w:rPr>
              <w:t>Proiecte cu finanțare din FEN aferente</w:t>
            </w:r>
            <w:r w:rsidRPr="00FE68AC">
              <w:rPr>
                <w:rFonts w:ascii="Calibri Light" w:hAnsi="Calibri Light" w:cs="Calibri Light"/>
                <w:color w:val="000000"/>
                <w:sz w:val="20"/>
                <w:lang w:eastAsia="ro-RO"/>
              </w:rPr>
              <w:br/>
              <w:t xml:space="preserve"> cadrului financiar 2014-2020</w:t>
            </w:r>
          </w:p>
        </w:tc>
        <w:tc>
          <w:tcPr>
            <w:tcW w:w="759" w:type="dxa"/>
            <w:tcBorders>
              <w:top w:val="single" w:sz="8" w:space="0" w:color="auto"/>
              <w:left w:val="nil"/>
              <w:bottom w:val="single" w:sz="4" w:space="0" w:color="auto"/>
              <w:right w:val="single" w:sz="4" w:space="0" w:color="auto"/>
            </w:tcBorders>
            <w:shd w:val="clear" w:color="000000" w:fill="D9D9D9"/>
            <w:vAlign w:val="center"/>
            <w:hideMark/>
          </w:tcPr>
          <w:p w14:paraId="4A2B2C37" w14:textId="77777777" w:rsidR="009D3C00" w:rsidRPr="00FE68AC" w:rsidRDefault="009D3C00" w:rsidP="00612067">
            <w:pPr>
              <w:jc w:val="center"/>
              <w:rPr>
                <w:rFonts w:ascii="Calibri Light" w:hAnsi="Calibri Light" w:cs="Calibri Light"/>
                <w:color w:val="000000"/>
                <w:sz w:val="20"/>
                <w:lang w:eastAsia="ro-RO"/>
              </w:rPr>
            </w:pPr>
            <w:r w:rsidRPr="00FE68AC">
              <w:rPr>
                <w:rFonts w:ascii="Calibri Light" w:hAnsi="Calibri Light" w:cs="Calibri Light"/>
                <w:color w:val="000000"/>
                <w:sz w:val="20"/>
                <w:lang w:eastAsia="ro-RO"/>
              </w:rPr>
              <w:t>Alte chel-tuieli</w:t>
            </w:r>
          </w:p>
        </w:tc>
        <w:tc>
          <w:tcPr>
            <w:tcW w:w="1414" w:type="dxa"/>
            <w:tcBorders>
              <w:top w:val="single" w:sz="8" w:space="0" w:color="auto"/>
              <w:left w:val="nil"/>
              <w:bottom w:val="single" w:sz="4" w:space="0" w:color="auto"/>
              <w:right w:val="single" w:sz="4" w:space="0" w:color="auto"/>
            </w:tcBorders>
            <w:shd w:val="clear" w:color="000000" w:fill="D9D9D9"/>
            <w:vAlign w:val="center"/>
            <w:hideMark/>
          </w:tcPr>
          <w:p w14:paraId="754C1670" w14:textId="77777777" w:rsidR="009D3C00" w:rsidRPr="00FE68AC" w:rsidRDefault="009D3C00" w:rsidP="00612067">
            <w:pPr>
              <w:jc w:val="center"/>
              <w:rPr>
                <w:rFonts w:ascii="Calibri Light" w:hAnsi="Calibri Light" w:cs="Calibri Light"/>
                <w:color w:val="000000"/>
                <w:sz w:val="20"/>
                <w:lang w:eastAsia="ro-RO"/>
              </w:rPr>
            </w:pPr>
            <w:r w:rsidRPr="00FE68AC">
              <w:rPr>
                <w:rFonts w:ascii="Calibri Light" w:hAnsi="Calibri Light" w:cs="Calibri Light"/>
                <w:color w:val="000000"/>
                <w:sz w:val="20"/>
                <w:lang w:eastAsia="ro-RO"/>
              </w:rPr>
              <w:t xml:space="preserve">Proiecte cu finanțate din sumele reprezentând asistență financiară </w:t>
            </w:r>
          </w:p>
        </w:tc>
        <w:tc>
          <w:tcPr>
            <w:tcW w:w="852" w:type="dxa"/>
            <w:tcBorders>
              <w:top w:val="single" w:sz="8" w:space="0" w:color="auto"/>
              <w:left w:val="nil"/>
              <w:bottom w:val="single" w:sz="4" w:space="0" w:color="auto"/>
              <w:right w:val="single" w:sz="8" w:space="0" w:color="auto"/>
            </w:tcBorders>
            <w:shd w:val="clear" w:color="000000" w:fill="D9D9D9"/>
            <w:vAlign w:val="center"/>
            <w:hideMark/>
          </w:tcPr>
          <w:p w14:paraId="0305CC70" w14:textId="77777777" w:rsidR="009D3C00" w:rsidRPr="00FE68AC" w:rsidRDefault="009D3C00" w:rsidP="00612067">
            <w:pPr>
              <w:jc w:val="center"/>
              <w:rPr>
                <w:rFonts w:ascii="Calibri Light" w:hAnsi="Calibri Light" w:cs="Calibri Light"/>
                <w:color w:val="000000"/>
                <w:sz w:val="20"/>
                <w:lang w:eastAsia="ro-RO"/>
              </w:rPr>
            </w:pPr>
            <w:r w:rsidRPr="00FE68AC">
              <w:rPr>
                <w:rFonts w:ascii="Calibri Light" w:hAnsi="Calibri Light" w:cs="Calibri Light"/>
                <w:color w:val="000000"/>
                <w:sz w:val="20"/>
                <w:lang w:eastAsia="ro-RO"/>
              </w:rPr>
              <w:t>Cheltu</w:t>
            </w:r>
            <w:r>
              <w:rPr>
                <w:rFonts w:ascii="Calibri Light" w:hAnsi="Calibri Light" w:cs="Calibri Light"/>
                <w:color w:val="000000"/>
                <w:sz w:val="20"/>
                <w:lang w:eastAsia="ro-RO"/>
              </w:rPr>
              <w:t>-</w:t>
            </w:r>
            <w:r w:rsidRPr="00FE68AC">
              <w:rPr>
                <w:rFonts w:ascii="Calibri Light" w:hAnsi="Calibri Light" w:cs="Calibri Light"/>
                <w:color w:val="000000"/>
                <w:sz w:val="20"/>
                <w:lang w:eastAsia="ro-RO"/>
              </w:rPr>
              <w:t>ieli de capital</w:t>
            </w:r>
          </w:p>
        </w:tc>
      </w:tr>
      <w:tr w:rsidR="007574BA" w:rsidRPr="007574BA" w14:paraId="40785D95" w14:textId="77777777" w:rsidTr="00894452">
        <w:trPr>
          <w:trHeight w:val="300"/>
          <w:jc w:val="center"/>
        </w:trPr>
        <w:tc>
          <w:tcPr>
            <w:tcW w:w="663" w:type="dxa"/>
            <w:tcBorders>
              <w:top w:val="nil"/>
              <w:left w:val="single" w:sz="8" w:space="0" w:color="auto"/>
              <w:bottom w:val="single" w:sz="4" w:space="0" w:color="auto"/>
              <w:right w:val="single" w:sz="4" w:space="0" w:color="auto"/>
            </w:tcBorders>
            <w:shd w:val="clear" w:color="auto" w:fill="auto"/>
            <w:noWrap/>
            <w:vAlign w:val="bottom"/>
            <w:hideMark/>
          </w:tcPr>
          <w:p w14:paraId="31AD85AC" w14:textId="77777777"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0"/>
                <w:lang w:eastAsia="ro-RO"/>
              </w:rPr>
              <w:t>2023</w:t>
            </w:r>
          </w:p>
        </w:tc>
        <w:tc>
          <w:tcPr>
            <w:tcW w:w="603" w:type="dxa"/>
            <w:tcBorders>
              <w:top w:val="nil"/>
              <w:left w:val="nil"/>
              <w:bottom w:val="single" w:sz="4" w:space="0" w:color="auto"/>
              <w:right w:val="single" w:sz="4" w:space="0" w:color="auto"/>
            </w:tcBorders>
            <w:shd w:val="clear" w:color="auto" w:fill="auto"/>
            <w:noWrap/>
            <w:vAlign w:val="bottom"/>
            <w:hideMark/>
          </w:tcPr>
          <w:p w14:paraId="68EDEDF3" w14:textId="77777777" w:rsidR="000C536E" w:rsidRPr="007574BA" w:rsidRDefault="000C536E" w:rsidP="000C536E">
            <w:pPr>
              <w:rPr>
                <w:rFonts w:ascii="Calibri Light" w:hAnsi="Calibri Light" w:cs="Calibri Light"/>
                <w:sz w:val="20"/>
                <w:lang w:eastAsia="ro-RO"/>
              </w:rPr>
            </w:pPr>
            <w:r w:rsidRPr="007574BA">
              <w:rPr>
                <w:rFonts w:ascii="Calibri Light" w:hAnsi="Calibri Light" w:cs="Calibri Light"/>
                <w:sz w:val="20"/>
                <w:lang w:eastAsia="ro-RO"/>
              </w:rPr>
              <w:t>CA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E74A6" w14:textId="5DFDB3DA" w:rsidR="000C536E" w:rsidRPr="007574BA" w:rsidRDefault="000C536E" w:rsidP="000C536E">
            <w:pPr>
              <w:ind w:left="-103"/>
              <w:jc w:val="right"/>
              <w:rPr>
                <w:rFonts w:ascii="Calibri Light" w:hAnsi="Calibri Light" w:cs="Calibri Light"/>
                <w:sz w:val="20"/>
                <w:lang w:eastAsia="ro-RO"/>
              </w:rPr>
            </w:pPr>
            <w:r w:rsidRPr="007574BA">
              <w:rPr>
                <w:rFonts w:ascii="Calibri Light" w:hAnsi="Calibri Light" w:cs="Calibri Light"/>
                <w:sz w:val="22"/>
                <w:szCs w:val="22"/>
              </w:rPr>
              <w:t>155 392</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D5DB0F7" w14:textId="6506CBE9"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101 092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E5AB118" w14:textId="60DC7A27"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8 038</w:t>
            </w:r>
          </w:p>
        </w:tc>
        <w:tc>
          <w:tcPr>
            <w:tcW w:w="769" w:type="dxa"/>
            <w:tcBorders>
              <w:top w:val="single" w:sz="4" w:space="0" w:color="auto"/>
              <w:left w:val="nil"/>
              <w:bottom w:val="single" w:sz="4" w:space="0" w:color="auto"/>
              <w:right w:val="single" w:sz="4" w:space="0" w:color="auto"/>
            </w:tcBorders>
            <w:shd w:val="clear" w:color="auto" w:fill="auto"/>
            <w:noWrap/>
            <w:vAlign w:val="bottom"/>
            <w:hideMark/>
          </w:tcPr>
          <w:p w14:paraId="7848DCDA" w14:textId="1303D4C9"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0</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1E4D9035" w14:textId="449B9E13"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26</w:t>
            </w:r>
          </w:p>
        </w:tc>
        <w:tc>
          <w:tcPr>
            <w:tcW w:w="776" w:type="dxa"/>
            <w:tcBorders>
              <w:top w:val="single" w:sz="4" w:space="0" w:color="auto"/>
              <w:left w:val="nil"/>
              <w:bottom w:val="single" w:sz="4" w:space="0" w:color="auto"/>
              <w:right w:val="single" w:sz="4" w:space="0" w:color="auto"/>
            </w:tcBorders>
            <w:shd w:val="clear" w:color="auto" w:fill="auto"/>
            <w:noWrap/>
            <w:vAlign w:val="bottom"/>
            <w:hideMark/>
          </w:tcPr>
          <w:p w14:paraId="20A20238" w14:textId="65E1FC6E"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0</w:t>
            </w:r>
          </w:p>
        </w:tc>
        <w:tc>
          <w:tcPr>
            <w:tcW w:w="1232" w:type="dxa"/>
            <w:tcBorders>
              <w:top w:val="single" w:sz="4" w:space="0" w:color="auto"/>
              <w:left w:val="nil"/>
              <w:bottom w:val="single" w:sz="4" w:space="0" w:color="auto"/>
              <w:right w:val="single" w:sz="4" w:space="0" w:color="auto"/>
            </w:tcBorders>
            <w:shd w:val="clear" w:color="auto" w:fill="auto"/>
            <w:noWrap/>
            <w:vAlign w:val="bottom"/>
            <w:hideMark/>
          </w:tcPr>
          <w:p w14:paraId="023BE455" w14:textId="2B05CEF6"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40 276</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4EB33704" w14:textId="1F606286"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1 903</w:t>
            </w:r>
          </w:p>
        </w:tc>
        <w:tc>
          <w:tcPr>
            <w:tcW w:w="1414" w:type="dxa"/>
            <w:tcBorders>
              <w:top w:val="single" w:sz="4" w:space="0" w:color="auto"/>
              <w:left w:val="nil"/>
              <w:bottom w:val="single" w:sz="4" w:space="0" w:color="auto"/>
              <w:right w:val="single" w:sz="4" w:space="0" w:color="auto"/>
            </w:tcBorders>
            <w:shd w:val="clear" w:color="auto" w:fill="auto"/>
            <w:noWrap/>
            <w:vAlign w:val="bottom"/>
            <w:hideMark/>
          </w:tcPr>
          <w:p w14:paraId="4C527FC1" w14:textId="3F616B4B"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3 927</w:t>
            </w:r>
          </w:p>
        </w:tc>
        <w:tc>
          <w:tcPr>
            <w:tcW w:w="852" w:type="dxa"/>
            <w:tcBorders>
              <w:top w:val="single" w:sz="4" w:space="0" w:color="auto"/>
              <w:left w:val="nil"/>
              <w:bottom w:val="single" w:sz="4" w:space="0" w:color="auto"/>
              <w:right w:val="single" w:sz="8" w:space="0" w:color="auto"/>
            </w:tcBorders>
            <w:shd w:val="clear" w:color="auto" w:fill="auto"/>
            <w:noWrap/>
            <w:vAlign w:val="bottom"/>
            <w:hideMark/>
          </w:tcPr>
          <w:p w14:paraId="13FBDDCA" w14:textId="0C8546D9"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130</w:t>
            </w:r>
          </w:p>
        </w:tc>
      </w:tr>
      <w:tr w:rsidR="007574BA" w:rsidRPr="007574BA" w14:paraId="7470ACEB" w14:textId="77777777" w:rsidTr="00894452">
        <w:trPr>
          <w:trHeight w:val="300"/>
          <w:jc w:val="center"/>
        </w:trPr>
        <w:tc>
          <w:tcPr>
            <w:tcW w:w="663" w:type="dxa"/>
            <w:tcBorders>
              <w:top w:val="nil"/>
              <w:left w:val="single" w:sz="8" w:space="0" w:color="auto"/>
              <w:bottom w:val="single" w:sz="4" w:space="0" w:color="auto"/>
              <w:right w:val="single" w:sz="4" w:space="0" w:color="auto"/>
            </w:tcBorders>
            <w:shd w:val="clear" w:color="auto" w:fill="auto"/>
            <w:noWrap/>
            <w:vAlign w:val="bottom"/>
            <w:hideMark/>
          </w:tcPr>
          <w:p w14:paraId="64AAF6BE" w14:textId="77777777"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0"/>
                <w:lang w:eastAsia="ro-RO"/>
              </w:rPr>
              <w:t>2023</w:t>
            </w:r>
          </w:p>
        </w:tc>
        <w:tc>
          <w:tcPr>
            <w:tcW w:w="603" w:type="dxa"/>
            <w:tcBorders>
              <w:top w:val="nil"/>
              <w:left w:val="nil"/>
              <w:bottom w:val="single" w:sz="4" w:space="0" w:color="auto"/>
              <w:right w:val="single" w:sz="4" w:space="0" w:color="auto"/>
            </w:tcBorders>
            <w:shd w:val="clear" w:color="auto" w:fill="auto"/>
            <w:noWrap/>
            <w:vAlign w:val="bottom"/>
            <w:hideMark/>
          </w:tcPr>
          <w:p w14:paraId="0DC8BA28" w14:textId="77777777" w:rsidR="000C536E" w:rsidRPr="007574BA" w:rsidRDefault="000C536E" w:rsidP="000C536E">
            <w:pPr>
              <w:rPr>
                <w:rFonts w:ascii="Calibri Light" w:hAnsi="Calibri Light" w:cs="Calibri Light"/>
                <w:sz w:val="20"/>
                <w:lang w:eastAsia="ro-RO"/>
              </w:rPr>
            </w:pPr>
            <w:r w:rsidRPr="007574BA">
              <w:rPr>
                <w:rFonts w:ascii="Calibri Light" w:hAnsi="Calibri Light" w:cs="Calibri Light"/>
                <w:sz w:val="20"/>
                <w:lang w:eastAsia="ro-RO"/>
              </w:rPr>
              <w:t>CB</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89A4FEB" w14:textId="2264AAAD" w:rsidR="000C536E" w:rsidRPr="007574BA" w:rsidRDefault="000C536E" w:rsidP="000C536E">
            <w:pPr>
              <w:ind w:left="-103"/>
              <w:jc w:val="right"/>
              <w:rPr>
                <w:rFonts w:ascii="Calibri Light" w:hAnsi="Calibri Light" w:cs="Calibri Light"/>
                <w:sz w:val="20"/>
                <w:lang w:eastAsia="ro-RO"/>
              </w:rPr>
            </w:pPr>
            <w:r w:rsidRPr="007574BA">
              <w:rPr>
                <w:rFonts w:ascii="Calibri Light" w:hAnsi="Calibri Light" w:cs="Calibri Light"/>
                <w:sz w:val="22"/>
                <w:szCs w:val="22"/>
              </w:rPr>
              <w:t>173 305</w:t>
            </w:r>
          </w:p>
        </w:tc>
        <w:tc>
          <w:tcPr>
            <w:tcW w:w="992" w:type="dxa"/>
            <w:tcBorders>
              <w:top w:val="nil"/>
              <w:left w:val="nil"/>
              <w:bottom w:val="single" w:sz="4" w:space="0" w:color="auto"/>
              <w:right w:val="single" w:sz="4" w:space="0" w:color="auto"/>
            </w:tcBorders>
            <w:shd w:val="clear" w:color="auto" w:fill="auto"/>
            <w:noWrap/>
            <w:vAlign w:val="bottom"/>
            <w:hideMark/>
          </w:tcPr>
          <w:p w14:paraId="02F8DDD7" w14:textId="6157E32E"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101 092</w:t>
            </w:r>
          </w:p>
        </w:tc>
        <w:tc>
          <w:tcPr>
            <w:tcW w:w="850" w:type="dxa"/>
            <w:tcBorders>
              <w:top w:val="nil"/>
              <w:left w:val="nil"/>
              <w:bottom w:val="single" w:sz="4" w:space="0" w:color="auto"/>
              <w:right w:val="single" w:sz="4" w:space="0" w:color="auto"/>
            </w:tcBorders>
            <w:shd w:val="clear" w:color="auto" w:fill="auto"/>
            <w:noWrap/>
            <w:vAlign w:val="bottom"/>
            <w:hideMark/>
          </w:tcPr>
          <w:p w14:paraId="20633110" w14:textId="0CBE3809"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8 038</w:t>
            </w:r>
          </w:p>
        </w:tc>
        <w:tc>
          <w:tcPr>
            <w:tcW w:w="769" w:type="dxa"/>
            <w:tcBorders>
              <w:top w:val="nil"/>
              <w:left w:val="nil"/>
              <w:bottom w:val="single" w:sz="4" w:space="0" w:color="auto"/>
              <w:right w:val="single" w:sz="4" w:space="0" w:color="auto"/>
            </w:tcBorders>
            <w:shd w:val="clear" w:color="auto" w:fill="auto"/>
            <w:noWrap/>
            <w:vAlign w:val="bottom"/>
            <w:hideMark/>
          </w:tcPr>
          <w:p w14:paraId="185DEFE2" w14:textId="403068DE"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0</w:t>
            </w:r>
          </w:p>
        </w:tc>
        <w:tc>
          <w:tcPr>
            <w:tcW w:w="767" w:type="dxa"/>
            <w:tcBorders>
              <w:top w:val="nil"/>
              <w:left w:val="nil"/>
              <w:bottom w:val="single" w:sz="4" w:space="0" w:color="auto"/>
              <w:right w:val="single" w:sz="4" w:space="0" w:color="auto"/>
            </w:tcBorders>
            <w:shd w:val="clear" w:color="auto" w:fill="auto"/>
            <w:noWrap/>
            <w:vAlign w:val="bottom"/>
            <w:hideMark/>
          </w:tcPr>
          <w:p w14:paraId="66C87D00" w14:textId="0BA5B78A"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26</w:t>
            </w:r>
          </w:p>
        </w:tc>
        <w:tc>
          <w:tcPr>
            <w:tcW w:w="776" w:type="dxa"/>
            <w:tcBorders>
              <w:top w:val="nil"/>
              <w:left w:val="nil"/>
              <w:bottom w:val="single" w:sz="4" w:space="0" w:color="auto"/>
              <w:right w:val="single" w:sz="4" w:space="0" w:color="auto"/>
            </w:tcBorders>
            <w:shd w:val="clear" w:color="auto" w:fill="auto"/>
            <w:noWrap/>
            <w:vAlign w:val="bottom"/>
            <w:hideMark/>
          </w:tcPr>
          <w:p w14:paraId="34706947" w14:textId="6EB4776E"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0</w:t>
            </w:r>
          </w:p>
        </w:tc>
        <w:tc>
          <w:tcPr>
            <w:tcW w:w="1232" w:type="dxa"/>
            <w:tcBorders>
              <w:top w:val="nil"/>
              <w:left w:val="nil"/>
              <w:bottom w:val="single" w:sz="4" w:space="0" w:color="auto"/>
              <w:right w:val="single" w:sz="4" w:space="0" w:color="auto"/>
            </w:tcBorders>
            <w:shd w:val="clear" w:color="auto" w:fill="auto"/>
            <w:noWrap/>
            <w:vAlign w:val="bottom"/>
            <w:hideMark/>
          </w:tcPr>
          <w:p w14:paraId="5783A16F" w14:textId="44C0A363"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60 167</w:t>
            </w:r>
          </w:p>
        </w:tc>
        <w:tc>
          <w:tcPr>
            <w:tcW w:w="759" w:type="dxa"/>
            <w:tcBorders>
              <w:top w:val="nil"/>
              <w:left w:val="nil"/>
              <w:bottom w:val="single" w:sz="4" w:space="0" w:color="auto"/>
              <w:right w:val="single" w:sz="4" w:space="0" w:color="auto"/>
            </w:tcBorders>
            <w:shd w:val="clear" w:color="auto" w:fill="auto"/>
            <w:noWrap/>
            <w:vAlign w:val="bottom"/>
            <w:hideMark/>
          </w:tcPr>
          <w:p w14:paraId="6FD4F497" w14:textId="5EA07777"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1 903</w:t>
            </w:r>
          </w:p>
        </w:tc>
        <w:tc>
          <w:tcPr>
            <w:tcW w:w="1414" w:type="dxa"/>
            <w:tcBorders>
              <w:top w:val="nil"/>
              <w:left w:val="nil"/>
              <w:bottom w:val="single" w:sz="4" w:space="0" w:color="auto"/>
              <w:right w:val="single" w:sz="4" w:space="0" w:color="auto"/>
            </w:tcBorders>
            <w:shd w:val="clear" w:color="auto" w:fill="auto"/>
            <w:noWrap/>
            <w:vAlign w:val="bottom"/>
            <w:hideMark/>
          </w:tcPr>
          <w:p w14:paraId="57B839D1" w14:textId="142C367E"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1 949</w:t>
            </w:r>
          </w:p>
        </w:tc>
        <w:tc>
          <w:tcPr>
            <w:tcW w:w="852" w:type="dxa"/>
            <w:tcBorders>
              <w:top w:val="nil"/>
              <w:left w:val="nil"/>
              <w:bottom w:val="single" w:sz="4" w:space="0" w:color="auto"/>
              <w:right w:val="single" w:sz="8" w:space="0" w:color="auto"/>
            </w:tcBorders>
            <w:shd w:val="clear" w:color="auto" w:fill="auto"/>
            <w:noWrap/>
            <w:vAlign w:val="bottom"/>
            <w:hideMark/>
          </w:tcPr>
          <w:p w14:paraId="518EF598" w14:textId="6C4478C5"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130</w:t>
            </w:r>
          </w:p>
        </w:tc>
      </w:tr>
      <w:tr w:rsidR="007574BA" w:rsidRPr="007574BA" w14:paraId="2A698EFE" w14:textId="77777777" w:rsidTr="00894452">
        <w:trPr>
          <w:trHeight w:val="300"/>
          <w:jc w:val="center"/>
        </w:trPr>
        <w:tc>
          <w:tcPr>
            <w:tcW w:w="663" w:type="dxa"/>
            <w:tcBorders>
              <w:top w:val="nil"/>
              <w:left w:val="single" w:sz="8" w:space="0" w:color="auto"/>
              <w:bottom w:val="single" w:sz="4" w:space="0" w:color="auto"/>
              <w:right w:val="single" w:sz="4" w:space="0" w:color="auto"/>
            </w:tcBorders>
            <w:shd w:val="clear" w:color="auto" w:fill="auto"/>
            <w:noWrap/>
            <w:vAlign w:val="bottom"/>
            <w:hideMark/>
          </w:tcPr>
          <w:p w14:paraId="21A6B85F" w14:textId="77777777"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0"/>
                <w:lang w:eastAsia="ro-RO"/>
              </w:rPr>
              <w:t>2024</w:t>
            </w:r>
          </w:p>
        </w:tc>
        <w:tc>
          <w:tcPr>
            <w:tcW w:w="603" w:type="dxa"/>
            <w:tcBorders>
              <w:top w:val="nil"/>
              <w:left w:val="nil"/>
              <w:bottom w:val="single" w:sz="4" w:space="0" w:color="auto"/>
              <w:right w:val="single" w:sz="4" w:space="0" w:color="auto"/>
            </w:tcBorders>
            <w:shd w:val="clear" w:color="auto" w:fill="auto"/>
            <w:noWrap/>
            <w:vAlign w:val="bottom"/>
            <w:hideMark/>
          </w:tcPr>
          <w:p w14:paraId="13FBD7E0" w14:textId="77777777" w:rsidR="000C536E" w:rsidRPr="007574BA" w:rsidRDefault="000C536E" w:rsidP="000C536E">
            <w:pPr>
              <w:rPr>
                <w:rFonts w:ascii="Calibri Light" w:hAnsi="Calibri Light" w:cs="Calibri Light"/>
                <w:sz w:val="20"/>
                <w:lang w:eastAsia="ro-RO"/>
              </w:rPr>
            </w:pPr>
            <w:r w:rsidRPr="007574BA">
              <w:rPr>
                <w:rFonts w:ascii="Calibri Light" w:hAnsi="Calibri Light" w:cs="Calibri Light"/>
                <w:sz w:val="20"/>
                <w:lang w:eastAsia="ro-RO"/>
              </w:rPr>
              <w:t>CA</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F956B2A" w14:textId="5E563017" w:rsidR="000C536E" w:rsidRPr="007574BA" w:rsidRDefault="000C536E" w:rsidP="000C536E">
            <w:pPr>
              <w:ind w:left="-103"/>
              <w:jc w:val="right"/>
              <w:rPr>
                <w:rFonts w:ascii="Calibri Light" w:hAnsi="Calibri Light" w:cs="Calibri Light"/>
                <w:sz w:val="20"/>
                <w:lang w:eastAsia="ro-RO"/>
              </w:rPr>
            </w:pPr>
            <w:r w:rsidRPr="007574BA">
              <w:rPr>
                <w:rFonts w:ascii="Calibri Light" w:hAnsi="Calibri Light" w:cs="Calibri Light"/>
                <w:sz w:val="22"/>
                <w:szCs w:val="22"/>
              </w:rPr>
              <w:t>143 169</w:t>
            </w:r>
          </w:p>
        </w:tc>
        <w:tc>
          <w:tcPr>
            <w:tcW w:w="992" w:type="dxa"/>
            <w:tcBorders>
              <w:top w:val="nil"/>
              <w:left w:val="nil"/>
              <w:bottom w:val="single" w:sz="4" w:space="0" w:color="auto"/>
              <w:right w:val="single" w:sz="4" w:space="0" w:color="auto"/>
            </w:tcBorders>
            <w:shd w:val="clear" w:color="auto" w:fill="auto"/>
            <w:noWrap/>
            <w:vAlign w:val="bottom"/>
            <w:hideMark/>
          </w:tcPr>
          <w:p w14:paraId="623D0C56" w14:textId="5FF8E999"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127 172</w:t>
            </w:r>
          </w:p>
        </w:tc>
        <w:tc>
          <w:tcPr>
            <w:tcW w:w="850" w:type="dxa"/>
            <w:tcBorders>
              <w:top w:val="nil"/>
              <w:left w:val="nil"/>
              <w:bottom w:val="single" w:sz="4" w:space="0" w:color="auto"/>
              <w:right w:val="single" w:sz="4" w:space="0" w:color="auto"/>
            </w:tcBorders>
            <w:shd w:val="clear" w:color="auto" w:fill="auto"/>
            <w:noWrap/>
            <w:vAlign w:val="bottom"/>
            <w:hideMark/>
          </w:tcPr>
          <w:p w14:paraId="5B0F3687" w14:textId="40F1252B"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10 581</w:t>
            </w:r>
          </w:p>
        </w:tc>
        <w:tc>
          <w:tcPr>
            <w:tcW w:w="769" w:type="dxa"/>
            <w:tcBorders>
              <w:top w:val="nil"/>
              <w:left w:val="nil"/>
              <w:bottom w:val="single" w:sz="4" w:space="0" w:color="auto"/>
              <w:right w:val="single" w:sz="4" w:space="0" w:color="auto"/>
            </w:tcBorders>
            <w:shd w:val="clear" w:color="auto" w:fill="auto"/>
            <w:noWrap/>
            <w:vAlign w:val="bottom"/>
            <w:hideMark/>
          </w:tcPr>
          <w:p w14:paraId="71ABB979" w14:textId="6D23A0F8"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0</w:t>
            </w:r>
          </w:p>
        </w:tc>
        <w:tc>
          <w:tcPr>
            <w:tcW w:w="767" w:type="dxa"/>
            <w:tcBorders>
              <w:top w:val="nil"/>
              <w:left w:val="nil"/>
              <w:bottom w:val="single" w:sz="4" w:space="0" w:color="auto"/>
              <w:right w:val="single" w:sz="4" w:space="0" w:color="auto"/>
            </w:tcBorders>
            <w:shd w:val="clear" w:color="auto" w:fill="auto"/>
            <w:noWrap/>
            <w:vAlign w:val="bottom"/>
            <w:hideMark/>
          </w:tcPr>
          <w:p w14:paraId="63F74E64" w14:textId="4C6C99F1"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67</w:t>
            </w:r>
          </w:p>
        </w:tc>
        <w:tc>
          <w:tcPr>
            <w:tcW w:w="776" w:type="dxa"/>
            <w:tcBorders>
              <w:top w:val="nil"/>
              <w:left w:val="nil"/>
              <w:bottom w:val="single" w:sz="4" w:space="0" w:color="auto"/>
              <w:right w:val="single" w:sz="4" w:space="0" w:color="auto"/>
            </w:tcBorders>
            <w:shd w:val="clear" w:color="auto" w:fill="auto"/>
            <w:noWrap/>
            <w:vAlign w:val="bottom"/>
            <w:hideMark/>
          </w:tcPr>
          <w:p w14:paraId="218740D9" w14:textId="179D34EC"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35</w:t>
            </w:r>
          </w:p>
        </w:tc>
        <w:tc>
          <w:tcPr>
            <w:tcW w:w="1232" w:type="dxa"/>
            <w:tcBorders>
              <w:top w:val="nil"/>
              <w:left w:val="nil"/>
              <w:bottom w:val="single" w:sz="4" w:space="0" w:color="auto"/>
              <w:right w:val="single" w:sz="4" w:space="0" w:color="auto"/>
            </w:tcBorders>
            <w:shd w:val="clear" w:color="auto" w:fill="auto"/>
            <w:noWrap/>
            <w:vAlign w:val="bottom"/>
            <w:hideMark/>
          </w:tcPr>
          <w:p w14:paraId="5CCF9B99" w14:textId="06A60A7B"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2 856</w:t>
            </w:r>
          </w:p>
        </w:tc>
        <w:tc>
          <w:tcPr>
            <w:tcW w:w="759" w:type="dxa"/>
            <w:tcBorders>
              <w:top w:val="nil"/>
              <w:left w:val="nil"/>
              <w:bottom w:val="single" w:sz="4" w:space="0" w:color="auto"/>
              <w:right w:val="single" w:sz="4" w:space="0" w:color="auto"/>
            </w:tcBorders>
            <w:shd w:val="clear" w:color="auto" w:fill="auto"/>
            <w:noWrap/>
            <w:vAlign w:val="bottom"/>
            <w:hideMark/>
          </w:tcPr>
          <w:p w14:paraId="23912376" w14:textId="55AA4789"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557</w:t>
            </w:r>
          </w:p>
        </w:tc>
        <w:tc>
          <w:tcPr>
            <w:tcW w:w="1414" w:type="dxa"/>
            <w:tcBorders>
              <w:top w:val="nil"/>
              <w:left w:val="nil"/>
              <w:bottom w:val="single" w:sz="4" w:space="0" w:color="auto"/>
              <w:right w:val="single" w:sz="4" w:space="0" w:color="auto"/>
            </w:tcBorders>
            <w:shd w:val="clear" w:color="auto" w:fill="auto"/>
            <w:noWrap/>
            <w:vAlign w:val="bottom"/>
            <w:hideMark/>
          </w:tcPr>
          <w:p w14:paraId="120A2868" w14:textId="5D11EAFB"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658</w:t>
            </w:r>
          </w:p>
        </w:tc>
        <w:tc>
          <w:tcPr>
            <w:tcW w:w="852" w:type="dxa"/>
            <w:tcBorders>
              <w:top w:val="nil"/>
              <w:left w:val="nil"/>
              <w:bottom w:val="single" w:sz="4" w:space="0" w:color="auto"/>
              <w:right w:val="single" w:sz="8" w:space="0" w:color="auto"/>
            </w:tcBorders>
            <w:shd w:val="clear" w:color="auto" w:fill="auto"/>
            <w:noWrap/>
            <w:vAlign w:val="bottom"/>
            <w:hideMark/>
          </w:tcPr>
          <w:p w14:paraId="2ABCDCA6" w14:textId="5DFF2B62"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1 243</w:t>
            </w:r>
          </w:p>
        </w:tc>
      </w:tr>
      <w:tr w:rsidR="007574BA" w:rsidRPr="007574BA" w14:paraId="11997052" w14:textId="77777777" w:rsidTr="00894452">
        <w:trPr>
          <w:trHeight w:val="300"/>
          <w:jc w:val="center"/>
        </w:trPr>
        <w:tc>
          <w:tcPr>
            <w:tcW w:w="663" w:type="dxa"/>
            <w:tcBorders>
              <w:top w:val="nil"/>
              <w:left w:val="single" w:sz="8" w:space="0" w:color="auto"/>
              <w:bottom w:val="single" w:sz="4" w:space="0" w:color="auto"/>
              <w:right w:val="single" w:sz="4" w:space="0" w:color="auto"/>
            </w:tcBorders>
            <w:shd w:val="clear" w:color="auto" w:fill="auto"/>
            <w:noWrap/>
            <w:vAlign w:val="bottom"/>
            <w:hideMark/>
          </w:tcPr>
          <w:p w14:paraId="2E9F7314" w14:textId="77777777"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0"/>
                <w:lang w:eastAsia="ro-RO"/>
              </w:rPr>
              <w:t>2024</w:t>
            </w:r>
          </w:p>
        </w:tc>
        <w:tc>
          <w:tcPr>
            <w:tcW w:w="603" w:type="dxa"/>
            <w:tcBorders>
              <w:top w:val="nil"/>
              <w:left w:val="nil"/>
              <w:bottom w:val="single" w:sz="4" w:space="0" w:color="auto"/>
              <w:right w:val="single" w:sz="4" w:space="0" w:color="auto"/>
            </w:tcBorders>
            <w:shd w:val="clear" w:color="auto" w:fill="auto"/>
            <w:noWrap/>
            <w:vAlign w:val="bottom"/>
            <w:hideMark/>
          </w:tcPr>
          <w:p w14:paraId="360E80B6" w14:textId="77777777" w:rsidR="000C536E" w:rsidRPr="007574BA" w:rsidRDefault="000C536E" w:rsidP="000C536E">
            <w:pPr>
              <w:rPr>
                <w:rFonts w:ascii="Calibri Light" w:hAnsi="Calibri Light" w:cs="Calibri Light"/>
                <w:sz w:val="20"/>
                <w:lang w:eastAsia="ro-RO"/>
              </w:rPr>
            </w:pPr>
            <w:r w:rsidRPr="007574BA">
              <w:rPr>
                <w:rFonts w:ascii="Calibri Light" w:hAnsi="Calibri Light" w:cs="Calibri Light"/>
                <w:sz w:val="20"/>
                <w:lang w:eastAsia="ro-RO"/>
              </w:rPr>
              <w:t>CB</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56C93AA" w14:textId="4FC2E644" w:rsidR="000C536E" w:rsidRPr="007574BA" w:rsidRDefault="000C536E" w:rsidP="000C536E">
            <w:pPr>
              <w:ind w:left="-103"/>
              <w:jc w:val="right"/>
              <w:rPr>
                <w:rFonts w:ascii="Calibri Light" w:hAnsi="Calibri Light" w:cs="Calibri Light"/>
                <w:sz w:val="20"/>
                <w:lang w:eastAsia="ro-RO"/>
              </w:rPr>
            </w:pPr>
            <w:r w:rsidRPr="007574BA">
              <w:rPr>
                <w:rFonts w:ascii="Calibri Light" w:hAnsi="Calibri Light" w:cs="Calibri Light"/>
                <w:sz w:val="22"/>
                <w:szCs w:val="22"/>
              </w:rPr>
              <w:t>143 009</w:t>
            </w:r>
          </w:p>
        </w:tc>
        <w:tc>
          <w:tcPr>
            <w:tcW w:w="992" w:type="dxa"/>
            <w:tcBorders>
              <w:top w:val="nil"/>
              <w:left w:val="nil"/>
              <w:bottom w:val="single" w:sz="4" w:space="0" w:color="auto"/>
              <w:right w:val="single" w:sz="4" w:space="0" w:color="auto"/>
            </w:tcBorders>
            <w:shd w:val="clear" w:color="auto" w:fill="auto"/>
            <w:noWrap/>
            <w:vAlign w:val="bottom"/>
            <w:hideMark/>
          </w:tcPr>
          <w:p w14:paraId="1169E0E3" w14:textId="7B8341A8"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127 172</w:t>
            </w:r>
          </w:p>
        </w:tc>
        <w:tc>
          <w:tcPr>
            <w:tcW w:w="850" w:type="dxa"/>
            <w:tcBorders>
              <w:top w:val="nil"/>
              <w:left w:val="nil"/>
              <w:bottom w:val="single" w:sz="4" w:space="0" w:color="auto"/>
              <w:right w:val="single" w:sz="4" w:space="0" w:color="auto"/>
            </w:tcBorders>
            <w:shd w:val="clear" w:color="auto" w:fill="auto"/>
            <w:noWrap/>
            <w:vAlign w:val="bottom"/>
            <w:hideMark/>
          </w:tcPr>
          <w:p w14:paraId="25E52F2C" w14:textId="02096FEC"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10 421</w:t>
            </w:r>
          </w:p>
        </w:tc>
        <w:tc>
          <w:tcPr>
            <w:tcW w:w="769" w:type="dxa"/>
            <w:tcBorders>
              <w:top w:val="nil"/>
              <w:left w:val="nil"/>
              <w:bottom w:val="single" w:sz="4" w:space="0" w:color="auto"/>
              <w:right w:val="single" w:sz="4" w:space="0" w:color="auto"/>
            </w:tcBorders>
            <w:shd w:val="clear" w:color="auto" w:fill="auto"/>
            <w:noWrap/>
            <w:vAlign w:val="bottom"/>
            <w:hideMark/>
          </w:tcPr>
          <w:p w14:paraId="644F6221" w14:textId="7FC27968"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0</w:t>
            </w:r>
          </w:p>
        </w:tc>
        <w:tc>
          <w:tcPr>
            <w:tcW w:w="767" w:type="dxa"/>
            <w:tcBorders>
              <w:top w:val="nil"/>
              <w:left w:val="nil"/>
              <w:bottom w:val="single" w:sz="4" w:space="0" w:color="auto"/>
              <w:right w:val="single" w:sz="4" w:space="0" w:color="auto"/>
            </w:tcBorders>
            <w:shd w:val="clear" w:color="auto" w:fill="auto"/>
            <w:noWrap/>
            <w:vAlign w:val="bottom"/>
            <w:hideMark/>
          </w:tcPr>
          <w:p w14:paraId="54748033" w14:textId="5ED23F2F"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67</w:t>
            </w:r>
          </w:p>
        </w:tc>
        <w:tc>
          <w:tcPr>
            <w:tcW w:w="776" w:type="dxa"/>
            <w:tcBorders>
              <w:top w:val="nil"/>
              <w:left w:val="nil"/>
              <w:bottom w:val="single" w:sz="4" w:space="0" w:color="auto"/>
              <w:right w:val="single" w:sz="4" w:space="0" w:color="auto"/>
            </w:tcBorders>
            <w:shd w:val="clear" w:color="auto" w:fill="auto"/>
            <w:noWrap/>
            <w:vAlign w:val="bottom"/>
            <w:hideMark/>
          </w:tcPr>
          <w:p w14:paraId="14671A2B" w14:textId="135C3C39"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35</w:t>
            </w:r>
          </w:p>
        </w:tc>
        <w:tc>
          <w:tcPr>
            <w:tcW w:w="1232" w:type="dxa"/>
            <w:tcBorders>
              <w:top w:val="nil"/>
              <w:left w:val="nil"/>
              <w:bottom w:val="single" w:sz="4" w:space="0" w:color="auto"/>
              <w:right w:val="single" w:sz="4" w:space="0" w:color="auto"/>
            </w:tcBorders>
            <w:shd w:val="clear" w:color="auto" w:fill="auto"/>
            <w:noWrap/>
            <w:vAlign w:val="bottom"/>
            <w:hideMark/>
          </w:tcPr>
          <w:p w14:paraId="52639DD7" w14:textId="2B823E8C"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2 856</w:t>
            </w:r>
          </w:p>
        </w:tc>
        <w:tc>
          <w:tcPr>
            <w:tcW w:w="759" w:type="dxa"/>
            <w:tcBorders>
              <w:top w:val="nil"/>
              <w:left w:val="nil"/>
              <w:bottom w:val="single" w:sz="4" w:space="0" w:color="auto"/>
              <w:right w:val="single" w:sz="4" w:space="0" w:color="auto"/>
            </w:tcBorders>
            <w:shd w:val="clear" w:color="auto" w:fill="auto"/>
            <w:noWrap/>
            <w:vAlign w:val="bottom"/>
            <w:hideMark/>
          </w:tcPr>
          <w:p w14:paraId="52AB201D" w14:textId="0A942903"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557</w:t>
            </w:r>
          </w:p>
        </w:tc>
        <w:tc>
          <w:tcPr>
            <w:tcW w:w="1414" w:type="dxa"/>
            <w:tcBorders>
              <w:top w:val="nil"/>
              <w:left w:val="nil"/>
              <w:bottom w:val="single" w:sz="4" w:space="0" w:color="auto"/>
              <w:right w:val="single" w:sz="4" w:space="0" w:color="auto"/>
            </w:tcBorders>
            <w:shd w:val="clear" w:color="auto" w:fill="auto"/>
            <w:noWrap/>
            <w:vAlign w:val="bottom"/>
            <w:hideMark/>
          </w:tcPr>
          <w:p w14:paraId="09FBDEAB" w14:textId="28DBFA39"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658</w:t>
            </w:r>
          </w:p>
        </w:tc>
        <w:tc>
          <w:tcPr>
            <w:tcW w:w="852" w:type="dxa"/>
            <w:tcBorders>
              <w:top w:val="nil"/>
              <w:left w:val="nil"/>
              <w:bottom w:val="single" w:sz="4" w:space="0" w:color="auto"/>
              <w:right w:val="single" w:sz="8" w:space="0" w:color="auto"/>
            </w:tcBorders>
            <w:shd w:val="clear" w:color="auto" w:fill="auto"/>
            <w:noWrap/>
            <w:vAlign w:val="bottom"/>
            <w:hideMark/>
          </w:tcPr>
          <w:p w14:paraId="1E99E957" w14:textId="1D4295FD"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1 243</w:t>
            </w:r>
          </w:p>
        </w:tc>
      </w:tr>
      <w:tr w:rsidR="007574BA" w:rsidRPr="007574BA" w14:paraId="32931870" w14:textId="77777777" w:rsidTr="00894452">
        <w:trPr>
          <w:trHeight w:val="300"/>
          <w:jc w:val="center"/>
        </w:trPr>
        <w:tc>
          <w:tcPr>
            <w:tcW w:w="663" w:type="dxa"/>
            <w:tcBorders>
              <w:top w:val="nil"/>
              <w:left w:val="single" w:sz="8" w:space="0" w:color="auto"/>
              <w:bottom w:val="single" w:sz="4" w:space="0" w:color="auto"/>
              <w:right w:val="single" w:sz="4" w:space="0" w:color="auto"/>
            </w:tcBorders>
            <w:shd w:val="clear" w:color="auto" w:fill="auto"/>
            <w:noWrap/>
            <w:vAlign w:val="bottom"/>
            <w:hideMark/>
          </w:tcPr>
          <w:p w14:paraId="4676B8BB" w14:textId="77777777"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0"/>
                <w:lang w:eastAsia="ro-RO"/>
              </w:rPr>
              <w:t>2025</w:t>
            </w:r>
          </w:p>
        </w:tc>
        <w:tc>
          <w:tcPr>
            <w:tcW w:w="603" w:type="dxa"/>
            <w:tcBorders>
              <w:top w:val="nil"/>
              <w:left w:val="nil"/>
              <w:bottom w:val="single" w:sz="4" w:space="0" w:color="auto"/>
              <w:right w:val="single" w:sz="4" w:space="0" w:color="auto"/>
            </w:tcBorders>
            <w:shd w:val="clear" w:color="auto" w:fill="auto"/>
            <w:noWrap/>
            <w:vAlign w:val="bottom"/>
            <w:hideMark/>
          </w:tcPr>
          <w:p w14:paraId="5399A796" w14:textId="77777777" w:rsidR="000C536E" w:rsidRPr="007574BA" w:rsidRDefault="000C536E" w:rsidP="000C536E">
            <w:pPr>
              <w:rPr>
                <w:rFonts w:ascii="Calibri Light" w:hAnsi="Calibri Light" w:cs="Calibri Light"/>
                <w:sz w:val="20"/>
                <w:lang w:eastAsia="ro-RO"/>
              </w:rPr>
            </w:pPr>
            <w:r w:rsidRPr="007574BA">
              <w:rPr>
                <w:rFonts w:ascii="Calibri Light" w:hAnsi="Calibri Light" w:cs="Calibri Light"/>
                <w:sz w:val="20"/>
                <w:lang w:eastAsia="ro-RO"/>
              </w:rPr>
              <w:t>CA</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8BF1489" w14:textId="4C8D6834" w:rsidR="000C536E" w:rsidRPr="007574BA" w:rsidRDefault="000C536E" w:rsidP="000C536E">
            <w:pPr>
              <w:ind w:left="-103"/>
              <w:jc w:val="right"/>
              <w:rPr>
                <w:rFonts w:ascii="Calibri Light" w:hAnsi="Calibri Light" w:cs="Calibri Light"/>
                <w:sz w:val="20"/>
                <w:lang w:eastAsia="ro-RO"/>
              </w:rPr>
            </w:pPr>
            <w:r w:rsidRPr="007574BA">
              <w:rPr>
                <w:rFonts w:ascii="Calibri Light" w:hAnsi="Calibri Light" w:cs="Calibri Light"/>
                <w:sz w:val="22"/>
                <w:szCs w:val="22"/>
              </w:rPr>
              <w:t>171 913</w:t>
            </w:r>
          </w:p>
        </w:tc>
        <w:tc>
          <w:tcPr>
            <w:tcW w:w="992" w:type="dxa"/>
            <w:tcBorders>
              <w:top w:val="nil"/>
              <w:left w:val="nil"/>
              <w:bottom w:val="single" w:sz="4" w:space="0" w:color="auto"/>
              <w:right w:val="single" w:sz="4" w:space="0" w:color="auto"/>
            </w:tcBorders>
            <w:shd w:val="clear" w:color="auto" w:fill="auto"/>
            <w:noWrap/>
            <w:vAlign w:val="bottom"/>
            <w:hideMark/>
          </w:tcPr>
          <w:p w14:paraId="6583ACF3" w14:textId="1D8C740D"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148 661</w:t>
            </w:r>
          </w:p>
        </w:tc>
        <w:tc>
          <w:tcPr>
            <w:tcW w:w="850" w:type="dxa"/>
            <w:tcBorders>
              <w:top w:val="nil"/>
              <w:left w:val="nil"/>
              <w:bottom w:val="single" w:sz="4" w:space="0" w:color="auto"/>
              <w:right w:val="single" w:sz="4" w:space="0" w:color="auto"/>
            </w:tcBorders>
            <w:shd w:val="clear" w:color="auto" w:fill="auto"/>
            <w:noWrap/>
            <w:vAlign w:val="bottom"/>
            <w:hideMark/>
          </w:tcPr>
          <w:p w14:paraId="078ED6AC" w14:textId="116DE4BB"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15 332</w:t>
            </w:r>
          </w:p>
        </w:tc>
        <w:tc>
          <w:tcPr>
            <w:tcW w:w="769" w:type="dxa"/>
            <w:tcBorders>
              <w:top w:val="nil"/>
              <w:left w:val="nil"/>
              <w:bottom w:val="single" w:sz="4" w:space="0" w:color="auto"/>
              <w:right w:val="single" w:sz="4" w:space="0" w:color="auto"/>
            </w:tcBorders>
            <w:shd w:val="clear" w:color="auto" w:fill="auto"/>
            <w:noWrap/>
            <w:vAlign w:val="bottom"/>
            <w:hideMark/>
          </w:tcPr>
          <w:p w14:paraId="0DCE49A6" w14:textId="7252B74B"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0</w:t>
            </w:r>
          </w:p>
        </w:tc>
        <w:tc>
          <w:tcPr>
            <w:tcW w:w="767" w:type="dxa"/>
            <w:tcBorders>
              <w:top w:val="nil"/>
              <w:left w:val="nil"/>
              <w:bottom w:val="single" w:sz="4" w:space="0" w:color="auto"/>
              <w:right w:val="single" w:sz="4" w:space="0" w:color="auto"/>
            </w:tcBorders>
            <w:shd w:val="clear" w:color="auto" w:fill="auto"/>
            <w:noWrap/>
            <w:vAlign w:val="bottom"/>
            <w:hideMark/>
          </w:tcPr>
          <w:p w14:paraId="3DEC0B85" w14:textId="69969F0E"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60</w:t>
            </w:r>
          </w:p>
        </w:tc>
        <w:tc>
          <w:tcPr>
            <w:tcW w:w="776" w:type="dxa"/>
            <w:tcBorders>
              <w:top w:val="nil"/>
              <w:left w:val="nil"/>
              <w:bottom w:val="single" w:sz="4" w:space="0" w:color="auto"/>
              <w:right w:val="single" w:sz="4" w:space="0" w:color="auto"/>
            </w:tcBorders>
            <w:shd w:val="clear" w:color="auto" w:fill="auto"/>
            <w:noWrap/>
            <w:vAlign w:val="bottom"/>
            <w:hideMark/>
          </w:tcPr>
          <w:p w14:paraId="2382B939" w14:textId="67C7C1E0"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4 639</w:t>
            </w:r>
          </w:p>
        </w:tc>
        <w:tc>
          <w:tcPr>
            <w:tcW w:w="1232" w:type="dxa"/>
            <w:tcBorders>
              <w:top w:val="nil"/>
              <w:left w:val="nil"/>
              <w:bottom w:val="single" w:sz="4" w:space="0" w:color="auto"/>
              <w:right w:val="single" w:sz="4" w:space="0" w:color="auto"/>
            </w:tcBorders>
            <w:shd w:val="clear" w:color="auto" w:fill="auto"/>
            <w:noWrap/>
            <w:vAlign w:val="bottom"/>
            <w:hideMark/>
          </w:tcPr>
          <w:p w14:paraId="69087341" w14:textId="53751429"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305</w:t>
            </w:r>
          </w:p>
        </w:tc>
        <w:tc>
          <w:tcPr>
            <w:tcW w:w="759" w:type="dxa"/>
            <w:tcBorders>
              <w:top w:val="nil"/>
              <w:left w:val="nil"/>
              <w:bottom w:val="single" w:sz="4" w:space="0" w:color="auto"/>
              <w:right w:val="single" w:sz="4" w:space="0" w:color="auto"/>
            </w:tcBorders>
            <w:shd w:val="clear" w:color="auto" w:fill="auto"/>
            <w:noWrap/>
            <w:vAlign w:val="bottom"/>
            <w:hideMark/>
          </w:tcPr>
          <w:p w14:paraId="043A839F" w14:textId="25F83206"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922</w:t>
            </w:r>
          </w:p>
        </w:tc>
        <w:tc>
          <w:tcPr>
            <w:tcW w:w="1414" w:type="dxa"/>
            <w:tcBorders>
              <w:top w:val="nil"/>
              <w:left w:val="nil"/>
              <w:bottom w:val="single" w:sz="4" w:space="0" w:color="auto"/>
              <w:right w:val="single" w:sz="4" w:space="0" w:color="auto"/>
            </w:tcBorders>
            <w:shd w:val="clear" w:color="auto" w:fill="auto"/>
            <w:noWrap/>
            <w:vAlign w:val="bottom"/>
            <w:hideMark/>
          </w:tcPr>
          <w:p w14:paraId="53D819AA" w14:textId="4EDAD299"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754</w:t>
            </w:r>
          </w:p>
        </w:tc>
        <w:tc>
          <w:tcPr>
            <w:tcW w:w="852" w:type="dxa"/>
            <w:tcBorders>
              <w:top w:val="nil"/>
              <w:left w:val="nil"/>
              <w:bottom w:val="single" w:sz="4" w:space="0" w:color="auto"/>
              <w:right w:val="single" w:sz="8" w:space="0" w:color="auto"/>
            </w:tcBorders>
            <w:shd w:val="clear" w:color="auto" w:fill="auto"/>
            <w:noWrap/>
            <w:vAlign w:val="bottom"/>
            <w:hideMark/>
          </w:tcPr>
          <w:p w14:paraId="245D83B9" w14:textId="6DDAD2BF"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1 240</w:t>
            </w:r>
          </w:p>
        </w:tc>
      </w:tr>
      <w:tr w:rsidR="007574BA" w:rsidRPr="007574BA" w14:paraId="0FD582AC" w14:textId="77777777" w:rsidTr="00894452">
        <w:trPr>
          <w:trHeight w:val="315"/>
          <w:jc w:val="center"/>
        </w:trPr>
        <w:tc>
          <w:tcPr>
            <w:tcW w:w="663" w:type="dxa"/>
            <w:tcBorders>
              <w:top w:val="nil"/>
              <w:left w:val="single" w:sz="8" w:space="0" w:color="auto"/>
              <w:bottom w:val="single" w:sz="8" w:space="0" w:color="auto"/>
              <w:right w:val="single" w:sz="4" w:space="0" w:color="auto"/>
            </w:tcBorders>
            <w:shd w:val="clear" w:color="auto" w:fill="auto"/>
            <w:noWrap/>
            <w:vAlign w:val="bottom"/>
            <w:hideMark/>
          </w:tcPr>
          <w:p w14:paraId="501D5E6C" w14:textId="77777777"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0"/>
                <w:lang w:eastAsia="ro-RO"/>
              </w:rPr>
              <w:t>2025</w:t>
            </w:r>
          </w:p>
        </w:tc>
        <w:tc>
          <w:tcPr>
            <w:tcW w:w="603" w:type="dxa"/>
            <w:tcBorders>
              <w:top w:val="nil"/>
              <w:left w:val="nil"/>
              <w:bottom w:val="single" w:sz="8" w:space="0" w:color="auto"/>
              <w:right w:val="single" w:sz="4" w:space="0" w:color="auto"/>
            </w:tcBorders>
            <w:shd w:val="clear" w:color="auto" w:fill="auto"/>
            <w:noWrap/>
            <w:vAlign w:val="bottom"/>
            <w:hideMark/>
          </w:tcPr>
          <w:p w14:paraId="11BC37FE" w14:textId="77777777" w:rsidR="000C536E" w:rsidRPr="007574BA" w:rsidRDefault="000C536E" w:rsidP="000C536E">
            <w:pPr>
              <w:rPr>
                <w:rFonts w:ascii="Calibri Light" w:hAnsi="Calibri Light" w:cs="Calibri Light"/>
                <w:sz w:val="20"/>
                <w:lang w:eastAsia="ro-RO"/>
              </w:rPr>
            </w:pPr>
            <w:r w:rsidRPr="007574BA">
              <w:rPr>
                <w:rFonts w:ascii="Calibri Light" w:hAnsi="Calibri Light" w:cs="Calibri Light"/>
                <w:sz w:val="20"/>
                <w:lang w:eastAsia="ro-RO"/>
              </w:rPr>
              <w:t>CB</w:t>
            </w:r>
          </w:p>
        </w:tc>
        <w:tc>
          <w:tcPr>
            <w:tcW w:w="851" w:type="dxa"/>
            <w:tcBorders>
              <w:top w:val="nil"/>
              <w:left w:val="single" w:sz="4" w:space="0" w:color="auto"/>
              <w:bottom w:val="single" w:sz="8" w:space="0" w:color="auto"/>
              <w:right w:val="single" w:sz="4" w:space="0" w:color="auto"/>
            </w:tcBorders>
            <w:shd w:val="clear" w:color="auto" w:fill="auto"/>
            <w:noWrap/>
            <w:vAlign w:val="bottom"/>
            <w:hideMark/>
          </w:tcPr>
          <w:p w14:paraId="7CBCCE2E" w14:textId="1F6DBD5E" w:rsidR="000C536E" w:rsidRPr="007574BA" w:rsidRDefault="000C536E" w:rsidP="000C536E">
            <w:pPr>
              <w:ind w:left="-103"/>
              <w:jc w:val="right"/>
              <w:rPr>
                <w:rFonts w:ascii="Calibri Light" w:hAnsi="Calibri Light" w:cs="Calibri Light"/>
                <w:sz w:val="20"/>
                <w:lang w:eastAsia="ro-RO"/>
              </w:rPr>
            </w:pPr>
            <w:r w:rsidRPr="007574BA">
              <w:rPr>
                <w:rFonts w:ascii="Calibri Light" w:hAnsi="Calibri Light" w:cs="Calibri Light"/>
                <w:sz w:val="22"/>
                <w:szCs w:val="22"/>
              </w:rPr>
              <w:t>169 276</w:t>
            </w:r>
          </w:p>
        </w:tc>
        <w:tc>
          <w:tcPr>
            <w:tcW w:w="992" w:type="dxa"/>
            <w:tcBorders>
              <w:top w:val="nil"/>
              <w:left w:val="nil"/>
              <w:bottom w:val="single" w:sz="4" w:space="0" w:color="auto"/>
              <w:right w:val="single" w:sz="4" w:space="0" w:color="auto"/>
            </w:tcBorders>
            <w:shd w:val="clear" w:color="auto" w:fill="auto"/>
            <w:noWrap/>
            <w:vAlign w:val="bottom"/>
            <w:hideMark/>
          </w:tcPr>
          <w:p w14:paraId="723EC2C7" w14:textId="2581921B"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148 661</w:t>
            </w:r>
          </w:p>
        </w:tc>
        <w:tc>
          <w:tcPr>
            <w:tcW w:w="850" w:type="dxa"/>
            <w:tcBorders>
              <w:top w:val="nil"/>
              <w:left w:val="nil"/>
              <w:bottom w:val="single" w:sz="4" w:space="0" w:color="auto"/>
              <w:right w:val="single" w:sz="4" w:space="0" w:color="auto"/>
            </w:tcBorders>
            <w:shd w:val="clear" w:color="auto" w:fill="auto"/>
            <w:noWrap/>
            <w:vAlign w:val="bottom"/>
            <w:hideMark/>
          </w:tcPr>
          <w:p w14:paraId="6CC34719" w14:textId="7800F0B0"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15 332</w:t>
            </w:r>
          </w:p>
        </w:tc>
        <w:tc>
          <w:tcPr>
            <w:tcW w:w="769" w:type="dxa"/>
            <w:tcBorders>
              <w:top w:val="nil"/>
              <w:left w:val="nil"/>
              <w:bottom w:val="single" w:sz="4" w:space="0" w:color="auto"/>
              <w:right w:val="single" w:sz="4" w:space="0" w:color="auto"/>
            </w:tcBorders>
            <w:shd w:val="clear" w:color="auto" w:fill="auto"/>
            <w:noWrap/>
            <w:vAlign w:val="bottom"/>
            <w:hideMark/>
          </w:tcPr>
          <w:p w14:paraId="1A8B7F33" w14:textId="4681B562"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0</w:t>
            </w:r>
          </w:p>
        </w:tc>
        <w:tc>
          <w:tcPr>
            <w:tcW w:w="767" w:type="dxa"/>
            <w:tcBorders>
              <w:top w:val="nil"/>
              <w:left w:val="nil"/>
              <w:bottom w:val="single" w:sz="4" w:space="0" w:color="auto"/>
              <w:right w:val="single" w:sz="4" w:space="0" w:color="auto"/>
            </w:tcBorders>
            <w:shd w:val="clear" w:color="auto" w:fill="auto"/>
            <w:noWrap/>
            <w:vAlign w:val="bottom"/>
            <w:hideMark/>
          </w:tcPr>
          <w:p w14:paraId="749B7767" w14:textId="3303CD33"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60</w:t>
            </w:r>
          </w:p>
        </w:tc>
        <w:tc>
          <w:tcPr>
            <w:tcW w:w="776" w:type="dxa"/>
            <w:tcBorders>
              <w:top w:val="nil"/>
              <w:left w:val="nil"/>
              <w:bottom w:val="single" w:sz="4" w:space="0" w:color="auto"/>
              <w:right w:val="single" w:sz="4" w:space="0" w:color="auto"/>
            </w:tcBorders>
            <w:shd w:val="clear" w:color="auto" w:fill="auto"/>
            <w:noWrap/>
            <w:vAlign w:val="bottom"/>
            <w:hideMark/>
          </w:tcPr>
          <w:p w14:paraId="0B40AD3F" w14:textId="49CF7741"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2 002</w:t>
            </w:r>
          </w:p>
        </w:tc>
        <w:tc>
          <w:tcPr>
            <w:tcW w:w="1232" w:type="dxa"/>
            <w:tcBorders>
              <w:top w:val="nil"/>
              <w:left w:val="nil"/>
              <w:bottom w:val="single" w:sz="4" w:space="0" w:color="auto"/>
              <w:right w:val="single" w:sz="4" w:space="0" w:color="auto"/>
            </w:tcBorders>
            <w:shd w:val="clear" w:color="auto" w:fill="auto"/>
            <w:noWrap/>
            <w:vAlign w:val="bottom"/>
            <w:hideMark/>
          </w:tcPr>
          <w:p w14:paraId="4B43030F" w14:textId="34430066"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305</w:t>
            </w:r>
          </w:p>
        </w:tc>
        <w:tc>
          <w:tcPr>
            <w:tcW w:w="759" w:type="dxa"/>
            <w:tcBorders>
              <w:top w:val="nil"/>
              <w:left w:val="nil"/>
              <w:bottom w:val="single" w:sz="4" w:space="0" w:color="auto"/>
              <w:right w:val="single" w:sz="4" w:space="0" w:color="auto"/>
            </w:tcBorders>
            <w:shd w:val="clear" w:color="auto" w:fill="auto"/>
            <w:noWrap/>
            <w:vAlign w:val="bottom"/>
            <w:hideMark/>
          </w:tcPr>
          <w:p w14:paraId="64D920A0" w14:textId="21D7B3D0"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922</w:t>
            </w:r>
          </w:p>
        </w:tc>
        <w:tc>
          <w:tcPr>
            <w:tcW w:w="1414" w:type="dxa"/>
            <w:tcBorders>
              <w:top w:val="nil"/>
              <w:left w:val="nil"/>
              <w:bottom w:val="single" w:sz="4" w:space="0" w:color="auto"/>
              <w:right w:val="single" w:sz="4" w:space="0" w:color="auto"/>
            </w:tcBorders>
            <w:shd w:val="clear" w:color="auto" w:fill="auto"/>
            <w:noWrap/>
            <w:vAlign w:val="bottom"/>
            <w:hideMark/>
          </w:tcPr>
          <w:p w14:paraId="78C59395" w14:textId="5E4CC044"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754</w:t>
            </w:r>
          </w:p>
        </w:tc>
        <w:tc>
          <w:tcPr>
            <w:tcW w:w="852" w:type="dxa"/>
            <w:tcBorders>
              <w:top w:val="nil"/>
              <w:left w:val="nil"/>
              <w:bottom w:val="single" w:sz="4" w:space="0" w:color="auto"/>
              <w:right w:val="single" w:sz="8" w:space="0" w:color="auto"/>
            </w:tcBorders>
            <w:shd w:val="clear" w:color="auto" w:fill="auto"/>
            <w:noWrap/>
            <w:vAlign w:val="bottom"/>
            <w:hideMark/>
          </w:tcPr>
          <w:p w14:paraId="4EBBA5D4" w14:textId="53357A33" w:rsidR="000C536E" w:rsidRPr="007574BA" w:rsidRDefault="000C536E" w:rsidP="000C536E">
            <w:pPr>
              <w:jc w:val="right"/>
              <w:rPr>
                <w:rFonts w:ascii="Calibri Light" w:hAnsi="Calibri Light" w:cs="Calibri Light"/>
                <w:sz w:val="20"/>
                <w:lang w:eastAsia="ro-RO"/>
              </w:rPr>
            </w:pPr>
            <w:r w:rsidRPr="007574BA">
              <w:rPr>
                <w:rFonts w:ascii="Calibri Light" w:hAnsi="Calibri Light" w:cs="Calibri Light"/>
                <w:sz w:val="22"/>
                <w:szCs w:val="22"/>
              </w:rPr>
              <w:t>1 240</w:t>
            </w:r>
          </w:p>
        </w:tc>
      </w:tr>
    </w:tbl>
    <w:p w14:paraId="355E4286" w14:textId="77777777" w:rsidR="00895FF8" w:rsidRPr="007574BA" w:rsidRDefault="00895FF8" w:rsidP="00D51F5A">
      <w:pPr>
        <w:spacing w:line="276" w:lineRule="auto"/>
        <w:jc w:val="center"/>
        <w:rPr>
          <w:rFonts w:asciiTheme="minorHAnsi" w:eastAsiaTheme="minorHAnsi" w:hAnsiTheme="minorHAnsi" w:cstheme="minorHAnsi"/>
          <w:b/>
          <w:sz w:val="26"/>
          <w:szCs w:val="26"/>
          <w:lang w:eastAsia="en-GB"/>
        </w:rPr>
      </w:pPr>
    </w:p>
    <w:p w14:paraId="7C2ACC1E" w14:textId="77777777" w:rsidR="00895FF8" w:rsidRPr="004A72CD" w:rsidRDefault="00895FF8" w:rsidP="00D51F5A">
      <w:pPr>
        <w:spacing w:line="276" w:lineRule="auto"/>
        <w:jc w:val="center"/>
        <w:rPr>
          <w:rFonts w:asciiTheme="minorHAnsi" w:eastAsiaTheme="minorHAnsi" w:hAnsiTheme="minorHAnsi" w:cstheme="minorHAnsi"/>
          <w:b/>
          <w:sz w:val="26"/>
          <w:szCs w:val="26"/>
          <w:lang w:eastAsia="en-GB"/>
        </w:rPr>
      </w:pPr>
    </w:p>
    <w:p w14:paraId="10E59902" w14:textId="77777777" w:rsidR="00895FF8" w:rsidRPr="004A72CD" w:rsidRDefault="00895FF8" w:rsidP="009D3C00">
      <w:pPr>
        <w:keepNext/>
        <w:keepLines/>
        <w:spacing w:line="276" w:lineRule="auto"/>
        <w:jc w:val="center"/>
        <w:rPr>
          <w:rFonts w:asciiTheme="minorHAnsi" w:eastAsiaTheme="minorHAnsi" w:hAnsiTheme="minorHAnsi" w:cstheme="minorHAnsi"/>
          <w:b/>
          <w:sz w:val="26"/>
          <w:szCs w:val="26"/>
          <w:lang w:eastAsia="en-GB"/>
        </w:rPr>
      </w:pPr>
      <w:r w:rsidRPr="004A72CD">
        <w:rPr>
          <w:rFonts w:asciiTheme="minorHAnsi" w:eastAsiaTheme="minorHAnsi" w:hAnsiTheme="minorHAnsi" w:cstheme="minorHAnsi"/>
          <w:b/>
          <w:sz w:val="26"/>
          <w:szCs w:val="26"/>
          <w:lang w:eastAsia="en-GB"/>
        </w:rPr>
        <w:lastRenderedPageBreak/>
        <w:t>INSPECȚIA JUDICIARĂ</w:t>
      </w:r>
    </w:p>
    <w:p w14:paraId="532B89D0" w14:textId="396921BF" w:rsidR="00895FF8" w:rsidRPr="004A72CD" w:rsidRDefault="009D3C00" w:rsidP="009D3C00">
      <w:pPr>
        <w:keepNext/>
        <w:keepLines/>
        <w:spacing w:line="276" w:lineRule="auto"/>
        <w:jc w:val="center"/>
        <w:rPr>
          <w:rFonts w:asciiTheme="minorHAnsi" w:eastAsiaTheme="minorHAnsi" w:hAnsiTheme="minorHAnsi" w:cstheme="minorHAnsi"/>
          <w:b/>
          <w:sz w:val="26"/>
          <w:szCs w:val="26"/>
          <w:lang w:eastAsia="en-GB"/>
        </w:rPr>
      </w:pPr>
      <w:r w:rsidRPr="00313FEF">
        <w:rPr>
          <w:rFonts w:asciiTheme="minorHAnsi" w:hAnsiTheme="minorHAnsi" w:cstheme="minorHAnsi"/>
          <w:sz w:val="26"/>
          <w:szCs w:val="26"/>
          <w:lang w:eastAsia="ro-RO"/>
        </w:rPr>
        <w:drawing>
          <wp:inline distT="0" distB="0" distL="0" distR="0" wp14:anchorId="1140787A" wp14:editId="715A9CDC">
            <wp:extent cx="4810540" cy="3431486"/>
            <wp:effectExtent l="0" t="0" r="9525" b="17145"/>
            <wp:docPr id="380612359" name="Chart 1">
              <a:extLst xmlns:a="http://schemas.openxmlformats.org/drawingml/2006/main">
                <a:ext uri="{FF2B5EF4-FFF2-40B4-BE49-F238E27FC236}">
                  <a16:creationId xmlns:a16="http://schemas.microsoft.com/office/drawing/2014/main" id="{312D03C7-0F78-7D0A-C794-3FEED94252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C313753" w14:textId="2A4A4A01" w:rsidR="00895FF8" w:rsidRPr="004A72CD" w:rsidRDefault="00895FF8" w:rsidP="009D3C00">
      <w:pPr>
        <w:spacing w:line="276" w:lineRule="auto"/>
        <w:jc w:val="right"/>
        <w:rPr>
          <w:rFonts w:asciiTheme="minorHAnsi" w:eastAsiaTheme="minorHAnsi" w:hAnsiTheme="minorHAnsi" w:cstheme="minorHAnsi"/>
          <w:b/>
          <w:sz w:val="26"/>
          <w:szCs w:val="26"/>
          <w:lang w:eastAsia="en-GB"/>
        </w:rPr>
      </w:pPr>
      <w:r w:rsidRPr="004A72CD">
        <w:rPr>
          <w:rFonts w:asciiTheme="minorHAnsi" w:eastAsiaTheme="minorHAnsi" w:hAnsiTheme="minorHAnsi" w:cstheme="minorHAnsi"/>
          <w:b/>
          <w:sz w:val="26"/>
          <w:szCs w:val="26"/>
          <w:lang w:eastAsia="en-GB"/>
        </w:rPr>
        <w:t>mii lei</w:t>
      </w:r>
    </w:p>
    <w:tbl>
      <w:tblPr>
        <w:tblW w:w="10113" w:type="dxa"/>
        <w:jc w:val="center"/>
        <w:tblLook w:val="04A0" w:firstRow="1" w:lastRow="0" w:firstColumn="1" w:lastColumn="0" w:noHBand="0" w:noVBand="1"/>
      </w:tblPr>
      <w:tblGrid>
        <w:gridCol w:w="717"/>
        <w:gridCol w:w="683"/>
        <w:gridCol w:w="1140"/>
        <w:gridCol w:w="1060"/>
        <w:gridCol w:w="1060"/>
        <w:gridCol w:w="1102"/>
        <w:gridCol w:w="1071"/>
        <w:gridCol w:w="1360"/>
        <w:gridCol w:w="949"/>
        <w:gridCol w:w="971"/>
      </w:tblGrid>
      <w:tr w:rsidR="009D3C00" w:rsidRPr="00F00BE5" w14:paraId="19CB0FAD" w14:textId="77777777" w:rsidTr="00E83F5B">
        <w:trPr>
          <w:trHeight w:val="1530"/>
          <w:jc w:val="center"/>
        </w:trPr>
        <w:tc>
          <w:tcPr>
            <w:tcW w:w="717"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5966DFF2" w14:textId="77777777" w:rsidR="009D3C00" w:rsidRPr="00F00BE5" w:rsidRDefault="009D3C00" w:rsidP="00612067">
            <w:pPr>
              <w:jc w:val="center"/>
              <w:rPr>
                <w:rFonts w:ascii="Calibri Light" w:hAnsi="Calibri Light" w:cs="Calibri Light"/>
                <w:color w:val="000000"/>
                <w:sz w:val="22"/>
                <w:szCs w:val="22"/>
                <w:lang w:eastAsia="ro-RO"/>
              </w:rPr>
            </w:pPr>
            <w:r w:rsidRPr="00F00BE5">
              <w:rPr>
                <w:rFonts w:ascii="Calibri Light" w:hAnsi="Calibri Light" w:cs="Calibri Light"/>
                <w:color w:val="000000"/>
                <w:sz w:val="22"/>
                <w:szCs w:val="22"/>
                <w:lang w:eastAsia="ro-RO"/>
              </w:rPr>
              <w:t>An</w:t>
            </w:r>
          </w:p>
        </w:tc>
        <w:tc>
          <w:tcPr>
            <w:tcW w:w="683" w:type="dxa"/>
            <w:tcBorders>
              <w:top w:val="single" w:sz="8" w:space="0" w:color="auto"/>
              <w:left w:val="nil"/>
              <w:bottom w:val="single" w:sz="4" w:space="0" w:color="auto"/>
              <w:right w:val="single" w:sz="4" w:space="0" w:color="auto"/>
            </w:tcBorders>
            <w:shd w:val="clear" w:color="000000" w:fill="D9D9D9"/>
            <w:vAlign w:val="center"/>
            <w:hideMark/>
          </w:tcPr>
          <w:p w14:paraId="5AAA2CE4" w14:textId="77777777" w:rsidR="009D3C00" w:rsidRPr="00F00BE5" w:rsidRDefault="009D3C00" w:rsidP="00612067">
            <w:pPr>
              <w:jc w:val="center"/>
              <w:rPr>
                <w:rFonts w:ascii="Calibri Light" w:hAnsi="Calibri Light" w:cs="Calibri Light"/>
                <w:color w:val="000000"/>
                <w:sz w:val="20"/>
                <w:lang w:eastAsia="ro-RO"/>
              </w:rPr>
            </w:pPr>
            <w:r w:rsidRPr="00F00BE5">
              <w:rPr>
                <w:rFonts w:ascii="Calibri Light" w:hAnsi="Calibri Light" w:cs="Calibri Light"/>
                <w:color w:val="000000"/>
                <w:sz w:val="20"/>
                <w:lang w:eastAsia="ro-RO"/>
              </w:rPr>
              <w:t>Tip</w:t>
            </w:r>
            <w:r w:rsidRPr="00F00BE5">
              <w:rPr>
                <w:rFonts w:ascii="Calibri Light" w:hAnsi="Calibri Light" w:cs="Calibri Light"/>
                <w:color w:val="000000"/>
                <w:sz w:val="20"/>
                <w:lang w:eastAsia="ro-RO"/>
              </w:rPr>
              <w:br/>
              <w:t>credit</w:t>
            </w:r>
          </w:p>
        </w:tc>
        <w:tc>
          <w:tcPr>
            <w:tcW w:w="1140" w:type="dxa"/>
            <w:tcBorders>
              <w:top w:val="single" w:sz="8" w:space="0" w:color="auto"/>
              <w:left w:val="nil"/>
              <w:bottom w:val="single" w:sz="4" w:space="0" w:color="auto"/>
              <w:right w:val="single" w:sz="4" w:space="0" w:color="auto"/>
            </w:tcBorders>
            <w:shd w:val="clear" w:color="000000" w:fill="D9D9D9"/>
            <w:vAlign w:val="center"/>
            <w:hideMark/>
          </w:tcPr>
          <w:p w14:paraId="4D8908D5" w14:textId="77777777" w:rsidR="009D3C00" w:rsidRPr="00F00BE5" w:rsidRDefault="009D3C00" w:rsidP="00612067">
            <w:pPr>
              <w:jc w:val="center"/>
              <w:rPr>
                <w:rFonts w:ascii="Calibri Light" w:hAnsi="Calibri Light" w:cs="Calibri Light"/>
                <w:color w:val="000000"/>
                <w:sz w:val="20"/>
                <w:lang w:eastAsia="ro-RO"/>
              </w:rPr>
            </w:pPr>
            <w:r w:rsidRPr="00F00BE5">
              <w:rPr>
                <w:rFonts w:ascii="Calibri Light" w:hAnsi="Calibri Light" w:cs="Calibri Light"/>
                <w:color w:val="000000"/>
                <w:sz w:val="20"/>
                <w:lang w:eastAsia="ro-RO"/>
              </w:rPr>
              <w:t>Total</w:t>
            </w:r>
          </w:p>
        </w:tc>
        <w:tc>
          <w:tcPr>
            <w:tcW w:w="1060" w:type="dxa"/>
            <w:tcBorders>
              <w:top w:val="single" w:sz="8" w:space="0" w:color="auto"/>
              <w:left w:val="nil"/>
              <w:bottom w:val="single" w:sz="4" w:space="0" w:color="auto"/>
              <w:right w:val="single" w:sz="4" w:space="0" w:color="auto"/>
            </w:tcBorders>
            <w:shd w:val="clear" w:color="000000" w:fill="D9D9D9"/>
            <w:vAlign w:val="center"/>
            <w:hideMark/>
          </w:tcPr>
          <w:p w14:paraId="1D24C3B3" w14:textId="77777777" w:rsidR="009D3C00" w:rsidRPr="00F00BE5" w:rsidRDefault="009D3C00" w:rsidP="00612067">
            <w:pPr>
              <w:jc w:val="center"/>
              <w:rPr>
                <w:rFonts w:ascii="Calibri Light" w:hAnsi="Calibri Light" w:cs="Calibri Light"/>
                <w:color w:val="000000"/>
                <w:sz w:val="20"/>
                <w:lang w:eastAsia="ro-RO"/>
              </w:rPr>
            </w:pPr>
            <w:r w:rsidRPr="00F00BE5">
              <w:rPr>
                <w:rFonts w:ascii="Calibri Light" w:hAnsi="Calibri Light" w:cs="Calibri Light"/>
                <w:color w:val="000000"/>
                <w:sz w:val="20"/>
                <w:lang w:eastAsia="ro-RO"/>
              </w:rPr>
              <w:t>Cheltuieli de personal</w:t>
            </w:r>
          </w:p>
        </w:tc>
        <w:tc>
          <w:tcPr>
            <w:tcW w:w="1060" w:type="dxa"/>
            <w:tcBorders>
              <w:top w:val="single" w:sz="8" w:space="0" w:color="auto"/>
              <w:left w:val="nil"/>
              <w:bottom w:val="single" w:sz="4" w:space="0" w:color="auto"/>
              <w:right w:val="single" w:sz="4" w:space="0" w:color="auto"/>
            </w:tcBorders>
            <w:shd w:val="clear" w:color="000000" w:fill="D9D9D9"/>
            <w:vAlign w:val="center"/>
            <w:hideMark/>
          </w:tcPr>
          <w:p w14:paraId="26746838" w14:textId="77777777" w:rsidR="009D3C00" w:rsidRPr="00F00BE5" w:rsidRDefault="009D3C00" w:rsidP="00612067">
            <w:pPr>
              <w:jc w:val="center"/>
              <w:rPr>
                <w:rFonts w:ascii="Calibri Light" w:hAnsi="Calibri Light" w:cs="Calibri Light"/>
                <w:color w:val="000000"/>
                <w:sz w:val="20"/>
                <w:lang w:eastAsia="ro-RO"/>
              </w:rPr>
            </w:pPr>
            <w:r w:rsidRPr="00F00BE5">
              <w:rPr>
                <w:rFonts w:ascii="Calibri Light" w:hAnsi="Calibri Light" w:cs="Calibri Light"/>
                <w:color w:val="000000"/>
                <w:sz w:val="20"/>
                <w:lang w:eastAsia="ro-RO"/>
              </w:rPr>
              <w:t>Bunuri și servicii</w:t>
            </w:r>
          </w:p>
        </w:tc>
        <w:tc>
          <w:tcPr>
            <w:tcW w:w="1102" w:type="dxa"/>
            <w:tcBorders>
              <w:top w:val="single" w:sz="8" w:space="0" w:color="auto"/>
              <w:left w:val="nil"/>
              <w:bottom w:val="single" w:sz="4" w:space="0" w:color="auto"/>
              <w:right w:val="single" w:sz="4" w:space="0" w:color="auto"/>
            </w:tcBorders>
            <w:shd w:val="clear" w:color="000000" w:fill="D9D9D9"/>
            <w:vAlign w:val="center"/>
            <w:hideMark/>
          </w:tcPr>
          <w:p w14:paraId="5ACEFD0A" w14:textId="77777777" w:rsidR="009D3C00" w:rsidRPr="00F00BE5" w:rsidRDefault="009D3C00" w:rsidP="00612067">
            <w:pPr>
              <w:jc w:val="center"/>
              <w:rPr>
                <w:rFonts w:ascii="Calibri Light" w:hAnsi="Calibri Light" w:cs="Calibri Light"/>
                <w:color w:val="000000"/>
                <w:sz w:val="20"/>
                <w:lang w:eastAsia="ro-RO"/>
              </w:rPr>
            </w:pPr>
            <w:r w:rsidRPr="00F00BE5">
              <w:rPr>
                <w:rFonts w:ascii="Calibri Light" w:hAnsi="Calibri Light" w:cs="Calibri Light"/>
                <w:color w:val="000000"/>
                <w:sz w:val="20"/>
                <w:lang w:eastAsia="ro-RO"/>
              </w:rPr>
              <w:t>Transferuri</w:t>
            </w:r>
          </w:p>
        </w:tc>
        <w:tc>
          <w:tcPr>
            <w:tcW w:w="1071" w:type="dxa"/>
            <w:tcBorders>
              <w:top w:val="single" w:sz="8" w:space="0" w:color="auto"/>
              <w:left w:val="nil"/>
              <w:bottom w:val="single" w:sz="4" w:space="0" w:color="auto"/>
              <w:right w:val="single" w:sz="4" w:space="0" w:color="auto"/>
            </w:tcBorders>
            <w:shd w:val="clear" w:color="000000" w:fill="D9D9D9"/>
            <w:vAlign w:val="center"/>
            <w:hideMark/>
          </w:tcPr>
          <w:p w14:paraId="51CE5A86" w14:textId="77777777" w:rsidR="009D3C00" w:rsidRPr="00F00BE5" w:rsidRDefault="009D3C00" w:rsidP="00612067">
            <w:pPr>
              <w:jc w:val="center"/>
              <w:rPr>
                <w:rFonts w:ascii="Calibri Light" w:hAnsi="Calibri Light" w:cs="Calibri Light"/>
                <w:color w:val="000000"/>
                <w:sz w:val="20"/>
                <w:lang w:eastAsia="ro-RO"/>
              </w:rPr>
            </w:pPr>
            <w:r w:rsidRPr="00F00BE5">
              <w:rPr>
                <w:rFonts w:ascii="Calibri Light" w:hAnsi="Calibri Light" w:cs="Calibri Light"/>
                <w:color w:val="000000"/>
                <w:sz w:val="20"/>
                <w:lang w:eastAsia="ro-RO"/>
              </w:rPr>
              <w:t>Alte transferuri</w:t>
            </w:r>
          </w:p>
        </w:tc>
        <w:tc>
          <w:tcPr>
            <w:tcW w:w="1360" w:type="dxa"/>
            <w:tcBorders>
              <w:top w:val="single" w:sz="8" w:space="0" w:color="auto"/>
              <w:left w:val="nil"/>
              <w:bottom w:val="single" w:sz="4" w:space="0" w:color="auto"/>
              <w:right w:val="single" w:sz="4" w:space="0" w:color="auto"/>
            </w:tcBorders>
            <w:shd w:val="clear" w:color="000000" w:fill="D9D9D9"/>
            <w:vAlign w:val="center"/>
            <w:hideMark/>
          </w:tcPr>
          <w:p w14:paraId="7473A41D" w14:textId="77777777" w:rsidR="009D3C00" w:rsidRPr="00F00BE5" w:rsidRDefault="009D3C00" w:rsidP="00612067">
            <w:pPr>
              <w:jc w:val="center"/>
              <w:rPr>
                <w:rFonts w:ascii="Calibri Light" w:hAnsi="Calibri Light" w:cs="Calibri Light"/>
                <w:color w:val="000000"/>
                <w:sz w:val="20"/>
                <w:lang w:eastAsia="ro-RO"/>
              </w:rPr>
            </w:pPr>
            <w:r w:rsidRPr="00F00BE5">
              <w:rPr>
                <w:rFonts w:ascii="Calibri Light" w:hAnsi="Calibri Light" w:cs="Calibri Light"/>
                <w:color w:val="000000"/>
                <w:sz w:val="20"/>
                <w:lang w:eastAsia="ro-RO"/>
              </w:rPr>
              <w:t>Proiecte cu finanțare din FEN aferente</w:t>
            </w:r>
            <w:r w:rsidRPr="00F00BE5">
              <w:rPr>
                <w:rFonts w:ascii="Calibri Light" w:hAnsi="Calibri Light" w:cs="Calibri Light"/>
                <w:color w:val="000000"/>
                <w:sz w:val="20"/>
                <w:lang w:eastAsia="ro-RO"/>
              </w:rPr>
              <w:br/>
              <w:t xml:space="preserve"> cadrului financiar 2014-2020</w:t>
            </w:r>
          </w:p>
        </w:tc>
        <w:tc>
          <w:tcPr>
            <w:tcW w:w="949" w:type="dxa"/>
            <w:tcBorders>
              <w:top w:val="single" w:sz="8" w:space="0" w:color="auto"/>
              <w:left w:val="nil"/>
              <w:bottom w:val="single" w:sz="4" w:space="0" w:color="auto"/>
              <w:right w:val="single" w:sz="4" w:space="0" w:color="auto"/>
            </w:tcBorders>
            <w:shd w:val="clear" w:color="000000" w:fill="D9D9D9"/>
            <w:vAlign w:val="center"/>
            <w:hideMark/>
          </w:tcPr>
          <w:p w14:paraId="136BD9C9" w14:textId="77777777" w:rsidR="009D3C00" w:rsidRPr="00F00BE5" w:rsidRDefault="009D3C00" w:rsidP="00612067">
            <w:pPr>
              <w:jc w:val="center"/>
              <w:rPr>
                <w:rFonts w:ascii="Calibri Light" w:hAnsi="Calibri Light" w:cs="Calibri Light"/>
                <w:color w:val="000000"/>
                <w:sz w:val="20"/>
                <w:lang w:eastAsia="ro-RO"/>
              </w:rPr>
            </w:pPr>
            <w:r w:rsidRPr="00F00BE5">
              <w:rPr>
                <w:rFonts w:ascii="Calibri Light" w:hAnsi="Calibri Light" w:cs="Calibri Light"/>
                <w:color w:val="000000"/>
                <w:sz w:val="20"/>
                <w:lang w:eastAsia="ro-RO"/>
              </w:rPr>
              <w:t>Alte cheltuieli</w:t>
            </w:r>
          </w:p>
        </w:tc>
        <w:tc>
          <w:tcPr>
            <w:tcW w:w="971" w:type="dxa"/>
            <w:tcBorders>
              <w:top w:val="single" w:sz="8" w:space="0" w:color="auto"/>
              <w:left w:val="nil"/>
              <w:bottom w:val="single" w:sz="4" w:space="0" w:color="auto"/>
              <w:right w:val="single" w:sz="8" w:space="0" w:color="auto"/>
            </w:tcBorders>
            <w:shd w:val="clear" w:color="000000" w:fill="D9D9D9"/>
            <w:vAlign w:val="center"/>
            <w:hideMark/>
          </w:tcPr>
          <w:p w14:paraId="2B8EA134" w14:textId="77777777" w:rsidR="009D3C00" w:rsidRPr="00F00BE5" w:rsidRDefault="009D3C00" w:rsidP="00612067">
            <w:pPr>
              <w:jc w:val="center"/>
              <w:rPr>
                <w:rFonts w:ascii="Calibri Light" w:hAnsi="Calibri Light" w:cs="Calibri Light"/>
                <w:color w:val="000000"/>
                <w:sz w:val="20"/>
                <w:lang w:eastAsia="ro-RO"/>
              </w:rPr>
            </w:pPr>
            <w:r w:rsidRPr="00F00BE5">
              <w:rPr>
                <w:rFonts w:ascii="Calibri Light" w:hAnsi="Calibri Light" w:cs="Calibri Light"/>
                <w:color w:val="000000"/>
                <w:sz w:val="20"/>
                <w:lang w:eastAsia="ro-RO"/>
              </w:rPr>
              <w:t>Cheltuieli de capital</w:t>
            </w:r>
          </w:p>
        </w:tc>
      </w:tr>
      <w:tr w:rsidR="00E83F5B" w:rsidRPr="00F00BE5" w14:paraId="1AD5A2BB" w14:textId="77777777" w:rsidTr="00E83F5B">
        <w:trPr>
          <w:trHeight w:val="300"/>
          <w:jc w:val="center"/>
        </w:trPr>
        <w:tc>
          <w:tcPr>
            <w:tcW w:w="717" w:type="dxa"/>
            <w:tcBorders>
              <w:top w:val="nil"/>
              <w:left w:val="single" w:sz="8" w:space="0" w:color="auto"/>
              <w:bottom w:val="single" w:sz="4" w:space="0" w:color="auto"/>
              <w:right w:val="single" w:sz="4" w:space="0" w:color="auto"/>
            </w:tcBorders>
            <w:shd w:val="clear" w:color="auto" w:fill="auto"/>
            <w:noWrap/>
            <w:vAlign w:val="bottom"/>
            <w:hideMark/>
          </w:tcPr>
          <w:p w14:paraId="1E2513C6" w14:textId="77777777" w:rsidR="00E83F5B" w:rsidRPr="00F00BE5" w:rsidRDefault="00E83F5B" w:rsidP="00E83F5B">
            <w:pPr>
              <w:jc w:val="right"/>
              <w:rPr>
                <w:rFonts w:ascii="Calibri Light" w:hAnsi="Calibri Light" w:cs="Calibri Light"/>
                <w:color w:val="000000"/>
                <w:sz w:val="22"/>
                <w:szCs w:val="22"/>
                <w:lang w:eastAsia="ro-RO"/>
              </w:rPr>
            </w:pPr>
            <w:r w:rsidRPr="00F00BE5">
              <w:rPr>
                <w:rFonts w:ascii="Calibri Light" w:hAnsi="Calibri Light" w:cs="Calibri Light"/>
                <w:color w:val="000000"/>
                <w:sz w:val="22"/>
                <w:szCs w:val="22"/>
                <w:lang w:eastAsia="ro-RO"/>
              </w:rPr>
              <w:t>2023</w:t>
            </w:r>
          </w:p>
        </w:tc>
        <w:tc>
          <w:tcPr>
            <w:tcW w:w="683" w:type="dxa"/>
            <w:tcBorders>
              <w:top w:val="nil"/>
              <w:left w:val="nil"/>
              <w:bottom w:val="single" w:sz="4" w:space="0" w:color="auto"/>
              <w:right w:val="single" w:sz="4" w:space="0" w:color="auto"/>
            </w:tcBorders>
            <w:shd w:val="clear" w:color="auto" w:fill="auto"/>
            <w:noWrap/>
            <w:vAlign w:val="bottom"/>
            <w:hideMark/>
          </w:tcPr>
          <w:p w14:paraId="0F74680D" w14:textId="77777777" w:rsidR="00E83F5B" w:rsidRPr="00F00BE5" w:rsidRDefault="00E83F5B" w:rsidP="00E83F5B">
            <w:pPr>
              <w:rPr>
                <w:rFonts w:ascii="Calibri Light" w:hAnsi="Calibri Light" w:cs="Calibri Light"/>
                <w:color w:val="000000"/>
                <w:sz w:val="22"/>
                <w:szCs w:val="22"/>
                <w:lang w:eastAsia="ro-RO"/>
              </w:rPr>
            </w:pPr>
            <w:r w:rsidRPr="00F00BE5">
              <w:rPr>
                <w:rFonts w:ascii="Calibri Light" w:hAnsi="Calibri Light" w:cs="Calibri Light"/>
                <w:color w:val="000000"/>
                <w:sz w:val="22"/>
                <w:szCs w:val="22"/>
                <w:lang w:eastAsia="ro-RO"/>
              </w:rPr>
              <w:t>CA</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87B62" w14:textId="3A57C928"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36 645</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49325570" w14:textId="51192569"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33 675</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2B0486D3" w14:textId="09A25028"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2 309</w:t>
            </w:r>
          </w:p>
        </w:tc>
        <w:tc>
          <w:tcPr>
            <w:tcW w:w="1102" w:type="dxa"/>
            <w:tcBorders>
              <w:top w:val="single" w:sz="4" w:space="0" w:color="auto"/>
              <w:left w:val="nil"/>
              <w:bottom w:val="single" w:sz="4" w:space="0" w:color="auto"/>
              <w:right w:val="single" w:sz="4" w:space="0" w:color="auto"/>
            </w:tcBorders>
            <w:shd w:val="clear" w:color="auto" w:fill="auto"/>
            <w:noWrap/>
            <w:vAlign w:val="bottom"/>
            <w:hideMark/>
          </w:tcPr>
          <w:p w14:paraId="67B51E06" w14:textId="4B37EA3F"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0</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14:paraId="2A4DB010" w14:textId="2CD259A9"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01680E2A" w14:textId="0279F7C5"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196</w:t>
            </w:r>
          </w:p>
        </w:tc>
        <w:tc>
          <w:tcPr>
            <w:tcW w:w="949" w:type="dxa"/>
            <w:tcBorders>
              <w:top w:val="single" w:sz="4" w:space="0" w:color="auto"/>
              <w:left w:val="nil"/>
              <w:bottom w:val="single" w:sz="4" w:space="0" w:color="auto"/>
              <w:right w:val="single" w:sz="4" w:space="0" w:color="auto"/>
            </w:tcBorders>
            <w:shd w:val="clear" w:color="auto" w:fill="auto"/>
            <w:noWrap/>
            <w:vAlign w:val="bottom"/>
            <w:hideMark/>
          </w:tcPr>
          <w:p w14:paraId="0FF40527" w14:textId="06887E30"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130</w:t>
            </w:r>
          </w:p>
        </w:tc>
        <w:tc>
          <w:tcPr>
            <w:tcW w:w="971" w:type="dxa"/>
            <w:tcBorders>
              <w:top w:val="single" w:sz="4" w:space="0" w:color="auto"/>
              <w:left w:val="nil"/>
              <w:bottom w:val="single" w:sz="4" w:space="0" w:color="auto"/>
              <w:right w:val="single" w:sz="8" w:space="0" w:color="auto"/>
            </w:tcBorders>
            <w:shd w:val="clear" w:color="auto" w:fill="auto"/>
            <w:noWrap/>
            <w:vAlign w:val="bottom"/>
            <w:hideMark/>
          </w:tcPr>
          <w:p w14:paraId="1F765CDF" w14:textId="4DFF7E58"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335</w:t>
            </w:r>
          </w:p>
        </w:tc>
      </w:tr>
      <w:tr w:rsidR="00E83F5B" w:rsidRPr="00F00BE5" w14:paraId="172EDC3E" w14:textId="77777777" w:rsidTr="00E83F5B">
        <w:trPr>
          <w:trHeight w:val="300"/>
          <w:jc w:val="center"/>
        </w:trPr>
        <w:tc>
          <w:tcPr>
            <w:tcW w:w="717" w:type="dxa"/>
            <w:tcBorders>
              <w:top w:val="nil"/>
              <w:left w:val="single" w:sz="8" w:space="0" w:color="auto"/>
              <w:bottom w:val="single" w:sz="4" w:space="0" w:color="auto"/>
              <w:right w:val="single" w:sz="4" w:space="0" w:color="auto"/>
            </w:tcBorders>
            <w:shd w:val="clear" w:color="auto" w:fill="auto"/>
            <w:noWrap/>
            <w:vAlign w:val="bottom"/>
            <w:hideMark/>
          </w:tcPr>
          <w:p w14:paraId="10D09540" w14:textId="77777777" w:rsidR="00E83F5B" w:rsidRPr="00F00BE5" w:rsidRDefault="00E83F5B" w:rsidP="00E83F5B">
            <w:pPr>
              <w:jc w:val="right"/>
              <w:rPr>
                <w:rFonts w:ascii="Calibri Light" w:hAnsi="Calibri Light" w:cs="Calibri Light"/>
                <w:color w:val="000000"/>
                <w:sz w:val="22"/>
                <w:szCs w:val="22"/>
                <w:lang w:eastAsia="ro-RO"/>
              </w:rPr>
            </w:pPr>
            <w:r w:rsidRPr="00F00BE5">
              <w:rPr>
                <w:rFonts w:ascii="Calibri Light" w:hAnsi="Calibri Light" w:cs="Calibri Light"/>
                <w:color w:val="000000"/>
                <w:sz w:val="22"/>
                <w:szCs w:val="22"/>
                <w:lang w:eastAsia="ro-RO"/>
              </w:rPr>
              <w:t>2023</w:t>
            </w:r>
          </w:p>
        </w:tc>
        <w:tc>
          <w:tcPr>
            <w:tcW w:w="683" w:type="dxa"/>
            <w:tcBorders>
              <w:top w:val="nil"/>
              <w:left w:val="nil"/>
              <w:bottom w:val="single" w:sz="4" w:space="0" w:color="auto"/>
              <w:right w:val="single" w:sz="4" w:space="0" w:color="auto"/>
            </w:tcBorders>
            <w:shd w:val="clear" w:color="auto" w:fill="auto"/>
            <w:noWrap/>
            <w:vAlign w:val="bottom"/>
            <w:hideMark/>
          </w:tcPr>
          <w:p w14:paraId="2CFA61A6" w14:textId="77777777" w:rsidR="00E83F5B" w:rsidRPr="00F00BE5" w:rsidRDefault="00E83F5B" w:rsidP="00E83F5B">
            <w:pPr>
              <w:rPr>
                <w:rFonts w:ascii="Calibri Light" w:hAnsi="Calibri Light" w:cs="Calibri Light"/>
                <w:color w:val="000000"/>
                <w:sz w:val="22"/>
                <w:szCs w:val="22"/>
                <w:lang w:eastAsia="ro-RO"/>
              </w:rPr>
            </w:pPr>
            <w:r w:rsidRPr="00F00BE5">
              <w:rPr>
                <w:rFonts w:ascii="Calibri Light" w:hAnsi="Calibri Light" w:cs="Calibri Light"/>
                <w:color w:val="000000"/>
                <w:sz w:val="22"/>
                <w:szCs w:val="22"/>
                <w:lang w:eastAsia="ro-RO"/>
              </w:rPr>
              <w:t>CB</w:t>
            </w:r>
          </w:p>
        </w:tc>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1C80F1A4" w14:textId="2F01BC1B"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36 645</w:t>
            </w:r>
          </w:p>
        </w:tc>
        <w:tc>
          <w:tcPr>
            <w:tcW w:w="1060" w:type="dxa"/>
            <w:tcBorders>
              <w:top w:val="nil"/>
              <w:left w:val="nil"/>
              <w:bottom w:val="single" w:sz="4" w:space="0" w:color="auto"/>
              <w:right w:val="single" w:sz="4" w:space="0" w:color="auto"/>
            </w:tcBorders>
            <w:shd w:val="clear" w:color="auto" w:fill="auto"/>
            <w:noWrap/>
            <w:vAlign w:val="bottom"/>
            <w:hideMark/>
          </w:tcPr>
          <w:p w14:paraId="19C2D19F" w14:textId="6735D60D"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33 675</w:t>
            </w:r>
          </w:p>
        </w:tc>
        <w:tc>
          <w:tcPr>
            <w:tcW w:w="1060" w:type="dxa"/>
            <w:tcBorders>
              <w:top w:val="nil"/>
              <w:left w:val="nil"/>
              <w:bottom w:val="single" w:sz="4" w:space="0" w:color="auto"/>
              <w:right w:val="single" w:sz="4" w:space="0" w:color="auto"/>
            </w:tcBorders>
            <w:shd w:val="clear" w:color="auto" w:fill="auto"/>
            <w:noWrap/>
            <w:vAlign w:val="bottom"/>
            <w:hideMark/>
          </w:tcPr>
          <w:p w14:paraId="61F082F6" w14:textId="176061B5"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2 309</w:t>
            </w:r>
          </w:p>
        </w:tc>
        <w:tc>
          <w:tcPr>
            <w:tcW w:w="1102" w:type="dxa"/>
            <w:tcBorders>
              <w:top w:val="nil"/>
              <w:left w:val="nil"/>
              <w:bottom w:val="single" w:sz="4" w:space="0" w:color="auto"/>
              <w:right w:val="single" w:sz="4" w:space="0" w:color="auto"/>
            </w:tcBorders>
            <w:shd w:val="clear" w:color="auto" w:fill="auto"/>
            <w:noWrap/>
            <w:vAlign w:val="bottom"/>
            <w:hideMark/>
          </w:tcPr>
          <w:p w14:paraId="62DCF06B" w14:textId="44422C6E"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0</w:t>
            </w:r>
          </w:p>
        </w:tc>
        <w:tc>
          <w:tcPr>
            <w:tcW w:w="1071" w:type="dxa"/>
            <w:tcBorders>
              <w:top w:val="nil"/>
              <w:left w:val="nil"/>
              <w:bottom w:val="single" w:sz="4" w:space="0" w:color="auto"/>
              <w:right w:val="single" w:sz="4" w:space="0" w:color="auto"/>
            </w:tcBorders>
            <w:shd w:val="clear" w:color="auto" w:fill="auto"/>
            <w:noWrap/>
            <w:vAlign w:val="bottom"/>
            <w:hideMark/>
          </w:tcPr>
          <w:p w14:paraId="51002152" w14:textId="188858A0"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0</w:t>
            </w:r>
          </w:p>
        </w:tc>
        <w:tc>
          <w:tcPr>
            <w:tcW w:w="1360" w:type="dxa"/>
            <w:tcBorders>
              <w:top w:val="nil"/>
              <w:left w:val="nil"/>
              <w:bottom w:val="single" w:sz="4" w:space="0" w:color="auto"/>
              <w:right w:val="single" w:sz="4" w:space="0" w:color="auto"/>
            </w:tcBorders>
            <w:shd w:val="clear" w:color="auto" w:fill="auto"/>
            <w:noWrap/>
            <w:vAlign w:val="bottom"/>
            <w:hideMark/>
          </w:tcPr>
          <w:p w14:paraId="0D0B2893" w14:textId="00D2EC76"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196</w:t>
            </w:r>
          </w:p>
        </w:tc>
        <w:tc>
          <w:tcPr>
            <w:tcW w:w="949" w:type="dxa"/>
            <w:tcBorders>
              <w:top w:val="nil"/>
              <w:left w:val="nil"/>
              <w:bottom w:val="single" w:sz="4" w:space="0" w:color="auto"/>
              <w:right w:val="single" w:sz="4" w:space="0" w:color="auto"/>
            </w:tcBorders>
            <w:shd w:val="clear" w:color="auto" w:fill="auto"/>
            <w:noWrap/>
            <w:vAlign w:val="bottom"/>
            <w:hideMark/>
          </w:tcPr>
          <w:p w14:paraId="00204475" w14:textId="6958E9B5"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130</w:t>
            </w:r>
          </w:p>
        </w:tc>
        <w:tc>
          <w:tcPr>
            <w:tcW w:w="971" w:type="dxa"/>
            <w:tcBorders>
              <w:top w:val="nil"/>
              <w:left w:val="nil"/>
              <w:bottom w:val="single" w:sz="4" w:space="0" w:color="auto"/>
              <w:right w:val="single" w:sz="8" w:space="0" w:color="auto"/>
            </w:tcBorders>
            <w:shd w:val="clear" w:color="auto" w:fill="auto"/>
            <w:noWrap/>
            <w:vAlign w:val="bottom"/>
            <w:hideMark/>
          </w:tcPr>
          <w:p w14:paraId="70EEE0B1" w14:textId="1F3B5C4A"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335</w:t>
            </w:r>
          </w:p>
        </w:tc>
      </w:tr>
      <w:tr w:rsidR="00E83F5B" w:rsidRPr="00F00BE5" w14:paraId="3F1AC15C" w14:textId="77777777" w:rsidTr="00E83F5B">
        <w:trPr>
          <w:trHeight w:val="300"/>
          <w:jc w:val="center"/>
        </w:trPr>
        <w:tc>
          <w:tcPr>
            <w:tcW w:w="717" w:type="dxa"/>
            <w:tcBorders>
              <w:top w:val="nil"/>
              <w:left w:val="single" w:sz="8" w:space="0" w:color="auto"/>
              <w:bottom w:val="single" w:sz="4" w:space="0" w:color="auto"/>
              <w:right w:val="single" w:sz="4" w:space="0" w:color="auto"/>
            </w:tcBorders>
            <w:shd w:val="clear" w:color="auto" w:fill="auto"/>
            <w:noWrap/>
            <w:vAlign w:val="bottom"/>
            <w:hideMark/>
          </w:tcPr>
          <w:p w14:paraId="7BC3F4A3" w14:textId="77777777" w:rsidR="00E83F5B" w:rsidRPr="00F00BE5" w:rsidRDefault="00E83F5B" w:rsidP="00E83F5B">
            <w:pPr>
              <w:jc w:val="right"/>
              <w:rPr>
                <w:rFonts w:ascii="Calibri Light" w:hAnsi="Calibri Light" w:cs="Calibri Light"/>
                <w:color w:val="000000"/>
                <w:sz w:val="22"/>
                <w:szCs w:val="22"/>
                <w:lang w:eastAsia="ro-RO"/>
              </w:rPr>
            </w:pPr>
            <w:r w:rsidRPr="00F00BE5">
              <w:rPr>
                <w:rFonts w:ascii="Calibri Light" w:hAnsi="Calibri Light" w:cs="Calibri Light"/>
                <w:color w:val="000000"/>
                <w:sz w:val="22"/>
                <w:szCs w:val="22"/>
                <w:lang w:eastAsia="ro-RO"/>
              </w:rPr>
              <w:t>2024</w:t>
            </w:r>
          </w:p>
        </w:tc>
        <w:tc>
          <w:tcPr>
            <w:tcW w:w="683" w:type="dxa"/>
            <w:tcBorders>
              <w:top w:val="nil"/>
              <w:left w:val="nil"/>
              <w:bottom w:val="single" w:sz="4" w:space="0" w:color="auto"/>
              <w:right w:val="single" w:sz="4" w:space="0" w:color="auto"/>
            </w:tcBorders>
            <w:shd w:val="clear" w:color="auto" w:fill="auto"/>
            <w:noWrap/>
            <w:vAlign w:val="bottom"/>
            <w:hideMark/>
          </w:tcPr>
          <w:p w14:paraId="278D014F" w14:textId="77777777" w:rsidR="00E83F5B" w:rsidRPr="00F00BE5" w:rsidRDefault="00E83F5B" w:rsidP="00E83F5B">
            <w:pPr>
              <w:rPr>
                <w:rFonts w:ascii="Calibri Light" w:hAnsi="Calibri Light" w:cs="Calibri Light"/>
                <w:color w:val="000000"/>
                <w:sz w:val="22"/>
                <w:szCs w:val="22"/>
                <w:lang w:eastAsia="ro-RO"/>
              </w:rPr>
            </w:pPr>
            <w:r w:rsidRPr="00F00BE5">
              <w:rPr>
                <w:rFonts w:ascii="Calibri Light" w:hAnsi="Calibri Light" w:cs="Calibri Light"/>
                <w:color w:val="000000"/>
                <w:sz w:val="22"/>
                <w:szCs w:val="22"/>
                <w:lang w:eastAsia="ro-RO"/>
              </w:rPr>
              <w:t>CA</w:t>
            </w:r>
          </w:p>
        </w:tc>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67780359" w14:textId="7B166CFE"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52 679</w:t>
            </w:r>
          </w:p>
        </w:tc>
        <w:tc>
          <w:tcPr>
            <w:tcW w:w="1060" w:type="dxa"/>
            <w:tcBorders>
              <w:top w:val="nil"/>
              <w:left w:val="nil"/>
              <w:bottom w:val="single" w:sz="4" w:space="0" w:color="auto"/>
              <w:right w:val="single" w:sz="4" w:space="0" w:color="auto"/>
            </w:tcBorders>
            <w:shd w:val="clear" w:color="auto" w:fill="auto"/>
            <w:noWrap/>
            <w:vAlign w:val="bottom"/>
            <w:hideMark/>
          </w:tcPr>
          <w:p w14:paraId="02254A66" w14:textId="53B100B0"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49 466</w:t>
            </w:r>
          </w:p>
        </w:tc>
        <w:tc>
          <w:tcPr>
            <w:tcW w:w="1060" w:type="dxa"/>
            <w:tcBorders>
              <w:top w:val="nil"/>
              <w:left w:val="nil"/>
              <w:bottom w:val="single" w:sz="4" w:space="0" w:color="auto"/>
              <w:right w:val="single" w:sz="4" w:space="0" w:color="auto"/>
            </w:tcBorders>
            <w:shd w:val="clear" w:color="auto" w:fill="auto"/>
            <w:noWrap/>
            <w:vAlign w:val="bottom"/>
            <w:hideMark/>
          </w:tcPr>
          <w:p w14:paraId="6BA3CF18" w14:textId="31D5CB0E"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2 813</w:t>
            </w:r>
          </w:p>
        </w:tc>
        <w:tc>
          <w:tcPr>
            <w:tcW w:w="1102" w:type="dxa"/>
            <w:tcBorders>
              <w:top w:val="nil"/>
              <w:left w:val="nil"/>
              <w:bottom w:val="single" w:sz="4" w:space="0" w:color="auto"/>
              <w:right w:val="single" w:sz="4" w:space="0" w:color="auto"/>
            </w:tcBorders>
            <w:shd w:val="clear" w:color="auto" w:fill="auto"/>
            <w:noWrap/>
            <w:vAlign w:val="bottom"/>
            <w:hideMark/>
          </w:tcPr>
          <w:p w14:paraId="064CB3BA" w14:textId="136E0C79"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0</w:t>
            </w:r>
          </w:p>
        </w:tc>
        <w:tc>
          <w:tcPr>
            <w:tcW w:w="1071" w:type="dxa"/>
            <w:tcBorders>
              <w:top w:val="nil"/>
              <w:left w:val="nil"/>
              <w:bottom w:val="single" w:sz="4" w:space="0" w:color="auto"/>
              <w:right w:val="single" w:sz="4" w:space="0" w:color="auto"/>
            </w:tcBorders>
            <w:shd w:val="clear" w:color="auto" w:fill="auto"/>
            <w:noWrap/>
            <w:vAlign w:val="bottom"/>
            <w:hideMark/>
          </w:tcPr>
          <w:p w14:paraId="47978F42" w14:textId="7D773DE4"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0</w:t>
            </w:r>
          </w:p>
        </w:tc>
        <w:tc>
          <w:tcPr>
            <w:tcW w:w="1360" w:type="dxa"/>
            <w:tcBorders>
              <w:top w:val="nil"/>
              <w:left w:val="nil"/>
              <w:bottom w:val="single" w:sz="4" w:space="0" w:color="auto"/>
              <w:right w:val="single" w:sz="4" w:space="0" w:color="auto"/>
            </w:tcBorders>
            <w:shd w:val="clear" w:color="auto" w:fill="auto"/>
            <w:noWrap/>
            <w:vAlign w:val="bottom"/>
            <w:hideMark/>
          </w:tcPr>
          <w:p w14:paraId="1C5FA2A8" w14:textId="05DC2F74"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0</w:t>
            </w:r>
          </w:p>
        </w:tc>
        <w:tc>
          <w:tcPr>
            <w:tcW w:w="949" w:type="dxa"/>
            <w:tcBorders>
              <w:top w:val="nil"/>
              <w:left w:val="nil"/>
              <w:bottom w:val="single" w:sz="4" w:space="0" w:color="auto"/>
              <w:right w:val="single" w:sz="4" w:space="0" w:color="auto"/>
            </w:tcBorders>
            <w:shd w:val="clear" w:color="auto" w:fill="auto"/>
            <w:noWrap/>
            <w:vAlign w:val="bottom"/>
            <w:hideMark/>
          </w:tcPr>
          <w:p w14:paraId="1BEFCC0B" w14:textId="280B8CD2"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265</w:t>
            </w:r>
          </w:p>
        </w:tc>
        <w:tc>
          <w:tcPr>
            <w:tcW w:w="971" w:type="dxa"/>
            <w:tcBorders>
              <w:top w:val="nil"/>
              <w:left w:val="nil"/>
              <w:bottom w:val="single" w:sz="4" w:space="0" w:color="auto"/>
              <w:right w:val="single" w:sz="8" w:space="0" w:color="auto"/>
            </w:tcBorders>
            <w:shd w:val="clear" w:color="auto" w:fill="auto"/>
            <w:noWrap/>
            <w:vAlign w:val="bottom"/>
            <w:hideMark/>
          </w:tcPr>
          <w:p w14:paraId="597380A3" w14:textId="7512EFB7"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135</w:t>
            </w:r>
          </w:p>
        </w:tc>
      </w:tr>
      <w:tr w:rsidR="00E83F5B" w:rsidRPr="00F00BE5" w14:paraId="58142E09" w14:textId="77777777" w:rsidTr="00E83F5B">
        <w:trPr>
          <w:trHeight w:val="300"/>
          <w:jc w:val="center"/>
        </w:trPr>
        <w:tc>
          <w:tcPr>
            <w:tcW w:w="717" w:type="dxa"/>
            <w:tcBorders>
              <w:top w:val="nil"/>
              <w:left w:val="single" w:sz="8" w:space="0" w:color="auto"/>
              <w:bottom w:val="nil"/>
              <w:right w:val="single" w:sz="4" w:space="0" w:color="auto"/>
            </w:tcBorders>
            <w:shd w:val="clear" w:color="auto" w:fill="auto"/>
            <w:noWrap/>
            <w:vAlign w:val="bottom"/>
            <w:hideMark/>
          </w:tcPr>
          <w:p w14:paraId="0078BF97" w14:textId="77777777" w:rsidR="00E83F5B" w:rsidRPr="00F00BE5" w:rsidRDefault="00E83F5B" w:rsidP="00E83F5B">
            <w:pPr>
              <w:jc w:val="right"/>
              <w:rPr>
                <w:rFonts w:ascii="Calibri Light" w:hAnsi="Calibri Light" w:cs="Calibri Light"/>
                <w:color w:val="000000"/>
                <w:sz w:val="22"/>
                <w:szCs w:val="22"/>
                <w:lang w:eastAsia="ro-RO"/>
              </w:rPr>
            </w:pPr>
            <w:r w:rsidRPr="00F00BE5">
              <w:rPr>
                <w:rFonts w:ascii="Calibri Light" w:hAnsi="Calibri Light" w:cs="Calibri Light"/>
                <w:color w:val="000000"/>
                <w:sz w:val="22"/>
                <w:szCs w:val="22"/>
                <w:lang w:eastAsia="ro-RO"/>
              </w:rPr>
              <w:t>2024</w:t>
            </w:r>
          </w:p>
        </w:tc>
        <w:tc>
          <w:tcPr>
            <w:tcW w:w="683" w:type="dxa"/>
            <w:tcBorders>
              <w:top w:val="nil"/>
              <w:left w:val="nil"/>
              <w:bottom w:val="nil"/>
              <w:right w:val="single" w:sz="4" w:space="0" w:color="auto"/>
            </w:tcBorders>
            <w:shd w:val="clear" w:color="auto" w:fill="auto"/>
            <w:noWrap/>
            <w:vAlign w:val="bottom"/>
            <w:hideMark/>
          </w:tcPr>
          <w:p w14:paraId="335ABD2D" w14:textId="77777777" w:rsidR="00E83F5B" w:rsidRPr="00F00BE5" w:rsidRDefault="00E83F5B" w:rsidP="00E83F5B">
            <w:pPr>
              <w:rPr>
                <w:rFonts w:ascii="Calibri Light" w:hAnsi="Calibri Light" w:cs="Calibri Light"/>
                <w:color w:val="000000"/>
                <w:sz w:val="22"/>
                <w:szCs w:val="22"/>
                <w:lang w:eastAsia="ro-RO"/>
              </w:rPr>
            </w:pPr>
            <w:r w:rsidRPr="00F00BE5">
              <w:rPr>
                <w:rFonts w:ascii="Calibri Light" w:hAnsi="Calibri Light" w:cs="Calibri Light"/>
                <w:color w:val="000000"/>
                <w:sz w:val="22"/>
                <w:szCs w:val="22"/>
                <w:lang w:eastAsia="ro-RO"/>
              </w:rPr>
              <w:t>CB</w:t>
            </w:r>
          </w:p>
        </w:tc>
        <w:tc>
          <w:tcPr>
            <w:tcW w:w="1140" w:type="dxa"/>
            <w:tcBorders>
              <w:top w:val="nil"/>
              <w:left w:val="single" w:sz="4" w:space="0" w:color="auto"/>
              <w:bottom w:val="nil"/>
              <w:right w:val="single" w:sz="4" w:space="0" w:color="auto"/>
            </w:tcBorders>
            <w:shd w:val="clear" w:color="auto" w:fill="auto"/>
            <w:noWrap/>
            <w:vAlign w:val="bottom"/>
            <w:hideMark/>
          </w:tcPr>
          <w:p w14:paraId="3B183F77" w14:textId="2F8DF591"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52 355</w:t>
            </w:r>
          </w:p>
        </w:tc>
        <w:tc>
          <w:tcPr>
            <w:tcW w:w="1060" w:type="dxa"/>
            <w:tcBorders>
              <w:top w:val="nil"/>
              <w:left w:val="nil"/>
              <w:bottom w:val="nil"/>
              <w:right w:val="single" w:sz="4" w:space="0" w:color="auto"/>
            </w:tcBorders>
            <w:shd w:val="clear" w:color="auto" w:fill="auto"/>
            <w:noWrap/>
            <w:vAlign w:val="bottom"/>
            <w:hideMark/>
          </w:tcPr>
          <w:p w14:paraId="2C478E96" w14:textId="0352F06E"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49 466</w:t>
            </w:r>
          </w:p>
        </w:tc>
        <w:tc>
          <w:tcPr>
            <w:tcW w:w="1060" w:type="dxa"/>
            <w:tcBorders>
              <w:top w:val="nil"/>
              <w:left w:val="nil"/>
              <w:bottom w:val="nil"/>
              <w:right w:val="single" w:sz="4" w:space="0" w:color="auto"/>
            </w:tcBorders>
            <w:shd w:val="clear" w:color="auto" w:fill="auto"/>
            <w:noWrap/>
            <w:vAlign w:val="bottom"/>
            <w:hideMark/>
          </w:tcPr>
          <w:p w14:paraId="5035E443" w14:textId="2F28B293"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2 489</w:t>
            </w:r>
          </w:p>
        </w:tc>
        <w:tc>
          <w:tcPr>
            <w:tcW w:w="1102" w:type="dxa"/>
            <w:tcBorders>
              <w:top w:val="nil"/>
              <w:left w:val="nil"/>
              <w:bottom w:val="nil"/>
              <w:right w:val="single" w:sz="4" w:space="0" w:color="auto"/>
            </w:tcBorders>
            <w:shd w:val="clear" w:color="auto" w:fill="auto"/>
            <w:noWrap/>
            <w:vAlign w:val="bottom"/>
            <w:hideMark/>
          </w:tcPr>
          <w:p w14:paraId="3E82BB07" w14:textId="7FF3AFD4"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0</w:t>
            </w:r>
          </w:p>
        </w:tc>
        <w:tc>
          <w:tcPr>
            <w:tcW w:w="1071" w:type="dxa"/>
            <w:tcBorders>
              <w:top w:val="nil"/>
              <w:left w:val="nil"/>
              <w:bottom w:val="nil"/>
              <w:right w:val="single" w:sz="4" w:space="0" w:color="auto"/>
            </w:tcBorders>
            <w:shd w:val="clear" w:color="auto" w:fill="auto"/>
            <w:noWrap/>
            <w:vAlign w:val="bottom"/>
            <w:hideMark/>
          </w:tcPr>
          <w:p w14:paraId="384DC978" w14:textId="0D71E170"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0</w:t>
            </w:r>
          </w:p>
        </w:tc>
        <w:tc>
          <w:tcPr>
            <w:tcW w:w="1360" w:type="dxa"/>
            <w:tcBorders>
              <w:top w:val="nil"/>
              <w:left w:val="nil"/>
              <w:bottom w:val="nil"/>
              <w:right w:val="single" w:sz="4" w:space="0" w:color="auto"/>
            </w:tcBorders>
            <w:shd w:val="clear" w:color="auto" w:fill="auto"/>
            <w:noWrap/>
            <w:vAlign w:val="bottom"/>
            <w:hideMark/>
          </w:tcPr>
          <w:p w14:paraId="1B36D6D7" w14:textId="57C5DA43"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0</w:t>
            </w:r>
          </w:p>
        </w:tc>
        <w:tc>
          <w:tcPr>
            <w:tcW w:w="949" w:type="dxa"/>
            <w:tcBorders>
              <w:top w:val="nil"/>
              <w:left w:val="nil"/>
              <w:bottom w:val="nil"/>
              <w:right w:val="single" w:sz="4" w:space="0" w:color="auto"/>
            </w:tcBorders>
            <w:shd w:val="clear" w:color="auto" w:fill="auto"/>
            <w:noWrap/>
            <w:vAlign w:val="bottom"/>
            <w:hideMark/>
          </w:tcPr>
          <w:p w14:paraId="21DCAC35" w14:textId="7C6C7E86"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265</w:t>
            </w:r>
          </w:p>
        </w:tc>
        <w:tc>
          <w:tcPr>
            <w:tcW w:w="971" w:type="dxa"/>
            <w:tcBorders>
              <w:top w:val="nil"/>
              <w:left w:val="nil"/>
              <w:bottom w:val="single" w:sz="4" w:space="0" w:color="auto"/>
              <w:right w:val="single" w:sz="8" w:space="0" w:color="auto"/>
            </w:tcBorders>
            <w:shd w:val="clear" w:color="auto" w:fill="auto"/>
            <w:noWrap/>
            <w:vAlign w:val="bottom"/>
            <w:hideMark/>
          </w:tcPr>
          <w:p w14:paraId="29C72647" w14:textId="2A6B8CEB"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135</w:t>
            </w:r>
          </w:p>
        </w:tc>
      </w:tr>
      <w:tr w:rsidR="00E83F5B" w:rsidRPr="00F00BE5" w14:paraId="1B211C5F" w14:textId="77777777" w:rsidTr="00E83F5B">
        <w:trPr>
          <w:trHeight w:val="300"/>
          <w:jc w:val="center"/>
        </w:trPr>
        <w:tc>
          <w:tcPr>
            <w:tcW w:w="71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936EA9C" w14:textId="77777777" w:rsidR="00E83F5B" w:rsidRPr="00F00BE5" w:rsidRDefault="00E83F5B" w:rsidP="00E83F5B">
            <w:pPr>
              <w:jc w:val="right"/>
              <w:rPr>
                <w:rFonts w:ascii="Calibri" w:hAnsi="Calibri" w:cs="Calibri"/>
                <w:color w:val="000000"/>
                <w:sz w:val="22"/>
                <w:szCs w:val="22"/>
                <w:lang w:eastAsia="ro-RO"/>
              </w:rPr>
            </w:pPr>
            <w:r w:rsidRPr="00F00BE5">
              <w:rPr>
                <w:rFonts w:ascii="Calibri" w:hAnsi="Calibri" w:cs="Calibri"/>
                <w:color w:val="000000"/>
                <w:sz w:val="22"/>
                <w:szCs w:val="22"/>
                <w:lang w:eastAsia="ro-RO"/>
              </w:rPr>
              <w:t>2,025</w:t>
            </w:r>
          </w:p>
        </w:tc>
        <w:tc>
          <w:tcPr>
            <w:tcW w:w="683" w:type="dxa"/>
            <w:tcBorders>
              <w:top w:val="single" w:sz="4" w:space="0" w:color="auto"/>
              <w:left w:val="nil"/>
              <w:bottom w:val="single" w:sz="4" w:space="0" w:color="auto"/>
              <w:right w:val="single" w:sz="4" w:space="0" w:color="auto"/>
            </w:tcBorders>
            <w:shd w:val="clear" w:color="auto" w:fill="auto"/>
            <w:noWrap/>
            <w:vAlign w:val="bottom"/>
            <w:hideMark/>
          </w:tcPr>
          <w:p w14:paraId="6AD32641" w14:textId="77777777" w:rsidR="00E83F5B" w:rsidRPr="00F00BE5" w:rsidRDefault="00E83F5B" w:rsidP="00E83F5B">
            <w:pPr>
              <w:rPr>
                <w:rFonts w:ascii="Calibri" w:hAnsi="Calibri" w:cs="Calibri"/>
                <w:color w:val="000000"/>
                <w:sz w:val="22"/>
                <w:szCs w:val="22"/>
                <w:lang w:eastAsia="ro-RO"/>
              </w:rPr>
            </w:pPr>
            <w:r w:rsidRPr="00F00BE5">
              <w:rPr>
                <w:rFonts w:ascii="Calibri" w:hAnsi="Calibri" w:cs="Calibri"/>
                <w:color w:val="000000"/>
                <w:sz w:val="22"/>
                <w:szCs w:val="22"/>
                <w:lang w:eastAsia="ro-RO"/>
              </w:rPr>
              <w:t>CA</w:t>
            </w:r>
          </w:p>
        </w:tc>
        <w:tc>
          <w:tcPr>
            <w:tcW w:w="1140" w:type="dxa"/>
            <w:tcBorders>
              <w:top w:val="single" w:sz="4" w:space="0" w:color="auto"/>
              <w:left w:val="single" w:sz="4" w:space="0" w:color="auto"/>
              <w:bottom w:val="nil"/>
              <w:right w:val="single" w:sz="4" w:space="0" w:color="auto"/>
            </w:tcBorders>
            <w:shd w:val="clear" w:color="auto" w:fill="auto"/>
            <w:noWrap/>
            <w:vAlign w:val="bottom"/>
            <w:hideMark/>
          </w:tcPr>
          <w:p w14:paraId="416F85AC" w14:textId="43E4448F"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73 724</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6E67ED46" w14:textId="2036E7CB" w:rsidR="00E83F5B" w:rsidRPr="007574BA" w:rsidRDefault="00E83F5B" w:rsidP="00E83F5B">
            <w:pPr>
              <w:jc w:val="right"/>
              <w:rPr>
                <w:rFonts w:ascii="Calibri" w:hAnsi="Calibri" w:cs="Calibri"/>
                <w:sz w:val="22"/>
                <w:szCs w:val="22"/>
                <w:lang w:eastAsia="ro-RO"/>
              </w:rPr>
            </w:pPr>
            <w:r w:rsidRPr="007574BA">
              <w:rPr>
                <w:rFonts w:ascii="Calibri" w:hAnsi="Calibri" w:cs="Calibri"/>
                <w:sz w:val="22"/>
                <w:szCs w:val="22"/>
              </w:rPr>
              <w:t>58 976</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240695CF" w14:textId="11E545FF" w:rsidR="00E83F5B" w:rsidRPr="007574BA" w:rsidRDefault="00E83F5B" w:rsidP="00E83F5B">
            <w:pPr>
              <w:jc w:val="right"/>
              <w:rPr>
                <w:rFonts w:ascii="Calibri" w:hAnsi="Calibri" w:cs="Calibri"/>
                <w:sz w:val="22"/>
                <w:szCs w:val="22"/>
                <w:lang w:eastAsia="ro-RO"/>
              </w:rPr>
            </w:pPr>
            <w:r w:rsidRPr="007574BA">
              <w:rPr>
                <w:rFonts w:ascii="Calibri" w:hAnsi="Calibri" w:cs="Calibri"/>
                <w:sz w:val="22"/>
                <w:szCs w:val="22"/>
              </w:rPr>
              <w:t>3 660</w:t>
            </w:r>
          </w:p>
        </w:tc>
        <w:tc>
          <w:tcPr>
            <w:tcW w:w="1102" w:type="dxa"/>
            <w:tcBorders>
              <w:top w:val="single" w:sz="4" w:space="0" w:color="auto"/>
              <w:left w:val="nil"/>
              <w:bottom w:val="single" w:sz="4" w:space="0" w:color="auto"/>
              <w:right w:val="single" w:sz="4" w:space="0" w:color="auto"/>
            </w:tcBorders>
            <w:shd w:val="clear" w:color="auto" w:fill="auto"/>
            <w:noWrap/>
            <w:vAlign w:val="bottom"/>
            <w:hideMark/>
          </w:tcPr>
          <w:p w14:paraId="2BADF7F3" w14:textId="58264EDC" w:rsidR="00E83F5B" w:rsidRPr="007574BA" w:rsidRDefault="00E83F5B" w:rsidP="00E83F5B">
            <w:pPr>
              <w:jc w:val="right"/>
              <w:rPr>
                <w:rFonts w:ascii="Calibri" w:hAnsi="Calibri" w:cs="Calibri"/>
                <w:sz w:val="22"/>
                <w:szCs w:val="22"/>
                <w:lang w:eastAsia="ro-RO"/>
              </w:rPr>
            </w:pPr>
            <w:r w:rsidRPr="007574BA">
              <w:rPr>
                <w:rFonts w:ascii="Calibri" w:hAnsi="Calibri" w:cs="Calibri"/>
                <w:sz w:val="22"/>
                <w:szCs w:val="22"/>
              </w:rPr>
              <w:t>0</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14:paraId="4C0DDF45" w14:textId="79C2DB62" w:rsidR="00E83F5B" w:rsidRPr="007574BA" w:rsidRDefault="00E83F5B" w:rsidP="00E83F5B">
            <w:pPr>
              <w:jc w:val="right"/>
              <w:rPr>
                <w:rFonts w:ascii="Calibri" w:hAnsi="Calibri" w:cs="Calibri"/>
                <w:sz w:val="22"/>
                <w:szCs w:val="22"/>
                <w:lang w:eastAsia="ro-RO"/>
              </w:rPr>
            </w:pPr>
            <w:r w:rsidRPr="007574BA">
              <w:rPr>
                <w:rFonts w:ascii="Calibri" w:hAnsi="Calibri" w:cs="Calibri"/>
                <w:sz w:val="22"/>
                <w:szCs w:val="22"/>
              </w:rPr>
              <w:t>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4B3B4A89" w14:textId="6C8AA371" w:rsidR="00E83F5B" w:rsidRPr="007574BA" w:rsidRDefault="00E83F5B" w:rsidP="00E83F5B">
            <w:pPr>
              <w:jc w:val="right"/>
              <w:rPr>
                <w:rFonts w:ascii="Calibri" w:hAnsi="Calibri" w:cs="Calibri"/>
                <w:sz w:val="22"/>
                <w:szCs w:val="22"/>
                <w:lang w:eastAsia="ro-RO"/>
              </w:rPr>
            </w:pPr>
            <w:r w:rsidRPr="007574BA">
              <w:rPr>
                <w:rFonts w:ascii="Calibri" w:hAnsi="Calibri" w:cs="Calibri"/>
                <w:sz w:val="22"/>
                <w:szCs w:val="22"/>
              </w:rPr>
              <w:t>0</w:t>
            </w:r>
          </w:p>
        </w:tc>
        <w:tc>
          <w:tcPr>
            <w:tcW w:w="949" w:type="dxa"/>
            <w:tcBorders>
              <w:top w:val="single" w:sz="4" w:space="0" w:color="auto"/>
              <w:left w:val="nil"/>
              <w:bottom w:val="single" w:sz="4" w:space="0" w:color="auto"/>
              <w:right w:val="single" w:sz="4" w:space="0" w:color="auto"/>
            </w:tcBorders>
            <w:shd w:val="clear" w:color="auto" w:fill="auto"/>
            <w:noWrap/>
            <w:vAlign w:val="bottom"/>
            <w:hideMark/>
          </w:tcPr>
          <w:p w14:paraId="3CA735E6" w14:textId="12712DAD" w:rsidR="00E83F5B" w:rsidRPr="007574BA" w:rsidRDefault="00E83F5B" w:rsidP="00E83F5B">
            <w:pPr>
              <w:jc w:val="right"/>
              <w:rPr>
                <w:rFonts w:ascii="Calibri" w:hAnsi="Calibri" w:cs="Calibri"/>
                <w:sz w:val="22"/>
                <w:szCs w:val="22"/>
                <w:lang w:eastAsia="ro-RO"/>
              </w:rPr>
            </w:pPr>
            <w:r w:rsidRPr="007574BA">
              <w:rPr>
                <w:rFonts w:ascii="Calibri" w:hAnsi="Calibri" w:cs="Calibri"/>
                <w:sz w:val="22"/>
                <w:szCs w:val="22"/>
              </w:rPr>
              <w:t>6 697</w:t>
            </w:r>
          </w:p>
        </w:tc>
        <w:tc>
          <w:tcPr>
            <w:tcW w:w="971" w:type="dxa"/>
            <w:tcBorders>
              <w:top w:val="nil"/>
              <w:left w:val="nil"/>
              <w:bottom w:val="single" w:sz="4" w:space="0" w:color="auto"/>
              <w:right w:val="single" w:sz="8" w:space="0" w:color="auto"/>
            </w:tcBorders>
            <w:shd w:val="clear" w:color="auto" w:fill="auto"/>
            <w:noWrap/>
            <w:vAlign w:val="bottom"/>
            <w:hideMark/>
          </w:tcPr>
          <w:p w14:paraId="75CB8102" w14:textId="5260BB05" w:rsidR="00E83F5B" w:rsidRPr="007574BA" w:rsidRDefault="00E83F5B" w:rsidP="00E83F5B">
            <w:pPr>
              <w:jc w:val="right"/>
              <w:rPr>
                <w:rFonts w:ascii="Calibri" w:hAnsi="Calibri" w:cs="Calibri"/>
                <w:sz w:val="22"/>
                <w:szCs w:val="22"/>
                <w:lang w:eastAsia="ro-RO"/>
              </w:rPr>
            </w:pPr>
            <w:r w:rsidRPr="007574BA">
              <w:rPr>
                <w:rFonts w:ascii="Calibri" w:hAnsi="Calibri" w:cs="Calibri"/>
                <w:sz w:val="22"/>
                <w:szCs w:val="22"/>
              </w:rPr>
              <w:t>4 391</w:t>
            </w:r>
          </w:p>
        </w:tc>
      </w:tr>
      <w:tr w:rsidR="00E83F5B" w:rsidRPr="00F00BE5" w14:paraId="3864E33E" w14:textId="77777777" w:rsidTr="00E83F5B">
        <w:trPr>
          <w:trHeight w:val="315"/>
          <w:jc w:val="center"/>
        </w:trPr>
        <w:tc>
          <w:tcPr>
            <w:tcW w:w="717" w:type="dxa"/>
            <w:tcBorders>
              <w:top w:val="nil"/>
              <w:left w:val="single" w:sz="8" w:space="0" w:color="auto"/>
              <w:bottom w:val="single" w:sz="8" w:space="0" w:color="auto"/>
              <w:right w:val="single" w:sz="4" w:space="0" w:color="auto"/>
            </w:tcBorders>
            <w:shd w:val="clear" w:color="auto" w:fill="auto"/>
            <w:noWrap/>
            <w:vAlign w:val="bottom"/>
            <w:hideMark/>
          </w:tcPr>
          <w:p w14:paraId="604A18B0" w14:textId="77777777" w:rsidR="00E83F5B" w:rsidRPr="00F00BE5" w:rsidRDefault="00E83F5B" w:rsidP="00E83F5B">
            <w:pPr>
              <w:jc w:val="right"/>
              <w:rPr>
                <w:rFonts w:ascii="Calibri" w:hAnsi="Calibri" w:cs="Calibri"/>
                <w:color w:val="000000"/>
                <w:sz w:val="22"/>
                <w:szCs w:val="22"/>
                <w:lang w:eastAsia="ro-RO"/>
              </w:rPr>
            </w:pPr>
            <w:r w:rsidRPr="00F00BE5">
              <w:rPr>
                <w:rFonts w:ascii="Calibri" w:hAnsi="Calibri" w:cs="Calibri"/>
                <w:color w:val="000000"/>
                <w:sz w:val="22"/>
                <w:szCs w:val="22"/>
                <w:lang w:eastAsia="ro-RO"/>
              </w:rPr>
              <w:t>2,025</w:t>
            </w:r>
          </w:p>
        </w:tc>
        <w:tc>
          <w:tcPr>
            <w:tcW w:w="683" w:type="dxa"/>
            <w:tcBorders>
              <w:top w:val="nil"/>
              <w:left w:val="nil"/>
              <w:bottom w:val="single" w:sz="8" w:space="0" w:color="auto"/>
              <w:right w:val="single" w:sz="4" w:space="0" w:color="auto"/>
            </w:tcBorders>
            <w:shd w:val="clear" w:color="auto" w:fill="auto"/>
            <w:noWrap/>
            <w:vAlign w:val="bottom"/>
            <w:hideMark/>
          </w:tcPr>
          <w:p w14:paraId="15A21046" w14:textId="77777777" w:rsidR="00E83F5B" w:rsidRPr="00F00BE5" w:rsidRDefault="00E83F5B" w:rsidP="00E83F5B">
            <w:pPr>
              <w:rPr>
                <w:rFonts w:ascii="Calibri" w:hAnsi="Calibri" w:cs="Calibri"/>
                <w:color w:val="000000"/>
                <w:sz w:val="22"/>
                <w:szCs w:val="22"/>
                <w:lang w:eastAsia="ro-RO"/>
              </w:rPr>
            </w:pPr>
            <w:r w:rsidRPr="00F00BE5">
              <w:rPr>
                <w:rFonts w:ascii="Calibri" w:hAnsi="Calibri" w:cs="Calibri"/>
                <w:color w:val="000000"/>
                <w:sz w:val="22"/>
                <w:szCs w:val="22"/>
                <w:lang w:eastAsia="ro-RO"/>
              </w:rPr>
              <w:t>CB</w:t>
            </w:r>
          </w:p>
        </w:tc>
        <w:tc>
          <w:tcPr>
            <w:tcW w:w="114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05571C55" w14:textId="10304DD2" w:rsidR="00E83F5B" w:rsidRPr="007574BA" w:rsidRDefault="00E83F5B" w:rsidP="00E83F5B">
            <w:pPr>
              <w:jc w:val="right"/>
              <w:rPr>
                <w:rFonts w:ascii="Calibri Light" w:hAnsi="Calibri Light" w:cs="Calibri Light"/>
                <w:sz w:val="22"/>
                <w:szCs w:val="22"/>
                <w:lang w:eastAsia="ro-RO"/>
              </w:rPr>
            </w:pPr>
            <w:r w:rsidRPr="007574BA">
              <w:rPr>
                <w:rFonts w:ascii="Calibri Light" w:hAnsi="Calibri Light" w:cs="Calibri Light"/>
                <w:sz w:val="22"/>
                <w:szCs w:val="22"/>
              </w:rPr>
              <w:t>73 724</w:t>
            </w:r>
          </w:p>
        </w:tc>
        <w:tc>
          <w:tcPr>
            <w:tcW w:w="1060" w:type="dxa"/>
            <w:tcBorders>
              <w:top w:val="nil"/>
              <w:left w:val="nil"/>
              <w:bottom w:val="single" w:sz="8" w:space="0" w:color="auto"/>
              <w:right w:val="single" w:sz="4" w:space="0" w:color="auto"/>
            </w:tcBorders>
            <w:shd w:val="clear" w:color="auto" w:fill="auto"/>
            <w:noWrap/>
            <w:vAlign w:val="bottom"/>
            <w:hideMark/>
          </w:tcPr>
          <w:p w14:paraId="79E6A69E" w14:textId="59C4EBBA" w:rsidR="00E83F5B" w:rsidRPr="007574BA" w:rsidRDefault="00E83F5B" w:rsidP="00E83F5B">
            <w:pPr>
              <w:jc w:val="right"/>
              <w:rPr>
                <w:rFonts w:ascii="Calibri" w:hAnsi="Calibri" w:cs="Calibri"/>
                <w:sz w:val="22"/>
                <w:szCs w:val="22"/>
                <w:lang w:eastAsia="ro-RO"/>
              </w:rPr>
            </w:pPr>
            <w:r w:rsidRPr="007574BA">
              <w:rPr>
                <w:rFonts w:ascii="Calibri" w:hAnsi="Calibri" w:cs="Calibri"/>
                <w:sz w:val="22"/>
                <w:szCs w:val="22"/>
              </w:rPr>
              <w:t>58 976</w:t>
            </w:r>
          </w:p>
        </w:tc>
        <w:tc>
          <w:tcPr>
            <w:tcW w:w="1060" w:type="dxa"/>
            <w:tcBorders>
              <w:top w:val="nil"/>
              <w:left w:val="nil"/>
              <w:bottom w:val="single" w:sz="8" w:space="0" w:color="auto"/>
              <w:right w:val="single" w:sz="4" w:space="0" w:color="auto"/>
            </w:tcBorders>
            <w:shd w:val="clear" w:color="auto" w:fill="auto"/>
            <w:noWrap/>
            <w:vAlign w:val="bottom"/>
            <w:hideMark/>
          </w:tcPr>
          <w:p w14:paraId="2092EF04" w14:textId="3A6478AF" w:rsidR="00E83F5B" w:rsidRPr="007574BA" w:rsidRDefault="00E83F5B" w:rsidP="00E83F5B">
            <w:pPr>
              <w:jc w:val="right"/>
              <w:rPr>
                <w:rFonts w:ascii="Calibri" w:hAnsi="Calibri" w:cs="Calibri"/>
                <w:sz w:val="22"/>
                <w:szCs w:val="22"/>
                <w:lang w:eastAsia="ro-RO"/>
              </w:rPr>
            </w:pPr>
            <w:r w:rsidRPr="007574BA">
              <w:rPr>
                <w:rFonts w:ascii="Calibri" w:hAnsi="Calibri" w:cs="Calibri"/>
                <w:sz w:val="22"/>
                <w:szCs w:val="22"/>
              </w:rPr>
              <w:t>3 660</w:t>
            </w:r>
          </w:p>
        </w:tc>
        <w:tc>
          <w:tcPr>
            <w:tcW w:w="1102" w:type="dxa"/>
            <w:tcBorders>
              <w:top w:val="nil"/>
              <w:left w:val="nil"/>
              <w:bottom w:val="single" w:sz="8" w:space="0" w:color="auto"/>
              <w:right w:val="single" w:sz="4" w:space="0" w:color="auto"/>
            </w:tcBorders>
            <w:shd w:val="clear" w:color="auto" w:fill="auto"/>
            <w:noWrap/>
            <w:vAlign w:val="bottom"/>
            <w:hideMark/>
          </w:tcPr>
          <w:p w14:paraId="3FE82A6B" w14:textId="4FBAF449" w:rsidR="00E83F5B" w:rsidRPr="007574BA" w:rsidRDefault="00E83F5B" w:rsidP="00E83F5B">
            <w:pPr>
              <w:jc w:val="right"/>
              <w:rPr>
                <w:rFonts w:ascii="Calibri" w:hAnsi="Calibri" w:cs="Calibri"/>
                <w:sz w:val="22"/>
                <w:szCs w:val="22"/>
                <w:lang w:eastAsia="ro-RO"/>
              </w:rPr>
            </w:pPr>
            <w:r w:rsidRPr="007574BA">
              <w:rPr>
                <w:rFonts w:ascii="Calibri" w:hAnsi="Calibri" w:cs="Calibri"/>
                <w:sz w:val="22"/>
                <w:szCs w:val="22"/>
              </w:rPr>
              <w:t>0</w:t>
            </w:r>
          </w:p>
        </w:tc>
        <w:tc>
          <w:tcPr>
            <w:tcW w:w="1071" w:type="dxa"/>
            <w:tcBorders>
              <w:top w:val="nil"/>
              <w:left w:val="nil"/>
              <w:bottom w:val="single" w:sz="8" w:space="0" w:color="auto"/>
              <w:right w:val="single" w:sz="4" w:space="0" w:color="auto"/>
            </w:tcBorders>
            <w:shd w:val="clear" w:color="auto" w:fill="auto"/>
            <w:noWrap/>
            <w:vAlign w:val="bottom"/>
            <w:hideMark/>
          </w:tcPr>
          <w:p w14:paraId="48B02D07" w14:textId="297730C4" w:rsidR="00E83F5B" w:rsidRPr="007574BA" w:rsidRDefault="00E83F5B" w:rsidP="00E83F5B">
            <w:pPr>
              <w:jc w:val="right"/>
              <w:rPr>
                <w:rFonts w:ascii="Calibri" w:hAnsi="Calibri" w:cs="Calibri"/>
                <w:sz w:val="22"/>
                <w:szCs w:val="22"/>
                <w:lang w:eastAsia="ro-RO"/>
              </w:rPr>
            </w:pPr>
            <w:r w:rsidRPr="007574BA">
              <w:rPr>
                <w:rFonts w:ascii="Calibri" w:hAnsi="Calibri" w:cs="Calibri"/>
                <w:sz w:val="22"/>
                <w:szCs w:val="22"/>
              </w:rPr>
              <w:t>0</w:t>
            </w:r>
          </w:p>
        </w:tc>
        <w:tc>
          <w:tcPr>
            <w:tcW w:w="1360" w:type="dxa"/>
            <w:tcBorders>
              <w:top w:val="nil"/>
              <w:left w:val="nil"/>
              <w:bottom w:val="single" w:sz="8" w:space="0" w:color="auto"/>
              <w:right w:val="single" w:sz="4" w:space="0" w:color="auto"/>
            </w:tcBorders>
            <w:shd w:val="clear" w:color="auto" w:fill="auto"/>
            <w:noWrap/>
            <w:vAlign w:val="bottom"/>
            <w:hideMark/>
          </w:tcPr>
          <w:p w14:paraId="29BC3D6F" w14:textId="15E39617" w:rsidR="00E83F5B" w:rsidRPr="007574BA" w:rsidRDefault="00E83F5B" w:rsidP="00E83F5B">
            <w:pPr>
              <w:jc w:val="right"/>
              <w:rPr>
                <w:rFonts w:ascii="Calibri" w:hAnsi="Calibri" w:cs="Calibri"/>
                <w:sz w:val="22"/>
                <w:szCs w:val="22"/>
                <w:lang w:eastAsia="ro-RO"/>
              </w:rPr>
            </w:pPr>
            <w:r w:rsidRPr="007574BA">
              <w:rPr>
                <w:rFonts w:ascii="Calibri" w:hAnsi="Calibri" w:cs="Calibri"/>
                <w:sz w:val="22"/>
                <w:szCs w:val="22"/>
              </w:rPr>
              <w:t>0</w:t>
            </w:r>
          </w:p>
        </w:tc>
        <w:tc>
          <w:tcPr>
            <w:tcW w:w="949" w:type="dxa"/>
            <w:tcBorders>
              <w:top w:val="nil"/>
              <w:left w:val="nil"/>
              <w:bottom w:val="single" w:sz="8" w:space="0" w:color="auto"/>
              <w:right w:val="single" w:sz="4" w:space="0" w:color="auto"/>
            </w:tcBorders>
            <w:shd w:val="clear" w:color="auto" w:fill="auto"/>
            <w:noWrap/>
            <w:vAlign w:val="bottom"/>
            <w:hideMark/>
          </w:tcPr>
          <w:p w14:paraId="358DA7A3" w14:textId="78E506C9" w:rsidR="00E83F5B" w:rsidRPr="007574BA" w:rsidRDefault="00E83F5B" w:rsidP="00E83F5B">
            <w:pPr>
              <w:jc w:val="right"/>
              <w:rPr>
                <w:rFonts w:ascii="Calibri" w:hAnsi="Calibri" w:cs="Calibri"/>
                <w:sz w:val="22"/>
                <w:szCs w:val="22"/>
                <w:lang w:eastAsia="ro-RO"/>
              </w:rPr>
            </w:pPr>
            <w:r w:rsidRPr="007574BA">
              <w:rPr>
                <w:rFonts w:ascii="Calibri" w:hAnsi="Calibri" w:cs="Calibri"/>
                <w:sz w:val="22"/>
                <w:szCs w:val="22"/>
              </w:rPr>
              <w:t>6 697</w:t>
            </w:r>
          </w:p>
        </w:tc>
        <w:tc>
          <w:tcPr>
            <w:tcW w:w="971" w:type="dxa"/>
            <w:tcBorders>
              <w:top w:val="nil"/>
              <w:left w:val="nil"/>
              <w:bottom w:val="single" w:sz="8" w:space="0" w:color="auto"/>
              <w:right w:val="single" w:sz="8" w:space="0" w:color="auto"/>
            </w:tcBorders>
            <w:shd w:val="clear" w:color="auto" w:fill="auto"/>
            <w:noWrap/>
            <w:vAlign w:val="bottom"/>
            <w:hideMark/>
          </w:tcPr>
          <w:p w14:paraId="1664E9AA" w14:textId="58187DCD" w:rsidR="00E83F5B" w:rsidRPr="007574BA" w:rsidRDefault="00E83F5B" w:rsidP="00E83F5B">
            <w:pPr>
              <w:jc w:val="right"/>
              <w:rPr>
                <w:rFonts w:ascii="Calibri" w:hAnsi="Calibri" w:cs="Calibri"/>
                <w:sz w:val="22"/>
                <w:szCs w:val="22"/>
                <w:lang w:eastAsia="ro-RO"/>
              </w:rPr>
            </w:pPr>
            <w:r w:rsidRPr="007574BA">
              <w:rPr>
                <w:rFonts w:ascii="Calibri" w:hAnsi="Calibri" w:cs="Calibri"/>
                <w:sz w:val="22"/>
                <w:szCs w:val="22"/>
              </w:rPr>
              <w:t>4 391</w:t>
            </w:r>
          </w:p>
        </w:tc>
      </w:tr>
    </w:tbl>
    <w:p w14:paraId="6A863466" w14:textId="77777777" w:rsidR="00895FF8" w:rsidRPr="004A72CD" w:rsidRDefault="00895FF8" w:rsidP="009D3C00">
      <w:pPr>
        <w:keepNext/>
        <w:keepLines/>
        <w:spacing w:line="276" w:lineRule="auto"/>
        <w:jc w:val="center"/>
        <w:rPr>
          <w:rFonts w:asciiTheme="minorHAnsi" w:eastAsiaTheme="minorHAnsi" w:hAnsiTheme="minorHAnsi" w:cstheme="minorHAnsi"/>
          <w:b/>
          <w:sz w:val="26"/>
          <w:szCs w:val="26"/>
          <w:lang w:eastAsia="en-GB"/>
        </w:rPr>
      </w:pPr>
      <w:r w:rsidRPr="004A72CD">
        <w:rPr>
          <w:rFonts w:asciiTheme="minorHAnsi" w:eastAsiaTheme="minorHAnsi" w:hAnsiTheme="minorHAnsi" w:cstheme="minorHAnsi"/>
          <w:b/>
          <w:sz w:val="26"/>
          <w:szCs w:val="26"/>
          <w:lang w:eastAsia="en-GB"/>
        </w:rPr>
        <w:lastRenderedPageBreak/>
        <w:t>INSTITUTUL NAȚIONAL AL MAGISTRATURII</w:t>
      </w:r>
    </w:p>
    <w:p w14:paraId="62772688" w14:textId="7B3380B5" w:rsidR="00895FF8" w:rsidRPr="004A72CD" w:rsidRDefault="009D3C00" w:rsidP="009D3C00">
      <w:pPr>
        <w:keepNext/>
        <w:keepLines/>
        <w:spacing w:line="276" w:lineRule="auto"/>
        <w:jc w:val="center"/>
        <w:rPr>
          <w:rFonts w:asciiTheme="minorHAnsi" w:eastAsiaTheme="minorHAnsi" w:hAnsiTheme="minorHAnsi" w:cstheme="minorHAnsi"/>
          <w:sz w:val="26"/>
          <w:szCs w:val="26"/>
          <w:lang w:eastAsia="en-GB"/>
        </w:rPr>
      </w:pPr>
      <w:r w:rsidRPr="00313FEF">
        <w:rPr>
          <w:rFonts w:asciiTheme="minorHAnsi" w:hAnsiTheme="minorHAnsi" w:cstheme="minorHAnsi"/>
          <w:sz w:val="26"/>
          <w:szCs w:val="26"/>
          <w:lang w:eastAsia="ro-RO"/>
        </w:rPr>
        <w:drawing>
          <wp:inline distT="0" distB="0" distL="0" distR="0" wp14:anchorId="01DD9E76" wp14:editId="2E14CE57">
            <wp:extent cx="5469834" cy="3870878"/>
            <wp:effectExtent l="0" t="0" r="17145" b="15875"/>
            <wp:docPr id="2136486167" name="Chart 1">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981F9A7" w14:textId="77E5F5D4" w:rsidR="00895FF8" w:rsidRPr="004A72CD" w:rsidRDefault="00895FF8" w:rsidP="009D3C00">
      <w:pPr>
        <w:spacing w:line="276" w:lineRule="auto"/>
        <w:jc w:val="right"/>
        <w:rPr>
          <w:rFonts w:asciiTheme="minorHAnsi" w:eastAsiaTheme="minorHAnsi" w:hAnsiTheme="minorHAnsi" w:cstheme="minorHAnsi"/>
          <w:sz w:val="26"/>
          <w:szCs w:val="26"/>
        </w:rPr>
      </w:pPr>
      <w:r w:rsidRPr="004A72CD">
        <w:rPr>
          <w:rFonts w:asciiTheme="minorHAnsi" w:eastAsiaTheme="minorHAnsi" w:hAnsiTheme="minorHAnsi" w:cstheme="minorHAnsi"/>
          <w:b/>
          <w:sz w:val="26"/>
          <w:szCs w:val="26"/>
        </w:rPr>
        <w:t>mii lei</w:t>
      </w:r>
      <w:r w:rsidRPr="004A72CD">
        <w:rPr>
          <w:rFonts w:asciiTheme="minorHAnsi" w:eastAsiaTheme="minorHAnsi" w:hAnsiTheme="minorHAnsi" w:cstheme="minorHAnsi"/>
          <w:sz w:val="26"/>
          <w:szCs w:val="26"/>
        </w:rPr>
        <w:t xml:space="preserve">  </w:t>
      </w:r>
    </w:p>
    <w:tbl>
      <w:tblPr>
        <w:tblW w:w="10751" w:type="dxa"/>
        <w:tblLook w:val="04A0" w:firstRow="1" w:lastRow="0" w:firstColumn="1" w:lastColumn="0" w:noHBand="0" w:noVBand="1"/>
      </w:tblPr>
      <w:tblGrid>
        <w:gridCol w:w="841"/>
        <w:gridCol w:w="783"/>
        <w:gridCol w:w="1060"/>
        <w:gridCol w:w="1136"/>
        <w:gridCol w:w="984"/>
        <w:gridCol w:w="1187"/>
        <w:gridCol w:w="1257"/>
        <w:gridCol w:w="1257"/>
        <w:gridCol w:w="1110"/>
        <w:gridCol w:w="1136"/>
      </w:tblGrid>
      <w:tr w:rsidR="009D3C00" w:rsidRPr="00F00BE5" w14:paraId="31C806EE" w14:textId="77777777" w:rsidTr="00797021">
        <w:trPr>
          <w:trHeight w:val="1620"/>
        </w:trPr>
        <w:tc>
          <w:tcPr>
            <w:tcW w:w="841"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67F6ABFC" w14:textId="77777777" w:rsidR="009D3C00" w:rsidRPr="00F00BE5" w:rsidRDefault="009D3C00" w:rsidP="00612067">
            <w:pPr>
              <w:jc w:val="center"/>
              <w:rPr>
                <w:rFonts w:asciiTheme="minorHAnsi" w:hAnsiTheme="minorHAnsi" w:cstheme="minorHAnsi"/>
                <w:color w:val="000000"/>
                <w:sz w:val="24"/>
                <w:szCs w:val="24"/>
              </w:rPr>
            </w:pPr>
            <w:r w:rsidRPr="00F00BE5">
              <w:rPr>
                <w:rFonts w:asciiTheme="minorHAnsi" w:hAnsiTheme="minorHAnsi" w:cstheme="minorHAnsi"/>
                <w:color w:val="000000"/>
                <w:sz w:val="24"/>
                <w:szCs w:val="24"/>
              </w:rPr>
              <w:t>An</w:t>
            </w:r>
          </w:p>
        </w:tc>
        <w:tc>
          <w:tcPr>
            <w:tcW w:w="783" w:type="dxa"/>
            <w:tcBorders>
              <w:top w:val="single" w:sz="8" w:space="0" w:color="auto"/>
              <w:left w:val="nil"/>
              <w:bottom w:val="single" w:sz="4" w:space="0" w:color="auto"/>
              <w:right w:val="single" w:sz="4" w:space="0" w:color="auto"/>
            </w:tcBorders>
            <w:shd w:val="clear" w:color="000000" w:fill="D9D9D9"/>
            <w:vAlign w:val="center"/>
            <w:hideMark/>
          </w:tcPr>
          <w:p w14:paraId="7D30CDD7" w14:textId="77777777" w:rsidR="009D3C00" w:rsidRPr="00F00BE5" w:rsidRDefault="009D3C00" w:rsidP="00612067">
            <w:pPr>
              <w:jc w:val="center"/>
              <w:rPr>
                <w:rFonts w:asciiTheme="minorHAnsi" w:hAnsiTheme="minorHAnsi" w:cstheme="minorHAnsi"/>
                <w:color w:val="000000"/>
                <w:sz w:val="24"/>
                <w:szCs w:val="24"/>
              </w:rPr>
            </w:pPr>
            <w:r w:rsidRPr="00F00BE5">
              <w:rPr>
                <w:rFonts w:asciiTheme="minorHAnsi" w:hAnsiTheme="minorHAnsi" w:cstheme="minorHAnsi"/>
                <w:color w:val="000000"/>
                <w:sz w:val="24"/>
                <w:szCs w:val="24"/>
              </w:rPr>
              <w:t>Tip</w:t>
            </w:r>
            <w:r w:rsidRPr="00F00BE5">
              <w:rPr>
                <w:rFonts w:asciiTheme="minorHAnsi" w:hAnsiTheme="minorHAnsi" w:cstheme="minorHAnsi"/>
                <w:color w:val="000000"/>
                <w:sz w:val="24"/>
                <w:szCs w:val="24"/>
              </w:rPr>
              <w:br/>
              <w:t>credit</w:t>
            </w:r>
          </w:p>
        </w:tc>
        <w:tc>
          <w:tcPr>
            <w:tcW w:w="1060" w:type="dxa"/>
            <w:tcBorders>
              <w:top w:val="single" w:sz="8" w:space="0" w:color="auto"/>
              <w:left w:val="nil"/>
              <w:bottom w:val="single" w:sz="4" w:space="0" w:color="auto"/>
              <w:right w:val="single" w:sz="4" w:space="0" w:color="auto"/>
            </w:tcBorders>
            <w:shd w:val="clear" w:color="000000" w:fill="D9D9D9"/>
            <w:vAlign w:val="center"/>
            <w:hideMark/>
          </w:tcPr>
          <w:p w14:paraId="5455B581" w14:textId="77777777" w:rsidR="009D3C00" w:rsidRPr="00F00BE5" w:rsidRDefault="009D3C00" w:rsidP="00612067">
            <w:pPr>
              <w:jc w:val="center"/>
              <w:rPr>
                <w:rFonts w:asciiTheme="minorHAnsi" w:hAnsiTheme="minorHAnsi" w:cstheme="minorHAnsi"/>
                <w:color w:val="000000"/>
                <w:sz w:val="24"/>
                <w:szCs w:val="24"/>
              </w:rPr>
            </w:pPr>
            <w:r w:rsidRPr="00F00BE5">
              <w:rPr>
                <w:rFonts w:asciiTheme="minorHAnsi" w:hAnsiTheme="minorHAnsi" w:cstheme="minorHAnsi"/>
                <w:color w:val="000000"/>
                <w:sz w:val="24"/>
                <w:szCs w:val="24"/>
              </w:rPr>
              <w:t>Total</w:t>
            </w:r>
          </w:p>
        </w:tc>
        <w:tc>
          <w:tcPr>
            <w:tcW w:w="1136" w:type="dxa"/>
            <w:tcBorders>
              <w:top w:val="single" w:sz="8" w:space="0" w:color="auto"/>
              <w:left w:val="nil"/>
              <w:bottom w:val="single" w:sz="4" w:space="0" w:color="auto"/>
              <w:right w:val="single" w:sz="4" w:space="0" w:color="auto"/>
            </w:tcBorders>
            <w:shd w:val="clear" w:color="000000" w:fill="D9D9D9"/>
            <w:vAlign w:val="center"/>
            <w:hideMark/>
          </w:tcPr>
          <w:p w14:paraId="7720EE33" w14:textId="77777777" w:rsidR="009D3C00" w:rsidRPr="00F00BE5" w:rsidRDefault="009D3C00" w:rsidP="00612067">
            <w:pPr>
              <w:jc w:val="center"/>
              <w:rPr>
                <w:rFonts w:asciiTheme="minorHAnsi" w:hAnsiTheme="minorHAnsi" w:cstheme="minorHAnsi"/>
                <w:color w:val="000000"/>
                <w:sz w:val="24"/>
                <w:szCs w:val="24"/>
              </w:rPr>
            </w:pPr>
            <w:r w:rsidRPr="00F00BE5">
              <w:rPr>
                <w:rFonts w:asciiTheme="minorHAnsi" w:hAnsiTheme="minorHAnsi" w:cstheme="minorHAnsi"/>
                <w:color w:val="000000"/>
                <w:sz w:val="24"/>
                <w:szCs w:val="24"/>
              </w:rPr>
              <w:t>Cheltuieli de personal</w:t>
            </w:r>
          </w:p>
        </w:tc>
        <w:tc>
          <w:tcPr>
            <w:tcW w:w="984" w:type="dxa"/>
            <w:tcBorders>
              <w:top w:val="single" w:sz="8" w:space="0" w:color="auto"/>
              <w:left w:val="nil"/>
              <w:bottom w:val="single" w:sz="4" w:space="0" w:color="auto"/>
              <w:right w:val="single" w:sz="4" w:space="0" w:color="auto"/>
            </w:tcBorders>
            <w:shd w:val="clear" w:color="000000" w:fill="D9D9D9"/>
            <w:vAlign w:val="center"/>
            <w:hideMark/>
          </w:tcPr>
          <w:p w14:paraId="455F20A6" w14:textId="77777777" w:rsidR="009D3C00" w:rsidRPr="00F00BE5" w:rsidRDefault="009D3C00" w:rsidP="00612067">
            <w:pPr>
              <w:jc w:val="center"/>
              <w:rPr>
                <w:rFonts w:asciiTheme="minorHAnsi" w:hAnsiTheme="minorHAnsi" w:cstheme="minorHAnsi"/>
                <w:color w:val="000000"/>
                <w:sz w:val="24"/>
                <w:szCs w:val="24"/>
              </w:rPr>
            </w:pPr>
            <w:r w:rsidRPr="00F00BE5">
              <w:rPr>
                <w:rFonts w:asciiTheme="minorHAnsi" w:hAnsiTheme="minorHAnsi" w:cstheme="minorHAnsi"/>
                <w:color w:val="000000"/>
                <w:sz w:val="24"/>
                <w:szCs w:val="24"/>
              </w:rPr>
              <w:t>Bunuri și servicii</w:t>
            </w:r>
          </w:p>
        </w:tc>
        <w:tc>
          <w:tcPr>
            <w:tcW w:w="1187" w:type="dxa"/>
            <w:tcBorders>
              <w:top w:val="single" w:sz="8" w:space="0" w:color="auto"/>
              <w:left w:val="nil"/>
              <w:bottom w:val="single" w:sz="4" w:space="0" w:color="auto"/>
              <w:right w:val="single" w:sz="4" w:space="0" w:color="auto"/>
            </w:tcBorders>
            <w:shd w:val="clear" w:color="000000" w:fill="D9D9D9"/>
            <w:vAlign w:val="center"/>
            <w:hideMark/>
          </w:tcPr>
          <w:p w14:paraId="6D745F89" w14:textId="77777777" w:rsidR="009D3C00" w:rsidRPr="00F00BE5" w:rsidRDefault="009D3C00" w:rsidP="00612067">
            <w:pPr>
              <w:ind w:left="-106"/>
              <w:rPr>
                <w:rFonts w:asciiTheme="minorHAnsi" w:hAnsiTheme="minorHAnsi" w:cstheme="minorHAnsi"/>
                <w:color w:val="000000"/>
                <w:sz w:val="24"/>
                <w:szCs w:val="24"/>
              </w:rPr>
            </w:pPr>
            <w:r w:rsidRPr="00F00BE5">
              <w:rPr>
                <w:rFonts w:asciiTheme="minorHAnsi" w:hAnsiTheme="minorHAnsi" w:cstheme="minorHAnsi"/>
                <w:color w:val="000000"/>
                <w:sz w:val="24"/>
                <w:szCs w:val="24"/>
              </w:rPr>
              <w:t>Transferuri</w:t>
            </w:r>
          </w:p>
        </w:tc>
        <w:tc>
          <w:tcPr>
            <w:tcW w:w="1257" w:type="dxa"/>
            <w:tcBorders>
              <w:top w:val="single" w:sz="8" w:space="0" w:color="auto"/>
              <w:left w:val="nil"/>
              <w:bottom w:val="single" w:sz="4" w:space="0" w:color="auto"/>
              <w:right w:val="single" w:sz="4" w:space="0" w:color="auto"/>
            </w:tcBorders>
            <w:shd w:val="clear" w:color="000000" w:fill="D9D9D9"/>
            <w:vAlign w:val="center"/>
            <w:hideMark/>
          </w:tcPr>
          <w:p w14:paraId="248205CE" w14:textId="77777777" w:rsidR="009D3C00" w:rsidRPr="00F00BE5" w:rsidRDefault="009D3C00" w:rsidP="00612067">
            <w:pPr>
              <w:jc w:val="center"/>
              <w:rPr>
                <w:rFonts w:asciiTheme="minorHAnsi" w:hAnsiTheme="minorHAnsi" w:cstheme="minorHAnsi"/>
                <w:color w:val="000000"/>
                <w:sz w:val="24"/>
                <w:szCs w:val="24"/>
              </w:rPr>
            </w:pPr>
            <w:r w:rsidRPr="00F00BE5">
              <w:rPr>
                <w:rFonts w:asciiTheme="minorHAnsi" w:hAnsiTheme="minorHAnsi" w:cstheme="minorHAnsi"/>
                <w:color w:val="000000"/>
                <w:sz w:val="24"/>
                <w:szCs w:val="24"/>
              </w:rPr>
              <w:t>Alte transferuri</w:t>
            </w:r>
          </w:p>
        </w:tc>
        <w:tc>
          <w:tcPr>
            <w:tcW w:w="1257" w:type="dxa"/>
            <w:tcBorders>
              <w:top w:val="single" w:sz="8" w:space="0" w:color="auto"/>
              <w:left w:val="nil"/>
              <w:bottom w:val="single" w:sz="4" w:space="0" w:color="auto"/>
              <w:right w:val="single" w:sz="4" w:space="0" w:color="auto"/>
            </w:tcBorders>
            <w:shd w:val="clear" w:color="000000" w:fill="D9D9D9"/>
            <w:vAlign w:val="center"/>
            <w:hideMark/>
          </w:tcPr>
          <w:p w14:paraId="2B256D34" w14:textId="77777777" w:rsidR="009D3C00" w:rsidRPr="00F00BE5" w:rsidRDefault="009D3C00" w:rsidP="00612067">
            <w:pPr>
              <w:jc w:val="center"/>
              <w:rPr>
                <w:rFonts w:asciiTheme="minorHAnsi" w:hAnsiTheme="minorHAnsi" w:cstheme="minorHAnsi"/>
                <w:color w:val="000000"/>
                <w:sz w:val="24"/>
                <w:szCs w:val="24"/>
              </w:rPr>
            </w:pPr>
            <w:r w:rsidRPr="00F00BE5">
              <w:rPr>
                <w:rFonts w:asciiTheme="minorHAnsi" w:hAnsiTheme="minorHAnsi" w:cstheme="minorHAnsi"/>
                <w:color w:val="000000"/>
                <w:sz w:val="24"/>
                <w:szCs w:val="24"/>
              </w:rPr>
              <w:t>Proiecte cu finanțare din FEN aferente</w:t>
            </w:r>
            <w:r w:rsidRPr="00F00BE5">
              <w:rPr>
                <w:rFonts w:asciiTheme="minorHAnsi" w:hAnsiTheme="minorHAnsi" w:cstheme="minorHAnsi"/>
                <w:color w:val="000000"/>
                <w:sz w:val="24"/>
                <w:szCs w:val="24"/>
              </w:rPr>
              <w:br/>
              <w:t xml:space="preserve"> cadrului financiar 2014-2020</w:t>
            </w:r>
          </w:p>
        </w:tc>
        <w:tc>
          <w:tcPr>
            <w:tcW w:w="1110" w:type="dxa"/>
            <w:tcBorders>
              <w:top w:val="single" w:sz="8" w:space="0" w:color="auto"/>
              <w:left w:val="nil"/>
              <w:bottom w:val="single" w:sz="4" w:space="0" w:color="auto"/>
              <w:right w:val="single" w:sz="4" w:space="0" w:color="auto"/>
            </w:tcBorders>
            <w:shd w:val="clear" w:color="000000" w:fill="D9D9D9"/>
            <w:vAlign w:val="center"/>
            <w:hideMark/>
          </w:tcPr>
          <w:p w14:paraId="55DB34AA" w14:textId="77777777" w:rsidR="009D3C00" w:rsidRPr="00F00BE5" w:rsidRDefault="009D3C00" w:rsidP="00612067">
            <w:pPr>
              <w:jc w:val="center"/>
              <w:rPr>
                <w:rFonts w:asciiTheme="minorHAnsi" w:hAnsiTheme="minorHAnsi" w:cstheme="minorHAnsi"/>
                <w:color w:val="000000"/>
                <w:sz w:val="24"/>
                <w:szCs w:val="24"/>
              </w:rPr>
            </w:pPr>
            <w:r w:rsidRPr="00F00BE5">
              <w:rPr>
                <w:rFonts w:asciiTheme="minorHAnsi" w:hAnsiTheme="minorHAnsi" w:cstheme="minorHAnsi"/>
                <w:color w:val="000000"/>
                <w:sz w:val="24"/>
                <w:szCs w:val="24"/>
              </w:rPr>
              <w:t>Alte cheltuieli</w:t>
            </w:r>
          </w:p>
        </w:tc>
        <w:tc>
          <w:tcPr>
            <w:tcW w:w="1136" w:type="dxa"/>
            <w:tcBorders>
              <w:top w:val="single" w:sz="8" w:space="0" w:color="auto"/>
              <w:left w:val="nil"/>
              <w:bottom w:val="single" w:sz="4" w:space="0" w:color="auto"/>
              <w:right w:val="single" w:sz="8" w:space="0" w:color="auto"/>
            </w:tcBorders>
            <w:shd w:val="clear" w:color="000000" w:fill="D9D9D9"/>
            <w:vAlign w:val="center"/>
            <w:hideMark/>
          </w:tcPr>
          <w:p w14:paraId="55803041" w14:textId="77777777" w:rsidR="009D3C00" w:rsidRPr="00F00BE5" w:rsidRDefault="009D3C00" w:rsidP="00612067">
            <w:pPr>
              <w:jc w:val="center"/>
              <w:rPr>
                <w:rFonts w:asciiTheme="minorHAnsi" w:hAnsiTheme="minorHAnsi" w:cstheme="minorHAnsi"/>
                <w:color w:val="000000"/>
                <w:sz w:val="24"/>
                <w:szCs w:val="24"/>
              </w:rPr>
            </w:pPr>
            <w:r w:rsidRPr="00F00BE5">
              <w:rPr>
                <w:rFonts w:asciiTheme="minorHAnsi" w:hAnsiTheme="minorHAnsi" w:cstheme="minorHAnsi"/>
                <w:color w:val="000000"/>
                <w:sz w:val="24"/>
                <w:szCs w:val="24"/>
              </w:rPr>
              <w:t>Cheltuieli de capital</w:t>
            </w:r>
          </w:p>
        </w:tc>
      </w:tr>
      <w:tr w:rsidR="00E83F5B" w:rsidRPr="00F00BE5" w14:paraId="1AE594C7" w14:textId="77777777" w:rsidTr="00797021">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14:paraId="61BE9FB7" w14:textId="77777777" w:rsidR="00E83F5B" w:rsidRPr="00F00BE5" w:rsidRDefault="00E83F5B" w:rsidP="00E83F5B">
            <w:pPr>
              <w:jc w:val="right"/>
              <w:rPr>
                <w:rFonts w:asciiTheme="minorHAnsi" w:hAnsiTheme="minorHAnsi" w:cstheme="minorHAnsi"/>
                <w:color w:val="000000"/>
                <w:sz w:val="24"/>
                <w:szCs w:val="24"/>
              </w:rPr>
            </w:pPr>
            <w:r w:rsidRPr="00F00BE5">
              <w:rPr>
                <w:rFonts w:asciiTheme="minorHAnsi" w:hAnsiTheme="minorHAnsi" w:cstheme="minorHAnsi"/>
                <w:color w:val="000000"/>
                <w:sz w:val="24"/>
                <w:szCs w:val="24"/>
              </w:rPr>
              <w:t>2023</w:t>
            </w:r>
          </w:p>
        </w:tc>
        <w:tc>
          <w:tcPr>
            <w:tcW w:w="783" w:type="dxa"/>
            <w:tcBorders>
              <w:top w:val="nil"/>
              <w:left w:val="nil"/>
              <w:bottom w:val="single" w:sz="4" w:space="0" w:color="auto"/>
              <w:right w:val="single" w:sz="4" w:space="0" w:color="auto"/>
            </w:tcBorders>
            <w:shd w:val="clear" w:color="auto" w:fill="auto"/>
            <w:noWrap/>
            <w:vAlign w:val="bottom"/>
            <w:hideMark/>
          </w:tcPr>
          <w:p w14:paraId="690225B7" w14:textId="77777777" w:rsidR="00E83F5B" w:rsidRPr="00F00BE5" w:rsidRDefault="00E83F5B" w:rsidP="00E83F5B">
            <w:pPr>
              <w:rPr>
                <w:rFonts w:asciiTheme="minorHAnsi" w:hAnsiTheme="minorHAnsi" w:cstheme="minorHAnsi"/>
                <w:color w:val="000000"/>
                <w:sz w:val="24"/>
                <w:szCs w:val="24"/>
              </w:rPr>
            </w:pPr>
            <w:r w:rsidRPr="00F00BE5">
              <w:rPr>
                <w:rFonts w:asciiTheme="minorHAnsi" w:hAnsiTheme="minorHAnsi" w:cstheme="minorHAnsi"/>
                <w:color w:val="000000"/>
                <w:sz w:val="24"/>
                <w:szCs w:val="24"/>
              </w:rPr>
              <w:t>CA</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DCF73" w14:textId="325299B7"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72 088</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14:paraId="19BC2CD2" w14:textId="143BF503"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29 230</w:t>
            </w:r>
          </w:p>
        </w:tc>
        <w:tc>
          <w:tcPr>
            <w:tcW w:w="984" w:type="dxa"/>
            <w:tcBorders>
              <w:top w:val="single" w:sz="4" w:space="0" w:color="auto"/>
              <w:left w:val="nil"/>
              <w:bottom w:val="single" w:sz="4" w:space="0" w:color="auto"/>
              <w:right w:val="single" w:sz="4" w:space="0" w:color="auto"/>
            </w:tcBorders>
            <w:shd w:val="clear" w:color="auto" w:fill="auto"/>
            <w:noWrap/>
            <w:vAlign w:val="bottom"/>
            <w:hideMark/>
          </w:tcPr>
          <w:p w14:paraId="6310370C" w14:textId="5667817E"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2 523</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001CC17F" w14:textId="2AFA3BB4"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8</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A37DB75" w14:textId="5DD63D6E"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26</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BEB0BCA" w14:textId="2D31534E"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1 997</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14:paraId="03304F61" w14:textId="6AAE9AB0"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38 285</w:t>
            </w:r>
          </w:p>
        </w:tc>
        <w:tc>
          <w:tcPr>
            <w:tcW w:w="1136" w:type="dxa"/>
            <w:tcBorders>
              <w:top w:val="single" w:sz="4" w:space="0" w:color="auto"/>
              <w:left w:val="nil"/>
              <w:bottom w:val="single" w:sz="4" w:space="0" w:color="auto"/>
              <w:right w:val="single" w:sz="8" w:space="0" w:color="auto"/>
            </w:tcBorders>
            <w:shd w:val="clear" w:color="auto" w:fill="auto"/>
            <w:noWrap/>
            <w:vAlign w:val="bottom"/>
            <w:hideMark/>
          </w:tcPr>
          <w:p w14:paraId="6F61ED9D" w14:textId="61B97D21"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19</w:t>
            </w:r>
          </w:p>
        </w:tc>
      </w:tr>
      <w:tr w:rsidR="00E83F5B" w:rsidRPr="00F00BE5" w14:paraId="6DF29E47" w14:textId="77777777" w:rsidTr="00797021">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14:paraId="748960B2" w14:textId="77777777" w:rsidR="00E83F5B" w:rsidRPr="00F00BE5" w:rsidRDefault="00E83F5B" w:rsidP="00E83F5B">
            <w:pPr>
              <w:jc w:val="right"/>
              <w:rPr>
                <w:rFonts w:asciiTheme="minorHAnsi" w:hAnsiTheme="minorHAnsi" w:cstheme="minorHAnsi"/>
                <w:color w:val="000000"/>
                <w:sz w:val="24"/>
                <w:szCs w:val="24"/>
              </w:rPr>
            </w:pPr>
            <w:r w:rsidRPr="00F00BE5">
              <w:rPr>
                <w:rFonts w:asciiTheme="minorHAnsi" w:hAnsiTheme="minorHAnsi" w:cstheme="minorHAnsi"/>
                <w:color w:val="000000"/>
                <w:sz w:val="24"/>
                <w:szCs w:val="24"/>
              </w:rPr>
              <w:t>2023</w:t>
            </w:r>
          </w:p>
        </w:tc>
        <w:tc>
          <w:tcPr>
            <w:tcW w:w="783" w:type="dxa"/>
            <w:tcBorders>
              <w:top w:val="nil"/>
              <w:left w:val="nil"/>
              <w:bottom w:val="single" w:sz="4" w:space="0" w:color="auto"/>
              <w:right w:val="single" w:sz="4" w:space="0" w:color="auto"/>
            </w:tcBorders>
            <w:shd w:val="clear" w:color="auto" w:fill="auto"/>
            <w:noWrap/>
            <w:vAlign w:val="bottom"/>
            <w:hideMark/>
          </w:tcPr>
          <w:p w14:paraId="554F74AA" w14:textId="77777777" w:rsidR="00E83F5B" w:rsidRPr="00F00BE5" w:rsidRDefault="00E83F5B" w:rsidP="00E83F5B">
            <w:pPr>
              <w:rPr>
                <w:rFonts w:asciiTheme="minorHAnsi" w:hAnsiTheme="minorHAnsi" w:cstheme="minorHAnsi"/>
                <w:color w:val="000000"/>
                <w:sz w:val="24"/>
                <w:szCs w:val="24"/>
              </w:rPr>
            </w:pPr>
            <w:r w:rsidRPr="00F00BE5">
              <w:rPr>
                <w:rFonts w:asciiTheme="minorHAnsi" w:hAnsiTheme="minorHAnsi" w:cstheme="minorHAnsi"/>
                <w:color w:val="000000"/>
                <w:sz w:val="24"/>
                <w:szCs w:val="24"/>
              </w:rPr>
              <w:t>CB</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43B7C17" w14:textId="0394BBFC"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74 127</w:t>
            </w:r>
          </w:p>
        </w:tc>
        <w:tc>
          <w:tcPr>
            <w:tcW w:w="1136" w:type="dxa"/>
            <w:tcBorders>
              <w:top w:val="nil"/>
              <w:left w:val="nil"/>
              <w:bottom w:val="single" w:sz="4" w:space="0" w:color="auto"/>
              <w:right w:val="single" w:sz="4" w:space="0" w:color="auto"/>
            </w:tcBorders>
            <w:shd w:val="clear" w:color="auto" w:fill="auto"/>
            <w:noWrap/>
            <w:vAlign w:val="bottom"/>
            <w:hideMark/>
          </w:tcPr>
          <w:p w14:paraId="5914727E" w14:textId="1D3EC1B7"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29 230</w:t>
            </w:r>
          </w:p>
        </w:tc>
        <w:tc>
          <w:tcPr>
            <w:tcW w:w="984" w:type="dxa"/>
            <w:tcBorders>
              <w:top w:val="nil"/>
              <w:left w:val="nil"/>
              <w:bottom w:val="single" w:sz="4" w:space="0" w:color="auto"/>
              <w:right w:val="single" w:sz="4" w:space="0" w:color="auto"/>
            </w:tcBorders>
            <w:shd w:val="clear" w:color="auto" w:fill="auto"/>
            <w:noWrap/>
            <w:vAlign w:val="bottom"/>
            <w:hideMark/>
          </w:tcPr>
          <w:p w14:paraId="00793A72" w14:textId="3A51AFF3"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2 523</w:t>
            </w:r>
          </w:p>
        </w:tc>
        <w:tc>
          <w:tcPr>
            <w:tcW w:w="1187" w:type="dxa"/>
            <w:tcBorders>
              <w:top w:val="nil"/>
              <w:left w:val="nil"/>
              <w:bottom w:val="single" w:sz="4" w:space="0" w:color="auto"/>
              <w:right w:val="single" w:sz="4" w:space="0" w:color="auto"/>
            </w:tcBorders>
            <w:shd w:val="clear" w:color="auto" w:fill="auto"/>
            <w:noWrap/>
            <w:vAlign w:val="bottom"/>
            <w:hideMark/>
          </w:tcPr>
          <w:p w14:paraId="45C3E5C1" w14:textId="7267CDF8"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8</w:t>
            </w:r>
          </w:p>
        </w:tc>
        <w:tc>
          <w:tcPr>
            <w:tcW w:w="1257" w:type="dxa"/>
            <w:tcBorders>
              <w:top w:val="nil"/>
              <w:left w:val="nil"/>
              <w:bottom w:val="single" w:sz="4" w:space="0" w:color="auto"/>
              <w:right w:val="single" w:sz="4" w:space="0" w:color="auto"/>
            </w:tcBorders>
            <w:shd w:val="clear" w:color="auto" w:fill="auto"/>
            <w:noWrap/>
            <w:vAlign w:val="bottom"/>
            <w:hideMark/>
          </w:tcPr>
          <w:p w14:paraId="0751FBC1" w14:textId="54E28953"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26</w:t>
            </w:r>
          </w:p>
        </w:tc>
        <w:tc>
          <w:tcPr>
            <w:tcW w:w="1257" w:type="dxa"/>
            <w:tcBorders>
              <w:top w:val="nil"/>
              <w:left w:val="nil"/>
              <w:bottom w:val="single" w:sz="4" w:space="0" w:color="auto"/>
              <w:right w:val="single" w:sz="4" w:space="0" w:color="auto"/>
            </w:tcBorders>
            <w:shd w:val="clear" w:color="auto" w:fill="auto"/>
            <w:noWrap/>
            <w:vAlign w:val="bottom"/>
            <w:hideMark/>
          </w:tcPr>
          <w:p w14:paraId="6F33C37F" w14:textId="5191088E"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4 036</w:t>
            </w:r>
          </w:p>
        </w:tc>
        <w:tc>
          <w:tcPr>
            <w:tcW w:w="1110" w:type="dxa"/>
            <w:tcBorders>
              <w:top w:val="nil"/>
              <w:left w:val="nil"/>
              <w:bottom w:val="single" w:sz="4" w:space="0" w:color="auto"/>
              <w:right w:val="single" w:sz="4" w:space="0" w:color="auto"/>
            </w:tcBorders>
            <w:shd w:val="clear" w:color="auto" w:fill="auto"/>
            <w:noWrap/>
            <w:vAlign w:val="bottom"/>
            <w:hideMark/>
          </w:tcPr>
          <w:p w14:paraId="2FDFDBAB" w14:textId="1E5E3EB1"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38 285</w:t>
            </w:r>
          </w:p>
        </w:tc>
        <w:tc>
          <w:tcPr>
            <w:tcW w:w="1136" w:type="dxa"/>
            <w:tcBorders>
              <w:top w:val="nil"/>
              <w:left w:val="nil"/>
              <w:bottom w:val="single" w:sz="4" w:space="0" w:color="auto"/>
              <w:right w:val="single" w:sz="8" w:space="0" w:color="auto"/>
            </w:tcBorders>
            <w:shd w:val="clear" w:color="auto" w:fill="auto"/>
            <w:noWrap/>
            <w:vAlign w:val="bottom"/>
            <w:hideMark/>
          </w:tcPr>
          <w:p w14:paraId="39FB04C4" w14:textId="7CB87804"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19</w:t>
            </w:r>
          </w:p>
        </w:tc>
      </w:tr>
      <w:tr w:rsidR="00E83F5B" w:rsidRPr="00F00BE5" w14:paraId="1C95EFEB" w14:textId="77777777" w:rsidTr="00797021">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14:paraId="0FAF0A26" w14:textId="77777777" w:rsidR="00E83F5B" w:rsidRPr="00F00BE5" w:rsidRDefault="00E83F5B" w:rsidP="00E83F5B">
            <w:pPr>
              <w:jc w:val="right"/>
              <w:rPr>
                <w:rFonts w:asciiTheme="minorHAnsi" w:hAnsiTheme="minorHAnsi" w:cstheme="minorHAnsi"/>
                <w:color w:val="000000"/>
                <w:sz w:val="24"/>
                <w:szCs w:val="24"/>
              </w:rPr>
            </w:pPr>
            <w:r w:rsidRPr="00F00BE5">
              <w:rPr>
                <w:rFonts w:asciiTheme="minorHAnsi" w:hAnsiTheme="minorHAnsi" w:cstheme="minorHAnsi"/>
                <w:color w:val="000000"/>
                <w:sz w:val="24"/>
                <w:szCs w:val="24"/>
              </w:rPr>
              <w:t>2024</w:t>
            </w:r>
          </w:p>
        </w:tc>
        <w:tc>
          <w:tcPr>
            <w:tcW w:w="783" w:type="dxa"/>
            <w:tcBorders>
              <w:top w:val="nil"/>
              <w:left w:val="nil"/>
              <w:bottom w:val="single" w:sz="4" w:space="0" w:color="auto"/>
              <w:right w:val="single" w:sz="4" w:space="0" w:color="auto"/>
            </w:tcBorders>
            <w:shd w:val="clear" w:color="auto" w:fill="auto"/>
            <w:noWrap/>
            <w:vAlign w:val="bottom"/>
            <w:hideMark/>
          </w:tcPr>
          <w:p w14:paraId="49250D20" w14:textId="77777777" w:rsidR="00E83F5B" w:rsidRPr="00F00BE5" w:rsidRDefault="00E83F5B" w:rsidP="00E83F5B">
            <w:pPr>
              <w:rPr>
                <w:rFonts w:asciiTheme="minorHAnsi" w:hAnsiTheme="minorHAnsi" w:cstheme="minorHAnsi"/>
                <w:color w:val="000000"/>
                <w:sz w:val="24"/>
                <w:szCs w:val="24"/>
              </w:rPr>
            </w:pPr>
            <w:r w:rsidRPr="00F00BE5">
              <w:rPr>
                <w:rFonts w:asciiTheme="minorHAnsi" w:hAnsiTheme="minorHAnsi" w:cstheme="minorHAnsi"/>
                <w:color w:val="000000"/>
                <w:sz w:val="24"/>
                <w:szCs w:val="24"/>
              </w:rPr>
              <w:t>CA</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D755CBE" w14:textId="63198B5E" w:rsidR="00E83F5B" w:rsidRPr="007574BA" w:rsidRDefault="00E83F5B" w:rsidP="00797021">
            <w:pPr>
              <w:jc w:val="right"/>
              <w:rPr>
                <w:rFonts w:asciiTheme="minorHAnsi" w:hAnsiTheme="minorHAnsi" w:cstheme="minorHAnsi"/>
                <w:sz w:val="24"/>
                <w:szCs w:val="24"/>
              </w:rPr>
            </w:pPr>
            <w:r w:rsidRPr="007574BA">
              <w:rPr>
                <w:rFonts w:ascii="Calibri Light" w:hAnsi="Calibri Light" w:cs="Calibri Light"/>
                <w:sz w:val="22"/>
                <w:szCs w:val="22"/>
              </w:rPr>
              <w:t>102 809</w:t>
            </w:r>
          </w:p>
        </w:tc>
        <w:tc>
          <w:tcPr>
            <w:tcW w:w="1136" w:type="dxa"/>
            <w:tcBorders>
              <w:top w:val="nil"/>
              <w:left w:val="nil"/>
              <w:bottom w:val="single" w:sz="4" w:space="0" w:color="auto"/>
              <w:right w:val="single" w:sz="4" w:space="0" w:color="auto"/>
            </w:tcBorders>
            <w:shd w:val="clear" w:color="auto" w:fill="auto"/>
            <w:noWrap/>
            <w:vAlign w:val="bottom"/>
            <w:hideMark/>
          </w:tcPr>
          <w:p w14:paraId="0A73AFE1" w14:textId="03F18347"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44 583</w:t>
            </w:r>
          </w:p>
        </w:tc>
        <w:tc>
          <w:tcPr>
            <w:tcW w:w="984" w:type="dxa"/>
            <w:tcBorders>
              <w:top w:val="nil"/>
              <w:left w:val="nil"/>
              <w:bottom w:val="single" w:sz="4" w:space="0" w:color="auto"/>
              <w:right w:val="single" w:sz="4" w:space="0" w:color="auto"/>
            </w:tcBorders>
            <w:shd w:val="clear" w:color="auto" w:fill="auto"/>
            <w:noWrap/>
            <w:vAlign w:val="bottom"/>
            <w:hideMark/>
          </w:tcPr>
          <w:p w14:paraId="132F0FD3" w14:textId="0C4B84D2"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6 166</w:t>
            </w:r>
          </w:p>
        </w:tc>
        <w:tc>
          <w:tcPr>
            <w:tcW w:w="1187" w:type="dxa"/>
            <w:tcBorders>
              <w:top w:val="nil"/>
              <w:left w:val="nil"/>
              <w:bottom w:val="single" w:sz="4" w:space="0" w:color="auto"/>
              <w:right w:val="single" w:sz="4" w:space="0" w:color="auto"/>
            </w:tcBorders>
            <w:shd w:val="clear" w:color="auto" w:fill="auto"/>
            <w:noWrap/>
            <w:vAlign w:val="bottom"/>
            <w:hideMark/>
          </w:tcPr>
          <w:p w14:paraId="0F7ED744" w14:textId="6C8D116A"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16</w:t>
            </w:r>
          </w:p>
        </w:tc>
        <w:tc>
          <w:tcPr>
            <w:tcW w:w="1257" w:type="dxa"/>
            <w:tcBorders>
              <w:top w:val="nil"/>
              <w:left w:val="nil"/>
              <w:bottom w:val="single" w:sz="4" w:space="0" w:color="auto"/>
              <w:right w:val="single" w:sz="4" w:space="0" w:color="auto"/>
            </w:tcBorders>
            <w:shd w:val="clear" w:color="auto" w:fill="auto"/>
            <w:noWrap/>
            <w:vAlign w:val="bottom"/>
            <w:hideMark/>
          </w:tcPr>
          <w:p w14:paraId="1014F55E" w14:textId="4D33EE48"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26</w:t>
            </w:r>
          </w:p>
        </w:tc>
        <w:tc>
          <w:tcPr>
            <w:tcW w:w="1257" w:type="dxa"/>
            <w:tcBorders>
              <w:top w:val="nil"/>
              <w:left w:val="nil"/>
              <w:bottom w:val="single" w:sz="4" w:space="0" w:color="auto"/>
              <w:right w:val="single" w:sz="4" w:space="0" w:color="auto"/>
            </w:tcBorders>
            <w:shd w:val="clear" w:color="auto" w:fill="auto"/>
            <w:noWrap/>
            <w:vAlign w:val="bottom"/>
            <w:hideMark/>
          </w:tcPr>
          <w:p w14:paraId="0F15CA54" w14:textId="7AD6248C"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465</w:t>
            </w:r>
          </w:p>
        </w:tc>
        <w:tc>
          <w:tcPr>
            <w:tcW w:w="1110" w:type="dxa"/>
            <w:tcBorders>
              <w:top w:val="nil"/>
              <w:left w:val="nil"/>
              <w:bottom w:val="single" w:sz="4" w:space="0" w:color="auto"/>
              <w:right w:val="single" w:sz="4" w:space="0" w:color="auto"/>
            </w:tcBorders>
            <w:shd w:val="clear" w:color="auto" w:fill="auto"/>
            <w:noWrap/>
            <w:vAlign w:val="bottom"/>
            <w:hideMark/>
          </w:tcPr>
          <w:p w14:paraId="51FFAE50" w14:textId="68656A4C"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51 526</w:t>
            </w:r>
          </w:p>
        </w:tc>
        <w:tc>
          <w:tcPr>
            <w:tcW w:w="1136" w:type="dxa"/>
            <w:tcBorders>
              <w:top w:val="nil"/>
              <w:left w:val="nil"/>
              <w:bottom w:val="single" w:sz="4" w:space="0" w:color="auto"/>
              <w:right w:val="single" w:sz="8" w:space="0" w:color="auto"/>
            </w:tcBorders>
            <w:shd w:val="clear" w:color="auto" w:fill="auto"/>
            <w:noWrap/>
            <w:vAlign w:val="bottom"/>
            <w:hideMark/>
          </w:tcPr>
          <w:p w14:paraId="58CF1CEF" w14:textId="7E5A1135"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27</w:t>
            </w:r>
          </w:p>
        </w:tc>
      </w:tr>
      <w:tr w:rsidR="00E83F5B" w:rsidRPr="00F00BE5" w14:paraId="208723D8" w14:textId="77777777" w:rsidTr="00797021">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14:paraId="3F21BDD9" w14:textId="77777777" w:rsidR="00E83F5B" w:rsidRPr="00F00BE5" w:rsidRDefault="00E83F5B" w:rsidP="00E83F5B">
            <w:pPr>
              <w:jc w:val="right"/>
              <w:rPr>
                <w:rFonts w:asciiTheme="minorHAnsi" w:hAnsiTheme="minorHAnsi" w:cstheme="minorHAnsi"/>
                <w:color w:val="000000"/>
                <w:sz w:val="24"/>
                <w:szCs w:val="24"/>
              </w:rPr>
            </w:pPr>
            <w:r w:rsidRPr="00F00BE5">
              <w:rPr>
                <w:rFonts w:asciiTheme="minorHAnsi" w:hAnsiTheme="minorHAnsi" w:cstheme="minorHAnsi"/>
                <w:color w:val="000000"/>
                <w:sz w:val="24"/>
                <w:szCs w:val="24"/>
              </w:rPr>
              <w:t>2024</w:t>
            </w:r>
          </w:p>
        </w:tc>
        <w:tc>
          <w:tcPr>
            <w:tcW w:w="783" w:type="dxa"/>
            <w:tcBorders>
              <w:top w:val="nil"/>
              <w:left w:val="nil"/>
              <w:bottom w:val="single" w:sz="4" w:space="0" w:color="auto"/>
              <w:right w:val="single" w:sz="4" w:space="0" w:color="auto"/>
            </w:tcBorders>
            <w:shd w:val="clear" w:color="auto" w:fill="auto"/>
            <w:noWrap/>
            <w:vAlign w:val="bottom"/>
            <w:hideMark/>
          </w:tcPr>
          <w:p w14:paraId="0C7CFF82" w14:textId="77777777" w:rsidR="00E83F5B" w:rsidRPr="00F00BE5" w:rsidRDefault="00E83F5B" w:rsidP="00E83F5B">
            <w:pPr>
              <w:rPr>
                <w:rFonts w:asciiTheme="minorHAnsi" w:hAnsiTheme="minorHAnsi" w:cstheme="minorHAnsi"/>
                <w:color w:val="000000"/>
                <w:sz w:val="24"/>
                <w:szCs w:val="24"/>
              </w:rPr>
            </w:pPr>
            <w:r w:rsidRPr="00F00BE5">
              <w:rPr>
                <w:rFonts w:asciiTheme="minorHAnsi" w:hAnsiTheme="minorHAnsi" w:cstheme="minorHAnsi"/>
                <w:color w:val="000000"/>
                <w:sz w:val="24"/>
                <w:szCs w:val="24"/>
              </w:rPr>
              <w:t>CB</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262D141" w14:textId="6CA80425"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102 043</w:t>
            </w:r>
          </w:p>
        </w:tc>
        <w:tc>
          <w:tcPr>
            <w:tcW w:w="1136" w:type="dxa"/>
            <w:tcBorders>
              <w:top w:val="nil"/>
              <w:left w:val="nil"/>
              <w:bottom w:val="single" w:sz="4" w:space="0" w:color="auto"/>
              <w:right w:val="single" w:sz="4" w:space="0" w:color="auto"/>
            </w:tcBorders>
            <w:shd w:val="clear" w:color="auto" w:fill="auto"/>
            <w:noWrap/>
            <w:vAlign w:val="bottom"/>
            <w:hideMark/>
          </w:tcPr>
          <w:p w14:paraId="140278D7" w14:textId="090147A7"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44 583</w:t>
            </w:r>
          </w:p>
        </w:tc>
        <w:tc>
          <w:tcPr>
            <w:tcW w:w="984" w:type="dxa"/>
            <w:tcBorders>
              <w:top w:val="nil"/>
              <w:left w:val="nil"/>
              <w:bottom w:val="single" w:sz="4" w:space="0" w:color="auto"/>
              <w:right w:val="single" w:sz="4" w:space="0" w:color="auto"/>
            </w:tcBorders>
            <w:shd w:val="clear" w:color="auto" w:fill="auto"/>
            <w:noWrap/>
            <w:vAlign w:val="bottom"/>
            <w:hideMark/>
          </w:tcPr>
          <w:p w14:paraId="3DE29BDC" w14:textId="105B30C2"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5 400</w:t>
            </w:r>
          </w:p>
        </w:tc>
        <w:tc>
          <w:tcPr>
            <w:tcW w:w="1187" w:type="dxa"/>
            <w:tcBorders>
              <w:top w:val="nil"/>
              <w:left w:val="nil"/>
              <w:bottom w:val="single" w:sz="4" w:space="0" w:color="auto"/>
              <w:right w:val="single" w:sz="4" w:space="0" w:color="auto"/>
            </w:tcBorders>
            <w:shd w:val="clear" w:color="auto" w:fill="auto"/>
            <w:noWrap/>
            <w:vAlign w:val="bottom"/>
            <w:hideMark/>
          </w:tcPr>
          <w:p w14:paraId="398212E6" w14:textId="2A1CDB5A"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16</w:t>
            </w:r>
          </w:p>
        </w:tc>
        <w:tc>
          <w:tcPr>
            <w:tcW w:w="1257" w:type="dxa"/>
            <w:tcBorders>
              <w:top w:val="nil"/>
              <w:left w:val="nil"/>
              <w:bottom w:val="single" w:sz="4" w:space="0" w:color="auto"/>
              <w:right w:val="single" w:sz="4" w:space="0" w:color="auto"/>
            </w:tcBorders>
            <w:shd w:val="clear" w:color="auto" w:fill="auto"/>
            <w:noWrap/>
            <w:vAlign w:val="bottom"/>
            <w:hideMark/>
          </w:tcPr>
          <w:p w14:paraId="4E1BE270" w14:textId="1E9FB806"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26</w:t>
            </w:r>
          </w:p>
        </w:tc>
        <w:tc>
          <w:tcPr>
            <w:tcW w:w="1257" w:type="dxa"/>
            <w:tcBorders>
              <w:top w:val="nil"/>
              <w:left w:val="nil"/>
              <w:bottom w:val="single" w:sz="4" w:space="0" w:color="auto"/>
              <w:right w:val="single" w:sz="4" w:space="0" w:color="auto"/>
            </w:tcBorders>
            <w:shd w:val="clear" w:color="auto" w:fill="auto"/>
            <w:noWrap/>
            <w:vAlign w:val="bottom"/>
            <w:hideMark/>
          </w:tcPr>
          <w:p w14:paraId="1ECAB735" w14:textId="3395D9FD"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465</w:t>
            </w:r>
          </w:p>
        </w:tc>
        <w:tc>
          <w:tcPr>
            <w:tcW w:w="1110" w:type="dxa"/>
            <w:tcBorders>
              <w:top w:val="nil"/>
              <w:left w:val="nil"/>
              <w:bottom w:val="single" w:sz="4" w:space="0" w:color="auto"/>
              <w:right w:val="single" w:sz="4" w:space="0" w:color="auto"/>
            </w:tcBorders>
            <w:shd w:val="clear" w:color="auto" w:fill="auto"/>
            <w:noWrap/>
            <w:vAlign w:val="bottom"/>
            <w:hideMark/>
          </w:tcPr>
          <w:p w14:paraId="61E341E5" w14:textId="0A3B7F89"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51 526</w:t>
            </w:r>
          </w:p>
        </w:tc>
        <w:tc>
          <w:tcPr>
            <w:tcW w:w="1136" w:type="dxa"/>
            <w:tcBorders>
              <w:top w:val="nil"/>
              <w:left w:val="nil"/>
              <w:bottom w:val="single" w:sz="4" w:space="0" w:color="auto"/>
              <w:right w:val="single" w:sz="8" w:space="0" w:color="auto"/>
            </w:tcBorders>
            <w:shd w:val="clear" w:color="auto" w:fill="auto"/>
            <w:noWrap/>
            <w:vAlign w:val="bottom"/>
            <w:hideMark/>
          </w:tcPr>
          <w:p w14:paraId="6663DFA1" w14:textId="1B19ABEC"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27</w:t>
            </w:r>
          </w:p>
        </w:tc>
      </w:tr>
      <w:tr w:rsidR="00E83F5B" w:rsidRPr="00F00BE5" w14:paraId="6B1B3503" w14:textId="77777777" w:rsidTr="00797021">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14:paraId="7B76CEB6" w14:textId="77777777" w:rsidR="00E83F5B" w:rsidRPr="00F00BE5" w:rsidRDefault="00E83F5B" w:rsidP="00E83F5B">
            <w:pPr>
              <w:jc w:val="right"/>
              <w:rPr>
                <w:rFonts w:asciiTheme="minorHAnsi" w:hAnsiTheme="minorHAnsi" w:cstheme="minorHAnsi"/>
                <w:color w:val="000000"/>
                <w:sz w:val="24"/>
                <w:szCs w:val="24"/>
              </w:rPr>
            </w:pPr>
            <w:r w:rsidRPr="00F00BE5">
              <w:rPr>
                <w:rFonts w:asciiTheme="minorHAnsi" w:hAnsiTheme="minorHAnsi" w:cstheme="minorHAnsi"/>
                <w:color w:val="000000"/>
                <w:sz w:val="24"/>
                <w:szCs w:val="24"/>
              </w:rPr>
              <w:t>2025</w:t>
            </w:r>
          </w:p>
        </w:tc>
        <w:tc>
          <w:tcPr>
            <w:tcW w:w="783" w:type="dxa"/>
            <w:tcBorders>
              <w:top w:val="nil"/>
              <w:left w:val="nil"/>
              <w:bottom w:val="single" w:sz="4" w:space="0" w:color="auto"/>
              <w:right w:val="single" w:sz="4" w:space="0" w:color="auto"/>
            </w:tcBorders>
            <w:shd w:val="clear" w:color="auto" w:fill="auto"/>
            <w:noWrap/>
            <w:vAlign w:val="bottom"/>
            <w:hideMark/>
          </w:tcPr>
          <w:p w14:paraId="17E513A1" w14:textId="77777777" w:rsidR="00E83F5B" w:rsidRPr="00F00BE5" w:rsidRDefault="00E83F5B" w:rsidP="00E83F5B">
            <w:pPr>
              <w:rPr>
                <w:rFonts w:asciiTheme="minorHAnsi" w:hAnsiTheme="minorHAnsi" w:cstheme="minorHAnsi"/>
                <w:color w:val="000000"/>
                <w:sz w:val="24"/>
                <w:szCs w:val="24"/>
              </w:rPr>
            </w:pPr>
            <w:r w:rsidRPr="00F00BE5">
              <w:rPr>
                <w:rFonts w:asciiTheme="minorHAnsi" w:hAnsiTheme="minorHAnsi" w:cstheme="minorHAnsi"/>
                <w:color w:val="000000"/>
                <w:sz w:val="24"/>
                <w:szCs w:val="24"/>
              </w:rPr>
              <w:t>CA</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A2ED68A" w14:textId="71F5258E" w:rsidR="00E83F5B" w:rsidRPr="007574BA" w:rsidRDefault="00E83F5B" w:rsidP="00E83F5B">
            <w:pPr>
              <w:ind w:left="-179"/>
              <w:jc w:val="right"/>
              <w:rPr>
                <w:rFonts w:asciiTheme="minorHAnsi" w:hAnsiTheme="minorHAnsi" w:cstheme="minorHAnsi"/>
                <w:sz w:val="24"/>
                <w:szCs w:val="24"/>
              </w:rPr>
            </w:pPr>
            <w:r w:rsidRPr="007574BA">
              <w:rPr>
                <w:rFonts w:ascii="Calibri Light" w:hAnsi="Calibri Light" w:cs="Calibri Light"/>
                <w:sz w:val="22"/>
                <w:szCs w:val="22"/>
              </w:rPr>
              <w:t>149 610</w:t>
            </w:r>
          </w:p>
        </w:tc>
        <w:tc>
          <w:tcPr>
            <w:tcW w:w="1136" w:type="dxa"/>
            <w:tcBorders>
              <w:top w:val="nil"/>
              <w:left w:val="nil"/>
              <w:bottom w:val="single" w:sz="4" w:space="0" w:color="auto"/>
              <w:right w:val="single" w:sz="4" w:space="0" w:color="auto"/>
            </w:tcBorders>
            <w:shd w:val="clear" w:color="auto" w:fill="auto"/>
            <w:noWrap/>
            <w:vAlign w:val="bottom"/>
            <w:hideMark/>
          </w:tcPr>
          <w:p w14:paraId="01E937D1" w14:textId="1E10ADD7"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59 500</w:t>
            </w:r>
          </w:p>
        </w:tc>
        <w:tc>
          <w:tcPr>
            <w:tcW w:w="984" w:type="dxa"/>
            <w:tcBorders>
              <w:top w:val="nil"/>
              <w:left w:val="nil"/>
              <w:bottom w:val="single" w:sz="4" w:space="0" w:color="auto"/>
              <w:right w:val="single" w:sz="4" w:space="0" w:color="auto"/>
            </w:tcBorders>
            <w:shd w:val="clear" w:color="auto" w:fill="auto"/>
            <w:noWrap/>
            <w:vAlign w:val="bottom"/>
            <w:hideMark/>
          </w:tcPr>
          <w:p w14:paraId="6B0EEB92" w14:textId="23B43377"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23 095</w:t>
            </w:r>
          </w:p>
        </w:tc>
        <w:tc>
          <w:tcPr>
            <w:tcW w:w="1187" w:type="dxa"/>
            <w:tcBorders>
              <w:top w:val="nil"/>
              <w:left w:val="nil"/>
              <w:bottom w:val="single" w:sz="4" w:space="0" w:color="auto"/>
              <w:right w:val="single" w:sz="4" w:space="0" w:color="auto"/>
            </w:tcBorders>
            <w:shd w:val="clear" w:color="auto" w:fill="auto"/>
            <w:noWrap/>
            <w:vAlign w:val="bottom"/>
            <w:hideMark/>
          </w:tcPr>
          <w:p w14:paraId="3670250C" w14:textId="20BCDFF3"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0</w:t>
            </w:r>
          </w:p>
        </w:tc>
        <w:tc>
          <w:tcPr>
            <w:tcW w:w="1257" w:type="dxa"/>
            <w:tcBorders>
              <w:top w:val="nil"/>
              <w:left w:val="nil"/>
              <w:bottom w:val="single" w:sz="4" w:space="0" w:color="auto"/>
              <w:right w:val="single" w:sz="4" w:space="0" w:color="auto"/>
            </w:tcBorders>
            <w:shd w:val="clear" w:color="auto" w:fill="auto"/>
            <w:noWrap/>
            <w:vAlign w:val="bottom"/>
            <w:hideMark/>
          </w:tcPr>
          <w:p w14:paraId="074A0239" w14:textId="4F371B83"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86</w:t>
            </w:r>
          </w:p>
        </w:tc>
        <w:tc>
          <w:tcPr>
            <w:tcW w:w="1257" w:type="dxa"/>
            <w:tcBorders>
              <w:top w:val="nil"/>
              <w:left w:val="nil"/>
              <w:bottom w:val="single" w:sz="4" w:space="0" w:color="auto"/>
              <w:right w:val="single" w:sz="4" w:space="0" w:color="auto"/>
            </w:tcBorders>
            <w:shd w:val="clear" w:color="auto" w:fill="auto"/>
            <w:noWrap/>
            <w:vAlign w:val="bottom"/>
            <w:hideMark/>
          </w:tcPr>
          <w:p w14:paraId="3D43F569" w14:textId="515EAD1A"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10 341</w:t>
            </w:r>
          </w:p>
        </w:tc>
        <w:tc>
          <w:tcPr>
            <w:tcW w:w="1110" w:type="dxa"/>
            <w:tcBorders>
              <w:top w:val="nil"/>
              <w:left w:val="nil"/>
              <w:bottom w:val="single" w:sz="4" w:space="0" w:color="auto"/>
              <w:right w:val="single" w:sz="4" w:space="0" w:color="auto"/>
            </w:tcBorders>
            <w:shd w:val="clear" w:color="auto" w:fill="auto"/>
            <w:noWrap/>
            <w:vAlign w:val="bottom"/>
            <w:hideMark/>
          </w:tcPr>
          <w:p w14:paraId="732A9987" w14:textId="4A5945E3"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55 962</w:t>
            </w:r>
          </w:p>
        </w:tc>
        <w:tc>
          <w:tcPr>
            <w:tcW w:w="1136" w:type="dxa"/>
            <w:tcBorders>
              <w:top w:val="nil"/>
              <w:left w:val="nil"/>
              <w:bottom w:val="single" w:sz="4" w:space="0" w:color="auto"/>
              <w:right w:val="single" w:sz="8" w:space="0" w:color="auto"/>
            </w:tcBorders>
            <w:shd w:val="clear" w:color="auto" w:fill="auto"/>
            <w:noWrap/>
            <w:vAlign w:val="bottom"/>
            <w:hideMark/>
          </w:tcPr>
          <w:p w14:paraId="4450CED2" w14:textId="33D06CDC"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626</w:t>
            </w:r>
          </w:p>
        </w:tc>
      </w:tr>
      <w:tr w:rsidR="00E83F5B" w:rsidRPr="00F00BE5" w14:paraId="48E80185" w14:textId="77777777" w:rsidTr="00797021">
        <w:trPr>
          <w:trHeight w:val="315"/>
        </w:trPr>
        <w:tc>
          <w:tcPr>
            <w:tcW w:w="841" w:type="dxa"/>
            <w:tcBorders>
              <w:top w:val="nil"/>
              <w:left w:val="single" w:sz="8" w:space="0" w:color="auto"/>
              <w:bottom w:val="single" w:sz="8" w:space="0" w:color="auto"/>
              <w:right w:val="single" w:sz="4" w:space="0" w:color="auto"/>
            </w:tcBorders>
            <w:shd w:val="clear" w:color="auto" w:fill="auto"/>
            <w:noWrap/>
            <w:vAlign w:val="bottom"/>
            <w:hideMark/>
          </w:tcPr>
          <w:p w14:paraId="0DCDB56B" w14:textId="77777777" w:rsidR="00E83F5B" w:rsidRPr="00F00BE5" w:rsidRDefault="00E83F5B" w:rsidP="00E83F5B">
            <w:pPr>
              <w:jc w:val="right"/>
              <w:rPr>
                <w:rFonts w:asciiTheme="minorHAnsi" w:hAnsiTheme="minorHAnsi" w:cstheme="minorHAnsi"/>
                <w:color w:val="000000"/>
                <w:sz w:val="24"/>
                <w:szCs w:val="24"/>
              </w:rPr>
            </w:pPr>
            <w:r w:rsidRPr="00F00BE5">
              <w:rPr>
                <w:rFonts w:asciiTheme="minorHAnsi" w:hAnsiTheme="minorHAnsi" w:cstheme="minorHAnsi"/>
                <w:color w:val="000000"/>
                <w:sz w:val="24"/>
                <w:szCs w:val="24"/>
              </w:rPr>
              <w:t>2025</w:t>
            </w:r>
          </w:p>
        </w:tc>
        <w:tc>
          <w:tcPr>
            <w:tcW w:w="783" w:type="dxa"/>
            <w:tcBorders>
              <w:top w:val="nil"/>
              <w:left w:val="nil"/>
              <w:bottom w:val="single" w:sz="8" w:space="0" w:color="auto"/>
              <w:right w:val="single" w:sz="4" w:space="0" w:color="auto"/>
            </w:tcBorders>
            <w:shd w:val="clear" w:color="auto" w:fill="auto"/>
            <w:noWrap/>
            <w:vAlign w:val="bottom"/>
            <w:hideMark/>
          </w:tcPr>
          <w:p w14:paraId="27B59121" w14:textId="77777777" w:rsidR="00E83F5B" w:rsidRPr="00F00BE5" w:rsidRDefault="00E83F5B" w:rsidP="00E83F5B">
            <w:pPr>
              <w:rPr>
                <w:rFonts w:asciiTheme="minorHAnsi" w:hAnsiTheme="minorHAnsi" w:cstheme="minorHAnsi"/>
                <w:color w:val="000000"/>
                <w:sz w:val="24"/>
                <w:szCs w:val="24"/>
              </w:rPr>
            </w:pPr>
            <w:r w:rsidRPr="00F00BE5">
              <w:rPr>
                <w:rFonts w:asciiTheme="minorHAnsi" w:hAnsiTheme="minorHAnsi" w:cstheme="minorHAnsi"/>
                <w:color w:val="000000"/>
                <w:sz w:val="24"/>
                <w:szCs w:val="24"/>
              </w:rPr>
              <w:t>CB</w:t>
            </w:r>
          </w:p>
        </w:tc>
        <w:tc>
          <w:tcPr>
            <w:tcW w:w="1060" w:type="dxa"/>
            <w:tcBorders>
              <w:top w:val="nil"/>
              <w:left w:val="single" w:sz="4" w:space="0" w:color="auto"/>
              <w:bottom w:val="single" w:sz="8" w:space="0" w:color="auto"/>
              <w:right w:val="single" w:sz="4" w:space="0" w:color="auto"/>
            </w:tcBorders>
            <w:shd w:val="clear" w:color="auto" w:fill="auto"/>
            <w:noWrap/>
            <w:vAlign w:val="bottom"/>
            <w:hideMark/>
          </w:tcPr>
          <w:p w14:paraId="7B8D6EDC" w14:textId="6B7A94E5" w:rsidR="00E83F5B" w:rsidRPr="007574BA" w:rsidRDefault="00E83F5B" w:rsidP="00E83F5B">
            <w:pPr>
              <w:ind w:left="-179"/>
              <w:jc w:val="right"/>
              <w:rPr>
                <w:rFonts w:asciiTheme="minorHAnsi" w:hAnsiTheme="minorHAnsi" w:cstheme="minorHAnsi"/>
                <w:sz w:val="24"/>
                <w:szCs w:val="24"/>
              </w:rPr>
            </w:pPr>
            <w:r w:rsidRPr="007574BA">
              <w:rPr>
                <w:rFonts w:ascii="Calibri Light" w:hAnsi="Calibri Light" w:cs="Calibri Light"/>
                <w:sz w:val="22"/>
                <w:szCs w:val="22"/>
              </w:rPr>
              <w:t>143 379</w:t>
            </w:r>
          </w:p>
        </w:tc>
        <w:tc>
          <w:tcPr>
            <w:tcW w:w="1136" w:type="dxa"/>
            <w:tcBorders>
              <w:top w:val="nil"/>
              <w:left w:val="nil"/>
              <w:bottom w:val="single" w:sz="4" w:space="0" w:color="auto"/>
              <w:right w:val="single" w:sz="4" w:space="0" w:color="auto"/>
            </w:tcBorders>
            <w:shd w:val="clear" w:color="auto" w:fill="auto"/>
            <w:noWrap/>
            <w:vAlign w:val="bottom"/>
            <w:hideMark/>
          </w:tcPr>
          <w:p w14:paraId="7BE2DFE2" w14:textId="4EF73F78"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59 500</w:t>
            </w:r>
          </w:p>
        </w:tc>
        <w:tc>
          <w:tcPr>
            <w:tcW w:w="984" w:type="dxa"/>
            <w:tcBorders>
              <w:top w:val="nil"/>
              <w:left w:val="nil"/>
              <w:bottom w:val="single" w:sz="4" w:space="0" w:color="auto"/>
              <w:right w:val="single" w:sz="4" w:space="0" w:color="auto"/>
            </w:tcBorders>
            <w:shd w:val="clear" w:color="auto" w:fill="auto"/>
            <w:noWrap/>
            <w:vAlign w:val="bottom"/>
            <w:hideMark/>
          </w:tcPr>
          <w:p w14:paraId="49B3EBF2" w14:textId="172742BE"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23 095</w:t>
            </w:r>
          </w:p>
        </w:tc>
        <w:tc>
          <w:tcPr>
            <w:tcW w:w="1187" w:type="dxa"/>
            <w:tcBorders>
              <w:top w:val="nil"/>
              <w:left w:val="nil"/>
              <w:bottom w:val="single" w:sz="4" w:space="0" w:color="auto"/>
              <w:right w:val="single" w:sz="4" w:space="0" w:color="auto"/>
            </w:tcBorders>
            <w:shd w:val="clear" w:color="auto" w:fill="auto"/>
            <w:noWrap/>
            <w:vAlign w:val="bottom"/>
            <w:hideMark/>
          </w:tcPr>
          <w:p w14:paraId="166F6CB9" w14:textId="01515E53"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0</w:t>
            </w:r>
          </w:p>
        </w:tc>
        <w:tc>
          <w:tcPr>
            <w:tcW w:w="1257" w:type="dxa"/>
            <w:tcBorders>
              <w:top w:val="nil"/>
              <w:left w:val="nil"/>
              <w:bottom w:val="single" w:sz="4" w:space="0" w:color="auto"/>
              <w:right w:val="single" w:sz="4" w:space="0" w:color="auto"/>
            </w:tcBorders>
            <w:shd w:val="clear" w:color="auto" w:fill="auto"/>
            <w:noWrap/>
            <w:vAlign w:val="bottom"/>
            <w:hideMark/>
          </w:tcPr>
          <w:p w14:paraId="4BAAA576" w14:textId="6D25E71F"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86</w:t>
            </w:r>
          </w:p>
        </w:tc>
        <w:tc>
          <w:tcPr>
            <w:tcW w:w="1257" w:type="dxa"/>
            <w:tcBorders>
              <w:top w:val="nil"/>
              <w:left w:val="nil"/>
              <w:bottom w:val="single" w:sz="4" w:space="0" w:color="auto"/>
              <w:right w:val="single" w:sz="4" w:space="0" w:color="auto"/>
            </w:tcBorders>
            <w:shd w:val="clear" w:color="auto" w:fill="auto"/>
            <w:noWrap/>
            <w:vAlign w:val="bottom"/>
            <w:hideMark/>
          </w:tcPr>
          <w:p w14:paraId="6C9A78CE" w14:textId="16238927"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4 110</w:t>
            </w:r>
          </w:p>
        </w:tc>
        <w:tc>
          <w:tcPr>
            <w:tcW w:w="1110" w:type="dxa"/>
            <w:tcBorders>
              <w:top w:val="nil"/>
              <w:left w:val="nil"/>
              <w:bottom w:val="single" w:sz="4" w:space="0" w:color="auto"/>
              <w:right w:val="single" w:sz="4" w:space="0" w:color="auto"/>
            </w:tcBorders>
            <w:shd w:val="clear" w:color="auto" w:fill="auto"/>
            <w:noWrap/>
            <w:vAlign w:val="bottom"/>
            <w:hideMark/>
          </w:tcPr>
          <w:p w14:paraId="7D1967F9" w14:textId="06C0796B"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55 962</w:t>
            </w:r>
          </w:p>
        </w:tc>
        <w:tc>
          <w:tcPr>
            <w:tcW w:w="1136" w:type="dxa"/>
            <w:tcBorders>
              <w:top w:val="nil"/>
              <w:left w:val="nil"/>
              <w:bottom w:val="single" w:sz="4" w:space="0" w:color="auto"/>
              <w:right w:val="single" w:sz="8" w:space="0" w:color="auto"/>
            </w:tcBorders>
            <w:shd w:val="clear" w:color="auto" w:fill="auto"/>
            <w:noWrap/>
            <w:vAlign w:val="bottom"/>
            <w:hideMark/>
          </w:tcPr>
          <w:p w14:paraId="52B6C673" w14:textId="66D7EA23" w:rsidR="00E83F5B" w:rsidRPr="007574BA" w:rsidRDefault="00E83F5B" w:rsidP="00E83F5B">
            <w:pPr>
              <w:jc w:val="right"/>
              <w:rPr>
                <w:rFonts w:asciiTheme="minorHAnsi" w:hAnsiTheme="minorHAnsi" w:cstheme="minorHAnsi"/>
                <w:sz w:val="24"/>
                <w:szCs w:val="24"/>
              </w:rPr>
            </w:pPr>
            <w:r w:rsidRPr="007574BA">
              <w:rPr>
                <w:rFonts w:ascii="Calibri Light" w:hAnsi="Calibri Light" w:cs="Calibri Light"/>
                <w:sz w:val="22"/>
                <w:szCs w:val="22"/>
              </w:rPr>
              <w:t>626</w:t>
            </w:r>
          </w:p>
        </w:tc>
      </w:tr>
    </w:tbl>
    <w:p w14:paraId="3BF7C21B" w14:textId="77777777" w:rsidR="00895FF8" w:rsidRPr="004A72CD" w:rsidRDefault="00895FF8" w:rsidP="009D3C00">
      <w:pPr>
        <w:keepNext/>
        <w:keepLines/>
        <w:spacing w:line="276" w:lineRule="auto"/>
        <w:jc w:val="center"/>
        <w:rPr>
          <w:rFonts w:asciiTheme="minorHAnsi" w:eastAsiaTheme="minorHAnsi" w:hAnsiTheme="minorHAnsi" w:cstheme="minorHAnsi"/>
          <w:b/>
          <w:sz w:val="26"/>
          <w:szCs w:val="26"/>
        </w:rPr>
      </w:pPr>
      <w:r w:rsidRPr="004A72CD">
        <w:rPr>
          <w:rFonts w:asciiTheme="minorHAnsi" w:eastAsiaTheme="minorHAnsi" w:hAnsiTheme="minorHAnsi" w:cstheme="minorHAnsi"/>
          <w:b/>
          <w:sz w:val="26"/>
          <w:szCs w:val="26"/>
        </w:rPr>
        <w:lastRenderedPageBreak/>
        <w:t>ȘCOALA NAȚIONALĂ DE GREFIERI</w:t>
      </w:r>
    </w:p>
    <w:p w14:paraId="11223914" w14:textId="77777777" w:rsidR="009D3C00" w:rsidRDefault="009D3C00" w:rsidP="009D3C00">
      <w:pPr>
        <w:keepNext/>
        <w:keepLines/>
        <w:spacing w:line="276" w:lineRule="auto"/>
        <w:jc w:val="center"/>
        <w:rPr>
          <w:rFonts w:asciiTheme="minorHAnsi" w:eastAsiaTheme="minorHAnsi" w:hAnsiTheme="minorHAnsi" w:cstheme="minorHAnsi"/>
          <w:sz w:val="26"/>
          <w:szCs w:val="26"/>
        </w:rPr>
      </w:pPr>
      <w:r w:rsidRPr="00313FEF">
        <w:rPr>
          <w:rFonts w:asciiTheme="minorHAnsi" w:hAnsiTheme="minorHAnsi" w:cstheme="minorHAnsi"/>
          <w:sz w:val="26"/>
          <w:szCs w:val="26"/>
          <w:lang w:eastAsia="ro-RO"/>
        </w:rPr>
        <w:drawing>
          <wp:inline distT="0" distB="0" distL="0" distR="0" wp14:anchorId="45904830" wp14:editId="4B2E43D6">
            <wp:extent cx="5312465" cy="3967783"/>
            <wp:effectExtent l="0" t="0" r="2540" b="13970"/>
            <wp:docPr id="44461643" name="Chart 1">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252EAE3" w14:textId="134675CF" w:rsidR="00895FF8" w:rsidRDefault="00895FF8" w:rsidP="009D3C00">
      <w:pPr>
        <w:keepNext/>
        <w:keepLines/>
        <w:spacing w:line="276" w:lineRule="auto"/>
        <w:jc w:val="right"/>
        <w:rPr>
          <w:rFonts w:asciiTheme="minorHAnsi" w:eastAsiaTheme="minorHAnsi" w:hAnsiTheme="minorHAnsi" w:cstheme="minorHAnsi"/>
          <w:b/>
          <w:sz w:val="26"/>
          <w:szCs w:val="26"/>
        </w:rPr>
      </w:pPr>
      <w:r w:rsidRPr="004A72CD">
        <w:rPr>
          <w:rFonts w:asciiTheme="minorHAnsi" w:eastAsiaTheme="minorHAnsi" w:hAnsiTheme="minorHAnsi" w:cstheme="minorHAnsi"/>
          <w:b/>
          <w:sz w:val="26"/>
          <w:szCs w:val="26"/>
        </w:rPr>
        <w:t>mii lei</w:t>
      </w:r>
    </w:p>
    <w:tbl>
      <w:tblPr>
        <w:tblW w:w="10609" w:type="dxa"/>
        <w:tblLook w:val="04A0" w:firstRow="1" w:lastRow="0" w:firstColumn="1" w:lastColumn="0" w:noHBand="0" w:noVBand="1"/>
      </w:tblPr>
      <w:tblGrid>
        <w:gridCol w:w="841"/>
        <w:gridCol w:w="783"/>
        <w:gridCol w:w="918"/>
        <w:gridCol w:w="1136"/>
        <w:gridCol w:w="984"/>
        <w:gridCol w:w="1187"/>
        <w:gridCol w:w="1257"/>
        <w:gridCol w:w="1257"/>
        <w:gridCol w:w="1110"/>
        <w:gridCol w:w="1136"/>
      </w:tblGrid>
      <w:tr w:rsidR="009D3C00" w:rsidRPr="00313FEF" w14:paraId="51C01433" w14:textId="77777777" w:rsidTr="00FF4C56">
        <w:trPr>
          <w:trHeight w:val="1590"/>
        </w:trPr>
        <w:tc>
          <w:tcPr>
            <w:tcW w:w="841"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1CB60596" w14:textId="77777777" w:rsidR="009D3C00" w:rsidRPr="00E61782" w:rsidRDefault="009D3C00" w:rsidP="00612067">
            <w:pPr>
              <w:jc w:val="center"/>
              <w:rPr>
                <w:rFonts w:asciiTheme="minorHAnsi" w:hAnsiTheme="minorHAnsi" w:cstheme="minorHAnsi"/>
                <w:color w:val="000000"/>
                <w:sz w:val="24"/>
                <w:szCs w:val="24"/>
              </w:rPr>
            </w:pPr>
            <w:r w:rsidRPr="00E61782">
              <w:rPr>
                <w:rFonts w:asciiTheme="minorHAnsi" w:hAnsiTheme="minorHAnsi" w:cstheme="minorHAnsi"/>
                <w:color w:val="000000"/>
                <w:sz w:val="24"/>
                <w:szCs w:val="24"/>
              </w:rPr>
              <w:t>An</w:t>
            </w:r>
          </w:p>
        </w:tc>
        <w:tc>
          <w:tcPr>
            <w:tcW w:w="783" w:type="dxa"/>
            <w:tcBorders>
              <w:top w:val="single" w:sz="8" w:space="0" w:color="auto"/>
              <w:left w:val="nil"/>
              <w:bottom w:val="single" w:sz="4" w:space="0" w:color="auto"/>
              <w:right w:val="single" w:sz="4" w:space="0" w:color="auto"/>
            </w:tcBorders>
            <w:shd w:val="clear" w:color="000000" w:fill="D9D9D9"/>
            <w:vAlign w:val="center"/>
            <w:hideMark/>
          </w:tcPr>
          <w:p w14:paraId="0E01154D" w14:textId="77777777" w:rsidR="009D3C00" w:rsidRPr="00E61782" w:rsidRDefault="009D3C00" w:rsidP="00612067">
            <w:pPr>
              <w:jc w:val="center"/>
              <w:rPr>
                <w:rFonts w:asciiTheme="minorHAnsi" w:hAnsiTheme="minorHAnsi" w:cstheme="minorHAnsi"/>
                <w:color w:val="000000"/>
                <w:sz w:val="24"/>
                <w:szCs w:val="24"/>
              </w:rPr>
            </w:pPr>
            <w:r w:rsidRPr="00E61782">
              <w:rPr>
                <w:rFonts w:asciiTheme="minorHAnsi" w:hAnsiTheme="minorHAnsi" w:cstheme="minorHAnsi"/>
                <w:color w:val="000000"/>
                <w:sz w:val="24"/>
                <w:szCs w:val="24"/>
              </w:rPr>
              <w:t>Tip</w:t>
            </w:r>
            <w:r w:rsidRPr="00E61782">
              <w:rPr>
                <w:rFonts w:asciiTheme="minorHAnsi" w:hAnsiTheme="minorHAnsi" w:cstheme="minorHAnsi"/>
                <w:color w:val="000000"/>
                <w:sz w:val="24"/>
                <w:szCs w:val="24"/>
              </w:rPr>
              <w:br/>
              <w:t>credit</w:t>
            </w:r>
          </w:p>
        </w:tc>
        <w:tc>
          <w:tcPr>
            <w:tcW w:w="918" w:type="dxa"/>
            <w:tcBorders>
              <w:top w:val="single" w:sz="8" w:space="0" w:color="auto"/>
              <w:left w:val="nil"/>
              <w:bottom w:val="single" w:sz="4" w:space="0" w:color="auto"/>
              <w:right w:val="single" w:sz="4" w:space="0" w:color="auto"/>
            </w:tcBorders>
            <w:shd w:val="clear" w:color="000000" w:fill="D9D9D9"/>
            <w:vAlign w:val="center"/>
            <w:hideMark/>
          </w:tcPr>
          <w:p w14:paraId="5A9ADB3A" w14:textId="77777777" w:rsidR="009D3C00" w:rsidRPr="00E61782" w:rsidRDefault="009D3C00" w:rsidP="00612067">
            <w:pPr>
              <w:jc w:val="center"/>
              <w:rPr>
                <w:rFonts w:asciiTheme="minorHAnsi" w:hAnsiTheme="minorHAnsi" w:cstheme="minorHAnsi"/>
                <w:color w:val="000000"/>
                <w:sz w:val="24"/>
                <w:szCs w:val="24"/>
              </w:rPr>
            </w:pPr>
            <w:r w:rsidRPr="00E61782">
              <w:rPr>
                <w:rFonts w:asciiTheme="minorHAnsi" w:hAnsiTheme="minorHAnsi" w:cstheme="minorHAnsi"/>
                <w:color w:val="000000"/>
                <w:sz w:val="24"/>
                <w:szCs w:val="24"/>
              </w:rPr>
              <w:t>Total</w:t>
            </w:r>
          </w:p>
        </w:tc>
        <w:tc>
          <w:tcPr>
            <w:tcW w:w="1136" w:type="dxa"/>
            <w:tcBorders>
              <w:top w:val="single" w:sz="8" w:space="0" w:color="auto"/>
              <w:left w:val="nil"/>
              <w:bottom w:val="single" w:sz="4" w:space="0" w:color="auto"/>
              <w:right w:val="single" w:sz="4" w:space="0" w:color="auto"/>
            </w:tcBorders>
            <w:shd w:val="clear" w:color="000000" w:fill="D9D9D9"/>
            <w:vAlign w:val="center"/>
            <w:hideMark/>
          </w:tcPr>
          <w:p w14:paraId="01D91904" w14:textId="77777777" w:rsidR="009D3C00" w:rsidRPr="00E61782" w:rsidRDefault="009D3C00" w:rsidP="00612067">
            <w:pPr>
              <w:jc w:val="center"/>
              <w:rPr>
                <w:rFonts w:asciiTheme="minorHAnsi" w:hAnsiTheme="minorHAnsi" w:cstheme="minorHAnsi"/>
                <w:color w:val="000000"/>
                <w:sz w:val="24"/>
                <w:szCs w:val="24"/>
              </w:rPr>
            </w:pPr>
            <w:r w:rsidRPr="00E61782">
              <w:rPr>
                <w:rFonts w:asciiTheme="minorHAnsi" w:hAnsiTheme="minorHAnsi" w:cstheme="minorHAnsi"/>
                <w:color w:val="000000"/>
                <w:sz w:val="24"/>
                <w:szCs w:val="24"/>
              </w:rPr>
              <w:t>Cheltuieli de personal</w:t>
            </w:r>
          </w:p>
        </w:tc>
        <w:tc>
          <w:tcPr>
            <w:tcW w:w="984" w:type="dxa"/>
            <w:tcBorders>
              <w:top w:val="single" w:sz="8" w:space="0" w:color="auto"/>
              <w:left w:val="nil"/>
              <w:bottom w:val="single" w:sz="4" w:space="0" w:color="auto"/>
              <w:right w:val="single" w:sz="4" w:space="0" w:color="auto"/>
            </w:tcBorders>
            <w:shd w:val="clear" w:color="000000" w:fill="D9D9D9"/>
            <w:vAlign w:val="center"/>
            <w:hideMark/>
          </w:tcPr>
          <w:p w14:paraId="00A152DF" w14:textId="77777777" w:rsidR="009D3C00" w:rsidRPr="00E61782" w:rsidRDefault="009D3C00" w:rsidP="00612067">
            <w:pPr>
              <w:jc w:val="center"/>
              <w:rPr>
                <w:rFonts w:asciiTheme="minorHAnsi" w:hAnsiTheme="minorHAnsi" w:cstheme="minorHAnsi"/>
                <w:color w:val="000000"/>
                <w:sz w:val="24"/>
                <w:szCs w:val="24"/>
              </w:rPr>
            </w:pPr>
            <w:r w:rsidRPr="00E61782">
              <w:rPr>
                <w:rFonts w:asciiTheme="minorHAnsi" w:hAnsiTheme="minorHAnsi" w:cstheme="minorHAnsi"/>
                <w:color w:val="000000"/>
                <w:sz w:val="24"/>
                <w:szCs w:val="24"/>
              </w:rPr>
              <w:t>Bunuri și servicii</w:t>
            </w:r>
          </w:p>
        </w:tc>
        <w:tc>
          <w:tcPr>
            <w:tcW w:w="1187" w:type="dxa"/>
            <w:tcBorders>
              <w:top w:val="single" w:sz="8" w:space="0" w:color="auto"/>
              <w:left w:val="nil"/>
              <w:bottom w:val="single" w:sz="4" w:space="0" w:color="auto"/>
              <w:right w:val="single" w:sz="4" w:space="0" w:color="auto"/>
            </w:tcBorders>
            <w:shd w:val="clear" w:color="000000" w:fill="D9D9D9"/>
            <w:vAlign w:val="center"/>
            <w:hideMark/>
          </w:tcPr>
          <w:p w14:paraId="47F4F321" w14:textId="77777777" w:rsidR="009D3C00" w:rsidRPr="00E61782" w:rsidRDefault="009D3C00" w:rsidP="00612067">
            <w:pPr>
              <w:ind w:left="-106"/>
              <w:jc w:val="center"/>
              <w:rPr>
                <w:rFonts w:asciiTheme="minorHAnsi" w:hAnsiTheme="minorHAnsi" w:cstheme="minorHAnsi"/>
                <w:color w:val="000000"/>
                <w:sz w:val="24"/>
                <w:szCs w:val="24"/>
              </w:rPr>
            </w:pPr>
            <w:r w:rsidRPr="00E61782">
              <w:rPr>
                <w:rFonts w:asciiTheme="minorHAnsi" w:hAnsiTheme="minorHAnsi" w:cstheme="minorHAnsi"/>
                <w:color w:val="000000"/>
                <w:sz w:val="24"/>
                <w:szCs w:val="24"/>
              </w:rPr>
              <w:t>Transferuri</w:t>
            </w:r>
          </w:p>
        </w:tc>
        <w:tc>
          <w:tcPr>
            <w:tcW w:w="1257" w:type="dxa"/>
            <w:tcBorders>
              <w:top w:val="single" w:sz="8" w:space="0" w:color="auto"/>
              <w:left w:val="nil"/>
              <w:bottom w:val="single" w:sz="4" w:space="0" w:color="auto"/>
              <w:right w:val="single" w:sz="4" w:space="0" w:color="auto"/>
            </w:tcBorders>
            <w:shd w:val="clear" w:color="000000" w:fill="D9D9D9"/>
            <w:vAlign w:val="center"/>
            <w:hideMark/>
          </w:tcPr>
          <w:p w14:paraId="1B2019B8" w14:textId="77777777" w:rsidR="009D3C00" w:rsidRPr="00E61782" w:rsidRDefault="009D3C00" w:rsidP="00612067">
            <w:pPr>
              <w:jc w:val="center"/>
              <w:rPr>
                <w:rFonts w:asciiTheme="minorHAnsi" w:hAnsiTheme="minorHAnsi" w:cstheme="minorHAnsi"/>
                <w:color w:val="000000"/>
                <w:sz w:val="24"/>
                <w:szCs w:val="24"/>
              </w:rPr>
            </w:pPr>
            <w:r w:rsidRPr="00E61782">
              <w:rPr>
                <w:rFonts w:asciiTheme="minorHAnsi" w:hAnsiTheme="minorHAnsi" w:cstheme="minorHAnsi"/>
                <w:color w:val="000000"/>
                <w:sz w:val="24"/>
                <w:szCs w:val="24"/>
              </w:rPr>
              <w:t>Alte transferuri</w:t>
            </w:r>
          </w:p>
        </w:tc>
        <w:tc>
          <w:tcPr>
            <w:tcW w:w="1257" w:type="dxa"/>
            <w:tcBorders>
              <w:top w:val="single" w:sz="8" w:space="0" w:color="auto"/>
              <w:left w:val="nil"/>
              <w:bottom w:val="single" w:sz="4" w:space="0" w:color="auto"/>
              <w:right w:val="single" w:sz="4" w:space="0" w:color="auto"/>
            </w:tcBorders>
            <w:shd w:val="clear" w:color="000000" w:fill="D9D9D9"/>
            <w:vAlign w:val="center"/>
            <w:hideMark/>
          </w:tcPr>
          <w:p w14:paraId="39875B52" w14:textId="77777777" w:rsidR="009D3C00" w:rsidRPr="00E61782" w:rsidRDefault="009D3C00" w:rsidP="00612067">
            <w:pPr>
              <w:jc w:val="center"/>
              <w:rPr>
                <w:rFonts w:asciiTheme="minorHAnsi" w:hAnsiTheme="minorHAnsi" w:cstheme="minorHAnsi"/>
                <w:color w:val="000000"/>
                <w:sz w:val="24"/>
                <w:szCs w:val="24"/>
              </w:rPr>
            </w:pPr>
            <w:r w:rsidRPr="00E61782">
              <w:rPr>
                <w:rFonts w:asciiTheme="minorHAnsi" w:hAnsiTheme="minorHAnsi" w:cstheme="minorHAnsi"/>
                <w:color w:val="000000"/>
                <w:sz w:val="24"/>
                <w:szCs w:val="24"/>
              </w:rPr>
              <w:t>Proiecte cu finanțare din FEN aferente</w:t>
            </w:r>
            <w:r w:rsidRPr="00E61782">
              <w:rPr>
                <w:rFonts w:asciiTheme="minorHAnsi" w:hAnsiTheme="minorHAnsi" w:cstheme="minorHAnsi"/>
                <w:color w:val="000000"/>
                <w:sz w:val="24"/>
                <w:szCs w:val="24"/>
              </w:rPr>
              <w:br/>
              <w:t xml:space="preserve"> cadrului financiar 2014-2020</w:t>
            </w:r>
          </w:p>
        </w:tc>
        <w:tc>
          <w:tcPr>
            <w:tcW w:w="1110" w:type="dxa"/>
            <w:tcBorders>
              <w:top w:val="single" w:sz="8" w:space="0" w:color="auto"/>
              <w:left w:val="nil"/>
              <w:bottom w:val="single" w:sz="4" w:space="0" w:color="auto"/>
              <w:right w:val="single" w:sz="4" w:space="0" w:color="auto"/>
            </w:tcBorders>
            <w:shd w:val="clear" w:color="000000" w:fill="D9D9D9"/>
            <w:vAlign w:val="center"/>
            <w:hideMark/>
          </w:tcPr>
          <w:p w14:paraId="18C72A77" w14:textId="77777777" w:rsidR="009D3C00" w:rsidRPr="00E61782" w:rsidRDefault="009D3C00" w:rsidP="00612067">
            <w:pPr>
              <w:jc w:val="center"/>
              <w:rPr>
                <w:rFonts w:asciiTheme="minorHAnsi" w:hAnsiTheme="minorHAnsi" w:cstheme="minorHAnsi"/>
                <w:color w:val="000000"/>
                <w:sz w:val="24"/>
                <w:szCs w:val="24"/>
              </w:rPr>
            </w:pPr>
            <w:r w:rsidRPr="00E61782">
              <w:rPr>
                <w:rFonts w:asciiTheme="minorHAnsi" w:hAnsiTheme="minorHAnsi" w:cstheme="minorHAnsi"/>
                <w:color w:val="000000"/>
                <w:sz w:val="24"/>
                <w:szCs w:val="24"/>
              </w:rPr>
              <w:t>Alte cheltuieli</w:t>
            </w:r>
          </w:p>
        </w:tc>
        <w:tc>
          <w:tcPr>
            <w:tcW w:w="1136" w:type="dxa"/>
            <w:tcBorders>
              <w:top w:val="single" w:sz="8" w:space="0" w:color="auto"/>
              <w:left w:val="nil"/>
              <w:bottom w:val="single" w:sz="4" w:space="0" w:color="auto"/>
              <w:right w:val="single" w:sz="8" w:space="0" w:color="auto"/>
            </w:tcBorders>
            <w:shd w:val="clear" w:color="000000" w:fill="D9D9D9"/>
            <w:vAlign w:val="center"/>
            <w:hideMark/>
          </w:tcPr>
          <w:p w14:paraId="2BB4CA42" w14:textId="77777777" w:rsidR="009D3C00" w:rsidRPr="00E61782" w:rsidRDefault="009D3C00" w:rsidP="00612067">
            <w:pPr>
              <w:jc w:val="center"/>
              <w:rPr>
                <w:rFonts w:asciiTheme="minorHAnsi" w:hAnsiTheme="minorHAnsi" w:cstheme="minorHAnsi"/>
                <w:color w:val="000000"/>
                <w:sz w:val="24"/>
                <w:szCs w:val="24"/>
              </w:rPr>
            </w:pPr>
            <w:r w:rsidRPr="00E61782">
              <w:rPr>
                <w:rFonts w:asciiTheme="minorHAnsi" w:hAnsiTheme="minorHAnsi" w:cstheme="minorHAnsi"/>
                <w:color w:val="000000"/>
                <w:sz w:val="24"/>
                <w:szCs w:val="24"/>
              </w:rPr>
              <w:t>Cheltuieli de capital</w:t>
            </w:r>
          </w:p>
        </w:tc>
      </w:tr>
      <w:tr w:rsidR="00FF4C56" w:rsidRPr="00313FEF" w14:paraId="490B921E" w14:textId="77777777" w:rsidTr="00FF4C5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14:paraId="50D3DAA4" w14:textId="77777777" w:rsidR="00FF4C56" w:rsidRPr="00E61782" w:rsidRDefault="00FF4C56" w:rsidP="00FF4C56">
            <w:pPr>
              <w:jc w:val="right"/>
              <w:rPr>
                <w:rFonts w:asciiTheme="minorHAnsi" w:hAnsiTheme="minorHAnsi" w:cstheme="minorHAnsi"/>
                <w:color w:val="000000"/>
                <w:sz w:val="24"/>
                <w:szCs w:val="24"/>
              </w:rPr>
            </w:pPr>
            <w:r w:rsidRPr="00E61782">
              <w:rPr>
                <w:rFonts w:asciiTheme="minorHAnsi" w:hAnsiTheme="minorHAnsi" w:cstheme="minorHAnsi"/>
                <w:color w:val="000000"/>
                <w:sz w:val="24"/>
                <w:szCs w:val="24"/>
              </w:rPr>
              <w:t>2023</w:t>
            </w:r>
          </w:p>
        </w:tc>
        <w:tc>
          <w:tcPr>
            <w:tcW w:w="783" w:type="dxa"/>
            <w:tcBorders>
              <w:top w:val="nil"/>
              <w:left w:val="nil"/>
              <w:bottom w:val="single" w:sz="4" w:space="0" w:color="auto"/>
              <w:right w:val="single" w:sz="4" w:space="0" w:color="auto"/>
            </w:tcBorders>
            <w:shd w:val="clear" w:color="auto" w:fill="auto"/>
            <w:noWrap/>
            <w:vAlign w:val="bottom"/>
            <w:hideMark/>
          </w:tcPr>
          <w:p w14:paraId="6A77B7EB" w14:textId="77777777" w:rsidR="00FF4C56" w:rsidRPr="00E61782" w:rsidRDefault="00FF4C56" w:rsidP="00FF4C56">
            <w:pPr>
              <w:rPr>
                <w:rFonts w:asciiTheme="minorHAnsi" w:hAnsiTheme="minorHAnsi" w:cstheme="minorHAnsi"/>
                <w:color w:val="000000"/>
                <w:sz w:val="24"/>
                <w:szCs w:val="24"/>
              </w:rPr>
            </w:pPr>
            <w:r w:rsidRPr="00E61782">
              <w:rPr>
                <w:rFonts w:asciiTheme="minorHAnsi" w:hAnsiTheme="minorHAnsi" w:cstheme="minorHAnsi"/>
                <w:color w:val="000000"/>
                <w:sz w:val="24"/>
                <w:szCs w:val="24"/>
              </w:rPr>
              <w:t>CA</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79342" w14:textId="468002BB"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13 300</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14:paraId="2238F922" w14:textId="65DF3E2B"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10 735</w:t>
            </w:r>
          </w:p>
        </w:tc>
        <w:tc>
          <w:tcPr>
            <w:tcW w:w="984" w:type="dxa"/>
            <w:tcBorders>
              <w:top w:val="single" w:sz="4" w:space="0" w:color="auto"/>
              <w:left w:val="nil"/>
              <w:bottom w:val="single" w:sz="4" w:space="0" w:color="auto"/>
              <w:right w:val="single" w:sz="4" w:space="0" w:color="auto"/>
            </w:tcBorders>
            <w:shd w:val="clear" w:color="auto" w:fill="auto"/>
            <w:noWrap/>
            <w:vAlign w:val="bottom"/>
            <w:hideMark/>
          </w:tcPr>
          <w:p w14:paraId="7EBA62FE" w14:textId="5D676C81"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454</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4F749BB7" w14:textId="025A0488"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0</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4786959E" w14:textId="28369E81"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0</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126BBF2" w14:textId="7F74A5C4"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791</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14:paraId="1604FBD2" w14:textId="0BB73D80"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1 275</w:t>
            </w:r>
          </w:p>
        </w:tc>
        <w:tc>
          <w:tcPr>
            <w:tcW w:w="1136" w:type="dxa"/>
            <w:tcBorders>
              <w:top w:val="single" w:sz="4" w:space="0" w:color="auto"/>
              <w:left w:val="nil"/>
              <w:bottom w:val="single" w:sz="4" w:space="0" w:color="auto"/>
              <w:right w:val="single" w:sz="8" w:space="0" w:color="auto"/>
            </w:tcBorders>
            <w:shd w:val="clear" w:color="auto" w:fill="auto"/>
            <w:noWrap/>
            <w:vAlign w:val="bottom"/>
            <w:hideMark/>
          </w:tcPr>
          <w:p w14:paraId="583D7703" w14:textId="2E151601"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45</w:t>
            </w:r>
          </w:p>
        </w:tc>
      </w:tr>
      <w:tr w:rsidR="00FF4C56" w:rsidRPr="00313FEF" w14:paraId="5DEE75E5" w14:textId="77777777" w:rsidTr="00FF4C5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14:paraId="5BF1758B" w14:textId="77777777" w:rsidR="00FF4C56" w:rsidRPr="00E61782" w:rsidRDefault="00FF4C56" w:rsidP="00FF4C56">
            <w:pPr>
              <w:jc w:val="right"/>
              <w:rPr>
                <w:rFonts w:asciiTheme="minorHAnsi" w:hAnsiTheme="minorHAnsi" w:cstheme="minorHAnsi"/>
                <w:color w:val="000000"/>
                <w:sz w:val="24"/>
                <w:szCs w:val="24"/>
              </w:rPr>
            </w:pPr>
            <w:r w:rsidRPr="00E61782">
              <w:rPr>
                <w:rFonts w:asciiTheme="minorHAnsi" w:hAnsiTheme="minorHAnsi" w:cstheme="minorHAnsi"/>
                <w:color w:val="000000"/>
                <w:sz w:val="24"/>
                <w:szCs w:val="24"/>
              </w:rPr>
              <w:t>2023</w:t>
            </w:r>
          </w:p>
        </w:tc>
        <w:tc>
          <w:tcPr>
            <w:tcW w:w="783" w:type="dxa"/>
            <w:tcBorders>
              <w:top w:val="nil"/>
              <w:left w:val="nil"/>
              <w:bottom w:val="single" w:sz="4" w:space="0" w:color="auto"/>
              <w:right w:val="single" w:sz="4" w:space="0" w:color="auto"/>
            </w:tcBorders>
            <w:shd w:val="clear" w:color="auto" w:fill="auto"/>
            <w:noWrap/>
            <w:vAlign w:val="bottom"/>
            <w:hideMark/>
          </w:tcPr>
          <w:p w14:paraId="59373DDF" w14:textId="77777777" w:rsidR="00FF4C56" w:rsidRPr="00E61782" w:rsidRDefault="00FF4C56" w:rsidP="00FF4C56">
            <w:pPr>
              <w:rPr>
                <w:rFonts w:asciiTheme="minorHAnsi" w:hAnsiTheme="minorHAnsi" w:cstheme="minorHAnsi"/>
                <w:color w:val="000000"/>
                <w:sz w:val="24"/>
                <w:szCs w:val="24"/>
              </w:rPr>
            </w:pPr>
            <w:r w:rsidRPr="00E61782">
              <w:rPr>
                <w:rFonts w:asciiTheme="minorHAnsi" w:hAnsiTheme="minorHAnsi" w:cstheme="minorHAnsi"/>
                <w:color w:val="000000"/>
                <w:sz w:val="24"/>
                <w:szCs w:val="24"/>
              </w:rPr>
              <w:t>CB</w:t>
            </w:r>
          </w:p>
        </w:tc>
        <w:tc>
          <w:tcPr>
            <w:tcW w:w="918" w:type="dxa"/>
            <w:tcBorders>
              <w:top w:val="nil"/>
              <w:left w:val="single" w:sz="4" w:space="0" w:color="auto"/>
              <w:bottom w:val="single" w:sz="4" w:space="0" w:color="auto"/>
              <w:right w:val="single" w:sz="4" w:space="0" w:color="auto"/>
            </w:tcBorders>
            <w:shd w:val="clear" w:color="auto" w:fill="auto"/>
            <w:noWrap/>
            <w:vAlign w:val="bottom"/>
            <w:hideMark/>
          </w:tcPr>
          <w:p w14:paraId="374D6ED3" w14:textId="0401E071"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14 993</w:t>
            </w:r>
          </w:p>
        </w:tc>
        <w:tc>
          <w:tcPr>
            <w:tcW w:w="1136" w:type="dxa"/>
            <w:tcBorders>
              <w:top w:val="nil"/>
              <w:left w:val="nil"/>
              <w:bottom w:val="single" w:sz="4" w:space="0" w:color="auto"/>
              <w:right w:val="single" w:sz="4" w:space="0" w:color="auto"/>
            </w:tcBorders>
            <w:shd w:val="clear" w:color="auto" w:fill="auto"/>
            <w:noWrap/>
            <w:vAlign w:val="bottom"/>
            <w:hideMark/>
          </w:tcPr>
          <w:p w14:paraId="30A17430" w14:textId="01AA53A7"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10 735</w:t>
            </w:r>
          </w:p>
        </w:tc>
        <w:tc>
          <w:tcPr>
            <w:tcW w:w="984" w:type="dxa"/>
            <w:tcBorders>
              <w:top w:val="nil"/>
              <w:left w:val="nil"/>
              <w:bottom w:val="single" w:sz="4" w:space="0" w:color="auto"/>
              <w:right w:val="single" w:sz="4" w:space="0" w:color="auto"/>
            </w:tcBorders>
            <w:shd w:val="clear" w:color="auto" w:fill="auto"/>
            <w:noWrap/>
            <w:vAlign w:val="bottom"/>
            <w:hideMark/>
          </w:tcPr>
          <w:p w14:paraId="3CF31F9E" w14:textId="0AD86BF7"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454</w:t>
            </w:r>
          </w:p>
        </w:tc>
        <w:tc>
          <w:tcPr>
            <w:tcW w:w="1187" w:type="dxa"/>
            <w:tcBorders>
              <w:top w:val="nil"/>
              <w:left w:val="nil"/>
              <w:bottom w:val="single" w:sz="4" w:space="0" w:color="auto"/>
              <w:right w:val="single" w:sz="4" w:space="0" w:color="auto"/>
            </w:tcBorders>
            <w:shd w:val="clear" w:color="auto" w:fill="auto"/>
            <w:noWrap/>
            <w:vAlign w:val="bottom"/>
            <w:hideMark/>
          </w:tcPr>
          <w:p w14:paraId="5610C37E" w14:textId="7DDFF96C"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0</w:t>
            </w:r>
          </w:p>
        </w:tc>
        <w:tc>
          <w:tcPr>
            <w:tcW w:w="1257" w:type="dxa"/>
            <w:tcBorders>
              <w:top w:val="nil"/>
              <w:left w:val="nil"/>
              <w:bottom w:val="single" w:sz="4" w:space="0" w:color="auto"/>
              <w:right w:val="single" w:sz="4" w:space="0" w:color="auto"/>
            </w:tcBorders>
            <w:shd w:val="clear" w:color="auto" w:fill="auto"/>
            <w:noWrap/>
            <w:vAlign w:val="bottom"/>
            <w:hideMark/>
          </w:tcPr>
          <w:p w14:paraId="5C28A378" w14:textId="3EFCBE79"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0</w:t>
            </w:r>
          </w:p>
        </w:tc>
        <w:tc>
          <w:tcPr>
            <w:tcW w:w="1257" w:type="dxa"/>
            <w:tcBorders>
              <w:top w:val="nil"/>
              <w:left w:val="nil"/>
              <w:bottom w:val="single" w:sz="4" w:space="0" w:color="auto"/>
              <w:right w:val="single" w:sz="4" w:space="0" w:color="auto"/>
            </w:tcBorders>
            <w:shd w:val="clear" w:color="auto" w:fill="auto"/>
            <w:noWrap/>
            <w:vAlign w:val="bottom"/>
            <w:hideMark/>
          </w:tcPr>
          <w:p w14:paraId="1E14259C" w14:textId="5A778289"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2 484</w:t>
            </w:r>
          </w:p>
        </w:tc>
        <w:tc>
          <w:tcPr>
            <w:tcW w:w="1110" w:type="dxa"/>
            <w:tcBorders>
              <w:top w:val="nil"/>
              <w:left w:val="nil"/>
              <w:bottom w:val="single" w:sz="4" w:space="0" w:color="auto"/>
              <w:right w:val="single" w:sz="4" w:space="0" w:color="auto"/>
            </w:tcBorders>
            <w:shd w:val="clear" w:color="auto" w:fill="auto"/>
            <w:noWrap/>
            <w:vAlign w:val="bottom"/>
            <w:hideMark/>
          </w:tcPr>
          <w:p w14:paraId="05F3A48C" w14:textId="2B9EEB21"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1 275</w:t>
            </w:r>
          </w:p>
        </w:tc>
        <w:tc>
          <w:tcPr>
            <w:tcW w:w="1136" w:type="dxa"/>
            <w:tcBorders>
              <w:top w:val="nil"/>
              <w:left w:val="nil"/>
              <w:bottom w:val="single" w:sz="4" w:space="0" w:color="auto"/>
              <w:right w:val="single" w:sz="8" w:space="0" w:color="auto"/>
            </w:tcBorders>
            <w:shd w:val="clear" w:color="auto" w:fill="auto"/>
            <w:noWrap/>
            <w:vAlign w:val="bottom"/>
            <w:hideMark/>
          </w:tcPr>
          <w:p w14:paraId="6EFC3E49" w14:textId="797E818D"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45</w:t>
            </w:r>
          </w:p>
        </w:tc>
      </w:tr>
      <w:tr w:rsidR="00FF4C56" w:rsidRPr="00313FEF" w14:paraId="1C0ED7B3" w14:textId="77777777" w:rsidTr="00FF4C5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14:paraId="202DCA4E" w14:textId="77777777" w:rsidR="00FF4C56" w:rsidRPr="00E61782" w:rsidRDefault="00FF4C56" w:rsidP="00FF4C56">
            <w:pPr>
              <w:jc w:val="right"/>
              <w:rPr>
                <w:rFonts w:asciiTheme="minorHAnsi" w:hAnsiTheme="minorHAnsi" w:cstheme="minorHAnsi"/>
                <w:color w:val="000000"/>
                <w:sz w:val="24"/>
                <w:szCs w:val="24"/>
              </w:rPr>
            </w:pPr>
            <w:r w:rsidRPr="00E61782">
              <w:rPr>
                <w:rFonts w:asciiTheme="minorHAnsi" w:hAnsiTheme="minorHAnsi" w:cstheme="minorHAnsi"/>
                <w:color w:val="000000"/>
                <w:sz w:val="24"/>
                <w:szCs w:val="24"/>
              </w:rPr>
              <w:t>2024</w:t>
            </w:r>
          </w:p>
        </w:tc>
        <w:tc>
          <w:tcPr>
            <w:tcW w:w="783" w:type="dxa"/>
            <w:tcBorders>
              <w:top w:val="nil"/>
              <w:left w:val="nil"/>
              <w:bottom w:val="single" w:sz="4" w:space="0" w:color="auto"/>
              <w:right w:val="single" w:sz="4" w:space="0" w:color="auto"/>
            </w:tcBorders>
            <w:shd w:val="clear" w:color="auto" w:fill="auto"/>
            <w:noWrap/>
            <w:vAlign w:val="bottom"/>
            <w:hideMark/>
          </w:tcPr>
          <w:p w14:paraId="17B6CC55" w14:textId="77777777" w:rsidR="00FF4C56" w:rsidRPr="00E61782" w:rsidRDefault="00FF4C56" w:rsidP="00FF4C56">
            <w:pPr>
              <w:rPr>
                <w:rFonts w:asciiTheme="minorHAnsi" w:hAnsiTheme="minorHAnsi" w:cstheme="minorHAnsi"/>
                <w:color w:val="000000"/>
                <w:sz w:val="24"/>
                <w:szCs w:val="24"/>
              </w:rPr>
            </w:pPr>
            <w:r w:rsidRPr="00E61782">
              <w:rPr>
                <w:rFonts w:asciiTheme="minorHAnsi" w:hAnsiTheme="minorHAnsi" w:cstheme="minorHAnsi"/>
                <w:color w:val="000000"/>
                <w:sz w:val="24"/>
                <w:szCs w:val="24"/>
              </w:rPr>
              <w:t>CA</w:t>
            </w:r>
          </w:p>
        </w:tc>
        <w:tc>
          <w:tcPr>
            <w:tcW w:w="918" w:type="dxa"/>
            <w:tcBorders>
              <w:top w:val="nil"/>
              <w:left w:val="single" w:sz="4" w:space="0" w:color="auto"/>
              <w:bottom w:val="single" w:sz="4" w:space="0" w:color="auto"/>
              <w:right w:val="single" w:sz="4" w:space="0" w:color="auto"/>
            </w:tcBorders>
            <w:shd w:val="clear" w:color="auto" w:fill="auto"/>
            <w:noWrap/>
            <w:vAlign w:val="bottom"/>
            <w:hideMark/>
          </w:tcPr>
          <w:p w14:paraId="5AC9A2FB" w14:textId="0F97B1BF"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20 845</w:t>
            </w:r>
          </w:p>
        </w:tc>
        <w:tc>
          <w:tcPr>
            <w:tcW w:w="1136" w:type="dxa"/>
            <w:tcBorders>
              <w:top w:val="nil"/>
              <w:left w:val="nil"/>
              <w:bottom w:val="single" w:sz="4" w:space="0" w:color="auto"/>
              <w:right w:val="single" w:sz="4" w:space="0" w:color="auto"/>
            </w:tcBorders>
            <w:shd w:val="clear" w:color="auto" w:fill="auto"/>
            <w:noWrap/>
            <w:vAlign w:val="bottom"/>
            <w:hideMark/>
          </w:tcPr>
          <w:p w14:paraId="047E69AE" w14:textId="651E1EB9"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16 374</w:t>
            </w:r>
          </w:p>
        </w:tc>
        <w:tc>
          <w:tcPr>
            <w:tcW w:w="984" w:type="dxa"/>
            <w:tcBorders>
              <w:top w:val="nil"/>
              <w:left w:val="nil"/>
              <w:bottom w:val="single" w:sz="4" w:space="0" w:color="auto"/>
              <w:right w:val="single" w:sz="4" w:space="0" w:color="auto"/>
            </w:tcBorders>
            <w:shd w:val="clear" w:color="auto" w:fill="auto"/>
            <w:noWrap/>
            <w:vAlign w:val="bottom"/>
            <w:hideMark/>
          </w:tcPr>
          <w:p w14:paraId="00A8DA4F" w14:textId="05CD8078"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1 804</w:t>
            </w:r>
          </w:p>
        </w:tc>
        <w:tc>
          <w:tcPr>
            <w:tcW w:w="1187" w:type="dxa"/>
            <w:tcBorders>
              <w:top w:val="nil"/>
              <w:left w:val="nil"/>
              <w:bottom w:val="single" w:sz="4" w:space="0" w:color="auto"/>
              <w:right w:val="single" w:sz="4" w:space="0" w:color="auto"/>
            </w:tcBorders>
            <w:shd w:val="clear" w:color="auto" w:fill="auto"/>
            <w:noWrap/>
            <w:vAlign w:val="bottom"/>
            <w:hideMark/>
          </w:tcPr>
          <w:p w14:paraId="68CBAE9C" w14:textId="48F4781E"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0</w:t>
            </w:r>
          </w:p>
        </w:tc>
        <w:tc>
          <w:tcPr>
            <w:tcW w:w="1257" w:type="dxa"/>
            <w:tcBorders>
              <w:top w:val="nil"/>
              <w:left w:val="nil"/>
              <w:bottom w:val="single" w:sz="4" w:space="0" w:color="auto"/>
              <w:right w:val="single" w:sz="4" w:space="0" w:color="auto"/>
            </w:tcBorders>
            <w:shd w:val="clear" w:color="auto" w:fill="auto"/>
            <w:noWrap/>
            <w:vAlign w:val="bottom"/>
            <w:hideMark/>
          </w:tcPr>
          <w:p w14:paraId="68F6936D" w14:textId="4E920588"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0</w:t>
            </w:r>
          </w:p>
        </w:tc>
        <w:tc>
          <w:tcPr>
            <w:tcW w:w="1257" w:type="dxa"/>
            <w:tcBorders>
              <w:top w:val="nil"/>
              <w:left w:val="nil"/>
              <w:bottom w:val="nil"/>
              <w:right w:val="nil"/>
            </w:tcBorders>
            <w:shd w:val="clear" w:color="auto" w:fill="auto"/>
            <w:noWrap/>
            <w:vAlign w:val="bottom"/>
            <w:hideMark/>
          </w:tcPr>
          <w:p w14:paraId="5682B275" w14:textId="1FD6EC53" w:rsidR="00FF4C56" w:rsidRPr="007574BA" w:rsidRDefault="00FF4C56" w:rsidP="00FF4C56">
            <w:pPr>
              <w:jc w:val="right"/>
              <w:rPr>
                <w:rFonts w:asciiTheme="minorHAnsi" w:hAnsiTheme="minorHAnsi" w:cstheme="minorHAnsi"/>
                <w:sz w:val="24"/>
                <w:szCs w:val="24"/>
              </w:rPr>
            </w:pPr>
            <w:r w:rsidRPr="007574BA">
              <w:rPr>
                <w:rFonts w:ascii="Calibri" w:hAnsi="Calibri" w:cs="Calibri"/>
                <w:sz w:val="22"/>
                <w:szCs w:val="22"/>
              </w:rPr>
              <w:t>44</w:t>
            </w:r>
          </w:p>
        </w:tc>
        <w:tc>
          <w:tcPr>
            <w:tcW w:w="1110" w:type="dxa"/>
            <w:tcBorders>
              <w:top w:val="nil"/>
              <w:left w:val="single" w:sz="4" w:space="0" w:color="auto"/>
              <w:bottom w:val="single" w:sz="4" w:space="0" w:color="auto"/>
              <w:right w:val="single" w:sz="4" w:space="0" w:color="auto"/>
            </w:tcBorders>
            <w:shd w:val="clear" w:color="auto" w:fill="auto"/>
            <w:noWrap/>
            <w:vAlign w:val="bottom"/>
            <w:hideMark/>
          </w:tcPr>
          <w:p w14:paraId="6F0527FD" w14:textId="734ADD6B"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2 599</w:t>
            </w:r>
          </w:p>
        </w:tc>
        <w:tc>
          <w:tcPr>
            <w:tcW w:w="1136" w:type="dxa"/>
            <w:tcBorders>
              <w:top w:val="nil"/>
              <w:left w:val="nil"/>
              <w:bottom w:val="single" w:sz="4" w:space="0" w:color="auto"/>
              <w:right w:val="single" w:sz="8" w:space="0" w:color="auto"/>
            </w:tcBorders>
            <w:shd w:val="clear" w:color="auto" w:fill="auto"/>
            <w:noWrap/>
            <w:vAlign w:val="bottom"/>
            <w:hideMark/>
          </w:tcPr>
          <w:p w14:paraId="33DC0DEC" w14:textId="70196922"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24</w:t>
            </w:r>
          </w:p>
        </w:tc>
      </w:tr>
      <w:tr w:rsidR="00FF4C56" w:rsidRPr="00313FEF" w14:paraId="02FD85B5" w14:textId="77777777" w:rsidTr="00FF4C5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14:paraId="0075B404" w14:textId="77777777" w:rsidR="00FF4C56" w:rsidRPr="00E61782" w:rsidRDefault="00FF4C56" w:rsidP="00FF4C56">
            <w:pPr>
              <w:jc w:val="right"/>
              <w:rPr>
                <w:rFonts w:asciiTheme="minorHAnsi" w:hAnsiTheme="minorHAnsi" w:cstheme="minorHAnsi"/>
                <w:color w:val="000000"/>
                <w:sz w:val="24"/>
                <w:szCs w:val="24"/>
              </w:rPr>
            </w:pPr>
            <w:r w:rsidRPr="00E61782">
              <w:rPr>
                <w:rFonts w:asciiTheme="minorHAnsi" w:hAnsiTheme="minorHAnsi" w:cstheme="minorHAnsi"/>
                <w:color w:val="000000"/>
                <w:sz w:val="24"/>
                <w:szCs w:val="24"/>
              </w:rPr>
              <w:t>2024</w:t>
            </w:r>
          </w:p>
        </w:tc>
        <w:tc>
          <w:tcPr>
            <w:tcW w:w="783" w:type="dxa"/>
            <w:tcBorders>
              <w:top w:val="nil"/>
              <w:left w:val="nil"/>
              <w:bottom w:val="single" w:sz="4" w:space="0" w:color="auto"/>
              <w:right w:val="single" w:sz="4" w:space="0" w:color="auto"/>
            </w:tcBorders>
            <w:shd w:val="clear" w:color="auto" w:fill="auto"/>
            <w:noWrap/>
            <w:vAlign w:val="bottom"/>
            <w:hideMark/>
          </w:tcPr>
          <w:p w14:paraId="3E87A398" w14:textId="77777777" w:rsidR="00FF4C56" w:rsidRPr="00E61782" w:rsidRDefault="00FF4C56" w:rsidP="00FF4C56">
            <w:pPr>
              <w:rPr>
                <w:rFonts w:asciiTheme="minorHAnsi" w:hAnsiTheme="minorHAnsi" w:cstheme="minorHAnsi"/>
                <w:color w:val="000000"/>
                <w:sz w:val="24"/>
                <w:szCs w:val="24"/>
              </w:rPr>
            </w:pPr>
            <w:r w:rsidRPr="00E61782">
              <w:rPr>
                <w:rFonts w:asciiTheme="minorHAnsi" w:hAnsiTheme="minorHAnsi" w:cstheme="minorHAnsi"/>
                <w:color w:val="000000"/>
                <w:sz w:val="24"/>
                <w:szCs w:val="24"/>
              </w:rPr>
              <w:t>CB</w:t>
            </w:r>
          </w:p>
        </w:tc>
        <w:tc>
          <w:tcPr>
            <w:tcW w:w="918" w:type="dxa"/>
            <w:tcBorders>
              <w:top w:val="nil"/>
              <w:left w:val="single" w:sz="4" w:space="0" w:color="auto"/>
              <w:bottom w:val="single" w:sz="4" w:space="0" w:color="auto"/>
              <w:right w:val="single" w:sz="4" w:space="0" w:color="auto"/>
            </w:tcBorders>
            <w:shd w:val="clear" w:color="auto" w:fill="auto"/>
            <w:noWrap/>
            <w:vAlign w:val="bottom"/>
            <w:hideMark/>
          </w:tcPr>
          <w:p w14:paraId="749BC327" w14:textId="3E21DDE2"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20 287</w:t>
            </w:r>
          </w:p>
        </w:tc>
        <w:tc>
          <w:tcPr>
            <w:tcW w:w="1136" w:type="dxa"/>
            <w:tcBorders>
              <w:top w:val="nil"/>
              <w:left w:val="nil"/>
              <w:bottom w:val="single" w:sz="4" w:space="0" w:color="auto"/>
              <w:right w:val="single" w:sz="4" w:space="0" w:color="auto"/>
            </w:tcBorders>
            <w:shd w:val="clear" w:color="auto" w:fill="auto"/>
            <w:noWrap/>
            <w:vAlign w:val="bottom"/>
            <w:hideMark/>
          </w:tcPr>
          <w:p w14:paraId="169A98AB" w14:textId="13BA2A41"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16 374</w:t>
            </w:r>
          </w:p>
        </w:tc>
        <w:tc>
          <w:tcPr>
            <w:tcW w:w="984" w:type="dxa"/>
            <w:tcBorders>
              <w:top w:val="nil"/>
              <w:left w:val="nil"/>
              <w:bottom w:val="single" w:sz="4" w:space="0" w:color="auto"/>
              <w:right w:val="single" w:sz="4" w:space="0" w:color="auto"/>
            </w:tcBorders>
            <w:shd w:val="clear" w:color="auto" w:fill="auto"/>
            <w:noWrap/>
            <w:vAlign w:val="bottom"/>
            <w:hideMark/>
          </w:tcPr>
          <w:p w14:paraId="43DFA85F" w14:textId="0DB10DEF"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1 246</w:t>
            </w:r>
          </w:p>
        </w:tc>
        <w:tc>
          <w:tcPr>
            <w:tcW w:w="1187" w:type="dxa"/>
            <w:tcBorders>
              <w:top w:val="nil"/>
              <w:left w:val="nil"/>
              <w:bottom w:val="single" w:sz="4" w:space="0" w:color="auto"/>
              <w:right w:val="single" w:sz="4" w:space="0" w:color="auto"/>
            </w:tcBorders>
            <w:shd w:val="clear" w:color="auto" w:fill="auto"/>
            <w:noWrap/>
            <w:vAlign w:val="bottom"/>
            <w:hideMark/>
          </w:tcPr>
          <w:p w14:paraId="764B0C97" w14:textId="57E130AC"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0</w:t>
            </w:r>
          </w:p>
        </w:tc>
        <w:tc>
          <w:tcPr>
            <w:tcW w:w="1257" w:type="dxa"/>
            <w:tcBorders>
              <w:top w:val="nil"/>
              <w:left w:val="nil"/>
              <w:bottom w:val="single" w:sz="4" w:space="0" w:color="auto"/>
              <w:right w:val="single" w:sz="4" w:space="0" w:color="auto"/>
            </w:tcBorders>
            <w:shd w:val="clear" w:color="auto" w:fill="auto"/>
            <w:noWrap/>
            <w:vAlign w:val="bottom"/>
            <w:hideMark/>
          </w:tcPr>
          <w:p w14:paraId="382EF305" w14:textId="4400733F"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0</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C2DCB86" w14:textId="487BD2DC" w:rsidR="00FF4C56" w:rsidRPr="007574BA" w:rsidRDefault="00FF4C56" w:rsidP="00FF4C56">
            <w:pPr>
              <w:jc w:val="right"/>
              <w:rPr>
                <w:rFonts w:asciiTheme="minorHAnsi" w:hAnsiTheme="minorHAnsi" w:cstheme="minorHAnsi"/>
                <w:sz w:val="24"/>
                <w:szCs w:val="24"/>
              </w:rPr>
            </w:pPr>
            <w:r w:rsidRPr="007574BA">
              <w:rPr>
                <w:rFonts w:ascii="Calibri" w:hAnsi="Calibri" w:cs="Calibri"/>
                <w:sz w:val="22"/>
                <w:szCs w:val="22"/>
              </w:rPr>
              <w:t>44</w:t>
            </w:r>
          </w:p>
        </w:tc>
        <w:tc>
          <w:tcPr>
            <w:tcW w:w="1110" w:type="dxa"/>
            <w:tcBorders>
              <w:top w:val="nil"/>
              <w:left w:val="nil"/>
              <w:bottom w:val="single" w:sz="4" w:space="0" w:color="auto"/>
              <w:right w:val="single" w:sz="4" w:space="0" w:color="auto"/>
            </w:tcBorders>
            <w:shd w:val="clear" w:color="auto" w:fill="auto"/>
            <w:noWrap/>
            <w:vAlign w:val="bottom"/>
            <w:hideMark/>
          </w:tcPr>
          <w:p w14:paraId="03E5C32D" w14:textId="4C2A7613"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2 599</w:t>
            </w:r>
          </w:p>
        </w:tc>
        <w:tc>
          <w:tcPr>
            <w:tcW w:w="1136" w:type="dxa"/>
            <w:tcBorders>
              <w:top w:val="nil"/>
              <w:left w:val="nil"/>
              <w:bottom w:val="single" w:sz="4" w:space="0" w:color="auto"/>
              <w:right w:val="single" w:sz="8" w:space="0" w:color="auto"/>
            </w:tcBorders>
            <w:shd w:val="clear" w:color="auto" w:fill="auto"/>
            <w:noWrap/>
            <w:vAlign w:val="bottom"/>
            <w:hideMark/>
          </w:tcPr>
          <w:p w14:paraId="207D539E" w14:textId="77EDF5F7"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24</w:t>
            </w:r>
          </w:p>
        </w:tc>
      </w:tr>
      <w:tr w:rsidR="00FF4C56" w:rsidRPr="00313FEF" w14:paraId="52C53475" w14:textId="77777777" w:rsidTr="00FF4C5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14:paraId="52FF11CC" w14:textId="77777777" w:rsidR="00FF4C56" w:rsidRPr="00E61782" w:rsidRDefault="00FF4C56" w:rsidP="00FF4C56">
            <w:pPr>
              <w:jc w:val="right"/>
              <w:rPr>
                <w:rFonts w:asciiTheme="minorHAnsi" w:hAnsiTheme="minorHAnsi" w:cstheme="minorHAnsi"/>
                <w:color w:val="000000"/>
                <w:sz w:val="24"/>
                <w:szCs w:val="24"/>
              </w:rPr>
            </w:pPr>
            <w:r w:rsidRPr="00E61782">
              <w:rPr>
                <w:rFonts w:asciiTheme="minorHAnsi" w:hAnsiTheme="minorHAnsi" w:cstheme="minorHAnsi"/>
                <w:color w:val="000000"/>
                <w:sz w:val="24"/>
                <w:szCs w:val="24"/>
              </w:rPr>
              <w:t>2025</w:t>
            </w:r>
          </w:p>
        </w:tc>
        <w:tc>
          <w:tcPr>
            <w:tcW w:w="783" w:type="dxa"/>
            <w:tcBorders>
              <w:top w:val="nil"/>
              <w:left w:val="nil"/>
              <w:bottom w:val="single" w:sz="4" w:space="0" w:color="auto"/>
              <w:right w:val="single" w:sz="4" w:space="0" w:color="auto"/>
            </w:tcBorders>
            <w:shd w:val="clear" w:color="auto" w:fill="auto"/>
            <w:noWrap/>
            <w:vAlign w:val="bottom"/>
            <w:hideMark/>
          </w:tcPr>
          <w:p w14:paraId="1E5A9CED" w14:textId="77777777" w:rsidR="00FF4C56" w:rsidRPr="00E61782" w:rsidRDefault="00FF4C56" w:rsidP="00FF4C56">
            <w:pPr>
              <w:rPr>
                <w:rFonts w:asciiTheme="minorHAnsi" w:hAnsiTheme="minorHAnsi" w:cstheme="minorHAnsi"/>
                <w:color w:val="000000"/>
                <w:sz w:val="24"/>
                <w:szCs w:val="24"/>
              </w:rPr>
            </w:pPr>
            <w:r w:rsidRPr="00E61782">
              <w:rPr>
                <w:rFonts w:asciiTheme="minorHAnsi" w:hAnsiTheme="minorHAnsi" w:cstheme="minorHAnsi"/>
                <w:color w:val="000000"/>
                <w:sz w:val="24"/>
                <w:szCs w:val="24"/>
              </w:rPr>
              <w:t>CA</w:t>
            </w:r>
          </w:p>
        </w:tc>
        <w:tc>
          <w:tcPr>
            <w:tcW w:w="918" w:type="dxa"/>
            <w:tcBorders>
              <w:top w:val="nil"/>
              <w:left w:val="single" w:sz="4" w:space="0" w:color="auto"/>
              <w:bottom w:val="single" w:sz="4" w:space="0" w:color="auto"/>
              <w:right w:val="single" w:sz="4" w:space="0" w:color="auto"/>
            </w:tcBorders>
            <w:shd w:val="clear" w:color="auto" w:fill="auto"/>
            <w:noWrap/>
            <w:vAlign w:val="bottom"/>
            <w:hideMark/>
          </w:tcPr>
          <w:p w14:paraId="1542E41A" w14:textId="088778FA"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57 836</w:t>
            </w:r>
          </w:p>
        </w:tc>
        <w:tc>
          <w:tcPr>
            <w:tcW w:w="1136" w:type="dxa"/>
            <w:tcBorders>
              <w:top w:val="nil"/>
              <w:left w:val="nil"/>
              <w:bottom w:val="single" w:sz="4" w:space="0" w:color="auto"/>
              <w:right w:val="single" w:sz="4" w:space="0" w:color="auto"/>
            </w:tcBorders>
            <w:shd w:val="clear" w:color="auto" w:fill="auto"/>
            <w:noWrap/>
            <w:vAlign w:val="bottom"/>
            <w:hideMark/>
          </w:tcPr>
          <w:p w14:paraId="42356F2B" w14:textId="2B0D0018"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43 901</w:t>
            </w:r>
          </w:p>
        </w:tc>
        <w:tc>
          <w:tcPr>
            <w:tcW w:w="984" w:type="dxa"/>
            <w:tcBorders>
              <w:top w:val="nil"/>
              <w:left w:val="nil"/>
              <w:bottom w:val="single" w:sz="4" w:space="0" w:color="auto"/>
              <w:right w:val="single" w:sz="4" w:space="0" w:color="auto"/>
            </w:tcBorders>
            <w:shd w:val="clear" w:color="auto" w:fill="auto"/>
            <w:noWrap/>
            <w:vAlign w:val="bottom"/>
            <w:hideMark/>
          </w:tcPr>
          <w:p w14:paraId="16F6A787" w14:textId="46F7ACBA"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6 263</w:t>
            </w:r>
          </w:p>
        </w:tc>
        <w:tc>
          <w:tcPr>
            <w:tcW w:w="1187" w:type="dxa"/>
            <w:tcBorders>
              <w:top w:val="nil"/>
              <w:left w:val="nil"/>
              <w:bottom w:val="single" w:sz="4" w:space="0" w:color="auto"/>
              <w:right w:val="single" w:sz="4" w:space="0" w:color="auto"/>
            </w:tcBorders>
            <w:shd w:val="clear" w:color="auto" w:fill="auto"/>
            <w:noWrap/>
            <w:vAlign w:val="bottom"/>
            <w:hideMark/>
          </w:tcPr>
          <w:p w14:paraId="0F85B6E5" w14:textId="6851AB86"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0</w:t>
            </w:r>
          </w:p>
        </w:tc>
        <w:tc>
          <w:tcPr>
            <w:tcW w:w="1257" w:type="dxa"/>
            <w:tcBorders>
              <w:top w:val="nil"/>
              <w:left w:val="nil"/>
              <w:bottom w:val="single" w:sz="4" w:space="0" w:color="auto"/>
              <w:right w:val="single" w:sz="4" w:space="0" w:color="auto"/>
            </w:tcBorders>
            <w:shd w:val="clear" w:color="auto" w:fill="auto"/>
            <w:noWrap/>
            <w:vAlign w:val="bottom"/>
            <w:hideMark/>
          </w:tcPr>
          <w:p w14:paraId="17C6224C" w14:textId="2697C1A3"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0</w:t>
            </w:r>
          </w:p>
        </w:tc>
        <w:tc>
          <w:tcPr>
            <w:tcW w:w="1257" w:type="dxa"/>
            <w:tcBorders>
              <w:top w:val="nil"/>
              <w:left w:val="nil"/>
              <w:bottom w:val="single" w:sz="4" w:space="0" w:color="auto"/>
              <w:right w:val="single" w:sz="4" w:space="0" w:color="auto"/>
            </w:tcBorders>
            <w:shd w:val="clear" w:color="auto" w:fill="auto"/>
            <w:noWrap/>
            <w:vAlign w:val="bottom"/>
            <w:hideMark/>
          </w:tcPr>
          <w:p w14:paraId="271E6C71" w14:textId="55D87DFB"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15</w:t>
            </w:r>
          </w:p>
        </w:tc>
        <w:tc>
          <w:tcPr>
            <w:tcW w:w="1110" w:type="dxa"/>
            <w:tcBorders>
              <w:top w:val="nil"/>
              <w:left w:val="nil"/>
              <w:bottom w:val="single" w:sz="4" w:space="0" w:color="auto"/>
              <w:right w:val="single" w:sz="4" w:space="0" w:color="auto"/>
            </w:tcBorders>
            <w:shd w:val="clear" w:color="auto" w:fill="auto"/>
            <w:noWrap/>
            <w:vAlign w:val="bottom"/>
            <w:hideMark/>
          </w:tcPr>
          <w:p w14:paraId="5532F2AE" w14:textId="7A4A0116"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6 850</w:t>
            </w:r>
          </w:p>
        </w:tc>
        <w:tc>
          <w:tcPr>
            <w:tcW w:w="1136" w:type="dxa"/>
            <w:tcBorders>
              <w:top w:val="nil"/>
              <w:left w:val="nil"/>
              <w:bottom w:val="single" w:sz="4" w:space="0" w:color="auto"/>
              <w:right w:val="single" w:sz="8" w:space="0" w:color="auto"/>
            </w:tcBorders>
            <w:shd w:val="clear" w:color="auto" w:fill="auto"/>
            <w:noWrap/>
            <w:vAlign w:val="bottom"/>
            <w:hideMark/>
          </w:tcPr>
          <w:p w14:paraId="1E94EFEE" w14:textId="419E2F39"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807</w:t>
            </w:r>
          </w:p>
        </w:tc>
      </w:tr>
      <w:tr w:rsidR="00FF4C56" w:rsidRPr="00313FEF" w14:paraId="791B63F3" w14:textId="77777777" w:rsidTr="00FF4C56">
        <w:trPr>
          <w:trHeight w:val="315"/>
        </w:trPr>
        <w:tc>
          <w:tcPr>
            <w:tcW w:w="841" w:type="dxa"/>
            <w:tcBorders>
              <w:top w:val="nil"/>
              <w:left w:val="single" w:sz="8" w:space="0" w:color="auto"/>
              <w:bottom w:val="single" w:sz="8" w:space="0" w:color="auto"/>
              <w:right w:val="single" w:sz="4" w:space="0" w:color="auto"/>
            </w:tcBorders>
            <w:shd w:val="clear" w:color="auto" w:fill="auto"/>
            <w:noWrap/>
            <w:vAlign w:val="bottom"/>
            <w:hideMark/>
          </w:tcPr>
          <w:p w14:paraId="727A52C7" w14:textId="77777777" w:rsidR="00FF4C56" w:rsidRPr="00E61782" w:rsidRDefault="00FF4C56" w:rsidP="00FF4C56">
            <w:pPr>
              <w:jc w:val="right"/>
              <w:rPr>
                <w:rFonts w:asciiTheme="minorHAnsi" w:hAnsiTheme="minorHAnsi" w:cstheme="minorHAnsi"/>
                <w:color w:val="000000"/>
                <w:sz w:val="24"/>
                <w:szCs w:val="24"/>
              </w:rPr>
            </w:pPr>
            <w:r w:rsidRPr="00E61782">
              <w:rPr>
                <w:rFonts w:asciiTheme="minorHAnsi" w:hAnsiTheme="minorHAnsi" w:cstheme="minorHAnsi"/>
                <w:color w:val="000000"/>
                <w:sz w:val="24"/>
                <w:szCs w:val="24"/>
              </w:rPr>
              <w:t>2025</w:t>
            </w:r>
          </w:p>
        </w:tc>
        <w:tc>
          <w:tcPr>
            <w:tcW w:w="783" w:type="dxa"/>
            <w:tcBorders>
              <w:top w:val="nil"/>
              <w:left w:val="nil"/>
              <w:bottom w:val="single" w:sz="8" w:space="0" w:color="auto"/>
              <w:right w:val="single" w:sz="4" w:space="0" w:color="auto"/>
            </w:tcBorders>
            <w:shd w:val="clear" w:color="auto" w:fill="auto"/>
            <w:noWrap/>
            <w:vAlign w:val="bottom"/>
            <w:hideMark/>
          </w:tcPr>
          <w:p w14:paraId="59C69A2C" w14:textId="77777777" w:rsidR="00FF4C56" w:rsidRPr="00E61782" w:rsidRDefault="00FF4C56" w:rsidP="00FF4C56">
            <w:pPr>
              <w:rPr>
                <w:rFonts w:asciiTheme="minorHAnsi" w:hAnsiTheme="minorHAnsi" w:cstheme="minorHAnsi"/>
                <w:color w:val="000000"/>
                <w:sz w:val="24"/>
                <w:szCs w:val="24"/>
              </w:rPr>
            </w:pPr>
            <w:r w:rsidRPr="00E61782">
              <w:rPr>
                <w:rFonts w:asciiTheme="minorHAnsi" w:hAnsiTheme="minorHAnsi" w:cstheme="minorHAnsi"/>
                <w:color w:val="000000"/>
                <w:sz w:val="24"/>
                <w:szCs w:val="24"/>
              </w:rPr>
              <w:t>CB</w:t>
            </w:r>
          </w:p>
        </w:tc>
        <w:tc>
          <w:tcPr>
            <w:tcW w:w="918" w:type="dxa"/>
            <w:tcBorders>
              <w:top w:val="nil"/>
              <w:left w:val="single" w:sz="4" w:space="0" w:color="auto"/>
              <w:bottom w:val="single" w:sz="8" w:space="0" w:color="auto"/>
              <w:right w:val="single" w:sz="4" w:space="0" w:color="auto"/>
            </w:tcBorders>
            <w:shd w:val="clear" w:color="auto" w:fill="auto"/>
            <w:noWrap/>
            <w:vAlign w:val="bottom"/>
            <w:hideMark/>
          </w:tcPr>
          <w:p w14:paraId="331569D2" w14:textId="7A71CC63"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57 836</w:t>
            </w:r>
          </w:p>
        </w:tc>
        <w:tc>
          <w:tcPr>
            <w:tcW w:w="1136" w:type="dxa"/>
            <w:tcBorders>
              <w:top w:val="nil"/>
              <w:left w:val="nil"/>
              <w:bottom w:val="single" w:sz="8" w:space="0" w:color="auto"/>
              <w:right w:val="single" w:sz="4" w:space="0" w:color="auto"/>
            </w:tcBorders>
            <w:shd w:val="clear" w:color="auto" w:fill="auto"/>
            <w:noWrap/>
            <w:vAlign w:val="bottom"/>
            <w:hideMark/>
          </w:tcPr>
          <w:p w14:paraId="57895CFA" w14:textId="6EA4877D"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43 901</w:t>
            </w:r>
          </w:p>
        </w:tc>
        <w:tc>
          <w:tcPr>
            <w:tcW w:w="984" w:type="dxa"/>
            <w:tcBorders>
              <w:top w:val="nil"/>
              <w:left w:val="nil"/>
              <w:bottom w:val="single" w:sz="8" w:space="0" w:color="auto"/>
              <w:right w:val="single" w:sz="4" w:space="0" w:color="auto"/>
            </w:tcBorders>
            <w:shd w:val="clear" w:color="auto" w:fill="auto"/>
            <w:noWrap/>
            <w:vAlign w:val="bottom"/>
            <w:hideMark/>
          </w:tcPr>
          <w:p w14:paraId="4BC0CBCB" w14:textId="3A888F51"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6 263</w:t>
            </w:r>
          </w:p>
        </w:tc>
        <w:tc>
          <w:tcPr>
            <w:tcW w:w="1187" w:type="dxa"/>
            <w:tcBorders>
              <w:top w:val="nil"/>
              <w:left w:val="nil"/>
              <w:bottom w:val="single" w:sz="8" w:space="0" w:color="auto"/>
              <w:right w:val="single" w:sz="4" w:space="0" w:color="auto"/>
            </w:tcBorders>
            <w:shd w:val="clear" w:color="auto" w:fill="auto"/>
            <w:noWrap/>
            <w:vAlign w:val="bottom"/>
            <w:hideMark/>
          </w:tcPr>
          <w:p w14:paraId="3E5716F1" w14:textId="2202812D"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0</w:t>
            </w:r>
          </w:p>
        </w:tc>
        <w:tc>
          <w:tcPr>
            <w:tcW w:w="1257" w:type="dxa"/>
            <w:tcBorders>
              <w:top w:val="nil"/>
              <w:left w:val="nil"/>
              <w:bottom w:val="single" w:sz="8" w:space="0" w:color="auto"/>
              <w:right w:val="single" w:sz="4" w:space="0" w:color="auto"/>
            </w:tcBorders>
            <w:shd w:val="clear" w:color="auto" w:fill="auto"/>
            <w:noWrap/>
            <w:vAlign w:val="bottom"/>
            <w:hideMark/>
          </w:tcPr>
          <w:p w14:paraId="2E18007B" w14:textId="243EB7E6"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0</w:t>
            </w:r>
          </w:p>
        </w:tc>
        <w:tc>
          <w:tcPr>
            <w:tcW w:w="1257" w:type="dxa"/>
            <w:tcBorders>
              <w:top w:val="nil"/>
              <w:left w:val="nil"/>
              <w:bottom w:val="single" w:sz="4" w:space="0" w:color="auto"/>
              <w:right w:val="single" w:sz="4" w:space="0" w:color="auto"/>
            </w:tcBorders>
            <w:shd w:val="clear" w:color="auto" w:fill="auto"/>
            <w:noWrap/>
            <w:vAlign w:val="bottom"/>
            <w:hideMark/>
          </w:tcPr>
          <w:p w14:paraId="69D73BDC" w14:textId="495B1684"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15</w:t>
            </w:r>
          </w:p>
        </w:tc>
        <w:tc>
          <w:tcPr>
            <w:tcW w:w="1110" w:type="dxa"/>
            <w:tcBorders>
              <w:top w:val="nil"/>
              <w:left w:val="nil"/>
              <w:bottom w:val="single" w:sz="8" w:space="0" w:color="auto"/>
              <w:right w:val="single" w:sz="4" w:space="0" w:color="auto"/>
            </w:tcBorders>
            <w:shd w:val="clear" w:color="auto" w:fill="auto"/>
            <w:noWrap/>
            <w:vAlign w:val="bottom"/>
            <w:hideMark/>
          </w:tcPr>
          <w:p w14:paraId="01204436" w14:textId="0DD3B5C3"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6 850</w:t>
            </w:r>
          </w:p>
        </w:tc>
        <w:tc>
          <w:tcPr>
            <w:tcW w:w="1136" w:type="dxa"/>
            <w:tcBorders>
              <w:top w:val="nil"/>
              <w:left w:val="nil"/>
              <w:bottom w:val="single" w:sz="8" w:space="0" w:color="auto"/>
              <w:right w:val="single" w:sz="8" w:space="0" w:color="auto"/>
            </w:tcBorders>
            <w:shd w:val="clear" w:color="auto" w:fill="auto"/>
            <w:noWrap/>
            <w:vAlign w:val="bottom"/>
            <w:hideMark/>
          </w:tcPr>
          <w:p w14:paraId="4DE58490" w14:textId="638F411B" w:rsidR="00FF4C56" w:rsidRPr="007574BA" w:rsidRDefault="00FF4C56" w:rsidP="00FF4C56">
            <w:pPr>
              <w:jc w:val="right"/>
              <w:rPr>
                <w:rFonts w:asciiTheme="minorHAnsi" w:hAnsiTheme="minorHAnsi" w:cstheme="minorHAnsi"/>
                <w:sz w:val="24"/>
                <w:szCs w:val="24"/>
              </w:rPr>
            </w:pPr>
            <w:r w:rsidRPr="007574BA">
              <w:rPr>
                <w:rFonts w:ascii="Calibri Light" w:hAnsi="Calibri Light" w:cs="Calibri Light"/>
                <w:sz w:val="22"/>
                <w:szCs w:val="22"/>
              </w:rPr>
              <w:t>807</w:t>
            </w:r>
          </w:p>
        </w:tc>
      </w:tr>
    </w:tbl>
    <w:p w14:paraId="088033DF" w14:textId="77777777" w:rsidR="00895FF8" w:rsidRPr="004A72CD" w:rsidRDefault="00895FF8" w:rsidP="00D51F5A">
      <w:pPr>
        <w:spacing w:line="276" w:lineRule="auto"/>
        <w:ind w:firstLine="708"/>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 xml:space="preserve">Din prezentarea datelor statistice se remarcă o </w:t>
      </w:r>
      <w:r w:rsidRPr="004A72CD">
        <w:rPr>
          <w:rFonts w:asciiTheme="minorHAnsi" w:eastAsiaTheme="minorHAnsi" w:hAnsiTheme="minorHAnsi" w:cstheme="minorHAnsi"/>
          <w:color w:val="000000" w:themeColor="text1"/>
          <w:sz w:val="26"/>
          <w:szCs w:val="26"/>
        </w:rPr>
        <w:t>creştere</w:t>
      </w:r>
      <w:r w:rsidRPr="004A72CD">
        <w:rPr>
          <w:rFonts w:asciiTheme="minorHAnsi" w:eastAsiaTheme="minorHAnsi" w:hAnsiTheme="minorHAnsi" w:cstheme="minorHAnsi"/>
          <w:sz w:val="26"/>
          <w:szCs w:val="26"/>
        </w:rPr>
        <w:t xml:space="preserve"> a creditelor bugetare alocate în anul 2024 comparativ cu anul 2023 pentru </w:t>
      </w:r>
      <w:bookmarkStart w:id="119" w:name="_Toc462750070"/>
      <w:r w:rsidRPr="004A72CD">
        <w:rPr>
          <w:rFonts w:asciiTheme="minorHAnsi" w:eastAsiaTheme="minorHAnsi" w:hAnsiTheme="minorHAnsi" w:cstheme="minorHAnsi"/>
          <w:sz w:val="26"/>
          <w:szCs w:val="26"/>
        </w:rPr>
        <w:t>instituțiile aflate în coordonarea Consiliului Superior al Magistraturii, aparatul propriu având o diminuare generată de implementarea proiectelor finanțate din fonduri externe nerambursabile.</w:t>
      </w:r>
    </w:p>
    <w:p w14:paraId="31AF2913" w14:textId="4BBD6477" w:rsidR="00895FF8" w:rsidRPr="00CD3492" w:rsidRDefault="00895FF8" w:rsidP="009D3C00">
      <w:pPr>
        <w:pStyle w:val="Heading2"/>
        <w:rPr>
          <w:rFonts w:eastAsiaTheme="minorHAnsi"/>
          <w:lang w:val="ro-RO"/>
        </w:rPr>
      </w:pPr>
      <w:bookmarkStart w:id="120" w:name="_Toc187824385"/>
      <w:r w:rsidRPr="00CD3492">
        <w:rPr>
          <w:rFonts w:eastAsiaTheme="minorHAnsi"/>
          <w:lang w:val="ro-RO"/>
        </w:rPr>
        <w:t>V.2.</w:t>
      </w:r>
      <w:r w:rsidRPr="00CD3492">
        <w:rPr>
          <w:rFonts w:eastAsiaTheme="minorHAnsi"/>
          <w:lang w:val="ro-RO"/>
        </w:rPr>
        <w:tab/>
        <w:t>Structura bugetului pe anul 20</w:t>
      </w:r>
      <w:bookmarkEnd w:id="119"/>
      <w:r w:rsidRPr="00CD3492">
        <w:rPr>
          <w:rFonts w:eastAsiaTheme="minorHAnsi"/>
          <w:lang w:val="ro-RO"/>
        </w:rPr>
        <w:t>24</w:t>
      </w:r>
      <w:bookmarkEnd w:id="120"/>
    </w:p>
    <w:p w14:paraId="27C79C50" w14:textId="4ADD5AD3" w:rsidR="00895FF8" w:rsidRPr="004A72CD" w:rsidRDefault="00895FF8" w:rsidP="00D51F5A">
      <w:pPr>
        <w:spacing w:line="276" w:lineRule="auto"/>
        <w:ind w:firstLine="708"/>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 xml:space="preserve">Potrivit bugetului de stat aprobat prin Legea nr. 421/2023, Programul de cheltuieli pentru anul 2024, ce a susţinut financiar atât activitatea curentă a Consiliului Superior al Magistraturii cu unităţile aflate în coordonarea sa, cât şi derularea activităţilor cu privire la Planul de acţiune privind Reforma în justiţie, este în valoare totală de </w:t>
      </w:r>
      <w:r w:rsidR="00FF4C56">
        <w:rPr>
          <w:rFonts w:asciiTheme="minorHAnsi" w:eastAsiaTheme="minorHAnsi" w:hAnsiTheme="minorHAnsi" w:cstheme="minorHAnsi"/>
          <w:b/>
          <w:sz w:val="26"/>
          <w:szCs w:val="26"/>
        </w:rPr>
        <w:t>319</w:t>
      </w:r>
      <w:r w:rsidRPr="004A72CD">
        <w:rPr>
          <w:rFonts w:asciiTheme="minorHAnsi" w:eastAsiaTheme="minorHAnsi" w:hAnsiTheme="minorHAnsi" w:cstheme="minorHAnsi"/>
          <w:b/>
          <w:sz w:val="26"/>
          <w:szCs w:val="26"/>
        </w:rPr>
        <w:t>.</w:t>
      </w:r>
      <w:r w:rsidR="00FF4C56">
        <w:rPr>
          <w:rFonts w:asciiTheme="minorHAnsi" w:eastAsiaTheme="minorHAnsi" w:hAnsiTheme="minorHAnsi" w:cstheme="minorHAnsi"/>
          <w:b/>
          <w:sz w:val="26"/>
          <w:szCs w:val="26"/>
        </w:rPr>
        <w:t>502</w:t>
      </w:r>
      <w:r w:rsidRPr="004A72CD">
        <w:rPr>
          <w:rFonts w:asciiTheme="minorHAnsi" w:eastAsiaTheme="minorHAnsi" w:hAnsiTheme="minorHAnsi" w:cstheme="minorHAnsi"/>
          <w:b/>
          <w:sz w:val="26"/>
          <w:szCs w:val="26"/>
        </w:rPr>
        <w:t xml:space="preserve"> </w:t>
      </w:r>
      <w:r w:rsidRPr="004A72CD">
        <w:rPr>
          <w:rFonts w:asciiTheme="minorHAnsi" w:eastAsiaTheme="minorHAnsi" w:hAnsiTheme="minorHAnsi" w:cstheme="minorHAnsi"/>
          <w:sz w:val="26"/>
          <w:szCs w:val="26"/>
        </w:rPr>
        <w:t xml:space="preserve">mii lei credite de angajament și </w:t>
      </w:r>
      <w:r w:rsidRPr="004A72CD">
        <w:rPr>
          <w:rFonts w:asciiTheme="minorHAnsi" w:eastAsiaTheme="minorHAnsi" w:hAnsiTheme="minorHAnsi" w:cstheme="minorHAnsi"/>
          <w:b/>
          <w:sz w:val="26"/>
          <w:szCs w:val="26"/>
        </w:rPr>
        <w:t>3</w:t>
      </w:r>
      <w:r w:rsidR="00FF4C56">
        <w:rPr>
          <w:rFonts w:asciiTheme="minorHAnsi" w:eastAsiaTheme="minorHAnsi" w:hAnsiTheme="minorHAnsi" w:cstheme="minorHAnsi"/>
          <w:b/>
          <w:sz w:val="26"/>
          <w:szCs w:val="26"/>
        </w:rPr>
        <w:t>17</w:t>
      </w:r>
      <w:r w:rsidRPr="004A72CD">
        <w:rPr>
          <w:rFonts w:asciiTheme="minorHAnsi" w:eastAsiaTheme="minorHAnsi" w:hAnsiTheme="minorHAnsi" w:cstheme="minorHAnsi"/>
          <w:b/>
          <w:sz w:val="26"/>
          <w:szCs w:val="26"/>
        </w:rPr>
        <w:t>.</w:t>
      </w:r>
      <w:r w:rsidR="00FF4C56">
        <w:rPr>
          <w:rFonts w:asciiTheme="minorHAnsi" w:eastAsiaTheme="minorHAnsi" w:hAnsiTheme="minorHAnsi" w:cstheme="minorHAnsi"/>
          <w:b/>
          <w:sz w:val="26"/>
          <w:szCs w:val="26"/>
        </w:rPr>
        <w:t>694</w:t>
      </w:r>
      <w:r w:rsidRPr="004A72CD">
        <w:rPr>
          <w:rFonts w:asciiTheme="minorHAnsi" w:eastAsiaTheme="minorHAnsi" w:hAnsiTheme="minorHAnsi" w:cstheme="minorHAnsi"/>
          <w:b/>
          <w:sz w:val="26"/>
          <w:szCs w:val="26"/>
        </w:rPr>
        <w:t xml:space="preserve"> </w:t>
      </w:r>
      <w:r w:rsidRPr="004A72CD">
        <w:rPr>
          <w:rFonts w:asciiTheme="minorHAnsi" w:eastAsiaTheme="minorHAnsi" w:hAnsiTheme="minorHAnsi" w:cstheme="minorHAnsi"/>
          <w:sz w:val="26"/>
          <w:szCs w:val="26"/>
        </w:rPr>
        <w:t>mii lei credite bugetare.</w:t>
      </w:r>
    </w:p>
    <w:p w14:paraId="2FC47DCF" w14:textId="77777777" w:rsidR="00895FF8" w:rsidRPr="004A72CD" w:rsidRDefault="00895FF8" w:rsidP="00D51F5A">
      <w:pPr>
        <w:spacing w:line="276" w:lineRule="auto"/>
        <w:ind w:firstLine="720"/>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lastRenderedPageBreak/>
        <w:t>Creditele angajament și creditele bugetare sunt constituite potrivit legislaţiei ce reglementează finanţarea activităţii şi sunt reprezentate în structură astfel:</w:t>
      </w:r>
    </w:p>
    <w:p w14:paraId="201B3263" w14:textId="77777777" w:rsidR="00895FF8" w:rsidRPr="004A72CD" w:rsidRDefault="00895FF8">
      <w:pPr>
        <w:numPr>
          <w:ilvl w:val="0"/>
          <w:numId w:val="8"/>
        </w:numPr>
        <w:tabs>
          <w:tab w:val="left" w:pos="284"/>
        </w:tabs>
        <w:spacing w:after="160" w:line="276" w:lineRule="auto"/>
        <w:ind w:hanging="342"/>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gs Ch. Personal CA,CB = </w:t>
      </w:r>
      <m:oMath>
        <m:f>
          <m:fPr>
            <m:ctrlPr>
              <w:rPr>
                <w:rFonts w:ascii="Cambria Math" w:hAnsi="Cambria Math" w:cstheme="minorHAnsi"/>
                <w:sz w:val="26"/>
                <w:szCs w:val="26"/>
              </w:rPr>
            </m:ctrlPr>
          </m:fPr>
          <m:num>
            <m:r>
              <w:rPr>
                <w:rFonts w:ascii="Cambria Math" w:hAnsi="Cambria Math" w:cstheme="minorHAnsi"/>
                <w:sz w:val="26"/>
                <w:szCs w:val="26"/>
              </w:rPr>
              <m:t>Cheltuieli de personal</m:t>
            </m:r>
          </m:num>
          <m:den>
            <m:r>
              <w:rPr>
                <w:rFonts w:ascii="Cambria Math" w:hAnsi="Cambria Math" w:cstheme="minorHAnsi"/>
                <w:sz w:val="26"/>
                <w:szCs w:val="26"/>
              </w:rPr>
              <m:t>Buget total</m:t>
            </m:r>
          </m:den>
        </m:f>
        <m:r>
          <w:rPr>
            <w:rFonts w:ascii="Cambria Math" w:hAnsi="Cambria Math" w:cstheme="minorHAnsi"/>
            <w:sz w:val="26"/>
            <w:szCs w:val="26"/>
          </w:rPr>
          <m:t>x 100</m:t>
        </m:r>
      </m:oMath>
      <w:r w:rsidRPr="004A72CD">
        <w:rPr>
          <w:rFonts w:asciiTheme="minorHAnsi" w:hAnsiTheme="minorHAnsi" w:cstheme="minorHAnsi"/>
          <w:sz w:val="26"/>
          <w:szCs w:val="26"/>
        </w:rPr>
        <w:t>;</w:t>
      </w:r>
    </w:p>
    <w:p w14:paraId="4E68BEAE" w14:textId="77777777" w:rsidR="00895FF8" w:rsidRPr="004A72CD" w:rsidRDefault="00895FF8" w:rsidP="00D51F5A">
      <w:pPr>
        <w:tabs>
          <w:tab w:val="left" w:pos="284"/>
        </w:tabs>
        <w:spacing w:line="276" w:lineRule="auto"/>
        <w:ind w:left="768"/>
        <w:contextualSpacing/>
        <w:jc w:val="both"/>
        <w:rPr>
          <w:rFonts w:asciiTheme="minorHAnsi" w:hAnsiTheme="minorHAnsi" w:cstheme="minorHAnsi"/>
          <w:sz w:val="26"/>
          <w:szCs w:val="26"/>
        </w:rPr>
      </w:pPr>
    </w:p>
    <w:p w14:paraId="2367F453" w14:textId="77777777" w:rsidR="00895FF8" w:rsidRPr="004A72CD" w:rsidRDefault="00895FF8">
      <w:pPr>
        <w:numPr>
          <w:ilvl w:val="0"/>
          <w:numId w:val="8"/>
        </w:numPr>
        <w:tabs>
          <w:tab w:val="left" w:pos="284"/>
        </w:tabs>
        <w:spacing w:after="160" w:line="276" w:lineRule="auto"/>
        <w:ind w:hanging="342"/>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gs Ch. Materiale CA,CB  = </w:t>
      </w:r>
      <m:oMath>
        <m:f>
          <m:fPr>
            <m:ctrlPr>
              <w:rPr>
                <w:rFonts w:ascii="Cambria Math" w:hAnsi="Cambria Math" w:cstheme="minorHAnsi"/>
                <w:sz w:val="26"/>
                <w:szCs w:val="26"/>
              </w:rPr>
            </m:ctrlPr>
          </m:fPr>
          <m:num>
            <m:r>
              <w:rPr>
                <w:rFonts w:ascii="Cambria Math" w:hAnsi="Cambria Math" w:cstheme="minorHAnsi"/>
                <w:sz w:val="26"/>
                <w:szCs w:val="26"/>
              </w:rPr>
              <m:t>Cheltuieli</m:t>
            </m:r>
            <m:r>
              <m:rPr>
                <m:sty m:val="p"/>
              </m:rPr>
              <w:rPr>
                <w:rFonts w:ascii="Cambria Math" w:hAnsi="Cambria Math" w:cstheme="minorHAnsi"/>
                <w:sz w:val="26"/>
                <w:szCs w:val="26"/>
              </w:rPr>
              <m:t xml:space="preserve"> </m:t>
            </m:r>
            <m:r>
              <w:rPr>
                <w:rFonts w:ascii="Cambria Math" w:hAnsi="Cambria Math" w:cstheme="minorHAnsi"/>
                <w:sz w:val="26"/>
                <w:szCs w:val="26"/>
              </w:rPr>
              <m:t>materiale</m:t>
            </m:r>
          </m:num>
          <m:den>
            <m:r>
              <w:rPr>
                <w:rFonts w:ascii="Cambria Math" w:hAnsi="Cambria Math" w:cstheme="minorHAnsi"/>
                <w:sz w:val="26"/>
                <w:szCs w:val="26"/>
              </w:rPr>
              <m:t>Buget</m:t>
            </m:r>
            <m:r>
              <m:rPr>
                <m:sty m:val="p"/>
              </m:rPr>
              <w:rPr>
                <w:rFonts w:ascii="Cambria Math" w:hAnsi="Cambria Math" w:cstheme="minorHAnsi"/>
                <w:sz w:val="26"/>
                <w:szCs w:val="26"/>
              </w:rPr>
              <m:t xml:space="preserve"> </m:t>
            </m:r>
            <m:r>
              <w:rPr>
                <w:rFonts w:ascii="Cambria Math" w:hAnsi="Cambria Math" w:cstheme="minorHAnsi"/>
                <w:sz w:val="26"/>
                <w:szCs w:val="26"/>
              </w:rPr>
              <m:t>total</m:t>
            </m:r>
          </m:den>
        </m:f>
        <m:r>
          <w:rPr>
            <w:rFonts w:ascii="Cambria Math" w:hAnsi="Cambria Math" w:cstheme="minorHAnsi"/>
            <w:sz w:val="26"/>
            <w:szCs w:val="26"/>
          </w:rPr>
          <m:t>x</m:t>
        </m:r>
        <m:r>
          <m:rPr>
            <m:sty m:val="p"/>
          </m:rPr>
          <w:rPr>
            <w:rFonts w:ascii="Cambria Math" w:hAnsi="Cambria Math" w:cstheme="minorHAnsi"/>
            <w:sz w:val="26"/>
            <w:szCs w:val="26"/>
          </w:rPr>
          <m:t xml:space="preserve"> 100</m:t>
        </m:r>
      </m:oMath>
      <w:r w:rsidRPr="004A72CD">
        <w:rPr>
          <w:rFonts w:asciiTheme="minorHAnsi" w:hAnsiTheme="minorHAnsi" w:cstheme="minorHAnsi"/>
          <w:sz w:val="26"/>
          <w:szCs w:val="26"/>
        </w:rPr>
        <w:t>;</w:t>
      </w:r>
    </w:p>
    <w:p w14:paraId="6614E932" w14:textId="77777777" w:rsidR="00895FF8" w:rsidRPr="004A72CD" w:rsidRDefault="00895FF8" w:rsidP="00D51F5A">
      <w:pPr>
        <w:tabs>
          <w:tab w:val="left" w:pos="284"/>
        </w:tabs>
        <w:spacing w:line="276" w:lineRule="auto"/>
        <w:ind w:left="768"/>
        <w:contextualSpacing/>
        <w:jc w:val="both"/>
        <w:rPr>
          <w:rFonts w:asciiTheme="minorHAnsi" w:hAnsiTheme="minorHAnsi" w:cstheme="minorHAnsi"/>
          <w:sz w:val="26"/>
          <w:szCs w:val="26"/>
        </w:rPr>
      </w:pPr>
    </w:p>
    <w:p w14:paraId="4B430339" w14:textId="77777777" w:rsidR="00895FF8" w:rsidRPr="004A72CD" w:rsidRDefault="00895FF8">
      <w:pPr>
        <w:numPr>
          <w:ilvl w:val="0"/>
          <w:numId w:val="8"/>
        </w:numPr>
        <w:tabs>
          <w:tab w:val="left" w:pos="284"/>
        </w:tabs>
        <w:spacing w:after="160" w:line="276" w:lineRule="auto"/>
        <w:ind w:hanging="342"/>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gs Ch. Transferuri CA,CB = </w:t>
      </w:r>
      <m:oMath>
        <m:f>
          <m:fPr>
            <m:ctrlPr>
              <w:rPr>
                <w:rFonts w:ascii="Cambria Math" w:hAnsi="Cambria Math" w:cstheme="minorHAnsi"/>
                <w:sz w:val="26"/>
                <w:szCs w:val="26"/>
              </w:rPr>
            </m:ctrlPr>
          </m:fPr>
          <m:num>
            <m:eqArr>
              <m:eqArrPr>
                <m:ctrlPr>
                  <w:rPr>
                    <w:rFonts w:ascii="Cambria Math" w:hAnsi="Cambria Math" w:cstheme="minorHAnsi"/>
                    <w:i/>
                    <w:sz w:val="26"/>
                    <w:szCs w:val="26"/>
                  </w:rPr>
                </m:ctrlPr>
              </m:eqArrPr>
              <m:e>
                <m:r>
                  <w:rPr>
                    <w:rFonts w:ascii="Cambria Math" w:hAnsi="Cambria Math" w:cstheme="minorHAnsi"/>
                    <w:sz w:val="26"/>
                    <w:szCs w:val="26"/>
                  </w:rPr>
                  <m:t>Cheltuieli privind</m:t>
                </m:r>
              </m:e>
              <m:e>
                <m:r>
                  <w:rPr>
                    <w:rFonts w:ascii="Cambria Math" w:hAnsi="Cambria Math" w:cstheme="minorHAnsi"/>
                    <w:sz w:val="26"/>
                    <w:szCs w:val="26"/>
                  </w:rPr>
                  <m:t xml:space="preserve"> transferurile</m:t>
                </m:r>
              </m:e>
            </m:eqArr>
          </m:num>
          <m:den>
            <m:r>
              <w:rPr>
                <w:rFonts w:ascii="Cambria Math" w:hAnsi="Cambria Math" w:cstheme="minorHAnsi"/>
                <w:sz w:val="26"/>
                <w:szCs w:val="26"/>
              </w:rPr>
              <m:t>Buget total</m:t>
            </m:r>
          </m:den>
        </m:f>
        <m:r>
          <w:rPr>
            <w:rFonts w:ascii="Cambria Math" w:hAnsi="Cambria Math" w:cstheme="minorHAnsi"/>
            <w:sz w:val="26"/>
            <w:szCs w:val="26"/>
          </w:rPr>
          <m:t>x 100</m:t>
        </m:r>
      </m:oMath>
      <w:r w:rsidRPr="004A72CD">
        <w:rPr>
          <w:rFonts w:asciiTheme="minorHAnsi" w:hAnsiTheme="minorHAnsi" w:cstheme="minorHAnsi"/>
          <w:sz w:val="26"/>
          <w:szCs w:val="26"/>
        </w:rPr>
        <w:t>;</w:t>
      </w:r>
    </w:p>
    <w:p w14:paraId="64DF764D" w14:textId="77777777" w:rsidR="00895FF8" w:rsidRPr="004A72CD" w:rsidRDefault="00895FF8" w:rsidP="00D51F5A">
      <w:pPr>
        <w:tabs>
          <w:tab w:val="left" w:pos="284"/>
        </w:tabs>
        <w:spacing w:line="276" w:lineRule="auto"/>
        <w:ind w:left="768"/>
        <w:contextualSpacing/>
        <w:jc w:val="both"/>
        <w:rPr>
          <w:rFonts w:asciiTheme="minorHAnsi" w:hAnsiTheme="minorHAnsi" w:cstheme="minorHAnsi"/>
          <w:sz w:val="26"/>
          <w:szCs w:val="26"/>
        </w:rPr>
      </w:pPr>
    </w:p>
    <w:p w14:paraId="6BCA4495" w14:textId="77777777" w:rsidR="00895FF8" w:rsidRPr="004A72CD" w:rsidRDefault="00895FF8">
      <w:pPr>
        <w:numPr>
          <w:ilvl w:val="0"/>
          <w:numId w:val="8"/>
        </w:numPr>
        <w:tabs>
          <w:tab w:val="left" w:pos="284"/>
        </w:tabs>
        <w:spacing w:after="160" w:line="276" w:lineRule="auto"/>
        <w:ind w:hanging="342"/>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gs Ch. Alte transferuri CA,CB = </w:t>
      </w:r>
      <m:oMath>
        <m:f>
          <m:fPr>
            <m:ctrlPr>
              <w:rPr>
                <w:rFonts w:ascii="Cambria Math" w:hAnsi="Cambria Math" w:cstheme="minorHAnsi"/>
                <w:sz w:val="26"/>
                <w:szCs w:val="26"/>
              </w:rPr>
            </m:ctrlPr>
          </m:fPr>
          <m:num>
            <m:eqArr>
              <m:eqArrPr>
                <m:ctrlPr>
                  <w:rPr>
                    <w:rFonts w:ascii="Cambria Math" w:hAnsi="Cambria Math" w:cstheme="minorHAnsi"/>
                    <w:i/>
                    <w:sz w:val="26"/>
                    <w:szCs w:val="26"/>
                  </w:rPr>
                </m:ctrlPr>
              </m:eqArrPr>
              <m:e>
                <m:r>
                  <w:rPr>
                    <w:rFonts w:ascii="Cambria Math" w:hAnsi="Cambria Math" w:cstheme="minorHAnsi"/>
                    <w:sz w:val="26"/>
                    <w:szCs w:val="26"/>
                  </w:rPr>
                  <m:t>Cheltuieli privind</m:t>
                </m:r>
              </m:e>
              <m:e>
                <m:r>
                  <w:rPr>
                    <w:rFonts w:ascii="Cambria Math" w:hAnsi="Cambria Math" w:cstheme="minorHAnsi"/>
                    <w:sz w:val="26"/>
                    <w:szCs w:val="26"/>
                  </w:rPr>
                  <m:t xml:space="preserve"> alte transferurile</m:t>
                </m:r>
              </m:e>
            </m:eqArr>
          </m:num>
          <m:den>
            <m:r>
              <w:rPr>
                <w:rFonts w:ascii="Cambria Math" w:hAnsi="Cambria Math" w:cstheme="minorHAnsi"/>
                <w:sz w:val="26"/>
                <w:szCs w:val="26"/>
              </w:rPr>
              <m:t>Buget total</m:t>
            </m:r>
          </m:den>
        </m:f>
        <m:r>
          <w:rPr>
            <w:rFonts w:ascii="Cambria Math" w:hAnsi="Cambria Math" w:cstheme="minorHAnsi"/>
            <w:sz w:val="26"/>
            <w:szCs w:val="26"/>
          </w:rPr>
          <m:t>x 100</m:t>
        </m:r>
      </m:oMath>
      <w:r w:rsidRPr="004A72CD">
        <w:rPr>
          <w:rFonts w:asciiTheme="minorHAnsi" w:hAnsiTheme="minorHAnsi" w:cstheme="minorHAnsi"/>
          <w:sz w:val="26"/>
          <w:szCs w:val="26"/>
        </w:rPr>
        <w:t>;</w:t>
      </w:r>
    </w:p>
    <w:p w14:paraId="49B5F573" w14:textId="77777777" w:rsidR="00895FF8" w:rsidRPr="004A72CD" w:rsidRDefault="00895FF8">
      <w:pPr>
        <w:numPr>
          <w:ilvl w:val="0"/>
          <w:numId w:val="8"/>
        </w:numPr>
        <w:tabs>
          <w:tab w:val="left" w:pos="284"/>
        </w:tabs>
        <w:spacing w:after="160" w:line="276" w:lineRule="auto"/>
        <w:ind w:hanging="342"/>
        <w:contextualSpacing/>
        <w:jc w:val="both"/>
        <w:rPr>
          <w:rFonts w:asciiTheme="minorHAnsi" w:hAnsiTheme="minorHAnsi" w:cstheme="minorHAnsi"/>
          <w:sz w:val="26"/>
          <w:szCs w:val="26"/>
        </w:rPr>
      </w:pPr>
      <w:r w:rsidRPr="004A72CD">
        <w:rPr>
          <w:rFonts w:asciiTheme="minorHAnsi" w:hAnsiTheme="minorHAnsi" w:cstheme="minorHAnsi"/>
          <w:sz w:val="26"/>
          <w:szCs w:val="26"/>
        </w:rPr>
        <w:t>gs Ch. Proiecte cu finanțare din FEN postaderare CA,CB =</w:t>
      </w:r>
      <m:oMath>
        <m:r>
          <w:rPr>
            <w:rFonts w:ascii="Cambria Math" w:hAnsi="Cambria Math" w:cstheme="minorHAnsi"/>
            <w:sz w:val="26"/>
            <w:szCs w:val="26"/>
          </w:rPr>
          <m:t xml:space="preserve"> </m:t>
        </m:r>
        <m:f>
          <m:fPr>
            <m:ctrlPr>
              <w:rPr>
                <w:rFonts w:ascii="Cambria Math" w:hAnsi="Cambria Math" w:cstheme="minorHAnsi"/>
                <w:sz w:val="26"/>
                <w:szCs w:val="26"/>
              </w:rPr>
            </m:ctrlPr>
          </m:fPr>
          <m:num>
            <m:eqArr>
              <m:eqArrPr>
                <m:ctrlPr>
                  <w:rPr>
                    <w:rFonts w:ascii="Cambria Math" w:hAnsi="Cambria Math" w:cstheme="minorHAnsi"/>
                    <w:i/>
                    <w:sz w:val="26"/>
                    <w:szCs w:val="26"/>
                  </w:rPr>
                </m:ctrlPr>
              </m:eqArrPr>
              <m:e>
                <m:eqArr>
                  <m:eqArrPr>
                    <m:ctrlPr>
                      <w:rPr>
                        <w:rFonts w:ascii="Cambria Math" w:hAnsi="Cambria Math" w:cstheme="minorHAnsi"/>
                        <w:i/>
                        <w:sz w:val="26"/>
                        <w:szCs w:val="26"/>
                      </w:rPr>
                    </m:ctrlPr>
                  </m:eqArrPr>
                  <m:e>
                    <m:r>
                      <w:rPr>
                        <w:rFonts w:ascii="Cambria Math" w:hAnsi="Cambria Math" w:cstheme="minorHAnsi"/>
                        <w:sz w:val="26"/>
                        <w:szCs w:val="26"/>
                      </w:rPr>
                      <m:t>Cheltuieli privind proiectele</m:t>
                    </m:r>
                  </m:e>
                </m:eqArr>
              </m:e>
              <m:e>
                <m:r>
                  <w:rPr>
                    <w:rFonts w:ascii="Cambria Math" w:hAnsi="Cambria Math" w:cstheme="minorHAnsi"/>
                    <w:sz w:val="26"/>
                    <w:szCs w:val="26"/>
                  </w:rPr>
                  <m:t>cu finanțare din FEN postaderare</m:t>
                </m:r>
              </m:e>
            </m:eqArr>
          </m:num>
          <m:den>
            <m:r>
              <w:rPr>
                <w:rFonts w:ascii="Cambria Math" w:hAnsi="Cambria Math" w:cstheme="minorHAnsi"/>
                <w:sz w:val="26"/>
                <w:szCs w:val="26"/>
              </w:rPr>
              <m:t>Buget total</m:t>
            </m:r>
          </m:den>
        </m:f>
        <m:r>
          <w:rPr>
            <w:rFonts w:ascii="Cambria Math" w:hAnsi="Cambria Math" w:cstheme="minorHAnsi"/>
            <w:sz w:val="26"/>
            <w:szCs w:val="26"/>
          </w:rPr>
          <m:t xml:space="preserve">x 100; </m:t>
        </m:r>
      </m:oMath>
    </w:p>
    <w:p w14:paraId="64961737" w14:textId="77777777" w:rsidR="00895FF8" w:rsidRPr="004A72CD" w:rsidRDefault="00895FF8" w:rsidP="00D51F5A">
      <w:pPr>
        <w:tabs>
          <w:tab w:val="left" w:pos="0"/>
        </w:tabs>
        <w:spacing w:line="276" w:lineRule="auto"/>
        <w:jc w:val="both"/>
        <w:rPr>
          <w:rFonts w:asciiTheme="minorHAnsi" w:eastAsiaTheme="minorHAnsi" w:hAnsiTheme="minorHAnsi" w:cstheme="minorHAnsi"/>
          <w:sz w:val="26"/>
          <w:szCs w:val="26"/>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3685"/>
      </w:tblGrid>
      <w:tr w:rsidR="00895FF8" w:rsidRPr="004A72CD" w14:paraId="63C76E6B" w14:textId="77777777" w:rsidTr="00B9099C">
        <w:trPr>
          <w:trHeight w:val="719"/>
        </w:trPr>
        <w:tc>
          <w:tcPr>
            <w:tcW w:w="5245" w:type="dxa"/>
          </w:tcPr>
          <w:p w14:paraId="6D057C09" w14:textId="4B96771F" w:rsidR="00895FF8" w:rsidRPr="004A72CD" w:rsidRDefault="00895FF8">
            <w:pPr>
              <w:numPr>
                <w:ilvl w:val="0"/>
                <w:numId w:val="9"/>
              </w:numPr>
              <w:tabs>
                <w:tab w:val="left" w:pos="0"/>
              </w:tabs>
              <w:spacing w:line="276" w:lineRule="auto"/>
              <w:ind w:left="601" w:right="-5135" w:hanging="283"/>
              <w:contextualSpacing/>
              <w:jc w:val="both"/>
              <w:rPr>
                <w:rFonts w:asciiTheme="minorHAnsi" w:hAnsiTheme="minorHAnsi" w:cstheme="minorHAnsi"/>
                <w:sz w:val="26"/>
                <w:szCs w:val="26"/>
                <w:lang w:val="ro-RO"/>
              </w:rPr>
            </w:pPr>
            <w:r w:rsidRPr="004A72CD">
              <w:rPr>
                <w:rFonts w:asciiTheme="minorHAnsi" w:hAnsiTheme="minorHAnsi" w:cstheme="minorHAnsi"/>
                <w:sz w:val="26"/>
                <w:szCs w:val="26"/>
                <w:lang w:val="ro-RO"/>
              </w:rPr>
              <w:t xml:space="preserve"> gs Ch. </w:t>
            </w:r>
            <w:r w:rsidRPr="004A72CD">
              <w:rPr>
                <w:rFonts w:asciiTheme="minorHAnsi" w:hAnsiTheme="minorHAnsi" w:cstheme="minorHAnsi"/>
                <w:color w:val="000000"/>
                <w:sz w:val="26"/>
                <w:szCs w:val="26"/>
                <w:lang w:val="ro-RO"/>
              </w:rPr>
              <w:t>Proiecte cu finanțare din F</w:t>
            </w:r>
            <w:r w:rsidR="00DF34D5" w:rsidRPr="004A72CD">
              <w:rPr>
                <w:rFonts w:asciiTheme="minorHAnsi" w:hAnsiTheme="minorHAnsi" w:cstheme="minorHAnsi"/>
                <w:color w:val="000000"/>
                <w:sz w:val="26"/>
                <w:szCs w:val="26"/>
                <w:lang w:val="ro-RO"/>
              </w:rPr>
              <w:t>.</w:t>
            </w:r>
            <w:r w:rsidRPr="004A72CD">
              <w:rPr>
                <w:rFonts w:asciiTheme="minorHAnsi" w:hAnsiTheme="minorHAnsi" w:cstheme="minorHAnsi"/>
                <w:color w:val="000000"/>
                <w:sz w:val="26"/>
                <w:szCs w:val="26"/>
                <w:lang w:val="ro-RO"/>
              </w:rPr>
              <w:t>E</w:t>
            </w:r>
            <w:r w:rsidR="00DF34D5" w:rsidRPr="004A72CD">
              <w:rPr>
                <w:rFonts w:asciiTheme="minorHAnsi" w:hAnsiTheme="minorHAnsi" w:cstheme="minorHAnsi"/>
                <w:color w:val="000000"/>
                <w:sz w:val="26"/>
                <w:szCs w:val="26"/>
                <w:lang w:val="ro-RO"/>
              </w:rPr>
              <w:t>.</w:t>
            </w:r>
            <w:r w:rsidRPr="004A72CD">
              <w:rPr>
                <w:rFonts w:asciiTheme="minorHAnsi" w:hAnsiTheme="minorHAnsi" w:cstheme="minorHAnsi"/>
                <w:color w:val="000000"/>
                <w:sz w:val="26"/>
                <w:szCs w:val="26"/>
                <w:lang w:val="ro-RO"/>
              </w:rPr>
              <w:t>N</w:t>
            </w:r>
            <w:r w:rsidR="00DF34D5" w:rsidRPr="004A72CD">
              <w:rPr>
                <w:rFonts w:asciiTheme="minorHAnsi" w:hAnsiTheme="minorHAnsi" w:cstheme="minorHAnsi"/>
                <w:color w:val="000000"/>
                <w:sz w:val="26"/>
                <w:szCs w:val="26"/>
                <w:lang w:val="ro-RO"/>
              </w:rPr>
              <w:t>.</w:t>
            </w:r>
            <w:r w:rsidRPr="004A72CD">
              <w:rPr>
                <w:rFonts w:asciiTheme="minorHAnsi" w:hAnsiTheme="minorHAnsi" w:cstheme="minorHAnsi"/>
                <w:color w:val="000000"/>
                <w:sz w:val="26"/>
                <w:szCs w:val="26"/>
                <w:lang w:val="ro-RO"/>
              </w:rPr>
              <w:t xml:space="preserve"> aferente cadrului</w:t>
            </w:r>
          </w:p>
          <w:p w14:paraId="0674440F" w14:textId="4359812A" w:rsidR="00895FF8" w:rsidRPr="004A72CD" w:rsidRDefault="00895FF8" w:rsidP="00D51F5A">
            <w:pPr>
              <w:tabs>
                <w:tab w:val="left" w:pos="0"/>
              </w:tabs>
              <w:spacing w:line="276" w:lineRule="auto"/>
              <w:ind w:left="360" w:right="-5135"/>
              <w:jc w:val="both"/>
              <w:rPr>
                <w:rFonts w:asciiTheme="minorHAnsi" w:hAnsiTheme="minorHAnsi" w:cstheme="minorHAnsi"/>
                <w:color w:val="000000"/>
                <w:sz w:val="26"/>
                <w:szCs w:val="26"/>
                <w:lang w:val="ro-RO"/>
              </w:rPr>
            </w:pPr>
            <w:r w:rsidRPr="004A72CD">
              <w:rPr>
                <w:rFonts w:asciiTheme="minorHAnsi" w:hAnsiTheme="minorHAnsi" w:cstheme="minorHAnsi"/>
                <w:color w:val="000000"/>
                <w:sz w:val="26"/>
                <w:szCs w:val="26"/>
                <w:lang w:val="ro-RO"/>
              </w:rPr>
              <w:t xml:space="preserve">       financiar 2014-2020 </w:t>
            </w:r>
            <w:r w:rsidRPr="004A72CD">
              <w:rPr>
                <w:rFonts w:asciiTheme="minorHAnsi" w:hAnsiTheme="minorHAnsi" w:cstheme="minorHAnsi"/>
                <w:sz w:val="26"/>
                <w:szCs w:val="26"/>
                <w:lang w:val="ro-RO"/>
              </w:rPr>
              <w:t xml:space="preserve">CA,CB  </w:t>
            </w:r>
          </w:p>
          <w:p w14:paraId="35639E62" w14:textId="77777777" w:rsidR="00895FF8" w:rsidRPr="004A72CD" w:rsidRDefault="00895FF8" w:rsidP="00D51F5A">
            <w:pPr>
              <w:tabs>
                <w:tab w:val="left" w:pos="0"/>
              </w:tabs>
              <w:spacing w:line="276" w:lineRule="auto"/>
              <w:ind w:left="142" w:right="-1449"/>
              <w:jc w:val="both"/>
              <w:rPr>
                <w:rFonts w:asciiTheme="minorHAnsi" w:hAnsiTheme="minorHAnsi" w:cstheme="minorHAnsi"/>
                <w:color w:val="000000"/>
                <w:sz w:val="26"/>
                <w:szCs w:val="26"/>
                <w:lang w:val="ro-RO"/>
              </w:rPr>
            </w:pPr>
          </w:p>
        </w:tc>
        <w:tc>
          <w:tcPr>
            <w:tcW w:w="3685" w:type="dxa"/>
          </w:tcPr>
          <w:p w14:paraId="49BFF283" w14:textId="77777777" w:rsidR="00895FF8" w:rsidRPr="004A72CD" w:rsidRDefault="00895FF8" w:rsidP="00D51F5A">
            <w:pPr>
              <w:tabs>
                <w:tab w:val="left" w:pos="317"/>
              </w:tabs>
              <w:spacing w:line="276" w:lineRule="auto"/>
              <w:ind w:left="34"/>
              <w:jc w:val="both"/>
              <w:rPr>
                <w:rFonts w:asciiTheme="minorHAnsi" w:hAnsiTheme="minorHAnsi" w:cstheme="minorHAnsi"/>
                <w:color w:val="000000"/>
                <w:sz w:val="26"/>
                <w:szCs w:val="26"/>
                <w:lang w:val="ro-RO"/>
              </w:rPr>
            </w:pPr>
            <w:r w:rsidRPr="004A72CD">
              <w:rPr>
                <w:rFonts w:asciiTheme="minorHAnsi" w:hAnsiTheme="minorHAnsi" w:cstheme="minorHAnsi"/>
                <w:sz w:val="26"/>
                <w:szCs w:val="26"/>
                <w:lang w:val="ro-RO"/>
              </w:rPr>
              <w:t xml:space="preserve"> =</w:t>
            </w:r>
            <m:oMath>
              <m:r>
                <w:rPr>
                  <w:rFonts w:ascii="Cambria Math" w:hAnsi="Cambria Math" w:cstheme="minorHAnsi"/>
                  <w:sz w:val="26"/>
                  <w:szCs w:val="26"/>
                  <w:lang w:val="ro-RO"/>
                </w:rPr>
                <m:t xml:space="preserve"> </m:t>
              </m:r>
              <m:f>
                <m:fPr>
                  <m:ctrlPr>
                    <w:rPr>
                      <w:rFonts w:ascii="Cambria Math" w:hAnsi="Cambria Math" w:cstheme="minorHAnsi"/>
                      <w:sz w:val="26"/>
                      <w:szCs w:val="26"/>
                      <w:lang w:val="ro-RO"/>
                    </w:rPr>
                  </m:ctrlPr>
                </m:fPr>
                <m:num>
                  <m:eqArr>
                    <m:eqArrPr>
                      <m:ctrlPr>
                        <w:rPr>
                          <w:rFonts w:ascii="Cambria Math" w:hAnsi="Cambria Math" w:cstheme="minorHAnsi"/>
                          <w:i/>
                          <w:sz w:val="26"/>
                          <w:szCs w:val="26"/>
                          <w:lang w:val="ro-RO"/>
                        </w:rPr>
                      </m:ctrlPr>
                    </m:eqArrPr>
                    <m:e>
                      <m:eqArr>
                        <m:eqArrPr>
                          <m:ctrlPr>
                            <w:rPr>
                              <w:rFonts w:ascii="Cambria Math" w:hAnsi="Cambria Math" w:cstheme="minorHAnsi"/>
                              <w:i/>
                              <w:sz w:val="26"/>
                              <w:szCs w:val="26"/>
                              <w:lang w:val="ro-RO"/>
                            </w:rPr>
                          </m:ctrlPr>
                        </m:eqArrPr>
                        <m:e>
                          <m:r>
                            <w:rPr>
                              <w:rFonts w:ascii="Cambria Math" w:hAnsi="Cambria Math" w:cstheme="minorHAnsi"/>
                              <w:sz w:val="26"/>
                              <w:szCs w:val="26"/>
                              <w:lang w:val="ro-RO"/>
                            </w:rPr>
                            <m:t>Cheltuieli privind proiectele</m:t>
                          </m:r>
                        </m:e>
                      </m:eqArr>
                    </m:e>
                    <m:e>
                      <m:r>
                        <w:rPr>
                          <w:rFonts w:ascii="Cambria Math" w:hAnsi="Cambria Math" w:cstheme="minorHAnsi"/>
                          <w:sz w:val="26"/>
                          <w:szCs w:val="26"/>
                          <w:lang w:val="ro-RO"/>
                        </w:rPr>
                        <m:t>cu finanțare din FEN postaderare</m:t>
                      </m:r>
                    </m:e>
                  </m:eqArr>
                </m:num>
                <m:den>
                  <m:r>
                    <w:rPr>
                      <w:rFonts w:ascii="Cambria Math" w:hAnsi="Cambria Math" w:cstheme="minorHAnsi"/>
                      <w:sz w:val="26"/>
                      <w:szCs w:val="26"/>
                      <w:lang w:val="ro-RO"/>
                    </w:rPr>
                    <m:t>Buget total</m:t>
                  </m:r>
                </m:den>
              </m:f>
              <m:r>
                <w:rPr>
                  <w:rFonts w:ascii="Cambria Math" w:hAnsi="Cambria Math" w:cstheme="minorHAnsi"/>
                  <w:sz w:val="26"/>
                  <w:szCs w:val="26"/>
                  <w:lang w:val="ro-RO"/>
                </w:rPr>
                <m:t xml:space="preserve">x 100; </m:t>
              </m:r>
            </m:oMath>
            <w:r w:rsidRPr="004A72CD">
              <w:rPr>
                <w:rFonts w:asciiTheme="minorHAnsi" w:hAnsiTheme="minorHAnsi" w:cstheme="minorHAnsi"/>
                <w:sz w:val="26"/>
                <w:szCs w:val="26"/>
                <w:lang w:val="ro-RO"/>
              </w:rPr>
              <w:t xml:space="preserve"> </w:t>
            </w:r>
          </w:p>
        </w:tc>
      </w:tr>
    </w:tbl>
    <w:p w14:paraId="74E3EF1C" w14:textId="77777777" w:rsidR="00895FF8" w:rsidRPr="004A72CD" w:rsidRDefault="00895FF8">
      <w:pPr>
        <w:numPr>
          <w:ilvl w:val="0"/>
          <w:numId w:val="9"/>
        </w:numPr>
        <w:tabs>
          <w:tab w:val="left" w:pos="0"/>
        </w:tabs>
        <w:spacing w:after="160" w:line="276" w:lineRule="auto"/>
        <w:ind w:hanging="294"/>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Alte cheltuieli CA,CB = </w:t>
      </w:r>
      <m:oMath>
        <m:f>
          <m:fPr>
            <m:ctrlPr>
              <w:rPr>
                <w:rFonts w:ascii="Cambria Math" w:hAnsi="Cambria Math" w:cstheme="minorHAnsi"/>
                <w:sz w:val="26"/>
                <w:szCs w:val="26"/>
              </w:rPr>
            </m:ctrlPr>
          </m:fPr>
          <m:num>
            <m:r>
              <w:rPr>
                <w:rFonts w:ascii="Cambria Math" w:hAnsi="Cambria Math" w:cstheme="minorHAnsi"/>
                <w:sz w:val="26"/>
                <w:szCs w:val="26"/>
              </w:rPr>
              <m:t>Alte cheltuieli</m:t>
            </m:r>
          </m:num>
          <m:den>
            <m:r>
              <w:rPr>
                <w:rFonts w:ascii="Cambria Math" w:hAnsi="Cambria Math" w:cstheme="minorHAnsi"/>
                <w:sz w:val="26"/>
                <w:szCs w:val="26"/>
              </w:rPr>
              <m:t>Buget total</m:t>
            </m:r>
          </m:den>
        </m:f>
        <m:r>
          <w:rPr>
            <w:rFonts w:ascii="Cambria Math" w:hAnsi="Cambria Math" w:cstheme="minorHAnsi"/>
            <w:sz w:val="26"/>
            <w:szCs w:val="26"/>
          </w:rPr>
          <m:t>x 100</m:t>
        </m:r>
      </m:oMath>
      <w:r w:rsidRPr="004A72CD">
        <w:rPr>
          <w:rFonts w:asciiTheme="minorHAnsi" w:hAnsiTheme="minorHAnsi" w:cstheme="minorHAnsi"/>
          <w:sz w:val="26"/>
          <w:szCs w:val="26"/>
        </w:rPr>
        <w:t xml:space="preserve">; </w:t>
      </w:r>
    </w:p>
    <w:p w14:paraId="6759091E" w14:textId="77777777" w:rsidR="00895FF8" w:rsidRPr="004A72CD" w:rsidRDefault="00895FF8">
      <w:pPr>
        <w:numPr>
          <w:ilvl w:val="0"/>
          <w:numId w:val="9"/>
        </w:numPr>
        <w:tabs>
          <w:tab w:val="left" w:pos="0"/>
        </w:tabs>
        <w:spacing w:after="160" w:line="276" w:lineRule="auto"/>
        <w:ind w:hanging="294"/>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Ch. de capital CA,CB = </w:t>
      </w:r>
      <m:oMath>
        <m:f>
          <m:fPr>
            <m:ctrlPr>
              <w:rPr>
                <w:rFonts w:ascii="Cambria Math" w:hAnsi="Cambria Math" w:cstheme="minorHAnsi"/>
                <w:sz w:val="26"/>
                <w:szCs w:val="26"/>
              </w:rPr>
            </m:ctrlPr>
          </m:fPr>
          <m:num>
            <m:r>
              <w:rPr>
                <w:rFonts w:ascii="Cambria Math" w:hAnsi="Cambria Math" w:cstheme="minorHAnsi"/>
                <w:sz w:val="26"/>
                <w:szCs w:val="26"/>
              </w:rPr>
              <m:t>Cheltuieli de capital</m:t>
            </m:r>
          </m:num>
          <m:den>
            <m:r>
              <w:rPr>
                <w:rFonts w:ascii="Cambria Math" w:hAnsi="Cambria Math" w:cstheme="minorHAnsi"/>
                <w:sz w:val="26"/>
                <w:szCs w:val="26"/>
              </w:rPr>
              <m:t>Buget total</m:t>
            </m:r>
          </m:den>
        </m:f>
        <m:r>
          <w:rPr>
            <w:rFonts w:ascii="Cambria Math" w:hAnsi="Cambria Math" w:cstheme="minorHAnsi"/>
            <w:sz w:val="26"/>
            <w:szCs w:val="26"/>
          </w:rPr>
          <m:t>x 100;</m:t>
        </m:r>
      </m:oMath>
      <w:r w:rsidRPr="004A72CD">
        <w:rPr>
          <w:rFonts w:asciiTheme="minorHAnsi" w:hAnsiTheme="minorHAnsi" w:cstheme="minorHAnsi"/>
          <w:sz w:val="26"/>
          <w:szCs w:val="26"/>
        </w:rPr>
        <w:t xml:space="preserve">      </w:t>
      </w:r>
    </w:p>
    <w:p w14:paraId="201533A8" w14:textId="1A0C3689" w:rsidR="00895FF8" w:rsidRPr="004A72CD" w:rsidRDefault="00895FF8" w:rsidP="009D3C00">
      <w:pPr>
        <w:tabs>
          <w:tab w:val="left" w:pos="0"/>
        </w:tabs>
        <w:spacing w:line="276" w:lineRule="auto"/>
        <w:ind w:left="142"/>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gs = ponderea indicatorului ales pentru analiză</w:t>
      </w:r>
    </w:p>
    <w:p w14:paraId="686B6A81" w14:textId="77777777" w:rsidR="00895FF8" w:rsidRPr="004A72CD" w:rsidRDefault="00895FF8" w:rsidP="00D51F5A">
      <w:pPr>
        <w:spacing w:line="276" w:lineRule="auto"/>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 xml:space="preserve">    </w:t>
      </w:r>
    </w:p>
    <w:p w14:paraId="7BE1B2B9" w14:textId="1BF896B6" w:rsidR="00895FF8" w:rsidRPr="004A72CD" w:rsidRDefault="009D3C00" w:rsidP="009D3C00">
      <w:pPr>
        <w:tabs>
          <w:tab w:val="left" w:pos="7968"/>
        </w:tabs>
        <w:spacing w:line="276" w:lineRule="auto"/>
        <w:ind w:left="8325"/>
        <w:contextualSpacing/>
        <w:jc w:val="both"/>
        <w:rPr>
          <w:rFonts w:asciiTheme="minorHAnsi" w:hAnsiTheme="minorHAnsi" w:cstheme="minorHAnsi"/>
          <w:b/>
          <w:sz w:val="26"/>
          <w:szCs w:val="26"/>
        </w:rPr>
      </w:pPr>
      <w:r>
        <w:rPr>
          <w:rFonts w:asciiTheme="minorHAnsi" w:hAnsiTheme="minorHAnsi" w:cstheme="minorHAnsi"/>
          <w:b/>
          <w:sz w:val="26"/>
          <w:szCs w:val="26"/>
        </w:rPr>
        <w:t xml:space="preserve">    </w:t>
      </w:r>
      <w:r w:rsidR="00895FF8" w:rsidRPr="004A72CD">
        <w:rPr>
          <w:rFonts w:asciiTheme="minorHAnsi" w:hAnsiTheme="minorHAnsi" w:cstheme="minorHAnsi"/>
          <w:b/>
          <w:sz w:val="26"/>
          <w:szCs w:val="26"/>
        </w:rPr>
        <w:t xml:space="preserve">    mii lei</w:t>
      </w:r>
    </w:p>
    <w:tbl>
      <w:tblPr>
        <w:tblW w:w="8980" w:type="dxa"/>
        <w:jc w:val="center"/>
        <w:tblLook w:val="04A0" w:firstRow="1" w:lastRow="0" w:firstColumn="1" w:lastColumn="0" w:noHBand="0" w:noVBand="1"/>
      </w:tblPr>
      <w:tblGrid>
        <w:gridCol w:w="2900"/>
        <w:gridCol w:w="1680"/>
        <w:gridCol w:w="1340"/>
        <w:gridCol w:w="2080"/>
        <w:gridCol w:w="980"/>
      </w:tblGrid>
      <w:tr w:rsidR="009D3C00" w:rsidRPr="008D77AF" w14:paraId="2B569F21" w14:textId="77777777" w:rsidTr="00612067">
        <w:trPr>
          <w:trHeight w:val="930"/>
          <w:jc w:val="center"/>
        </w:trPr>
        <w:tc>
          <w:tcPr>
            <w:tcW w:w="2900" w:type="dxa"/>
            <w:tcBorders>
              <w:top w:val="single" w:sz="8" w:space="0" w:color="auto"/>
              <w:left w:val="single" w:sz="8" w:space="0" w:color="auto"/>
              <w:bottom w:val="single" w:sz="4" w:space="0" w:color="auto"/>
              <w:right w:val="single" w:sz="4" w:space="0" w:color="auto"/>
            </w:tcBorders>
            <w:shd w:val="clear" w:color="000000" w:fill="DBDBDB"/>
            <w:vAlign w:val="center"/>
            <w:hideMark/>
          </w:tcPr>
          <w:p w14:paraId="5A53B709" w14:textId="77777777" w:rsidR="009D3C00" w:rsidRPr="008D77AF" w:rsidRDefault="009D3C00" w:rsidP="00612067">
            <w:pPr>
              <w:jc w:val="center"/>
              <w:rPr>
                <w:rFonts w:asciiTheme="minorHAnsi" w:hAnsiTheme="minorHAnsi" w:cstheme="minorHAnsi"/>
                <w:b/>
                <w:bCs/>
                <w:color w:val="000000"/>
                <w:sz w:val="26"/>
                <w:szCs w:val="26"/>
                <w:lang w:eastAsia="ro-RO"/>
              </w:rPr>
            </w:pPr>
            <w:r w:rsidRPr="008D77AF">
              <w:rPr>
                <w:rFonts w:asciiTheme="minorHAnsi" w:hAnsiTheme="minorHAnsi" w:cstheme="minorHAnsi"/>
                <w:b/>
                <w:bCs/>
                <w:color w:val="000000"/>
                <w:sz w:val="26"/>
                <w:szCs w:val="26"/>
                <w:lang w:eastAsia="ro-RO"/>
              </w:rPr>
              <w:t>Denumire Indicator 2024</w:t>
            </w:r>
          </w:p>
        </w:tc>
        <w:tc>
          <w:tcPr>
            <w:tcW w:w="1680" w:type="dxa"/>
            <w:tcBorders>
              <w:top w:val="single" w:sz="8" w:space="0" w:color="auto"/>
              <w:left w:val="nil"/>
              <w:bottom w:val="single" w:sz="4" w:space="0" w:color="auto"/>
              <w:right w:val="single" w:sz="4" w:space="0" w:color="auto"/>
            </w:tcBorders>
            <w:shd w:val="clear" w:color="000000" w:fill="DBDBDB"/>
            <w:vAlign w:val="center"/>
            <w:hideMark/>
          </w:tcPr>
          <w:p w14:paraId="58A1AD35" w14:textId="77777777" w:rsidR="009D3C00" w:rsidRPr="008D77AF" w:rsidRDefault="009D3C00" w:rsidP="00612067">
            <w:pPr>
              <w:jc w:val="center"/>
              <w:rPr>
                <w:rFonts w:asciiTheme="minorHAnsi" w:hAnsiTheme="minorHAnsi" w:cstheme="minorHAnsi"/>
                <w:b/>
                <w:bCs/>
                <w:color w:val="000000"/>
                <w:sz w:val="26"/>
                <w:szCs w:val="26"/>
                <w:lang w:eastAsia="ro-RO"/>
              </w:rPr>
            </w:pPr>
            <w:r w:rsidRPr="008D77AF">
              <w:rPr>
                <w:rFonts w:asciiTheme="minorHAnsi" w:hAnsiTheme="minorHAnsi" w:cstheme="minorHAnsi"/>
                <w:b/>
                <w:bCs/>
                <w:color w:val="000000"/>
                <w:sz w:val="26"/>
                <w:szCs w:val="26"/>
                <w:lang w:eastAsia="ro-RO"/>
              </w:rPr>
              <w:t>Credite de</w:t>
            </w:r>
            <w:r w:rsidRPr="008D77AF">
              <w:rPr>
                <w:rFonts w:asciiTheme="minorHAnsi" w:hAnsiTheme="minorHAnsi" w:cstheme="minorHAnsi"/>
                <w:b/>
                <w:bCs/>
                <w:color w:val="000000"/>
                <w:sz w:val="26"/>
                <w:szCs w:val="26"/>
                <w:lang w:eastAsia="ro-RO"/>
              </w:rPr>
              <w:br/>
              <w:t>angajament CA</w:t>
            </w:r>
          </w:p>
        </w:tc>
        <w:tc>
          <w:tcPr>
            <w:tcW w:w="1340" w:type="dxa"/>
            <w:tcBorders>
              <w:top w:val="single" w:sz="8" w:space="0" w:color="auto"/>
              <w:left w:val="nil"/>
              <w:bottom w:val="single" w:sz="4" w:space="0" w:color="auto"/>
              <w:right w:val="single" w:sz="4" w:space="0" w:color="auto"/>
            </w:tcBorders>
            <w:shd w:val="clear" w:color="000000" w:fill="DBDBDB"/>
            <w:vAlign w:val="center"/>
            <w:hideMark/>
          </w:tcPr>
          <w:p w14:paraId="4D7EBB65" w14:textId="77777777" w:rsidR="009D3C00" w:rsidRPr="008D77AF" w:rsidRDefault="009D3C00" w:rsidP="00612067">
            <w:pPr>
              <w:jc w:val="center"/>
              <w:rPr>
                <w:rFonts w:asciiTheme="minorHAnsi" w:hAnsiTheme="minorHAnsi" w:cstheme="minorHAnsi"/>
                <w:b/>
                <w:bCs/>
                <w:color w:val="000000"/>
                <w:sz w:val="26"/>
                <w:szCs w:val="26"/>
                <w:lang w:eastAsia="ro-RO"/>
              </w:rPr>
            </w:pPr>
            <w:r w:rsidRPr="008D77AF">
              <w:rPr>
                <w:rFonts w:asciiTheme="minorHAnsi" w:hAnsiTheme="minorHAnsi" w:cstheme="minorHAnsi"/>
                <w:b/>
                <w:bCs/>
                <w:color w:val="000000"/>
                <w:sz w:val="26"/>
                <w:szCs w:val="26"/>
                <w:lang w:eastAsia="ro-RO"/>
              </w:rPr>
              <w:t>% CA</w:t>
            </w:r>
          </w:p>
        </w:tc>
        <w:tc>
          <w:tcPr>
            <w:tcW w:w="2080" w:type="dxa"/>
            <w:tcBorders>
              <w:top w:val="single" w:sz="8" w:space="0" w:color="auto"/>
              <w:left w:val="nil"/>
              <w:bottom w:val="single" w:sz="4" w:space="0" w:color="auto"/>
              <w:right w:val="single" w:sz="4" w:space="0" w:color="auto"/>
            </w:tcBorders>
            <w:shd w:val="clear" w:color="000000" w:fill="DBDBDB"/>
            <w:vAlign w:val="center"/>
            <w:hideMark/>
          </w:tcPr>
          <w:p w14:paraId="11E7F62C" w14:textId="77777777" w:rsidR="009D3C00" w:rsidRPr="008D77AF" w:rsidRDefault="009D3C00" w:rsidP="00612067">
            <w:pPr>
              <w:jc w:val="center"/>
              <w:rPr>
                <w:rFonts w:asciiTheme="minorHAnsi" w:hAnsiTheme="minorHAnsi" w:cstheme="minorHAnsi"/>
                <w:b/>
                <w:bCs/>
                <w:color w:val="000000"/>
                <w:sz w:val="26"/>
                <w:szCs w:val="26"/>
                <w:lang w:eastAsia="ro-RO"/>
              </w:rPr>
            </w:pPr>
            <w:r w:rsidRPr="008D77AF">
              <w:rPr>
                <w:rFonts w:asciiTheme="minorHAnsi" w:hAnsiTheme="minorHAnsi" w:cstheme="minorHAnsi"/>
                <w:b/>
                <w:bCs/>
                <w:color w:val="000000"/>
                <w:sz w:val="26"/>
                <w:szCs w:val="26"/>
                <w:lang w:eastAsia="ro-RO"/>
              </w:rPr>
              <w:t>Credite</w:t>
            </w:r>
            <w:r w:rsidRPr="008D77AF">
              <w:rPr>
                <w:rFonts w:asciiTheme="minorHAnsi" w:hAnsiTheme="minorHAnsi" w:cstheme="minorHAnsi"/>
                <w:b/>
                <w:bCs/>
                <w:color w:val="000000"/>
                <w:sz w:val="26"/>
                <w:szCs w:val="26"/>
                <w:lang w:eastAsia="ro-RO"/>
              </w:rPr>
              <w:br/>
              <w:t xml:space="preserve"> Bugetare CB</w:t>
            </w:r>
          </w:p>
        </w:tc>
        <w:tc>
          <w:tcPr>
            <w:tcW w:w="980" w:type="dxa"/>
            <w:tcBorders>
              <w:top w:val="single" w:sz="8" w:space="0" w:color="auto"/>
              <w:left w:val="nil"/>
              <w:bottom w:val="single" w:sz="4" w:space="0" w:color="auto"/>
              <w:right w:val="single" w:sz="8" w:space="0" w:color="auto"/>
            </w:tcBorders>
            <w:shd w:val="clear" w:color="000000" w:fill="DBDBDB"/>
            <w:vAlign w:val="center"/>
            <w:hideMark/>
          </w:tcPr>
          <w:p w14:paraId="0ADBBFB8" w14:textId="77777777" w:rsidR="009D3C00" w:rsidRPr="008D77AF" w:rsidRDefault="009D3C00" w:rsidP="00612067">
            <w:pPr>
              <w:jc w:val="center"/>
              <w:rPr>
                <w:rFonts w:asciiTheme="minorHAnsi" w:hAnsiTheme="minorHAnsi" w:cstheme="minorHAnsi"/>
                <w:b/>
                <w:bCs/>
                <w:color w:val="000000"/>
                <w:sz w:val="26"/>
                <w:szCs w:val="26"/>
                <w:lang w:eastAsia="ro-RO"/>
              </w:rPr>
            </w:pPr>
            <w:r w:rsidRPr="008D77AF">
              <w:rPr>
                <w:rFonts w:asciiTheme="minorHAnsi" w:hAnsiTheme="minorHAnsi" w:cstheme="minorHAnsi"/>
                <w:b/>
                <w:bCs/>
                <w:color w:val="000000"/>
                <w:sz w:val="26"/>
                <w:szCs w:val="26"/>
                <w:lang w:eastAsia="ro-RO"/>
              </w:rPr>
              <w:t>% CB</w:t>
            </w:r>
          </w:p>
        </w:tc>
      </w:tr>
      <w:tr w:rsidR="00F97E97" w:rsidRPr="008D77AF" w14:paraId="3D701C3F" w14:textId="77777777" w:rsidTr="00CE7CAF">
        <w:trPr>
          <w:trHeight w:val="345"/>
          <w:jc w:val="center"/>
        </w:trPr>
        <w:tc>
          <w:tcPr>
            <w:tcW w:w="2900" w:type="dxa"/>
            <w:tcBorders>
              <w:top w:val="nil"/>
              <w:left w:val="single" w:sz="8" w:space="0" w:color="auto"/>
              <w:bottom w:val="single" w:sz="4" w:space="0" w:color="auto"/>
              <w:right w:val="single" w:sz="4" w:space="0" w:color="auto"/>
            </w:tcBorders>
            <w:shd w:val="clear" w:color="auto" w:fill="auto"/>
            <w:vAlign w:val="center"/>
            <w:hideMark/>
          </w:tcPr>
          <w:p w14:paraId="3523920D" w14:textId="77777777" w:rsidR="00F97E97" w:rsidRPr="008D77AF" w:rsidRDefault="00F97E97" w:rsidP="00F97E97">
            <w:pP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Cheltuieli de personal</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6C721" w14:textId="252B0ECC"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237 595</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0931FEA1" w14:textId="5062B97B"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74.36</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14:paraId="5E021E75" w14:textId="24B0280A"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237 595</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125762A5" w14:textId="40915C9A"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74.79</w:t>
            </w:r>
          </w:p>
        </w:tc>
      </w:tr>
      <w:tr w:rsidR="00F97E97" w:rsidRPr="008D77AF" w14:paraId="78EA5CA1" w14:textId="77777777" w:rsidTr="00CE7CAF">
        <w:trPr>
          <w:trHeight w:val="383"/>
          <w:jc w:val="center"/>
        </w:trPr>
        <w:tc>
          <w:tcPr>
            <w:tcW w:w="2900" w:type="dxa"/>
            <w:tcBorders>
              <w:top w:val="nil"/>
              <w:left w:val="single" w:sz="8" w:space="0" w:color="auto"/>
              <w:bottom w:val="single" w:sz="4" w:space="0" w:color="auto"/>
              <w:right w:val="single" w:sz="4" w:space="0" w:color="auto"/>
            </w:tcBorders>
            <w:shd w:val="clear" w:color="auto" w:fill="auto"/>
            <w:vAlign w:val="center"/>
            <w:hideMark/>
          </w:tcPr>
          <w:p w14:paraId="10F88198" w14:textId="77777777" w:rsidR="00F97E97" w:rsidRPr="008D77AF" w:rsidRDefault="00F97E97" w:rsidP="00F97E97">
            <w:pP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Bunuri și servicii</w:t>
            </w:r>
          </w:p>
        </w:tc>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28905C7E" w14:textId="70A4A605"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21 364</w:t>
            </w:r>
          </w:p>
        </w:tc>
        <w:tc>
          <w:tcPr>
            <w:tcW w:w="1340" w:type="dxa"/>
            <w:tcBorders>
              <w:top w:val="nil"/>
              <w:left w:val="nil"/>
              <w:bottom w:val="single" w:sz="4" w:space="0" w:color="auto"/>
              <w:right w:val="single" w:sz="4" w:space="0" w:color="auto"/>
            </w:tcBorders>
            <w:shd w:val="clear" w:color="auto" w:fill="auto"/>
            <w:noWrap/>
            <w:vAlign w:val="bottom"/>
            <w:hideMark/>
          </w:tcPr>
          <w:p w14:paraId="4539110F" w14:textId="527AB1E9"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6.69</w:t>
            </w:r>
          </w:p>
        </w:tc>
        <w:tc>
          <w:tcPr>
            <w:tcW w:w="2080" w:type="dxa"/>
            <w:tcBorders>
              <w:top w:val="nil"/>
              <w:left w:val="nil"/>
              <w:bottom w:val="single" w:sz="4" w:space="0" w:color="auto"/>
              <w:right w:val="single" w:sz="4" w:space="0" w:color="auto"/>
            </w:tcBorders>
            <w:shd w:val="clear" w:color="auto" w:fill="auto"/>
            <w:noWrap/>
            <w:vAlign w:val="bottom"/>
            <w:hideMark/>
          </w:tcPr>
          <w:p w14:paraId="39504AA3" w14:textId="773AA33C"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19 556</w:t>
            </w:r>
          </w:p>
        </w:tc>
        <w:tc>
          <w:tcPr>
            <w:tcW w:w="980" w:type="dxa"/>
            <w:tcBorders>
              <w:top w:val="nil"/>
              <w:left w:val="nil"/>
              <w:bottom w:val="single" w:sz="4" w:space="0" w:color="auto"/>
              <w:right w:val="single" w:sz="4" w:space="0" w:color="auto"/>
            </w:tcBorders>
            <w:shd w:val="clear" w:color="auto" w:fill="auto"/>
            <w:noWrap/>
            <w:vAlign w:val="bottom"/>
            <w:hideMark/>
          </w:tcPr>
          <w:p w14:paraId="584C0F0D" w14:textId="396CDAC4"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6.16</w:t>
            </w:r>
          </w:p>
        </w:tc>
      </w:tr>
      <w:tr w:rsidR="00F97E97" w:rsidRPr="008D77AF" w14:paraId="2CDD27FA" w14:textId="77777777" w:rsidTr="00CE7CAF">
        <w:trPr>
          <w:trHeight w:val="360"/>
          <w:jc w:val="center"/>
        </w:trPr>
        <w:tc>
          <w:tcPr>
            <w:tcW w:w="2900" w:type="dxa"/>
            <w:tcBorders>
              <w:top w:val="nil"/>
              <w:left w:val="single" w:sz="8" w:space="0" w:color="auto"/>
              <w:bottom w:val="single" w:sz="4" w:space="0" w:color="auto"/>
              <w:right w:val="single" w:sz="4" w:space="0" w:color="auto"/>
            </w:tcBorders>
            <w:shd w:val="clear" w:color="auto" w:fill="auto"/>
            <w:vAlign w:val="center"/>
            <w:hideMark/>
          </w:tcPr>
          <w:p w14:paraId="51F096CE" w14:textId="77777777" w:rsidR="00F97E97" w:rsidRPr="008D77AF" w:rsidRDefault="00F97E97" w:rsidP="00F97E97">
            <w:pP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Transferuri</w:t>
            </w:r>
          </w:p>
        </w:tc>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15D642AB" w14:textId="564A41EB"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16</w:t>
            </w:r>
          </w:p>
        </w:tc>
        <w:tc>
          <w:tcPr>
            <w:tcW w:w="1340" w:type="dxa"/>
            <w:tcBorders>
              <w:top w:val="nil"/>
              <w:left w:val="nil"/>
              <w:bottom w:val="single" w:sz="4" w:space="0" w:color="auto"/>
              <w:right w:val="single" w:sz="4" w:space="0" w:color="auto"/>
            </w:tcBorders>
            <w:shd w:val="clear" w:color="auto" w:fill="auto"/>
            <w:noWrap/>
            <w:vAlign w:val="bottom"/>
            <w:hideMark/>
          </w:tcPr>
          <w:p w14:paraId="57C847D4" w14:textId="3146A92D"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0.01</w:t>
            </w:r>
          </w:p>
        </w:tc>
        <w:tc>
          <w:tcPr>
            <w:tcW w:w="2080" w:type="dxa"/>
            <w:tcBorders>
              <w:top w:val="nil"/>
              <w:left w:val="nil"/>
              <w:bottom w:val="single" w:sz="4" w:space="0" w:color="auto"/>
              <w:right w:val="single" w:sz="4" w:space="0" w:color="auto"/>
            </w:tcBorders>
            <w:shd w:val="clear" w:color="auto" w:fill="auto"/>
            <w:noWrap/>
            <w:vAlign w:val="bottom"/>
            <w:hideMark/>
          </w:tcPr>
          <w:p w14:paraId="39786236" w14:textId="49D44533"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16</w:t>
            </w:r>
          </w:p>
        </w:tc>
        <w:tc>
          <w:tcPr>
            <w:tcW w:w="980" w:type="dxa"/>
            <w:tcBorders>
              <w:top w:val="nil"/>
              <w:left w:val="nil"/>
              <w:bottom w:val="single" w:sz="4" w:space="0" w:color="auto"/>
              <w:right w:val="single" w:sz="4" w:space="0" w:color="auto"/>
            </w:tcBorders>
            <w:shd w:val="clear" w:color="auto" w:fill="auto"/>
            <w:noWrap/>
            <w:vAlign w:val="bottom"/>
            <w:hideMark/>
          </w:tcPr>
          <w:p w14:paraId="5A5C956C" w14:textId="24DEE634"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0.01</w:t>
            </w:r>
          </w:p>
        </w:tc>
      </w:tr>
      <w:tr w:rsidR="00F97E97" w:rsidRPr="008D77AF" w14:paraId="49358FC7" w14:textId="77777777" w:rsidTr="00CE7CAF">
        <w:trPr>
          <w:trHeight w:val="349"/>
          <w:jc w:val="center"/>
        </w:trPr>
        <w:tc>
          <w:tcPr>
            <w:tcW w:w="2900" w:type="dxa"/>
            <w:tcBorders>
              <w:top w:val="nil"/>
              <w:left w:val="single" w:sz="8" w:space="0" w:color="auto"/>
              <w:bottom w:val="single" w:sz="4" w:space="0" w:color="auto"/>
              <w:right w:val="single" w:sz="4" w:space="0" w:color="auto"/>
            </w:tcBorders>
            <w:shd w:val="clear" w:color="auto" w:fill="auto"/>
            <w:vAlign w:val="center"/>
            <w:hideMark/>
          </w:tcPr>
          <w:p w14:paraId="3B537032" w14:textId="77777777" w:rsidR="00F97E97" w:rsidRPr="008D77AF" w:rsidRDefault="00F97E97" w:rsidP="00F97E97">
            <w:pP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Alte transferuri</w:t>
            </w:r>
          </w:p>
        </w:tc>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0B0407DB" w14:textId="1BA0A656"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93</w:t>
            </w:r>
          </w:p>
        </w:tc>
        <w:tc>
          <w:tcPr>
            <w:tcW w:w="1340" w:type="dxa"/>
            <w:tcBorders>
              <w:top w:val="nil"/>
              <w:left w:val="nil"/>
              <w:bottom w:val="single" w:sz="4" w:space="0" w:color="auto"/>
              <w:right w:val="single" w:sz="4" w:space="0" w:color="auto"/>
            </w:tcBorders>
            <w:shd w:val="clear" w:color="auto" w:fill="auto"/>
            <w:noWrap/>
            <w:vAlign w:val="bottom"/>
            <w:hideMark/>
          </w:tcPr>
          <w:p w14:paraId="34AE204B" w14:textId="684257AA"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0.03</w:t>
            </w:r>
          </w:p>
        </w:tc>
        <w:tc>
          <w:tcPr>
            <w:tcW w:w="2080" w:type="dxa"/>
            <w:tcBorders>
              <w:top w:val="nil"/>
              <w:left w:val="nil"/>
              <w:bottom w:val="single" w:sz="4" w:space="0" w:color="auto"/>
              <w:right w:val="single" w:sz="4" w:space="0" w:color="auto"/>
            </w:tcBorders>
            <w:shd w:val="clear" w:color="auto" w:fill="auto"/>
            <w:noWrap/>
            <w:vAlign w:val="bottom"/>
            <w:hideMark/>
          </w:tcPr>
          <w:p w14:paraId="1719BEE1" w14:textId="6BBE06B2"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93</w:t>
            </w:r>
          </w:p>
        </w:tc>
        <w:tc>
          <w:tcPr>
            <w:tcW w:w="980" w:type="dxa"/>
            <w:tcBorders>
              <w:top w:val="nil"/>
              <w:left w:val="nil"/>
              <w:bottom w:val="single" w:sz="4" w:space="0" w:color="auto"/>
              <w:right w:val="single" w:sz="4" w:space="0" w:color="auto"/>
            </w:tcBorders>
            <w:shd w:val="clear" w:color="auto" w:fill="auto"/>
            <w:noWrap/>
            <w:vAlign w:val="bottom"/>
            <w:hideMark/>
          </w:tcPr>
          <w:p w14:paraId="51BC8B37" w14:textId="34D235A9"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0.03</w:t>
            </w:r>
          </w:p>
        </w:tc>
      </w:tr>
      <w:tr w:rsidR="00F97E97" w:rsidRPr="008D77AF" w14:paraId="5E14D43C" w14:textId="77777777" w:rsidTr="00CE7CAF">
        <w:trPr>
          <w:trHeight w:val="780"/>
          <w:jc w:val="center"/>
        </w:trPr>
        <w:tc>
          <w:tcPr>
            <w:tcW w:w="2900" w:type="dxa"/>
            <w:tcBorders>
              <w:top w:val="nil"/>
              <w:left w:val="single" w:sz="8" w:space="0" w:color="auto"/>
              <w:bottom w:val="single" w:sz="4" w:space="0" w:color="auto"/>
              <w:right w:val="single" w:sz="4" w:space="0" w:color="auto"/>
            </w:tcBorders>
            <w:shd w:val="clear" w:color="auto" w:fill="auto"/>
            <w:vAlign w:val="center"/>
            <w:hideMark/>
          </w:tcPr>
          <w:p w14:paraId="26D9941F" w14:textId="77777777" w:rsidR="00F97E97" w:rsidRPr="008D77AF" w:rsidRDefault="00F97E97" w:rsidP="00F97E97">
            <w:pP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Proiecte cu finanțare din FEN postaderare</w:t>
            </w:r>
          </w:p>
        </w:tc>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0414200A" w14:textId="567B94BA"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35</w:t>
            </w:r>
          </w:p>
        </w:tc>
        <w:tc>
          <w:tcPr>
            <w:tcW w:w="1340" w:type="dxa"/>
            <w:tcBorders>
              <w:top w:val="nil"/>
              <w:left w:val="nil"/>
              <w:bottom w:val="single" w:sz="4" w:space="0" w:color="auto"/>
              <w:right w:val="single" w:sz="4" w:space="0" w:color="auto"/>
            </w:tcBorders>
            <w:shd w:val="clear" w:color="auto" w:fill="auto"/>
            <w:noWrap/>
            <w:vAlign w:val="bottom"/>
            <w:hideMark/>
          </w:tcPr>
          <w:p w14:paraId="131DCAA5" w14:textId="177A4AD9"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0.01</w:t>
            </w:r>
          </w:p>
        </w:tc>
        <w:tc>
          <w:tcPr>
            <w:tcW w:w="2080" w:type="dxa"/>
            <w:tcBorders>
              <w:top w:val="nil"/>
              <w:left w:val="nil"/>
              <w:bottom w:val="single" w:sz="4" w:space="0" w:color="auto"/>
              <w:right w:val="single" w:sz="4" w:space="0" w:color="auto"/>
            </w:tcBorders>
            <w:shd w:val="clear" w:color="auto" w:fill="auto"/>
            <w:noWrap/>
            <w:vAlign w:val="bottom"/>
            <w:hideMark/>
          </w:tcPr>
          <w:p w14:paraId="78F3D974" w14:textId="21283B98"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35</w:t>
            </w:r>
          </w:p>
        </w:tc>
        <w:tc>
          <w:tcPr>
            <w:tcW w:w="980" w:type="dxa"/>
            <w:tcBorders>
              <w:top w:val="nil"/>
              <w:left w:val="nil"/>
              <w:bottom w:val="single" w:sz="4" w:space="0" w:color="auto"/>
              <w:right w:val="single" w:sz="4" w:space="0" w:color="auto"/>
            </w:tcBorders>
            <w:shd w:val="clear" w:color="auto" w:fill="auto"/>
            <w:noWrap/>
            <w:vAlign w:val="bottom"/>
            <w:hideMark/>
          </w:tcPr>
          <w:p w14:paraId="3DEA3C37" w14:textId="7EB90766"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0.01</w:t>
            </w:r>
          </w:p>
        </w:tc>
      </w:tr>
      <w:tr w:rsidR="00F97E97" w:rsidRPr="008D77AF" w14:paraId="0838A780" w14:textId="77777777" w:rsidTr="00CE7CAF">
        <w:trPr>
          <w:trHeight w:val="1069"/>
          <w:jc w:val="center"/>
        </w:trPr>
        <w:tc>
          <w:tcPr>
            <w:tcW w:w="2900" w:type="dxa"/>
            <w:tcBorders>
              <w:top w:val="nil"/>
              <w:left w:val="single" w:sz="8" w:space="0" w:color="auto"/>
              <w:bottom w:val="single" w:sz="4" w:space="0" w:color="auto"/>
              <w:right w:val="single" w:sz="4" w:space="0" w:color="auto"/>
            </w:tcBorders>
            <w:shd w:val="clear" w:color="auto" w:fill="auto"/>
            <w:vAlign w:val="center"/>
            <w:hideMark/>
          </w:tcPr>
          <w:p w14:paraId="601EDBDC" w14:textId="77777777" w:rsidR="00F97E97" w:rsidRPr="008D77AF" w:rsidRDefault="00F97E97" w:rsidP="00F97E97">
            <w:pP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Proiecte cu finanțare din FEN aferente cadrului financiar 2014-2020</w:t>
            </w:r>
          </w:p>
        </w:tc>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1AE56D80" w14:textId="786887F2"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3 365</w:t>
            </w:r>
          </w:p>
        </w:tc>
        <w:tc>
          <w:tcPr>
            <w:tcW w:w="1340" w:type="dxa"/>
            <w:tcBorders>
              <w:top w:val="nil"/>
              <w:left w:val="nil"/>
              <w:bottom w:val="single" w:sz="4" w:space="0" w:color="auto"/>
              <w:right w:val="single" w:sz="4" w:space="0" w:color="auto"/>
            </w:tcBorders>
            <w:shd w:val="clear" w:color="auto" w:fill="auto"/>
            <w:noWrap/>
            <w:vAlign w:val="bottom"/>
            <w:hideMark/>
          </w:tcPr>
          <w:p w14:paraId="6EA69486" w14:textId="3AB7E47A"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1.05</w:t>
            </w:r>
          </w:p>
        </w:tc>
        <w:tc>
          <w:tcPr>
            <w:tcW w:w="2080" w:type="dxa"/>
            <w:tcBorders>
              <w:top w:val="nil"/>
              <w:left w:val="nil"/>
              <w:bottom w:val="single" w:sz="4" w:space="0" w:color="auto"/>
              <w:right w:val="single" w:sz="4" w:space="0" w:color="auto"/>
            </w:tcBorders>
            <w:shd w:val="clear" w:color="auto" w:fill="auto"/>
            <w:noWrap/>
            <w:vAlign w:val="bottom"/>
            <w:hideMark/>
          </w:tcPr>
          <w:p w14:paraId="079CCE65" w14:textId="0CA605C5"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3 365</w:t>
            </w:r>
          </w:p>
        </w:tc>
        <w:tc>
          <w:tcPr>
            <w:tcW w:w="980" w:type="dxa"/>
            <w:tcBorders>
              <w:top w:val="nil"/>
              <w:left w:val="nil"/>
              <w:bottom w:val="single" w:sz="4" w:space="0" w:color="auto"/>
              <w:right w:val="single" w:sz="4" w:space="0" w:color="auto"/>
            </w:tcBorders>
            <w:shd w:val="clear" w:color="auto" w:fill="auto"/>
            <w:noWrap/>
            <w:vAlign w:val="bottom"/>
            <w:hideMark/>
          </w:tcPr>
          <w:p w14:paraId="25A6B9F5" w14:textId="7A7B676E"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1.06</w:t>
            </w:r>
          </w:p>
        </w:tc>
      </w:tr>
      <w:tr w:rsidR="00F97E97" w:rsidRPr="008D77AF" w14:paraId="6AB8EA10" w14:textId="77777777" w:rsidTr="00CE7CAF">
        <w:trPr>
          <w:trHeight w:val="345"/>
          <w:jc w:val="center"/>
        </w:trPr>
        <w:tc>
          <w:tcPr>
            <w:tcW w:w="2900" w:type="dxa"/>
            <w:tcBorders>
              <w:top w:val="nil"/>
              <w:left w:val="single" w:sz="8" w:space="0" w:color="auto"/>
              <w:bottom w:val="single" w:sz="4" w:space="0" w:color="auto"/>
              <w:right w:val="single" w:sz="4" w:space="0" w:color="auto"/>
            </w:tcBorders>
            <w:shd w:val="clear" w:color="auto" w:fill="auto"/>
            <w:vAlign w:val="center"/>
            <w:hideMark/>
          </w:tcPr>
          <w:p w14:paraId="007E9586" w14:textId="77777777" w:rsidR="00F97E97" w:rsidRPr="008D77AF" w:rsidRDefault="00F97E97" w:rsidP="00F97E97">
            <w:pP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Alte cheltuieli</w:t>
            </w:r>
          </w:p>
        </w:tc>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133AD5C1" w14:textId="7337328D"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54 947</w:t>
            </w:r>
          </w:p>
        </w:tc>
        <w:tc>
          <w:tcPr>
            <w:tcW w:w="1340" w:type="dxa"/>
            <w:tcBorders>
              <w:top w:val="nil"/>
              <w:left w:val="nil"/>
              <w:bottom w:val="single" w:sz="4" w:space="0" w:color="auto"/>
              <w:right w:val="single" w:sz="4" w:space="0" w:color="auto"/>
            </w:tcBorders>
            <w:shd w:val="clear" w:color="auto" w:fill="auto"/>
            <w:noWrap/>
            <w:vAlign w:val="bottom"/>
            <w:hideMark/>
          </w:tcPr>
          <w:p w14:paraId="5326F6B3" w14:textId="0BF9E2BA"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17.20</w:t>
            </w:r>
          </w:p>
        </w:tc>
        <w:tc>
          <w:tcPr>
            <w:tcW w:w="2080" w:type="dxa"/>
            <w:tcBorders>
              <w:top w:val="nil"/>
              <w:left w:val="nil"/>
              <w:bottom w:val="single" w:sz="4" w:space="0" w:color="auto"/>
              <w:right w:val="single" w:sz="4" w:space="0" w:color="auto"/>
            </w:tcBorders>
            <w:shd w:val="clear" w:color="auto" w:fill="auto"/>
            <w:noWrap/>
            <w:vAlign w:val="bottom"/>
            <w:hideMark/>
          </w:tcPr>
          <w:p w14:paraId="18D30F1A" w14:textId="00990C4D"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54 947</w:t>
            </w:r>
          </w:p>
        </w:tc>
        <w:tc>
          <w:tcPr>
            <w:tcW w:w="980" w:type="dxa"/>
            <w:tcBorders>
              <w:top w:val="nil"/>
              <w:left w:val="nil"/>
              <w:bottom w:val="single" w:sz="4" w:space="0" w:color="auto"/>
              <w:right w:val="single" w:sz="4" w:space="0" w:color="auto"/>
            </w:tcBorders>
            <w:shd w:val="clear" w:color="auto" w:fill="auto"/>
            <w:noWrap/>
            <w:vAlign w:val="bottom"/>
            <w:hideMark/>
          </w:tcPr>
          <w:p w14:paraId="73F720F9" w14:textId="766AFDAA"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17.30</w:t>
            </w:r>
          </w:p>
        </w:tc>
      </w:tr>
      <w:tr w:rsidR="00F97E97" w:rsidRPr="008D77AF" w14:paraId="087D0E11" w14:textId="77777777" w:rsidTr="00CE7CAF">
        <w:trPr>
          <w:trHeight w:val="1035"/>
          <w:jc w:val="center"/>
        </w:trPr>
        <w:tc>
          <w:tcPr>
            <w:tcW w:w="2900" w:type="dxa"/>
            <w:tcBorders>
              <w:top w:val="nil"/>
              <w:left w:val="single" w:sz="8" w:space="0" w:color="auto"/>
              <w:bottom w:val="single" w:sz="4" w:space="0" w:color="auto"/>
              <w:right w:val="single" w:sz="4" w:space="0" w:color="auto"/>
            </w:tcBorders>
            <w:shd w:val="clear" w:color="auto" w:fill="auto"/>
            <w:vAlign w:val="center"/>
            <w:hideMark/>
          </w:tcPr>
          <w:p w14:paraId="52F86085" w14:textId="77777777" w:rsidR="00F97E97" w:rsidRPr="008D77AF" w:rsidRDefault="00F97E97" w:rsidP="00F97E97">
            <w:pP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Proiecte cu finanțate din sumele reprezentând asistență financiară PNRR</w:t>
            </w:r>
          </w:p>
        </w:tc>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1D9BC00F" w14:textId="63F8E688"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658</w:t>
            </w:r>
          </w:p>
        </w:tc>
        <w:tc>
          <w:tcPr>
            <w:tcW w:w="1340" w:type="dxa"/>
            <w:tcBorders>
              <w:top w:val="nil"/>
              <w:left w:val="nil"/>
              <w:bottom w:val="single" w:sz="4" w:space="0" w:color="auto"/>
              <w:right w:val="single" w:sz="4" w:space="0" w:color="auto"/>
            </w:tcBorders>
            <w:shd w:val="clear" w:color="auto" w:fill="auto"/>
            <w:noWrap/>
            <w:vAlign w:val="bottom"/>
            <w:hideMark/>
          </w:tcPr>
          <w:p w14:paraId="7B23CEF2" w14:textId="43F67B8B"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0.21</w:t>
            </w:r>
          </w:p>
        </w:tc>
        <w:tc>
          <w:tcPr>
            <w:tcW w:w="2080" w:type="dxa"/>
            <w:tcBorders>
              <w:top w:val="nil"/>
              <w:left w:val="nil"/>
              <w:bottom w:val="single" w:sz="4" w:space="0" w:color="auto"/>
              <w:right w:val="single" w:sz="4" w:space="0" w:color="auto"/>
            </w:tcBorders>
            <w:shd w:val="clear" w:color="auto" w:fill="auto"/>
            <w:noWrap/>
            <w:vAlign w:val="bottom"/>
            <w:hideMark/>
          </w:tcPr>
          <w:p w14:paraId="27C70F67" w14:textId="0EBF1218"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658</w:t>
            </w:r>
          </w:p>
        </w:tc>
        <w:tc>
          <w:tcPr>
            <w:tcW w:w="980" w:type="dxa"/>
            <w:tcBorders>
              <w:top w:val="nil"/>
              <w:left w:val="nil"/>
              <w:bottom w:val="single" w:sz="4" w:space="0" w:color="auto"/>
              <w:right w:val="single" w:sz="4" w:space="0" w:color="auto"/>
            </w:tcBorders>
            <w:shd w:val="clear" w:color="auto" w:fill="auto"/>
            <w:noWrap/>
            <w:vAlign w:val="bottom"/>
            <w:hideMark/>
          </w:tcPr>
          <w:p w14:paraId="1AA6B511" w14:textId="6C215EA5" w:rsidR="00F97E97" w:rsidRPr="007574BA" w:rsidRDefault="00F97E97" w:rsidP="00F97E97">
            <w:pPr>
              <w:jc w:val="right"/>
              <w:rPr>
                <w:rFonts w:asciiTheme="minorHAnsi" w:hAnsiTheme="minorHAnsi" w:cstheme="minorHAnsi"/>
                <w:sz w:val="26"/>
                <w:szCs w:val="26"/>
                <w:lang w:eastAsia="ro-RO"/>
              </w:rPr>
            </w:pPr>
            <w:r w:rsidRPr="007574BA">
              <w:rPr>
                <w:rFonts w:ascii="Calibri Light" w:hAnsi="Calibri Light" w:cs="Calibri Light"/>
                <w:sz w:val="26"/>
                <w:szCs w:val="26"/>
              </w:rPr>
              <w:t>0.21</w:t>
            </w:r>
          </w:p>
        </w:tc>
      </w:tr>
      <w:tr w:rsidR="00D10272" w:rsidRPr="008D77AF" w14:paraId="0AD52435" w14:textId="77777777" w:rsidTr="004158F7">
        <w:trPr>
          <w:trHeight w:val="300"/>
          <w:jc w:val="center"/>
        </w:trPr>
        <w:tc>
          <w:tcPr>
            <w:tcW w:w="2900" w:type="dxa"/>
            <w:tcBorders>
              <w:top w:val="nil"/>
              <w:left w:val="single" w:sz="8" w:space="0" w:color="auto"/>
              <w:bottom w:val="single" w:sz="4" w:space="0" w:color="auto"/>
              <w:right w:val="single" w:sz="4" w:space="0" w:color="auto"/>
            </w:tcBorders>
            <w:shd w:val="clear" w:color="auto" w:fill="auto"/>
            <w:vAlign w:val="center"/>
            <w:hideMark/>
          </w:tcPr>
          <w:p w14:paraId="40916131" w14:textId="77777777" w:rsidR="00D10272" w:rsidRPr="008D77AF" w:rsidRDefault="00D10272" w:rsidP="00D10272">
            <w:pP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lastRenderedPageBreak/>
              <w:t>Cheltuieli de capital</w:t>
            </w:r>
          </w:p>
        </w:tc>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244A656D" w14:textId="775A3743" w:rsidR="00D10272" w:rsidRPr="007574BA" w:rsidRDefault="00D10272" w:rsidP="00D10272">
            <w:pPr>
              <w:jc w:val="right"/>
              <w:rPr>
                <w:rFonts w:asciiTheme="minorHAnsi" w:hAnsiTheme="minorHAnsi" w:cstheme="minorHAnsi"/>
                <w:sz w:val="26"/>
                <w:szCs w:val="26"/>
                <w:lang w:eastAsia="ro-RO"/>
              </w:rPr>
            </w:pPr>
            <w:r w:rsidRPr="007574BA">
              <w:rPr>
                <w:rFonts w:ascii="Calibri Light" w:hAnsi="Calibri Light" w:cs="Calibri Light"/>
                <w:sz w:val="26"/>
                <w:szCs w:val="26"/>
              </w:rPr>
              <w:t>1 429</w:t>
            </w:r>
          </w:p>
        </w:tc>
        <w:tc>
          <w:tcPr>
            <w:tcW w:w="1340" w:type="dxa"/>
            <w:tcBorders>
              <w:top w:val="nil"/>
              <w:left w:val="nil"/>
              <w:bottom w:val="single" w:sz="4" w:space="0" w:color="auto"/>
              <w:right w:val="single" w:sz="4" w:space="0" w:color="auto"/>
            </w:tcBorders>
            <w:shd w:val="clear" w:color="auto" w:fill="auto"/>
            <w:noWrap/>
            <w:vAlign w:val="bottom"/>
            <w:hideMark/>
          </w:tcPr>
          <w:p w14:paraId="5521CB28" w14:textId="36896163" w:rsidR="00D10272" w:rsidRPr="007574BA" w:rsidRDefault="00D10272" w:rsidP="00D10272">
            <w:pPr>
              <w:jc w:val="right"/>
              <w:rPr>
                <w:rFonts w:asciiTheme="minorHAnsi" w:hAnsiTheme="minorHAnsi" w:cstheme="minorHAnsi"/>
                <w:sz w:val="26"/>
                <w:szCs w:val="26"/>
                <w:lang w:eastAsia="ro-RO"/>
              </w:rPr>
            </w:pPr>
            <w:r w:rsidRPr="007574BA">
              <w:rPr>
                <w:rFonts w:ascii="Calibri Light" w:hAnsi="Calibri Light" w:cs="Calibri Light"/>
                <w:sz w:val="26"/>
                <w:szCs w:val="26"/>
              </w:rPr>
              <w:t>0.45</w:t>
            </w:r>
          </w:p>
        </w:tc>
        <w:tc>
          <w:tcPr>
            <w:tcW w:w="2080" w:type="dxa"/>
            <w:tcBorders>
              <w:top w:val="nil"/>
              <w:left w:val="nil"/>
              <w:bottom w:val="single" w:sz="4" w:space="0" w:color="auto"/>
              <w:right w:val="single" w:sz="4" w:space="0" w:color="auto"/>
            </w:tcBorders>
            <w:shd w:val="clear" w:color="auto" w:fill="auto"/>
            <w:noWrap/>
            <w:vAlign w:val="bottom"/>
            <w:hideMark/>
          </w:tcPr>
          <w:p w14:paraId="0C7B9F17" w14:textId="2AA92F4C" w:rsidR="00D10272" w:rsidRPr="007574BA" w:rsidRDefault="00D10272" w:rsidP="00D10272">
            <w:pPr>
              <w:jc w:val="right"/>
              <w:rPr>
                <w:rFonts w:asciiTheme="minorHAnsi" w:hAnsiTheme="minorHAnsi" w:cstheme="minorHAnsi"/>
                <w:sz w:val="26"/>
                <w:szCs w:val="26"/>
                <w:lang w:eastAsia="ro-RO"/>
              </w:rPr>
            </w:pPr>
            <w:r w:rsidRPr="007574BA">
              <w:rPr>
                <w:rFonts w:ascii="Calibri Light" w:hAnsi="Calibri Light" w:cs="Calibri Light"/>
                <w:sz w:val="26"/>
                <w:szCs w:val="26"/>
              </w:rPr>
              <w:t>1 429</w:t>
            </w:r>
          </w:p>
        </w:tc>
        <w:tc>
          <w:tcPr>
            <w:tcW w:w="980" w:type="dxa"/>
            <w:tcBorders>
              <w:top w:val="nil"/>
              <w:left w:val="nil"/>
              <w:bottom w:val="single" w:sz="4" w:space="0" w:color="auto"/>
              <w:right w:val="single" w:sz="4" w:space="0" w:color="auto"/>
            </w:tcBorders>
            <w:shd w:val="clear" w:color="auto" w:fill="auto"/>
            <w:noWrap/>
            <w:vAlign w:val="bottom"/>
            <w:hideMark/>
          </w:tcPr>
          <w:p w14:paraId="7D92FBDC" w14:textId="02D98515" w:rsidR="00D10272" w:rsidRPr="007574BA" w:rsidRDefault="00D10272" w:rsidP="00D10272">
            <w:pPr>
              <w:jc w:val="right"/>
              <w:rPr>
                <w:rFonts w:asciiTheme="minorHAnsi" w:hAnsiTheme="minorHAnsi" w:cstheme="minorHAnsi"/>
                <w:sz w:val="26"/>
                <w:szCs w:val="26"/>
                <w:lang w:eastAsia="ro-RO"/>
              </w:rPr>
            </w:pPr>
            <w:r w:rsidRPr="007574BA">
              <w:rPr>
                <w:rFonts w:ascii="Calibri Light" w:hAnsi="Calibri Light" w:cs="Calibri Light"/>
                <w:sz w:val="26"/>
                <w:szCs w:val="26"/>
              </w:rPr>
              <w:t>0.45</w:t>
            </w:r>
          </w:p>
        </w:tc>
      </w:tr>
      <w:tr w:rsidR="00D10272" w:rsidRPr="008D77AF" w14:paraId="7DE49458" w14:textId="77777777" w:rsidTr="004158F7">
        <w:trPr>
          <w:trHeight w:val="360"/>
          <w:jc w:val="center"/>
        </w:trPr>
        <w:tc>
          <w:tcPr>
            <w:tcW w:w="2900" w:type="dxa"/>
            <w:tcBorders>
              <w:top w:val="nil"/>
              <w:left w:val="single" w:sz="8" w:space="0" w:color="auto"/>
              <w:bottom w:val="single" w:sz="8" w:space="0" w:color="auto"/>
              <w:right w:val="single" w:sz="4" w:space="0" w:color="auto"/>
            </w:tcBorders>
            <w:shd w:val="clear" w:color="auto" w:fill="auto"/>
            <w:noWrap/>
            <w:vAlign w:val="bottom"/>
            <w:hideMark/>
          </w:tcPr>
          <w:p w14:paraId="2DDAAD58" w14:textId="77777777" w:rsidR="00D10272" w:rsidRPr="008D77AF" w:rsidRDefault="00D10272" w:rsidP="00D10272">
            <w:pP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Total</w:t>
            </w:r>
          </w:p>
        </w:tc>
        <w:tc>
          <w:tcPr>
            <w:tcW w:w="1680" w:type="dxa"/>
            <w:tcBorders>
              <w:top w:val="nil"/>
              <w:left w:val="single" w:sz="4" w:space="0" w:color="auto"/>
              <w:bottom w:val="single" w:sz="8" w:space="0" w:color="auto"/>
              <w:right w:val="single" w:sz="4" w:space="0" w:color="auto"/>
            </w:tcBorders>
            <w:shd w:val="clear" w:color="auto" w:fill="auto"/>
            <w:noWrap/>
            <w:vAlign w:val="bottom"/>
            <w:hideMark/>
          </w:tcPr>
          <w:p w14:paraId="3938C344" w14:textId="5AE329E2" w:rsidR="00D10272" w:rsidRPr="007574BA" w:rsidRDefault="00D10272" w:rsidP="00D10272">
            <w:pPr>
              <w:jc w:val="right"/>
              <w:rPr>
                <w:rFonts w:asciiTheme="minorHAnsi" w:hAnsiTheme="minorHAnsi" w:cstheme="minorHAnsi"/>
                <w:b/>
                <w:bCs/>
                <w:sz w:val="26"/>
                <w:szCs w:val="26"/>
                <w:lang w:eastAsia="ro-RO"/>
              </w:rPr>
            </w:pPr>
            <w:r w:rsidRPr="007574BA">
              <w:rPr>
                <w:rFonts w:ascii="Calibri Light" w:hAnsi="Calibri Light" w:cs="Calibri Light"/>
                <w:b/>
                <w:bCs/>
                <w:sz w:val="26"/>
                <w:szCs w:val="26"/>
              </w:rPr>
              <w:t>319 502</w:t>
            </w:r>
          </w:p>
        </w:tc>
        <w:tc>
          <w:tcPr>
            <w:tcW w:w="1340" w:type="dxa"/>
            <w:tcBorders>
              <w:top w:val="nil"/>
              <w:left w:val="nil"/>
              <w:bottom w:val="single" w:sz="8" w:space="0" w:color="auto"/>
              <w:right w:val="single" w:sz="4" w:space="0" w:color="auto"/>
            </w:tcBorders>
            <w:shd w:val="clear" w:color="auto" w:fill="auto"/>
            <w:noWrap/>
            <w:vAlign w:val="bottom"/>
            <w:hideMark/>
          </w:tcPr>
          <w:p w14:paraId="51A7C751" w14:textId="16ADF04A" w:rsidR="00D10272" w:rsidRPr="007574BA" w:rsidRDefault="00D10272" w:rsidP="00D10272">
            <w:pPr>
              <w:jc w:val="right"/>
              <w:rPr>
                <w:rFonts w:asciiTheme="minorHAnsi" w:hAnsiTheme="minorHAnsi" w:cstheme="minorHAnsi"/>
                <w:b/>
                <w:bCs/>
                <w:sz w:val="26"/>
                <w:szCs w:val="26"/>
                <w:lang w:eastAsia="ro-RO"/>
              </w:rPr>
            </w:pPr>
            <w:r w:rsidRPr="007574BA">
              <w:rPr>
                <w:rFonts w:ascii="Calibri Light" w:hAnsi="Calibri Light" w:cs="Calibri Light"/>
                <w:b/>
                <w:bCs/>
                <w:sz w:val="26"/>
                <w:szCs w:val="26"/>
              </w:rPr>
              <w:t>100</w:t>
            </w:r>
          </w:p>
        </w:tc>
        <w:tc>
          <w:tcPr>
            <w:tcW w:w="2080" w:type="dxa"/>
            <w:tcBorders>
              <w:top w:val="nil"/>
              <w:left w:val="nil"/>
              <w:bottom w:val="single" w:sz="8" w:space="0" w:color="auto"/>
              <w:right w:val="single" w:sz="4" w:space="0" w:color="auto"/>
            </w:tcBorders>
            <w:shd w:val="clear" w:color="auto" w:fill="auto"/>
            <w:noWrap/>
            <w:vAlign w:val="bottom"/>
            <w:hideMark/>
          </w:tcPr>
          <w:p w14:paraId="2C96506F" w14:textId="455997A0" w:rsidR="00D10272" w:rsidRPr="007574BA" w:rsidRDefault="00D10272" w:rsidP="00D10272">
            <w:pPr>
              <w:jc w:val="right"/>
              <w:rPr>
                <w:rFonts w:asciiTheme="minorHAnsi" w:hAnsiTheme="minorHAnsi" w:cstheme="minorHAnsi"/>
                <w:b/>
                <w:bCs/>
                <w:sz w:val="26"/>
                <w:szCs w:val="26"/>
                <w:lang w:eastAsia="ro-RO"/>
              </w:rPr>
            </w:pPr>
            <w:r w:rsidRPr="007574BA">
              <w:rPr>
                <w:rFonts w:ascii="Calibri Light" w:hAnsi="Calibri Light" w:cs="Calibri Light"/>
                <w:b/>
                <w:bCs/>
                <w:sz w:val="26"/>
                <w:szCs w:val="26"/>
              </w:rPr>
              <w:t>317 694</w:t>
            </w:r>
          </w:p>
        </w:tc>
        <w:tc>
          <w:tcPr>
            <w:tcW w:w="980" w:type="dxa"/>
            <w:tcBorders>
              <w:top w:val="nil"/>
              <w:left w:val="nil"/>
              <w:bottom w:val="single" w:sz="8" w:space="0" w:color="auto"/>
              <w:right w:val="single" w:sz="4" w:space="0" w:color="auto"/>
            </w:tcBorders>
            <w:shd w:val="clear" w:color="auto" w:fill="auto"/>
            <w:noWrap/>
            <w:vAlign w:val="bottom"/>
            <w:hideMark/>
          </w:tcPr>
          <w:p w14:paraId="1D987C48" w14:textId="309D010F" w:rsidR="00D10272" w:rsidRPr="007574BA" w:rsidRDefault="00D10272" w:rsidP="00D10272">
            <w:pPr>
              <w:jc w:val="right"/>
              <w:rPr>
                <w:rFonts w:asciiTheme="minorHAnsi" w:hAnsiTheme="minorHAnsi" w:cstheme="minorHAnsi"/>
                <w:b/>
                <w:bCs/>
                <w:sz w:val="26"/>
                <w:szCs w:val="26"/>
                <w:lang w:eastAsia="ro-RO"/>
              </w:rPr>
            </w:pPr>
            <w:r w:rsidRPr="007574BA">
              <w:rPr>
                <w:rFonts w:ascii="Calibri Light" w:hAnsi="Calibri Light" w:cs="Calibri Light"/>
                <w:b/>
                <w:bCs/>
                <w:sz w:val="26"/>
                <w:szCs w:val="26"/>
              </w:rPr>
              <w:t>100</w:t>
            </w:r>
          </w:p>
        </w:tc>
      </w:tr>
    </w:tbl>
    <w:p w14:paraId="1C925793" w14:textId="68214CC4" w:rsidR="00895FF8" w:rsidRPr="004A72CD" w:rsidRDefault="00F17D1B" w:rsidP="00F17D1B">
      <w:pPr>
        <w:spacing w:line="276" w:lineRule="auto"/>
        <w:jc w:val="center"/>
        <w:rPr>
          <w:rFonts w:asciiTheme="minorHAnsi" w:eastAsiaTheme="minorHAnsi" w:hAnsiTheme="minorHAnsi" w:cstheme="minorHAnsi"/>
          <w:sz w:val="26"/>
          <w:szCs w:val="26"/>
        </w:rPr>
      </w:pPr>
      <w:r>
        <w:drawing>
          <wp:inline distT="0" distB="0" distL="0" distR="0" wp14:anchorId="608ADE55" wp14:editId="5F914358">
            <wp:extent cx="6479540" cy="5900420"/>
            <wp:effectExtent l="0" t="0" r="16510" b="5080"/>
            <wp:docPr id="1927356283" name="Chart 1">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3C4B0DC" w14:textId="7DD1AEA4" w:rsidR="00895FF8" w:rsidRPr="004A72CD" w:rsidRDefault="00895FF8" w:rsidP="009D3C00">
      <w:pPr>
        <w:spacing w:line="276" w:lineRule="auto"/>
        <w:ind w:firstLine="720"/>
        <w:jc w:val="both"/>
        <w:rPr>
          <w:rFonts w:asciiTheme="minorHAnsi" w:eastAsiaTheme="minorHAnsi" w:hAnsiTheme="minorHAnsi" w:cstheme="minorHAnsi"/>
          <w:color w:val="000000" w:themeColor="text1"/>
          <w:sz w:val="26"/>
          <w:szCs w:val="26"/>
        </w:rPr>
      </w:pPr>
      <w:r w:rsidRPr="004A72CD">
        <w:rPr>
          <w:rFonts w:asciiTheme="minorHAnsi" w:eastAsiaTheme="minorHAnsi" w:hAnsiTheme="minorHAnsi" w:cstheme="minorHAnsi"/>
          <w:color w:val="000000" w:themeColor="text1"/>
          <w:sz w:val="26"/>
          <w:szCs w:val="26"/>
        </w:rPr>
        <w:t>Evoluţia în structură a cheltuielilor aprobate pentru anul 2024 faţă de realizatul anului 2023 este semnificativă, putând fi observată o creștere în perspectiva anului 202</w:t>
      </w:r>
      <w:r w:rsidR="00D10272">
        <w:rPr>
          <w:rFonts w:asciiTheme="minorHAnsi" w:eastAsiaTheme="minorHAnsi" w:hAnsiTheme="minorHAnsi" w:cstheme="minorHAnsi"/>
          <w:color w:val="000000" w:themeColor="text1"/>
          <w:sz w:val="26"/>
          <w:szCs w:val="26"/>
        </w:rPr>
        <w:t>5</w:t>
      </w:r>
      <w:r w:rsidRPr="004A72CD">
        <w:rPr>
          <w:rFonts w:asciiTheme="minorHAnsi" w:eastAsiaTheme="minorHAnsi" w:hAnsiTheme="minorHAnsi" w:cstheme="minorHAnsi"/>
          <w:color w:val="000000" w:themeColor="text1"/>
          <w:sz w:val="26"/>
          <w:szCs w:val="26"/>
        </w:rPr>
        <w:t>, aceasta fiind reportată la necesarul real al cheltuielilor.</w:t>
      </w:r>
    </w:p>
    <w:p w14:paraId="0BC1C62F" w14:textId="77777777" w:rsidR="00895FF8" w:rsidRPr="004A72CD" w:rsidRDefault="00895FF8" w:rsidP="00D51F5A">
      <w:pPr>
        <w:keepNext/>
        <w:tabs>
          <w:tab w:val="left" w:pos="851"/>
        </w:tabs>
        <w:spacing w:line="276" w:lineRule="auto"/>
        <w:jc w:val="both"/>
        <w:outlineLvl w:val="1"/>
        <w:rPr>
          <w:rFonts w:asciiTheme="minorHAnsi" w:eastAsiaTheme="minorHAnsi" w:hAnsiTheme="minorHAnsi" w:cstheme="minorHAnsi"/>
          <w:color w:val="000000" w:themeColor="text1"/>
          <w:sz w:val="26"/>
          <w:szCs w:val="26"/>
        </w:rPr>
      </w:pPr>
    </w:p>
    <w:p w14:paraId="23DCBFE2" w14:textId="77777777" w:rsidR="00895FF8" w:rsidRPr="004A72CD" w:rsidRDefault="00895FF8" w:rsidP="00D51F5A">
      <w:pPr>
        <w:spacing w:line="276" w:lineRule="auto"/>
        <w:jc w:val="both"/>
        <w:rPr>
          <w:rFonts w:asciiTheme="minorHAnsi" w:eastAsiaTheme="minorHAnsi" w:hAnsiTheme="minorHAnsi" w:cstheme="minorHAnsi"/>
          <w:b/>
          <w:sz w:val="26"/>
          <w:szCs w:val="26"/>
        </w:rPr>
      </w:pPr>
    </w:p>
    <w:p w14:paraId="66BA0D87" w14:textId="77777777" w:rsidR="00895FF8" w:rsidRPr="004A72CD" w:rsidRDefault="00895FF8" w:rsidP="00D51F5A">
      <w:pPr>
        <w:spacing w:line="276" w:lineRule="auto"/>
        <w:jc w:val="both"/>
        <w:rPr>
          <w:rFonts w:asciiTheme="minorHAnsi" w:eastAsiaTheme="minorHAnsi" w:hAnsiTheme="minorHAnsi" w:cstheme="minorHAnsi"/>
          <w:b/>
          <w:sz w:val="26"/>
          <w:szCs w:val="26"/>
        </w:rPr>
      </w:pPr>
    </w:p>
    <w:p w14:paraId="0AA5D860" w14:textId="77777777" w:rsidR="00895FF8" w:rsidRPr="004A72CD" w:rsidRDefault="00895FF8" w:rsidP="00D51F5A">
      <w:pPr>
        <w:spacing w:line="276" w:lineRule="auto"/>
        <w:jc w:val="both"/>
        <w:rPr>
          <w:rFonts w:asciiTheme="minorHAnsi" w:eastAsiaTheme="minorHAnsi" w:hAnsiTheme="minorHAnsi" w:cstheme="minorHAnsi"/>
          <w:b/>
          <w:sz w:val="26"/>
          <w:szCs w:val="26"/>
        </w:rPr>
      </w:pPr>
    </w:p>
    <w:p w14:paraId="176A96AC" w14:textId="77777777" w:rsidR="00895FF8" w:rsidRPr="004A72CD" w:rsidRDefault="00895FF8" w:rsidP="00D51F5A">
      <w:pPr>
        <w:spacing w:line="276" w:lineRule="auto"/>
        <w:jc w:val="both"/>
        <w:rPr>
          <w:rFonts w:asciiTheme="minorHAnsi" w:eastAsiaTheme="minorHAnsi" w:hAnsiTheme="minorHAnsi" w:cstheme="minorHAnsi"/>
          <w:b/>
          <w:sz w:val="26"/>
          <w:szCs w:val="26"/>
        </w:rPr>
      </w:pPr>
    </w:p>
    <w:p w14:paraId="6F22F602" w14:textId="77777777" w:rsidR="00895FF8" w:rsidRPr="004A72CD" w:rsidRDefault="00895FF8" w:rsidP="00D51F5A">
      <w:pPr>
        <w:spacing w:line="276" w:lineRule="auto"/>
        <w:jc w:val="both"/>
        <w:rPr>
          <w:rFonts w:asciiTheme="minorHAnsi" w:eastAsiaTheme="minorHAnsi" w:hAnsiTheme="minorHAnsi" w:cstheme="minorHAnsi"/>
          <w:b/>
          <w:sz w:val="26"/>
          <w:szCs w:val="26"/>
        </w:rPr>
      </w:pPr>
    </w:p>
    <w:p w14:paraId="2B44AD67" w14:textId="77777777" w:rsidR="00895FF8" w:rsidRPr="004A72CD" w:rsidRDefault="00895FF8" w:rsidP="00D51F5A">
      <w:pPr>
        <w:spacing w:line="276" w:lineRule="auto"/>
        <w:jc w:val="both"/>
        <w:rPr>
          <w:rFonts w:asciiTheme="minorHAnsi" w:eastAsiaTheme="minorHAnsi" w:hAnsiTheme="minorHAnsi" w:cstheme="minorHAnsi"/>
          <w:b/>
          <w:sz w:val="26"/>
          <w:szCs w:val="26"/>
        </w:rPr>
      </w:pPr>
    </w:p>
    <w:p w14:paraId="04BD19DE" w14:textId="77777777" w:rsidR="00895FF8" w:rsidRPr="004A72CD" w:rsidRDefault="00895FF8" w:rsidP="00D51F5A">
      <w:pPr>
        <w:spacing w:line="276" w:lineRule="auto"/>
        <w:jc w:val="both"/>
        <w:rPr>
          <w:rFonts w:asciiTheme="minorHAnsi" w:eastAsiaTheme="minorHAnsi" w:hAnsiTheme="minorHAnsi" w:cstheme="minorHAnsi"/>
          <w:b/>
          <w:sz w:val="26"/>
          <w:szCs w:val="26"/>
        </w:rPr>
      </w:pPr>
    </w:p>
    <w:p w14:paraId="65961E22" w14:textId="77777777" w:rsidR="00895FF8" w:rsidRPr="004A72CD" w:rsidRDefault="00895FF8" w:rsidP="00D51F5A">
      <w:pPr>
        <w:spacing w:line="276" w:lineRule="auto"/>
        <w:jc w:val="both"/>
        <w:rPr>
          <w:rFonts w:asciiTheme="minorHAnsi" w:eastAsiaTheme="minorHAnsi" w:hAnsiTheme="minorHAnsi" w:cstheme="minorHAnsi"/>
          <w:b/>
          <w:sz w:val="26"/>
          <w:szCs w:val="26"/>
        </w:rPr>
      </w:pPr>
    </w:p>
    <w:p w14:paraId="4B0ED8F1" w14:textId="77777777" w:rsidR="00895FF8" w:rsidRPr="004A72CD" w:rsidRDefault="00895FF8" w:rsidP="00D51F5A">
      <w:pPr>
        <w:spacing w:line="276" w:lineRule="auto"/>
        <w:jc w:val="both"/>
        <w:rPr>
          <w:rFonts w:asciiTheme="minorHAnsi" w:eastAsiaTheme="minorHAnsi" w:hAnsiTheme="minorHAnsi" w:cstheme="minorHAnsi"/>
          <w:b/>
          <w:sz w:val="26"/>
          <w:szCs w:val="26"/>
        </w:rPr>
      </w:pPr>
    </w:p>
    <w:p w14:paraId="13A5602F" w14:textId="77777777" w:rsidR="00895FF8" w:rsidRPr="004A72CD" w:rsidRDefault="00895FF8" w:rsidP="00D51F5A">
      <w:pPr>
        <w:spacing w:line="276" w:lineRule="auto"/>
        <w:jc w:val="both"/>
        <w:rPr>
          <w:rFonts w:asciiTheme="minorHAnsi" w:eastAsiaTheme="minorHAnsi" w:hAnsiTheme="minorHAnsi" w:cstheme="minorHAnsi"/>
          <w:b/>
          <w:sz w:val="26"/>
          <w:szCs w:val="26"/>
        </w:rPr>
      </w:pPr>
    </w:p>
    <w:p w14:paraId="4A679B41" w14:textId="77777777" w:rsidR="00895FF8" w:rsidRPr="004A72CD" w:rsidRDefault="00895FF8" w:rsidP="00D51F5A">
      <w:pPr>
        <w:spacing w:line="276" w:lineRule="auto"/>
        <w:jc w:val="both"/>
        <w:rPr>
          <w:rFonts w:asciiTheme="minorHAnsi" w:eastAsiaTheme="minorHAnsi" w:hAnsiTheme="minorHAnsi" w:cstheme="minorHAnsi"/>
          <w:b/>
          <w:sz w:val="26"/>
          <w:szCs w:val="26"/>
        </w:rPr>
      </w:pPr>
    </w:p>
    <w:p w14:paraId="03BBDE97" w14:textId="77777777" w:rsidR="00895FF8" w:rsidRPr="004A72CD" w:rsidRDefault="00895FF8" w:rsidP="00D51F5A">
      <w:pPr>
        <w:spacing w:line="276" w:lineRule="auto"/>
        <w:jc w:val="both"/>
        <w:rPr>
          <w:rFonts w:asciiTheme="minorHAnsi" w:eastAsiaTheme="minorHAnsi" w:hAnsiTheme="minorHAnsi" w:cstheme="minorHAnsi"/>
          <w:b/>
          <w:sz w:val="26"/>
          <w:szCs w:val="26"/>
        </w:rPr>
      </w:pPr>
    </w:p>
    <w:p w14:paraId="5956EF64" w14:textId="77777777" w:rsidR="00895FF8" w:rsidRPr="004A72CD" w:rsidRDefault="00895FF8" w:rsidP="00D51F5A">
      <w:pPr>
        <w:spacing w:line="276" w:lineRule="auto"/>
        <w:jc w:val="center"/>
        <w:rPr>
          <w:rFonts w:asciiTheme="minorHAnsi" w:eastAsiaTheme="minorHAnsi" w:hAnsiTheme="minorHAnsi" w:cstheme="minorHAnsi"/>
          <w:b/>
          <w:sz w:val="26"/>
          <w:szCs w:val="26"/>
        </w:rPr>
      </w:pPr>
      <w:r w:rsidRPr="004A72CD">
        <w:rPr>
          <w:rFonts w:asciiTheme="minorHAnsi" w:eastAsiaTheme="minorHAnsi" w:hAnsiTheme="minorHAnsi" w:cstheme="minorHAnsi"/>
          <w:b/>
          <w:sz w:val="26"/>
          <w:szCs w:val="26"/>
        </w:rPr>
        <w:t>Reprezentarea grafică a indicatorilor cu cea mai mare pondere în bugetul total se prezintă astfel:</w:t>
      </w:r>
    </w:p>
    <w:p w14:paraId="772AB36E" w14:textId="343F3FE1" w:rsidR="00895FF8" w:rsidRPr="004A72CD" w:rsidRDefault="009D3C00" w:rsidP="00D51F5A">
      <w:pPr>
        <w:spacing w:line="276" w:lineRule="auto"/>
        <w:jc w:val="center"/>
        <w:rPr>
          <w:rFonts w:asciiTheme="minorHAnsi" w:eastAsiaTheme="minorHAnsi" w:hAnsiTheme="minorHAnsi" w:cstheme="minorHAnsi"/>
          <w:sz w:val="26"/>
          <w:szCs w:val="26"/>
        </w:rPr>
      </w:pPr>
      <w:r w:rsidRPr="00313FEF">
        <w:rPr>
          <w:rFonts w:asciiTheme="minorHAnsi" w:hAnsiTheme="minorHAnsi" w:cstheme="minorHAnsi"/>
          <w:sz w:val="26"/>
          <w:szCs w:val="26"/>
          <w:lang w:eastAsia="ro-RO"/>
        </w:rPr>
        <w:drawing>
          <wp:inline distT="0" distB="0" distL="0" distR="0" wp14:anchorId="798260B8" wp14:editId="70F3E4A9">
            <wp:extent cx="5762625" cy="3248026"/>
            <wp:effectExtent l="0" t="0" r="9525" b="9525"/>
            <wp:docPr id="1659550827" name="Chart 1">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6FBC9BA" w14:textId="64A3AF31" w:rsidR="00895FF8" w:rsidRPr="00E933A9" w:rsidRDefault="00895FF8" w:rsidP="00D51F5A">
      <w:pPr>
        <w:spacing w:line="276" w:lineRule="auto"/>
        <w:ind w:firstLine="720"/>
        <w:rPr>
          <w:rFonts w:asciiTheme="minorHAnsi" w:eastAsiaTheme="minorHAnsi" w:hAnsiTheme="minorHAnsi" w:cstheme="minorHAnsi"/>
          <w:b/>
          <w:bCs/>
          <w:sz w:val="26"/>
          <w:szCs w:val="26"/>
        </w:rPr>
      </w:pPr>
      <w:r w:rsidRPr="004A72CD">
        <w:rPr>
          <w:rFonts w:asciiTheme="minorHAnsi" w:eastAsiaTheme="minorHAnsi" w:hAnsiTheme="minorHAnsi" w:cstheme="minorHAnsi"/>
          <w:sz w:val="26"/>
          <w:szCs w:val="26"/>
        </w:rPr>
        <w:t xml:space="preserve">                                                                                                                          </w:t>
      </w:r>
      <w:r w:rsidR="009D3C00">
        <w:rPr>
          <w:rFonts w:asciiTheme="minorHAnsi" w:eastAsiaTheme="minorHAnsi" w:hAnsiTheme="minorHAnsi" w:cstheme="minorHAnsi"/>
          <w:sz w:val="26"/>
          <w:szCs w:val="26"/>
        </w:rPr>
        <w:tab/>
      </w:r>
      <w:r w:rsidR="00E933A9">
        <w:rPr>
          <w:rFonts w:asciiTheme="minorHAnsi" w:eastAsiaTheme="minorHAnsi" w:hAnsiTheme="minorHAnsi" w:cstheme="minorHAnsi"/>
          <w:sz w:val="26"/>
          <w:szCs w:val="26"/>
        </w:rPr>
        <w:t xml:space="preserve">   </w:t>
      </w:r>
      <w:r w:rsidRPr="00E933A9">
        <w:rPr>
          <w:rFonts w:asciiTheme="minorHAnsi" w:eastAsiaTheme="minorHAnsi" w:hAnsiTheme="minorHAnsi" w:cstheme="minorHAnsi"/>
          <w:b/>
          <w:bCs/>
          <w:sz w:val="26"/>
          <w:szCs w:val="26"/>
        </w:rPr>
        <w:t xml:space="preserve">mii lei </w:t>
      </w:r>
    </w:p>
    <w:tbl>
      <w:tblPr>
        <w:tblW w:w="8642" w:type="dxa"/>
        <w:jc w:val="center"/>
        <w:tblLook w:val="04A0" w:firstRow="1" w:lastRow="0" w:firstColumn="1" w:lastColumn="0" w:noHBand="0" w:noVBand="1"/>
      </w:tblPr>
      <w:tblGrid>
        <w:gridCol w:w="3380"/>
        <w:gridCol w:w="700"/>
        <w:gridCol w:w="1444"/>
        <w:gridCol w:w="1701"/>
        <w:gridCol w:w="1417"/>
      </w:tblGrid>
      <w:tr w:rsidR="009D3C00" w:rsidRPr="00313FEF" w14:paraId="64B2206F" w14:textId="77777777" w:rsidTr="00612067">
        <w:trPr>
          <w:trHeight w:val="300"/>
          <w:jc w:val="center"/>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195BB" w14:textId="77777777" w:rsidR="009D3C00" w:rsidRPr="00313FEF" w:rsidRDefault="009D3C00" w:rsidP="00612067">
            <w:pPr>
              <w:rPr>
                <w:rFonts w:asciiTheme="minorHAnsi" w:hAnsiTheme="minorHAnsi" w:cstheme="minorHAnsi"/>
                <w:color w:val="000000"/>
                <w:sz w:val="26"/>
                <w:szCs w:val="26"/>
              </w:rPr>
            </w:pPr>
            <w:r w:rsidRPr="00313FEF">
              <w:rPr>
                <w:rFonts w:asciiTheme="minorHAnsi" w:hAnsiTheme="minorHAnsi" w:cstheme="minorHAnsi"/>
                <w:color w:val="000000"/>
                <w:sz w:val="26"/>
                <w:szCs w:val="26"/>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6DC9F4DB" w14:textId="77777777" w:rsidR="009D3C00" w:rsidRPr="00313FEF" w:rsidRDefault="009D3C00" w:rsidP="00612067">
            <w:pPr>
              <w:rPr>
                <w:rFonts w:asciiTheme="minorHAnsi" w:hAnsiTheme="minorHAnsi" w:cstheme="minorHAnsi"/>
                <w:color w:val="000000"/>
                <w:sz w:val="26"/>
                <w:szCs w:val="26"/>
              </w:rPr>
            </w:pPr>
            <w:r w:rsidRPr="00313FEF">
              <w:rPr>
                <w:rFonts w:asciiTheme="minorHAnsi" w:hAnsiTheme="minorHAnsi" w:cstheme="minorHAnsi"/>
                <w:color w:val="000000"/>
                <w:sz w:val="26"/>
                <w:szCs w:val="26"/>
              </w:rPr>
              <w:t> </w:t>
            </w:r>
          </w:p>
        </w:tc>
        <w:tc>
          <w:tcPr>
            <w:tcW w:w="1444" w:type="dxa"/>
            <w:tcBorders>
              <w:top w:val="single" w:sz="4" w:space="0" w:color="auto"/>
              <w:left w:val="nil"/>
              <w:bottom w:val="single" w:sz="4" w:space="0" w:color="auto"/>
              <w:right w:val="single" w:sz="4" w:space="0" w:color="auto"/>
            </w:tcBorders>
            <w:shd w:val="clear" w:color="auto" w:fill="auto"/>
            <w:noWrap/>
            <w:vAlign w:val="bottom"/>
            <w:hideMark/>
          </w:tcPr>
          <w:p w14:paraId="77C37229" w14:textId="77777777" w:rsidR="009D3C00" w:rsidRPr="00313FEF" w:rsidRDefault="009D3C00" w:rsidP="00612067">
            <w:pPr>
              <w:jc w:val="right"/>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2023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FFF91CC" w14:textId="77777777" w:rsidR="009D3C00" w:rsidRPr="00313FEF" w:rsidRDefault="009D3C00" w:rsidP="00612067">
            <w:pPr>
              <w:jc w:val="right"/>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2024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A88FF2D" w14:textId="77777777" w:rsidR="009D3C00" w:rsidRPr="00313FEF" w:rsidRDefault="009D3C00" w:rsidP="00612067">
            <w:pPr>
              <w:jc w:val="right"/>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2025</w:t>
            </w:r>
          </w:p>
        </w:tc>
      </w:tr>
      <w:tr w:rsidR="00D10272" w:rsidRPr="00313FEF" w14:paraId="2D579889" w14:textId="77777777" w:rsidTr="007316D5">
        <w:trPr>
          <w:trHeight w:val="300"/>
          <w:jc w:val="center"/>
        </w:trPr>
        <w:tc>
          <w:tcPr>
            <w:tcW w:w="33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934048" w14:textId="77777777" w:rsidR="00D10272" w:rsidRPr="00313FEF" w:rsidRDefault="00D10272" w:rsidP="00D10272">
            <w:pPr>
              <w:jc w:val="center"/>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Total</w:t>
            </w:r>
          </w:p>
        </w:tc>
        <w:tc>
          <w:tcPr>
            <w:tcW w:w="700" w:type="dxa"/>
            <w:tcBorders>
              <w:top w:val="nil"/>
              <w:left w:val="nil"/>
              <w:bottom w:val="single" w:sz="4" w:space="0" w:color="auto"/>
              <w:right w:val="single" w:sz="4" w:space="0" w:color="auto"/>
            </w:tcBorders>
            <w:shd w:val="clear" w:color="auto" w:fill="auto"/>
            <w:noWrap/>
            <w:vAlign w:val="bottom"/>
            <w:hideMark/>
          </w:tcPr>
          <w:p w14:paraId="4C15CA98" w14:textId="77777777" w:rsidR="00D10272" w:rsidRPr="00313FEF" w:rsidRDefault="00D10272" w:rsidP="00D10272">
            <w:pPr>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CA</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A0B26" w14:textId="4D849C44" w:rsidR="00D10272" w:rsidRPr="007574BA" w:rsidRDefault="00D10272" w:rsidP="00D10272">
            <w:pPr>
              <w:jc w:val="right"/>
              <w:rPr>
                <w:rFonts w:asciiTheme="minorHAnsi" w:hAnsiTheme="minorHAnsi" w:cstheme="minorHAnsi"/>
                <w:sz w:val="26"/>
                <w:szCs w:val="26"/>
              </w:rPr>
            </w:pPr>
            <w:r w:rsidRPr="007574BA">
              <w:rPr>
                <w:rFonts w:ascii="Calibri Light" w:hAnsi="Calibri Light" w:cs="Calibri Light"/>
                <w:sz w:val="22"/>
                <w:szCs w:val="22"/>
              </w:rPr>
              <w:t>277 425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B5A9A27" w14:textId="084C2CE5" w:rsidR="00D10272" w:rsidRPr="007574BA" w:rsidRDefault="00D10272" w:rsidP="00D10272">
            <w:pPr>
              <w:jc w:val="right"/>
              <w:rPr>
                <w:rFonts w:asciiTheme="minorHAnsi" w:hAnsiTheme="minorHAnsi" w:cstheme="minorHAnsi"/>
                <w:sz w:val="26"/>
                <w:szCs w:val="26"/>
              </w:rPr>
            </w:pPr>
            <w:r w:rsidRPr="007574BA">
              <w:rPr>
                <w:rFonts w:ascii="Calibri Light" w:hAnsi="Calibri Light" w:cs="Calibri Light"/>
                <w:sz w:val="22"/>
                <w:szCs w:val="22"/>
              </w:rPr>
              <w:t>319 502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DD8B2FD" w14:textId="0823888F" w:rsidR="00D10272" w:rsidRPr="007574BA" w:rsidRDefault="00D10272" w:rsidP="00D10272">
            <w:pPr>
              <w:jc w:val="right"/>
              <w:rPr>
                <w:rFonts w:asciiTheme="minorHAnsi" w:hAnsiTheme="minorHAnsi" w:cstheme="minorHAnsi"/>
                <w:sz w:val="26"/>
                <w:szCs w:val="26"/>
              </w:rPr>
            </w:pPr>
            <w:r w:rsidRPr="007574BA">
              <w:rPr>
                <w:rFonts w:ascii="Calibri Light" w:hAnsi="Calibri Light" w:cs="Calibri Light"/>
                <w:sz w:val="22"/>
                <w:szCs w:val="22"/>
              </w:rPr>
              <w:t>453 109</w:t>
            </w:r>
          </w:p>
        </w:tc>
      </w:tr>
      <w:tr w:rsidR="00D10272" w:rsidRPr="00313FEF" w14:paraId="3F5DDE01" w14:textId="77777777" w:rsidTr="007316D5">
        <w:trPr>
          <w:trHeight w:val="300"/>
          <w:jc w:val="center"/>
        </w:trPr>
        <w:tc>
          <w:tcPr>
            <w:tcW w:w="3380" w:type="dxa"/>
            <w:vMerge/>
            <w:tcBorders>
              <w:top w:val="nil"/>
              <w:left w:val="single" w:sz="4" w:space="0" w:color="auto"/>
              <w:bottom w:val="single" w:sz="4" w:space="0" w:color="000000"/>
              <w:right w:val="single" w:sz="4" w:space="0" w:color="auto"/>
            </w:tcBorders>
            <w:vAlign w:val="center"/>
            <w:hideMark/>
          </w:tcPr>
          <w:p w14:paraId="148386BB" w14:textId="77777777" w:rsidR="00D10272" w:rsidRPr="00313FEF" w:rsidRDefault="00D10272" w:rsidP="00D10272">
            <w:pPr>
              <w:rPr>
                <w:rFonts w:asciiTheme="minorHAnsi" w:hAnsiTheme="minorHAnsi" w:cstheme="minorHAnsi"/>
                <w:b/>
                <w:bCs/>
                <w:color w:val="000000"/>
                <w:sz w:val="26"/>
                <w:szCs w:val="26"/>
              </w:rPr>
            </w:pPr>
          </w:p>
        </w:tc>
        <w:tc>
          <w:tcPr>
            <w:tcW w:w="700" w:type="dxa"/>
            <w:tcBorders>
              <w:top w:val="nil"/>
              <w:left w:val="nil"/>
              <w:bottom w:val="single" w:sz="4" w:space="0" w:color="auto"/>
              <w:right w:val="single" w:sz="4" w:space="0" w:color="auto"/>
            </w:tcBorders>
            <w:shd w:val="clear" w:color="auto" w:fill="auto"/>
            <w:noWrap/>
            <w:vAlign w:val="bottom"/>
            <w:hideMark/>
          </w:tcPr>
          <w:p w14:paraId="14D467F0" w14:textId="77777777" w:rsidR="00D10272" w:rsidRPr="00313FEF" w:rsidRDefault="00D10272" w:rsidP="00D10272">
            <w:pPr>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CB</w:t>
            </w:r>
          </w:p>
        </w:tc>
        <w:tc>
          <w:tcPr>
            <w:tcW w:w="1444" w:type="dxa"/>
            <w:tcBorders>
              <w:top w:val="nil"/>
              <w:left w:val="single" w:sz="4" w:space="0" w:color="auto"/>
              <w:bottom w:val="single" w:sz="4" w:space="0" w:color="auto"/>
              <w:right w:val="single" w:sz="4" w:space="0" w:color="auto"/>
            </w:tcBorders>
            <w:shd w:val="clear" w:color="auto" w:fill="auto"/>
            <w:noWrap/>
            <w:vAlign w:val="center"/>
            <w:hideMark/>
          </w:tcPr>
          <w:p w14:paraId="33A417EA" w14:textId="1E2172FF" w:rsidR="00D10272" w:rsidRPr="007574BA" w:rsidRDefault="00D10272" w:rsidP="00D10272">
            <w:pPr>
              <w:jc w:val="right"/>
              <w:rPr>
                <w:rFonts w:asciiTheme="minorHAnsi" w:hAnsiTheme="minorHAnsi" w:cstheme="minorHAnsi"/>
                <w:sz w:val="26"/>
                <w:szCs w:val="26"/>
              </w:rPr>
            </w:pPr>
            <w:r w:rsidRPr="007574BA">
              <w:rPr>
                <w:rFonts w:ascii="Calibri Light" w:hAnsi="Calibri Light" w:cs="Calibri Light"/>
                <w:sz w:val="22"/>
                <w:szCs w:val="22"/>
              </w:rPr>
              <w:t>299 070</w:t>
            </w:r>
          </w:p>
        </w:tc>
        <w:tc>
          <w:tcPr>
            <w:tcW w:w="1701" w:type="dxa"/>
            <w:tcBorders>
              <w:top w:val="nil"/>
              <w:left w:val="nil"/>
              <w:bottom w:val="single" w:sz="4" w:space="0" w:color="auto"/>
              <w:right w:val="single" w:sz="4" w:space="0" w:color="auto"/>
            </w:tcBorders>
            <w:shd w:val="clear" w:color="auto" w:fill="auto"/>
            <w:noWrap/>
            <w:vAlign w:val="center"/>
            <w:hideMark/>
          </w:tcPr>
          <w:p w14:paraId="3936288D" w14:textId="7605C82F" w:rsidR="00D10272" w:rsidRPr="007574BA" w:rsidRDefault="00D10272" w:rsidP="00D10272">
            <w:pPr>
              <w:jc w:val="right"/>
              <w:rPr>
                <w:rFonts w:asciiTheme="minorHAnsi" w:hAnsiTheme="minorHAnsi" w:cstheme="minorHAnsi"/>
                <w:sz w:val="26"/>
                <w:szCs w:val="26"/>
              </w:rPr>
            </w:pPr>
            <w:r w:rsidRPr="007574BA">
              <w:rPr>
                <w:rFonts w:ascii="Calibri Light" w:hAnsi="Calibri Light" w:cs="Calibri Light"/>
                <w:sz w:val="22"/>
                <w:szCs w:val="22"/>
              </w:rPr>
              <w:t>317 694</w:t>
            </w:r>
          </w:p>
        </w:tc>
        <w:tc>
          <w:tcPr>
            <w:tcW w:w="1417" w:type="dxa"/>
            <w:tcBorders>
              <w:top w:val="nil"/>
              <w:left w:val="nil"/>
              <w:bottom w:val="single" w:sz="4" w:space="0" w:color="auto"/>
              <w:right w:val="single" w:sz="4" w:space="0" w:color="auto"/>
            </w:tcBorders>
            <w:shd w:val="clear" w:color="auto" w:fill="auto"/>
            <w:vAlign w:val="center"/>
            <w:hideMark/>
          </w:tcPr>
          <w:p w14:paraId="6DBE7A11" w14:textId="0EC9A3DC" w:rsidR="00D10272" w:rsidRPr="007574BA" w:rsidRDefault="00D10272" w:rsidP="00D10272">
            <w:pPr>
              <w:jc w:val="right"/>
              <w:rPr>
                <w:rFonts w:asciiTheme="minorHAnsi" w:hAnsiTheme="minorHAnsi" w:cstheme="minorHAnsi"/>
                <w:sz w:val="26"/>
                <w:szCs w:val="26"/>
              </w:rPr>
            </w:pPr>
            <w:r w:rsidRPr="007574BA">
              <w:rPr>
                <w:rFonts w:ascii="Calibri Light" w:hAnsi="Calibri Light" w:cs="Calibri Light"/>
                <w:sz w:val="22"/>
                <w:szCs w:val="22"/>
              </w:rPr>
              <w:t>444 241</w:t>
            </w:r>
          </w:p>
        </w:tc>
      </w:tr>
      <w:tr w:rsidR="00D10272" w:rsidRPr="00313FEF" w14:paraId="1E7654C3" w14:textId="77777777" w:rsidTr="007316D5">
        <w:trPr>
          <w:trHeight w:val="300"/>
          <w:jc w:val="center"/>
        </w:trPr>
        <w:tc>
          <w:tcPr>
            <w:tcW w:w="33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1AA1B6" w14:textId="77777777" w:rsidR="00D10272" w:rsidRPr="00313FEF" w:rsidRDefault="00D10272" w:rsidP="00D10272">
            <w:pPr>
              <w:jc w:val="center"/>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Cheltuieli de personal</w:t>
            </w:r>
          </w:p>
        </w:tc>
        <w:tc>
          <w:tcPr>
            <w:tcW w:w="700" w:type="dxa"/>
            <w:tcBorders>
              <w:top w:val="nil"/>
              <w:left w:val="nil"/>
              <w:bottom w:val="single" w:sz="4" w:space="0" w:color="auto"/>
              <w:right w:val="single" w:sz="4" w:space="0" w:color="auto"/>
            </w:tcBorders>
            <w:shd w:val="clear" w:color="auto" w:fill="auto"/>
            <w:noWrap/>
            <w:vAlign w:val="bottom"/>
            <w:hideMark/>
          </w:tcPr>
          <w:p w14:paraId="0BBA7253" w14:textId="77777777" w:rsidR="00D10272" w:rsidRPr="00313FEF" w:rsidRDefault="00D10272" w:rsidP="00D10272">
            <w:pPr>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CA</w:t>
            </w:r>
          </w:p>
        </w:tc>
        <w:tc>
          <w:tcPr>
            <w:tcW w:w="1444" w:type="dxa"/>
            <w:tcBorders>
              <w:top w:val="nil"/>
              <w:left w:val="single" w:sz="4" w:space="0" w:color="auto"/>
              <w:bottom w:val="single" w:sz="4" w:space="0" w:color="auto"/>
              <w:right w:val="single" w:sz="4" w:space="0" w:color="auto"/>
            </w:tcBorders>
            <w:shd w:val="clear" w:color="auto" w:fill="auto"/>
            <w:vAlign w:val="center"/>
            <w:hideMark/>
          </w:tcPr>
          <w:p w14:paraId="0AC09E44" w14:textId="57BD603C" w:rsidR="00D10272" w:rsidRPr="007574BA" w:rsidRDefault="00D10272" w:rsidP="00D10272">
            <w:pPr>
              <w:jc w:val="right"/>
              <w:rPr>
                <w:rFonts w:asciiTheme="minorHAnsi" w:hAnsiTheme="minorHAnsi" w:cstheme="minorHAnsi"/>
                <w:sz w:val="26"/>
                <w:szCs w:val="26"/>
              </w:rPr>
            </w:pPr>
            <w:r w:rsidRPr="007574BA">
              <w:rPr>
                <w:rFonts w:ascii="Calibri Light" w:hAnsi="Calibri Light" w:cs="Calibri Light"/>
                <w:sz w:val="22"/>
                <w:szCs w:val="22"/>
              </w:rPr>
              <w:t>174 732</w:t>
            </w:r>
          </w:p>
        </w:tc>
        <w:tc>
          <w:tcPr>
            <w:tcW w:w="1701" w:type="dxa"/>
            <w:tcBorders>
              <w:top w:val="nil"/>
              <w:left w:val="nil"/>
              <w:bottom w:val="single" w:sz="4" w:space="0" w:color="auto"/>
              <w:right w:val="single" w:sz="4" w:space="0" w:color="auto"/>
            </w:tcBorders>
            <w:shd w:val="clear" w:color="auto" w:fill="auto"/>
            <w:vAlign w:val="center"/>
            <w:hideMark/>
          </w:tcPr>
          <w:p w14:paraId="1A844E74" w14:textId="06B6758D" w:rsidR="00D10272" w:rsidRPr="007574BA" w:rsidRDefault="00D10272" w:rsidP="00D10272">
            <w:pPr>
              <w:jc w:val="right"/>
              <w:rPr>
                <w:rFonts w:asciiTheme="minorHAnsi" w:hAnsiTheme="minorHAnsi" w:cstheme="minorHAnsi"/>
                <w:sz w:val="26"/>
                <w:szCs w:val="26"/>
              </w:rPr>
            </w:pPr>
            <w:r w:rsidRPr="007574BA">
              <w:rPr>
                <w:rFonts w:ascii="Calibri Light" w:hAnsi="Calibri Light" w:cs="Calibri Light"/>
                <w:sz w:val="22"/>
                <w:szCs w:val="22"/>
              </w:rPr>
              <w:t>237 595</w:t>
            </w:r>
          </w:p>
        </w:tc>
        <w:tc>
          <w:tcPr>
            <w:tcW w:w="1417" w:type="dxa"/>
            <w:tcBorders>
              <w:top w:val="nil"/>
              <w:left w:val="nil"/>
              <w:bottom w:val="single" w:sz="4" w:space="0" w:color="auto"/>
              <w:right w:val="single" w:sz="4" w:space="0" w:color="auto"/>
            </w:tcBorders>
            <w:shd w:val="clear" w:color="auto" w:fill="auto"/>
            <w:vAlign w:val="center"/>
            <w:hideMark/>
          </w:tcPr>
          <w:p w14:paraId="60C27102" w14:textId="3F6A32C3" w:rsidR="00D10272" w:rsidRPr="007574BA" w:rsidRDefault="00D10272" w:rsidP="00D10272">
            <w:pPr>
              <w:jc w:val="right"/>
              <w:rPr>
                <w:rFonts w:asciiTheme="minorHAnsi" w:hAnsiTheme="minorHAnsi" w:cstheme="minorHAnsi"/>
                <w:sz w:val="26"/>
                <w:szCs w:val="26"/>
              </w:rPr>
            </w:pPr>
            <w:r w:rsidRPr="007574BA">
              <w:rPr>
                <w:rFonts w:ascii="Calibri Light" w:hAnsi="Calibri Light" w:cs="Calibri Light"/>
                <w:sz w:val="22"/>
                <w:szCs w:val="22"/>
              </w:rPr>
              <w:t>311 038</w:t>
            </w:r>
          </w:p>
        </w:tc>
      </w:tr>
      <w:tr w:rsidR="00D10272" w:rsidRPr="00313FEF" w14:paraId="028165D6" w14:textId="77777777" w:rsidTr="007316D5">
        <w:trPr>
          <w:trHeight w:val="405"/>
          <w:jc w:val="center"/>
        </w:trPr>
        <w:tc>
          <w:tcPr>
            <w:tcW w:w="3380" w:type="dxa"/>
            <w:vMerge/>
            <w:tcBorders>
              <w:top w:val="nil"/>
              <w:left w:val="single" w:sz="4" w:space="0" w:color="auto"/>
              <w:bottom w:val="single" w:sz="4" w:space="0" w:color="000000"/>
              <w:right w:val="single" w:sz="4" w:space="0" w:color="auto"/>
            </w:tcBorders>
            <w:vAlign w:val="center"/>
            <w:hideMark/>
          </w:tcPr>
          <w:p w14:paraId="3C9E7A0F" w14:textId="77777777" w:rsidR="00D10272" w:rsidRPr="00313FEF" w:rsidRDefault="00D10272" w:rsidP="00D10272">
            <w:pPr>
              <w:rPr>
                <w:rFonts w:asciiTheme="minorHAnsi" w:hAnsiTheme="minorHAnsi" w:cstheme="minorHAnsi"/>
                <w:b/>
                <w:bCs/>
                <w:color w:val="000000"/>
                <w:sz w:val="26"/>
                <w:szCs w:val="26"/>
              </w:rPr>
            </w:pPr>
          </w:p>
        </w:tc>
        <w:tc>
          <w:tcPr>
            <w:tcW w:w="700" w:type="dxa"/>
            <w:tcBorders>
              <w:top w:val="nil"/>
              <w:left w:val="nil"/>
              <w:bottom w:val="single" w:sz="4" w:space="0" w:color="auto"/>
              <w:right w:val="single" w:sz="4" w:space="0" w:color="auto"/>
            </w:tcBorders>
            <w:shd w:val="clear" w:color="auto" w:fill="auto"/>
            <w:noWrap/>
            <w:vAlign w:val="bottom"/>
            <w:hideMark/>
          </w:tcPr>
          <w:p w14:paraId="26BD544A" w14:textId="77777777" w:rsidR="00D10272" w:rsidRPr="00313FEF" w:rsidRDefault="00D10272" w:rsidP="00D10272">
            <w:pPr>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CB</w:t>
            </w:r>
          </w:p>
        </w:tc>
        <w:tc>
          <w:tcPr>
            <w:tcW w:w="1444" w:type="dxa"/>
            <w:tcBorders>
              <w:top w:val="nil"/>
              <w:left w:val="single" w:sz="4" w:space="0" w:color="auto"/>
              <w:bottom w:val="single" w:sz="4" w:space="0" w:color="auto"/>
              <w:right w:val="single" w:sz="4" w:space="0" w:color="auto"/>
            </w:tcBorders>
            <w:shd w:val="clear" w:color="auto" w:fill="auto"/>
            <w:vAlign w:val="center"/>
            <w:hideMark/>
          </w:tcPr>
          <w:p w14:paraId="48574F42" w14:textId="36781B9E" w:rsidR="00D10272" w:rsidRPr="007574BA" w:rsidRDefault="00D10272" w:rsidP="00D10272">
            <w:pPr>
              <w:jc w:val="right"/>
              <w:rPr>
                <w:rFonts w:asciiTheme="minorHAnsi" w:hAnsiTheme="minorHAnsi" w:cstheme="minorHAnsi"/>
                <w:sz w:val="26"/>
                <w:szCs w:val="26"/>
              </w:rPr>
            </w:pPr>
            <w:r w:rsidRPr="007574BA">
              <w:rPr>
                <w:rFonts w:ascii="Calibri Light" w:hAnsi="Calibri Light" w:cs="Calibri Light"/>
                <w:sz w:val="22"/>
                <w:szCs w:val="22"/>
              </w:rPr>
              <w:t>174 732</w:t>
            </w:r>
          </w:p>
        </w:tc>
        <w:tc>
          <w:tcPr>
            <w:tcW w:w="1701" w:type="dxa"/>
            <w:tcBorders>
              <w:top w:val="nil"/>
              <w:left w:val="nil"/>
              <w:bottom w:val="single" w:sz="4" w:space="0" w:color="auto"/>
              <w:right w:val="single" w:sz="4" w:space="0" w:color="auto"/>
            </w:tcBorders>
            <w:shd w:val="clear" w:color="auto" w:fill="auto"/>
            <w:vAlign w:val="center"/>
            <w:hideMark/>
          </w:tcPr>
          <w:p w14:paraId="58886F8A" w14:textId="78145A2A" w:rsidR="00D10272" w:rsidRPr="007574BA" w:rsidRDefault="00D10272" w:rsidP="00D10272">
            <w:pPr>
              <w:jc w:val="right"/>
              <w:rPr>
                <w:rFonts w:asciiTheme="minorHAnsi" w:hAnsiTheme="minorHAnsi" w:cstheme="minorHAnsi"/>
                <w:sz w:val="26"/>
                <w:szCs w:val="26"/>
              </w:rPr>
            </w:pPr>
            <w:r w:rsidRPr="007574BA">
              <w:rPr>
                <w:rFonts w:ascii="Calibri Light" w:hAnsi="Calibri Light" w:cs="Calibri Light"/>
                <w:sz w:val="22"/>
                <w:szCs w:val="22"/>
              </w:rPr>
              <w:t>237 595</w:t>
            </w:r>
          </w:p>
        </w:tc>
        <w:tc>
          <w:tcPr>
            <w:tcW w:w="1417" w:type="dxa"/>
            <w:tcBorders>
              <w:top w:val="nil"/>
              <w:left w:val="nil"/>
              <w:bottom w:val="single" w:sz="4" w:space="0" w:color="auto"/>
              <w:right w:val="single" w:sz="4" w:space="0" w:color="auto"/>
            </w:tcBorders>
            <w:shd w:val="clear" w:color="auto" w:fill="auto"/>
            <w:vAlign w:val="center"/>
            <w:hideMark/>
          </w:tcPr>
          <w:p w14:paraId="052BF5CD" w14:textId="442238DB" w:rsidR="00D10272" w:rsidRPr="007574BA" w:rsidRDefault="00D10272" w:rsidP="00D10272">
            <w:pPr>
              <w:jc w:val="right"/>
              <w:rPr>
                <w:rFonts w:asciiTheme="minorHAnsi" w:hAnsiTheme="minorHAnsi" w:cstheme="minorHAnsi"/>
                <w:sz w:val="26"/>
                <w:szCs w:val="26"/>
              </w:rPr>
            </w:pPr>
            <w:r w:rsidRPr="007574BA">
              <w:rPr>
                <w:rFonts w:ascii="Calibri Light" w:hAnsi="Calibri Light" w:cs="Calibri Light"/>
                <w:sz w:val="22"/>
                <w:szCs w:val="22"/>
              </w:rPr>
              <w:t>311 038</w:t>
            </w:r>
          </w:p>
        </w:tc>
      </w:tr>
    </w:tbl>
    <w:p w14:paraId="5AEFD59B" w14:textId="77777777" w:rsidR="00895FF8" w:rsidRPr="004A72CD" w:rsidRDefault="00895FF8" w:rsidP="00D51F5A">
      <w:pPr>
        <w:spacing w:line="276" w:lineRule="auto"/>
        <w:ind w:firstLine="708"/>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 xml:space="preserve">Activitatea în domeniul politicilor salariale s-a axat cu precădere în realizarea obiectivului principal de implementare şi aplicare în mod corespunzător a actelor normative specifice de salarizare pentru personalul din sistemul justiţiei (judecători şi procurori, personal auxiliar de specialitate juridică, funcţionari publici şi personal contractual). </w:t>
      </w:r>
    </w:p>
    <w:p w14:paraId="3DE2788F" w14:textId="0AB722DF" w:rsidR="00895FF8" w:rsidRPr="004A72CD" w:rsidRDefault="009D3C00" w:rsidP="00E933A9">
      <w:pPr>
        <w:spacing w:line="276" w:lineRule="auto"/>
        <w:jc w:val="center"/>
        <w:rPr>
          <w:rFonts w:asciiTheme="minorHAnsi" w:eastAsiaTheme="minorHAnsi" w:hAnsiTheme="minorHAnsi" w:cstheme="minorHAnsi"/>
          <w:sz w:val="26"/>
          <w:szCs w:val="26"/>
        </w:rPr>
      </w:pPr>
      <w:r w:rsidRPr="00313FEF">
        <w:rPr>
          <w:rFonts w:asciiTheme="minorHAnsi" w:hAnsiTheme="minorHAnsi" w:cstheme="minorHAnsi"/>
          <w:sz w:val="26"/>
          <w:szCs w:val="26"/>
          <w:lang w:eastAsia="ro-RO"/>
        </w:rPr>
        <w:drawing>
          <wp:inline distT="0" distB="0" distL="0" distR="0" wp14:anchorId="2EC17D0F" wp14:editId="359F4B8D">
            <wp:extent cx="6479540" cy="3103245"/>
            <wp:effectExtent l="0" t="0" r="16510" b="1905"/>
            <wp:docPr id="2053980538" name="Chart 1">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E53ED00" w14:textId="77777777" w:rsidR="00BC0059" w:rsidRDefault="00BC0059" w:rsidP="00D51F5A">
      <w:pPr>
        <w:spacing w:line="276" w:lineRule="auto"/>
        <w:ind w:left="7788" w:firstLine="708"/>
        <w:jc w:val="both"/>
        <w:rPr>
          <w:rFonts w:asciiTheme="minorHAnsi" w:eastAsiaTheme="minorHAnsi" w:hAnsiTheme="minorHAnsi" w:cstheme="minorHAnsi"/>
          <w:b/>
          <w:sz w:val="26"/>
          <w:szCs w:val="26"/>
        </w:rPr>
      </w:pPr>
      <w:bookmarkStart w:id="121" w:name="_Hlk124085642"/>
    </w:p>
    <w:p w14:paraId="7D395ADD" w14:textId="77777777" w:rsidR="00BC0059" w:rsidRDefault="00BC0059" w:rsidP="00D51F5A">
      <w:pPr>
        <w:spacing w:line="276" w:lineRule="auto"/>
        <w:ind w:left="7788" w:firstLine="708"/>
        <w:jc w:val="both"/>
        <w:rPr>
          <w:rFonts w:asciiTheme="minorHAnsi" w:eastAsiaTheme="minorHAnsi" w:hAnsiTheme="minorHAnsi" w:cstheme="minorHAnsi"/>
          <w:b/>
          <w:sz w:val="26"/>
          <w:szCs w:val="26"/>
        </w:rPr>
      </w:pPr>
    </w:p>
    <w:p w14:paraId="5AA4AB83" w14:textId="2F729636" w:rsidR="00895FF8" w:rsidRPr="004A72CD" w:rsidRDefault="00895FF8" w:rsidP="00E933A9">
      <w:pPr>
        <w:spacing w:line="276" w:lineRule="auto"/>
        <w:ind w:left="7788" w:firstLine="708"/>
        <w:jc w:val="right"/>
        <w:rPr>
          <w:rFonts w:asciiTheme="minorHAnsi" w:eastAsiaTheme="minorHAnsi" w:hAnsiTheme="minorHAnsi" w:cstheme="minorHAnsi"/>
          <w:b/>
          <w:sz w:val="26"/>
          <w:szCs w:val="26"/>
        </w:rPr>
      </w:pPr>
      <w:r w:rsidRPr="004A72CD">
        <w:rPr>
          <w:rFonts w:asciiTheme="minorHAnsi" w:eastAsiaTheme="minorHAnsi" w:hAnsiTheme="minorHAnsi" w:cstheme="minorHAnsi"/>
          <w:b/>
          <w:sz w:val="26"/>
          <w:szCs w:val="26"/>
        </w:rPr>
        <w:lastRenderedPageBreak/>
        <w:t>mii lei</w:t>
      </w:r>
    </w:p>
    <w:tbl>
      <w:tblPr>
        <w:tblW w:w="9776" w:type="dxa"/>
        <w:jc w:val="center"/>
        <w:tblLook w:val="04A0" w:firstRow="1" w:lastRow="0" w:firstColumn="1" w:lastColumn="0" w:noHBand="0" w:noVBand="1"/>
      </w:tblPr>
      <w:tblGrid>
        <w:gridCol w:w="3380"/>
        <w:gridCol w:w="700"/>
        <w:gridCol w:w="1444"/>
        <w:gridCol w:w="2126"/>
        <w:gridCol w:w="2126"/>
      </w:tblGrid>
      <w:tr w:rsidR="009D3C00" w:rsidRPr="00313FEF" w14:paraId="4B0A4F92" w14:textId="77777777" w:rsidTr="00612067">
        <w:trPr>
          <w:trHeight w:val="300"/>
          <w:jc w:val="center"/>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121"/>
          <w:p w14:paraId="1984746B" w14:textId="34107FDE" w:rsidR="009D3C00" w:rsidRPr="00313FEF" w:rsidRDefault="00895FF8" w:rsidP="00612067">
            <w:pPr>
              <w:rPr>
                <w:rFonts w:asciiTheme="minorHAnsi" w:hAnsiTheme="minorHAnsi" w:cstheme="minorHAnsi"/>
                <w:color w:val="000000"/>
                <w:sz w:val="26"/>
                <w:szCs w:val="26"/>
              </w:rPr>
            </w:pPr>
            <w:r w:rsidRPr="004A72CD">
              <w:rPr>
                <w:rFonts w:asciiTheme="minorHAnsi" w:eastAsiaTheme="minorHAnsi" w:hAnsiTheme="minorHAnsi" w:cstheme="minorHAnsi"/>
                <w:sz w:val="26"/>
                <w:szCs w:val="26"/>
              </w:rPr>
              <w:t xml:space="preserve"> </w:t>
            </w:r>
            <w:r w:rsidR="009D3C00" w:rsidRPr="00313FEF">
              <w:rPr>
                <w:rFonts w:asciiTheme="minorHAnsi" w:hAnsiTheme="minorHAnsi" w:cstheme="minorHAnsi"/>
                <w:color w:val="000000"/>
                <w:sz w:val="26"/>
                <w:szCs w:val="26"/>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0972F51B" w14:textId="77777777" w:rsidR="009D3C00" w:rsidRPr="00313FEF" w:rsidRDefault="009D3C00" w:rsidP="00612067">
            <w:pPr>
              <w:rPr>
                <w:rFonts w:asciiTheme="minorHAnsi" w:hAnsiTheme="minorHAnsi" w:cstheme="minorHAnsi"/>
                <w:color w:val="000000"/>
                <w:sz w:val="26"/>
                <w:szCs w:val="26"/>
              </w:rPr>
            </w:pPr>
            <w:r w:rsidRPr="00313FEF">
              <w:rPr>
                <w:rFonts w:asciiTheme="minorHAnsi" w:hAnsiTheme="minorHAnsi" w:cstheme="minorHAnsi"/>
                <w:color w:val="000000"/>
                <w:sz w:val="26"/>
                <w:szCs w:val="26"/>
              </w:rPr>
              <w:t> </w:t>
            </w:r>
          </w:p>
        </w:tc>
        <w:tc>
          <w:tcPr>
            <w:tcW w:w="1444" w:type="dxa"/>
            <w:tcBorders>
              <w:top w:val="single" w:sz="4" w:space="0" w:color="auto"/>
              <w:left w:val="nil"/>
              <w:bottom w:val="single" w:sz="4" w:space="0" w:color="auto"/>
              <w:right w:val="single" w:sz="4" w:space="0" w:color="auto"/>
            </w:tcBorders>
            <w:shd w:val="clear" w:color="auto" w:fill="auto"/>
            <w:noWrap/>
            <w:vAlign w:val="bottom"/>
            <w:hideMark/>
          </w:tcPr>
          <w:p w14:paraId="1A31C42F" w14:textId="77777777" w:rsidR="009D3C00" w:rsidRPr="00313FEF" w:rsidRDefault="009D3C00" w:rsidP="00612067">
            <w:pPr>
              <w:jc w:val="right"/>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2023</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023FFB78" w14:textId="77777777" w:rsidR="009D3C00" w:rsidRPr="00313FEF" w:rsidRDefault="009D3C00" w:rsidP="00612067">
            <w:pPr>
              <w:jc w:val="right"/>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2024</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6B9EED81" w14:textId="77777777" w:rsidR="009D3C00" w:rsidRPr="00313FEF" w:rsidRDefault="009D3C00" w:rsidP="00612067">
            <w:pPr>
              <w:jc w:val="right"/>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2025</w:t>
            </w:r>
          </w:p>
        </w:tc>
      </w:tr>
      <w:tr w:rsidR="00BC25AF" w:rsidRPr="00313FEF" w14:paraId="2125983A" w14:textId="77777777" w:rsidTr="00DF0F12">
        <w:trPr>
          <w:trHeight w:val="300"/>
          <w:jc w:val="center"/>
        </w:trPr>
        <w:tc>
          <w:tcPr>
            <w:tcW w:w="33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59B7F8F" w14:textId="77777777" w:rsidR="00BC25AF" w:rsidRPr="00313FEF" w:rsidRDefault="00BC25AF" w:rsidP="00BC25AF">
            <w:pPr>
              <w:jc w:val="center"/>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Total</w:t>
            </w:r>
          </w:p>
        </w:tc>
        <w:tc>
          <w:tcPr>
            <w:tcW w:w="700" w:type="dxa"/>
            <w:tcBorders>
              <w:top w:val="nil"/>
              <w:left w:val="nil"/>
              <w:bottom w:val="single" w:sz="4" w:space="0" w:color="auto"/>
              <w:right w:val="single" w:sz="4" w:space="0" w:color="auto"/>
            </w:tcBorders>
            <w:shd w:val="clear" w:color="auto" w:fill="auto"/>
            <w:noWrap/>
            <w:vAlign w:val="bottom"/>
            <w:hideMark/>
          </w:tcPr>
          <w:p w14:paraId="197983E4" w14:textId="77777777" w:rsidR="00BC25AF" w:rsidRPr="00313FEF" w:rsidRDefault="00BC25AF" w:rsidP="00BC25AF">
            <w:pPr>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CA</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58DBA" w14:textId="300801FC" w:rsidR="00BC25AF" w:rsidRPr="007574BA" w:rsidRDefault="00BC25AF" w:rsidP="00BC25AF">
            <w:pPr>
              <w:jc w:val="right"/>
              <w:rPr>
                <w:rFonts w:asciiTheme="minorHAnsi" w:hAnsiTheme="minorHAnsi" w:cstheme="minorHAnsi"/>
                <w:sz w:val="26"/>
                <w:szCs w:val="26"/>
              </w:rPr>
            </w:pPr>
            <w:r w:rsidRPr="007574BA">
              <w:rPr>
                <w:rFonts w:ascii="Calibri Light" w:hAnsi="Calibri Light" w:cs="Calibri Light"/>
                <w:sz w:val="22"/>
                <w:szCs w:val="22"/>
              </w:rPr>
              <w:t>218 178</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6DB18D8" w14:textId="5A1DE450" w:rsidR="00BC25AF" w:rsidRPr="007574BA" w:rsidRDefault="00BC25AF" w:rsidP="00BC25AF">
            <w:pPr>
              <w:jc w:val="right"/>
              <w:rPr>
                <w:rFonts w:asciiTheme="minorHAnsi" w:hAnsiTheme="minorHAnsi" w:cstheme="minorHAnsi"/>
                <w:sz w:val="26"/>
                <w:szCs w:val="26"/>
              </w:rPr>
            </w:pPr>
            <w:r w:rsidRPr="007574BA">
              <w:rPr>
                <w:rFonts w:ascii="Calibri Light" w:hAnsi="Calibri Light" w:cs="Calibri Light"/>
                <w:sz w:val="22"/>
                <w:szCs w:val="22"/>
              </w:rPr>
              <w:t>319 502</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E551578" w14:textId="144914A0" w:rsidR="00BC25AF" w:rsidRPr="007574BA" w:rsidRDefault="00BC25AF" w:rsidP="00BC25AF">
            <w:pPr>
              <w:jc w:val="right"/>
              <w:rPr>
                <w:rFonts w:asciiTheme="minorHAnsi" w:hAnsiTheme="minorHAnsi" w:cstheme="minorHAnsi"/>
                <w:sz w:val="26"/>
                <w:szCs w:val="26"/>
              </w:rPr>
            </w:pPr>
            <w:r w:rsidRPr="007574BA">
              <w:rPr>
                <w:rFonts w:ascii="Calibri Light" w:hAnsi="Calibri Light" w:cs="Calibri Light"/>
                <w:sz w:val="22"/>
                <w:szCs w:val="22"/>
              </w:rPr>
              <w:t>453 109</w:t>
            </w:r>
          </w:p>
        </w:tc>
      </w:tr>
      <w:tr w:rsidR="00BC25AF" w:rsidRPr="00313FEF" w14:paraId="3ABBD48F" w14:textId="77777777" w:rsidTr="00DF0F12">
        <w:trPr>
          <w:trHeight w:val="300"/>
          <w:jc w:val="center"/>
        </w:trPr>
        <w:tc>
          <w:tcPr>
            <w:tcW w:w="3380" w:type="dxa"/>
            <w:vMerge/>
            <w:tcBorders>
              <w:top w:val="nil"/>
              <w:left w:val="single" w:sz="4" w:space="0" w:color="auto"/>
              <w:bottom w:val="single" w:sz="4" w:space="0" w:color="000000"/>
              <w:right w:val="single" w:sz="4" w:space="0" w:color="auto"/>
            </w:tcBorders>
            <w:vAlign w:val="center"/>
            <w:hideMark/>
          </w:tcPr>
          <w:p w14:paraId="3A4DB7D2" w14:textId="77777777" w:rsidR="00BC25AF" w:rsidRPr="00313FEF" w:rsidRDefault="00BC25AF" w:rsidP="00BC25AF">
            <w:pPr>
              <w:rPr>
                <w:rFonts w:asciiTheme="minorHAnsi" w:hAnsiTheme="minorHAnsi" w:cstheme="minorHAnsi"/>
                <w:b/>
                <w:bCs/>
                <w:color w:val="000000"/>
                <w:sz w:val="26"/>
                <w:szCs w:val="26"/>
              </w:rPr>
            </w:pPr>
          </w:p>
        </w:tc>
        <w:tc>
          <w:tcPr>
            <w:tcW w:w="700" w:type="dxa"/>
            <w:tcBorders>
              <w:top w:val="nil"/>
              <w:left w:val="nil"/>
              <w:bottom w:val="single" w:sz="4" w:space="0" w:color="auto"/>
              <w:right w:val="single" w:sz="4" w:space="0" w:color="auto"/>
            </w:tcBorders>
            <w:shd w:val="clear" w:color="auto" w:fill="auto"/>
            <w:noWrap/>
            <w:vAlign w:val="bottom"/>
            <w:hideMark/>
          </w:tcPr>
          <w:p w14:paraId="5291C975" w14:textId="77777777" w:rsidR="00BC25AF" w:rsidRPr="00313FEF" w:rsidRDefault="00BC25AF" w:rsidP="00BC25AF">
            <w:pPr>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CB</w:t>
            </w:r>
          </w:p>
        </w:tc>
        <w:tc>
          <w:tcPr>
            <w:tcW w:w="1444" w:type="dxa"/>
            <w:tcBorders>
              <w:top w:val="nil"/>
              <w:left w:val="single" w:sz="4" w:space="0" w:color="auto"/>
              <w:bottom w:val="single" w:sz="4" w:space="0" w:color="auto"/>
              <w:right w:val="single" w:sz="4" w:space="0" w:color="auto"/>
            </w:tcBorders>
            <w:shd w:val="clear" w:color="auto" w:fill="auto"/>
            <w:noWrap/>
            <w:vAlign w:val="center"/>
            <w:hideMark/>
          </w:tcPr>
          <w:p w14:paraId="3DEA62FF" w14:textId="35DC3788" w:rsidR="00BC25AF" w:rsidRPr="007574BA" w:rsidRDefault="00BC25AF" w:rsidP="00BC25AF">
            <w:pPr>
              <w:jc w:val="right"/>
              <w:rPr>
                <w:rFonts w:asciiTheme="minorHAnsi" w:hAnsiTheme="minorHAnsi" w:cstheme="minorHAnsi"/>
                <w:sz w:val="26"/>
                <w:szCs w:val="26"/>
              </w:rPr>
            </w:pPr>
            <w:r w:rsidRPr="007574BA">
              <w:rPr>
                <w:rFonts w:ascii="Calibri Light" w:hAnsi="Calibri Light" w:cs="Calibri Light"/>
                <w:sz w:val="22"/>
                <w:szCs w:val="22"/>
              </w:rPr>
              <w:t>182 774</w:t>
            </w:r>
          </w:p>
        </w:tc>
        <w:tc>
          <w:tcPr>
            <w:tcW w:w="2126" w:type="dxa"/>
            <w:tcBorders>
              <w:top w:val="nil"/>
              <w:left w:val="nil"/>
              <w:bottom w:val="single" w:sz="4" w:space="0" w:color="auto"/>
              <w:right w:val="single" w:sz="4" w:space="0" w:color="auto"/>
            </w:tcBorders>
            <w:shd w:val="clear" w:color="auto" w:fill="auto"/>
            <w:noWrap/>
            <w:vAlign w:val="center"/>
            <w:hideMark/>
          </w:tcPr>
          <w:p w14:paraId="63E4B424" w14:textId="4CD45BE7" w:rsidR="00BC25AF" w:rsidRPr="007574BA" w:rsidRDefault="00BC25AF" w:rsidP="00BC25AF">
            <w:pPr>
              <w:jc w:val="right"/>
              <w:rPr>
                <w:rFonts w:asciiTheme="minorHAnsi" w:hAnsiTheme="minorHAnsi" w:cstheme="minorHAnsi"/>
                <w:sz w:val="26"/>
                <w:szCs w:val="26"/>
              </w:rPr>
            </w:pPr>
            <w:r w:rsidRPr="007574BA">
              <w:rPr>
                <w:rFonts w:ascii="Calibri Light" w:hAnsi="Calibri Light" w:cs="Calibri Light"/>
                <w:sz w:val="22"/>
                <w:szCs w:val="22"/>
              </w:rPr>
              <w:t>317 694</w:t>
            </w:r>
          </w:p>
        </w:tc>
        <w:tc>
          <w:tcPr>
            <w:tcW w:w="2126" w:type="dxa"/>
            <w:tcBorders>
              <w:top w:val="nil"/>
              <w:left w:val="nil"/>
              <w:bottom w:val="single" w:sz="4" w:space="0" w:color="auto"/>
              <w:right w:val="single" w:sz="4" w:space="0" w:color="auto"/>
            </w:tcBorders>
            <w:shd w:val="clear" w:color="auto" w:fill="auto"/>
            <w:vAlign w:val="center"/>
            <w:hideMark/>
          </w:tcPr>
          <w:p w14:paraId="57DFAB4F" w14:textId="06AECA22" w:rsidR="00BC25AF" w:rsidRPr="007574BA" w:rsidRDefault="00BC25AF" w:rsidP="00BC25AF">
            <w:pPr>
              <w:jc w:val="right"/>
              <w:rPr>
                <w:rFonts w:asciiTheme="minorHAnsi" w:hAnsiTheme="minorHAnsi" w:cstheme="minorHAnsi"/>
                <w:sz w:val="26"/>
                <w:szCs w:val="26"/>
              </w:rPr>
            </w:pPr>
            <w:r w:rsidRPr="007574BA">
              <w:rPr>
                <w:rFonts w:ascii="Calibri Light" w:hAnsi="Calibri Light" w:cs="Calibri Light"/>
                <w:sz w:val="22"/>
                <w:szCs w:val="22"/>
              </w:rPr>
              <w:t>444 241</w:t>
            </w:r>
          </w:p>
        </w:tc>
      </w:tr>
      <w:tr w:rsidR="00BC25AF" w:rsidRPr="00313FEF" w14:paraId="055D2F5F" w14:textId="77777777" w:rsidTr="00DF0F12">
        <w:trPr>
          <w:trHeight w:val="300"/>
          <w:jc w:val="center"/>
        </w:trPr>
        <w:tc>
          <w:tcPr>
            <w:tcW w:w="33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D64A24" w14:textId="77777777" w:rsidR="00BC25AF" w:rsidRPr="00313FEF" w:rsidRDefault="00BC25AF" w:rsidP="00BC25AF">
            <w:pPr>
              <w:jc w:val="center"/>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Bunuri și servicii</w:t>
            </w:r>
          </w:p>
        </w:tc>
        <w:tc>
          <w:tcPr>
            <w:tcW w:w="700" w:type="dxa"/>
            <w:tcBorders>
              <w:top w:val="nil"/>
              <w:left w:val="nil"/>
              <w:bottom w:val="single" w:sz="4" w:space="0" w:color="auto"/>
              <w:right w:val="single" w:sz="4" w:space="0" w:color="auto"/>
            </w:tcBorders>
            <w:shd w:val="clear" w:color="auto" w:fill="auto"/>
            <w:noWrap/>
            <w:vAlign w:val="bottom"/>
            <w:hideMark/>
          </w:tcPr>
          <w:p w14:paraId="01E718E7" w14:textId="77777777" w:rsidR="00BC25AF" w:rsidRPr="00313FEF" w:rsidRDefault="00BC25AF" w:rsidP="00BC25AF">
            <w:pPr>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CA</w:t>
            </w:r>
          </w:p>
        </w:tc>
        <w:tc>
          <w:tcPr>
            <w:tcW w:w="1444" w:type="dxa"/>
            <w:tcBorders>
              <w:top w:val="nil"/>
              <w:left w:val="single" w:sz="4" w:space="0" w:color="auto"/>
              <w:bottom w:val="single" w:sz="4" w:space="0" w:color="auto"/>
              <w:right w:val="single" w:sz="4" w:space="0" w:color="auto"/>
            </w:tcBorders>
            <w:shd w:val="clear" w:color="auto" w:fill="auto"/>
            <w:vAlign w:val="center"/>
            <w:hideMark/>
          </w:tcPr>
          <w:p w14:paraId="19B316E2" w14:textId="1706D9F7" w:rsidR="00BC25AF" w:rsidRPr="007574BA" w:rsidRDefault="00BC25AF" w:rsidP="00BC25AF">
            <w:pPr>
              <w:jc w:val="right"/>
              <w:rPr>
                <w:rFonts w:asciiTheme="minorHAnsi" w:hAnsiTheme="minorHAnsi" w:cstheme="minorHAnsi"/>
                <w:sz w:val="26"/>
                <w:szCs w:val="26"/>
              </w:rPr>
            </w:pPr>
            <w:r w:rsidRPr="007574BA">
              <w:rPr>
                <w:rFonts w:ascii="Calibri Light" w:hAnsi="Calibri Light" w:cs="Calibri Light"/>
                <w:sz w:val="22"/>
                <w:szCs w:val="22"/>
              </w:rPr>
              <w:t>10 647</w:t>
            </w:r>
          </w:p>
        </w:tc>
        <w:tc>
          <w:tcPr>
            <w:tcW w:w="2126" w:type="dxa"/>
            <w:tcBorders>
              <w:top w:val="nil"/>
              <w:left w:val="nil"/>
              <w:bottom w:val="single" w:sz="4" w:space="0" w:color="auto"/>
              <w:right w:val="single" w:sz="4" w:space="0" w:color="auto"/>
            </w:tcBorders>
            <w:shd w:val="clear" w:color="auto" w:fill="auto"/>
            <w:vAlign w:val="center"/>
            <w:hideMark/>
          </w:tcPr>
          <w:p w14:paraId="0681A217" w14:textId="6693228B" w:rsidR="00BC25AF" w:rsidRPr="007574BA" w:rsidRDefault="00BC25AF" w:rsidP="00BC25AF">
            <w:pPr>
              <w:jc w:val="right"/>
              <w:rPr>
                <w:rFonts w:asciiTheme="minorHAnsi" w:hAnsiTheme="minorHAnsi" w:cstheme="minorHAnsi"/>
                <w:sz w:val="26"/>
                <w:szCs w:val="26"/>
              </w:rPr>
            </w:pPr>
            <w:r w:rsidRPr="007574BA">
              <w:rPr>
                <w:rFonts w:ascii="Calibri Light" w:hAnsi="Calibri Light" w:cs="Calibri Light"/>
                <w:sz w:val="22"/>
                <w:szCs w:val="22"/>
              </w:rPr>
              <w:t>21 364</w:t>
            </w:r>
          </w:p>
        </w:tc>
        <w:tc>
          <w:tcPr>
            <w:tcW w:w="2126" w:type="dxa"/>
            <w:tcBorders>
              <w:top w:val="nil"/>
              <w:left w:val="nil"/>
              <w:bottom w:val="single" w:sz="4" w:space="0" w:color="auto"/>
              <w:right w:val="single" w:sz="4" w:space="0" w:color="auto"/>
            </w:tcBorders>
            <w:shd w:val="clear" w:color="auto" w:fill="auto"/>
            <w:vAlign w:val="center"/>
            <w:hideMark/>
          </w:tcPr>
          <w:p w14:paraId="3634097F" w14:textId="03895AB4" w:rsidR="00BC25AF" w:rsidRPr="007574BA" w:rsidRDefault="00BC25AF" w:rsidP="00BC25AF">
            <w:pPr>
              <w:jc w:val="right"/>
              <w:rPr>
                <w:rFonts w:asciiTheme="minorHAnsi" w:hAnsiTheme="minorHAnsi" w:cstheme="minorHAnsi"/>
                <w:sz w:val="26"/>
                <w:szCs w:val="26"/>
              </w:rPr>
            </w:pPr>
            <w:r w:rsidRPr="007574BA">
              <w:rPr>
                <w:rFonts w:ascii="Calibri Light" w:hAnsi="Calibri Light" w:cs="Calibri Light"/>
                <w:sz w:val="22"/>
                <w:szCs w:val="22"/>
              </w:rPr>
              <w:t>48 350</w:t>
            </w:r>
          </w:p>
        </w:tc>
      </w:tr>
      <w:tr w:rsidR="00BC25AF" w:rsidRPr="00313FEF" w14:paraId="328D1376" w14:textId="77777777" w:rsidTr="00DF0F12">
        <w:trPr>
          <w:trHeight w:val="300"/>
          <w:jc w:val="center"/>
        </w:trPr>
        <w:tc>
          <w:tcPr>
            <w:tcW w:w="3380" w:type="dxa"/>
            <w:vMerge/>
            <w:tcBorders>
              <w:top w:val="nil"/>
              <w:left w:val="single" w:sz="4" w:space="0" w:color="auto"/>
              <w:bottom w:val="single" w:sz="4" w:space="0" w:color="000000"/>
              <w:right w:val="single" w:sz="4" w:space="0" w:color="auto"/>
            </w:tcBorders>
            <w:vAlign w:val="center"/>
            <w:hideMark/>
          </w:tcPr>
          <w:p w14:paraId="62EF0801" w14:textId="77777777" w:rsidR="00BC25AF" w:rsidRPr="00313FEF" w:rsidRDefault="00BC25AF" w:rsidP="00BC25AF">
            <w:pPr>
              <w:rPr>
                <w:rFonts w:asciiTheme="minorHAnsi" w:hAnsiTheme="minorHAnsi" w:cstheme="minorHAnsi"/>
                <w:b/>
                <w:bCs/>
                <w:color w:val="000000"/>
                <w:sz w:val="26"/>
                <w:szCs w:val="26"/>
              </w:rPr>
            </w:pPr>
          </w:p>
        </w:tc>
        <w:tc>
          <w:tcPr>
            <w:tcW w:w="700" w:type="dxa"/>
            <w:tcBorders>
              <w:top w:val="nil"/>
              <w:left w:val="nil"/>
              <w:bottom w:val="single" w:sz="4" w:space="0" w:color="auto"/>
              <w:right w:val="single" w:sz="4" w:space="0" w:color="auto"/>
            </w:tcBorders>
            <w:shd w:val="clear" w:color="auto" w:fill="auto"/>
            <w:noWrap/>
            <w:vAlign w:val="bottom"/>
            <w:hideMark/>
          </w:tcPr>
          <w:p w14:paraId="07130CEC" w14:textId="77777777" w:rsidR="00BC25AF" w:rsidRPr="00313FEF" w:rsidRDefault="00BC25AF" w:rsidP="00BC25AF">
            <w:pPr>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CB</w:t>
            </w:r>
          </w:p>
        </w:tc>
        <w:tc>
          <w:tcPr>
            <w:tcW w:w="1444" w:type="dxa"/>
            <w:tcBorders>
              <w:top w:val="nil"/>
              <w:left w:val="single" w:sz="4" w:space="0" w:color="auto"/>
              <w:bottom w:val="single" w:sz="4" w:space="0" w:color="auto"/>
              <w:right w:val="single" w:sz="4" w:space="0" w:color="auto"/>
            </w:tcBorders>
            <w:shd w:val="clear" w:color="auto" w:fill="auto"/>
            <w:vAlign w:val="center"/>
            <w:hideMark/>
          </w:tcPr>
          <w:p w14:paraId="00E36532" w14:textId="3057FD19" w:rsidR="00BC25AF" w:rsidRPr="007574BA" w:rsidRDefault="00BC25AF" w:rsidP="00BC25AF">
            <w:pPr>
              <w:jc w:val="right"/>
              <w:rPr>
                <w:rFonts w:asciiTheme="minorHAnsi" w:hAnsiTheme="minorHAnsi" w:cstheme="minorHAnsi"/>
                <w:sz w:val="26"/>
                <w:szCs w:val="26"/>
              </w:rPr>
            </w:pPr>
            <w:r w:rsidRPr="007574BA">
              <w:rPr>
                <w:rFonts w:ascii="Calibri Light" w:hAnsi="Calibri Light" w:cs="Calibri Light"/>
                <w:sz w:val="22"/>
                <w:szCs w:val="22"/>
              </w:rPr>
              <w:t>10 647</w:t>
            </w:r>
          </w:p>
        </w:tc>
        <w:tc>
          <w:tcPr>
            <w:tcW w:w="2126" w:type="dxa"/>
            <w:tcBorders>
              <w:top w:val="nil"/>
              <w:left w:val="nil"/>
              <w:bottom w:val="single" w:sz="4" w:space="0" w:color="auto"/>
              <w:right w:val="single" w:sz="4" w:space="0" w:color="auto"/>
            </w:tcBorders>
            <w:shd w:val="clear" w:color="auto" w:fill="auto"/>
            <w:vAlign w:val="center"/>
            <w:hideMark/>
          </w:tcPr>
          <w:p w14:paraId="2EADF021" w14:textId="1289A4B9" w:rsidR="00BC25AF" w:rsidRPr="007574BA" w:rsidRDefault="00BC25AF" w:rsidP="00BC25AF">
            <w:pPr>
              <w:jc w:val="right"/>
              <w:rPr>
                <w:rFonts w:asciiTheme="minorHAnsi" w:hAnsiTheme="minorHAnsi" w:cstheme="minorHAnsi"/>
                <w:sz w:val="26"/>
                <w:szCs w:val="26"/>
              </w:rPr>
            </w:pPr>
            <w:r w:rsidRPr="007574BA">
              <w:rPr>
                <w:rFonts w:ascii="Calibri Light" w:hAnsi="Calibri Light" w:cs="Calibri Light"/>
                <w:sz w:val="22"/>
                <w:szCs w:val="22"/>
              </w:rPr>
              <w:t>19 556</w:t>
            </w:r>
          </w:p>
        </w:tc>
        <w:tc>
          <w:tcPr>
            <w:tcW w:w="2126" w:type="dxa"/>
            <w:tcBorders>
              <w:top w:val="nil"/>
              <w:left w:val="nil"/>
              <w:bottom w:val="single" w:sz="4" w:space="0" w:color="auto"/>
              <w:right w:val="single" w:sz="4" w:space="0" w:color="auto"/>
            </w:tcBorders>
            <w:shd w:val="clear" w:color="auto" w:fill="auto"/>
            <w:vAlign w:val="center"/>
            <w:hideMark/>
          </w:tcPr>
          <w:p w14:paraId="61E1E7F9" w14:textId="02123F18" w:rsidR="00BC25AF" w:rsidRPr="007574BA" w:rsidRDefault="00BC25AF" w:rsidP="00BC25AF">
            <w:pPr>
              <w:jc w:val="right"/>
              <w:rPr>
                <w:rFonts w:asciiTheme="minorHAnsi" w:hAnsiTheme="minorHAnsi" w:cstheme="minorHAnsi"/>
                <w:sz w:val="26"/>
                <w:szCs w:val="26"/>
              </w:rPr>
            </w:pPr>
            <w:r w:rsidRPr="007574BA">
              <w:rPr>
                <w:rFonts w:ascii="Calibri Light" w:hAnsi="Calibri Light" w:cs="Calibri Light"/>
                <w:sz w:val="22"/>
                <w:szCs w:val="22"/>
              </w:rPr>
              <w:t>48 350</w:t>
            </w:r>
          </w:p>
        </w:tc>
      </w:tr>
    </w:tbl>
    <w:p w14:paraId="13BFC78A" w14:textId="77777777" w:rsidR="00895FF8" w:rsidRPr="004A72CD" w:rsidRDefault="00895FF8" w:rsidP="00D51F5A">
      <w:pPr>
        <w:widowControl w:val="0"/>
        <w:spacing w:line="276" w:lineRule="auto"/>
        <w:ind w:firstLine="706"/>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O pondere importantă în „Titlul bunuri și servicii” o au chiriile pentru spaţiile necesare funcţionării în condiţii optime a Consiliului Superior al Magistraturii, care nu dispune până în prezent de un sediu propriu.</w:t>
      </w:r>
    </w:p>
    <w:p w14:paraId="3F56BCB8" w14:textId="66F59069" w:rsidR="00895FF8" w:rsidRPr="004A72CD" w:rsidRDefault="009D3C00" w:rsidP="00E933A9">
      <w:pPr>
        <w:spacing w:line="276" w:lineRule="auto"/>
        <w:jc w:val="both"/>
        <w:rPr>
          <w:rFonts w:asciiTheme="minorHAnsi" w:eastAsiaTheme="minorHAnsi" w:hAnsiTheme="minorHAnsi" w:cstheme="minorHAnsi"/>
          <w:sz w:val="26"/>
          <w:szCs w:val="26"/>
        </w:rPr>
      </w:pPr>
      <w:r w:rsidRPr="00313FEF">
        <w:rPr>
          <w:rFonts w:asciiTheme="minorHAnsi" w:hAnsiTheme="minorHAnsi" w:cstheme="minorHAnsi"/>
          <w:sz w:val="26"/>
          <w:szCs w:val="26"/>
          <w:lang w:eastAsia="ro-RO"/>
        </w:rPr>
        <w:drawing>
          <wp:inline distT="0" distB="0" distL="0" distR="0" wp14:anchorId="75B1F3FE" wp14:editId="3B2BE129">
            <wp:extent cx="6372225" cy="3629025"/>
            <wp:effectExtent l="0" t="0" r="9525" b="9525"/>
            <wp:docPr id="429285873" name="Chart 1">
              <a:extLst xmlns:a="http://schemas.openxmlformats.org/drawingml/2006/main">
                <a:ext uri="{FF2B5EF4-FFF2-40B4-BE49-F238E27FC236}">
                  <a16:creationId xmlns:a16="http://schemas.microsoft.com/office/drawing/2014/main"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81EDE77" w14:textId="50230044" w:rsidR="00895FF8" w:rsidRDefault="00895FF8" w:rsidP="00E933A9">
      <w:pPr>
        <w:spacing w:line="276" w:lineRule="auto"/>
        <w:ind w:left="7788" w:firstLine="708"/>
        <w:jc w:val="right"/>
        <w:rPr>
          <w:rFonts w:asciiTheme="minorHAnsi" w:eastAsiaTheme="minorHAnsi" w:hAnsiTheme="minorHAnsi" w:cstheme="minorHAnsi"/>
          <w:b/>
          <w:sz w:val="26"/>
          <w:szCs w:val="26"/>
        </w:rPr>
      </w:pPr>
      <w:r w:rsidRPr="004A72CD">
        <w:rPr>
          <w:rFonts w:asciiTheme="minorHAnsi" w:eastAsiaTheme="minorHAnsi" w:hAnsiTheme="minorHAnsi" w:cstheme="minorHAnsi"/>
          <w:b/>
          <w:sz w:val="26"/>
          <w:szCs w:val="26"/>
        </w:rPr>
        <w:t xml:space="preserve">     </w:t>
      </w:r>
      <w:r w:rsidR="00E933A9">
        <w:rPr>
          <w:rFonts w:asciiTheme="minorHAnsi" w:eastAsiaTheme="minorHAnsi" w:hAnsiTheme="minorHAnsi" w:cstheme="minorHAnsi"/>
          <w:b/>
          <w:sz w:val="26"/>
          <w:szCs w:val="26"/>
        </w:rPr>
        <w:t xml:space="preserve">       </w:t>
      </w:r>
      <w:r w:rsidRPr="004A72CD">
        <w:rPr>
          <w:rFonts w:asciiTheme="minorHAnsi" w:eastAsiaTheme="minorHAnsi" w:hAnsiTheme="minorHAnsi" w:cstheme="minorHAnsi"/>
          <w:b/>
          <w:sz w:val="26"/>
          <w:szCs w:val="26"/>
        </w:rPr>
        <w:t>mii lei</w:t>
      </w:r>
    </w:p>
    <w:tbl>
      <w:tblPr>
        <w:tblW w:w="9918" w:type="dxa"/>
        <w:jc w:val="center"/>
        <w:tblLook w:val="04A0" w:firstRow="1" w:lastRow="0" w:firstColumn="1" w:lastColumn="0" w:noHBand="0" w:noVBand="1"/>
      </w:tblPr>
      <w:tblGrid>
        <w:gridCol w:w="3380"/>
        <w:gridCol w:w="700"/>
        <w:gridCol w:w="1444"/>
        <w:gridCol w:w="1984"/>
        <w:gridCol w:w="2410"/>
      </w:tblGrid>
      <w:tr w:rsidR="00F313A6" w:rsidRPr="00313FEF" w14:paraId="773F00E5" w14:textId="77777777" w:rsidTr="00612067">
        <w:trPr>
          <w:trHeight w:val="300"/>
          <w:jc w:val="center"/>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CEFC9" w14:textId="77777777" w:rsidR="00F313A6" w:rsidRPr="00313FEF" w:rsidRDefault="00F313A6" w:rsidP="00612067">
            <w:pPr>
              <w:rPr>
                <w:rFonts w:asciiTheme="minorHAnsi" w:hAnsiTheme="minorHAnsi" w:cstheme="minorHAnsi"/>
                <w:color w:val="000000"/>
                <w:sz w:val="26"/>
                <w:szCs w:val="26"/>
              </w:rPr>
            </w:pPr>
            <w:r w:rsidRPr="00313FEF">
              <w:rPr>
                <w:rFonts w:asciiTheme="minorHAnsi" w:hAnsiTheme="minorHAnsi" w:cstheme="minorHAnsi"/>
                <w:color w:val="000000"/>
                <w:sz w:val="26"/>
                <w:szCs w:val="26"/>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7567CE41" w14:textId="77777777" w:rsidR="00F313A6" w:rsidRPr="00313FEF" w:rsidRDefault="00F313A6" w:rsidP="00612067">
            <w:pPr>
              <w:rPr>
                <w:rFonts w:asciiTheme="minorHAnsi" w:hAnsiTheme="minorHAnsi" w:cstheme="minorHAnsi"/>
                <w:color w:val="000000"/>
                <w:sz w:val="26"/>
                <w:szCs w:val="26"/>
              </w:rPr>
            </w:pPr>
            <w:r w:rsidRPr="00313FEF">
              <w:rPr>
                <w:rFonts w:asciiTheme="minorHAnsi" w:hAnsiTheme="minorHAnsi" w:cstheme="minorHAnsi"/>
                <w:color w:val="000000"/>
                <w:sz w:val="26"/>
                <w:szCs w:val="26"/>
              </w:rPr>
              <w:t> </w:t>
            </w:r>
          </w:p>
        </w:tc>
        <w:tc>
          <w:tcPr>
            <w:tcW w:w="1444" w:type="dxa"/>
            <w:tcBorders>
              <w:top w:val="single" w:sz="4" w:space="0" w:color="auto"/>
              <w:left w:val="nil"/>
              <w:bottom w:val="single" w:sz="4" w:space="0" w:color="auto"/>
              <w:right w:val="single" w:sz="4" w:space="0" w:color="auto"/>
            </w:tcBorders>
            <w:shd w:val="clear" w:color="auto" w:fill="auto"/>
            <w:noWrap/>
            <w:vAlign w:val="bottom"/>
            <w:hideMark/>
          </w:tcPr>
          <w:p w14:paraId="2A608475" w14:textId="77777777" w:rsidR="00F313A6" w:rsidRPr="00313FEF" w:rsidRDefault="00F313A6" w:rsidP="00612067">
            <w:pPr>
              <w:jc w:val="right"/>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2023</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53C64542" w14:textId="77777777" w:rsidR="00F313A6" w:rsidRPr="00313FEF" w:rsidRDefault="00F313A6" w:rsidP="00612067">
            <w:pPr>
              <w:jc w:val="right"/>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2024</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785BDD20" w14:textId="77777777" w:rsidR="00F313A6" w:rsidRPr="00313FEF" w:rsidRDefault="00F313A6" w:rsidP="00612067">
            <w:pPr>
              <w:jc w:val="right"/>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2025</w:t>
            </w:r>
          </w:p>
        </w:tc>
      </w:tr>
      <w:tr w:rsidR="00F313A6" w:rsidRPr="00313FEF" w14:paraId="3F83C224" w14:textId="77777777" w:rsidTr="00612067">
        <w:trPr>
          <w:trHeight w:val="300"/>
          <w:jc w:val="center"/>
        </w:trPr>
        <w:tc>
          <w:tcPr>
            <w:tcW w:w="33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123D2A" w14:textId="77777777" w:rsidR="00F313A6" w:rsidRPr="00313FEF" w:rsidRDefault="00F313A6" w:rsidP="00612067">
            <w:pPr>
              <w:jc w:val="center"/>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Total</w:t>
            </w:r>
          </w:p>
        </w:tc>
        <w:tc>
          <w:tcPr>
            <w:tcW w:w="700" w:type="dxa"/>
            <w:tcBorders>
              <w:top w:val="nil"/>
              <w:left w:val="nil"/>
              <w:bottom w:val="single" w:sz="4" w:space="0" w:color="auto"/>
              <w:right w:val="single" w:sz="4" w:space="0" w:color="auto"/>
            </w:tcBorders>
            <w:shd w:val="clear" w:color="auto" w:fill="auto"/>
            <w:noWrap/>
            <w:vAlign w:val="bottom"/>
            <w:hideMark/>
          </w:tcPr>
          <w:p w14:paraId="21C1445C" w14:textId="77777777" w:rsidR="00F313A6" w:rsidRPr="00313FEF" w:rsidRDefault="00F313A6" w:rsidP="00612067">
            <w:pPr>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CA</w:t>
            </w:r>
          </w:p>
        </w:tc>
        <w:tc>
          <w:tcPr>
            <w:tcW w:w="1444" w:type="dxa"/>
            <w:tcBorders>
              <w:top w:val="nil"/>
              <w:left w:val="nil"/>
              <w:bottom w:val="single" w:sz="4" w:space="0" w:color="auto"/>
              <w:right w:val="single" w:sz="4" w:space="0" w:color="auto"/>
            </w:tcBorders>
            <w:shd w:val="clear" w:color="auto" w:fill="auto"/>
            <w:noWrap/>
            <w:vAlign w:val="center"/>
            <w:hideMark/>
          </w:tcPr>
          <w:p w14:paraId="0E683792" w14:textId="77777777" w:rsidR="00F313A6" w:rsidRPr="00313FEF" w:rsidRDefault="00F313A6" w:rsidP="00612067">
            <w:pPr>
              <w:jc w:val="right"/>
              <w:rPr>
                <w:rFonts w:asciiTheme="minorHAnsi" w:hAnsiTheme="minorHAnsi" w:cstheme="minorHAnsi"/>
                <w:color w:val="000000"/>
                <w:sz w:val="26"/>
                <w:szCs w:val="26"/>
              </w:rPr>
            </w:pPr>
            <w:r w:rsidRPr="00313FEF">
              <w:rPr>
                <w:rFonts w:asciiTheme="minorHAnsi" w:hAnsiTheme="minorHAnsi" w:cstheme="minorHAnsi"/>
                <w:color w:val="000000"/>
                <w:sz w:val="26"/>
                <w:szCs w:val="26"/>
              </w:rPr>
              <w:t>218 178</w:t>
            </w:r>
          </w:p>
        </w:tc>
        <w:tc>
          <w:tcPr>
            <w:tcW w:w="1984" w:type="dxa"/>
            <w:tcBorders>
              <w:top w:val="nil"/>
              <w:left w:val="nil"/>
              <w:bottom w:val="single" w:sz="4" w:space="0" w:color="auto"/>
              <w:right w:val="single" w:sz="4" w:space="0" w:color="auto"/>
            </w:tcBorders>
            <w:shd w:val="clear" w:color="auto" w:fill="auto"/>
            <w:noWrap/>
            <w:vAlign w:val="center"/>
            <w:hideMark/>
          </w:tcPr>
          <w:p w14:paraId="4F288DB7" w14:textId="77777777" w:rsidR="00F313A6" w:rsidRPr="00313FEF" w:rsidRDefault="00F313A6" w:rsidP="00612067">
            <w:pPr>
              <w:jc w:val="right"/>
              <w:rPr>
                <w:rFonts w:asciiTheme="minorHAnsi" w:hAnsiTheme="minorHAnsi" w:cstheme="minorHAnsi"/>
                <w:color w:val="000000"/>
                <w:sz w:val="26"/>
                <w:szCs w:val="26"/>
              </w:rPr>
            </w:pPr>
            <w:r w:rsidRPr="00313FEF">
              <w:rPr>
                <w:rFonts w:asciiTheme="minorHAnsi" w:hAnsiTheme="minorHAnsi" w:cstheme="minorHAnsi"/>
                <w:color w:val="000000"/>
                <w:sz w:val="26"/>
                <w:szCs w:val="26"/>
              </w:rPr>
              <w:t>308 636</w:t>
            </w:r>
          </w:p>
        </w:tc>
        <w:tc>
          <w:tcPr>
            <w:tcW w:w="2410" w:type="dxa"/>
            <w:tcBorders>
              <w:top w:val="nil"/>
              <w:left w:val="nil"/>
              <w:bottom w:val="single" w:sz="4" w:space="0" w:color="auto"/>
              <w:right w:val="single" w:sz="4" w:space="0" w:color="auto"/>
            </w:tcBorders>
            <w:shd w:val="clear" w:color="auto" w:fill="auto"/>
            <w:noWrap/>
            <w:vAlign w:val="center"/>
            <w:hideMark/>
          </w:tcPr>
          <w:p w14:paraId="61D18FBA" w14:textId="77777777" w:rsidR="00F313A6" w:rsidRPr="00313FEF" w:rsidRDefault="00F313A6" w:rsidP="00612067">
            <w:pPr>
              <w:jc w:val="right"/>
              <w:rPr>
                <w:rFonts w:asciiTheme="minorHAnsi" w:hAnsiTheme="minorHAnsi" w:cstheme="minorHAnsi"/>
                <w:color w:val="000000"/>
                <w:sz w:val="26"/>
                <w:szCs w:val="26"/>
              </w:rPr>
            </w:pPr>
            <w:r w:rsidRPr="00313FEF">
              <w:rPr>
                <w:rFonts w:asciiTheme="minorHAnsi" w:hAnsiTheme="minorHAnsi" w:cstheme="minorHAnsi"/>
                <w:color w:val="000000"/>
                <w:sz w:val="26"/>
                <w:szCs w:val="26"/>
              </w:rPr>
              <w:t>450 093</w:t>
            </w:r>
          </w:p>
        </w:tc>
      </w:tr>
      <w:tr w:rsidR="00F313A6" w:rsidRPr="00313FEF" w14:paraId="07D2DB4C" w14:textId="77777777" w:rsidTr="00612067">
        <w:trPr>
          <w:trHeight w:val="300"/>
          <w:jc w:val="center"/>
        </w:trPr>
        <w:tc>
          <w:tcPr>
            <w:tcW w:w="3380" w:type="dxa"/>
            <w:vMerge/>
            <w:tcBorders>
              <w:top w:val="nil"/>
              <w:left w:val="single" w:sz="4" w:space="0" w:color="auto"/>
              <w:bottom w:val="single" w:sz="4" w:space="0" w:color="000000"/>
              <w:right w:val="single" w:sz="4" w:space="0" w:color="auto"/>
            </w:tcBorders>
            <w:vAlign w:val="center"/>
            <w:hideMark/>
          </w:tcPr>
          <w:p w14:paraId="3CBBA450" w14:textId="77777777" w:rsidR="00F313A6" w:rsidRPr="00313FEF" w:rsidRDefault="00F313A6" w:rsidP="00612067">
            <w:pPr>
              <w:rPr>
                <w:rFonts w:asciiTheme="minorHAnsi" w:hAnsiTheme="minorHAnsi" w:cstheme="minorHAnsi"/>
                <w:b/>
                <w:bCs/>
                <w:color w:val="000000"/>
                <w:sz w:val="26"/>
                <w:szCs w:val="26"/>
              </w:rPr>
            </w:pPr>
          </w:p>
        </w:tc>
        <w:tc>
          <w:tcPr>
            <w:tcW w:w="700" w:type="dxa"/>
            <w:tcBorders>
              <w:top w:val="nil"/>
              <w:left w:val="nil"/>
              <w:bottom w:val="single" w:sz="4" w:space="0" w:color="auto"/>
              <w:right w:val="single" w:sz="4" w:space="0" w:color="auto"/>
            </w:tcBorders>
            <w:shd w:val="clear" w:color="auto" w:fill="auto"/>
            <w:noWrap/>
            <w:vAlign w:val="bottom"/>
            <w:hideMark/>
          </w:tcPr>
          <w:p w14:paraId="059B649D" w14:textId="77777777" w:rsidR="00F313A6" w:rsidRPr="00313FEF" w:rsidRDefault="00F313A6" w:rsidP="00612067">
            <w:pPr>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CB</w:t>
            </w:r>
          </w:p>
        </w:tc>
        <w:tc>
          <w:tcPr>
            <w:tcW w:w="1444" w:type="dxa"/>
            <w:tcBorders>
              <w:top w:val="nil"/>
              <w:left w:val="nil"/>
              <w:bottom w:val="single" w:sz="4" w:space="0" w:color="auto"/>
              <w:right w:val="single" w:sz="4" w:space="0" w:color="auto"/>
            </w:tcBorders>
            <w:shd w:val="clear" w:color="auto" w:fill="auto"/>
            <w:noWrap/>
            <w:vAlign w:val="center"/>
            <w:hideMark/>
          </w:tcPr>
          <w:p w14:paraId="356F7C74" w14:textId="77777777" w:rsidR="00F313A6" w:rsidRPr="00313FEF" w:rsidRDefault="00F313A6" w:rsidP="00612067">
            <w:pPr>
              <w:jc w:val="right"/>
              <w:rPr>
                <w:rFonts w:asciiTheme="minorHAnsi" w:hAnsiTheme="minorHAnsi" w:cstheme="minorHAnsi"/>
                <w:color w:val="000000"/>
                <w:sz w:val="26"/>
                <w:szCs w:val="26"/>
              </w:rPr>
            </w:pPr>
            <w:r w:rsidRPr="00313FEF">
              <w:rPr>
                <w:rFonts w:asciiTheme="minorHAnsi" w:hAnsiTheme="minorHAnsi" w:cstheme="minorHAnsi"/>
                <w:color w:val="000000"/>
                <w:sz w:val="26"/>
                <w:szCs w:val="26"/>
              </w:rPr>
              <w:t>182 774</w:t>
            </w:r>
          </w:p>
        </w:tc>
        <w:tc>
          <w:tcPr>
            <w:tcW w:w="1984" w:type="dxa"/>
            <w:tcBorders>
              <w:top w:val="nil"/>
              <w:left w:val="nil"/>
              <w:bottom w:val="single" w:sz="4" w:space="0" w:color="auto"/>
              <w:right w:val="single" w:sz="4" w:space="0" w:color="auto"/>
            </w:tcBorders>
            <w:shd w:val="clear" w:color="auto" w:fill="auto"/>
            <w:noWrap/>
            <w:vAlign w:val="center"/>
            <w:hideMark/>
          </w:tcPr>
          <w:p w14:paraId="1106486F" w14:textId="77777777" w:rsidR="00F313A6" w:rsidRPr="00313FEF" w:rsidRDefault="00F313A6" w:rsidP="00612067">
            <w:pPr>
              <w:jc w:val="right"/>
              <w:rPr>
                <w:rFonts w:asciiTheme="minorHAnsi" w:hAnsiTheme="minorHAnsi" w:cstheme="minorHAnsi"/>
                <w:color w:val="000000"/>
                <w:sz w:val="26"/>
                <w:szCs w:val="26"/>
              </w:rPr>
            </w:pPr>
            <w:r w:rsidRPr="00313FEF">
              <w:rPr>
                <w:rFonts w:asciiTheme="minorHAnsi" w:hAnsiTheme="minorHAnsi" w:cstheme="minorHAnsi"/>
                <w:color w:val="000000"/>
                <w:sz w:val="26"/>
                <w:szCs w:val="26"/>
              </w:rPr>
              <w:t>306 828</w:t>
            </w:r>
          </w:p>
        </w:tc>
        <w:tc>
          <w:tcPr>
            <w:tcW w:w="2410" w:type="dxa"/>
            <w:tcBorders>
              <w:top w:val="nil"/>
              <w:left w:val="nil"/>
              <w:bottom w:val="single" w:sz="4" w:space="0" w:color="auto"/>
              <w:right w:val="single" w:sz="4" w:space="0" w:color="auto"/>
            </w:tcBorders>
            <w:shd w:val="clear" w:color="auto" w:fill="auto"/>
            <w:noWrap/>
            <w:vAlign w:val="center"/>
            <w:hideMark/>
          </w:tcPr>
          <w:p w14:paraId="39157915" w14:textId="77777777" w:rsidR="00F313A6" w:rsidRPr="00313FEF" w:rsidRDefault="00F313A6" w:rsidP="00612067">
            <w:pPr>
              <w:jc w:val="right"/>
              <w:rPr>
                <w:rFonts w:asciiTheme="minorHAnsi" w:hAnsiTheme="minorHAnsi" w:cstheme="minorHAnsi"/>
                <w:color w:val="000000"/>
                <w:sz w:val="26"/>
                <w:szCs w:val="26"/>
              </w:rPr>
            </w:pPr>
            <w:r w:rsidRPr="00313FEF">
              <w:rPr>
                <w:rFonts w:asciiTheme="minorHAnsi" w:hAnsiTheme="minorHAnsi" w:cstheme="minorHAnsi"/>
                <w:color w:val="000000"/>
                <w:sz w:val="26"/>
                <w:szCs w:val="26"/>
              </w:rPr>
              <w:t>443 862</w:t>
            </w:r>
          </w:p>
        </w:tc>
      </w:tr>
      <w:tr w:rsidR="00F313A6" w:rsidRPr="00313FEF" w14:paraId="6D2A3410" w14:textId="77777777" w:rsidTr="00612067">
        <w:trPr>
          <w:trHeight w:val="765"/>
          <w:jc w:val="center"/>
        </w:trPr>
        <w:tc>
          <w:tcPr>
            <w:tcW w:w="3380" w:type="dxa"/>
            <w:tcBorders>
              <w:top w:val="nil"/>
              <w:left w:val="single" w:sz="4" w:space="0" w:color="auto"/>
              <w:bottom w:val="single" w:sz="4" w:space="0" w:color="auto"/>
              <w:right w:val="single" w:sz="4" w:space="0" w:color="auto"/>
            </w:tcBorders>
            <w:shd w:val="clear" w:color="auto" w:fill="auto"/>
            <w:vAlign w:val="center"/>
            <w:hideMark/>
          </w:tcPr>
          <w:p w14:paraId="3F339CB8" w14:textId="77777777" w:rsidR="00F313A6" w:rsidRPr="00313FEF" w:rsidRDefault="00F313A6" w:rsidP="00612067">
            <w:pPr>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Proiecte cu finanțare din FEN aferente cadrului financiar 2014-2020</w:t>
            </w:r>
          </w:p>
        </w:tc>
        <w:tc>
          <w:tcPr>
            <w:tcW w:w="700" w:type="dxa"/>
            <w:tcBorders>
              <w:top w:val="nil"/>
              <w:left w:val="nil"/>
              <w:bottom w:val="single" w:sz="4" w:space="0" w:color="auto"/>
              <w:right w:val="single" w:sz="4" w:space="0" w:color="auto"/>
            </w:tcBorders>
            <w:shd w:val="clear" w:color="auto" w:fill="auto"/>
            <w:noWrap/>
            <w:vAlign w:val="bottom"/>
            <w:hideMark/>
          </w:tcPr>
          <w:p w14:paraId="3A101BD5" w14:textId="77777777" w:rsidR="00F313A6" w:rsidRPr="00313FEF" w:rsidRDefault="00F313A6" w:rsidP="00612067">
            <w:pPr>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CA</w:t>
            </w:r>
          </w:p>
        </w:tc>
        <w:tc>
          <w:tcPr>
            <w:tcW w:w="1444" w:type="dxa"/>
            <w:tcBorders>
              <w:top w:val="nil"/>
              <w:left w:val="nil"/>
              <w:bottom w:val="single" w:sz="4" w:space="0" w:color="auto"/>
              <w:right w:val="single" w:sz="4" w:space="0" w:color="auto"/>
            </w:tcBorders>
            <w:shd w:val="clear" w:color="auto" w:fill="auto"/>
            <w:vAlign w:val="center"/>
            <w:hideMark/>
          </w:tcPr>
          <w:p w14:paraId="17087DD1" w14:textId="77777777" w:rsidR="00F313A6" w:rsidRPr="00313FEF" w:rsidRDefault="00F313A6" w:rsidP="00612067">
            <w:pPr>
              <w:jc w:val="right"/>
              <w:rPr>
                <w:rFonts w:asciiTheme="minorHAnsi" w:hAnsiTheme="minorHAnsi" w:cstheme="minorHAnsi"/>
                <w:color w:val="000000"/>
                <w:sz w:val="26"/>
                <w:szCs w:val="26"/>
              </w:rPr>
            </w:pPr>
            <w:r w:rsidRPr="00313FEF">
              <w:rPr>
                <w:rFonts w:asciiTheme="minorHAnsi" w:hAnsiTheme="minorHAnsi" w:cstheme="minorHAnsi"/>
                <w:color w:val="000000"/>
                <w:sz w:val="26"/>
                <w:szCs w:val="26"/>
              </w:rPr>
              <w:t>43 260</w:t>
            </w:r>
          </w:p>
        </w:tc>
        <w:tc>
          <w:tcPr>
            <w:tcW w:w="1984" w:type="dxa"/>
            <w:tcBorders>
              <w:top w:val="nil"/>
              <w:left w:val="nil"/>
              <w:bottom w:val="single" w:sz="4" w:space="0" w:color="auto"/>
              <w:right w:val="single" w:sz="4" w:space="0" w:color="auto"/>
            </w:tcBorders>
            <w:shd w:val="clear" w:color="auto" w:fill="auto"/>
            <w:vAlign w:val="center"/>
            <w:hideMark/>
          </w:tcPr>
          <w:p w14:paraId="3BCF80AF" w14:textId="77777777" w:rsidR="00F313A6" w:rsidRPr="00313FEF" w:rsidRDefault="00F313A6" w:rsidP="00612067">
            <w:pPr>
              <w:jc w:val="right"/>
              <w:rPr>
                <w:rFonts w:asciiTheme="minorHAnsi" w:hAnsiTheme="minorHAnsi" w:cstheme="minorHAnsi"/>
                <w:color w:val="000000"/>
                <w:sz w:val="26"/>
                <w:szCs w:val="26"/>
              </w:rPr>
            </w:pPr>
            <w:r w:rsidRPr="00313FEF">
              <w:rPr>
                <w:rFonts w:asciiTheme="minorHAnsi" w:hAnsiTheme="minorHAnsi" w:cstheme="minorHAnsi"/>
                <w:color w:val="000000"/>
                <w:sz w:val="26"/>
                <w:szCs w:val="26"/>
              </w:rPr>
              <w:t>3 330</w:t>
            </w:r>
          </w:p>
        </w:tc>
        <w:tc>
          <w:tcPr>
            <w:tcW w:w="2410" w:type="dxa"/>
            <w:tcBorders>
              <w:top w:val="nil"/>
              <w:left w:val="nil"/>
              <w:bottom w:val="single" w:sz="4" w:space="0" w:color="auto"/>
              <w:right w:val="single" w:sz="4" w:space="0" w:color="auto"/>
            </w:tcBorders>
            <w:shd w:val="clear" w:color="auto" w:fill="auto"/>
            <w:vAlign w:val="center"/>
            <w:hideMark/>
          </w:tcPr>
          <w:p w14:paraId="22889789" w14:textId="77777777" w:rsidR="00F313A6" w:rsidRPr="00313FEF" w:rsidRDefault="00F313A6" w:rsidP="00612067">
            <w:pPr>
              <w:jc w:val="right"/>
              <w:rPr>
                <w:rFonts w:asciiTheme="minorHAnsi" w:hAnsiTheme="minorHAnsi" w:cstheme="minorHAnsi"/>
                <w:color w:val="000000"/>
                <w:sz w:val="26"/>
                <w:szCs w:val="26"/>
              </w:rPr>
            </w:pPr>
            <w:r w:rsidRPr="00313FEF">
              <w:rPr>
                <w:rFonts w:asciiTheme="minorHAnsi" w:hAnsiTheme="minorHAnsi" w:cstheme="minorHAnsi"/>
                <w:color w:val="000000"/>
                <w:sz w:val="26"/>
                <w:szCs w:val="26"/>
              </w:rPr>
              <w:t>305</w:t>
            </w:r>
          </w:p>
        </w:tc>
      </w:tr>
      <w:tr w:rsidR="00F313A6" w:rsidRPr="00313FEF" w14:paraId="240021E0" w14:textId="77777777" w:rsidTr="00612067">
        <w:trPr>
          <w:trHeight w:val="465"/>
          <w:jc w:val="center"/>
        </w:trPr>
        <w:tc>
          <w:tcPr>
            <w:tcW w:w="3380" w:type="dxa"/>
            <w:tcBorders>
              <w:top w:val="nil"/>
              <w:left w:val="single" w:sz="4" w:space="0" w:color="auto"/>
              <w:bottom w:val="single" w:sz="4" w:space="0" w:color="auto"/>
              <w:right w:val="single" w:sz="4" w:space="0" w:color="auto"/>
            </w:tcBorders>
            <w:shd w:val="clear" w:color="auto" w:fill="auto"/>
            <w:vAlign w:val="center"/>
            <w:hideMark/>
          </w:tcPr>
          <w:p w14:paraId="071C4D17" w14:textId="77777777" w:rsidR="00F313A6" w:rsidRPr="00313FEF" w:rsidRDefault="00F313A6" w:rsidP="00612067">
            <w:pPr>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 </w:t>
            </w:r>
          </w:p>
        </w:tc>
        <w:tc>
          <w:tcPr>
            <w:tcW w:w="700" w:type="dxa"/>
            <w:tcBorders>
              <w:top w:val="nil"/>
              <w:left w:val="nil"/>
              <w:bottom w:val="single" w:sz="4" w:space="0" w:color="auto"/>
              <w:right w:val="single" w:sz="4" w:space="0" w:color="auto"/>
            </w:tcBorders>
            <w:shd w:val="clear" w:color="auto" w:fill="auto"/>
            <w:noWrap/>
            <w:vAlign w:val="bottom"/>
            <w:hideMark/>
          </w:tcPr>
          <w:p w14:paraId="63C627D2" w14:textId="77777777" w:rsidR="00F313A6" w:rsidRPr="00313FEF" w:rsidRDefault="00F313A6" w:rsidP="00612067">
            <w:pPr>
              <w:rPr>
                <w:rFonts w:asciiTheme="minorHAnsi" w:hAnsiTheme="minorHAnsi" w:cstheme="minorHAnsi"/>
                <w:b/>
                <w:bCs/>
                <w:color w:val="000000"/>
                <w:sz w:val="26"/>
                <w:szCs w:val="26"/>
              </w:rPr>
            </w:pPr>
            <w:r w:rsidRPr="00313FEF">
              <w:rPr>
                <w:rFonts w:asciiTheme="minorHAnsi" w:hAnsiTheme="minorHAnsi" w:cstheme="minorHAnsi"/>
                <w:b/>
                <w:bCs/>
                <w:color w:val="000000"/>
                <w:sz w:val="26"/>
                <w:szCs w:val="26"/>
              </w:rPr>
              <w:t>CB</w:t>
            </w:r>
          </w:p>
        </w:tc>
        <w:tc>
          <w:tcPr>
            <w:tcW w:w="1444" w:type="dxa"/>
            <w:tcBorders>
              <w:top w:val="nil"/>
              <w:left w:val="nil"/>
              <w:bottom w:val="single" w:sz="4" w:space="0" w:color="auto"/>
              <w:right w:val="single" w:sz="4" w:space="0" w:color="auto"/>
            </w:tcBorders>
            <w:shd w:val="clear" w:color="auto" w:fill="auto"/>
            <w:vAlign w:val="center"/>
            <w:hideMark/>
          </w:tcPr>
          <w:p w14:paraId="43F29388" w14:textId="77777777" w:rsidR="00F313A6" w:rsidRPr="00313FEF" w:rsidRDefault="00F313A6" w:rsidP="00612067">
            <w:pPr>
              <w:jc w:val="right"/>
              <w:rPr>
                <w:rFonts w:asciiTheme="minorHAnsi" w:hAnsiTheme="minorHAnsi" w:cstheme="minorHAnsi"/>
                <w:color w:val="000000"/>
                <w:sz w:val="26"/>
                <w:szCs w:val="26"/>
              </w:rPr>
            </w:pPr>
            <w:r w:rsidRPr="00313FEF">
              <w:rPr>
                <w:rFonts w:asciiTheme="minorHAnsi" w:hAnsiTheme="minorHAnsi" w:cstheme="minorHAnsi"/>
                <w:color w:val="000000"/>
                <w:sz w:val="26"/>
                <w:szCs w:val="26"/>
              </w:rPr>
              <w:t>66 883</w:t>
            </w:r>
          </w:p>
        </w:tc>
        <w:tc>
          <w:tcPr>
            <w:tcW w:w="1984" w:type="dxa"/>
            <w:tcBorders>
              <w:top w:val="nil"/>
              <w:left w:val="nil"/>
              <w:bottom w:val="single" w:sz="4" w:space="0" w:color="auto"/>
              <w:right w:val="single" w:sz="4" w:space="0" w:color="auto"/>
            </w:tcBorders>
            <w:shd w:val="clear" w:color="auto" w:fill="auto"/>
            <w:vAlign w:val="center"/>
            <w:hideMark/>
          </w:tcPr>
          <w:p w14:paraId="4C12A5FE" w14:textId="77777777" w:rsidR="00F313A6" w:rsidRPr="00313FEF" w:rsidRDefault="00F313A6" w:rsidP="00612067">
            <w:pPr>
              <w:jc w:val="right"/>
              <w:rPr>
                <w:rFonts w:asciiTheme="minorHAnsi" w:hAnsiTheme="minorHAnsi" w:cstheme="minorHAnsi"/>
                <w:color w:val="000000"/>
                <w:sz w:val="26"/>
                <w:szCs w:val="26"/>
              </w:rPr>
            </w:pPr>
            <w:r w:rsidRPr="00313FEF">
              <w:rPr>
                <w:rFonts w:asciiTheme="minorHAnsi" w:hAnsiTheme="minorHAnsi" w:cstheme="minorHAnsi"/>
                <w:color w:val="000000"/>
                <w:sz w:val="26"/>
                <w:szCs w:val="26"/>
              </w:rPr>
              <w:t>3 330</w:t>
            </w:r>
          </w:p>
        </w:tc>
        <w:tc>
          <w:tcPr>
            <w:tcW w:w="2410" w:type="dxa"/>
            <w:tcBorders>
              <w:top w:val="nil"/>
              <w:left w:val="nil"/>
              <w:bottom w:val="single" w:sz="4" w:space="0" w:color="auto"/>
              <w:right w:val="single" w:sz="4" w:space="0" w:color="auto"/>
            </w:tcBorders>
            <w:shd w:val="clear" w:color="auto" w:fill="auto"/>
            <w:vAlign w:val="center"/>
            <w:hideMark/>
          </w:tcPr>
          <w:p w14:paraId="0276D619" w14:textId="77777777" w:rsidR="00F313A6" w:rsidRPr="00313FEF" w:rsidRDefault="00F313A6" w:rsidP="00612067">
            <w:pPr>
              <w:jc w:val="right"/>
              <w:rPr>
                <w:rFonts w:asciiTheme="minorHAnsi" w:hAnsiTheme="minorHAnsi" w:cstheme="minorHAnsi"/>
                <w:color w:val="000000"/>
                <w:sz w:val="26"/>
                <w:szCs w:val="26"/>
              </w:rPr>
            </w:pPr>
            <w:r w:rsidRPr="00313FEF">
              <w:rPr>
                <w:rFonts w:asciiTheme="minorHAnsi" w:hAnsiTheme="minorHAnsi" w:cstheme="minorHAnsi"/>
                <w:color w:val="000000"/>
                <w:sz w:val="26"/>
                <w:szCs w:val="26"/>
              </w:rPr>
              <w:t>305</w:t>
            </w:r>
          </w:p>
        </w:tc>
      </w:tr>
    </w:tbl>
    <w:p w14:paraId="7B0702B4" w14:textId="77777777" w:rsidR="00895FF8" w:rsidRPr="004A72CD" w:rsidRDefault="00895FF8" w:rsidP="00D51F5A">
      <w:pPr>
        <w:spacing w:line="276" w:lineRule="auto"/>
        <w:ind w:firstLine="708"/>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Pentru derularea proiectelor care sunt implementate atât de către Consiliul Superior al Magistraturii, cât și de către ordonatorii de credite aflați în coordonarea acestuia, s-au aprobat fonduri reprezentând cofinanţarea naţională, finanţare externă nerambursabilă şi cheltuielile neeligibile necesare, aferente Mecanismului Financiar Norvegian şi proiectelor ce sunt realizate în parteneriat. În anul 2023 au fost finalizate proiectele aferente Programului Operațional Capacitate Administrativă 2014 – 2020, ceea ce a dus la diminuarea acestei categorii de cheltuieli în anul 2024.</w:t>
      </w:r>
    </w:p>
    <w:p w14:paraId="56FFB3D1" w14:textId="77777777" w:rsidR="00895FF8" w:rsidRPr="004A72CD" w:rsidRDefault="00895FF8" w:rsidP="00D51F5A">
      <w:pPr>
        <w:spacing w:line="276" w:lineRule="auto"/>
        <w:rPr>
          <w:rFonts w:asciiTheme="minorHAnsi" w:eastAsiaTheme="minorHAnsi" w:hAnsiTheme="minorHAnsi" w:cstheme="minorHAnsi"/>
          <w:sz w:val="26"/>
          <w:szCs w:val="26"/>
        </w:rPr>
      </w:pPr>
    </w:p>
    <w:p w14:paraId="2AA23FA7" w14:textId="7D687DDB" w:rsidR="00895FF8" w:rsidRPr="00CD3492" w:rsidRDefault="00895FF8" w:rsidP="00F313A6">
      <w:pPr>
        <w:pStyle w:val="Heading2"/>
        <w:rPr>
          <w:rFonts w:eastAsiaTheme="minorHAnsi"/>
          <w:lang w:val="pt-PT"/>
        </w:rPr>
      </w:pPr>
      <w:r w:rsidRPr="00CD3492">
        <w:rPr>
          <w:rFonts w:eastAsiaTheme="minorHAnsi"/>
          <w:lang w:val="ro-RO"/>
        </w:rPr>
        <w:lastRenderedPageBreak/>
        <w:t xml:space="preserve"> </w:t>
      </w:r>
      <w:bookmarkStart w:id="122" w:name="_Toc462750071"/>
      <w:bookmarkStart w:id="123" w:name="_Toc187824386"/>
      <w:r w:rsidRPr="00CD3492">
        <w:rPr>
          <w:rFonts w:eastAsiaTheme="minorHAnsi"/>
          <w:lang w:val="pt-PT"/>
        </w:rPr>
        <w:t>V.3. Ponderea bugetelor Institutului Naţional al Magistraturii, Şcolii Naţionale de Grefieri şi Consiliului Superior al Magistraturii – aparatul propriu în bugetul total al Consiliului Superior al Magistraturii</w:t>
      </w:r>
      <w:bookmarkEnd w:id="122"/>
      <w:bookmarkEnd w:id="123"/>
    </w:p>
    <w:p w14:paraId="2D70C4A2" w14:textId="77777777" w:rsidR="00895FF8" w:rsidRPr="004A72CD" w:rsidRDefault="00895FF8">
      <w:pPr>
        <w:numPr>
          <w:ilvl w:val="0"/>
          <w:numId w:val="9"/>
        </w:numPr>
        <w:spacing w:after="160" w:line="276" w:lineRule="auto"/>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gs Buget C.S.M.ap.pr.2021 CA, CB = </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C.S.M.ap. pr. 2021 </m:t>
            </m:r>
          </m:num>
          <m:den>
            <m:r>
              <w:rPr>
                <w:rFonts w:ascii="Cambria Math" w:hAnsi="Cambria Math" w:cstheme="minorHAnsi"/>
                <w:sz w:val="26"/>
                <w:szCs w:val="26"/>
              </w:rPr>
              <m:t>Buget total 2021</m:t>
            </m:r>
          </m:den>
        </m:f>
        <m:r>
          <w:rPr>
            <w:rFonts w:ascii="Cambria Math" w:hAnsi="Cambria Math" w:cstheme="minorHAnsi"/>
            <w:sz w:val="26"/>
            <w:szCs w:val="26"/>
          </w:rPr>
          <m:t>x 100</m:t>
        </m:r>
      </m:oMath>
      <w:r w:rsidRPr="004A72CD">
        <w:rPr>
          <w:rFonts w:asciiTheme="minorHAnsi" w:hAnsiTheme="minorHAnsi" w:cstheme="minorHAnsi"/>
          <w:sz w:val="26"/>
          <w:szCs w:val="26"/>
        </w:rPr>
        <w:t xml:space="preserve"> </w:t>
      </w:r>
    </w:p>
    <w:p w14:paraId="5A3441F5" w14:textId="77777777" w:rsidR="00895FF8" w:rsidRPr="004A72CD" w:rsidRDefault="00895FF8" w:rsidP="00D51F5A">
      <w:pPr>
        <w:spacing w:line="276" w:lineRule="auto"/>
        <w:ind w:left="720"/>
        <w:contextualSpacing/>
        <w:jc w:val="both"/>
        <w:rPr>
          <w:rFonts w:asciiTheme="minorHAnsi" w:hAnsiTheme="minorHAnsi" w:cstheme="minorHAnsi"/>
          <w:sz w:val="26"/>
          <w:szCs w:val="26"/>
        </w:rPr>
      </w:pPr>
    </w:p>
    <w:p w14:paraId="21D33C4E" w14:textId="77777777" w:rsidR="00895FF8" w:rsidRPr="004A72CD" w:rsidRDefault="00895FF8">
      <w:pPr>
        <w:numPr>
          <w:ilvl w:val="0"/>
          <w:numId w:val="9"/>
        </w:numPr>
        <w:spacing w:after="160" w:line="276" w:lineRule="auto"/>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gs Buget I.N.M.2021 CA, CB = </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I.N.M. 2021 </m:t>
            </m:r>
          </m:num>
          <m:den>
            <m:r>
              <w:rPr>
                <w:rFonts w:ascii="Cambria Math" w:hAnsi="Cambria Math" w:cstheme="minorHAnsi"/>
                <w:sz w:val="26"/>
                <w:szCs w:val="26"/>
              </w:rPr>
              <m:t>Buget total 2021</m:t>
            </m:r>
          </m:den>
        </m:f>
        <m:r>
          <w:rPr>
            <w:rFonts w:ascii="Cambria Math" w:hAnsi="Cambria Math" w:cstheme="minorHAnsi"/>
            <w:sz w:val="26"/>
            <w:szCs w:val="26"/>
          </w:rPr>
          <m:t>x 100</m:t>
        </m:r>
      </m:oMath>
      <w:r w:rsidRPr="004A72CD">
        <w:rPr>
          <w:rFonts w:asciiTheme="minorHAnsi" w:hAnsiTheme="minorHAnsi" w:cstheme="minorHAnsi"/>
          <w:sz w:val="26"/>
          <w:szCs w:val="26"/>
        </w:rPr>
        <w:t xml:space="preserve"> </w:t>
      </w:r>
    </w:p>
    <w:p w14:paraId="3FBD502E" w14:textId="77777777" w:rsidR="00895FF8" w:rsidRPr="004A72CD" w:rsidRDefault="00895FF8" w:rsidP="00D51F5A">
      <w:pPr>
        <w:spacing w:line="276" w:lineRule="auto"/>
        <w:ind w:left="720"/>
        <w:contextualSpacing/>
        <w:jc w:val="both"/>
        <w:rPr>
          <w:rFonts w:asciiTheme="minorHAnsi" w:hAnsiTheme="minorHAnsi" w:cstheme="minorHAnsi"/>
          <w:sz w:val="26"/>
          <w:szCs w:val="26"/>
        </w:rPr>
      </w:pPr>
    </w:p>
    <w:p w14:paraId="5CB9D85D" w14:textId="77777777" w:rsidR="00895FF8" w:rsidRPr="004A72CD" w:rsidRDefault="00895FF8">
      <w:pPr>
        <w:numPr>
          <w:ilvl w:val="0"/>
          <w:numId w:val="9"/>
        </w:numPr>
        <w:spacing w:after="160" w:line="276" w:lineRule="auto"/>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gs Buget S.N.G.2021 CA, CB = </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S.N.G.2021 </m:t>
            </m:r>
          </m:num>
          <m:den>
            <m:r>
              <w:rPr>
                <w:rFonts w:ascii="Cambria Math" w:hAnsi="Cambria Math" w:cstheme="minorHAnsi"/>
                <w:sz w:val="26"/>
                <w:szCs w:val="26"/>
              </w:rPr>
              <m:t>Buget total 2021</m:t>
            </m:r>
          </m:den>
        </m:f>
        <m:r>
          <w:rPr>
            <w:rFonts w:ascii="Cambria Math" w:hAnsi="Cambria Math" w:cstheme="minorHAnsi"/>
            <w:sz w:val="26"/>
            <w:szCs w:val="26"/>
          </w:rPr>
          <m:t>x 100</m:t>
        </m:r>
      </m:oMath>
      <w:r w:rsidRPr="004A72CD">
        <w:rPr>
          <w:rFonts w:asciiTheme="minorHAnsi" w:hAnsiTheme="minorHAnsi" w:cstheme="minorHAnsi"/>
          <w:sz w:val="26"/>
          <w:szCs w:val="26"/>
        </w:rPr>
        <w:t xml:space="preserve"> </w:t>
      </w:r>
    </w:p>
    <w:p w14:paraId="60AE57F3" w14:textId="77777777" w:rsidR="00895FF8" w:rsidRPr="004A72CD" w:rsidRDefault="00895FF8" w:rsidP="00D51F5A">
      <w:pPr>
        <w:spacing w:line="276" w:lineRule="auto"/>
        <w:ind w:left="720"/>
        <w:contextualSpacing/>
        <w:rPr>
          <w:rFonts w:asciiTheme="minorHAnsi" w:hAnsiTheme="minorHAnsi" w:cstheme="minorHAnsi"/>
          <w:sz w:val="26"/>
          <w:szCs w:val="26"/>
        </w:rPr>
      </w:pPr>
    </w:p>
    <w:p w14:paraId="1B710243" w14:textId="77777777" w:rsidR="00895FF8" w:rsidRPr="004A72CD" w:rsidRDefault="00895FF8">
      <w:pPr>
        <w:numPr>
          <w:ilvl w:val="0"/>
          <w:numId w:val="9"/>
        </w:numPr>
        <w:spacing w:after="160" w:line="276" w:lineRule="auto"/>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gs Buget C.S.M.ap.pr.2022 CA, CB = </w:t>
      </w:r>
      <m:oMath>
        <m:f>
          <m:fPr>
            <m:ctrlPr>
              <w:rPr>
                <w:rFonts w:ascii="Cambria Math" w:hAnsi="Cambria Math" w:cstheme="minorHAnsi"/>
                <w:sz w:val="26"/>
                <w:szCs w:val="26"/>
              </w:rPr>
            </m:ctrlPr>
          </m:fPr>
          <m:num>
            <m:r>
              <m:rPr>
                <m:sty m:val="p"/>
              </m:rPr>
              <w:rPr>
                <w:rFonts w:ascii="Cambria Math" w:hAnsi="Cambria Math" w:cstheme="minorHAnsi"/>
                <w:sz w:val="26"/>
                <w:szCs w:val="26"/>
              </w:rPr>
              <m:t>Buget C.S.M.ap. pr. 2022</m:t>
            </m:r>
          </m:num>
          <m:den>
            <m:r>
              <w:rPr>
                <w:rFonts w:ascii="Cambria Math" w:hAnsi="Cambria Math" w:cstheme="minorHAnsi"/>
                <w:sz w:val="26"/>
                <w:szCs w:val="26"/>
              </w:rPr>
              <m:t>Buget total 2022</m:t>
            </m:r>
          </m:den>
        </m:f>
        <m:r>
          <w:rPr>
            <w:rFonts w:ascii="Cambria Math" w:hAnsi="Cambria Math" w:cstheme="minorHAnsi"/>
            <w:sz w:val="26"/>
            <w:szCs w:val="26"/>
          </w:rPr>
          <m:t>x 100</m:t>
        </m:r>
      </m:oMath>
      <w:r w:rsidRPr="004A72CD">
        <w:rPr>
          <w:rFonts w:asciiTheme="minorHAnsi" w:hAnsiTheme="minorHAnsi" w:cstheme="minorHAnsi"/>
          <w:sz w:val="26"/>
          <w:szCs w:val="26"/>
        </w:rPr>
        <w:t xml:space="preserve"> </w:t>
      </w:r>
    </w:p>
    <w:p w14:paraId="597076EA" w14:textId="77777777" w:rsidR="00895FF8" w:rsidRPr="004A72CD" w:rsidRDefault="00895FF8" w:rsidP="00D51F5A">
      <w:pPr>
        <w:spacing w:line="276" w:lineRule="auto"/>
        <w:ind w:left="720"/>
        <w:contextualSpacing/>
        <w:rPr>
          <w:rFonts w:asciiTheme="minorHAnsi" w:hAnsiTheme="minorHAnsi" w:cstheme="minorHAnsi"/>
          <w:sz w:val="26"/>
          <w:szCs w:val="26"/>
        </w:rPr>
      </w:pPr>
    </w:p>
    <w:p w14:paraId="4A8EE026" w14:textId="77777777" w:rsidR="00895FF8" w:rsidRPr="004A72CD" w:rsidRDefault="00895FF8">
      <w:pPr>
        <w:numPr>
          <w:ilvl w:val="0"/>
          <w:numId w:val="9"/>
        </w:numPr>
        <w:spacing w:after="160" w:line="276" w:lineRule="auto"/>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gs Buget I.N.M.2022 CA, CB = </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I.N.M. 2022 </m:t>
            </m:r>
          </m:num>
          <m:den>
            <m:r>
              <w:rPr>
                <w:rFonts w:ascii="Cambria Math" w:hAnsi="Cambria Math" w:cstheme="minorHAnsi"/>
                <w:sz w:val="26"/>
                <w:szCs w:val="26"/>
              </w:rPr>
              <m:t>Buget total 2022</m:t>
            </m:r>
          </m:den>
        </m:f>
        <m:r>
          <w:rPr>
            <w:rFonts w:ascii="Cambria Math" w:hAnsi="Cambria Math" w:cstheme="minorHAnsi"/>
            <w:sz w:val="26"/>
            <w:szCs w:val="26"/>
          </w:rPr>
          <m:t>x 100</m:t>
        </m:r>
      </m:oMath>
      <w:r w:rsidRPr="004A72CD">
        <w:rPr>
          <w:rFonts w:asciiTheme="minorHAnsi" w:hAnsiTheme="minorHAnsi" w:cstheme="minorHAnsi"/>
          <w:sz w:val="26"/>
          <w:szCs w:val="26"/>
        </w:rPr>
        <w:t xml:space="preserve"> </w:t>
      </w:r>
    </w:p>
    <w:p w14:paraId="6639F648" w14:textId="77777777" w:rsidR="00895FF8" w:rsidRPr="004A72CD" w:rsidRDefault="00895FF8" w:rsidP="00D51F5A">
      <w:pPr>
        <w:spacing w:line="276" w:lineRule="auto"/>
        <w:jc w:val="both"/>
        <w:rPr>
          <w:rFonts w:asciiTheme="minorHAnsi" w:eastAsiaTheme="minorHAnsi" w:hAnsiTheme="minorHAnsi" w:cstheme="minorHAnsi"/>
          <w:sz w:val="26"/>
          <w:szCs w:val="26"/>
        </w:rPr>
      </w:pPr>
    </w:p>
    <w:p w14:paraId="58AA183F" w14:textId="77777777" w:rsidR="00895FF8" w:rsidRPr="004A72CD" w:rsidRDefault="00895FF8">
      <w:pPr>
        <w:numPr>
          <w:ilvl w:val="0"/>
          <w:numId w:val="9"/>
        </w:numPr>
        <w:spacing w:after="160" w:line="276" w:lineRule="auto"/>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gs Buget S.N.G.2022 CA, CB = </w:t>
      </w:r>
      <m:oMath>
        <m:f>
          <m:fPr>
            <m:ctrlPr>
              <w:rPr>
                <w:rFonts w:ascii="Cambria Math" w:hAnsi="Cambria Math" w:cstheme="minorHAnsi"/>
                <w:sz w:val="26"/>
                <w:szCs w:val="26"/>
              </w:rPr>
            </m:ctrlPr>
          </m:fPr>
          <m:num>
            <m:r>
              <m:rPr>
                <m:sty m:val="p"/>
              </m:rPr>
              <w:rPr>
                <w:rFonts w:ascii="Cambria Math" w:hAnsi="Cambria Math" w:cstheme="minorHAnsi"/>
                <w:sz w:val="26"/>
                <w:szCs w:val="26"/>
              </w:rPr>
              <m:t>Buget S.N.G.2022</m:t>
            </m:r>
          </m:num>
          <m:den>
            <m:r>
              <w:rPr>
                <w:rFonts w:ascii="Cambria Math" w:hAnsi="Cambria Math" w:cstheme="minorHAnsi"/>
                <w:sz w:val="26"/>
                <w:szCs w:val="26"/>
              </w:rPr>
              <m:t>Buget total 2022</m:t>
            </m:r>
          </m:den>
        </m:f>
        <m:r>
          <w:rPr>
            <w:rFonts w:ascii="Cambria Math" w:hAnsi="Cambria Math" w:cstheme="minorHAnsi"/>
            <w:sz w:val="26"/>
            <w:szCs w:val="26"/>
          </w:rPr>
          <m:t>x 100</m:t>
        </m:r>
      </m:oMath>
      <w:r w:rsidRPr="004A72CD">
        <w:rPr>
          <w:rFonts w:asciiTheme="minorHAnsi" w:hAnsiTheme="minorHAnsi" w:cstheme="minorHAnsi"/>
          <w:sz w:val="26"/>
          <w:szCs w:val="26"/>
        </w:rPr>
        <w:t xml:space="preserve"> </w:t>
      </w:r>
    </w:p>
    <w:p w14:paraId="10711EE7" w14:textId="77777777" w:rsidR="00895FF8" w:rsidRPr="004A72CD" w:rsidRDefault="00895FF8" w:rsidP="00D51F5A">
      <w:pPr>
        <w:spacing w:line="276" w:lineRule="auto"/>
        <w:jc w:val="both"/>
        <w:rPr>
          <w:rFonts w:asciiTheme="minorHAnsi" w:eastAsiaTheme="minorHAnsi" w:hAnsiTheme="minorHAnsi" w:cstheme="minorHAnsi"/>
          <w:sz w:val="26"/>
          <w:szCs w:val="26"/>
        </w:rPr>
      </w:pPr>
    </w:p>
    <w:p w14:paraId="5EBB3A9D" w14:textId="77777777" w:rsidR="00895FF8" w:rsidRPr="004A72CD" w:rsidRDefault="00895FF8">
      <w:pPr>
        <w:numPr>
          <w:ilvl w:val="0"/>
          <w:numId w:val="9"/>
        </w:numPr>
        <w:spacing w:after="160" w:line="276" w:lineRule="auto"/>
        <w:contextualSpacing/>
        <w:jc w:val="both"/>
        <w:rPr>
          <w:rFonts w:asciiTheme="minorHAnsi" w:hAnsiTheme="minorHAnsi" w:cstheme="minorHAnsi"/>
          <w:sz w:val="26"/>
          <w:szCs w:val="26"/>
        </w:rPr>
      </w:pPr>
      <w:r w:rsidRPr="004A72CD">
        <w:rPr>
          <w:rFonts w:asciiTheme="minorHAnsi" w:hAnsiTheme="minorHAnsi" w:cstheme="minorHAnsi"/>
          <w:sz w:val="26"/>
          <w:szCs w:val="26"/>
        </w:rPr>
        <w:t>gs Buget C.S.M.ap.pr.2023 CA, CB=</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C.S.M.ap. pr. 2023 </m:t>
            </m:r>
          </m:num>
          <m:den>
            <m:r>
              <w:rPr>
                <w:rFonts w:ascii="Cambria Math" w:hAnsi="Cambria Math" w:cstheme="minorHAnsi"/>
                <w:sz w:val="26"/>
                <w:szCs w:val="26"/>
              </w:rPr>
              <m:t>Buget total 2023</m:t>
            </m:r>
          </m:den>
        </m:f>
        <m:r>
          <w:rPr>
            <w:rFonts w:ascii="Cambria Math" w:hAnsi="Cambria Math" w:cstheme="minorHAnsi"/>
            <w:sz w:val="26"/>
            <w:szCs w:val="26"/>
          </w:rPr>
          <m:t>x 100</m:t>
        </m:r>
      </m:oMath>
      <w:r w:rsidRPr="004A72CD">
        <w:rPr>
          <w:rFonts w:asciiTheme="minorHAnsi" w:hAnsiTheme="minorHAnsi" w:cstheme="minorHAnsi"/>
          <w:sz w:val="26"/>
          <w:szCs w:val="26"/>
        </w:rPr>
        <w:t xml:space="preserve"> </w:t>
      </w:r>
    </w:p>
    <w:p w14:paraId="4FC489CD" w14:textId="77777777" w:rsidR="00895FF8" w:rsidRPr="004A72CD" w:rsidRDefault="00895FF8" w:rsidP="00D51F5A">
      <w:pPr>
        <w:spacing w:line="276" w:lineRule="auto"/>
        <w:jc w:val="both"/>
        <w:rPr>
          <w:rFonts w:asciiTheme="minorHAnsi" w:eastAsiaTheme="minorHAnsi" w:hAnsiTheme="minorHAnsi" w:cstheme="minorHAnsi"/>
          <w:sz w:val="26"/>
          <w:szCs w:val="26"/>
        </w:rPr>
      </w:pPr>
    </w:p>
    <w:p w14:paraId="41E76579" w14:textId="77777777" w:rsidR="00895FF8" w:rsidRPr="004A72CD" w:rsidRDefault="00895FF8">
      <w:pPr>
        <w:numPr>
          <w:ilvl w:val="0"/>
          <w:numId w:val="9"/>
        </w:numPr>
        <w:spacing w:after="160" w:line="276" w:lineRule="auto"/>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gs Buget I.N.M.2023 CA, CB = </w:t>
      </w:r>
      <m:oMath>
        <m:f>
          <m:fPr>
            <m:ctrlPr>
              <w:rPr>
                <w:rFonts w:ascii="Cambria Math" w:hAnsi="Cambria Math" w:cstheme="minorHAnsi"/>
                <w:sz w:val="26"/>
                <w:szCs w:val="26"/>
              </w:rPr>
            </m:ctrlPr>
          </m:fPr>
          <m:num>
            <m:r>
              <m:rPr>
                <m:sty m:val="p"/>
              </m:rPr>
              <w:rPr>
                <w:rFonts w:ascii="Cambria Math" w:hAnsi="Cambria Math" w:cstheme="minorHAnsi"/>
                <w:sz w:val="26"/>
                <w:szCs w:val="26"/>
              </w:rPr>
              <m:t>Buget I.N.M. 2023</m:t>
            </m:r>
          </m:num>
          <m:den>
            <m:r>
              <w:rPr>
                <w:rFonts w:ascii="Cambria Math" w:hAnsi="Cambria Math" w:cstheme="minorHAnsi"/>
                <w:sz w:val="26"/>
                <w:szCs w:val="26"/>
              </w:rPr>
              <m:t>Buget total 2023</m:t>
            </m:r>
          </m:den>
        </m:f>
        <m:r>
          <w:rPr>
            <w:rFonts w:ascii="Cambria Math" w:hAnsi="Cambria Math" w:cstheme="minorHAnsi"/>
            <w:sz w:val="26"/>
            <w:szCs w:val="26"/>
          </w:rPr>
          <m:t>x 100</m:t>
        </m:r>
      </m:oMath>
      <w:r w:rsidRPr="004A72CD">
        <w:rPr>
          <w:rFonts w:asciiTheme="minorHAnsi" w:hAnsiTheme="minorHAnsi" w:cstheme="minorHAnsi"/>
          <w:sz w:val="26"/>
          <w:szCs w:val="26"/>
        </w:rPr>
        <w:t xml:space="preserve"> </w:t>
      </w:r>
    </w:p>
    <w:p w14:paraId="652CB14A" w14:textId="77777777" w:rsidR="00895FF8" w:rsidRPr="004A72CD" w:rsidRDefault="00895FF8" w:rsidP="00D51F5A">
      <w:pPr>
        <w:spacing w:line="276" w:lineRule="auto"/>
        <w:jc w:val="both"/>
        <w:rPr>
          <w:rFonts w:asciiTheme="minorHAnsi" w:eastAsiaTheme="minorHAnsi" w:hAnsiTheme="minorHAnsi" w:cstheme="minorHAnsi"/>
          <w:sz w:val="26"/>
          <w:szCs w:val="26"/>
        </w:rPr>
      </w:pPr>
    </w:p>
    <w:p w14:paraId="7E9A5805" w14:textId="77777777" w:rsidR="00895FF8" w:rsidRPr="004A72CD" w:rsidRDefault="00895FF8">
      <w:pPr>
        <w:numPr>
          <w:ilvl w:val="0"/>
          <w:numId w:val="9"/>
        </w:numPr>
        <w:spacing w:after="160" w:line="276" w:lineRule="auto"/>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gs Buget S.N.G.2023 CA, CB = </w:t>
      </w:r>
      <m:oMath>
        <m:f>
          <m:fPr>
            <m:ctrlPr>
              <w:rPr>
                <w:rFonts w:ascii="Cambria Math" w:hAnsi="Cambria Math" w:cstheme="minorHAnsi"/>
                <w:sz w:val="26"/>
                <w:szCs w:val="26"/>
              </w:rPr>
            </m:ctrlPr>
          </m:fPr>
          <m:num>
            <m:r>
              <m:rPr>
                <m:sty m:val="p"/>
              </m:rPr>
              <w:rPr>
                <w:rFonts w:ascii="Cambria Math" w:hAnsi="Cambria Math" w:cstheme="minorHAnsi"/>
                <w:sz w:val="26"/>
                <w:szCs w:val="26"/>
              </w:rPr>
              <m:t>Buget S.N.G.2023</m:t>
            </m:r>
          </m:num>
          <m:den>
            <m:r>
              <w:rPr>
                <w:rFonts w:ascii="Cambria Math" w:hAnsi="Cambria Math" w:cstheme="minorHAnsi"/>
                <w:sz w:val="26"/>
                <w:szCs w:val="26"/>
              </w:rPr>
              <m:t>Buget total 2023</m:t>
            </m:r>
          </m:den>
        </m:f>
        <m:r>
          <w:rPr>
            <w:rFonts w:ascii="Cambria Math" w:hAnsi="Cambria Math" w:cstheme="minorHAnsi"/>
            <w:sz w:val="26"/>
            <w:szCs w:val="26"/>
          </w:rPr>
          <m:t>x 100</m:t>
        </m:r>
      </m:oMath>
      <w:r w:rsidRPr="004A72CD">
        <w:rPr>
          <w:rFonts w:asciiTheme="minorHAnsi" w:hAnsiTheme="minorHAnsi" w:cstheme="minorHAnsi"/>
          <w:sz w:val="26"/>
          <w:szCs w:val="26"/>
        </w:rPr>
        <w:t xml:space="preserve"> </w:t>
      </w:r>
    </w:p>
    <w:p w14:paraId="022FA67D" w14:textId="77777777" w:rsidR="00895FF8" w:rsidRPr="004A72CD" w:rsidRDefault="00895FF8" w:rsidP="00D51F5A">
      <w:pPr>
        <w:spacing w:line="276" w:lineRule="auto"/>
        <w:jc w:val="both"/>
        <w:rPr>
          <w:rFonts w:asciiTheme="minorHAnsi" w:eastAsiaTheme="minorHAnsi" w:hAnsiTheme="minorHAnsi" w:cstheme="minorHAnsi"/>
          <w:sz w:val="26"/>
          <w:szCs w:val="26"/>
        </w:rPr>
      </w:pPr>
    </w:p>
    <w:p w14:paraId="7912C7D3" w14:textId="77777777" w:rsidR="00895FF8" w:rsidRPr="004A72CD" w:rsidRDefault="00895FF8" w:rsidP="00D51F5A">
      <w:pPr>
        <w:spacing w:line="276" w:lineRule="auto"/>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 xml:space="preserve">    gs = ponderea indicatorului ales pentru analiză</w:t>
      </w:r>
    </w:p>
    <w:p w14:paraId="6088CF41" w14:textId="77777777" w:rsidR="00895FF8" w:rsidRPr="004A72CD" w:rsidRDefault="00895FF8" w:rsidP="00D51F5A">
      <w:pPr>
        <w:spacing w:line="276" w:lineRule="auto"/>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r>
      <w:r w:rsidRPr="004A72CD">
        <w:rPr>
          <w:rFonts w:asciiTheme="minorHAnsi" w:eastAsiaTheme="minorHAnsi" w:hAnsiTheme="minorHAnsi" w:cstheme="minorHAnsi"/>
          <w:sz w:val="26"/>
          <w:szCs w:val="26"/>
        </w:rPr>
        <w:tab/>
        <w:t>mii lei</w:t>
      </w:r>
    </w:p>
    <w:tbl>
      <w:tblPr>
        <w:tblW w:w="10364" w:type="dxa"/>
        <w:jc w:val="center"/>
        <w:tblLook w:val="04A0" w:firstRow="1" w:lastRow="0" w:firstColumn="1" w:lastColumn="0" w:noHBand="0" w:noVBand="1"/>
      </w:tblPr>
      <w:tblGrid>
        <w:gridCol w:w="578"/>
        <w:gridCol w:w="1872"/>
        <w:gridCol w:w="1046"/>
        <w:gridCol w:w="1227"/>
        <w:gridCol w:w="1162"/>
        <w:gridCol w:w="1208"/>
        <w:gridCol w:w="1107"/>
        <w:gridCol w:w="1208"/>
        <w:gridCol w:w="956"/>
      </w:tblGrid>
      <w:tr w:rsidR="00F313A6" w:rsidRPr="008D77AF" w14:paraId="069B7387" w14:textId="77777777" w:rsidTr="00F313A6">
        <w:trPr>
          <w:trHeight w:val="735"/>
          <w:jc w:val="center"/>
        </w:trPr>
        <w:tc>
          <w:tcPr>
            <w:tcW w:w="578"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CBC5DA8" w14:textId="77777777" w:rsidR="00F313A6" w:rsidRPr="008D77AF" w:rsidRDefault="00F313A6" w:rsidP="00612067">
            <w:pPr>
              <w:jc w:val="center"/>
              <w:rPr>
                <w:rFonts w:asciiTheme="minorHAnsi" w:hAnsiTheme="minorHAnsi" w:cstheme="minorHAnsi"/>
                <w:b/>
                <w:bCs/>
                <w:color w:val="000000"/>
                <w:sz w:val="26"/>
                <w:szCs w:val="26"/>
                <w:lang w:eastAsia="ro-RO"/>
              </w:rPr>
            </w:pPr>
            <w:r w:rsidRPr="008D77AF">
              <w:rPr>
                <w:rFonts w:asciiTheme="minorHAnsi" w:hAnsiTheme="minorHAnsi" w:cstheme="minorHAnsi"/>
                <w:b/>
                <w:bCs/>
                <w:color w:val="000000"/>
                <w:sz w:val="26"/>
                <w:szCs w:val="26"/>
                <w:lang w:eastAsia="ro-RO"/>
              </w:rPr>
              <w:t>Nr. crt.</w:t>
            </w:r>
          </w:p>
        </w:tc>
        <w:tc>
          <w:tcPr>
            <w:tcW w:w="187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2161C635" w14:textId="77777777" w:rsidR="00F313A6" w:rsidRPr="008D77AF" w:rsidRDefault="00F313A6" w:rsidP="00612067">
            <w:pPr>
              <w:rPr>
                <w:rFonts w:asciiTheme="minorHAnsi" w:hAnsiTheme="minorHAnsi" w:cstheme="minorHAnsi"/>
                <w:b/>
                <w:bCs/>
                <w:color w:val="000000"/>
                <w:sz w:val="26"/>
                <w:szCs w:val="26"/>
                <w:lang w:eastAsia="ro-RO"/>
              </w:rPr>
            </w:pPr>
            <w:r w:rsidRPr="008D77AF">
              <w:rPr>
                <w:rFonts w:asciiTheme="minorHAnsi" w:hAnsiTheme="minorHAnsi" w:cstheme="minorHAnsi"/>
                <w:b/>
                <w:bCs/>
                <w:color w:val="000000"/>
                <w:sz w:val="26"/>
                <w:szCs w:val="26"/>
                <w:lang w:eastAsia="ro-RO"/>
              </w:rPr>
              <w:t>Denumire indicator</w:t>
            </w:r>
          </w:p>
        </w:tc>
        <w:tc>
          <w:tcPr>
            <w:tcW w:w="1046" w:type="dxa"/>
            <w:tcBorders>
              <w:top w:val="single" w:sz="4" w:space="0" w:color="auto"/>
              <w:left w:val="nil"/>
              <w:bottom w:val="nil"/>
              <w:right w:val="nil"/>
            </w:tcBorders>
            <w:shd w:val="clear" w:color="000000" w:fill="D9D9D9"/>
            <w:vAlign w:val="center"/>
            <w:hideMark/>
          </w:tcPr>
          <w:p w14:paraId="3EFDA05E" w14:textId="77777777" w:rsidR="00F313A6" w:rsidRPr="008D77AF" w:rsidRDefault="00F313A6" w:rsidP="00612067">
            <w:pPr>
              <w:jc w:val="center"/>
              <w:rPr>
                <w:rFonts w:asciiTheme="minorHAnsi" w:hAnsiTheme="minorHAnsi" w:cstheme="minorHAnsi"/>
                <w:b/>
                <w:bCs/>
                <w:color w:val="000000"/>
                <w:sz w:val="26"/>
                <w:szCs w:val="26"/>
                <w:lang w:eastAsia="ro-RO"/>
              </w:rPr>
            </w:pPr>
            <w:r w:rsidRPr="008D77AF">
              <w:rPr>
                <w:rFonts w:asciiTheme="minorHAnsi" w:hAnsiTheme="minorHAnsi" w:cstheme="minorHAnsi"/>
                <w:b/>
                <w:bCs/>
                <w:color w:val="000000"/>
                <w:sz w:val="26"/>
                <w:szCs w:val="26"/>
                <w:lang w:eastAsia="ro-RO"/>
              </w:rPr>
              <w:t>Tip Credit</w:t>
            </w:r>
          </w:p>
        </w:tc>
        <w:tc>
          <w:tcPr>
            <w:tcW w:w="238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2FE0A12" w14:textId="77777777" w:rsidR="00F313A6" w:rsidRPr="008D77AF" w:rsidRDefault="00F313A6" w:rsidP="00612067">
            <w:pPr>
              <w:jc w:val="center"/>
              <w:rPr>
                <w:rFonts w:asciiTheme="minorHAnsi" w:hAnsiTheme="minorHAnsi" w:cstheme="minorHAnsi"/>
                <w:b/>
                <w:bCs/>
                <w:color w:val="000000"/>
                <w:sz w:val="26"/>
                <w:szCs w:val="26"/>
                <w:lang w:eastAsia="ro-RO"/>
              </w:rPr>
            </w:pPr>
            <w:r w:rsidRPr="008D77AF">
              <w:rPr>
                <w:rFonts w:asciiTheme="minorHAnsi" w:hAnsiTheme="minorHAnsi" w:cstheme="minorHAnsi"/>
                <w:b/>
                <w:bCs/>
                <w:color w:val="000000"/>
                <w:sz w:val="26"/>
                <w:szCs w:val="26"/>
                <w:lang w:eastAsia="ro-RO"/>
              </w:rPr>
              <w:t>2023</w:t>
            </w:r>
          </w:p>
        </w:tc>
        <w:tc>
          <w:tcPr>
            <w:tcW w:w="2315" w:type="dxa"/>
            <w:gridSpan w:val="2"/>
            <w:tcBorders>
              <w:top w:val="single" w:sz="4" w:space="0" w:color="auto"/>
              <w:left w:val="nil"/>
              <w:bottom w:val="single" w:sz="4" w:space="0" w:color="auto"/>
              <w:right w:val="single" w:sz="4" w:space="0" w:color="000000"/>
            </w:tcBorders>
            <w:shd w:val="clear" w:color="000000" w:fill="D9D9D9"/>
            <w:vAlign w:val="center"/>
            <w:hideMark/>
          </w:tcPr>
          <w:p w14:paraId="06D518CD" w14:textId="77777777" w:rsidR="00F313A6" w:rsidRPr="008D77AF" w:rsidRDefault="00F313A6" w:rsidP="00612067">
            <w:pPr>
              <w:jc w:val="center"/>
              <w:rPr>
                <w:rFonts w:asciiTheme="minorHAnsi" w:hAnsiTheme="minorHAnsi" w:cstheme="minorHAnsi"/>
                <w:b/>
                <w:bCs/>
                <w:color w:val="000000"/>
                <w:sz w:val="26"/>
                <w:szCs w:val="26"/>
                <w:lang w:eastAsia="ro-RO"/>
              </w:rPr>
            </w:pPr>
            <w:r w:rsidRPr="008D77AF">
              <w:rPr>
                <w:rFonts w:asciiTheme="minorHAnsi" w:hAnsiTheme="minorHAnsi" w:cstheme="minorHAnsi"/>
                <w:b/>
                <w:bCs/>
                <w:color w:val="000000"/>
                <w:sz w:val="26"/>
                <w:szCs w:val="26"/>
                <w:lang w:eastAsia="ro-RO"/>
              </w:rPr>
              <w:t>2024</w:t>
            </w:r>
          </w:p>
        </w:tc>
        <w:tc>
          <w:tcPr>
            <w:tcW w:w="2164" w:type="dxa"/>
            <w:gridSpan w:val="2"/>
            <w:tcBorders>
              <w:top w:val="single" w:sz="4" w:space="0" w:color="auto"/>
              <w:left w:val="nil"/>
              <w:bottom w:val="single" w:sz="4" w:space="0" w:color="auto"/>
              <w:right w:val="single" w:sz="4" w:space="0" w:color="000000"/>
            </w:tcBorders>
            <w:shd w:val="clear" w:color="000000" w:fill="D9D9D9"/>
            <w:vAlign w:val="center"/>
            <w:hideMark/>
          </w:tcPr>
          <w:p w14:paraId="38253628" w14:textId="77777777" w:rsidR="00F313A6" w:rsidRPr="008D77AF" w:rsidRDefault="00F313A6" w:rsidP="00612067">
            <w:pPr>
              <w:jc w:val="center"/>
              <w:rPr>
                <w:rFonts w:asciiTheme="minorHAnsi" w:hAnsiTheme="minorHAnsi" w:cstheme="minorHAnsi"/>
                <w:b/>
                <w:bCs/>
                <w:color w:val="000000"/>
                <w:sz w:val="26"/>
                <w:szCs w:val="26"/>
                <w:lang w:eastAsia="ro-RO"/>
              </w:rPr>
            </w:pPr>
            <w:r w:rsidRPr="008D77AF">
              <w:rPr>
                <w:rFonts w:asciiTheme="minorHAnsi" w:hAnsiTheme="minorHAnsi" w:cstheme="minorHAnsi"/>
                <w:b/>
                <w:bCs/>
                <w:color w:val="000000"/>
                <w:sz w:val="26"/>
                <w:szCs w:val="26"/>
                <w:lang w:eastAsia="ro-RO"/>
              </w:rPr>
              <w:t>2025</w:t>
            </w:r>
          </w:p>
        </w:tc>
      </w:tr>
      <w:tr w:rsidR="00F313A6" w:rsidRPr="008D77AF" w14:paraId="55DF390C" w14:textId="77777777" w:rsidTr="00F313A6">
        <w:trPr>
          <w:trHeight w:val="300"/>
          <w:jc w:val="center"/>
        </w:trPr>
        <w:tc>
          <w:tcPr>
            <w:tcW w:w="578" w:type="dxa"/>
            <w:vMerge/>
            <w:tcBorders>
              <w:top w:val="single" w:sz="4" w:space="0" w:color="auto"/>
              <w:left w:val="single" w:sz="4" w:space="0" w:color="auto"/>
              <w:bottom w:val="single" w:sz="4" w:space="0" w:color="000000"/>
              <w:right w:val="single" w:sz="4" w:space="0" w:color="auto"/>
            </w:tcBorders>
            <w:vAlign w:val="center"/>
            <w:hideMark/>
          </w:tcPr>
          <w:p w14:paraId="14ABB11A" w14:textId="77777777" w:rsidR="00F313A6" w:rsidRPr="008D77AF" w:rsidRDefault="00F313A6" w:rsidP="00612067">
            <w:pPr>
              <w:rPr>
                <w:rFonts w:asciiTheme="minorHAnsi" w:hAnsiTheme="minorHAnsi" w:cstheme="minorHAnsi"/>
                <w:b/>
                <w:bCs/>
                <w:color w:val="000000"/>
                <w:sz w:val="26"/>
                <w:szCs w:val="26"/>
                <w:lang w:eastAsia="ro-RO"/>
              </w:rPr>
            </w:pPr>
          </w:p>
        </w:tc>
        <w:tc>
          <w:tcPr>
            <w:tcW w:w="1872" w:type="dxa"/>
            <w:vMerge/>
            <w:tcBorders>
              <w:top w:val="single" w:sz="4" w:space="0" w:color="auto"/>
              <w:left w:val="single" w:sz="4" w:space="0" w:color="auto"/>
              <w:bottom w:val="single" w:sz="4" w:space="0" w:color="000000"/>
              <w:right w:val="single" w:sz="4" w:space="0" w:color="auto"/>
            </w:tcBorders>
            <w:vAlign w:val="center"/>
            <w:hideMark/>
          </w:tcPr>
          <w:p w14:paraId="19B5E89F" w14:textId="77777777" w:rsidR="00F313A6" w:rsidRPr="008D77AF" w:rsidRDefault="00F313A6" w:rsidP="00612067">
            <w:pPr>
              <w:rPr>
                <w:rFonts w:asciiTheme="minorHAnsi" w:hAnsiTheme="minorHAnsi" w:cstheme="minorHAnsi"/>
                <w:b/>
                <w:bCs/>
                <w:color w:val="000000"/>
                <w:sz w:val="26"/>
                <w:szCs w:val="26"/>
                <w:lang w:eastAsia="ro-RO"/>
              </w:rPr>
            </w:pPr>
          </w:p>
        </w:tc>
        <w:tc>
          <w:tcPr>
            <w:tcW w:w="1046" w:type="dxa"/>
            <w:tcBorders>
              <w:top w:val="nil"/>
              <w:left w:val="nil"/>
              <w:bottom w:val="single" w:sz="4" w:space="0" w:color="auto"/>
              <w:right w:val="single" w:sz="4" w:space="0" w:color="auto"/>
            </w:tcBorders>
            <w:shd w:val="clear" w:color="000000" w:fill="D9D9D9"/>
            <w:vAlign w:val="center"/>
            <w:hideMark/>
          </w:tcPr>
          <w:p w14:paraId="72A9DBBF" w14:textId="77777777" w:rsidR="00F313A6" w:rsidRPr="008D77AF" w:rsidRDefault="00F313A6" w:rsidP="00612067">
            <w:pPr>
              <w:jc w:val="cente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 </w:t>
            </w:r>
          </w:p>
        </w:tc>
        <w:tc>
          <w:tcPr>
            <w:tcW w:w="1227" w:type="dxa"/>
            <w:tcBorders>
              <w:top w:val="nil"/>
              <w:left w:val="nil"/>
              <w:bottom w:val="single" w:sz="4" w:space="0" w:color="auto"/>
              <w:right w:val="single" w:sz="4" w:space="0" w:color="auto"/>
            </w:tcBorders>
            <w:shd w:val="clear" w:color="000000" w:fill="D9D9D9"/>
            <w:vAlign w:val="center"/>
            <w:hideMark/>
          </w:tcPr>
          <w:p w14:paraId="7960333B" w14:textId="77777777" w:rsidR="00F313A6" w:rsidRPr="008D77AF" w:rsidRDefault="00F313A6" w:rsidP="00612067">
            <w:pPr>
              <w:jc w:val="cente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 </w:t>
            </w:r>
          </w:p>
        </w:tc>
        <w:tc>
          <w:tcPr>
            <w:tcW w:w="1162" w:type="dxa"/>
            <w:tcBorders>
              <w:top w:val="nil"/>
              <w:left w:val="nil"/>
              <w:bottom w:val="single" w:sz="4" w:space="0" w:color="auto"/>
              <w:right w:val="single" w:sz="4" w:space="0" w:color="auto"/>
            </w:tcBorders>
            <w:shd w:val="clear" w:color="000000" w:fill="D9D9D9"/>
            <w:vAlign w:val="center"/>
            <w:hideMark/>
          </w:tcPr>
          <w:p w14:paraId="7A9A6095" w14:textId="77777777" w:rsidR="00F313A6" w:rsidRPr="008D77AF" w:rsidRDefault="00F313A6" w:rsidP="00612067">
            <w:pPr>
              <w:jc w:val="cente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 </w:t>
            </w:r>
          </w:p>
        </w:tc>
        <w:tc>
          <w:tcPr>
            <w:tcW w:w="1208" w:type="dxa"/>
            <w:tcBorders>
              <w:top w:val="nil"/>
              <w:left w:val="nil"/>
              <w:bottom w:val="single" w:sz="4" w:space="0" w:color="auto"/>
              <w:right w:val="single" w:sz="4" w:space="0" w:color="auto"/>
            </w:tcBorders>
            <w:shd w:val="clear" w:color="000000" w:fill="D9D9D9"/>
            <w:vAlign w:val="center"/>
            <w:hideMark/>
          </w:tcPr>
          <w:p w14:paraId="0F78219A" w14:textId="77777777" w:rsidR="00F313A6" w:rsidRPr="008D77AF" w:rsidRDefault="00F313A6" w:rsidP="00612067">
            <w:pPr>
              <w:jc w:val="cente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 </w:t>
            </w:r>
          </w:p>
        </w:tc>
        <w:tc>
          <w:tcPr>
            <w:tcW w:w="1107" w:type="dxa"/>
            <w:tcBorders>
              <w:top w:val="nil"/>
              <w:left w:val="nil"/>
              <w:bottom w:val="single" w:sz="4" w:space="0" w:color="auto"/>
              <w:right w:val="single" w:sz="4" w:space="0" w:color="auto"/>
            </w:tcBorders>
            <w:shd w:val="clear" w:color="000000" w:fill="D9D9D9"/>
            <w:vAlign w:val="center"/>
            <w:hideMark/>
          </w:tcPr>
          <w:p w14:paraId="0EADD2F6" w14:textId="77777777" w:rsidR="00F313A6" w:rsidRPr="008D77AF" w:rsidRDefault="00F313A6" w:rsidP="00612067">
            <w:pPr>
              <w:jc w:val="cente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 </w:t>
            </w:r>
          </w:p>
        </w:tc>
        <w:tc>
          <w:tcPr>
            <w:tcW w:w="1208" w:type="dxa"/>
            <w:tcBorders>
              <w:top w:val="nil"/>
              <w:left w:val="nil"/>
              <w:bottom w:val="single" w:sz="4" w:space="0" w:color="auto"/>
              <w:right w:val="single" w:sz="4" w:space="0" w:color="auto"/>
            </w:tcBorders>
            <w:shd w:val="clear" w:color="000000" w:fill="D9D9D9"/>
            <w:vAlign w:val="center"/>
            <w:hideMark/>
          </w:tcPr>
          <w:p w14:paraId="3D82DBD1" w14:textId="77777777" w:rsidR="00F313A6" w:rsidRPr="008D77AF" w:rsidRDefault="00F313A6" w:rsidP="00612067">
            <w:pPr>
              <w:jc w:val="cente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 </w:t>
            </w:r>
          </w:p>
        </w:tc>
        <w:tc>
          <w:tcPr>
            <w:tcW w:w="956" w:type="dxa"/>
            <w:tcBorders>
              <w:top w:val="nil"/>
              <w:left w:val="nil"/>
              <w:bottom w:val="single" w:sz="4" w:space="0" w:color="auto"/>
              <w:right w:val="single" w:sz="4" w:space="0" w:color="auto"/>
            </w:tcBorders>
            <w:shd w:val="clear" w:color="000000" w:fill="D9D9D9"/>
            <w:vAlign w:val="center"/>
            <w:hideMark/>
          </w:tcPr>
          <w:p w14:paraId="6037C075" w14:textId="77777777" w:rsidR="00F313A6" w:rsidRPr="008D77AF" w:rsidRDefault="00F313A6" w:rsidP="00612067">
            <w:pPr>
              <w:jc w:val="cente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 </w:t>
            </w:r>
          </w:p>
        </w:tc>
      </w:tr>
      <w:tr w:rsidR="008B097A" w:rsidRPr="008D77AF" w14:paraId="030EABB0" w14:textId="77777777" w:rsidTr="00F313A6">
        <w:trPr>
          <w:trHeight w:val="300"/>
          <w:jc w:val="center"/>
        </w:trPr>
        <w:tc>
          <w:tcPr>
            <w:tcW w:w="578"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6F9C5474" w14:textId="77777777" w:rsidR="008B097A" w:rsidRPr="008D77AF" w:rsidRDefault="008B097A" w:rsidP="008B097A">
            <w:pPr>
              <w:jc w:val="cente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1</w:t>
            </w:r>
          </w:p>
        </w:tc>
        <w:tc>
          <w:tcPr>
            <w:tcW w:w="1872"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5B60D0D6" w14:textId="77777777" w:rsidR="008B097A" w:rsidRPr="008D77AF" w:rsidRDefault="008B097A" w:rsidP="008B097A">
            <w:pPr>
              <w:jc w:val="cente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Buget CSM Total</w:t>
            </w:r>
          </w:p>
        </w:tc>
        <w:tc>
          <w:tcPr>
            <w:tcW w:w="1046" w:type="dxa"/>
            <w:tcBorders>
              <w:top w:val="nil"/>
              <w:left w:val="nil"/>
              <w:bottom w:val="single" w:sz="4" w:space="0" w:color="auto"/>
              <w:right w:val="single" w:sz="4" w:space="0" w:color="auto"/>
            </w:tcBorders>
            <w:shd w:val="clear" w:color="000000" w:fill="DBDBDB"/>
            <w:vAlign w:val="center"/>
            <w:hideMark/>
          </w:tcPr>
          <w:p w14:paraId="2C3894C2" w14:textId="77777777" w:rsidR="008B097A" w:rsidRPr="008D77AF" w:rsidRDefault="008B097A" w:rsidP="008B097A">
            <w:pPr>
              <w:jc w:val="cente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CA</w:t>
            </w:r>
          </w:p>
        </w:tc>
        <w:tc>
          <w:tcPr>
            <w:tcW w:w="1227" w:type="dxa"/>
            <w:tcBorders>
              <w:top w:val="nil"/>
              <w:left w:val="nil"/>
              <w:bottom w:val="single" w:sz="4" w:space="0" w:color="auto"/>
              <w:right w:val="single" w:sz="4" w:space="0" w:color="auto"/>
            </w:tcBorders>
            <w:shd w:val="clear" w:color="000000" w:fill="DBDBDB"/>
            <w:vAlign w:val="center"/>
            <w:hideMark/>
          </w:tcPr>
          <w:p w14:paraId="11AFA95A" w14:textId="5461D7FB"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277 425</w:t>
            </w:r>
          </w:p>
        </w:tc>
        <w:tc>
          <w:tcPr>
            <w:tcW w:w="1162" w:type="dxa"/>
            <w:tcBorders>
              <w:top w:val="nil"/>
              <w:left w:val="nil"/>
              <w:bottom w:val="single" w:sz="4" w:space="0" w:color="auto"/>
              <w:right w:val="single" w:sz="4" w:space="0" w:color="auto"/>
            </w:tcBorders>
            <w:shd w:val="clear" w:color="000000" w:fill="DBDBDB"/>
            <w:vAlign w:val="center"/>
            <w:hideMark/>
          </w:tcPr>
          <w:p w14:paraId="1B009121" w14:textId="5F0A0851"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48 642</w:t>
            </w:r>
          </w:p>
        </w:tc>
        <w:tc>
          <w:tcPr>
            <w:tcW w:w="1208" w:type="dxa"/>
            <w:tcBorders>
              <w:top w:val="nil"/>
              <w:left w:val="nil"/>
              <w:bottom w:val="single" w:sz="4" w:space="0" w:color="auto"/>
              <w:right w:val="single" w:sz="4" w:space="0" w:color="auto"/>
            </w:tcBorders>
            <w:shd w:val="clear" w:color="000000" w:fill="DBDBDB"/>
            <w:vAlign w:val="center"/>
            <w:hideMark/>
          </w:tcPr>
          <w:p w14:paraId="7FCC51A3" w14:textId="29921B95"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319 502</w:t>
            </w:r>
          </w:p>
        </w:tc>
        <w:tc>
          <w:tcPr>
            <w:tcW w:w="1107" w:type="dxa"/>
            <w:tcBorders>
              <w:top w:val="nil"/>
              <w:left w:val="nil"/>
              <w:bottom w:val="single" w:sz="4" w:space="0" w:color="auto"/>
              <w:right w:val="single" w:sz="4" w:space="0" w:color="auto"/>
            </w:tcBorders>
            <w:shd w:val="clear" w:color="000000" w:fill="DBDBDB"/>
            <w:vAlign w:val="center"/>
            <w:hideMark/>
          </w:tcPr>
          <w:p w14:paraId="5C64D253" w14:textId="51D57B3D"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53 365</w:t>
            </w:r>
          </w:p>
        </w:tc>
        <w:tc>
          <w:tcPr>
            <w:tcW w:w="1208" w:type="dxa"/>
            <w:tcBorders>
              <w:top w:val="nil"/>
              <w:left w:val="nil"/>
              <w:bottom w:val="single" w:sz="4" w:space="0" w:color="auto"/>
              <w:right w:val="single" w:sz="4" w:space="0" w:color="auto"/>
            </w:tcBorders>
            <w:shd w:val="clear" w:color="000000" w:fill="DBDBDB"/>
            <w:vAlign w:val="center"/>
            <w:hideMark/>
          </w:tcPr>
          <w:p w14:paraId="22E59A96" w14:textId="55AF3BBE"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453 109</w:t>
            </w:r>
          </w:p>
        </w:tc>
        <w:tc>
          <w:tcPr>
            <w:tcW w:w="956" w:type="dxa"/>
            <w:tcBorders>
              <w:top w:val="nil"/>
              <w:left w:val="nil"/>
              <w:bottom w:val="single" w:sz="4" w:space="0" w:color="auto"/>
              <w:right w:val="single" w:sz="4" w:space="0" w:color="auto"/>
            </w:tcBorders>
            <w:shd w:val="clear" w:color="000000" w:fill="DBDBDB"/>
            <w:vAlign w:val="center"/>
            <w:hideMark/>
          </w:tcPr>
          <w:p w14:paraId="5D683D90" w14:textId="467841D6"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75 872</w:t>
            </w:r>
          </w:p>
        </w:tc>
      </w:tr>
      <w:tr w:rsidR="008B097A" w:rsidRPr="008D77AF" w14:paraId="1002F1E9" w14:textId="77777777" w:rsidTr="00F313A6">
        <w:trPr>
          <w:trHeight w:val="330"/>
          <w:jc w:val="center"/>
        </w:trPr>
        <w:tc>
          <w:tcPr>
            <w:tcW w:w="578" w:type="dxa"/>
            <w:vMerge/>
            <w:tcBorders>
              <w:top w:val="nil"/>
              <w:left w:val="single" w:sz="4" w:space="0" w:color="auto"/>
              <w:bottom w:val="single" w:sz="4" w:space="0" w:color="000000"/>
              <w:right w:val="single" w:sz="4" w:space="0" w:color="auto"/>
            </w:tcBorders>
            <w:vAlign w:val="center"/>
            <w:hideMark/>
          </w:tcPr>
          <w:p w14:paraId="64DD2167" w14:textId="77777777" w:rsidR="008B097A" w:rsidRPr="008D77AF" w:rsidRDefault="008B097A" w:rsidP="008B097A">
            <w:pPr>
              <w:rPr>
                <w:rFonts w:asciiTheme="minorHAnsi" w:hAnsiTheme="minorHAnsi" w:cstheme="minorHAnsi"/>
                <w:color w:val="000000"/>
                <w:sz w:val="26"/>
                <w:szCs w:val="26"/>
                <w:lang w:eastAsia="ro-RO"/>
              </w:rPr>
            </w:pPr>
          </w:p>
        </w:tc>
        <w:tc>
          <w:tcPr>
            <w:tcW w:w="1872" w:type="dxa"/>
            <w:vMerge/>
            <w:tcBorders>
              <w:top w:val="nil"/>
              <w:left w:val="single" w:sz="4" w:space="0" w:color="auto"/>
              <w:bottom w:val="single" w:sz="4" w:space="0" w:color="000000"/>
              <w:right w:val="single" w:sz="4" w:space="0" w:color="auto"/>
            </w:tcBorders>
            <w:vAlign w:val="center"/>
            <w:hideMark/>
          </w:tcPr>
          <w:p w14:paraId="12575B8B" w14:textId="77777777" w:rsidR="008B097A" w:rsidRPr="008D77AF" w:rsidRDefault="008B097A" w:rsidP="008B097A">
            <w:pPr>
              <w:rPr>
                <w:rFonts w:asciiTheme="minorHAnsi" w:hAnsiTheme="minorHAnsi" w:cstheme="minorHAnsi"/>
                <w:i/>
                <w:iCs/>
                <w:color w:val="000000"/>
                <w:sz w:val="26"/>
                <w:szCs w:val="26"/>
                <w:lang w:eastAsia="ro-RO"/>
              </w:rPr>
            </w:pPr>
          </w:p>
        </w:tc>
        <w:tc>
          <w:tcPr>
            <w:tcW w:w="1046" w:type="dxa"/>
            <w:tcBorders>
              <w:top w:val="nil"/>
              <w:left w:val="nil"/>
              <w:bottom w:val="single" w:sz="4" w:space="0" w:color="auto"/>
              <w:right w:val="single" w:sz="4" w:space="0" w:color="auto"/>
            </w:tcBorders>
            <w:shd w:val="clear" w:color="000000" w:fill="DBDBDB"/>
            <w:vAlign w:val="center"/>
            <w:hideMark/>
          </w:tcPr>
          <w:p w14:paraId="3C5F95EC" w14:textId="77777777" w:rsidR="008B097A" w:rsidRPr="008D77AF" w:rsidRDefault="008B097A" w:rsidP="008B097A">
            <w:pPr>
              <w:jc w:val="cente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CB</w:t>
            </w:r>
          </w:p>
        </w:tc>
        <w:tc>
          <w:tcPr>
            <w:tcW w:w="1227" w:type="dxa"/>
            <w:tcBorders>
              <w:top w:val="nil"/>
              <w:left w:val="nil"/>
              <w:bottom w:val="single" w:sz="4" w:space="0" w:color="auto"/>
              <w:right w:val="single" w:sz="4" w:space="0" w:color="auto"/>
            </w:tcBorders>
            <w:shd w:val="clear" w:color="000000" w:fill="DBDBDB"/>
            <w:vAlign w:val="center"/>
            <w:hideMark/>
          </w:tcPr>
          <w:p w14:paraId="3A0761F1" w14:textId="3F4E9E5B"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299 070</w:t>
            </w:r>
          </w:p>
        </w:tc>
        <w:tc>
          <w:tcPr>
            <w:tcW w:w="1162" w:type="dxa"/>
            <w:tcBorders>
              <w:top w:val="nil"/>
              <w:left w:val="nil"/>
              <w:bottom w:val="single" w:sz="4" w:space="0" w:color="auto"/>
              <w:right w:val="single" w:sz="4" w:space="0" w:color="auto"/>
            </w:tcBorders>
            <w:shd w:val="clear" w:color="000000" w:fill="DBDBDB"/>
            <w:vAlign w:val="center"/>
            <w:hideMark/>
          </w:tcPr>
          <w:p w14:paraId="484520E9" w14:textId="0215348F"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53 015</w:t>
            </w:r>
          </w:p>
        </w:tc>
        <w:tc>
          <w:tcPr>
            <w:tcW w:w="1208" w:type="dxa"/>
            <w:tcBorders>
              <w:top w:val="nil"/>
              <w:left w:val="nil"/>
              <w:bottom w:val="single" w:sz="4" w:space="0" w:color="auto"/>
              <w:right w:val="single" w:sz="4" w:space="0" w:color="auto"/>
            </w:tcBorders>
            <w:shd w:val="clear" w:color="000000" w:fill="DBDBDB"/>
            <w:vAlign w:val="center"/>
            <w:hideMark/>
          </w:tcPr>
          <w:p w14:paraId="1F0C53A1" w14:textId="1FA65EED"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317 694</w:t>
            </w:r>
          </w:p>
        </w:tc>
        <w:tc>
          <w:tcPr>
            <w:tcW w:w="1107" w:type="dxa"/>
            <w:tcBorders>
              <w:top w:val="nil"/>
              <w:left w:val="nil"/>
              <w:bottom w:val="single" w:sz="4" w:space="0" w:color="auto"/>
              <w:right w:val="single" w:sz="4" w:space="0" w:color="auto"/>
            </w:tcBorders>
            <w:shd w:val="clear" w:color="000000" w:fill="DBDBDB"/>
            <w:vAlign w:val="center"/>
            <w:hideMark/>
          </w:tcPr>
          <w:p w14:paraId="36F0F7D1" w14:textId="75E730C2"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53 068</w:t>
            </w:r>
          </w:p>
        </w:tc>
        <w:tc>
          <w:tcPr>
            <w:tcW w:w="1208" w:type="dxa"/>
            <w:tcBorders>
              <w:top w:val="nil"/>
              <w:left w:val="nil"/>
              <w:bottom w:val="single" w:sz="4" w:space="0" w:color="auto"/>
              <w:right w:val="single" w:sz="4" w:space="0" w:color="auto"/>
            </w:tcBorders>
            <w:shd w:val="clear" w:color="000000" w:fill="DBDBDB"/>
            <w:vAlign w:val="center"/>
            <w:hideMark/>
          </w:tcPr>
          <w:p w14:paraId="555FECD5" w14:textId="49D675F6"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444 241</w:t>
            </w:r>
          </w:p>
        </w:tc>
        <w:tc>
          <w:tcPr>
            <w:tcW w:w="956" w:type="dxa"/>
            <w:tcBorders>
              <w:top w:val="nil"/>
              <w:left w:val="nil"/>
              <w:bottom w:val="single" w:sz="4" w:space="0" w:color="auto"/>
              <w:right w:val="single" w:sz="4" w:space="0" w:color="auto"/>
            </w:tcBorders>
            <w:shd w:val="clear" w:color="000000" w:fill="DBDBDB"/>
            <w:vAlign w:val="center"/>
            <w:hideMark/>
          </w:tcPr>
          <w:p w14:paraId="5C0D9466" w14:textId="73A156FD"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74 098</w:t>
            </w:r>
          </w:p>
        </w:tc>
      </w:tr>
      <w:tr w:rsidR="008B097A" w:rsidRPr="008D77AF" w14:paraId="0660A13E" w14:textId="77777777" w:rsidTr="00F313A6">
        <w:trPr>
          <w:trHeight w:val="540"/>
          <w:jc w:val="center"/>
        </w:trPr>
        <w:tc>
          <w:tcPr>
            <w:tcW w:w="578"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5C073DDA" w14:textId="77777777" w:rsidR="008B097A" w:rsidRPr="008D77AF" w:rsidRDefault="008B097A" w:rsidP="008B097A">
            <w:pPr>
              <w:jc w:val="cente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A.</w:t>
            </w:r>
          </w:p>
        </w:tc>
        <w:tc>
          <w:tcPr>
            <w:tcW w:w="1872" w:type="dxa"/>
            <w:tcBorders>
              <w:top w:val="nil"/>
              <w:left w:val="nil"/>
              <w:bottom w:val="single" w:sz="4" w:space="0" w:color="auto"/>
              <w:right w:val="single" w:sz="4" w:space="0" w:color="auto"/>
            </w:tcBorders>
            <w:shd w:val="clear" w:color="auto" w:fill="auto"/>
            <w:vAlign w:val="center"/>
            <w:hideMark/>
          </w:tcPr>
          <w:p w14:paraId="1CDCB59B" w14:textId="77777777" w:rsidR="008B097A" w:rsidRPr="008D77AF" w:rsidRDefault="008B097A" w:rsidP="008B097A">
            <w:pP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Consiliul Superior al Magistraturii Ap.propriu</w:t>
            </w:r>
          </w:p>
        </w:tc>
        <w:tc>
          <w:tcPr>
            <w:tcW w:w="1046" w:type="dxa"/>
            <w:tcBorders>
              <w:top w:val="nil"/>
              <w:left w:val="nil"/>
              <w:bottom w:val="single" w:sz="4" w:space="0" w:color="auto"/>
              <w:right w:val="single" w:sz="4" w:space="0" w:color="auto"/>
            </w:tcBorders>
            <w:shd w:val="clear" w:color="auto" w:fill="auto"/>
            <w:vAlign w:val="center"/>
            <w:hideMark/>
          </w:tcPr>
          <w:p w14:paraId="5A2FB3E1" w14:textId="77777777" w:rsidR="008B097A" w:rsidRPr="008D77AF" w:rsidRDefault="008B097A" w:rsidP="008B097A">
            <w:pPr>
              <w:jc w:val="cente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CA</w:t>
            </w:r>
          </w:p>
        </w:tc>
        <w:tc>
          <w:tcPr>
            <w:tcW w:w="1227" w:type="dxa"/>
            <w:tcBorders>
              <w:top w:val="nil"/>
              <w:left w:val="nil"/>
              <w:bottom w:val="single" w:sz="4" w:space="0" w:color="auto"/>
              <w:right w:val="single" w:sz="4" w:space="0" w:color="auto"/>
            </w:tcBorders>
            <w:shd w:val="clear" w:color="auto" w:fill="auto"/>
            <w:vAlign w:val="center"/>
            <w:hideMark/>
          </w:tcPr>
          <w:p w14:paraId="73149DE5" w14:textId="176EC0A3"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155 392</w:t>
            </w:r>
          </w:p>
        </w:tc>
        <w:tc>
          <w:tcPr>
            <w:tcW w:w="1162" w:type="dxa"/>
            <w:tcBorders>
              <w:top w:val="nil"/>
              <w:left w:val="nil"/>
              <w:bottom w:val="single" w:sz="4" w:space="0" w:color="auto"/>
              <w:right w:val="single" w:sz="4" w:space="0" w:color="auto"/>
            </w:tcBorders>
            <w:shd w:val="clear" w:color="auto" w:fill="auto"/>
            <w:vAlign w:val="center"/>
            <w:hideMark/>
          </w:tcPr>
          <w:p w14:paraId="78FA4E41" w14:textId="6746335F"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31 392</w:t>
            </w:r>
          </w:p>
        </w:tc>
        <w:tc>
          <w:tcPr>
            <w:tcW w:w="1208" w:type="dxa"/>
            <w:tcBorders>
              <w:top w:val="nil"/>
              <w:left w:val="nil"/>
              <w:bottom w:val="single" w:sz="4" w:space="0" w:color="auto"/>
              <w:right w:val="single" w:sz="4" w:space="0" w:color="auto"/>
            </w:tcBorders>
            <w:shd w:val="clear" w:color="auto" w:fill="auto"/>
            <w:vAlign w:val="center"/>
            <w:hideMark/>
          </w:tcPr>
          <w:p w14:paraId="3598FB64" w14:textId="735B9070"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143 169</w:t>
            </w:r>
          </w:p>
        </w:tc>
        <w:tc>
          <w:tcPr>
            <w:tcW w:w="1107" w:type="dxa"/>
            <w:tcBorders>
              <w:top w:val="nil"/>
              <w:left w:val="nil"/>
              <w:bottom w:val="single" w:sz="4" w:space="0" w:color="auto"/>
              <w:right w:val="single" w:sz="4" w:space="0" w:color="auto"/>
            </w:tcBorders>
            <w:shd w:val="clear" w:color="auto" w:fill="auto"/>
            <w:vAlign w:val="center"/>
            <w:hideMark/>
          </w:tcPr>
          <w:p w14:paraId="48F0F4D5" w14:textId="7AE7EB8A"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28 634</w:t>
            </w:r>
          </w:p>
        </w:tc>
        <w:tc>
          <w:tcPr>
            <w:tcW w:w="1208" w:type="dxa"/>
            <w:tcBorders>
              <w:top w:val="nil"/>
              <w:left w:val="nil"/>
              <w:bottom w:val="single" w:sz="4" w:space="0" w:color="auto"/>
              <w:right w:val="single" w:sz="4" w:space="0" w:color="auto"/>
            </w:tcBorders>
            <w:shd w:val="clear" w:color="auto" w:fill="auto"/>
            <w:vAlign w:val="center"/>
            <w:hideMark/>
          </w:tcPr>
          <w:p w14:paraId="5EED707C" w14:textId="001A3819"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171 913</w:t>
            </w:r>
          </w:p>
        </w:tc>
        <w:tc>
          <w:tcPr>
            <w:tcW w:w="956" w:type="dxa"/>
            <w:tcBorders>
              <w:top w:val="nil"/>
              <w:left w:val="nil"/>
              <w:bottom w:val="single" w:sz="4" w:space="0" w:color="auto"/>
              <w:right w:val="single" w:sz="4" w:space="0" w:color="auto"/>
            </w:tcBorders>
            <w:shd w:val="clear" w:color="auto" w:fill="auto"/>
            <w:vAlign w:val="center"/>
            <w:hideMark/>
          </w:tcPr>
          <w:p w14:paraId="56012E78" w14:textId="1A79B02B"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34 383</w:t>
            </w:r>
          </w:p>
        </w:tc>
      </w:tr>
      <w:tr w:rsidR="008B097A" w:rsidRPr="008D77AF" w14:paraId="50E2C4E5" w14:textId="77777777" w:rsidTr="00F313A6">
        <w:trPr>
          <w:trHeight w:val="315"/>
          <w:jc w:val="center"/>
        </w:trPr>
        <w:tc>
          <w:tcPr>
            <w:tcW w:w="578" w:type="dxa"/>
            <w:vMerge/>
            <w:tcBorders>
              <w:top w:val="nil"/>
              <w:left w:val="single" w:sz="4" w:space="0" w:color="auto"/>
              <w:bottom w:val="single" w:sz="4" w:space="0" w:color="000000"/>
              <w:right w:val="single" w:sz="4" w:space="0" w:color="auto"/>
            </w:tcBorders>
            <w:vAlign w:val="center"/>
            <w:hideMark/>
          </w:tcPr>
          <w:p w14:paraId="44166D5D" w14:textId="77777777" w:rsidR="008B097A" w:rsidRPr="008D77AF" w:rsidRDefault="008B097A" w:rsidP="008B097A">
            <w:pPr>
              <w:rPr>
                <w:rFonts w:asciiTheme="minorHAnsi" w:hAnsiTheme="minorHAnsi" w:cstheme="minorHAnsi"/>
                <w:color w:val="000000"/>
                <w:sz w:val="26"/>
                <w:szCs w:val="26"/>
                <w:lang w:eastAsia="ro-RO"/>
              </w:rPr>
            </w:pPr>
          </w:p>
        </w:tc>
        <w:tc>
          <w:tcPr>
            <w:tcW w:w="1872" w:type="dxa"/>
            <w:tcBorders>
              <w:top w:val="nil"/>
              <w:left w:val="nil"/>
              <w:bottom w:val="single" w:sz="4" w:space="0" w:color="auto"/>
              <w:right w:val="single" w:sz="4" w:space="0" w:color="auto"/>
            </w:tcBorders>
            <w:shd w:val="clear" w:color="auto" w:fill="auto"/>
            <w:vAlign w:val="center"/>
            <w:hideMark/>
          </w:tcPr>
          <w:p w14:paraId="2B6E5836" w14:textId="77777777" w:rsidR="008B097A" w:rsidRPr="008D77AF" w:rsidRDefault="008B097A" w:rsidP="008B097A">
            <w:pP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 </w:t>
            </w:r>
          </w:p>
        </w:tc>
        <w:tc>
          <w:tcPr>
            <w:tcW w:w="1046" w:type="dxa"/>
            <w:tcBorders>
              <w:top w:val="nil"/>
              <w:left w:val="nil"/>
              <w:bottom w:val="single" w:sz="4" w:space="0" w:color="auto"/>
              <w:right w:val="single" w:sz="4" w:space="0" w:color="auto"/>
            </w:tcBorders>
            <w:shd w:val="clear" w:color="auto" w:fill="auto"/>
            <w:vAlign w:val="center"/>
            <w:hideMark/>
          </w:tcPr>
          <w:p w14:paraId="433AD7C6" w14:textId="77777777" w:rsidR="008B097A" w:rsidRPr="008D77AF" w:rsidRDefault="008B097A" w:rsidP="008B097A">
            <w:pPr>
              <w:jc w:val="cente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CB</w:t>
            </w:r>
          </w:p>
        </w:tc>
        <w:tc>
          <w:tcPr>
            <w:tcW w:w="1227" w:type="dxa"/>
            <w:tcBorders>
              <w:top w:val="nil"/>
              <w:left w:val="nil"/>
              <w:bottom w:val="single" w:sz="4" w:space="0" w:color="auto"/>
              <w:right w:val="single" w:sz="4" w:space="0" w:color="auto"/>
            </w:tcBorders>
            <w:shd w:val="clear" w:color="auto" w:fill="auto"/>
            <w:vAlign w:val="center"/>
            <w:hideMark/>
          </w:tcPr>
          <w:p w14:paraId="43749DB2" w14:textId="3831BEF6"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173 305</w:t>
            </w:r>
          </w:p>
        </w:tc>
        <w:tc>
          <w:tcPr>
            <w:tcW w:w="1162" w:type="dxa"/>
            <w:tcBorders>
              <w:top w:val="nil"/>
              <w:left w:val="nil"/>
              <w:bottom w:val="single" w:sz="4" w:space="0" w:color="auto"/>
              <w:right w:val="single" w:sz="4" w:space="0" w:color="auto"/>
            </w:tcBorders>
            <w:shd w:val="clear" w:color="auto" w:fill="auto"/>
            <w:vAlign w:val="center"/>
            <w:hideMark/>
          </w:tcPr>
          <w:p w14:paraId="6BD29C8A" w14:textId="787FC1F7"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35 011</w:t>
            </w:r>
          </w:p>
        </w:tc>
        <w:tc>
          <w:tcPr>
            <w:tcW w:w="1208" w:type="dxa"/>
            <w:tcBorders>
              <w:top w:val="nil"/>
              <w:left w:val="nil"/>
              <w:bottom w:val="single" w:sz="4" w:space="0" w:color="auto"/>
              <w:right w:val="single" w:sz="4" w:space="0" w:color="auto"/>
            </w:tcBorders>
            <w:shd w:val="clear" w:color="auto" w:fill="auto"/>
            <w:vAlign w:val="center"/>
            <w:hideMark/>
          </w:tcPr>
          <w:p w14:paraId="09CC4309" w14:textId="53F87566"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143 009</w:t>
            </w:r>
          </w:p>
        </w:tc>
        <w:tc>
          <w:tcPr>
            <w:tcW w:w="1107" w:type="dxa"/>
            <w:tcBorders>
              <w:top w:val="nil"/>
              <w:left w:val="nil"/>
              <w:bottom w:val="single" w:sz="4" w:space="0" w:color="auto"/>
              <w:right w:val="single" w:sz="4" w:space="0" w:color="auto"/>
            </w:tcBorders>
            <w:shd w:val="clear" w:color="auto" w:fill="auto"/>
            <w:vAlign w:val="center"/>
            <w:hideMark/>
          </w:tcPr>
          <w:p w14:paraId="7C346F22" w14:textId="487DFEA6"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28 602</w:t>
            </w:r>
          </w:p>
        </w:tc>
        <w:tc>
          <w:tcPr>
            <w:tcW w:w="1208" w:type="dxa"/>
            <w:tcBorders>
              <w:top w:val="nil"/>
              <w:left w:val="nil"/>
              <w:bottom w:val="single" w:sz="4" w:space="0" w:color="auto"/>
              <w:right w:val="single" w:sz="4" w:space="0" w:color="auto"/>
            </w:tcBorders>
            <w:shd w:val="clear" w:color="auto" w:fill="auto"/>
            <w:vAlign w:val="center"/>
            <w:hideMark/>
          </w:tcPr>
          <w:p w14:paraId="02985468" w14:textId="02A19F72"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169 276</w:t>
            </w:r>
          </w:p>
        </w:tc>
        <w:tc>
          <w:tcPr>
            <w:tcW w:w="956" w:type="dxa"/>
            <w:tcBorders>
              <w:top w:val="nil"/>
              <w:left w:val="nil"/>
              <w:bottom w:val="single" w:sz="4" w:space="0" w:color="auto"/>
              <w:right w:val="single" w:sz="4" w:space="0" w:color="auto"/>
            </w:tcBorders>
            <w:shd w:val="clear" w:color="auto" w:fill="auto"/>
            <w:vAlign w:val="center"/>
            <w:hideMark/>
          </w:tcPr>
          <w:p w14:paraId="28EAC05F" w14:textId="648680AC"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33 855</w:t>
            </w:r>
          </w:p>
        </w:tc>
      </w:tr>
      <w:tr w:rsidR="008B097A" w:rsidRPr="008D77AF" w14:paraId="5C4F9533" w14:textId="77777777" w:rsidTr="00F313A6">
        <w:trPr>
          <w:trHeight w:val="285"/>
          <w:jc w:val="center"/>
        </w:trPr>
        <w:tc>
          <w:tcPr>
            <w:tcW w:w="578" w:type="dxa"/>
            <w:vMerge/>
            <w:tcBorders>
              <w:top w:val="nil"/>
              <w:left w:val="single" w:sz="4" w:space="0" w:color="auto"/>
              <w:bottom w:val="single" w:sz="4" w:space="0" w:color="000000"/>
              <w:right w:val="single" w:sz="4" w:space="0" w:color="auto"/>
            </w:tcBorders>
            <w:vAlign w:val="center"/>
            <w:hideMark/>
          </w:tcPr>
          <w:p w14:paraId="26A86181" w14:textId="77777777" w:rsidR="008B097A" w:rsidRPr="008D77AF" w:rsidRDefault="008B097A" w:rsidP="008B097A">
            <w:pPr>
              <w:rPr>
                <w:rFonts w:asciiTheme="minorHAnsi" w:hAnsiTheme="minorHAnsi" w:cstheme="minorHAnsi"/>
                <w:color w:val="000000"/>
                <w:sz w:val="26"/>
                <w:szCs w:val="26"/>
                <w:lang w:eastAsia="ro-RO"/>
              </w:rPr>
            </w:pPr>
          </w:p>
        </w:tc>
        <w:tc>
          <w:tcPr>
            <w:tcW w:w="1872" w:type="dxa"/>
            <w:vMerge w:val="restart"/>
            <w:tcBorders>
              <w:top w:val="nil"/>
              <w:left w:val="single" w:sz="4" w:space="0" w:color="auto"/>
              <w:bottom w:val="single" w:sz="4" w:space="0" w:color="000000"/>
              <w:right w:val="single" w:sz="4" w:space="0" w:color="auto"/>
            </w:tcBorders>
            <w:shd w:val="clear" w:color="auto" w:fill="auto"/>
            <w:vAlign w:val="center"/>
            <w:hideMark/>
          </w:tcPr>
          <w:p w14:paraId="24B16350" w14:textId="77777777" w:rsidR="008B097A" w:rsidRPr="008D77AF" w:rsidRDefault="008B097A" w:rsidP="008B097A">
            <w:pP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Pondere %</w:t>
            </w:r>
          </w:p>
        </w:tc>
        <w:tc>
          <w:tcPr>
            <w:tcW w:w="1046" w:type="dxa"/>
            <w:tcBorders>
              <w:top w:val="nil"/>
              <w:left w:val="nil"/>
              <w:bottom w:val="single" w:sz="4" w:space="0" w:color="auto"/>
              <w:right w:val="single" w:sz="4" w:space="0" w:color="auto"/>
            </w:tcBorders>
            <w:shd w:val="clear" w:color="auto" w:fill="auto"/>
            <w:vAlign w:val="center"/>
            <w:hideMark/>
          </w:tcPr>
          <w:p w14:paraId="443BB88C" w14:textId="77777777" w:rsidR="008B097A" w:rsidRPr="008D77AF" w:rsidRDefault="008B097A" w:rsidP="008B097A">
            <w:pPr>
              <w:jc w:val="cente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CA</w:t>
            </w:r>
          </w:p>
        </w:tc>
        <w:tc>
          <w:tcPr>
            <w:tcW w:w="2389" w:type="dxa"/>
            <w:gridSpan w:val="2"/>
            <w:tcBorders>
              <w:top w:val="single" w:sz="4" w:space="0" w:color="auto"/>
              <w:left w:val="nil"/>
              <w:bottom w:val="single" w:sz="4" w:space="0" w:color="auto"/>
              <w:right w:val="single" w:sz="4" w:space="0" w:color="000000"/>
            </w:tcBorders>
            <w:shd w:val="clear" w:color="auto" w:fill="auto"/>
            <w:vAlign w:val="center"/>
            <w:hideMark/>
          </w:tcPr>
          <w:p w14:paraId="4223AD73" w14:textId="7312073D" w:rsidR="008B097A" w:rsidRPr="007574BA" w:rsidRDefault="008B097A" w:rsidP="008B097A">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56.01%</w:t>
            </w:r>
          </w:p>
        </w:tc>
        <w:tc>
          <w:tcPr>
            <w:tcW w:w="2315" w:type="dxa"/>
            <w:gridSpan w:val="2"/>
            <w:tcBorders>
              <w:top w:val="single" w:sz="4" w:space="0" w:color="auto"/>
              <w:left w:val="nil"/>
              <w:bottom w:val="single" w:sz="4" w:space="0" w:color="auto"/>
              <w:right w:val="single" w:sz="4" w:space="0" w:color="000000"/>
            </w:tcBorders>
            <w:shd w:val="clear" w:color="auto" w:fill="auto"/>
            <w:vAlign w:val="center"/>
            <w:hideMark/>
          </w:tcPr>
          <w:p w14:paraId="6DC1DF67" w14:textId="18F0A13A" w:rsidR="008B097A" w:rsidRPr="007574BA" w:rsidRDefault="008B097A" w:rsidP="008B097A">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44.81%</w:t>
            </w:r>
          </w:p>
        </w:tc>
        <w:tc>
          <w:tcPr>
            <w:tcW w:w="2164" w:type="dxa"/>
            <w:gridSpan w:val="2"/>
            <w:tcBorders>
              <w:top w:val="single" w:sz="4" w:space="0" w:color="auto"/>
              <w:left w:val="nil"/>
              <w:bottom w:val="single" w:sz="4" w:space="0" w:color="auto"/>
              <w:right w:val="single" w:sz="4" w:space="0" w:color="000000"/>
            </w:tcBorders>
            <w:shd w:val="clear" w:color="auto" w:fill="auto"/>
            <w:vAlign w:val="center"/>
            <w:hideMark/>
          </w:tcPr>
          <w:p w14:paraId="41A46F53" w14:textId="7BE90E3D" w:rsidR="008B097A" w:rsidRPr="007574BA" w:rsidRDefault="008B097A" w:rsidP="008B097A">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37.94%</w:t>
            </w:r>
          </w:p>
        </w:tc>
      </w:tr>
      <w:tr w:rsidR="008B097A" w:rsidRPr="008D77AF" w14:paraId="332D079D" w14:textId="77777777" w:rsidTr="00F313A6">
        <w:trPr>
          <w:trHeight w:val="300"/>
          <w:jc w:val="center"/>
        </w:trPr>
        <w:tc>
          <w:tcPr>
            <w:tcW w:w="578" w:type="dxa"/>
            <w:vMerge/>
            <w:tcBorders>
              <w:top w:val="nil"/>
              <w:left w:val="single" w:sz="4" w:space="0" w:color="auto"/>
              <w:bottom w:val="single" w:sz="4" w:space="0" w:color="000000"/>
              <w:right w:val="single" w:sz="4" w:space="0" w:color="auto"/>
            </w:tcBorders>
            <w:vAlign w:val="center"/>
            <w:hideMark/>
          </w:tcPr>
          <w:p w14:paraId="741B9B64" w14:textId="77777777" w:rsidR="008B097A" w:rsidRPr="008D77AF" w:rsidRDefault="008B097A" w:rsidP="008B097A">
            <w:pPr>
              <w:rPr>
                <w:rFonts w:asciiTheme="minorHAnsi" w:hAnsiTheme="minorHAnsi" w:cstheme="minorHAnsi"/>
                <w:color w:val="000000"/>
                <w:sz w:val="26"/>
                <w:szCs w:val="26"/>
                <w:lang w:eastAsia="ro-RO"/>
              </w:rPr>
            </w:pPr>
          </w:p>
        </w:tc>
        <w:tc>
          <w:tcPr>
            <w:tcW w:w="1872" w:type="dxa"/>
            <w:vMerge/>
            <w:tcBorders>
              <w:top w:val="nil"/>
              <w:left w:val="single" w:sz="4" w:space="0" w:color="auto"/>
              <w:bottom w:val="single" w:sz="4" w:space="0" w:color="000000"/>
              <w:right w:val="single" w:sz="4" w:space="0" w:color="auto"/>
            </w:tcBorders>
            <w:vAlign w:val="center"/>
            <w:hideMark/>
          </w:tcPr>
          <w:p w14:paraId="622551AC" w14:textId="77777777" w:rsidR="008B097A" w:rsidRPr="008D77AF" w:rsidRDefault="008B097A" w:rsidP="008B097A">
            <w:pPr>
              <w:rPr>
                <w:rFonts w:asciiTheme="minorHAnsi" w:hAnsiTheme="minorHAnsi" w:cstheme="minorHAnsi"/>
                <w:color w:val="000000"/>
                <w:sz w:val="26"/>
                <w:szCs w:val="26"/>
                <w:lang w:eastAsia="ro-RO"/>
              </w:rPr>
            </w:pPr>
          </w:p>
        </w:tc>
        <w:tc>
          <w:tcPr>
            <w:tcW w:w="1046" w:type="dxa"/>
            <w:tcBorders>
              <w:top w:val="nil"/>
              <w:left w:val="nil"/>
              <w:bottom w:val="single" w:sz="4" w:space="0" w:color="auto"/>
              <w:right w:val="single" w:sz="4" w:space="0" w:color="auto"/>
            </w:tcBorders>
            <w:shd w:val="clear" w:color="auto" w:fill="auto"/>
            <w:vAlign w:val="center"/>
            <w:hideMark/>
          </w:tcPr>
          <w:p w14:paraId="4CBB278C" w14:textId="77777777" w:rsidR="008B097A" w:rsidRPr="008D77AF" w:rsidRDefault="008B097A" w:rsidP="008B097A">
            <w:pPr>
              <w:jc w:val="cente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CB</w:t>
            </w:r>
          </w:p>
        </w:tc>
        <w:tc>
          <w:tcPr>
            <w:tcW w:w="2389" w:type="dxa"/>
            <w:gridSpan w:val="2"/>
            <w:tcBorders>
              <w:top w:val="single" w:sz="4" w:space="0" w:color="auto"/>
              <w:left w:val="nil"/>
              <w:bottom w:val="single" w:sz="4" w:space="0" w:color="auto"/>
              <w:right w:val="single" w:sz="4" w:space="0" w:color="000000"/>
            </w:tcBorders>
            <w:shd w:val="clear" w:color="auto" w:fill="auto"/>
            <w:vAlign w:val="center"/>
            <w:hideMark/>
          </w:tcPr>
          <w:p w14:paraId="42E90D8F" w14:textId="08AA1E1F" w:rsidR="008B097A" w:rsidRPr="007574BA" w:rsidRDefault="008B097A" w:rsidP="008B097A">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57.95%</w:t>
            </w:r>
          </w:p>
        </w:tc>
        <w:tc>
          <w:tcPr>
            <w:tcW w:w="2315" w:type="dxa"/>
            <w:gridSpan w:val="2"/>
            <w:tcBorders>
              <w:top w:val="single" w:sz="4" w:space="0" w:color="auto"/>
              <w:left w:val="nil"/>
              <w:bottom w:val="single" w:sz="4" w:space="0" w:color="auto"/>
              <w:right w:val="single" w:sz="4" w:space="0" w:color="000000"/>
            </w:tcBorders>
            <w:shd w:val="clear" w:color="auto" w:fill="auto"/>
            <w:vAlign w:val="center"/>
            <w:hideMark/>
          </w:tcPr>
          <w:p w14:paraId="01BA0FC7" w14:textId="4CC1B8DF" w:rsidR="008B097A" w:rsidRPr="007574BA" w:rsidRDefault="008B097A" w:rsidP="008B097A">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45.01%</w:t>
            </w:r>
          </w:p>
        </w:tc>
        <w:tc>
          <w:tcPr>
            <w:tcW w:w="2164" w:type="dxa"/>
            <w:gridSpan w:val="2"/>
            <w:tcBorders>
              <w:top w:val="single" w:sz="4" w:space="0" w:color="auto"/>
              <w:left w:val="nil"/>
              <w:bottom w:val="single" w:sz="4" w:space="0" w:color="auto"/>
              <w:right w:val="single" w:sz="4" w:space="0" w:color="000000"/>
            </w:tcBorders>
            <w:shd w:val="clear" w:color="auto" w:fill="auto"/>
            <w:vAlign w:val="center"/>
            <w:hideMark/>
          </w:tcPr>
          <w:p w14:paraId="59FBFD30" w14:textId="6CD17420" w:rsidR="008B097A" w:rsidRPr="007574BA" w:rsidRDefault="008B097A" w:rsidP="008B097A">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38.10%</w:t>
            </w:r>
          </w:p>
        </w:tc>
      </w:tr>
      <w:tr w:rsidR="008B097A" w:rsidRPr="008D77AF" w14:paraId="2B125E6E" w14:textId="77777777" w:rsidTr="00F313A6">
        <w:trPr>
          <w:trHeight w:val="540"/>
          <w:jc w:val="center"/>
        </w:trPr>
        <w:tc>
          <w:tcPr>
            <w:tcW w:w="578"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6189CF1A" w14:textId="77777777" w:rsidR="008B097A" w:rsidRPr="008D77AF" w:rsidRDefault="008B097A" w:rsidP="008B097A">
            <w:pPr>
              <w:jc w:val="cente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B.</w:t>
            </w:r>
          </w:p>
        </w:tc>
        <w:tc>
          <w:tcPr>
            <w:tcW w:w="1872" w:type="dxa"/>
            <w:tcBorders>
              <w:top w:val="nil"/>
              <w:left w:val="nil"/>
              <w:bottom w:val="single" w:sz="4" w:space="0" w:color="auto"/>
              <w:right w:val="single" w:sz="4" w:space="0" w:color="auto"/>
            </w:tcBorders>
            <w:shd w:val="clear" w:color="auto" w:fill="auto"/>
            <w:vAlign w:val="center"/>
            <w:hideMark/>
          </w:tcPr>
          <w:p w14:paraId="7EDAF3B4" w14:textId="77777777" w:rsidR="008B097A" w:rsidRPr="008D77AF" w:rsidRDefault="008B097A" w:rsidP="008B097A">
            <w:pP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Inspectia Judiciara</w:t>
            </w:r>
          </w:p>
        </w:tc>
        <w:tc>
          <w:tcPr>
            <w:tcW w:w="1046" w:type="dxa"/>
            <w:tcBorders>
              <w:top w:val="nil"/>
              <w:left w:val="nil"/>
              <w:bottom w:val="single" w:sz="4" w:space="0" w:color="auto"/>
              <w:right w:val="single" w:sz="4" w:space="0" w:color="auto"/>
            </w:tcBorders>
            <w:shd w:val="clear" w:color="auto" w:fill="auto"/>
            <w:vAlign w:val="center"/>
            <w:hideMark/>
          </w:tcPr>
          <w:p w14:paraId="30C449BC" w14:textId="77777777" w:rsidR="008B097A" w:rsidRPr="008D77AF" w:rsidRDefault="008B097A" w:rsidP="008B097A">
            <w:pPr>
              <w:jc w:val="cente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CA</w:t>
            </w:r>
          </w:p>
        </w:tc>
        <w:tc>
          <w:tcPr>
            <w:tcW w:w="1227" w:type="dxa"/>
            <w:tcBorders>
              <w:top w:val="nil"/>
              <w:left w:val="nil"/>
              <w:bottom w:val="single" w:sz="4" w:space="0" w:color="auto"/>
              <w:right w:val="single" w:sz="4" w:space="0" w:color="auto"/>
            </w:tcBorders>
            <w:shd w:val="clear" w:color="auto" w:fill="auto"/>
            <w:vAlign w:val="center"/>
            <w:hideMark/>
          </w:tcPr>
          <w:p w14:paraId="754D892F" w14:textId="340B67B2"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36 645</w:t>
            </w:r>
          </w:p>
        </w:tc>
        <w:tc>
          <w:tcPr>
            <w:tcW w:w="1162" w:type="dxa"/>
            <w:tcBorders>
              <w:top w:val="nil"/>
              <w:left w:val="nil"/>
              <w:bottom w:val="single" w:sz="4" w:space="0" w:color="auto"/>
              <w:right w:val="single" w:sz="4" w:space="0" w:color="auto"/>
            </w:tcBorders>
            <w:shd w:val="clear" w:color="auto" w:fill="auto"/>
            <w:vAlign w:val="center"/>
            <w:hideMark/>
          </w:tcPr>
          <w:p w14:paraId="3A94D2C0" w14:textId="7436F7DF"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7 403</w:t>
            </w:r>
          </w:p>
        </w:tc>
        <w:tc>
          <w:tcPr>
            <w:tcW w:w="1208" w:type="dxa"/>
            <w:tcBorders>
              <w:top w:val="nil"/>
              <w:left w:val="nil"/>
              <w:bottom w:val="single" w:sz="4" w:space="0" w:color="auto"/>
              <w:right w:val="single" w:sz="4" w:space="0" w:color="auto"/>
            </w:tcBorders>
            <w:shd w:val="clear" w:color="auto" w:fill="auto"/>
            <w:vAlign w:val="center"/>
            <w:hideMark/>
          </w:tcPr>
          <w:p w14:paraId="7A65E132" w14:textId="7C56B224"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52 679</w:t>
            </w:r>
          </w:p>
        </w:tc>
        <w:tc>
          <w:tcPr>
            <w:tcW w:w="1107" w:type="dxa"/>
            <w:tcBorders>
              <w:top w:val="nil"/>
              <w:left w:val="nil"/>
              <w:bottom w:val="single" w:sz="4" w:space="0" w:color="auto"/>
              <w:right w:val="single" w:sz="4" w:space="0" w:color="auto"/>
            </w:tcBorders>
            <w:shd w:val="clear" w:color="auto" w:fill="auto"/>
            <w:vAlign w:val="center"/>
            <w:hideMark/>
          </w:tcPr>
          <w:p w14:paraId="317D2603" w14:textId="17F8B4AB"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10 536</w:t>
            </w:r>
          </w:p>
        </w:tc>
        <w:tc>
          <w:tcPr>
            <w:tcW w:w="1208" w:type="dxa"/>
            <w:tcBorders>
              <w:top w:val="nil"/>
              <w:left w:val="nil"/>
              <w:bottom w:val="single" w:sz="4" w:space="0" w:color="auto"/>
              <w:right w:val="single" w:sz="4" w:space="0" w:color="auto"/>
            </w:tcBorders>
            <w:shd w:val="clear" w:color="auto" w:fill="auto"/>
            <w:vAlign w:val="center"/>
            <w:hideMark/>
          </w:tcPr>
          <w:p w14:paraId="29281BD4" w14:textId="66A1B6B0"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73 750</w:t>
            </w:r>
          </w:p>
        </w:tc>
        <w:tc>
          <w:tcPr>
            <w:tcW w:w="956" w:type="dxa"/>
            <w:tcBorders>
              <w:top w:val="nil"/>
              <w:left w:val="nil"/>
              <w:bottom w:val="single" w:sz="4" w:space="0" w:color="auto"/>
              <w:right w:val="single" w:sz="4" w:space="0" w:color="auto"/>
            </w:tcBorders>
            <w:shd w:val="clear" w:color="auto" w:fill="auto"/>
            <w:vAlign w:val="center"/>
            <w:hideMark/>
          </w:tcPr>
          <w:p w14:paraId="02C06C96" w14:textId="0FC8815A"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14 750</w:t>
            </w:r>
          </w:p>
        </w:tc>
      </w:tr>
      <w:tr w:rsidR="008B097A" w:rsidRPr="008D77AF" w14:paraId="744E43A0" w14:textId="77777777" w:rsidTr="00F313A6">
        <w:trPr>
          <w:trHeight w:val="315"/>
          <w:jc w:val="center"/>
        </w:trPr>
        <w:tc>
          <w:tcPr>
            <w:tcW w:w="578" w:type="dxa"/>
            <w:vMerge/>
            <w:tcBorders>
              <w:top w:val="nil"/>
              <w:left w:val="single" w:sz="4" w:space="0" w:color="auto"/>
              <w:bottom w:val="single" w:sz="4" w:space="0" w:color="000000"/>
              <w:right w:val="single" w:sz="4" w:space="0" w:color="auto"/>
            </w:tcBorders>
            <w:vAlign w:val="center"/>
            <w:hideMark/>
          </w:tcPr>
          <w:p w14:paraId="7ABD74AE" w14:textId="77777777" w:rsidR="008B097A" w:rsidRPr="008D77AF" w:rsidRDefault="008B097A" w:rsidP="008B097A">
            <w:pPr>
              <w:rPr>
                <w:rFonts w:asciiTheme="minorHAnsi" w:hAnsiTheme="minorHAnsi" w:cstheme="minorHAnsi"/>
                <w:color w:val="000000"/>
                <w:sz w:val="26"/>
                <w:szCs w:val="26"/>
                <w:lang w:eastAsia="ro-RO"/>
              </w:rPr>
            </w:pPr>
          </w:p>
        </w:tc>
        <w:tc>
          <w:tcPr>
            <w:tcW w:w="1872" w:type="dxa"/>
            <w:tcBorders>
              <w:top w:val="nil"/>
              <w:left w:val="nil"/>
              <w:bottom w:val="single" w:sz="4" w:space="0" w:color="auto"/>
              <w:right w:val="single" w:sz="4" w:space="0" w:color="auto"/>
            </w:tcBorders>
            <w:shd w:val="clear" w:color="auto" w:fill="auto"/>
            <w:vAlign w:val="center"/>
            <w:hideMark/>
          </w:tcPr>
          <w:p w14:paraId="51323C6F" w14:textId="77777777" w:rsidR="008B097A" w:rsidRPr="008D77AF" w:rsidRDefault="008B097A" w:rsidP="008B097A">
            <w:pP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 </w:t>
            </w:r>
          </w:p>
        </w:tc>
        <w:tc>
          <w:tcPr>
            <w:tcW w:w="1046" w:type="dxa"/>
            <w:tcBorders>
              <w:top w:val="nil"/>
              <w:left w:val="nil"/>
              <w:bottom w:val="single" w:sz="4" w:space="0" w:color="auto"/>
              <w:right w:val="single" w:sz="4" w:space="0" w:color="auto"/>
            </w:tcBorders>
            <w:shd w:val="clear" w:color="auto" w:fill="auto"/>
            <w:vAlign w:val="center"/>
            <w:hideMark/>
          </w:tcPr>
          <w:p w14:paraId="0F4546AB" w14:textId="77777777" w:rsidR="008B097A" w:rsidRPr="008D77AF" w:rsidRDefault="008B097A" w:rsidP="008B097A">
            <w:pPr>
              <w:jc w:val="cente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CB</w:t>
            </w:r>
          </w:p>
        </w:tc>
        <w:tc>
          <w:tcPr>
            <w:tcW w:w="1227" w:type="dxa"/>
            <w:tcBorders>
              <w:top w:val="nil"/>
              <w:left w:val="nil"/>
              <w:bottom w:val="single" w:sz="4" w:space="0" w:color="auto"/>
              <w:right w:val="single" w:sz="4" w:space="0" w:color="auto"/>
            </w:tcBorders>
            <w:shd w:val="clear" w:color="auto" w:fill="auto"/>
            <w:vAlign w:val="center"/>
            <w:hideMark/>
          </w:tcPr>
          <w:p w14:paraId="6FB4C783" w14:textId="039D28ED"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36 645</w:t>
            </w:r>
          </w:p>
        </w:tc>
        <w:tc>
          <w:tcPr>
            <w:tcW w:w="1162" w:type="dxa"/>
            <w:tcBorders>
              <w:top w:val="nil"/>
              <w:left w:val="nil"/>
              <w:bottom w:val="single" w:sz="4" w:space="0" w:color="auto"/>
              <w:right w:val="single" w:sz="4" w:space="0" w:color="auto"/>
            </w:tcBorders>
            <w:shd w:val="clear" w:color="auto" w:fill="auto"/>
            <w:vAlign w:val="center"/>
            <w:hideMark/>
          </w:tcPr>
          <w:p w14:paraId="0556F20B" w14:textId="568135CF"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7 403</w:t>
            </w:r>
          </w:p>
        </w:tc>
        <w:tc>
          <w:tcPr>
            <w:tcW w:w="1208" w:type="dxa"/>
            <w:tcBorders>
              <w:top w:val="nil"/>
              <w:left w:val="nil"/>
              <w:bottom w:val="single" w:sz="4" w:space="0" w:color="auto"/>
              <w:right w:val="single" w:sz="4" w:space="0" w:color="auto"/>
            </w:tcBorders>
            <w:shd w:val="clear" w:color="auto" w:fill="auto"/>
            <w:vAlign w:val="center"/>
            <w:hideMark/>
          </w:tcPr>
          <w:p w14:paraId="73903070" w14:textId="59C5791F"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52 355</w:t>
            </w:r>
          </w:p>
        </w:tc>
        <w:tc>
          <w:tcPr>
            <w:tcW w:w="1107" w:type="dxa"/>
            <w:tcBorders>
              <w:top w:val="nil"/>
              <w:left w:val="nil"/>
              <w:bottom w:val="single" w:sz="4" w:space="0" w:color="auto"/>
              <w:right w:val="single" w:sz="4" w:space="0" w:color="auto"/>
            </w:tcBorders>
            <w:shd w:val="clear" w:color="auto" w:fill="auto"/>
            <w:vAlign w:val="center"/>
            <w:hideMark/>
          </w:tcPr>
          <w:p w14:paraId="7D9F2B79" w14:textId="161441B7"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10 471</w:t>
            </w:r>
          </w:p>
        </w:tc>
        <w:tc>
          <w:tcPr>
            <w:tcW w:w="1208" w:type="dxa"/>
            <w:tcBorders>
              <w:top w:val="nil"/>
              <w:left w:val="nil"/>
              <w:bottom w:val="single" w:sz="4" w:space="0" w:color="auto"/>
              <w:right w:val="single" w:sz="4" w:space="0" w:color="auto"/>
            </w:tcBorders>
            <w:shd w:val="clear" w:color="auto" w:fill="auto"/>
            <w:vAlign w:val="center"/>
            <w:hideMark/>
          </w:tcPr>
          <w:p w14:paraId="5E53CBA6" w14:textId="38F1D5C5"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73 750</w:t>
            </w:r>
          </w:p>
        </w:tc>
        <w:tc>
          <w:tcPr>
            <w:tcW w:w="956" w:type="dxa"/>
            <w:tcBorders>
              <w:top w:val="nil"/>
              <w:left w:val="nil"/>
              <w:bottom w:val="single" w:sz="4" w:space="0" w:color="auto"/>
              <w:right w:val="single" w:sz="4" w:space="0" w:color="auto"/>
            </w:tcBorders>
            <w:shd w:val="clear" w:color="auto" w:fill="auto"/>
            <w:vAlign w:val="center"/>
            <w:hideMark/>
          </w:tcPr>
          <w:p w14:paraId="4FB88189" w14:textId="6ACB34D8"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14 750</w:t>
            </w:r>
          </w:p>
        </w:tc>
      </w:tr>
      <w:tr w:rsidR="008B097A" w:rsidRPr="008D77AF" w14:paraId="47D1B032" w14:textId="77777777" w:rsidTr="00F313A6">
        <w:trPr>
          <w:trHeight w:val="285"/>
          <w:jc w:val="center"/>
        </w:trPr>
        <w:tc>
          <w:tcPr>
            <w:tcW w:w="578" w:type="dxa"/>
            <w:vMerge/>
            <w:tcBorders>
              <w:top w:val="nil"/>
              <w:left w:val="single" w:sz="4" w:space="0" w:color="auto"/>
              <w:bottom w:val="single" w:sz="4" w:space="0" w:color="000000"/>
              <w:right w:val="single" w:sz="4" w:space="0" w:color="auto"/>
            </w:tcBorders>
            <w:vAlign w:val="center"/>
            <w:hideMark/>
          </w:tcPr>
          <w:p w14:paraId="79854FAD" w14:textId="77777777" w:rsidR="008B097A" w:rsidRPr="008D77AF" w:rsidRDefault="008B097A" w:rsidP="008B097A">
            <w:pPr>
              <w:rPr>
                <w:rFonts w:asciiTheme="minorHAnsi" w:hAnsiTheme="minorHAnsi" w:cstheme="minorHAnsi"/>
                <w:color w:val="000000"/>
                <w:sz w:val="26"/>
                <w:szCs w:val="26"/>
                <w:lang w:eastAsia="ro-RO"/>
              </w:rPr>
            </w:pPr>
          </w:p>
        </w:tc>
        <w:tc>
          <w:tcPr>
            <w:tcW w:w="1872" w:type="dxa"/>
            <w:vMerge w:val="restart"/>
            <w:tcBorders>
              <w:top w:val="nil"/>
              <w:left w:val="single" w:sz="4" w:space="0" w:color="auto"/>
              <w:bottom w:val="single" w:sz="4" w:space="0" w:color="000000"/>
              <w:right w:val="single" w:sz="4" w:space="0" w:color="auto"/>
            </w:tcBorders>
            <w:shd w:val="clear" w:color="auto" w:fill="auto"/>
            <w:vAlign w:val="center"/>
            <w:hideMark/>
          </w:tcPr>
          <w:p w14:paraId="0A4E981C" w14:textId="77777777" w:rsidR="008B097A" w:rsidRPr="008D77AF" w:rsidRDefault="008B097A" w:rsidP="008B097A">
            <w:pP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Pondere %</w:t>
            </w:r>
          </w:p>
        </w:tc>
        <w:tc>
          <w:tcPr>
            <w:tcW w:w="1046" w:type="dxa"/>
            <w:tcBorders>
              <w:top w:val="nil"/>
              <w:left w:val="nil"/>
              <w:bottom w:val="single" w:sz="4" w:space="0" w:color="auto"/>
              <w:right w:val="single" w:sz="4" w:space="0" w:color="auto"/>
            </w:tcBorders>
            <w:shd w:val="clear" w:color="auto" w:fill="auto"/>
            <w:vAlign w:val="center"/>
            <w:hideMark/>
          </w:tcPr>
          <w:p w14:paraId="042E322F" w14:textId="77777777" w:rsidR="008B097A" w:rsidRPr="008D77AF" w:rsidRDefault="008B097A" w:rsidP="008B097A">
            <w:pPr>
              <w:jc w:val="cente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CA</w:t>
            </w:r>
          </w:p>
        </w:tc>
        <w:tc>
          <w:tcPr>
            <w:tcW w:w="2389" w:type="dxa"/>
            <w:gridSpan w:val="2"/>
            <w:tcBorders>
              <w:top w:val="single" w:sz="4" w:space="0" w:color="auto"/>
              <w:left w:val="nil"/>
              <w:bottom w:val="single" w:sz="4" w:space="0" w:color="auto"/>
              <w:right w:val="single" w:sz="4" w:space="0" w:color="000000"/>
            </w:tcBorders>
            <w:shd w:val="clear" w:color="auto" w:fill="auto"/>
            <w:vAlign w:val="center"/>
            <w:hideMark/>
          </w:tcPr>
          <w:p w14:paraId="7B47D78A" w14:textId="5FC2469C" w:rsidR="008B097A" w:rsidRPr="007574BA" w:rsidRDefault="008B097A" w:rsidP="008B097A">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13.21%</w:t>
            </w:r>
          </w:p>
        </w:tc>
        <w:tc>
          <w:tcPr>
            <w:tcW w:w="2315" w:type="dxa"/>
            <w:gridSpan w:val="2"/>
            <w:tcBorders>
              <w:top w:val="single" w:sz="4" w:space="0" w:color="auto"/>
              <w:left w:val="nil"/>
              <w:bottom w:val="single" w:sz="4" w:space="0" w:color="auto"/>
              <w:right w:val="single" w:sz="4" w:space="0" w:color="000000"/>
            </w:tcBorders>
            <w:shd w:val="clear" w:color="auto" w:fill="auto"/>
            <w:vAlign w:val="center"/>
            <w:hideMark/>
          </w:tcPr>
          <w:p w14:paraId="0E24B841" w14:textId="305B8CE8" w:rsidR="008B097A" w:rsidRPr="007574BA" w:rsidRDefault="008B097A" w:rsidP="008B097A">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16.49%</w:t>
            </w:r>
          </w:p>
        </w:tc>
        <w:tc>
          <w:tcPr>
            <w:tcW w:w="2164" w:type="dxa"/>
            <w:gridSpan w:val="2"/>
            <w:tcBorders>
              <w:top w:val="single" w:sz="4" w:space="0" w:color="auto"/>
              <w:left w:val="nil"/>
              <w:bottom w:val="single" w:sz="4" w:space="0" w:color="auto"/>
              <w:right w:val="single" w:sz="4" w:space="0" w:color="000000"/>
            </w:tcBorders>
            <w:shd w:val="clear" w:color="auto" w:fill="auto"/>
            <w:vAlign w:val="center"/>
            <w:hideMark/>
          </w:tcPr>
          <w:p w14:paraId="31BD577A" w14:textId="0F6DA4AB" w:rsidR="008B097A" w:rsidRPr="007574BA" w:rsidRDefault="008B097A" w:rsidP="008B097A">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16.28%</w:t>
            </w:r>
          </w:p>
        </w:tc>
      </w:tr>
      <w:tr w:rsidR="008B097A" w:rsidRPr="008D77AF" w14:paraId="66B8CD59" w14:textId="77777777" w:rsidTr="00F313A6">
        <w:trPr>
          <w:trHeight w:val="300"/>
          <w:jc w:val="center"/>
        </w:trPr>
        <w:tc>
          <w:tcPr>
            <w:tcW w:w="578" w:type="dxa"/>
            <w:vMerge/>
            <w:tcBorders>
              <w:top w:val="nil"/>
              <w:left w:val="single" w:sz="4" w:space="0" w:color="auto"/>
              <w:bottom w:val="single" w:sz="4" w:space="0" w:color="000000"/>
              <w:right w:val="single" w:sz="4" w:space="0" w:color="auto"/>
            </w:tcBorders>
            <w:vAlign w:val="center"/>
            <w:hideMark/>
          </w:tcPr>
          <w:p w14:paraId="526155F0" w14:textId="77777777" w:rsidR="008B097A" w:rsidRPr="008D77AF" w:rsidRDefault="008B097A" w:rsidP="008B097A">
            <w:pPr>
              <w:rPr>
                <w:rFonts w:asciiTheme="minorHAnsi" w:hAnsiTheme="minorHAnsi" w:cstheme="minorHAnsi"/>
                <w:color w:val="000000"/>
                <w:sz w:val="26"/>
                <w:szCs w:val="26"/>
                <w:lang w:eastAsia="ro-RO"/>
              </w:rPr>
            </w:pPr>
          </w:p>
        </w:tc>
        <w:tc>
          <w:tcPr>
            <w:tcW w:w="1872" w:type="dxa"/>
            <w:vMerge/>
            <w:tcBorders>
              <w:top w:val="nil"/>
              <w:left w:val="single" w:sz="4" w:space="0" w:color="auto"/>
              <w:bottom w:val="single" w:sz="4" w:space="0" w:color="000000"/>
              <w:right w:val="single" w:sz="4" w:space="0" w:color="auto"/>
            </w:tcBorders>
            <w:vAlign w:val="center"/>
            <w:hideMark/>
          </w:tcPr>
          <w:p w14:paraId="7B2AC7FA" w14:textId="77777777" w:rsidR="008B097A" w:rsidRPr="008D77AF" w:rsidRDefault="008B097A" w:rsidP="008B097A">
            <w:pPr>
              <w:rPr>
                <w:rFonts w:asciiTheme="minorHAnsi" w:hAnsiTheme="minorHAnsi" w:cstheme="minorHAnsi"/>
                <w:color w:val="000000"/>
                <w:sz w:val="26"/>
                <w:szCs w:val="26"/>
                <w:lang w:eastAsia="ro-RO"/>
              </w:rPr>
            </w:pPr>
          </w:p>
        </w:tc>
        <w:tc>
          <w:tcPr>
            <w:tcW w:w="1046" w:type="dxa"/>
            <w:tcBorders>
              <w:top w:val="nil"/>
              <w:left w:val="nil"/>
              <w:bottom w:val="single" w:sz="4" w:space="0" w:color="auto"/>
              <w:right w:val="single" w:sz="4" w:space="0" w:color="auto"/>
            </w:tcBorders>
            <w:shd w:val="clear" w:color="auto" w:fill="auto"/>
            <w:vAlign w:val="center"/>
            <w:hideMark/>
          </w:tcPr>
          <w:p w14:paraId="3346C253" w14:textId="77777777" w:rsidR="008B097A" w:rsidRPr="008D77AF" w:rsidRDefault="008B097A" w:rsidP="008B097A">
            <w:pPr>
              <w:jc w:val="cente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CB</w:t>
            </w:r>
          </w:p>
        </w:tc>
        <w:tc>
          <w:tcPr>
            <w:tcW w:w="2389" w:type="dxa"/>
            <w:gridSpan w:val="2"/>
            <w:tcBorders>
              <w:top w:val="single" w:sz="4" w:space="0" w:color="auto"/>
              <w:left w:val="nil"/>
              <w:bottom w:val="single" w:sz="4" w:space="0" w:color="auto"/>
              <w:right w:val="single" w:sz="4" w:space="0" w:color="000000"/>
            </w:tcBorders>
            <w:shd w:val="clear" w:color="auto" w:fill="auto"/>
            <w:vAlign w:val="center"/>
            <w:hideMark/>
          </w:tcPr>
          <w:p w14:paraId="3C99B169" w14:textId="16182CE6" w:rsidR="008B097A" w:rsidRPr="007574BA" w:rsidRDefault="008B097A" w:rsidP="008B097A">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12.25%</w:t>
            </w:r>
          </w:p>
        </w:tc>
        <w:tc>
          <w:tcPr>
            <w:tcW w:w="2315" w:type="dxa"/>
            <w:gridSpan w:val="2"/>
            <w:tcBorders>
              <w:top w:val="single" w:sz="4" w:space="0" w:color="auto"/>
              <w:left w:val="nil"/>
              <w:bottom w:val="single" w:sz="4" w:space="0" w:color="auto"/>
              <w:right w:val="single" w:sz="4" w:space="0" w:color="000000"/>
            </w:tcBorders>
            <w:shd w:val="clear" w:color="auto" w:fill="auto"/>
            <w:vAlign w:val="center"/>
            <w:hideMark/>
          </w:tcPr>
          <w:p w14:paraId="6F37D904" w14:textId="0484477E" w:rsidR="008B097A" w:rsidRPr="007574BA" w:rsidRDefault="008B097A" w:rsidP="008B097A">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16.48%</w:t>
            </w:r>
          </w:p>
        </w:tc>
        <w:tc>
          <w:tcPr>
            <w:tcW w:w="2164" w:type="dxa"/>
            <w:gridSpan w:val="2"/>
            <w:tcBorders>
              <w:top w:val="single" w:sz="4" w:space="0" w:color="auto"/>
              <w:left w:val="nil"/>
              <w:bottom w:val="single" w:sz="4" w:space="0" w:color="auto"/>
              <w:right w:val="single" w:sz="4" w:space="0" w:color="000000"/>
            </w:tcBorders>
            <w:shd w:val="clear" w:color="auto" w:fill="auto"/>
            <w:vAlign w:val="center"/>
            <w:hideMark/>
          </w:tcPr>
          <w:p w14:paraId="4C8D606B" w14:textId="51285D9D" w:rsidR="008B097A" w:rsidRPr="007574BA" w:rsidRDefault="008B097A" w:rsidP="008B097A">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16.60%</w:t>
            </w:r>
          </w:p>
        </w:tc>
      </w:tr>
      <w:tr w:rsidR="008B097A" w:rsidRPr="008D77AF" w14:paraId="53CC283A" w14:textId="77777777" w:rsidTr="00F313A6">
        <w:trPr>
          <w:trHeight w:val="300"/>
          <w:jc w:val="center"/>
        </w:trPr>
        <w:tc>
          <w:tcPr>
            <w:tcW w:w="578"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5AAABF6C" w14:textId="77777777" w:rsidR="008B097A" w:rsidRPr="008D77AF" w:rsidRDefault="008B097A" w:rsidP="008B097A">
            <w:pPr>
              <w:jc w:val="cente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lastRenderedPageBreak/>
              <w:t>C.</w:t>
            </w:r>
          </w:p>
        </w:tc>
        <w:tc>
          <w:tcPr>
            <w:tcW w:w="1872" w:type="dxa"/>
            <w:tcBorders>
              <w:top w:val="nil"/>
              <w:left w:val="nil"/>
              <w:bottom w:val="single" w:sz="4" w:space="0" w:color="auto"/>
              <w:right w:val="single" w:sz="4" w:space="0" w:color="auto"/>
            </w:tcBorders>
            <w:shd w:val="clear" w:color="auto" w:fill="auto"/>
            <w:vAlign w:val="center"/>
            <w:hideMark/>
          </w:tcPr>
          <w:p w14:paraId="637E883F" w14:textId="77777777" w:rsidR="008B097A" w:rsidRPr="008D77AF" w:rsidRDefault="008B097A" w:rsidP="008B097A">
            <w:pP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I.N.M.</w:t>
            </w:r>
          </w:p>
        </w:tc>
        <w:tc>
          <w:tcPr>
            <w:tcW w:w="1046" w:type="dxa"/>
            <w:tcBorders>
              <w:top w:val="nil"/>
              <w:left w:val="nil"/>
              <w:bottom w:val="single" w:sz="4" w:space="0" w:color="auto"/>
              <w:right w:val="single" w:sz="4" w:space="0" w:color="auto"/>
            </w:tcBorders>
            <w:shd w:val="clear" w:color="auto" w:fill="auto"/>
            <w:vAlign w:val="center"/>
            <w:hideMark/>
          </w:tcPr>
          <w:p w14:paraId="083DB5F4" w14:textId="77777777" w:rsidR="008B097A" w:rsidRPr="008D77AF" w:rsidRDefault="008B097A" w:rsidP="008B097A">
            <w:pPr>
              <w:jc w:val="cente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CA</w:t>
            </w:r>
          </w:p>
        </w:tc>
        <w:tc>
          <w:tcPr>
            <w:tcW w:w="1227" w:type="dxa"/>
            <w:tcBorders>
              <w:top w:val="nil"/>
              <w:left w:val="nil"/>
              <w:bottom w:val="single" w:sz="4" w:space="0" w:color="auto"/>
              <w:right w:val="single" w:sz="4" w:space="0" w:color="auto"/>
            </w:tcBorders>
            <w:shd w:val="clear" w:color="auto" w:fill="auto"/>
            <w:vAlign w:val="center"/>
            <w:hideMark/>
          </w:tcPr>
          <w:p w14:paraId="4279F5AE" w14:textId="4701FC68"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72 088</w:t>
            </w:r>
          </w:p>
        </w:tc>
        <w:tc>
          <w:tcPr>
            <w:tcW w:w="1162" w:type="dxa"/>
            <w:tcBorders>
              <w:top w:val="nil"/>
              <w:left w:val="nil"/>
              <w:bottom w:val="single" w:sz="4" w:space="0" w:color="auto"/>
              <w:right w:val="single" w:sz="4" w:space="0" w:color="auto"/>
            </w:tcBorders>
            <w:shd w:val="clear" w:color="auto" w:fill="auto"/>
            <w:vAlign w:val="center"/>
            <w:hideMark/>
          </w:tcPr>
          <w:p w14:paraId="5BD2FC36" w14:textId="6A653F39"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14 563</w:t>
            </w:r>
          </w:p>
        </w:tc>
        <w:tc>
          <w:tcPr>
            <w:tcW w:w="1208" w:type="dxa"/>
            <w:tcBorders>
              <w:top w:val="nil"/>
              <w:left w:val="nil"/>
              <w:bottom w:val="single" w:sz="4" w:space="0" w:color="auto"/>
              <w:right w:val="single" w:sz="4" w:space="0" w:color="auto"/>
            </w:tcBorders>
            <w:shd w:val="clear" w:color="auto" w:fill="auto"/>
            <w:vAlign w:val="center"/>
            <w:hideMark/>
          </w:tcPr>
          <w:p w14:paraId="482281F4" w14:textId="6AE2BEF5"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102 809</w:t>
            </w:r>
          </w:p>
        </w:tc>
        <w:tc>
          <w:tcPr>
            <w:tcW w:w="1107" w:type="dxa"/>
            <w:tcBorders>
              <w:top w:val="nil"/>
              <w:left w:val="nil"/>
              <w:bottom w:val="single" w:sz="4" w:space="0" w:color="auto"/>
              <w:right w:val="single" w:sz="4" w:space="0" w:color="auto"/>
            </w:tcBorders>
            <w:shd w:val="clear" w:color="auto" w:fill="auto"/>
            <w:vAlign w:val="center"/>
            <w:hideMark/>
          </w:tcPr>
          <w:p w14:paraId="6EE03B6A" w14:textId="6F2E87EF"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20 562</w:t>
            </w:r>
          </w:p>
        </w:tc>
        <w:tc>
          <w:tcPr>
            <w:tcW w:w="1208" w:type="dxa"/>
            <w:tcBorders>
              <w:top w:val="nil"/>
              <w:left w:val="nil"/>
              <w:bottom w:val="single" w:sz="4" w:space="0" w:color="auto"/>
              <w:right w:val="single" w:sz="4" w:space="0" w:color="auto"/>
            </w:tcBorders>
            <w:shd w:val="clear" w:color="auto" w:fill="auto"/>
            <w:vAlign w:val="center"/>
            <w:hideMark/>
          </w:tcPr>
          <w:p w14:paraId="2B54402E" w14:textId="156813E2"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149 610</w:t>
            </w:r>
          </w:p>
        </w:tc>
        <w:tc>
          <w:tcPr>
            <w:tcW w:w="956" w:type="dxa"/>
            <w:tcBorders>
              <w:top w:val="nil"/>
              <w:left w:val="nil"/>
              <w:bottom w:val="single" w:sz="4" w:space="0" w:color="auto"/>
              <w:right w:val="single" w:sz="4" w:space="0" w:color="auto"/>
            </w:tcBorders>
            <w:shd w:val="clear" w:color="auto" w:fill="auto"/>
            <w:vAlign w:val="center"/>
            <w:hideMark/>
          </w:tcPr>
          <w:p w14:paraId="5A2EE320" w14:textId="355D426E"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29 922</w:t>
            </w:r>
          </w:p>
        </w:tc>
      </w:tr>
      <w:tr w:rsidR="008B097A" w:rsidRPr="008D77AF" w14:paraId="178E01CC" w14:textId="77777777" w:rsidTr="00F313A6">
        <w:trPr>
          <w:trHeight w:val="300"/>
          <w:jc w:val="center"/>
        </w:trPr>
        <w:tc>
          <w:tcPr>
            <w:tcW w:w="578" w:type="dxa"/>
            <w:vMerge/>
            <w:tcBorders>
              <w:top w:val="nil"/>
              <w:left w:val="single" w:sz="4" w:space="0" w:color="auto"/>
              <w:bottom w:val="single" w:sz="4" w:space="0" w:color="000000"/>
              <w:right w:val="single" w:sz="4" w:space="0" w:color="auto"/>
            </w:tcBorders>
            <w:vAlign w:val="center"/>
            <w:hideMark/>
          </w:tcPr>
          <w:p w14:paraId="5A301E99" w14:textId="77777777" w:rsidR="008B097A" w:rsidRPr="008D77AF" w:rsidRDefault="008B097A" w:rsidP="008B097A">
            <w:pPr>
              <w:rPr>
                <w:rFonts w:asciiTheme="minorHAnsi" w:hAnsiTheme="minorHAnsi" w:cstheme="minorHAnsi"/>
                <w:color w:val="000000"/>
                <w:sz w:val="26"/>
                <w:szCs w:val="26"/>
                <w:lang w:eastAsia="ro-RO"/>
              </w:rPr>
            </w:pPr>
          </w:p>
        </w:tc>
        <w:tc>
          <w:tcPr>
            <w:tcW w:w="1872" w:type="dxa"/>
            <w:tcBorders>
              <w:top w:val="nil"/>
              <w:left w:val="nil"/>
              <w:bottom w:val="single" w:sz="4" w:space="0" w:color="auto"/>
              <w:right w:val="single" w:sz="4" w:space="0" w:color="auto"/>
            </w:tcBorders>
            <w:shd w:val="clear" w:color="auto" w:fill="auto"/>
            <w:vAlign w:val="center"/>
            <w:hideMark/>
          </w:tcPr>
          <w:p w14:paraId="0312B225" w14:textId="77777777" w:rsidR="008B097A" w:rsidRPr="008D77AF" w:rsidRDefault="008B097A" w:rsidP="008B097A">
            <w:pP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 </w:t>
            </w:r>
          </w:p>
        </w:tc>
        <w:tc>
          <w:tcPr>
            <w:tcW w:w="1046" w:type="dxa"/>
            <w:tcBorders>
              <w:top w:val="nil"/>
              <w:left w:val="nil"/>
              <w:bottom w:val="single" w:sz="4" w:space="0" w:color="auto"/>
              <w:right w:val="single" w:sz="4" w:space="0" w:color="auto"/>
            </w:tcBorders>
            <w:shd w:val="clear" w:color="auto" w:fill="auto"/>
            <w:vAlign w:val="center"/>
            <w:hideMark/>
          </w:tcPr>
          <w:p w14:paraId="7F48F1C1" w14:textId="77777777" w:rsidR="008B097A" w:rsidRPr="008D77AF" w:rsidRDefault="008B097A" w:rsidP="008B097A">
            <w:pPr>
              <w:jc w:val="cente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CB</w:t>
            </w:r>
          </w:p>
        </w:tc>
        <w:tc>
          <w:tcPr>
            <w:tcW w:w="1227" w:type="dxa"/>
            <w:tcBorders>
              <w:top w:val="nil"/>
              <w:left w:val="nil"/>
              <w:bottom w:val="single" w:sz="4" w:space="0" w:color="auto"/>
              <w:right w:val="single" w:sz="4" w:space="0" w:color="auto"/>
            </w:tcBorders>
            <w:shd w:val="clear" w:color="auto" w:fill="auto"/>
            <w:vAlign w:val="center"/>
            <w:hideMark/>
          </w:tcPr>
          <w:p w14:paraId="2C6F81C9" w14:textId="4E139541"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74 127</w:t>
            </w:r>
          </w:p>
        </w:tc>
        <w:tc>
          <w:tcPr>
            <w:tcW w:w="1162" w:type="dxa"/>
            <w:tcBorders>
              <w:top w:val="nil"/>
              <w:left w:val="nil"/>
              <w:bottom w:val="single" w:sz="4" w:space="0" w:color="auto"/>
              <w:right w:val="single" w:sz="4" w:space="0" w:color="auto"/>
            </w:tcBorders>
            <w:shd w:val="clear" w:color="auto" w:fill="auto"/>
            <w:vAlign w:val="center"/>
            <w:hideMark/>
          </w:tcPr>
          <w:p w14:paraId="4CD2D290" w14:textId="3C9F0EF9"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14 975</w:t>
            </w:r>
          </w:p>
        </w:tc>
        <w:tc>
          <w:tcPr>
            <w:tcW w:w="1208" w:type="dxa"/>
            <w:tcBorders>
              <w:top w:val="nil"/>
              <w:left w:val="nil"/>
              <w:bottom w:val="single" w:sz="4" w:space="0" w:color="auto"/>
              <w:right w:val="single" w:sz="4" w:space="0" w:color="auto"/>
            </w:tcBorders>
            <w:shd w:val="clear" w:color="auto" w:fill="auto"/>
            <w:vAlign w:val="center"/>
            <w:hideMark/>
          </w:tcPr>
          <w:p w14:paraId="4EE4B049" w14:textId="66F65315"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102 043</w:t>
            </w:r>
          </w:p>
        </w:tc>
        <w:tc>
          <w:tcPr>
            <w:tcW w:w="1107" w:type="dxa"/>
            <w:tcBorders>
              <w:top w:val="nil"/>
              <w:left w:val="nil"/>
              <w:bottom w:val="single" w:sz="4" w:space="0" w:color="auto"/>
              <w:right w:val="single" w:sz="4" w:space="0" w:color="auto"/>
            </w:tcBorders>
            <w:shd w:val="clear" w:color="auto" w:fill="auto"/>
            <w:vAlign w:val="center"/>
            <w:hideMark/>
          </w:tcPr>
          <w:p w14:paraId="364BAF6C" w14:textId="70653087"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20 409</w:t>
            </w:r>
          </w:p>
        </w:tc>
        <w:tc>
          <w:tcPr>
            <w:tcW w:w="1208" w:type="dxa"/>
            <w:tcBorders>
              <w:top w:val="nil"/>
              <w:left w:val="nil"/>
              <w:bottom w:val="single" w:sz="4" w:space="0" w:color="auto"/>
              <w:right w:val="single" w:sz="4" w:space="0" w:color="auto"/>
            </w:tcBorders>
            <w:shd w:val="clear" w:color="auto" w:fill="auto"/>
            <w:vAlign w:val="center"/>
            <w:hideMark/>
          </w:tcPr>
          <w:p w14:paraId="10957FFA" w14:textId="2937BCC6"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143 379</w:t>
            </w:r>
          </w:p>
        </w:tc>
        <w:tc>
          <w:tcPr>
            <w:tcW w:w="956" w:type="dxa"/>
            <w:tcBorders>
              <w:top w:val="nil"/>
              <w:left w:val="nil"/>
              <w:bottom w:val="single" w:sz="4" w:space="0" w:color="auto"/>
              <w:right w:val="single" w:sz="4" w:space="0" w:color="auto"/>
            </w:tcBorders>
            <w:shd w:val="clear" w:color="auto" w:fill="auto"/>
            <w:vAlign w:val="center"/>
            <w:hideMark/>
          </w:tcPr>
          <w:p w14:paraId="525B6712" w14:textId="10004335" w:rsidR="008B097A" w:rsidRPr="007574BA" w:rsidRDefault="008B097A" w:rsidP="008B097A">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28 676</w:t>
            </w:r>
          </w:p>
        </w:tc>
      </w:tr>
      <w:tr w:rsidR="005F4FE4" w:rsidRPr="008D77AF" w14:paraId="048205C6" w14:textId="77777777" w:rsidTr="00F313A6">
        <w:trPr>
          <w:trHeight w:val="300"/>
          <w:jc w:val="center"/>
        </w:trPr>
        <w:tc>
          <w:tcPr>
            <w:tcW w:w="578" w:type="dxa"/>
            <w:vMerge/>
            <w:tcBorders>
              <w:top w:val="nil"/>
              <w:left w:val="single" w:sz="4" w:space="0" w:color="auto"/>
              <w:bottom w:val="single" w:sz="4" w:space="0" w:color="000000"/>
              <w:right w:val="single" w:sz="4" w:space="0" w:color="auto"/>
            </w:tcBorders>
            <w:vAlign w:val="center"/>
            <w:hideMark/>
          </w:tcPr>
          <w:p w14:paraId="3DE7A3EF" w14:textId="77777777" w:rsidR="005F4FE4" w:rsidRPr="008D77AF" w:rsidRDefault="005F4FE4" w:rsidP="005F4FE4">
            <w:pPr>
              <w:rPr>
                <w:rFonts w:asciiTheme="minorHAnsi" w:hAnsiTheme="minorHAnsi" w:cstheme="minorHAnsi"/>
                <w:color w:val="000000"/>
                <w:sz w:val="26"/>
                <w:szCs w:val="26"/>
                <w:lang w:eastAsia="ro-RO"/>
              </w:rPr>
            </w:pPr>
          </w:p>
        </w:tc>
        <w:tc>
          <w:tcPr>
            <w:tcW w:w="1872" w:type="dxa"/>
            <w:vMerge w:val="restart"/>
            <w:tcBorders>
              <w:top w:val="nil"/>
              <w:left w:val="single" w:sz="4" w:space="0" w:color="auto"/>
              <w:bottom w:val="single" w:sz="4" w:space="0" w:color="000000"/>
              <w:right w:val="single" w:sz="4" w:space="0" w:color="auto"/>
            </w:tcBorders>
            <w:shd w:val="clear" w:color="auto" w:fill="auto"/>
            <w:vAlign w:val="center"/>
            <w:hideMark/>
          </w:tcPr>
          <w:p w14:paraId="7A88E3D5" w14:textId="77777777" w:rsidR="005F4FE4" w:rsidRPr="008D77AF" w:rsidRDefault="005F4FE4" w:rsidP="005F4FE4">
            <w:pP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Pondere %</w:t>
            </w:r>
          </w:p>
        </w:tc>
        <w:tc>
          <w:tcPr>
            <w:tcW w:w="1046" w:type="dxa"/>
            <w:tcBorders>
              <w:top w:val="nil"/>
              <w:left w:val="nil"/>
              <w:bottom w:val="single" w:sz="4" w:space="0" w:color="auto"/>
              <w:right w:val="single" w:sz="4" w:space="0" w:color="auto"/>
            </w:tcBorders>
            <w:shd w:val="clear" w:color="auto" w:fill="auto"/>
            <w:vAlign w:val="center"/>
            <w:hideMark/>
          </w:tcPr>
          <w:p w14:paraId="709964AD" w14:textId="77777777" w:rsidR="005F4FE4" w:rsidRPr="008D77AF" w:rsidRDefault="005F4FE4" w:rsidP="005F4FE4">
            <w:pPr>
              <w:jc w:val="cente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CA</w:t>
            </w:r>
          </w:p>
        </w:tc>
        <w:tc>
          <w:tcPr>
            <w:tcW w:w="2389" w:type="dxa"/>
            <w:gridSpan w:val="2"/>
            <w:tcBorders>
              <w:top w:val="single" w:sz="4" w:space="0" w:color="auto"/>
              <w:left w:val="nil"/>
              <w:bottom w:val="single" w:sz="4" w:space="0" w:color="auto"/>
              <w:right w:val="single" w:sz="4" w:space="0" w:color="000000"/>
            </w:tcBorders>
            <w:shd w:val="clear" w:color="auto" w:fill="auto"/>
            <w:vAlign w:val="center"/>
            <w:hideMark/>
          </w:tcPr>
          <w:p w14:paraId="47B83C41" w14:textId="41DDD115" w:rsidR="005F4FE4" w:rsidRPr="007574BA" w:rsidRDefault="005F4FE4" w:rsidP="005F4FE4">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25.98%</w:t>
            </w:r>
          </w:p>
        </w:tc>
        <w:tc>
          <w:tcPr>
            <w:tcW w:w="2315" w:type="dxa"/>
            <w:gridSpan w:val="2"/>
            <w:tcBorders>
              <w:top w:val="single" w:sz="4" w:space="0" w:color="auto"/>
              <w:left w:val="nil"/>
              <w:bottom w:val="single" w:sz="4" w:space="0" w:color="auto"/>
              <w:right w:val="single" w:sz="4" w:space="0" w:color="000000"/>
            </w:tcBorders>
            <w:shd w:val="clear" w:color="auto" w:fill="auto"/>
            <w:vAlign w:val="center"/>
            <w:hideMark/>
          </w:tcPr>
          <w:p w14:paraId="01EC69C0" w14:textId="36DD24AF" w:rsidR="005F4FE4" w:rsidRPr="007574BA" w:rsidRDefault="005F4FE4" w:rsidP="005F4FE4">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32.18%</w:t>
            </w:r>
          </w:p>
        </w:tc>
        <w:tc>
          <w:tcPr>
            <w:tcW w:w="2164" w:type="dxa"/>
            <w:gridSpan w:val="2"/>
            <w:tcBorders>
              <w:top w:val="single" w:sz="4" w:space="0" w:color="auto"/>
              <w:left w:val="nil"/>
              <w:bottom w:val="single" w:sz="4" w:space="0" w:color="auto"/>
              <w:right w:val="single" w:sz="4" w:space="0" w:color="000000"/>
            </w:tcBorders>
            <w:shd w:val="clear" w:color="auto" w:fill="auto"/>
            <w:vAlign w:val="center"/>
            <w:hideMark/>
          </w:tcPr>
          <w:p w14:paraId="65A19FF2" w14:textId="76FCEEB2" w:rsidR="005F4FE4" w:rsidRPr="007574BA" w:rsidRDefault="005F4FE4" w:rsidP="005F4FE4">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33.02%</w:t>
            </w:r>
          </w:p>
        </w:tc>
      </w:tr>
      <w:tr w:rsidR="005F4FE4" w:rsidRPr="008D77AF" w14:paraId="08954BAC" w14:textId="77777777" w:rsidTr="00F313A6">
        <w:trPr>
          <w:trHeight w:val="312"/>
          <w:jc w:val="center"/>
        </w:trPr>
        <w:tc>
          <w:tcPr>
            <w:tcW w:w="578" w:type="dxa"/>
            <w:vMerge/>
            <w:tcBorders>
              <w:top w:val="nil"/>
              <w:left w:val="single" w:sz="4" w:space="0" w:color="auto"/>
              <w:bottom w:val="single" w:sz="4" w:space="0" w:color="000000"/>
              <w:right w:val="single" w:sz="4" w:space="0" w:color="auto"/>
            </w:tcBorders>
            <w:vAlign w:val="center"/>
            <w:hideMark/>
          </w:tcPr>
          <w:p w14:paraId="0B2434E8" w14:textId="77777777" w:rsidR="005F4FE4" w:rsidRPr="008D77AF" w:rsidRDefault="005F4FE4" w:rsidP="005F4FE4">
            <w:pPr>
              <w:rPr>
                <w:rFonts w:asciiTheme="minorHAnsi" w:hAnsiTheme="minorHAnsi" w:cstheme="minorHAnsi"/>
                <w:color w:val="000000"/>
                <w:sz w:val="26"/>
                <w:szCs w:val="26"/>
                <w:lang w:eastAsia="ro-RO"/>
              </w:rPr>
            </w:pPr>
          </w:p>
        </w:tc>
        <w:tc>
          <w:tcPr>
            <w:tcW w:w="1872" w:type="dxa"/>
            <w:vMerge/>
            <w:tcBorders>
              <w:top w:val="nil"/>
              <w:left w:val="single" w:sz="4" w:space="0" w:color="auto"/>
              <w:bottom w:val="single" w:sz="4" w:space="0" w:color="000000"/>
              <w:right w:val="single" w:sz="4" w:space="0" w:color="auto"/>
            </w:tcBorders>
            <w:vAlign w:val="center"/>
            <w:hideMark/>
          </w:tcPr>
          <w:p w14:paraId="070E4FB3" w14:textId="77777777" w:rsidR="005F4FE4" w:rsidRPr="008D77AF" w:rsidRDefault="005F4FE4" w:rsidP="005F4FE4">
            <w:pPr>
              <w:rPr>
                <w:rFonts w:asciiTheme="minorHAnsi" w:hAnsiTheme="minorHAnsi" w:cstheme="minorHAnsi"/>
                <w:color w:val="000000"/>
                <w:sz w:val="26"/>
                <w:szCs w:val="26"/>
                <w:lang w:eastAsia="ro-RO"/>
              </w:rPr>
            </w:pPr>
          </w:p>
        </w:tc>
        <w:tc>
          <w:tcPr>
            <w:tcW w:w="1046" w:type="dxa"/>
            <w:tcBorders>
              <w:top w:val="nil"/>
              <w:left w:val="nil"/>
              <w:bottom w:val="single" w:sz="4" w:space="0" w:color="auto"/>
              <w:right w:val="single" w:sz="4" w:space="0" w:color="auto"/>
            </w:tcBorders>
            <w:shd w:val="clear" w:color="auto" w:fill="auto"/>
            <w:vAlign w:val="center"/>
            <w:hideMark/>
          </w:tcPr>
          <w:p w14:paraId="4B1427F8" w14:textId="77777777" w:rsidR="005F4FE4" w:rsidRPr="008D77AF" w:rsidRDefault="005F4FE4" w:rsidP="005F4FE4">
            <w:pPr>
              <w:jc w:val="cente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CB</w:t>
            </w:r>
          </w:p>
        </w:tc>
        <w:tc>
          <w:tcPr>
            <w:tcW w:w="2389" w:type="dxa"/>
            <w:gridSpan w:val="2"/>
            <w:tcBorders>
              <w:top w:val="single" w:sz="4" w:space="0" w:color="auto"/>
              <w:left w:val="nil"/>
              <w:bottom w:val="single" w:sz="4" w:space="0" w:color="auto"/>
              <w:right w:val="single" w:sz="4" w:space="0" w:color="000000"/>
            </w:tcBorders>
            <w:shd w:val="clear" w:color="auto" w:fill="auto"/>
            <w:vAlign w:val="center"/>
            <w:hideMark/>
          </w:tcPr>
          <w:p w14:paraId="5F4E39CC" w14:textId="15BA386B" w:rsidR="005F4FE4" w:rsidRPr="007574BA" w:rsidRDefault="005F4FE4" w:rsidP="005F4FE4">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24.79%</w:t>
            </w:r>
          </w:p>
        </w:tc>
        <w:tc>
          <w:tcPr>
            <w:tcW w:w="2315" w:type="dxa"/>
            <w:gridSpan w:val="2"/>
            <w:tcBorders>
              <w:top w:val="single" w:sz="4" w:space="0" w:color="auto"/>
              <w:left w:val="nil"/>
              <w:bottom w:val="single" w:sz="4" w:space="0" w:color="auto"/>
              <w:right w:val="single" w:sz="4" w:space="0" w:color="000000"/>
            </w:tcBorders>
            <w:shd w:val="clear" w:color="auto" w:fill="auto"/>
            <w:vAlign w:val="center"/>
            <w:hideMark/>
          </w:tcPr>
          <w:p w14:paraId="570C25BE" w14:textId="0A065742" w:rsidR="005F4FE4" w:rsidRPr="007574BA" w:rsidRDefault="005F4FE4" w:rsidP="005F4FE4">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32.12%</w:t>
            </w:r>
          </w:p>
        </w:tc>
        <w:tc>
          <w:tcPr>
            <w:tcW w:w="2164" w:type="dxa"/>
            <w:gridSpan w:val="2"/>
            <w:tcBorders>
              <w:top w:val="single" w:sz="4" w:space="0" w:color="auto"/>
              <w:left w:val="nil"/>
              <w:bottom w:val="single" w:sz="4" w:space="0" w:color="auto"/>
              <w:right w:val="single" w:sz="4" w:space="0" w:color="000000"/>
            </w:tcBorders>
            <w:shd w:val="clear" w:color="auto" w:fill="auto"/>
            <w:vAlign w:val="center"/>
            <w:hideMark/>
          </w:tcPr>
          <w:p w14:paraId="0810D3AD" w14:textId="44DDE7B3" w:rsidR="005F4FE4" w:rsidRPr="007574BA" w:rsidRDefault="005F4FE4" w:rsidP="005F4FE4">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32.28%</w:t>
            </w:r>
          </w:p>
        </w:tc>
      </w:tr>
      <w:tr w:rsidR="005F4FE4" w:rsidRPr="008D77AF" w14:paraId="247B7F3D" w14:textId="77777777" w:rsidTr="00F313A6">
        <w:trPr>
          <w:trHeight w:val="300"/>
          <w:jc w:val="center"/>
        </w:trPr>
        <w:tc>
          <w:tcPr>
            <w:tcW w:w="578"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6284C552" w14:textId="77777777" w:rsidR="005F4FE4" w:rsidRPr="008D77AF" w:rsidRDefault="005F4FE4" w:rsidP="005F4FE4">
            <w:pPr>
              <w:jc w:val="cente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D.</w:t>
            </w:r>
          </w:p>
        </w:tc>
        <w:tc>
          <w:tcPr>
            <w:tcW w:w="1872" w:type="dxa"/>
            <w:tcBorders>
              <w:top w:val="nil"/>
              <w:left w:val="nil"/>
              <w:bottom w:val="single" w:sz="4" w:space="0" w:color="auto"/>
              <w:right w:val="single" w:sz="4" w:space="0" w:color="auto"/>
            </w:tcBorders>
            <w:shd w:val="clear" w:color="auto" w:fill="auto"/>
            <w:vAlign w:val="center"/>
            <w:hideMark/>
          </w:tcPr>
          <w:p w14:paraId="1A92D1B4" w14:textId="77777777" w:rsidR="005F4FE4" w:rsidRPr="008D77AF" w:rsidRDefault="005F4FE4" w:rsidP="005F4FE4">
            <w:pP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S.N.G.</w:t>
            </w:r>
          </w:p>
        </w:tc>
        <w:tc>
          <w:tcPr>
            <w:tcW w:w="1046" w:type="dxa"/>
            <w:tcBorders>
              <w:top w:val="nil"/>
              <w:left w:val="nil"/>
              <w:bottom w:val="single" w:sz="4" w:space="0" w:color="auto"/>
              <w:right w:val="single" w:sz="4" w:space="0" w:color="auto"/>
            </w:tcBorders>
            <w:shd w:val="clear" w:color="auto" w:fill="auto"/>
            <w:vAlign w:val="center"/>
            <w:hideMark/>
          </w:tcPr>
          <w:p w14:paraId="0D83A3FC" w14:textId="77777777" w:rsidR="005F4FE4" w:rsidRPr="008D77AF" w:rsidRDefault="005F4FE4" w:rsidP="005F4FE4">
            <w:pPr>
              <w:jc w:val="cente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CA</w:t>
            </w:r>
          </w:p>
        </w:tc>
        <w:tc>
          <w:tcPr>
            <w:tcW w:w="1227" w:type="dxa"/>
            <w:tcBorders>
              <w:top w:val="nil"/>
              <w:left w:val="nil"/>
              <w:bottom w:val="single" w:sz="4" w:space="0" w:color="auto"/>
              <w:right w:val="single" w:sz="4" w:space="0" w:color="auto"/>
            </w:tcBorders>
            <w:shd w:val="clear" w:color="auto" w:fill="auto"/>
            <w:vAlign w:val="center"/>
            <w:hideMark/>
          </w:tcPr>
          <w:p w14:paraId="0E36B9DD" w14:textId="7B39B054" w:rsidR="005F4FE4" w:rsidRPr="007574BA" w:rsidRDefault="005F4FE4" w:rsidP="005F4FE4">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13 300</w:t>
            </w:r>
          </w:p>
        </w:tc>
        <w:tc>
          <w:tcPr>
            <w:tcW w:w="1162" w:type="dxa"/>
            <w:tcBorders>
              <w:top w:val="nil"/>
              <w:left w:val="nil"/>
              <w:bottom w:val="single" w:sz="4" w:space="0" w:color="auto"/>
              <w:right w:val="single" w:sz="4" w:space="0" w:color="auto"/>
            </w:tcBorders>
            <w:shd w:val="clear" w:color="auto" w:fill="auto"/>
            <w:vAlign w:val="center"/>
            <w:hideMark/>
          </w:tcPr>
          <w:p w14:paraId="6485196B" w14:textId="68CA7D61" w:rsidR="005F4FE4" w:rsidRPr="007574BA" w:rsidRDefault="005F4FE4" w:rsidP="005F4FE4">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2 687</w:t>
            </w:r>
          </w:p>
        </w:tc>
        <w:tc>
          <w:tcPr>
            <w:tcW w:w="1208" w:type="dxa"/>
            <w:tcBorders>
              <w:top w:val="nil"/>
              <w:left w:val="nil"/>
              <w:bottom w:val="single" w:sz="4" w:space="0" w:color="auto"/>
              <w:right w:val="single" w:sz="4" w:space="0" w:color="auto"/>
            </w:tcBorders>
            <w:shd w:val="clear" w:color="auto" w:fill="auto"/>
            <w:vAlign w:val="center"/>
            <w:hideMark/>
          </w:tcPr>
          <w:p w14:paraId="612CF84F" w14:textId="102A4836" w:rsidR="005F4FE4" w:rsidRPr="007574BA" w:rsidRDefault="005F4FE4" w:rsidP="005F4FE4">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20 845</w:t>
            </w:r>
          </w:p>
        </w:tc>
        <w:tc>
          <w:tcPr>
            <w:tcW w:w="1107" w:type="dxa"/>
            <w:tcBorders>
              <w:top w:val="nil"/>
              <w:left w:val="nil"/>
              <w:bottom w:val="single" w:sz="4" w:space="0" w:color="auto"/>
              <w:right w:val="single" w:sz="4" w:space="0" w:color="auto"/>
            </w:tcBorders>
            <w:shd w:val="clear" w:color="auto" w:fill="auto"/>
            <w:vAlign w:val="center"/>
            <w:hideMark/>
          </w:tcPr>
          <w:p w14:paraId="153ED1C2" w14:textId="2ADDD194" w:rsidR="005F4FE4" w:rsidRPr="007574BA" w:rsidRDefault="005F4FE4" w:rsidP="005F4FE4">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4 169</w:t>
            </w:r>
          </w:p>
        </w:tc>
        <w:tc>
          <w:tcPr>
            <w:tcW w:w="1208" w:type="dxa"/>
            <w:tcBorders>
              <w:top w:val="nil"/>
              <w:left w:val="nil"/>
              <w:bottom w:val="single" w:sz="4" w:space="0" w:color="auto"/>
              <w:right w:val="single" w:sz="4" w:space="0" w:color="auto"/>
            </w:tcBorders>
            <w:shd w:val="clear" w:color="auto" w:fill="auto"/>
            <w:vAlign w:val="center"/>
            <w:hideMark/>
          </w:tcPr>
          <w:p w14:paraId="2601B7E6" w14:textId="01D9CCF4" w:rsidR="005F4FE4" w:rsidRPr="007574BA" w:rsidRDefault="005F4FE4" w:rsidP="005F4FE4">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57 836</w:t>
            </w:r>
          </w:p>
        </w:tc>
        <w:tc>
          <w:tcPr>
            <w:tcW w:w="956" w:type="dxa"/>
            <w:tcBorders>
              <w:top w:val="nil"/>
              <w:left w:val="nil"/>
              <w:bottom w:val="single" w:sz="4" w:space="0" w:color="auto"/>
              <w:right w:val="single" w:sz="4" w:space="0" w:color="auto"/>
            </w:tcBorders>
            <w:shd w:val="clear" w:color="auto" w:fill="auto"/>
            <w:vAlign w:val="center"/>
            <w:hideMark/>
          </w:tcPr>
          <w:p w14:paraId="2AF8C3C7" w14:textId="3FF6ED36" w:rsidR="005F4FE4" w:rsidRPr="007574BA" w:rsidRDefault="005F4FE4" w:rsidP="005F4FE4">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11 567</w:t>
            </w:r>
          </w:p>
        </w:tc>
      </w:tr>
      <w:tr w:rsidR="005F4FE4" w:rsidRPr="008D77AF" w14:paraId="44874576" w14:textId="77777777" w:rsidTr="00F313A6">
        <w:trPr>
          <w:trHeight w:val="300"/>
          <w:jc w:val="center"/>
        </w:trPr>
        <w:tc>
          <w:tcPr>
            <w:tcW w:w="578" w:type="dxa"/>
            <w:vMerge/>
            <w:tcBorders>
              <w:top w:val="nil"/>
              <w:left w:val="single" w:sz="4" w:space="0" w:color="auto"/>
              <w:bottom w:val="single" w:sz="4" w:space="0" w:color="000000"/>
              <w:right w:val="single" w:sz="4" w:space="0" w:color="auto"/>
            </w:tcBorders>
            <w:vAlign w:val="center"/>
            <w:hideMark/>
          </w:tcPr>
          <w:p w14:paraId="30CD07C0" w14:textId="77777777" w:rsidR="005F4FE4" w:rsidRPr="008D77AF" w:rsidRDefault="005F4FE4" w:rsidP="005F4FE4">
            <w:pPr>
              <w:rPr>
                <w:rFonts w:asciiTheme="minorHAnsi" w:hAnsiTheme="minorHAnsi" w:cstheme="minorHAnsi"/>
                <w:color w:val="000000"/>
                <w:sz w:val="26"/>
                <w:szCs w:val="26"/>
                <w:lang w:eastAsia="ro-RO"/>
              </w:rPr>
            </w:pPr>
          </w:p>
        </w:tc>
        <w:tc>
          <w:tcPr>
            <w:tcW w:w="1872" w:type="dxa"/>
            <w:tcBorders>
              <w:top w:val="nil"/>
              <w:left w:val="nil"/>
              <w:bottom w:val="single" w:sz="4" w:space="0" w:color="auto"/>
              <w:right w:val="single" w:sz="4" w:space="0" w:color="auto"/>
            </w:tcBorders>
            <w:shd w:val="clear" w:color="auto" w:fill="auto"/>
            <w:vAlign w:val="center"/>
            <w:hideMark/>
          </w:tcPr>
          <w:p w14:paraId="44AF1A41" w14:textId="77777777" w:rsidR="005F4FE4" w:rsidRPr="008D77AF" w:rsidRDefault="005F4FE4" w:rsidP="005F4FE4">
            <w:pP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 </w:t>
            </w:r>
          </w:p>
        </w:tc>
        <w:tc>
          <w:tcPr>
            <w:tcW w:w="1046" w:type="dxa"/>
            <w:tcBorders>
              <w:top w:val="nil"/>
              <w:left w:val="nil"/>
              <w:bottom w:val="single" w:sz="4" w:space="0" w:color="auto"/>
              <w:right w:val="single" w:sz="4" w:space="0" w:color="auto"/>
            </w:tcBorders>
            <w:shd w:val="clear" w:color="auto" w:fill="auto"/>
            <w:vAlign w:val="center"/>
            <w:hideMark/>
          </w:tcPr>
          <w:p w14:paraId="0C8F10B9" w14:textId="77777777" w:rsidR="005F4FE4" w:rsidRPr="008D77AF" w:rsidRDefault="005F4FE4" w:rsidP="005F4FE4">
            <w:pPr>
              <w:jc w:val="cente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CB</w:t>
            </w:r>
          </w:p>
        </w:tc>
        <w:tc>
          <w:tcPr>
            <w:tcW w:w="1227" w:type="dxa"/>
            <w:tcBorders>
              <w:top w:val="nil"/>
              <w:left w:val="nil"/>
              <w:bottom w:val="single" w:sz="4" w:space="0" w:color="auto"/>
              <w:right w:val="single" w:sz="4" w:space="0" w:color="auto"/>
            </w:tcBorders>
            <w:shd w:val="clear" w:color="auto" w:fill="auto"/>
            <w:vAlign w:val="center"/>
            <w:hideMark/>
          </w:tcPr>
          <w:p w14:paraId="67814C44" w14:textId="03ED6A8C" w:rsidR="005F4FE4" w:rsidRPr="007574BA" w:rsidRDefault="005F4FE4" w:rsidP="005F4FE4">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14 993</w:t>
            </w:r>
          </w:p>
        </w:tc>
        <w:tc>
          <w:tcPr>
            <w:tcW w:w="1162" w:type="dxa"/>
            <w:tcBorders>
              <w:top w:val="nil"/>
              <w:left w:val="nil"/>
              <w:bottom w:val="single" w:sz="4" w:space="0" w:color="auto"/>
              <w:right w:val="single" w:sz="4" w:space="0" w:color="auto"/>
            </w:tcBorders>
            <w:shd w:val="clear" w:color="auto" w:fill="auto"/>
            <w:vAlign w:val="center"/>
            <w:hideMark/>
          </w:tcPr>
          <w:p w14:paraId="6657BC58" w14:textId="663942EA" w:rsidR="005F4FE4" w:rsidRPr="007574BA" w:rsidRDefault="005F4FE4" w:rsidP="005F4FE4">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3 029</w:t>
            </w:r>
          </w:p>
        </w:tc>
        <w:tc>
          <w:tcPr>
            <w:tcW w:w="1208" w:type="dxa"/>
            <w:tcBorders>
              <w:top w:val="nil"/>
              <w:left w:val="nil"/>
              <w:bottom w:val="single" w:sz="4" w:space="0" w:color="auto"/>
              <w:right w:val="single" w:sz="4" w:space="0" w:color="auto"/>
            </w:tcBorders>
            <w:shd w:val="clear" w:color="auto" w:fill="auto"/>
            <w:vAlign w:val="center"/>
            <w:hideMark/>
          </w:tcPr>
          <w:p w14:paraId="4EE16E89" w14:textId="643BAE3C" w:rsidR="005F4FE4" w:rsidRPr="007574BA" w:rsidRDefault="005F4FE4" w:rsidP="005F4FE4">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20 287</w:t>
            </w:r>
          </w:p>
        </w:tc>
        <w:tc>
          <w:tcPr>
            <w:tcW w:w="1107" w:type="dxa"/>
            <w:tcBorders>
              <w:top w:val="nil"/>
              <w:left w:val="nil"/>
              <w:bottom w:val="single" w:sz="4" w:space="0" w:color="auto"/>
              <w:right w:val="single" w:sz="4" w:space="0" w:color="auto"/>
            </w:tcBorders>
            <w:shd w:val="clear" w:color="auto" w:fill="auto"/>
            <w:vAlign w:val="center"/>
            <w:hideMark/>
          </w:tcPr>
          <w:p w14:paraId="395A4D32" w14:textId="49A83A54" w:rsidR="005F4FE4" w:rsidRPr="007574BA" w:rsidRDefault="005F4FE4" w:rsidP="005F4FE4">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4 057</w:t>
            </w:r>
          </w:p>
        </w:tc>
        <w:tc>
          <w:tcPr>
            <w:tcW w:w="1208" w:type="dxa"/>
            <w:tcBorders>
              <w:top w:val="nil"/>
              <w:left w:val="nil"/>
              <w:bottom w:val="single" w:sz="4" w:space="0" w:color="auto"/>
              <w:right w:val="single" w:sz="4" w:space="0" w:color="auto"/>
            </w:tcBorders>
            <w:shd w:val="clear" w:color="auto" w:fill="auto"/>
            <w:vAlign w:val="center"/>
            <w:hideMark/>
          </w:tcPr>
          <w:p w14:paraId="58503F52" w14:textId="070AF84E" w:rsidR="005F4FE4" w:rsidRPr="007574BA" w:rsidRDefault="005F4FE4" w:rsidP="005F4FE4">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57 836</w:t>
            </w:r>
          </w:p>
        </w:tc>
        <w:tc>
          <w:tcPr>
            <w:tcW w:w="956" w:type="dxa"/>
            <w:tcBorders>
              <w:top w:val="nil"/>
              <w:left w:val="nil"/>
              <w:bottom w:val="single" w:sz="4" w:space="0" w:color="auto"/>
              <w:right w:val="single" w:sz="4" w:space="0" w:color="auto"/>
            </w:tcBorders>
            <w:shd w:val="clear" w:color="auto" w:fill="auto"/>
            <w:vAlign w:val="center"/>
            <w:hideMark/>
          </w:tcPr>
          <w:p w14:paraId="199A038F" w14:textId="3A12B060" w:rsidR="005F4FE4" w:rsidRPr="007574BA" w:rsidRDefault="005F4FE4" w:rsidP="005F4FE4">
            <w:pPr>
              <w:jc w:val="right"/>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11 567</w:t>
            </w:r>
          </w:p>
        </w:tc>
      </w:tr>
      <w:tr w:rsidR="005F4FE4" w:rsidRPr="008D77AF" w14:paraId="6398F9F7" w14:textId="77777777" w:rsidTr="00F313A6">
        <w:trPr>
          <w:trHeight w:val="300"/>
          <w:jc w:val="center"/>
        </w:trPr>
        <w:tc>
          <w:tcPr>
            <w:tcW w:w="578" w:type="dxa"/>
            <w:vMerge/>
            <w:tcBorders>
              <w:top w:val="nil"/>
              <w:left w:val="single" w:sz="4" w:space="0" w:color="auto"/>
              <w:bottom w:val="single" w:sz="4" w:space="0" w:color="000000"/>
              <w:right w:val="single" w:sz="4" w:space="0" w:color="auto"/>
            </w:tcBorders>
            <w:vAlign w:val="center"/>
            <w:hideMark/>
          </w:tcPr>
          <w:p w14:paraId="1480A8C5" w14:textId="77777777" w:rsidR="005F4FE4" w:rsidRPr="008D77AF" w:rsidRDefault="005F4FE4" w:rsidP="005F4FE4">
            <w:pPr>
              <w:rPr>
                <w:rFonts w:asciiTheme="minorHAnsi" w:hAnsiTheme="minorHAnsi" w:cstheme="minorHAnsi"/>
                <w:color w:val="000000"/>
                <w:sz w:val="26"/>
                <w:szCs w:val="26"/>
                <w:lang w:eastAsia="ro-RO"/>
              </w:rPr>
            </w:pPr>
          </w:p>
        </w:tc>
        <w:tc>
          <w:tcPr>
            <w:tcW w:w="1872" w:type="dxa"/>
            <w:vMerge w:val="restart"/>
            <w:tcBorders>
              <w:top w:val="nil"/>
              <w:left w:val="single" w:sz="4" w:space="0" w:color="auto"/>
              <w:bottom w:val="single" w:sz="4" w:space="0" w:color="000000"/>
              <w:right w:val="single" w:sz="4" w:space="0" w:color="auto"/>
            </w:tcBorders>
            <w:shd w:val="clear" w:color="auto" w:fill="auto"/>
            <w:vAlign w:val="center"/>
            <w:hideMark/>
          </w:tcPr>
          <w:p w14:paraId="26D74C6F" w14:textId="77777777" w:rsidR="005F4FE4" w:rsidRPr="008D77AF" w:rsidRDefault="005F4FE4" w:rsidP="005F4FE4">
            <w:pPr>
              <w:rPr>
                <w:rFonts w:asciiTheme="minorHAnsi" w:hAnsiTheme="minorHAnsi" w:cstheme="minorHAnsi"/>
                <w:color w:val="000000"/>
                <w:sz w:val="26"/>
                <w:szCs w:val="26"/>
                <w:lang w:eastAsia="ro-RO"/>
              </w:rPr>
            </w:pPr>
            <w:r w:rsidRPr="008D77AF">
              <w:rPr>
                <w:rFonts w:asciiTheme="minorHAnsi" w:hAnsiTheme="minorHAnsi" w:cstheme="minorHAnsi"/>
                <w:color w:val="000000"/>
                <w:sz w:val="26"/>
                <w:szCs w:val="26"/>
                <w:lang w:eastAsia="ro-RO"/>
              </w:rPr>
              <w:t>Pondere %</w:t>
            </w:r>
          </w:p>
        </w:tc>
        <w:tc>
          <w:tcPr>
            <w:tcW w:w="1046" w:type="dxa"/>
            <w:tcBorders>
              <w:top w:val="nil"/>
              <w:left w:val="nil"/>
              <w:bottom w:val="single" w:sz="4" w:space="0" w:color="auto"/>
              <w:right w:val="single" w:sz="4" w:space="0" w:color="auto"/>
            </w:tcBorders>
            <w:shd w:val="clear" w:color="auto" w:fill="auto"/>
            <w:vAlign w:val="center"/>
            <w:hideMark/>
          </w:tcPr>
          <w:p w14:paraId="2C9C0103" w14:textId="77777777" w:rsidR="005F4FE4" w:rsidRPr="008D77AF" w:rsidRDefault="005F4FE4" w:rsidP="005F4FE4">
            <w:pPr>
              <w:jc w:val="cente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CA</w:t>
            </w:r>
          </w:p>
        </w:tc>
        <w:tc>
          <w:tcPr>
            <w:tcW w:w="2389" w:type="dxa"/>
            <w:gridSpan w:val="2"/>
            <w:tcBorders>
              <w:top w:val="single" w:sz="4" w:space="0" w:color="auto"/>
              <w:left w:val="nil"/>
              <w:bottom w:val="single" w:sz="4" w:space="0" w:color="auto"/>
              <w:right w:val="single" w:sz="4" w:space="0" w:color="auto"/>
            </w:tcBorders>
            <w:shd w:val="clear" w:color="auto" w:fill="auto"/>
            <w:vAlign w:val="center"/>
            <w:hideMark/>
          </w:tcPr>
          <w:p w14:paraId="77DF9CE3" w14:textId="3044202D" w:rsidR="005F4FE4" w:rsidRPr="007574BA" w:rsidRDefault="005F4FE4" w:rsidP="005F4FE4">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4.79%</w:t>
            </w:r>
          </w:p>
        </w:tc>
        <w:tc>
          <w:tcPr>
            <w:tcW w:w="2315" w:type="dxa"/>
            <w:gridSpan w:val="2"/>
            <w:tcBorders>
              <w:top w:val="single" w:sz="4" w:space="0" w:color="auto"/>
              <w:left w:val="nil"/>
              <w:bottom w:val="single" w:sz="4" w:space="0" w:color="auto"/>
              <w:right w:val="single" w:sz="4" w:space="0" w:color="auto"/>
            </w:tcBorders>
            <w:shd w:val="clear" w:color="auto" w:fill="auto"/>
            <w:vAlign w:val="center"/>
            <w:hideMark/>
          </w:tcPr>
          <w:p w14:paraId="5892B7A2" w14:textId="6866F78F" w:rsidR="005F4FE4" w:rsidRPr="007574BA" w:rsidRDefault="005F4FE4" w:rsidP="005F4FE4">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6.53%</w:t>
            </w:r>
          </w:p>
        </w:tc>
        <w:tc>
          <w:tcPr>
            <w:tcW w:w="2164" w:type="dxa"/>
            <w:gridSpan w:val="2"/>
            <w:tcBorders>
              <w:top w:val="single" w:sz="4" w:space="0" w:color="auto"/>
              <w:left w:val="nil"/>
              <w:bottom w:val="single" w:sz="4" w:space="0" w:color="auto"/>
              <w:right w:val="single" w:sz="4" w:space="0" w:color="auto"/>
            </w:tcBorders>
            <w:shd w:val="clear" w:color="auto" w:fill="auto"/>
            <w:vAlign w:val="center"/>
            <w:hideMark/>
          </w:tcPr>
          <w:p w14:paraId="0F9BB5C5" w14:textId="56EDE7EE" w:rsidR="005F4FE4" w:rsidRPr="007574BA" w:rsidRDefault="005F4FE4" w:rsidP="005F4FE4">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12.76%</w:t>
            </w:r>
          </w:p>
        </w:tc>
      </w:tr>
      <w:tr w:rsidR="005F4FE4" w:rsidRPr="008D77AF" w14:paraId="38166863" w14:textId="77777777" w:rsidTr="00F313A6">
        <w:trPr>
          <w:trHeight w:val="300"/>
          <w:jc w:val="center"/>
        </w:trPr>
        <w:tc>
          <w:tcPr>
            <w:tcW w:w="578" w:type="dxa"/>
            <w:vMerge/>
            <w:tcBorders>
              <w:top w:val="nil"/>
              <w:left w:val="single" w:sz="4" w:space="0" w:color="auto"/>
              <w:bottom w:val="single" w:sz="4" w:space="0" w:color="000000"/>
              <w:right w:val="single" w:sz="4" w:space="0" w:color="auto"/>
            </w:tcBorders>
            <w:vAlign w:val="center"/>
            <w:hideMark/>
          </w:tcPr>
          <w:p w14:paraId="7EBA69CB" w14:textId="77777777" w:rsidR="005F4FE4" w:rsidRPr="008D77AF" w:rsidRDefault="005F4FE4" w:rsidP="005F4FE4">
            <w:pPr>
              <w:rPr>
                <w:rFonts w:asciiTheme="minorHAnsi" w:hAnsiTheme="minorHAnsi" w:cstheme="minorHAnsi"/>
                <w:color w:val="000000"/>
                <w:sz w:val="26"/>
                <w:szCs w:val="26"/>
                <w:lang w:eastAsia="ro-RO"/>
              </w:rPr>
            </w:pPr>
          </w:p>
        </w:tc>
        <w:tc>
          <w:tcPr>
            <w:tcW w:w="1872" w:type="dxa"/>
            <w:vMerge/>
            <w:tcBorders>
              <w:top w:val="nil"/>
              <w:left w:val="single" w:sz="4" w:space="0" w:color="auto"/>
              <w:bottom w:val="single" w:sz="4" w:space="0" w:color="000000"/>
              <w:right w:val="single" w:sz="4" w:space="0" w:color="auto"/>
            </w:tcBorders>
            <w:vAlign w:val="center"/>
            <w:hideMark/>
          </w:tcPr>
          <w:p w14:paraId="5079949F" w14:textId="77777777" w:rsidR="005F4FE4" w:rsidRPr="008D77AF" w:rsidRDefault="005F4FE4" w:rsidP="005F4FE4">
            <w:pPr>
              <w:rPr>
                <w:rFonts w:asciiTheme="minorHAnsi" w:hAnsiTheme="minorHAnsi" w:cstheme="minorHAnsi"/>
                <w:color w:val="000000"/>
                <w:sz w:val="26"/>
                <w:szCs w:val="26"/>
                <w:lang w:eastAsia="ro-RO"/>
              </w:rPr>
            </w:pPr>
          </w:p>
        </w:tc>
        <w:tc>
          <w:tcPr>
            <w:tcW w:w="1046" w:type="dxa"/>
            <w:tcBorders>
              <w:top w:val="nil"/>
              <w:left w:val="nil"/>
              <w:bottom w:val="single" w:sz="4" w:space="0" w:color="auto"/>
              <w:right w:val="single" w:sz="4" w:space="0" w:color="auto"/>
            </w:tcBorders>
            <w:shd w:val="clear" w:color="auto" w:fill="auto"/>
            <w:vAlign w:val="center"/>
            <w:hideMark/>
          </w:tcPr>
          <w:p w14:paraId="6347659C" w14:textId="77777777" w:rsidR="005F4FE4" w:rsidRPr="008D77AF" w:rsidRDefault="005F4FE4" w:rsidP="005F4FE4">
            <w:pPr>
              <w:jc w:val="center"/>
              <w:rPr>
                <w:rFonts w:asciiTheme="minorHAnsi" w:hAnsiTheme="minorHAnsi" w:cstheme="minorHAnsi"/>
                <w:i/>
                <w:iCs/>
                <w:color w:val="000000"/>
                <w:sz w:val="26"/>
                <w:szCs w:val="26"/>
                <w:lang w:eastAsia="ro-RO"/>
              </w:rPr>
            </w:pPr>
            <w:r w:rsidRPr="008D77AF">
              <w:rPr>
                <w:rFonts w:asciiTheme="minorHAnsi" w:hAnsiTheme="minorHAnsi" w:cstheme="minorHAnsi"/>
                <w:i/>
                <w:iCs/>
                <w:color w:val="000000"/>
                <w:sz w:val="26"/>
                <w:szCs w:val="26"/>
                <w:lang w:eastAsia="ro-RO"/>
              </w:rPr>
              <w:t>CB</w:t>
            </w:r>
          </w:p>
        </w:tc>
        <w:tc>
          <w:tcPr>
            <w:tcW w:w="2389" w:type="dxa"/>
            <w:gridSpan w:val="2"/>
            <w:tcBorders>
              <w:top w:val="single" w:sz="4" w:space="0" w:color="auto"/>
              <w:left w:val="nil"/>
              <w:bottom w:val="single" w:sz="4" w:space="0" w:color="auto"/>
              <w:right w:val="single" w:sz="4" w:space="0" w:color="auto"/>
            </w:tcBorders>
            <w:shd w:val="clear" w:color="auto" w:fill="auto"/>
            <w:vAlign w:val="center"/>
            <w:hideMark/>
          </w:tcPr>
          <w:p w14:paraId="4512074F" w14:textId="6BA8BA06" w:rsidR="005F4FE4" w:rsidRPr="007574BA" w:rsidRDefault="005F4FE4" w:rsidP="005F4FE4">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5.01%</w:t>
            </w:r>
          </w:p>
        </w:tc>
        <w:tc>
          <w:tcPr>
            <w:tcW w:w="2315" w:type="dxa"/>
            <w:gridSpan w:val="2"/>
            <w:tcBorders>
              <w:top w:val="single" w:sz="4" w:space="0" w:color="auto"/>
              <w:left w:val="nil"/>
              <w:bottom w:val="single" w:sz="4" w:space="0" w:color="auto"/>
              <w:right w:val="single" w:sz="4" w:space="0" w:color="auto"/>
            </w:tcBorders>
            <w:shd w:val="clear" w:color="auto" w:fill="auto"/>
            <w:vAlign w:val="center"/>
            <w:hideMark/>
          </w:tcPr>
          <w:p w14:paraId="5FAF4248" w14:textId="5AE7BE13" w:rsidR="005F4FE4" w:rsidRPr="007574BA" w:rsidRDefault="005F4FE4" w:rsidP="005F4FE4">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6.39%</w:t>
            </w:r>
          </w:p>
        </w:tc>
        <w:tc>
          <w:tcPr>
            <w:tcW w:w="2164" w:type="dxa"/>
            <w:gridSpan w:val="2"/>
            <w:tcBorders>
              <w:top w:val="single" w:sz="4" w:space="0" w:color="auto"/>
              <w:left w:val="nil"/>
              <w:bottom w:val="single" w:sz="4" w:space="0" w:color="auto"/>
              <w:right w:val="single" w:sz="4" w:space="0" w:color="auto"/>
            </w:tcBorders>
            <w:shd w:val="clear" w:color="auto" w:fill="auto"/>
            <w:vAlign w:val="center"/>
            <w:hideMark/>
          </w:tcPr>
          <w:p w14:paraId="618EA32A" w14:textId="016895D3" w:rsidR="005F4FE4" w:rsidRPr="007574BA" w:rsidRDefault="005F4FE4" w:rsidP="005F4FE4">
            <w:pPr>
              <w:jc w:val="center"/>
              <w:rPr>
                <w:rFonts w:asciiTheme="minorHAnsi" w:hAnsiTheme="minorHAnsi" w:cstheme="minorHAnsi"/>
                <w:i/>
                <w:iCs/>
                <w:sz w:val="26"/>
                <w:szCs w:val="26"/>
                <w:lang w:eastAsia="ro-RO"/>
              </w:rPr>
            </w:pPr>
            <w:r w:rsidRPr="007574BA">
              <w:rPr>
                <w:rFonts w:ascii="Calibri" w:hAnsi="Calibri" w:cs="Calibri"/>
                <w:i/>
                <w:iCs/>
                <w:noProof w:val="0"/>
                <w:sz w:val="22"/>
                <w:szCs w:val="22"/>
                <w:lang w:val="en-US"/>
              </w:rPr>
              <w:t>13.02%</w:t>
            </w:r>
          </w:p>
        </w:tc>
      </w:tr>
    </w:tbl>
    <w:p w14:paraId="7DDDEDB0" w14:textId="0A3F3568" w:rsidR="00895FF8" w:rsidRPr="004A72CD" w:rsidRDefault="00F313A6" w:rsidP="00F313A6">
      <w:pPr>
        <w:spacing w:line="276" w:lineRule="auto"/>
        <w:jc w:val="center"/>
        <w:rPr>
          <w:rFonts w:asciiTheme="minorHAnsi" w:eastAsiaTheme="minorHAnsi" w:hAnsiTheme="minorHAnsi" w:cstheme="minorHAnsi"/>
          <w:sz w:val="26"/>
          <w:szCs w:val="26"/>
        </w:rPr>
      </w:pPr>
      <w:r w:rsidRPr="00313FEF">
        <w:rPr>
          <w:rFonts w:asciiTheme="minorHAnsi" w:hAnsiTheme="minorHAnsi" w:cstheme="minorHAnsi"/>
          <w:sz w:val="26"/>
          <w:szCs w:val="26"/>
          <w:lang w:eastAsia="ro-RO"/>
        </w:rPr>
        <w:drawing>
          <wp:inline distT="0" distB="0" distL="0" distR="0" wp14:anchorId="35F09FD6" wp14:editId="7CFB7FC2">
            <wp:extent cx="6479540" cy="4256405"/>
            <wp:effectExtent l="0" t="0" r="16510" b="10795"/>
            <wp:docPr id="1487686725" name="Chart 1">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DD57777" w14:textId="1D20FA80" w:rsidR="00895FF8" w:rsidRPr="004A72CD" w:rsidRDefault="00895FF8" w:rsidP="00F313A6">
      <w:pPr>
        <w:spacing w:line="276" w:lineRule="auto"/>
        <w:ind w:firstLine="709"/>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Din ponderea fondurilor bugetului Institutului Naţional al Magistraturii şi Şcolii Naţionale de Grefieri în totalul bugetului Consiliului Superior al Magistraturii, prezentată în grafic, fluctuaţia procentului în perioada analizată demonstrează că în domeniul învăţământului de specialitate pentru judecători, procurori şi grefieri s-a avut în vedere asigurarea desfăşurării activităţii în condiţii de calitate şi eficienţă la standarde europene, în ciuda restricţiilor bugetare existente.</w:t>
      </w:r>
    </w:p>
    <w:p w14:paraId="1154E3DB" w14:textId="1536D2A0" w:rsidR="00895FF8" w:rsidRPr="004A72CD" w:rsidRDefault="00895FF8" w:rsidP="00F313A6">
      <w:pPr>
        <w:spacing w:line="276" w:lineRule="auto"/>
        <w:ind w:firstLine="709"/>
        <w:jc w:val="both"/>
        <w:rPr>
          <w:rFonts w:asciiTheme="minorHAnsi" w:eastAsiaTheme="minorHAnsi" w:hAnsiTheme="minorHAnsi" w:cstheme="minorHAnsi"/>
          <w:sz w:val="26"/>
          <w:szCs w:val="26"/>
        </w:rPr>
      </w:pPr>
      <w:r w:rsidRPr="004A72CD">
        <w:rPr>
          <w:rFonts w:asciiTheme="minorHAnsi" w:eastAsiaTheme="minorHAnsi" w:hAnsiTheme="minorHAnsi" w:cstheme="minorHAnsi"/>
          <w:sz w:val="26"/>
          <w:szCs w:val="26"/>
        </w:rPr>
        <w:t>Prin asigurarea unei finanţări corespunzătoare la capitolul „Învăţământ” s-a preconizat dezvoltarea structurii instituţionale a Institutului Naţional al Magistraturii şi a Şcolii Naţionale de Grefieri.</w:t>
      </w:r>
      <w:r w:rsidRPr="004A72CD">
        <w:rPr>
          <w:rFonts w:asciiTheme="minorHAnsi" w:eastAsiaTheme="minorHAnsi" w:hAnsiTheme="minorHAnsi" w:cstheme="minorHAnsi"/>
          <w:sz w:val="26"/>
          <w:szCs w:val="26"/>
        </w:rPr>
        <w:tab/>
      </w:r>
    </w:p>
    <w:p w14:paraId="00B5F0F3" w14:textId="733AFA98" w:rsidR="00895FF8" w:rsidRPr="004A72CD" w:rsidRDefault="00895FF8" w:rsidP="00F313A6">
      <w:pPr>
        <w:spacing w:line="276" w:lineRule="auto"/>
        <w:ind w:firstLine="709"/>
        <w:jc w:val="both"/>
        <w:rPr>
          <w:rFonts w:asciiTheme="minorHAnsi" w:eastAsiaTheme="minorHAnsi" w:hAnsiTheme="minorHAnsi" w:cstheme="minorHAnsi"/>
          <w:color w:val="000000"/>
          <w:sz w:val="26"/>
          <w:szCs w:val="26"/>
        </w:rPr>
      </w:pPr>
      <w:r w:rsidRPr="004A72CD">
        <w:rPr>
          <w:rFonts w:asciiTheme="minorHAnsi" w:eastAsiaTheme="minorHAnsi" w:hAnsiTheme="minorHAnsi" w:cstheme="minorHAnsi"/>
          <w:color w:val="000000"/>
          <w:sz w:val="26"/>
          <w:szCs w:val="26"/>
        </w:rPr>
        <w:t xml:space="preserve">Programul de cheltuieli pe anul 2024, potrivit bugetului de stat aprobat prin Legea nr. 421/2023, a susţinut financiar atât activitatea curentă a Consiliului Superior al Magistraturii cu unităţile din coordonare, cât şi derularea activităţilor cu privire la </w:t>
      </w:r>
      <w:r w:rsidRPr="004A72CD">
        <w:rPr>
          <w:rFonts w:asciiTheme="minorHAnsi" w:eastAsiaTheme="minorHAnsi" w:hAnsiTheme="minorHAnsi" w:cstheme="minorHAnsi"/>
          <w:sz w:val="26"/>
          <w:szCs w:val="26"/>
        </w:rPr>
        <w:t>planul de acţiune privind reforma în justiţie</w:t>
      </w:r>
      <w:r w:rsidRPr="004A72CD">
        <w:rPr>
          <w:rFonts w:asciiTheme="minorHAnsi" w:eastAsiaTheme="minorHAnsi" w:hAnsiTheme="minorHAnsi" w:cstheme="minorHAnsi"/>
          <w:color w:val="000000"/>
          <w:sz w:val="26"/>
          <w:szCs w:val="26"/>
        </w:rPr>
        <w:t xml:space="preserve">. </w:t>
      </w:r>
    </w:p>
    <w:p w14:paraId="5EE94A14" w14:textId="77777777" w:rsidR="00895FF8" w:rsidRPr="004A72CD" w:rsidRDefault="00895FF8" w:rsidP="00D51F5A">
      <w:pPr>
        <w:spacing w:line="276" w:lineRule="auto"/>
        <w:ind w:firstLine="720"/>
        <w:jc w:val="both"/>
        <w:rPr>
          <w:rFonts w:asciiTheme="minorHAnsi" w:eastAsiaTheme="minorHAnsi" w:hAnsiTheme="minorHAnsi" w:cstheme="minorHAnsi"/>
          <w:color w:val="000000"/>
          <w:sz w:val="26"/>
          <w:szCs w:val="26"/>
        </w:rPr>
      </w:pPr>
      <w:r w:rsidRPr="004A72CD">
        <w:rPr>
          <w:rFonts w:asciiTheme="minorHAnsi" w:eastAsiaTheme="minorHAnsi" w:hAnsiTheme="minorHAnsi" w:cstheme="minorHAnsi"/>
          <w:color w:val="000000"/>
          <w:sz w:val="26"/>
          <w:szCs w:val="26"/>
        </w:rPr>
        <w:t xml:space="preserve">Asigurarea resurselor materiale necesare este esenţială pentru buna funcţionare a Consiliului Superior al Magistraturii, în calitate de garant al independenţei justiţiei. </w:t>
      </w:r>
    </w:p>
    <w:p w14:paraId="36CBDD20" w14:textId="77777777" w:rsidR="00895FF8" w:rsidRPr="004A72CD" w:rsidRDefault="00895FF8" w:rsidP="00D51F5A">
      <w:pPr>
        <w:spacing w:line="276" w:lineRule="auto"/>
        <w:ind w:firstLine="720"/>
        <w:jc w:val="both"/>
        <w:rPr>
          <w:rFonts w:asciiTheme="minorHAnsi" w:eastAsiaTheme="minorHAnsi" w:hAnsiTheme="minorHAnsi" w:cstheme="minorHAnsi"/>
          <w:color w:val="000000"/>
          <w:sz w:val="26"/>
          <w:szCs w:val="26"/>
        </w:rPr>
      </w:pPr>
      <w:r w:rsidRPr="004A72CD">
        <w:rPr>
          <w:rFonts w:asciiTheme="minorHAnsi" w:eastAsiaTheme="minorHAnsi" w:hAnsiTheme="minorHAnsi" w:cstheme="minorHAnsi"/>
          <w:color w:val="000000"/>
          <w:sz w:val="26"/>
          <w:szCs w:val="26"/>
        </w:rPr>
        <w:t xml:space="preserve">Locul justiţiei în echilibrul puterilor, ca putere/autoritate a statului de drept nu poate fi garantat fără să se asigure şi independenţa financiară a acesteia, în sensul că bugetele trebuie să fie stabilite, pe de o parte, în funcţie de o serie de factori obiectivi (volum de activitate, schemele </w:t>
      </w:r>
      <w:r w:rsidRPr="004A72CD">
        <w:rPr>
          <w:rFonts w:asciiTheme="minorHAnsi" w:eastAsiaTheme="minorHAnsi" w:hAnsiTheme="minorHAnsi" w:cstheme="minorHAnsi"/>
          <w:color w:val="000000"/>
          <w:sz w:val="26"/>
          <w:szCs w:val="26"/>
        </w:rPr>
        <w:lastRenderedPageBreak/>
        <w:t>de personal, etc.), iar pe de altă parte, la un nivel corespunzător, care să permită îndeplinirea rolului social şi a atribuţiilor prevăzute de lege pentru sistemul judiciar.</w:t>
      </w:r>
    </w:p>
    <w:p w14:paraId="45EEDD3B" w14:textId="77777777" w:rsidR="00895FF8" w:rsidRPr="004A72CD" w:rsidRDefault="00895FF8" w:rsidP="00D51F5A">
      <w:pPr>
        <w:spacing w:line="276" w:lineRule="auto"/>
        <w:ind w:firstLine="720"/>
        <w:jc w:val="both"/>
        <w:rPr>
          <w:rFonts w:asciiTheme="minorHAnsi" w:eastAsiaTheme="minorHAnsi" w:hAnsiTheme="minorHAnsi" w:cstheme="minorHAnsi"/>
          <w:color w:val="000000"/>
          <w:sz w:val="26"/>
          <w:szCs w:val="26"/>
        </w:rPr>
      </w:pPr>
      <w:r w:rsidRPr="004A72CD">
        <w:rPr>
          <w:rFonts w:asciiTheme="minorHAnsi" w:eastAsiaTheme="minorHAnsi" w:hAnsiTheme="minorHAnsi" w:cstheme="minorHAnsi"/>
          <w:color w:val="000000"/>
          <w:sz w:val="26"/>
          <w:szCs w:val="26"/>
        </w:rPr>
        <w:t>În calitate de ordonator principal de credite, Consiliul Superior al Magistraturii prin Direcţia Economică şi Administrativ a încercat să răspundă, în limita permisă de lege, la toate solicitările Institutului Naţional al Magistraturii și ale Şcolii Naţionale de Grefieri.</w:t>
      </w:r>
    </w:p>
    <w:p w14:paraId="77A9FAA5" w14:textId="77777777" w:rsidR="00895FF8" w:rsidRPr="004A72CD" w:rsidRDefault="00895FF8" w:rsidP="00D51F5A">
      <w:pPr>
        <w:spacing w:line="276" w:lineRule="auto"/>
        <w:ind w:firstLine="720"/>
        <w:jc w:val="both"/>
        <w:rPr>
          <w:rFonts w:asciiTheme="minorHAnsi" w:eastAsiaTheme="minorHAnsi" w:hAnsiTheme="minorHAnsi" w:cstheme="minorHAnsi"/>
          <w:color w:val="000000"/>
          <w:sz w:val="26"/>
          <w:szCs w:val="26"/>
        </w:rPr>
      </w:pPr>
      <w:r w:rsidRPr="004A72CD">
        <w:rPr>
          <w:rFonts w:asciiTheme="minorHAnsi" w:eastAsiaTheme="minorHAnsi" w:hAnsiTheme="minorHAnsi" w:cstheme="minorHAnsi"/>
          <w:color w:val="000000"/>
          <w:sz w:val="26"/>
          <w:szCs w:val="26"/>
        </w:rPr>
        <w:t>În ceea ce priveşte măsurile luate la nivelul Consiliul Superior al Magistraturii – Direcţia Economică şi Administrativ pentru combaterea stării de subfinanţare, s-au avut în vedere următoarele:</w:t>
      </w:r>
    </w:p>
    <w:p w14:paraId="4F018074" w14:textId="77777777" w:rsidR="00895FF8" w:rsidRPr="004A72CD" w:rsidRDefault="00895FF8">
      <w:pPr>
        <w:numPr>
          <w:ilvl w:val="0"/>
          <w:numId w:val="10"/>
        </w:numPr>
        <w:tabs>
          <w:tab w:val="clear" w:pos="1680"/>
          <w:tab w:val="left" w:pos="993"/>
        </w:tabs>
        <w:spacing w:line="276" w:lineRule="auto"/>
        <w:ind w:left="0" w:firstLine="709"/>
        <w:jc w:val="both"/>
        <w:rPr>
          <w:rFonts w:asciiTheme="minorHAnsi" w:eastAsiaTheme="minorHAnsi" w:hAnsiTheme="minorHAnsi" w:cstheme="minorHAnsi"/>
          <w:color w:val="000000"/>
          <w:sz w:val="26"/>
          <w:szCs w:val="26"/>
        </w:rPr>
      </w:pPr>
      <w:r w:rsidRPr="004A72CD">
        <w:rPr>
          <w:rFonts w:asciiTheme="minorHAnsi" w:eastAsiaTheme="minorHAnsi" w:hAnsiTheme="minorHAnsi" w:cstheme="minorHAnsi"/>
          <w:color w:val="000000"/>
          <w:sz w:val="26"/>
          <w:szCs w:val="26"/>
        </w:rPr>
        <w:t>creşterea gradului de accesare printr-o gestionare eficientă a fondurilor europene pentru dotări şi servicii;</w:t>
      </w:r>
    </w:p>
    <w:p w14:paraId="07A9CD5E" w14:textId="77777777" w:rsidR="00895FF8" w:rsidRPr="004A72CD" w:rsidRDefault="00895FF8">
      <w:pPr>
        <w:numPr>
          <w:ilvl w:val="0"/>
          <w:numId w:val="10"/>
        </w:numPr>
        <w:tabs>
          <w:tab w:val="clear" w:pos="1680"/>
          <w:tab w:val="left" w:pos="993"/>
        </w:tabs>
        <w:spacing w:line="276" w:lineRule="auto"/>
        <w:ind w:left="0" w:firstLine="709"/>
        <w:jc w:val="both"/>
        <w:rPr>
          <w:rFonts w:asciiTheme="minorHAnsi" w:eastAsiaTheme="minorHAnsi" w:hAnsiTheme="minorHAnsi" w:cstheme="minorHAnsi"/>
          <w:color w:val="000000"/>
          <w:sz w:val="26"/>
          <w:szCs w:val="26"/>
        </w:rPr>
      </w:pPr>
      <w:r w:rsidRPr="004A72CD">
        <w:rPr>
          <w:rFonts w:asciiTheme="minorHAnsi" w:eastAsiaTheme="minorHAnsi" w:hAnsiTheme="minorHAnsi" w:cstheme="minorHAnsi"/>
          <w:color w:val="000000"/>
          <w:sz w:val="26"/>
          <w:szCs w:val="26"/>
        </w:rPr>
        <w:t>utilizarea pudențială a fondurilor alocate pentru cheltuieli materiale şi servicii;</w:t>
      </w:r>
    </w:p>
    <w:p w14:paraId="18383FDB" w14:textId="77777777" w:rsidR="00895FF8" w:rsidRPr="004A72CD" w:rsidRDefault="00895FF8">
      <w:pPr>
        <w:numPr>
          <w:ilvl w:val="0"/>
          <w:numId w:val="10"/>
        </w:numPr>
        <w:tabs>
          <w:tab w:val="clear" w:pos="1680"/>
          <w:tab w:val="left" w:pos="993"/>
        </w:tabs>
        <w:spacing w:line="276" w:lineRule="auto"/>
        <w:ind w:left="0" w:firstLine="709"/>
        <w:jc w:val="both"/>
        <w:rPr>
          <w:rFonts w:asciiTheme="minorHAnsi" w:eastAsiaTheme="minorHAnsi" w:hAnsiTheme="minorHAnsi" w:cstheme="minorHAnsi"/>
          <w:color w:val="000000"/>
          <w:sz w:val="26"/>
          <w:szCs w:val="26"/>
        </w:rPr>
      </w:pPr>
      <w:r w:rsidRPr="004A72CD">
        <w:rPr>
          <w:rFonts w:asciiTheme="minorHAnsi" w:eastAsiaTheme="minorHAnsi" w:hAnsiTheme="minorHAnsi" w:cstheme="minorHAnsi"/>
          <w:color w:val="000000"/>
          <w:sz w:val="26"/>
          <w:szCs w:val="26"/>
        </w:rPr>
        <w:t>îmbunătăţirea mediului de control intern pentru o mai bună alocare a resurselor pe destinaţii de cheltuieli;</w:t>
      </w:r>
    </w:p>
    <w:p w14:paraId="35AB0BFE" w14:textId="205F9B2C" w:rsidR="00E933A9" w:rsidRPr="00E933A9" w:rsidRDefault="00895FF8">
      <w:pPr>
        <w:numPr>
          <w:ilvl w:val="0"/>
          <w:numId w:val="10"/>
        </w:numPr>
        <w:tabs>
          <w:tab w:val="clear" w:pos="1680"/>
          <w:tab w:val="left" w:pos="993"/>
        </w:tabs>
        <w:spacing w:line="276" w:lineRule="auto"/>
        <w:ind w:left="0" w:firstLine="709"/>
        <w:jc w:val="both"/>
        <w:rPr>
          <w:rFonts w:asciiTheme="minorHAnsi" w:eastAsiaTheme="minorHAnsi" w:hAnsiTheme="minorHAnsi" w:cstheme="minorHAnsi"/>
          <w:color w:val="000000"/>
          <w:sz w:val="26"/>
          <w:szCs w:val="26"/>
        </w:rPr>
      </w:pPr>
      <w:r w:rsidRPr="004A72CD">
        <w:rPr>
          <w:rFonts w:asciiTheme="minorHAnsi" w:eastAsiaTheme="minorHAnsi" w:hAnsiTheme="minorHAnsi" w:cstheme="minorHAnsi"/>
          <w:color w:val="000000"/>
          <w:sz w:val="26"/>
          <w:szCs w:val="26"/>
        </w:rPr>
        <w:t>prioritizarea cheltuielilor corespunzător politicilor publice.</w:t>
      </w:r>
      <w:bookmarkStart w:id="124" w:name="_Toc430867127"/>
      <w:r w:rsidR="00E933A9" w:rsidRPr="00E933A9">
        <w:rPr>
          <w:rFonts w:asciiTheme="minorHAnsi" w:hAnsiTheme="minorHAnsi" w:cstheme="minorHAnsi"/>
          <w:b/>
          <w:sz w:val="26"/>
          <w:szCs w:val="26"/>
        </w:rPr>
        <w:br w:type="page"/>
      </w:r>
    </w:p>
    <w:p w14:paraId="4C10A98F" w14:textId="23CAC9C3" w:rsidR="00AE5495" w:rsidRPr="004A72CD" w:rsidRDefault="00AE5495" w:rsidP="00D51F5A">
      <w:pPr>
        <w:suppressLineNumbers/>
        <w:suppressAutoHyphens/>
        <w:spacing w:before="240" w:after="240" w:line="276" w:lineRule="auto"/>
        <w:ind w:right="-2" w:firstLine="567"/>
        <w:jc w:val="center"/>
        <w:outlineLvl w:val="0"/>
        <w:rPr>
          <w:rFonts w:asciiTheme="minorHAnsi" w:hAnsiTheme="minorHAnsi" w:cstheme="minorHAnsi"/>
          <w:b/>
          <w:sz w:val="26"/>
          <w:szCs w:val="26"/>
        </w:rPr>
      </w:pPr>
      <w:bookmarkStart w:id="125" w:name="_Toc187824387"/>
      <w:r w:rsidRPr="004A72CD">
        <w:rPr>
          <w:rFonts w:asciiTheme="minorHAnsi" w:hAnsiTheme="minorHAnsi" w:cstheme="minorHAnsi"/>
          <w:b/>
          <w:sz w:val="26"/>
          <w:szCs w:val="26"/>
        </w:rPr>
        <w:lastRenderedPageBreak/>
        <w:t>CAPITOLUL VI</w:t>
      </w:r>
      <w:bookmarkEnd w:id="125"/>
    </w:p>
    <w:p w14:paraId="3645BEC6" w14:textId="77777777" w:rsidR="00AE5495" w:rsidRPr="004A72CD" w:rsidRDefault="00AE5495" w:rsidP="00D51F5A">
      <w:pPr>
        <w:suppressLineNumbers/>
        <w:suppressAutoHyphens/>
        <w:spacing w:before="240" w:after="240" w:line="276" w:lineRule="auto"/>
        <w:ind w:right="-2" w:firstLine="567"/>
        <w:jc w:val="center"/>
        <w:outlineLvl w:val="0"/>
        <w:rPr>
          <w:rFonts w:asciiTheme="minorHAnsi" w:hAnsiTheme="minorHAnsi" w:cstheme="minorHAnsi"/>
          <w:b/>
          <w:sz w:val="26"/>
          <w:szCs w:val="26"/>
        </w:rPr>
      </w:pPr>
      <w:bookmarkStart w:id="126" w:name="_Toc187824388"/>
      <w:r w:rsidRPr="004A72CD">
        <w:rPr>
          <w:rFonts w:asciiTheme="minorHAnsi" w:hAnsiTheme="minorHAnsi" w:cstheme="minorHAnsi"/>
          <w:b/>
          <w:sz w:val="26"/>
          <w:szCs w:val="26"/>
        </w:rPr>
        <w:t>Alte aspecte privind activitatea aparatului propriu de asigurare a suportului tehnic pentru îndeplinirea atribuţiilor Consiliului Superior al Magistraturii</w:t>
      </w:r>
      <w:bookmarkEnd w:id="124"/>
      <w:bookmarkEnd w:id="126"/>
    </w:p>
    <w:p w14:paraId="2CB47405" w14:textId="77777777" w:rsidR="00AE5495" w:rsidRPr="004A72CD" w:rsidRDefault="00AE5495" w:rsidP="00D51F5A">
      <w:pPr>
        <w:suppressLineNumbers/>
        <w:suppressAutoHyphens/>
        <w:spacing w:before="120" w:after="120" w:line="276" w:lineRule="auto"/>
        <w:ind w:right="-2" w:firstLine="567"/>
        <w:jc w:val="both"/>
        <w:outlineLvl w:val="1"/>
        <w:rPr>
          <w:rFonts w:asciiTheme="minorHAnsi" w:hAnsiTheme="minorHAnsi" w:cstheme="minorHAnsi"/>
          <w:b/>
          <w:sz w:val="26"/>
          <w:szCs w:val="26"/>
        </w:rPr>
      </w:pPr>
      <w:bookmarkStart w:id="127" w:name="_Toc430867129"/>
    </w:p>
    <w:p w14:paraId="21D39F3D" w14:textId="77777777" w:rsidR="00AE5495" w:rsidRPr="004A3440" w:rsidRDefault="00AE5495" w:rsidP="00F313A6">
      <w:pPr>
        <w:pStyle w:val="Heading2"/>
        <w:rPr>
          <w:lang w:val="ro-RO"/>
        </w:rPr>
      </w:pPr>
      <w:bookmarkStart w:id="128" w:name="_Toc187824389"/>
      <w:r w:rsidRPr="004A3440">
        <w:rPr>
          <w:lang w:val="ro-RO"/>
        </w:rPr>
        <w:t>VI.1. Activitatea Direcţiei resurse umane şi organizare</w:t>
      </w:r>
      <w:bookmarkEnd w:id="128"/>
    </w:p>
    <w:p w14:paraId="4E909C35" w14:textId="77777777" w:rsidR="00AE5495" w:rsidRPr="004A72CD" w:rsidRDefault="00AE5495" w:rsidP="00F313A6">
      <w:pPr>
        <w:widowControl w:val="0"/>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Activitatea specifică derulată la nivelul direcţiei presupune o serie de acţiuni care nu impun inventarierea acestora, dar care implică timp şi documentare corespunzătoare, fiind absolut necesare pentru actualizarea evidenţelor direcţiei, în raport de care se desfăşoară întreaga activitate a Consiliului Superior al Magistraturii în domeniul gestionării carierei judecătorilor şi procurorilor, respectiv al organizării instanţelor şi parchetelor.</w:t>
      </w:r>
    </w:p>
    <w:p w14:paraId="1CC58E2C" w14:textId="0C775FA8" w:rsidR="00AE5495" w:rsidRPr="004A72CD" w:rsidRDefault="00AE5495" w:rsidP="00F313A6">
      <w:pPr>
        <w:keepNext/>
        <w:keepLines/>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Activităţile derulate în perioada analizată la nivelul Serviciului resurse umane pentru instanţele judecătoreşti şi al Serviciului resurse umane pentru parchete s-au concretizat în rezultatele expuse în prezentul raport la capitolele referitoare la gestionarea carierei profesionale a judecătorilor şi procurorilor, un rol important având aici şi </w:t>
      </w:r>
      <w:r w:rsidR="004A3440">
        <w:rPr>
          <w:rFonts w:asciiTheme="minorHAnsi" w:hAnsiTheme="minorHAnsi" w:cstheme="minorHAnsi"/>
          <w:sz w:val="26"/>
          <w:szCs w:val="26"/>
        </w:rPr>
        <w:t xml:space="preserve">Serviciul concursuri şi formare profesională </w:t>
      </w:r>
      <w:r w:rsidRPr="004A72CD">
        <w:rPr>
          <w:rFonts w:asciiTheme="minorHAnsi" w:hAnsiTheme="minorHAnsi" w:cstheme="minorHAnsi"/>
          <w:sz w:val="26"/>
          <w:szCs w:val="26"/>
        </w:rPr>
        <w:t>din cadrul direcţiei, a cărui activitate va fi prezentată în cele ce urmează, organizarea instanţelor şi parchetelor şi managementul resurselor umane în aparatul propriu, motiv pentru care nu vor fi reluate.</w:t>
      </w:r>
    </w:p>
    <w:p w14:paraId="61EBFD8E" w14:textId="26FE97D4" w:rsidR="00AE5495" w:rsidRPr="004A72CD" w:rsidRDefault="00AE5495" w:rsidP="00F313A6">
      <w:pPr>
        <w:tabs>
          <w:tab w:val="left" w:pos="8550"/>
        </w:tabs>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Începând cu luna decembrie 2022 au fost în vigoare dispoziţiile Legii nr. 303/2022 privind statutul judecătorilor şi procurorilor, care statuează, în ceea ce priveşte instituţia transferului judecătorilor, că declanşarea procedurilor se ap</w:t>
      </w:r>
      <w:r w:rsidR="004D3997" w:rsidRPr="004A72CD">
        <w:rPr>
          <w:rFonts w:asciiTheme="minorHAnsi" w:hAnsiTheme="minorHAnsi" w:cstheme="minorHAnsi"/>
          <w:sz w:val="26"/>
          <w:szCs w:val="26"/>
        </w:rPr>
        <w:t>r</w:t>
      </w:r>
      <w:r w:rsidRPr="004A72CD">
        <w:rPr>
          <w:rFonts w:asciiTheme="minorHAnsi" w:hAnsiTheme="minorHAnsi" w:cstheme="minorHAnsi"/>
          <w:sz w:val="26"/>
          <w:szCs w:val="26"/>
        </w:rPr>
        <w:t>obă de preşedintele Consiliului Superior al Magistraturii.</w:t>
      </w:r>
    </w:p>
    <w:p w14:paraId="356B2D0B" w14:textId="4A14243B" w:rsidR="00AE5495" w:rsidRPr="004A72CD" w:rsidRDefault="00AE5495" w:rsidP="00F313A6">
      <w:pPr>
        <w:shd w:val="clear" w:color="auto" w:fill="FFFFFF"/>
        <w:spacing w:line="276" w:lineRule="auto"/>
        <w:ind w:right="-2" w:firstLine="709"/>
        <w:jc w:val="both"/>
        <w:rPr>
          <w:rFonts w:asciiTheme="minorHAnsi" w:eastAsia="Calibri" w:hAnsiTheme="minorHAnsi" w:cstheme="minorHAnsi"/>
          <w:sz w:val="26"/>
          <w:szCs w:val="26"/>
          <w:lang w:eastAsia="ro-RO"/>
        </w:rPr>
      </w:pPr>
      <w:r w:rsidRPr="004A72CD">
        <w:rPr>
          <w:rFonts w:asciiTheme="minorHAnsi" w:eastAsia="Calibri" w:hAnsiTheme="minorHAnsi" w:cstheme="minorHAnsi"/>
          <w:sz w:val="26"/>
          <w:szCs w:val="26"/>
          <w:lang w:eastAsia="ro-RO"/>
        </w:rPr>
        <w:t xml:space="preserve">În ceea ce priveşte modalitatea de depunere a cererilor de transfer, la nivelul Consiliului </w:t>
      </w:r>
      <w:r w:rsidR="00913566">
        <w:rPr>
          <w:rFonts w:asciiTheme="minorHAnsi" w:eastAsia="Calibri" w:hAnsiTheme="minorHAnsi" w:cstheme="minorHAnsi"/>
          <w:sz w:val="26"/>
          <w:szCs w:val="26"/>
          <w:lang w:eastAsia="ro-RO"/>
        </w:rPr>
        <w:t xml:space="preserve">  </w:t>
      </w:r>
      <w:r w:rsidRPr="004A72CD">
        <w:rPr>
          <w:rFonts w:asciiTheme="minorHAnsi" w:eastAsia="Calibri" w:hAnsiTheme="minorHAnsi" w:cstheme="minorHAnsi"/>
          <w:sz w:val="26"/>
          <w:szCs w:val="26"/>
          <w:lang w:eastAsia="ro-RO"/>
        </w:rPr>
        <w:t>s-a menţinut aceeaşi linie, respectiv ca acestea să fie depuse doar online, similar procedurilor deja utilizate pentru concursurile de admitere la I.N.M., admitere în magistratură, promovare a judecătorilor, fiind elaborat un program în acest sens, accesibil tuturor judecătorilor în sistemul informatic E</w:t>
      </w:r>
      <w:r w:rsidR="00F71961" w:rsidRPr="004A72CD">
        <w:rPr>
          <w:rFonts w:asciiTheme="minorHAnsi" w:eastAsia="Calibri" w:hAnsiTheme="minorHAnsi" w:cstheme="minorHAnsi"/>
          <w:sz w:val="26"/>
          <w:szCs w:val="26"/>
          <w:lang w:eastAsia="ro-RO"/>
        </w:rPr>
        <w:t>MAP</w:t>
      </w:r>
      <w:r w:rsidRPr="004A72CD">
        <w:rPr>
          <w:rFonts w:asciiTheme="minorHAnsi" w:eastAsia="Calibri" w:hAnsiTheme="minorHAnsi" w:cstheme="minorHAnsi"/>
          <w:sz w:val="26"/>
          <w:szCs w:val="26"/>
          <w:lang w:eastAsia="ro-RO"/>
        </w:rPr>
        <w:t xml:space="preserve">. </w:t>
      </w:r>
    </w:p>
    <w:p w14:paraId="4EA9F0AE" w14:textId="688318B4" w:rsidR="005D0C36" w:rsidRPr="004A72CD" w:rsidRDefault="00AE5495" w:rsidP="005D0C36">
      <w:pPr>
        <w:shd w:val="clear" w:color="auto" w:fill="FFFFFF"/>
        <w:spacing w:line="276" w:lineRule="auto"/>
        <w:ind w:right="-2" w:firstLine="709"/>
        <w:jc w:val="both"/>
        <w:rPr>
          <w:rFonts w:asciiTheme="minorHAnsi" w:eastAsia="Calibri" w:hAnsiTheme="minorHAnsi" w:cstheme="minorHAnsi"/>
          <w:sz w:val="26"/>
          <w:szCs w:val="26"/>
          <w:lang w:eastAsia="ro-RO"/>
        </w:rPr>
      </w:pPr>
      <w:r w:rsidRPr="004A72CD">
        <w:rPr>
          <w:rFonts w:asciiTheme="minorHAnsi" w:eastAsia="Calibri" w:hAnsiTheme="minorHAnsi" w:cstheme="minorHAnsi"/>
          <w:sz w:val="26"/>
          <w:szCs w:val="26"/>
          <w:lang w:eastAsia="ro-RO"/>
        </w:rPr>
        <w:t>Modificarea practicii anterioare în care cererile de transfer şi documentele transmise în motivare se depuneau în format scriptic a condus la o mai bună gestionare a cererilor de transfer, la folosirea în mod eficient a resurselor disponibile şi la reducerea situaţiilor în care apar erori cu privire la înaintarea şi înregistrarea cererilor.</w:t>
      </w:r>
    </w:p>
    <w:p w14:paraId="19E5B867" w14:textId="435B716A" w:rsidR="005B3466" w:rsidRPr="005B3466" w:rsidRDefault="00AE5495" w:rsidP="005B3466">
      <w:pPr>
        <w:tabs>
          <w:tab w:val="left" w:pos="8550"/>
        </w:tabs>
        <w:spacing w:line="276" w:lineRule="auto"/>
        <w:ind w:right="-2" w:firstLine="709"/>
        <w:jc w:val="both"/>
        <w:rPr>
          <w:rFonts w:asciiTheme="minorHAnsi" w:eastAsia="Calibri" w:hAnsiTheme="minorHAnsi" w:cstheme="minorHAnsi"/>
          <w:sz w:val="26"/>
          <w:szCs w:val="26"/>
          <w:lang w:eastAsia="ro-RO"/>
        </w:rPr>
      </w:pPr>
      <w:r w:rsidRPr="004A72CD">
        <w:rPr>
          <w:rFonts w:asciiTheme="minorHAnsi" w:hAnsiTheme="minorHAnsi" w:cstheme="minorHAnsi"/>
          <w:sz w:val="26"/>
          <w:szCs w:val="26"/>
        </w:rPr>
        <w:t xml:space="preserve">Astfel, în sesiunea declanşată la finalul lunii martie 2024, la nivelul </w:t>
      </w:r>
      <w:r w:rsidRPr="004A72CD">
        <w:rPr>
          <w:rFonts w:asciiTheme="minorHAnsi" w:hAnsiTheme="minorHAnsi" w:cstheme="minorHAnsi"/>
          <w:iCs/>
          <w:sz w:val="26"/>
          <w:szCs w:val="26"/>
        </w:rPr>
        <w:t xml:space="preserve">Serviciului resurse umane pentru instanţele judecătoreşti </w:t>
      </w:r>
      <w:r w:rsidRPr="004A72CD">
        <w:rPr>
          <w:rFonts w:asciiTheme="minorHAnsi" w:hAnsiTheme="minorHAnsi" w:cstheme="minorHAnsi"/>
          <w:sz w:val="26"/>
          <w:szCs w:val="26"/>
        </w:rPr>
        <w:t xml:space="preserve">au fost elaborate lucrările necesare pentru analizarea a </w:t>
      </w:r>
      <w:r w:rsidRPr="004A72CD">
        <w:rPr>
          <w:rFonts w:asciiTheme="minorHAnsi" w:eastAsia="Calibri" w:hAnsiTheme="minorHAnsi" w:cstheme="minorHAnsi"/>
          <w:sz w:val="26"/>
          <w:szCs w:val="26"/>
        </w:rPr>
        <w:t xml:space="preserve">289 de cereri de transfer depuse pentru etapa 1 </w:t>
      </w:r>
      <w:r w:rsidR="005B3466" w:rsidRPr="005B3466">
        <w:rPr>
          <w:rFonts w:asciiTheme="minorHAnsi" w:eastAsia="Calibri" w:hAnsiTheme="minorHAnsi" w:cstheme="minorHAnsi"/>
          <w:sz w:val="26"/>
          <w:szCs w:val="26"/>
          <w:lang w:eastAsia="ro-RO"/>
        </w:rPr>
        <w:t>fiind admise 117 cereri, precum şi a 190 de cereri depuse pentru etapa 2 de transfer formulate de judecători, fiind admise 12 cereri de transfer.</w:t>
      </w:r>
    </w:p>
    <w:p w14:paraId="1CE01858" w14:textId="5F0B5252" w:rsidR="005B3466" w:rsidRPr="005B3466" w:rsidRDefault="005B3466" w:rsidP="00BA18C5">
      <w:pPr>
        <w:tabs>
          <w:tab w:val="left" w:pos="8550"/>
        </w:tabs>
        <w:spacing w:line="276" w:lineRule="auto"/>
        <w:ind w:right="6" w:firstLine="720"/>
        <w:jc w:val="both"/>
        <w:rPr>
          <w:rFonts w:asciiTheme="minorHAnsi" w:eastAsia="Calibri" w:hAnsiTheme="minorHAnsi" w:cstheme="minorHAnsi"/>
          <w:sz w:val="26"/>
          <w:szCs w:val="26"/>
          <w:lang w:eastAsia="ro-RO"/>
        </w:rPr>
      </w:pPr>
      <w:r w:rsidRPr="005B3466">
        <w:rPr>
          <w:rFonts w:asciiTheme="minorHAnsi" w:eastAsia="Calibri" w:hAnsiTheme="minorHAnsi" w:cstheme="minorHAnsi"/>
          <w:sz w:val="26"/>
          <w:szCs w:val="26"/>
          <w:lang w:eastAsia="ro-RO"/>
        </w:rPr>
        <w:t>De asemenea, în perioada octombrie</w:t>
      </w:r>
      <w:r w:rsidR="00C974FB">
        <w:rPr>
          <w:rFonts w:asciiTheme="minorHAnsi" w:eastAsia="Calibri" w:hAnsiTheme="minorHAnsi" w:cstheme="minorHAnsi"/>
          <w:sz w:val="26"/>
          <w:szCs w:val="26"/>
          <w:lang w:eastAsia="ro-RO"/>
        </w:rPr>
        <w:t xml:space="preserve"> </w:t>
      </w:r>
      <w:r w:rsidRPr="005B3466">
        <w:rPr>
          <w:rFonts w:asciiTheme="minorHAnsi" w:eastAsia="Calibri" w:hAnsiTheme="minorHAnsi" w:cstheme="minorHAnsi"/>
          <w:sz w:val="26"/>
          <w:szCs w:val="26"/>
          <w:lang w:eastAsia="ro-RO"/>
        </w:rPr>
        <w:t>-</w:t>
      </w:r>
      <w:r w:rsidR="00C974FB">
        <w:rPr>
          <w:rFonts w:asciiTheme="minorHAnsi" w:eastAsia="Calibri" w:hAnsiTheme="minorHAnsi" w:cstheme="minorHAnsi"/>
          <w:sz w:val="26"/>
          <w:szCs w:val="26"/>
          <w:lang w:eastAsia="ro-RO"/>
        </w:rPr>
        <w:t xml:space="preserve"> </w:t>
      </w:r>
      <w:r w:rsidRPr="005B3466">
        <w:rPr>
          <w:rFonts w:asciiTheme="minorHAnsi" w:eastAsia="Calibri" w:hAnsiTheme="minorHAnsi" w:cstheme="minorHAnsi"/>
          <w:sz w:val="26"/>
          <w:szCs w:val="26"/>
          <w:lang w:eastAsia="ro-RO"/>
        </w:rPr>
        <w:t xml:space="preserve">decembrie 2024 a avut loc o nouă sesiune de transfer la instanţele judecătoreşti. În etapa 1 au fost depuse 188 de cereri, fiind soluționate favorabil cererile formulate de 56 de judecători, iar pentru etapa 2 de transfer au fost depuse 107 cereri de transfer şi au fost admise 4 cereri. </w:t>
      </w:r>
    </w:p>
    <w:p w14:paraId="5C12A209" w14:textId="77777777" w:rsidR="005B3466" w:rsidRPr="005B3466" w:rsidRDefault="005B3466" w:rsidP="00BA18C5">
      <w:pPr>
        <w:tabs>
          <w:tab w:val="left" w:pos="8550"/>
        </w:tabs>
        <w:spacing w:line="276" w:lineRule="auto"/>
        <w:ind w:right="6" w:firstLine="720"/>
        <w:jc w:val="both"/>
        <w:rPr>
          <w:rFonts w:asciiTheme="minorHAnsi" w:eastAsia="Calibri" w:hAnsiTheme="minorHAnsi" w:cstheme="minorHAnsi"/>
          <w:sz w:val="26"/>
          <w:szCs w:val="26"/>
          <w:lang w:eastAsia="ro-RO"/>
        </w:rPr>
      </w:pPr>
      <w:r w:rsidRPr="005B3466">
        <w:rPr>
          <w:rFonts w:asciiTheme="minorHAnsi" w:eastAsia="Calibri" w:hAnsiTheme="minorHAnsi" w:cstheme="minorHAnsi"/>
          <w:sz w:val="26"/>
          <w:szCs w:val="26"/>
          <w:lang w:eastAsia="ro-RO"/>
        </w:rPr>
        <w:t>Totodată, în luna ianuarie 2024 a fost declanşată procedura de transfer de la instanțele civile la instanțele militare, iar dintre cele 26 de cereri depuse, au fost admise 4 cereri.</w:t>
      </w:r>
    </w:p>
    <w:p w14:paraId="6C5AA393" w14:textId="77777777" w:rsidR="00AE5495" w:rsidRPr="004A72CD" w:rsidRDefault="00AE5495" w:rsidP="00F313A6">
      <w:pPr>
        <w:keepNext/>
        <w:keepLines/>
        <w:spacing w:line="276" w:lineRule="auto"/>
        <w:ind w:right="-2" w:firstLine="709"/>
        <w:jc w:val="both"/>
        <w:rPr>
          <w:rFonts w:asciiTheme="minorHAnsi" w:hAnsiTheme="minorHAnsi" w:cstheme="minorHAnsi"/>
          <w:sz w:val="26"/>
          <w:szCs w:val="26"/>
        </w:rPr>
      </w:pPr>
      <w:r w:rsidRPr="005B3466">
        <w:rPr>
          <w:rFonts w:asciiTheme="minorHAnsi" w:eastAsia="Calibri" w:hAnsiTheme="minorHAnsi" w:cstheme="minorHAnsi"/>
          <w:sz w:val="26"/>
          <w:szCs w:val="26"/>
          <w:lang w:eastAsia="ro-RO"/>
        </w:rPr>
        <w:lastRenderedPageBreak/>
        <w:t>De asemenea, activitatea Direcţiei a vizat şi elaborarea de puncte de vedere privind</w:t>
      </w:r>
      <w:r w:rsidRPr="004A72CD">
        <w:rPr>
          <w:rFonts w:asciiTheme="minorHAnsi" w:hAnsiTheme="minorHAnsi" w:cstheme="minorHAnsi"/>
          <w:sz w:val="26"/>
          <w:szCs w:val="26"/>
        </w:rPr>
        <w:t xml:space="preserve"> solicitările de continuare a activităţii în condiţiile art. 216 alin. (1) din Legea nr. 303/2022 privind statutul judecătorilor şi procurorilor, respectiv au fost întocmite lucrările pentru analizarea propunerilor de delegare/încetare delegare/prelungire delegare în funcţii de conducere a judecătorilor, inclusiv pentru funcţiile de vicepreşedinte, precum şi cele vizând plângerile prealabile înaintate Consiliului de către judecători.</w:t>
      </w:r>
    </w:p>
    <w:p w14:paraId="6C422BA5" w14:textId="759D3C99" w:rsidR="00AE5495" w:rsidRPr="004A72CD" w:rsidRDefault="00AE5495" w:rsidP="00F313A6">
      <w:pPr>
        <w:spacing w:line="276" w:lineRule="auto"/>
        <w:ind w:right="-2" w:firstLine="709"/>
        <w:jc w:val="both"/>
        <w:rPr>
          <w:rFonts w:asciiTheme="minorHAnsi" w:hAnsiTheme="minorHAnsi" w:cstheme="minorHAnsi"/>
          <w:sz w:val="26"/>
          <w:szCs w:val="26"/>
          <w:shd w:val="clear" w:color="auto" w:fill="FFFFFF"/>
        </w:rPr>
      </w:pPr>
      <w:r w:rsidRPr="004A72CD">
        <w:rPr>
          <w:rFonts w:asciiTheme="minorHAnsi" w:hAnsiTheme="minorHAnsi" w:cstheme="minorHAnsi"/>
          <w:sz w:val="26"/>
          <w:szCs w:val="26"/>
        </w:rPr>
        <w:t>Un alt element în activitatea Serviciului resurse umane pentru instanţele judecătoreşti îl constituie</w:t>
      </w:r>
      <w:r w:rsidRPr="004A72CD">
        <w:rPr>
          <w:rFonts w:asciiTheme="minorHAnsi" w:hAnsiTheme="minorHAnsi" w:cstheme="minorHAnsi"/>
          <w:bCs/>
          <w:sz w:val="26"/>
          <w:szCs w:val="26"/>
        </w:rPr>
        <w:t xml:space="preserve"> dispoziţiile Legii</w:t>
      </w:r>
      <w:r w:rsidRPr="004A72CD">
        <w:rPr>
          <w:rFonts w:asciiTheme="minorHAnsi" w:hAnsiTheme="minorHAnsi" w:cstheme="minorHAnsi"/>
          <w:sz w:val="26"/>
          <w:szCs w:val="26"/>
        </w:rPr>
        <w:t xml:space="preserve"> </w:t>
      </w:r>
      <w:r w:rsidRPr="004A72CD">
        <w:rPr>
          <w:rFonts w:asciiTheme="minorHAnsi" w:hAnsiTheme="minorHAnsi" w:cstheme="minorHAnsi"/>
          <w:bCs/>
          <w:sz w:val="26"/>
          <w:szCs w:val="26"/>
        </w:rPr>
        <w:t xml:space="preserve">nr. 304/2022 privind organizarea judiciară, care prevăd, printre altele, atribuţia Secţiei pentru judecători a Consiliului Superior al Magistraturii de a înfiinţa, prin hotărâre, la </w:t>
      </w:r>
      <w:r w:rsidRPr="004A72CD">
        <w:rPr>
          <w:rFonts w:asciiTheme="minorHAnsi" w:hAnsiTheme="minorHAnsi" w:cstheme="minorHAnsi"/>
          <w:sz w:val="26"/>
          <w:szCs w:val="26"/>
          <w:shd w:val="clear" w:color="auto" w:fill="FFFFFF"/>
        </w:rPr>
        <w:t>propunerea preşedintelui instanţei, completurile specializate, la curţile de apel şi tribunale, în cazul în care prin lege specială se prevede obligativitatea constituirii</w:t>
      </w:r>
      <w:r w:rsidR="00CB3ADA" w:rsidRPr="004A72CD">
        <w:rPr>
          <w:rFonts w:asciiTheme="minorHAnsi" w:hAnsiTheme="minorHAnsi" w:cstheme="minorHAnsi"/>
          <w:sz w:val="26"/>
          <w:szCs w:val="26"/>
          <w:shd w:val="clear" w:color="auto" w:fill="FFFFFF"/>
        </w:rPr>
        <w:t xml:space="preserve"> </w:t>
      </w:r>
      <w:r w:rsidRPr="004A72CD">
        <w:rPr>
          <w:rFonts w:asciiTheme="minorHAnsi" w:hAnsiTheme="minorHAnsi" w:cstheme="minorHAnsi"/>
          <w:sz w:val="26"/>
          <w:szCs w:val="26"/>
          <w:shd w:val="clear" w:color="auto" w:fill="FFFFFF"/>
        </w:rPr>
        <w:t>acestora, potrivit art. 45 alin. (2) din lege.</w:t>
      </w:r>
    </w:p>
    <w:p w14:paraId="419152DA" w14:textId="4D230A83" w:rsidR="00AE5495" w:rsidRPr="004A72CD" w:rsidRDefault="00AE5495" w:rsidP="00F313A6">
      <w:pPr>
        <w:spacing w:line="276" w:lineRule="auto"/>
        <w:ind w:right="-2" w:firstLine="709"/>
        <w:jc w:val="both"/>
        <w:rPr>
          <w:rFonts w:asciiTheme="minorHAnsi" w:hAnsiTheme="minorHAnsi" w:cstheme="minorHAnsi"/>
          <w:sz w:val="26"/>
          <w:szCs w:val="26"/>
          <w:shd w:val="clear" w:color="auto" w:fill="FFFFFF"/>
        </w:rPr>
      </w:pPr>
      <w:r w:rsidRPr="004A72CD">
        <w:rPr>
          <w:rFonts w:asciiTheme="minorHAnsi" w:hAnsiTheme="minorHAnsi" w:cstheme="minorHAnsi"/>
          <w:sz w:val="26"/>
          <w:szCs w:val="26"/>
          <w:shd w:val="clear" w:color="auto" w:fill="FFFFFF"/>
        </w:rPr>
        <w:t xml:space="preserve">Din acest punct de vedere, esenţiale au fost măsurile dispuse în şedinţa Comisiei nr. 1 – judecători </w:t>
      </w:r>
      <w:r w:rsidR="00CB3ADA" w:rsidRPr="004A72CD">
        <w:rPr>
          <w:rFonts w:asciiTheme="minorHAnsi" w:hAnsiTheme="minorHAnsi" w:cstheme="minorHAnsi"/>
          <w:sz w:val="26"/>
          <w:szCs w:val="26"/>
          <w:shd w:val="clear" w:color="auto" w:fill="FFFFFF"/>
        </w:rPr>
        <w:t>–</w:t>
      </w:r>
      <w:r w:rsidRPr="004A72CD">
        <w:rPr>
          <w:rFonts w:asciiTheme="minorHAnsi" w:hAnsiTheme="minorHAnsi" w:cstheme="minorHAnsi"/>
          <w:sz w:val="26"/>
          <w:szCs w:val="26"/>
          <w:shd w:val="clear" w:color="auto" w:fill="FFFFFF"/>
        </w:rPr>
        <w:t xml:space="preserve"> </w:t>
      </w:r>
      <w:r w:rsidR="00CB3ADA" w:rsidRPr="004A72CD">
        <w:rPr>
          <w:rFonts w:asciiTheme="minorHAnsi" w:hAnsiTheme="minorHAnsi" w:cstheme="minorHAnsi"/>
          <w:sz w:val="26"/>
          <w:szCs w:val="26"/>
          <w:shd w:val="clear" w:color="auto" w:fill="FFFFFF"/>
        </w:rPr>
        <w:t>„</w:t>
      </w:r>
      <w:r w:rsidRPr="004A72CD">
        <w:rPr>
          <w:rFonts w:asciiTheme="minorHAnsi" w:hAnsiTheme="minorHAnsi" w:cstheme="minorHAnsi"/>
          <w:sz w:val="26"/>
          <w:szCs w:val="26"/>
          <w:shd w:val="clear" w:color="auto" w:fill="FFFFFF"/>
        </w:rPr>
        <w:t>Legislaţie şi cooperare interinstituţională</w:t>
      </w:r>
      <w:r w:rsidR="00CB3ADA" w:rsidRPr="004A72CD">
        <w:rPr>
          <w:rFonts w:asciiTheme="minorHAnsi" w:hAnsiTheme="minorHAnsi" w:cstheme="minorHAnsi"/>
          <w:sz w:val="26"/>
          <w:szCs w:val="26"/>
          <w:shd w:val="clear" w:color="auto" w:fill="FFFFFF"/>
        </w:rPr>
        <w:t>”</w:t>
      </w:r>
      <w:r w:rsidRPr="004A72CD">
        <w:rPr>
          <w:rFonts w:asciiTheme="minorHAnsi" w:hAnsiTheme="minorHAnsi" w:cstheme="minorHAnsi"/>
          <w:sz w:val="26"/>
          <w:szCs w:val="26"/>
          <w:shd w:val="clear" w:color="auto" w:fill="FFFFFF"/>
        </w:rPr>
        <w:t xml:space="preserve"> din data de 19 ianuarie 2023 privind posibilitatea constituirii completurilor specializate la nivelul instanţelor judecătoreşti, care şi-au menţinut valabilitatea şi în cursul anului 2024.</w:t>
      </w:r>
    </w:p>
    <w:p w14:paraId="7F243D0C" w14:textId="50DAB4F8" w:rsidR="00AE5495" w:rsidRPr="004A72CD" w:rsidRDefault="00AE5495" w:rsidP="00F313A6">
      <w:pPr>
        <w:spacing w:line="276" w:lineRule="auto"/>
        <w:ind w:right="-2" w:firstLine="709"/>
        <w:jc w:val="both"/>
        <w:rPr>
          <w:rFonts w:asciiTheme="minorHAnsi" w:hAnsiTheme="minorHAnsi" w:cstheme="minorHAnsi"/>
          <w:sz w:val="26"/>
          <w:szCs w:val="26"/>
          <w:shd w:val="clear" w:color="auto" w:fill="FFFFFF"/>
        </w:rPr>
      </w:pPr>
      <w:r w:rsidRPr="004A72CD">
        <w:rPr>
          <w:rFonts w:asciiTheme="minorHAnsi" w:hAnsiTheme="minorHAnsi" w:cstheme="minorHAnsi"/>
          <w:bCs/>
          <w:sz w:val="26"/>
          <w:szCs w:val="26"/>
        </w:rPr>
        <w:t xml:space="preserve">De asemenea, şi în cursul acestui an, problematica echilibrării schemelor de judecători şi procurori a fost analizată în cadrul </w:t>
      </w:r>
      <w:r w:rsidRPr="004A72CD">
        <w:rPr>
          <w:rFonts w:asciiTheme="minorHAnsi" w:hAnsiTheme="minorHAnsi" w:cstheme="minorHAnsi"/>
          <w:sz w:val="26"/>
          <w:szCs w:val="26"/>
        </w:rPr>
        <w:t>grupului de lucru interinstituţional constituit î</w:t>
      </w:r>
      <w:r w:rsidRPr="004A72CD">
        <w:rPr>
          <w:rFonts w:asciiTheme="minorHAnsi" w:hAnsiTheme="minorHAnsi" w:cstheme="minorHAnsi"/>
          <w:bCs/>
          <w:sz w:val="26"/>
          <w:szCs w:val="26"/>
        </w:rPr>
        <w:t xml:space="preserve">n acord cu măsurile agreate în cadrul şedinţei </w:t>
      </w:r>
      <w:r w:rsidRPr="004A72CD">
        <w:rPr>
          <w:rFonts w:asciiTheme="minorHAnsi" w:hAnsiTheme="minorHAnsi" w:cstheme="minorHAnsi"/>
          <w:sz w:val="26"/>
          <w:szCs w:val="26"/>
        </w:rPr>
        <w:t>Consiliului de Management Strategic din data de 27</w:t>
      </w:r>
      <w:r w:rsidR="002D337B" w:rsidRPr="004A72CD">
        <w:rPr>
          <w:rFonts w:asciiTheme="minorHAnsi" w:hAnsiTheme="minorHAnsi" w:cstheme="minorHAnsi"/>
          <w:sz w:val="26"/>
          <w:szCs w:val="26"/>
        </w:rPr>
        <w:t xml:space="preserve"> </w:t>
      </w:r>
      <w:r w:rsidRPr="004A72CD">
        <w:rPr>
          <w:rFonts w:asciiTheme="minorHAnsi" w:hAnsiTheme="minorHAnsi" w:cstheme="minorHAnsi"/>
          <w:sz w:val="26"/>
          <w:szCs w:val="26"/>
        </w:rPr>
        <w:t>aprilie</w:t>
      </w:r>
      <w:r w:rsidR="002D337B" w:rsidRPr="004A72CD">
        <w:rPr>
          <w:rFonts w:asciiTheme="minorHAnsi" w:hAnsiTheme="minorHAnsi" w:cstheme="minorHAnsi"/>
          <w:sz w:val="26"/>
          <w:szCs w:val="26"/>
        </w:rPr>
        <w:t xml:space="preserve"> </w:t>
      </w:r>
      <w:r w:rsidRPr="004A72CD">
        <w:rPr>
          <w:rFonts w:asciiTheme="minorHAnsi" w:hAnsiTheme="minorHAnsi" w:cstheme="minorHAnsi"/>
          <w:sz w:val="26"/>
          <w:szCs w:val="26"/>
        </w:rPr>
        <w:t>2023, vizând elaborarea unui studiu/concept privind o nouă hartă a instanţelor şi parchetelor, precum şi o strategie de resurse umane pe termen lung, inclusiv din perspectiva elementelor de dinamică demografică şi de dezvoltare economică a regiunilor pentru a aborda vulnerabilitatea constând în deficitul de resurse umane din sistemul judiciar, coordonat de Consiliul Superior al Magistraturii.</w:t>
      </w:r>
    </w:p>
    <w:p w14:paraId="2C46FCFB"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În tot cursul anului 2024, personalul din cadrul direcţiei a participat la activităţile comisiilor şi grupurilor de lucru constituite atât la nivelul Consiliului, cât şi la nivel interinstituţional, precum şi în cadrul proiectelor derulate de către instituţie.</w:t>
      </w:r>
    </w:p>
    <w:p w14:paraId="3A63FA55"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În egală măsură, Serviciul resurse umane pentru instanţele judecătoreşti şi Serviciul resurse umane pentru parchete au exercitat şi atribuţiile instituite de lege în sarcina Consiliului în domeniul declaraţiilor de avere şi de interese ale judecătorilor, procurorilor şi altor categorii de personal, în acord cu modificările legislative intervenite în privinţa modului de completare şi de transmitere a declaraţiilor de avere şi de interese. Astfel, operaţiunile ce se efectuau pe suport de hârtie (formulare, registre, etc.) au fost realizate în format electronic, prin intermediul aplicaţiei E-DAI a Agenţiei Naţionale de Integritate.</w:t>
      </w:r>
    </w:p>
    <w:p w14:paraId="28875DDB" w14:textId="77777777" w:rsidR="00AE5495" w:rsidRPr="004A72CD" w:rsidRDefault="00AE5495" w:rsidP="00F313A6">
      <w:pPr>
        <w:spacing w:line="276" w:lineRule="auto"/>
        <w:ind w:right="-2" w:firstLine="709"/>
        <w:jc w:val="both"/>
        <w:rPr>
          <w:rFonts w:asciiTheme="minorHAnsi" w:hAnsiTheme="minorHAnsi" w:cstheme="minorHAnsi"/>
          <w:b/>
          <w:sz w:val="26"/>
          <w:szCs w:val="26"/>
        </w:rPr>
      </w:pPr>
      <w:r w:rsidRPr="004A72CD">
        <w:rPr>
          <w:rFonts w:asciiTheme="minorHAnsi" w:hAnsiTheme="minorHAnsi" w:cstheme="minorHAnsi"/>
          <w:sz w:val="26"/>
          <w:szCs w:val="26"/>
        </w:rPr>
        <w:t>Volumul de activitate la nivelul Serviciului resurse umane pentru procurori a fost ridicat, fiind în continuare înregistrate numeroase solicitări de eliberare din funcţie prin pensionare, propuneri de delegare/încetare delegare/prelungire delegare, solicitări de numire în alte funcții de conducere decât cele care potrivit legii pot fi ocupate prin concurs sau examen, solicitări de continuare a activității la încetarea mandatului în funcția de conducere, solicitări privind acordarea de avize și alte lucrări,</w:t>
      </w:r>
      <w:r w:rsidRPr="004A72CD">
        <w:rPr>
          <w:rFonts w:asciiTheme="minorHAnsi" w:hAnsiTheme="minorHAnsi" w:cstheme="minorHAnsi"/>
          <w:b/>
          <w:sz w:val="26"/>
          <w:szCs w:val="26"/>
        </w:rPr>
        <w:t xml:space="preserve"> </w:t>
      </w:r>
      <w:r w:rsidRPr="004A72CD">
        <w:rPr>
          <w:rFonts w:asciiTheme="minorHAnsi" w:hAnsiTheme="minorHAnsi" w:cstheme="minorHAnsi"/>
          <w:sz w:val="26"/>
          <w:szCs w:val="26"/>
        </w:rPr>
        <w:t xml:space="preserve">de competența Serviciului resurse umane pentru parchete, conform dispozițiilor art. 85 alin. (4) din Regulamentul de organizare şi funcţionare a Consiliului Superior al Magistraturii, aprobat prin Hotărârea Plenului Consiliului Superior al Magistraturii nr. </w:t>
      </w:r>
      <w:r w:rsidRPr="004A72CD">
        <w:rPr>
          <w:rFonts w:asciiTheme="minorHAnsi" w:hAnsiTheme="minorHAnsi" w:cstheme="minorHAnsi"/>
          <w:sz w:val="26"/>
          <w:szCs w:val="26"/>
        </w:rPr>
        <w:lastRenderedPageBreak/>
        <w:t>122/2023</w:t>
      </w:r>
      <w:r w:rsidRPr="004A72CD">
        <w:rPr>
          <w:rFonts w:asciiTheme="minorHAnsi" w:hAnsiTheme="minorHAnsi" w:cstheme="minorHAnsi"/>
          <w:bCs/>
          <w:sz w:val="26"/>
          <w:szCs w:val="26"/>
        </w:rPr>
        <w:t>, astfel cum a fost modificat prin Hotărârea Plenului Consiliului Superior al Magistraturii nr. 140/18.06.2024.</w:t>
      </w:r>
    </w:p>
    <w:p w14:paraId="6C285F44" w14:textId="6DA71D53" w:rsidR="00AE5495"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În data de 15</w:t>
      </w:r>
      <w:r w:rsidR="00016E66" w:rsidRPr="004A72CD">
        <w:rPr>
          <w:rFonts w:asciiTheme="minorHAnsi" w:hAnsiTheme="minorHAnsi" w:cstheme="minorHAnsi"/>
          <w:sz w:val="26"/>
          <w:szCs w:val="26"/>
        </w:rPr>
        <w:t xml:space="preserve"> </w:t>
      </w:r>
      <w:r w:rsidRPr="004A72CD">
        <w:rPr>
          <w:rFonts w:asciiTheme="minorHAnsi" w:hAnsiTheme="minorHAnsi" w:cstheme="minorHAnsi"/>
          <w:sz w:val="26"/>
          <w:szCs w:val="26"/>
        </w:rPr>
        <w:t>decembrie</w:t>
      </w:r>
      <w:r w:rsidR="00016E66" w:rsidRPr="004A72CD">
        <w:rPr>
          <w:rFonts w:asciiTheme="minorHAnsi" w:hAnsiTheme="minorHAnsi" w:cstheme="minorHAnsi"/>
          <w:sz w:val="26"/>
          <w:szCs w:val="26"/>
        </w:rPr>
        <w:t xml:space="preserve"> </w:t>
      </w:r>
      <w:r w:rsidRPr="004A72CD">
        <w:rPr>
          <w:rFonts w:asciiTheme="minorHAnsi" w:hAnsiTheme="minorHAnsi" w:cstheme="minorHAnsi"/>
          <w:sz w:val="26"/>
          <w:szCs w:val="26"/>
        </w:rPr>
        <w:t>2023 a fost declanșată o procedură de transfer a procurorilor care s-a finalizat în ianuarie 2024, acesteia fiindu-i alocate 354 de posturi vacante de procuror și în urma căreia au fost transferați 78 de procurori.</w:t>
      </w:r>
    </w:p>
    <w:p w14:paraId="1034FBBA" w14:textId="1AFE939F" w:rsidR="00D77AB4" w:rsidRPr="00D77AB4" w:rsidRDefault="00D77AB4" w:rsidP="00A26AFE">
      <w:pPr>
        <w:spacing w:line="276" w:lineRule="auto"/>
        <w:ind w:firstLine="720"/>
        <w:jc w:val="both"/>
        <w:rPr>
          <w:rFonts w:ascii="Calibri" w:hAnsi="Calibri" w:cs="Calibri"/>
          <w:noProof w:val="0"/>
          <w:sz w:val="26"/>
          <w:szCs w:val="26"/>
        </w:rPr>
      </w:pPr>
      <w:r w:rsidRPr="00D77AB4">
        <w:rPr>
          <w:rFonts w:ascii="Calibri" w:hAnsi="Calibri" w:cs="Calibri"/>
          <w:noProof w:val="0"/>
          <w:sz w:val="26"/>
          <w:szCs w:val="26"/>
        </w:rPr>
        <w:t>În data de 07</w:t>
      </w:r>
      <w:r w:rsidRPr="00EB2BE4">
        <w:rPr>
          <w:rFonts w:ascii="Calibri" w:hAnsi="Calibri" w:cs="Calibri"/>
          <w:noProof w:val="0"/>
          <w:sz w:val="26"/>
          <w:szCs w:val="26"/>
        </w:rPr>
        <w:t xml:space="preserve"> octombrie </w:t>
      </w:r>
      <w:r w:rsidRPr="00D77AB4">
        <w:rPr>
          <w:rFonts w:ascii="Calibri" w:hAnsi="Calibri" w:cs="Calibri"/>
          <w:noProof w:val="0"/>
          <w:sz w:val="26"/>
          <w:szCs w:val="26"/>
        </w:rPr>
        <w:t>2024 a fost declanșată o procedură de transfer a procurorilor. În cadrul primei etape a acestei proceduri, au fost admise 62 dintre cele 149 de cereri formulate, iar în cea de a doua etapă 13 dintre cele 83 de cereri formulate.</w:t>
      </w:r>
    </w:p>
    <w:p w14:paraId="0D948B2C" w14:textId="77777777" w:rsidR="005403AD" w:rsidRPr="00CB2AE1" w:rsidRDefault="00AE5495" w:rsidP="005403AD">
      <w:pPr>
        <w:spacing w:line="276" w:lineRule="auto"/>
        <w:ind w:right="-2" w:firstLine="709"/>
        <w:jc w:val="both"/>
        <w:rPr>
          <w:rFonts w:asciiTheme="minorHAnsi" w:hAnsiTheme="minorHAnsi" w:cstheme="minorHAnsi"/>
          <w:sz w:val="26"/>
          <w:szCs w:val="26"/>
        </w:rPr>
      </w:pPr>
      <w:r w:rsidRPr="00CB2AE1">
        <w:rPr>
          <w:rFonts w:asciiTheme="minorHAnsi" w:hAnsiTheme="minorHAnsi" w:cstheme="minorHAnsi"/>
          <w:sz w:val="26"/>
          <w:szCs w:val="26"/>
        </w:rPr>
        <w:t>De asemenea, în data de 08</w:t>
      </w:r>
      <w:r w:rsidR="00016E66" w:rsidRPr="00CB2AE1">
        <w:rPr>
          <w:rFonts w:asciiTheme="minorHAnsi" w:hAnsiTheme="minorHAnsi" w:cstheme="minorHAnsi"/>
          <w:sz w:val="26"/>
          <w:szCs w:val="26"/>
        </w:rPr>
        <w:t xml:space="preserve"> </w:t>
      </w:r>
      <w:r w:rsidRPr="00CB2AE1">
        <w:rPr>
          <w:rFonts w:asciiTheme="minorHAnsi" w:hAnsiTheme="minorHAnsi" w:cstheme="minorHAnsi"/>
          <w:sz w:val="26"/>
          <w:szCs w:val="26"/>
        </w:rPr>
        <w:t>noiembrie</w:t>
      </w:r>
      <w:r w:rsidR="00016E66" w:rsidRPr="00CB2AE1">
        <w:rPr>
          <w:rFonts w:asciiTheme="minorHAnsi" w:hAnsiTheme="minorHAnsi" w:cstheme="minorHAnsi"/>
          <w:sz w:val="26"/>
          <w:szCs w:val="26"/>
        </w:rPr>
        <w:t xml:space="preserve"> </w:t>
      </w:r>
      <w:r w:rsidRPr="00CB2AE1">
        <w:rPr>
          <w:rFonts w:asciiTheme="minorHAnsi" w:hAnsiTheme="minorHAnsi" w:cstheme="minorHAnsi"/>
          <w:sz w:val="26"/>
          <w:szCs w:val="26"/>
        </w:rPr>
        <w:t>2023, a fost publicat pe pagina de internet a instituției anunțul referitor la organizarea unei sesiuni de transfer de la parchetele civile la parchetele militare. În ședința din data de 12</w:t>
      </w:r>
      <w:r w:rsidR="00016E66" w:rsidRPr="00CB2AE1">
        <w:rPr>
          <w:rFonts w:asciiTheme="minorHAnsi" w:hAnsiTheme="minorHAnsi" w:cstheme="minorHAnsi"/>
          <w:sz w:val="26"/>
          <w:szCs w:val="26"/>
        </w:rPr>
        <w:t xml:space="preserve"> </w:t>
      </w:r>
      <w:r w:rsidRPr="00CB2AE1">
        <w:rPr>
          <w:rFonts w:asciiTheme="minorHAnsi" w:hAnsiTheme="minorHAnsi" w:cstheme="minorHAnsi"/>
          <w:sz w:val="26"/>
          <w:szCs w:val="26"/>
        </w:rPr>
        <w:t>decembrie</w:t>
      </w:r>
      <w:r w:rsidR="00016E66" w:rsidRPr="00CB2AE1">
        <w:rPr>
          <w:rFonts w:asciiTheme="minorHAnsi" w:hAnsiTheme="minorHAnsi" w:cstheme="minorHAnsi"/>
          <w:sz w:val="26"/>
          <w:szCs w:val="26"/>
        </w:rPr>
        <w:t xml:space="preserve"> </w:t>
      </w:r>
      <w:r w:rsidRPr="00CB2AE1">
        <w:rPr>
          <w:rFonts w:asciiTheme="minorHAnsi" w:hAnsiTheme="minorHAnsi" w:cstheme="minorHAnsi"/>
          <w:sz w:val="26"/>
          <w:szCs w:val="26"/>
        </w:rPr>
        <w:t>2023, Secția pentru procurori a admis cinci cereri de transfer ale procurorilor de la parchetele civile la cele militare, iar în ședința din 23</w:t>
      </w:r>
      <w:r w:rsidR="00406297" w:rsidRPr="00CB2AE1">
        <w:rPr>
          <w:rFonts w:asciiTheme="minorHAnsi" w:hAnsiTheme="minorHAnsi" w:cstheme="minorHAnsi"/>
          <w:sz w:val="26"/>
          <w:szCs w:val="26"/>
        </w:rPr>
        <w:t xml:space="preserve"> aprilie </w:t>
      </w:r>
      <w:r w:rsidRPr="00CB2AE1">
        <w:rPr>
          <w:rFonts w:asciiTheme="minorHAnsi" w:hAnsiTheme="minorHAnsi" w:cstheme="minorHAnsi"/>
          <w:sz w:val="26"/>
          <w:szCs w:val="26"/>
        </w:rPr>
        <w:t>2024, în cadrul aceleiași proceduri, au fost transferați alți 2 procurori.</w:t>
      </w:r>
    </w:p>
    <w:p w14:paraId="412EA24C" w14:textId="2341FBE5" w:rsidR="00EB2BE4" w:rsidRPr="00EB2BE4" w:rsidRDefault="00EB2BE4" w:rsidP="00EB2BE4">
      <w:pPr>
        <w:ind w:firstLine="720"/>
        <w:jc w:val="both"/>
        <w:rPr>
          <w:rFonts w:ascii="Calibri" w:eastAsia="Calibri" w:hAnsi="Calibri" w:cs="Calibri"/>
          <w:noProof w:val="0"/>
          <w:sz w:val="26"/>
          <w:szCs w:val="26"/>
        </w:rPr>
      </w:pPr>
      <w:r w:rsidRPr="00EB2BE4">
        <w:rPr>
          <w:rFonts w:ascii="Calibri" w:hAnsi="Calibri" w:cs="Calibri"/>
          <w:noProof w:val="0"/>
          <w:sz w:val="26"/>
          <w:szCs w:val="26"/>
        </w:rPr>
        <w:t>În data de 01 noiembrie 2024 a fost publicat pe pagina de internet a instituției, anunțul referitor la organizarea unei sesiuni de transfer de la parchetele civile la parchetele militare, în urma căreia au fost admise cererile formulate de 7 procurori.</w:t>
      </w:r>
    </w:p>
    <w:p w14:paraId="23E8D86A" w14:textId="77777777" w:rsidR="00AE5495" w:rsidRPr="004A72CD" w:rsidRDefault="00AE5495" w:rsidP="00F313A6">
      <w:pPr>
        <w:spacing w:line="276" w:lineRule="auto"/>
        <w:ind w:right="-2" w:firstLine="709"/>
        <w:jc w:val="both"/>
        <w:rPr>
          <w:rFonts w:asciiTheme="minorHAnsi" w:eastAsia="Calibri" w:hAnsiTheme="minorHAnsi" w:cstheme="minorHAnsi"/>
          <w:sz w:val="26"/>
          <w:szCs w:val="26"/>
        </w:rPr>
      </w:pPr>
      <w:r w:rsidRPr="004A72CD">
        <w:rPr>
          <w:rFonts w:asciiTheme="minorHAnsi" w:eastAsia="Calibri" w:hAnsiTheme="minorHAnsi" w:cstheme="minorHAnsi"/>
          <w:sz w:val="26"/>
          <w:szCs w:val="26"/>
        </w:rPr>
        <w:t>În anul 2024,</w:t>
      </w:r>
      <w:r w:rsidRPr="004A72CD">
        <w:rPr>
          <w:rFonts w:asciiTheme="minorHAnsi" w:eastAsia="Calibri" w:hAnsiTheme="minorHAnsi" w:cstheme="minorHAnsi"/>
          <w:b/>
          <w:sz w:val="26"/>
          <w:szCs w:val="26"/>
        </w:rPr>
        <w:t xml:space="preserve"> </w:t>
      </w:r>
      <w:r w:rsidRPr="004A72CD">
        <w:rPr>
          <w:rFonts w:asciiTheme="minorHAnsi" w:eastAsia="Calibri" w:hAnsiTheme="minorHAnsi" w:cstheme="minorHAnsi"/>
          <w:sz w:val="26"/>
          <w:szCs w:val="26"/>
        </w:rPr>
        <w:t>Serviciul concursuri şi formare profesională a fost implicat în derularea următoarelor concursuri/examene:</w:t>
      </w:r>
    </w:p>
    <w:p w14:paraId="36C32211" w14:textId="77777777" w:rsidR="00AE5495" w:rsidRPr="004A72CD" w:rsidRDefault="00AE5495">
      <w:pPr>
        <w:widowControl w:val="0"/>
        <w:numPr>
          <w:ilvl w:val="0"/>
          <w:numId w:val="13"/>
        </w:numPr>
        <w:tabs>
          <w:tab w:val="left" w:pos="1080"/>
        </w:tabs>
        <w:suppressAutoHyphens/>
        <w:autoSpaceDN w:val="0"/>
        <w:spacing w:line="276" w:lineRule="auto"/>
        <w:ind w:left="0" w:right="-2" w:firstLine="709"/>
        <w:contextualSpacing/>
        <w:jc w:val="both"/>
        <w:textAlignment w:val="baseline"/>
        <w:rPr>
          <w:rFonts w:asciiTheme="minorHAnsi" w:hAnsiTheme="minorHAnsi" w:cstheme="minorHAnsi"/>
          <w:sz w:val="26"/>
          <w:szCs w:val="26"/>
        </w:rPr>
      </w:pPr>
      <w:bookmarkStart w:id="129" w:name="_Hlk117501378"/>
      <w:r w:rsidRPr="004A72CD">
        <w:rPr>
          <w:rFonts w:asciiTheme="minorHAnsi" w:hAnsiTheme="minorHAnsi" w:cstheme="minorHAnsi"/>
          <w:b/>
          <w:sz w:val="26"/>
          <w:szCs w:val="26"/>
        </w:rPr>
        <w:t xml:space="preserve">Examenul de </w:t>
      </w:r>
      <w:bookmarkStart w:id="130" w:name="_Hlk117502882"/>
      <w:r w:rsidRPr="004A72CD">
        <w:rPr>
          <w:rFonts w:asciiTheme="minorHAnsi" w:hAnsiTheme="minorHAnsi" w:cstheme="minorHAnsi"/>
          <w:b/>
          <w:sz w:val="26"/>
          <w:szCs w:val="26"/>
        </w:rPr>
        <w:t>capacitate</w:t>
      </w:r>
      <w:bookmarkEnd w:id="130"/>
      <w:r w:rsidRPr="004A72CD">
        <w:rPr>
          <w:rFonts w:asciiTheme="minorHAnsi" w:hAnsiTheme="minorHAnsi" w:cstheme="minorHAnsi"/>
          <w:b/>
          <w:sz w:val="26"/>
          <w:szCs w:val="26"/>
        </w:rPr>
        <w:t xml:space="preserve"> al judecătorilor și procurorilor stagiari</w:t>
      </w:r>
      <w:r w:rsidRPr="004A72CD">
        <w:rPr>
          <w:rFonts w:asciiTheme="minorHAnsi" w:hAnsiTheme="minorHAnsi" w:cstheme="minorHAnsi"/>
          <w:sz w:val="26"/>
          <w:szCs w:val="26"/>
        </w:rPr>
        <w:t xml:space="preserve"> </w:t>
      </w:r>
    </w:p>
    <w:bookmarkEnd w:id="129"/>
    <w:p w14:paraId="76FEAB8E" w14:textId="77777777" w:rsidR="00AE5495" w:rsidRPr="004A72CD" w:rsidRDefault="00AE5495">
      <w:pPr>
        <w:widowControl w:val="0"/>
        <w:numPr>
          <w:ilvl w:val="0"/>
          <w:numId w:val="29"/>
        </w:numPr>
        <w:tabs>
          <w:tab w:val="left" w:pos="993"/>
        </w:tabs>
        <w:suppressAutoHyphens/>
        <w:autoSpaceDN w:val="0"/>
        <w:spacing w:line="276" w:lineRule="auto"/>
        <w:ind w:left="0" w:right="-2" w:firstLine="709"/>
        <w:contextualSpacing/>
        <w:jc w:val="both"/>
        <w:textAlignment w:val="baseline"/>
        <w:rPr>
          <w:rFonts w:asciiTheme="minorHAnsi" w:hAnsiTheme="minorHAnsi" w:cstheme="minorHAnsi"/>
          <w:sz w:val="26"/>
          <w:szCs w:val="26"/>
        </w:rPr>
      </w:pPr>
      <w:r w:rsidRPr="004A72CD">
        <w:rPr>
          <w:rFonts w:asciiTheme="minorHAnsi" w:hAnsiTheme="minorHAnsi" w:cstheme="minorHAnsi"/>
          <w:i/>
          <w:sz w:val="26"/>
          <w:szCs w:val="26"/>
        </w:rPr>
        <w:t>Examenul de capacitate</w:t>
      </w:r>
      <w:r w:rsidRPr="004A72CD">
        <w:rPr>
          <w:rFonts w:asciiTheme="minorHAnsi" w:hAnsiTheme="minorHAnsi" w:cstheme="minorHAnsi"/>
          <w:sz w:val="26"/>
          <w:szCs w:val="26"/>
        </w:rPr>
        <w:t xml:space="preserve"> organizat în perioada octombrie 2023 - februarie 2024;</w:t>
      </w:r>
    </w:p>
    <w:p w14:paraId="23086E6F" w14:textId="3AFEF792" w:rsidR="00AE5495" w:rsidRPr="004A72CD" w:rsidRDefault="00AE5495">
      <w:pPr>
        <w:widowControl w:val="0"/>
        <w:numPr>
          <w:ilvl w:val="0"/>
          <w:numId w:val="29"/>
        </w:numPr>
        <w:tabs>
          <w:tab w:val="left" w:pos="993"/>
        </w:tabs>
        <w:suppressAutoHyphens/>
        <w:autoSpaceDN w:val="0"/>
        <w:spacing w:line="276" w:lineRule="auto"/>
        <w:ind w:left="0" w:right="-2" w:firstLine="709"/>
        <w:contextualSpacing/>
        <w:jc w:val="both"/>
        <w:textAlignment w:val="baseline"/>
        <w:rPr>
          <w:rFonts w:asciiTheme="minorHAnsi" w:hAnsiTheme="minorHAnsi" w:cstheme="minorHAnsi"/>
          <w:sz w:val="26"/>
          <w:szCs w:val="26"/>
        </w:rPr>
      </w:pPr>
      <w:r w:rsidRPr="004A72CD">
        <w:rPr>
          <w:rFonts w:asciiTheme="minorHAnsi" w:hAnsiTheme="minorHAnsi" w:cstheme="minorHAnsi"/>
          <w:i/>
          <w:sz w:val="26"/>
          <w:szCs w:val="26"/>
        </w:rPr>
        <w:t>Examen</w:t>
      </w:r>
      <w:r w:rsidR="00016E66" w:rsidRPr="004A72CD">
        <w:rPr>
          <w:rFonts w:asciiTheme="minorHAnsi" w:hAnsiTheme="minorHAnsi" w:cstheme="minorHAnsi"/>
          <w:i/>
          <w:sz w:val="26"/>
          <w:szCs w:val="26"/>
        </w:rPr>
        <w:t>ul</w:t>
      </w:r>
      <w:r w:rsidRPr="004A72CD">
        <w:rPr>
          <w:rFonts w:asciiTheme="minorHAnsi" w:hAnsiTheme="minorHAnsi" w:cstheme="minorHAnsi"/>
          <w:i/>
          <w:sz w:val="26"/>
          <w:szCs w:val="26"/>
        </w:rPr>
        <w:t xml:space="preserve"> de capacitate al judecătorilor stagiari și procurorilor stagiari</w:t>
      </w:r>
      <w:r w:rsidRPr="004A72CD">
        <w:rPr>
          <w:rFonts w:asciiTheme="minorHAnsi" w:hAnsiTheme="minorHAnsi" w:cstheme="minorHAnsi"/>
          <w:sz w:val="26"/>
          <w:szCs w:val="26"/>
        </w:rPr>
        <w:t xml:space="preserve"> organizat la București, în temeiul Regulamentului aprobat prin Hotărârea Plenului</w:t>
      </w:r>
      <w:r w:rsidR="00B765DA" w:rsidRPr="004A72CD">
        <w:rPr>
          <w:rFonts w:asciiTheme="minorHAnsi" w:hAnsiTheme="minorHAnsi" w:cstheme="minorHAnsi"/>
          <w:sz w:val="26"/>
          <w:szCs w:val="26"/>
        </w:rPr>
        <w:t xml:space="preserve"> Consiliului Superior al Magistraturii</w:t>
      </w:r>
      <w:r w:rsidRPr="004A72CD">
        <w:rPr>
          <w:rFonts w:asciiTheme="minorHAnsi" w:hAnsiTheme="minorHAnsi" w:cstheme="minorHAnsi"/>
          <w:sz w:val="26"/>
          <w:szCs w:val="26"/>
        </w:rPr>
        <w:t xml:space="preserve"> nr. 103/2019, în perioada octombrie 2024 - aprilie 2025;</w:t>
      </w:r>
    </w:p>
    <w:p w14:paraId="158157F1" w14:textId="731BCB20" w:rsidR="00AE5495" w:rsidRPr="004A72CD" w:rsidRDefault="00AE5495">
      <w:pPr>
        <w:widowControl w:val="0"/>
        <w:numPr>
          <w:ilvl w:val="0"/>
          <w:numId w:val="29"/>
        </w:numPr>
        <w:tabs>
          <w:tab w:val="left" w:pos="993"/>
        </w:tabs>
        <w:suppressAutoHyphens/>
        <w:autoSpaceDN w:val="0"/>
        <w:spacing w:line="276" w:lineRule="auto"/>
        <w:ind w:left="0" w:right="-2" w:firstLine="709"/>
        <w:contextualSpacing/>
        <w:jc w:val="both"/>
        <w:textAlignment w:val="baseline"/>
        <w:rPr>
          <w:rFonts w:asciiTheme="minorHAnsi" w:hAnsiTheme="minorHAnsi" w:cstheme="minorHAnsi"/>
          <w:sz w:val="26"/>
          <w:szCs w:val="26"/>
        </w:rPr>
      </w:pPr>
      <w:r w:rsidRPr="004A72CD">
        <w:rPr>
          <w:rFonts w:asciiTheme="minorHAnsi" w:hAnsiTheme="minorHAnsi" w:cstheme="minorHAnsi"/>
          <w:i/>
          <w:sz w:val="26"/>
          <w:szCs w:val="26"/>
        </w:rPr>
        <w:t>Examen</w:t>
      </w:r>
      <w:r w:rsidR="00016E66" w:rsidRPr="004A72CD">
        <w:rPr>
          <w:rFonts w:asciiTheme="minorHAnsi" w:hAnsiTheme="minorHAnsi" w:cstheme="minorHAnsi"/>
          <w:i/>
          <w:sz w:val="26"/>
          <w:szCs w:val="26"/>
        </w:rPr>
        <w:t>ul</w:t>
      </w:r>
      <w:r w:rsidRPr="004A72CD">
        <w:rPr>
          <w:rFonts w:asciiTheme="minorHAnsi" w:hAnsiTheme="minorHAnsi" w:cstheme="minorHAnsi"/>
          <w:i/>
          <w:sz w:val="26"/>
          <w:szCs w:val="26"/>
        </w:rPr>
        <w:t xml:space="preserve"> de capacitate al judecătorilor stagiari și procurorilor stagiari</w:t>
      </w:r>
      <w:r w:rsidRPr="004A72CD">
        <w:rPr>
          <w:rFonts w:asciiTheme="minorHAnsi" w:hAnsiTheme="minorHAnsi" w:cstheme="minorHAnsi"/>
          <w:sz w:val="26"/>
          <w:szCs w:val="26"/>
        </w:rPr>
        <w:t xml:space="preserve"> organizat la București, în temeiul Regulamentului aprobat prin Hotărârea Plenului </w:t>
      </w:r>
      <w:r w:rsidR="00B765DA" w:rsidRPr="004A72CD">
        <w:rPr>
          <w:rFonts w:asciiTheme="minorHAnsi" w:hAnsiTheme="minorHAnsi" w:cstheme="minorHAnsi"/>
          <w:sz w:val="26"/>
          <w:szCs w:val="26"/>
        </w:rPr>
        <w:t>Consiliului Superior al Magistraturii</w:t>
      </w:r>
      <w:r w:rsidRPr="004A72CD">
        <w:rPr>
          <w:rFonts w:asciiTheme="minorHAnsi" w:hAnsiTheme="minorHAnsi" w:cstheme="minorHAnsi"/>
          <w:sz w:val="26"/>
          <w:szCs w:val="26"/>
        </w:rPr>
        <w:t xml:space="preserve"> nr. 123/2023, în perioada octombrie 2024 - aprilie 2025</w:t>
      </w:r>
    </w:p>
    <w:p w14:paraId="1E177432" w14:textId="1C5FCA6C" w:rsidR="00AE5495" w:rsidRPr="004A72CD" w:rsidRDefault="00AE5495">
      <w:pPr>
        <w:widowControl w:val="0"/>
        <w:numPr>
          <w:ilvl w:val="0"/>
          <w:numId w:val="13"/>
        </w:numPr>
        <w:tabs>
          <w:tab w:val="left" w:pos="1080"/>
        </w:tabs>
        <w:suppressAutoHyphens/>
        <w:autoSpaceDN w:val="0"/>
        <w:spacing w:line="276" w:lineRule="auto"/>
        <w:ind w:left="0" w:right="-2" w:firstLine="709"/>
        <w:contextualSpacing/>
        <w:jc w:val="both"/>
        <w:textAlignment w:val="baseline"/>
        <w:rPr>
          <w:rFonts w:asciiTheme="minorHAnsi" w:hAnsiTheme="minorHAnsi" w:cstheme="minorHAnsi"/>
          <w:sz w:val="26"/>
          <w:szCs w:val="26"/>
        </w:rPr>
      </w:pPr>
      <w:r w:rsidRPr="004A72CD">
        <w:rPr>
          <w:rFonts w:asciiTheme="minorHAnsi" w:hAnsiTheme="minorHAnsi" w:cstheme="minorHAnsi"/>
          <w:b/>
          <w:sz w:val="26"/>
          <w:szCs w:val="26"/>
        </w:rPr>
        <w:t>Concursul de admitere la S</w:t>
      </w:r>
      <w:r w:rsidR="00B765DA" w:rsidRPr="004A72CD">
        <w:rPr>
          <w:rFonts w:asciiTheme="minorHAnsi" w:hAnsiTheme="minorHAnsi" w:cstheme="minorHAnsi"/>
          <w:b/>
          <w:sz w:val="26"/>
          <w:szCs w:val="26"/>
        </w:rPr>
        <w:t>.</w:t>
      </w:r>
      <w:r w:rsidRPr="004A72CD">
        <w:rPr>
          <w:rFonts w:asciiTheme="minorHAnsi" w:hAnsiTheme="minorHAnsi" w:cstheme="minorHAnsi"/>
          <w:b/>
          <w:sz w:val="26"/>
          <w:szCs w:val="26"/>
        </w:rPr>
        <w:t>N</w:t>
      </w:r>
      <w:r w:rsidR="00B765DA" w:rsidRPr="004A72CD">
        <w:rPr>
          <w:rFonts w:asciiTheme="minorHAnsi" w:hAnsiTheme="minorHAnsi" w:cstheme="minorHAnsi"/>
          <w:b/>
          <w:sz w:val="26"/>
          <w:szCs w:val="26"/>
        </w:rPr>
        <w:t>.</w:t>
      </w:r>
      <w:r w:rsidRPr="004A72CD">
        <w:rPr>
          <w:rFonts w:asciiTheme="minorHAnsi" w:hAnsiTheme="minorHAnsi" w:cstheme="minorHAnsi"/>
          <w:b/>
          <w:sz w:val="26"/>
          <w:szCs w:val="26"/>
        </w:rPr>
        <w:t>G</w:t>
      </w:r>
      <w:r w:rsidR="00B765DA" w:rsidRPr="004A72CD">
        <w:rPr>
          <w:rFonts w:asciiTheme="minorHAnsi" w:hAnsiTheme="minorHAnsi" w:cstheme="minorHAnsi"/>
          <w:b/>
          <w:sz w:val="26"/>
          <w:szCs w:val="26"/>
        </w:rPr>
        <w:t>.</w:t>
      </w:r>
      <w:r w:rsidRPr="004A72CD">
        <w:rPr>
          <w:rFonts w:asciiTheme="minorHAnsi" w:hAnsiTheme="minorHAnsi" w:cstheme="minorHAnsi"/>
          <w:b/>
          <w:sz w:val="26"/>
          <w:szCs w:val="26"/>
        </w:rPr>
        <w:t xml:space="preserve"> din 26 mai 2024</w:t>
      </w:r>
    </w:p>
    <w:p w14:paraId="04D16C1F" w14:textId="77777777" w:rsidR="00AE5495" w:rsidRPr="004A72CD" w:rsidRDefault="00AE5495">
      <w:pPr>
        <w:numPr>
          <w:ilvl w:val="0"/>
          <w:numId w:val="13"/>
        </w:numPr>
        <w:tabs>
          <w:tab w:val="left" w:pos="1080"/>
        </w:tabs>
        <w:spacing w:line="276" w:lineRule="auto"/>
        <w:ind w:left="0" w:right="-2" w:firstLine="709"/>
        <w:contextualSpacing/>
        <w:jc w:val="both"/>
        <w:rPr>
          <w:rFonts w:asciiTheme="minorHAnsi" w:hAnsiTheme="minorHAnsi" w:cstheme="minorHAnsi"/>
          <w:b/>
          <w:sz w:val="26"/>
          <w:szCs w:val="26"/>
        </w:rPr>
      </w:pPr>
      <w:r w:rsidRPr="004A72CD">
        <w:rPr>
          <w:rFonts w:asciiTheme="minorHAnsi" w:hAnsiTheme="minorHAnsi" w:cstheme="minorHAnsi"/>
          <w:b/>
          <w:sz w:val="26"/>
          <w:szCs w:val="26"/>
        </w:rPr>
        <w:t>Numiri în funcții de conducere:</w:t>
      </w:r>
    </w:p>
    <w:p w14:paraId="712D9F73" w14:textId="33425E08" w:rsidR="00AE5495" w:rsidRPr="004A72CD" w:rsidRDefault="00106DDE">
      <w:pPr>
        <w:widowControl w:val="0"/>
        <w:numPr>
          <w:ilvl w:val="0"/>
          <w:numId w:val="35"/>
        </w:numPr>
        <w:tabs>
          <w:tab w:val="left" w:pos="-142"/>
          <w:tab w:val="left" w:pos="993"/>
        </w:tabs>
        <w:suppressAutoHyphens/>
        <w:autoSpaceDN w:val="0"/>
        <w:spacing w:line="276" w:lineRule="auto"/>
        <w:ind w:left="0" w:right="-2" w:firstLine="709"/>
        <w:contextualSpacing/>
        <w:jc w:val="both"/>
        <w:textAlignment w:val="baseline"/>
        <w:rPr>
          <w:rFonts w:asciiTheme="minorHAnsi" w:hAnsiTheme="minorHAnsi" w:cstheme="minorHAnsi"/>
          <w:sz w:val="26"/>
          <w:szCs w:val="26"/>
        </w:rPr>
      </w:pPr>
      <w:r w:rsidRPr="004A72CD">
        <w:rPr>
          <w:rFonts w:asciiTheme="minorHAnsi" w:hAnsiTheme="minorHAnsi" w:cstheme="minorHAnsi"/>
          <w:i/>
          <w:sz w:val="26"/>
          <w:szCs w:val="26"/>
        </w:rPr>
        <w:t xml:space="preserve"> </w:t>
      </w:r>
      <w:r w:rsidR="00AE5495" w:rsidRPr="004A72CD">
        <w:rPr>
          <w:rFonts w:asciiTheme="minorHAnsi" w:hAnsiTheme="minorHAnsi" w:cstheme="minorHAnsi"/>
          <w:i/>
          <w:sz w:val="26"/>
          <w:szCs w:val="26"/>
        </w:rPr>
        <w:t>Concurs sau examen pentru numirea în funcţii de conducere a judecătorilor</w:t>
      </w:r>
      <w:r w:rsidR="00AE5495" w:rsidRPr="004A72CD">
        <w:rPr>
          <w:rFonts w:asciiTheme="minorHAnsi" w:hAnsiTheme="minorHAnsi" w:cstheme="minorHAnsi"/>
          <w:sz w:val="26"/>
          <w:szCs w:val="26"/>
        </w:rPr>
        <w:t xml:space="preserve"> la curţile de apel, tribunale, tribunale specializate, judecătorii și instanțele militare organizat în perioada februarie - iunie 2024;</w:t>
      </w:r>
    </w:p>
    <w:p w14:paraId="7E4AF5D6" w14:textId="77777777" w:rsidR="00AE5495" w:rsidRPr="004A72CD" w:rsidRDefault="00AE5495">
      <w:pPr>
        <w:widowControl w:val="0"/>
        <w:numPr>
          <w:ilvl w:val="0"/>
          <w:numId w:val="35"/>
        </w:numPr>
        <w:tabs>
          <w:tab w:val="left" w:pos="-142"/>
          <w:tab w:val="left" w:pos="360"/>
          <w:tab w:val="left" w:pos="993"/>
        </w:tabs>
        <w:suppressAutoHyphens/>
        <w:autoSpaceDN w:val="0"/>
        <w:spacing w:line="276" w:lineRule="auto"/>
        <w:ind w:left="0" w:right="-2" w:firstLine="709"/>
        <w:contextualSpacing/>
        <w:jc w:val="both"/>
        <w:textAlignment w:val="baseline"/>
        <w:rPr>
          <w:rFonts w:asciiTheme="minorHAnsi" w:hAnsiTheme="minorHAnsi" w:cstheme="minorHAnsi"/>
          <w:sz w:val="26"/>
          <w:szCs w:val="26"/>
        </w:rPr>
      </w:pPr>
      <w:r w:rsidRPr="004A72CD">
        <w:rPr>
          <w:rFonts w:asciiTheme="minorHAnsi" w:hAnsiTheme="minorHAnsi" w:cstheme="minorHAnsi"/>
          <w:i/>
          <w:sz w:val="26"/>
          <w:szCs w:val="26"/>
        </w:rPr>
        <w:t>Concurs sau examen pentru numirea în funcţii de conducere a judecătorilor</w:t>
      </w:r>
      <w:r w:rsidRPr="004A72CD">
        <w:rPr>
          <w:rFonts w:asciiTheme="minorHAnsi" w:hAnsiTheme="minorHAnsi" w:cstheme="minorHAnsi"/>
          <w:sz w:val="26"/>
          <w:szCs w:val="26"/>
        </w:rPr>
        <w:t xml:space="preserve"> la curţile de apel, tribunale, tribunale specializate, judecătorii și instanțele militare organizat în perioada august - decembrie 2024;</w:t>
      </w:r>
    </w:p>
    <w:p w14:paraId="1CC604B6" w14:textId="77777777" w:rsidR="00AE5495" w:rsidRPr="004A72CD" w:rsidRDefault="00AE5495">
      <w:pPr>
        <w:widowControl w:val="0"/>
        <w:numPr>
          <w:ilvl w:val="0"/>
          <w:numId w:val="35"/>
        </w:numPr>
        <w:tabs>
          <w:tab w:val="left" w:pos="-142"/>
          <w:tab w:val="left" w:pos="360"/>
          <w:tab w:val="left" w:pos="993"/>
        </w:tabs>
        <w:suppressAutoHyphens/>
        <w:autoSpaceDN w:val="0"/>
        <w:spacing w:line="276" w:lineRule="auto"/>
        <w:ind w:left="0" w:right="-2" w:firstLine="709"/>
        <w:contextualSpacing/>
        <w:jc w:val="both"/>
        <w:textAlignment w:val="baseline"/>
        <w:rPr>
          <w:rFonts w:asciiTheme="minorHAnsi" w:hAnsiTheme="minorHAnsi" w:cstheme="minorHAnsi"/>
          <w:sz w:val="26"/>
          <w:szCs w:val="26"/>
        </w:rPr>
      </w:pPr>
      <w:r w:rsidRPr="004A72CD">
        <w:rPr>
          <w:rFonts w:asciiTheme="minorHAnsi" w:hAnsiTheme="minorHAnsi" w:cstheme="minorHAnsi"/>
          <w:i/>
          <w:sz w:val="26"/>
          <w:szCs w:val="26"/>
        </w:rPr>
        <w:t>Concurs sau examen pentru numirea în funcţii de conducere a procurorilor</w:t>
      </w:r>
      <w:r w:rsidRPr="004A72CD">
        <w:rPr>
          <w:rFonts w:asciiTheme="minorHAnsi" w:hAnsiTheme="minorHAnsi" w:cstheme="minorHAnsi"/>
          <w:sz w:val="26"/>
          <w:szCs w:val="26"/>
        </w:rPr>
        <w:t xml:space="preserve"> la parchetele de pe lângă curţile de apel, tribunale, tribunale specializate si judecătorii, organizat în perioada august - noiembrie 2024.</w:t>
      </w:r>
    </w:p>
    <w:p w14:paraId="73AF783B" w14:textId="77777777" w:rsidR="00AE5495" w:rsidRPr="004A72CD" w:rsidRDefault="00AE5495">
      <w:pPr>
        <w:numPr>
          <w:ilvl w:val="0"/>
          <w:numId w:val="13"/>
        </w:numPr>
        <w:tabs>
          <w:tab w:val="left" w:pos="1080"/>
        </w:tabs>
        <w:spacing w:line="276" w:lineRule="auto"/>
        <w:ind w:left="0" w:right="-2" w:firstLine="709"/>
        <w:contextualSpacing/>
        <w:jc w:val="both"/>
        <w:rPr>
          <w:rFonts w:asciiTheme="minorHAnsi" w:hAnsiTheme="minorHAnsi" w:cstheme="minorHAnsi"/>
          <w:b/>
          <w:sz w:val="26"/>
          <w:szCs w:val="26"/>
        </w:rPr>
      </w:pPr>
      <w:r w:rsidRPr="004A72CD">
        <w:rPr>
          <w:rFonts w:asciiTheme="minorHAnsi" w:hAnsiTheme="minorHAnsi" w:cstheme="minorHAnsi"/>
          <w:b/>
          <w:sz w:val="26"/>
          <w:szCs w:val="26"/>
        </w:rPr>
        <w:t>Promovări în funcții de execuție:</w:t>
      </w:r>
    </w:p>
    <w:p w14:paraId="2DA45F87" w14:textId="77777777" w:rsidR="00AE5495" w:rsidRPr="004A72CD" w:rsidRDefault="00AE5495">
      <w:pPr>
        <w:widowControl w:val="0"/>
        <w:numPr>
          <w:ilvl w:val="0"/>
          <w:numId w:val="36"/>
        </w:numPr>
        <w:tabs>
          <w:tab w:val="left" w:pos="-142"/>
          <w:tab w:val="left" w:pos="993"/>
        </w:tabs>
        <w:suppressAutoHyphens/>
        <w:autoSpaceDN w:val="0"/>
        <w:spacing w:line="276" w:lineRule="auto"/>
        <w:ind w:left="0" w:right="-2" w:firstLine="709"/>
        <w:contextualSpacing/>
        <w:jc w:val="both"/>
        <w:textAlignment w:val="baseline"/>
        <w:rPr>
          <w:rFonts w:asciiTheme="minorHAnsi" w:hAnsiTheme="minorHAnsi" w:cstheme="minorHAnsi"/>
          <w:sz w:val="26"/>
          <w:szCs w:val="26"/>
        </w:rPr>
      </w:pPr>
      <w:r w:rsidRPr="004A72CD">
        <w:rPr>
          <w:rFonts w:asciiTheme="minorHAnsi" w:hAnsiTheme="minorHAnsi" w:cstheme="minorHAnsi"/>
          <w:i/>
          <w:sz w:val="26"/>
          <w:szCs w:val="26"/>
        </w:rPr>
        <w:t>Concurs de promovare efectivă în funcţii de execuţie a judecătorilor</w:t>
      </w:r>
      <w:r w:rsidRPr="004A72CD">
        <w:rPr>
          <w:rFonts w:asciiTheme="minorHAnsi" w:hAnsiTheme="minorHAnsi" w:cstheme="minorHAnsi"/>
          <w:sz w:val="26"/>
          <w:szCs w:val="26"/>
        </w:rPr>
        <w:t>, organizat în perioada septembrie 2024 - februarie 2025;</w:t>
      </w:r>
    </w:p>
    <w:p w14:paraId="15F18DB2" w14:textId="77777777" w:rsidR="00AE5495" w:rsidRPr="004A72CD" w:rsidRDefault="00AE5495">
      <w:pPr>
        <w:widowControl w:val="0"/>
        <w:numPr>
          <w:ilvl w:val="0"/>
          <w:numId w:val="36"/>
        </w:numPr>
        <w:tabs>
          <w:tab w:val="left" w:pos="-142"/>
          <w:tab w:val="left" w:pos="993"/>
        </w:tabs>
        <w:suppressAutoHyphens/>
        <w:autoSpaceDN w:val="0"/>
        <w:spacing w:line="276" w:lineRule="auto"/>
        <w:ind w:left="0" w:right="-2" w:firstLine="709"/>
        <w:contextualSpacing/>
        <w:jc w:val="both"/>
        <w:textAlignment w:val="baseline"/>
        <w:rPr>
          <w:rFonts w:asciiTheme="minorHAnsi" w:hAnsiTheme="minorHAnsi" w:cstheme="minorHAnsi"/>
          <w:sz w:val="26"/>
          <w:szCs w:val="26"/>
        </w:rPr>
      </w:pPr>
      <w:r w:rsidRPr="004A72CD">
        <w:rPr>
          <w:rFonts w:asciiTheme="minorHAnsi" w:hAnsiTheme="minorHAnsi" w:cstheme="minorHAnsi"/>
          <w:i/>
          <w:sz w:val="26"/>
          <w:szCs w:val="26"/>
        </w:rPr>
        <w:t>Concurs de promovare efectivă în funcții de execuție a procurorilor</w:t>
      </w:r>
      <w:r w:rsidRPr="004A72CD">
        <w:rPr>
          <w:rFonts w:asciiTheme="minorHAnsi" w:hAnsiTheme="minorHAnsi" w:cstheme="minorHAnsi"/>
          <w:sz w:val="26"/>
          <w:szCs w:val="26"/>
        </w:rPr>
        <w:t>, organizat în perioada aprilie - septembrie 2024.</w:t>
      </w:r>
    </w:p>
    <w:p w14:paraId="6ED59C5C" w14:textId="1B393158" w:rsidR="00AE5495" w:rsidRPr="004A72CD" w:rsidRDefault="00AE5495">
      <w:pPr>
        <w:numPr>
          <w:ilvl w:val="0"/>
          <w:numId w:val="13"/>
        </w:numPr>
        <w:tabs>
          <w:tab w:val="left" w:pos="1134"/>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b/>
          <w:sz w:val="26"/>
          <w:szCs w:val="26"/>
        </w:rPr>
        <w:t>Concursul de promovare în funcția de judecător la Înalta Curte de Casație și Justiție</w:t>
      </w:r>
    </w:p>
    <w:p w14:paraId="13DC6631" w14:textId="77777777" w:rsidR="00AE5495" w:rsidRPr="004A72CD" w:rsidRDefault="00AE5495">
      <w:pPr>
        <w:numPr>
          <w:ilvl w:val="0"/>
          <w:numId w:val="37"/>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i/>
          <w:sz w:val="26"/>
          <w:szCs w:val="26"/>
        </w:rPr>
        <w:lastRenderedPageBreak/>
        <w:t>Concurs de promovare în funcţia de judecător la Înalta Curte de Casaţie şi Justiţie</w:t>
      </w:r>
      <w:r w:rsidRPr="004A72CD">
        <w:rPr>
          <w:rFonts w:asciiTheme="minorHAnsi" w:hAnsiTheme="minorHAnsi" w:cstheme="minorHAnsi"/>
          <w:sz w:val="26"/>
          <w:szCs w:val="26"/>
        </w:rPr>
        <w:t xml:space="preserve"> ce se va desfăşura în perioada noiembrie 2023 - martie 2024;</w:t>
      </w:r>
    </w:p>
    <w:p w14:paraId="09492784" w14:textId="77777777" w:rsidR="00AE5495" w:rsidRPr="004A72CD" w:rsidRDefault="00AE5495">
      <w:pPr>
        <w:numPr>
          <w:ilvl w:val="0"/>
          <w:numId w:val="37"/>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i/>
          <w:sz w:val="26"/>
          <w:szCs w:val="26"/>
        </w:rPr>
        <w:t>Concurs de promovare în funcţia de judecător la Înalta Curte de Casaţie şi Justiţie</w:t>
      </w:r>
      <w:r w:rsidRPr="004A72CD">
        <w:rPr>
          <w:rFonts w:asciiTheme="minorHAnsi" w:hAnsiTheme="minorHAnsi" w:cstheme="minorHAnsi"/>
          <w:sz w:val="26"/>
          <w:szCs w:val="26"/>
        </w:rPr>
        <w:t xml:space="preserve"> ce se va desfăşura în perioada septembrie 2024 - ianuarie 2025;</w:t>
      </w:r>
    </w:p>
    <w:p w14:paraId="567DB1E4" w14:textId="0E7BB4B1" w:rsidR="00AE5495" w:rsidRPr="004A72CD" w:rsidRDefault="00AE5495">
      <w:pPr>
        <w:numPr>
          <w:ilvl w:val="0"/>
          <w:numId w:val="13"/>
        </w:numPr>
        <w:tabs>
          <w:tab w:val="left" w:pos="1134"/>
        </w:tabs>
        <w:spacing w:line="276" w:lineRule="auto"/>
        <w:ind w:left="0" w:right="-2" w:firstLine="709"/>
        <w:contextualSpacing/>
        <w:jc w:val="both"/>
        <w:rPr>
          <w:rFonts w:asciiTheme="minorHAnsi" w:hAnsiTheme="minorHAnsi" w:cstheme="minorHAnsi"/>
          <w:b/>
          <w:sz w:val="26"/>
          <w:szCs w:val="26"/>
        </w:rPr>
      </w:pPr>
      <w:r w:rsidRPr="004A72CD">
        <w:rPr>
          <w:rFonts w:asciiTheme="minorHAnsi" w:hAnsiTheme="minorHAnsi" w:cstheme="minorHAnsi"/>
          <w:b/>
          <w:sz w:val="26"/>
          <w:szCs w:val="26"/>
        </w:rPr>
        <w:t>Concurs de admitere în magistratură în condițiile art. 33 din Legea nr. 303/2004</w:t>
      </w:r>
    </w:p>
    <w:p w14:paraId="2F1E67D9" w14:textId="6AF91DC4" w:rsidR="00AE5495" w:rsidRPr="004A72CD" w:rsidRDefault="00AE5495">
      <w:pPr>
        <w:numPr>
          <w:ilvl w:val="0"/>
          <w:numId w:val="38"/>
        </w:numPr>
        <w:tabs>
          <w:tab w:val="left" w:pos="1080"/>
        </w:tabs>
        <w:spacing w:line="276" w:lineRule="auto"/>
        <w:ind w:left="0" w:right="-2" w:firstLine="709"/>
        <w:contextualSpacing/>
        <w:jc w:val="both"/>
        <w:rPr>
          <w:rFonts w:asciiTheme="minorHAnsi" w:hAnsiTheme="minorHAnsi" w:cstheme="minorHAnsi"/>
          <w:b/>
          <w:sz w:val="26"/>
          <w:szCs w:val="26"/>
        </w:rPr>
      </w:pPr>
      <w:r w:rsidRPr="004A72CD">
        <w:rPr>
          <w:rFonts w:asciiTheme="minorHAnsi" w:hAnsiTheme="minorHAnsi" w:cstheme="minorHAnsi"/>
          <w:i/>
          <w:sz w:val="26"/>
          <w:szCs w:val="26"/>
        </w:rPr>
        <w:t>Concur</w:t>
      </w:r>
      <w:r w:rsidR="00D04575" w:rsidRPr="004A72CD">
        <w:rPr>
          <w:rFonts w:asciiTheme="minorHAnsi" w:hAnsiTheme="minorHAnsi" w:cstheme="minorHAnsi"/>
          <w:i/>
          <w:sz w:val="26"/>
          <w:szCs w:val="26"/>
        </w:rPr>
        <w:t>s</w:t>
      </w:r>
      <w:r w:rsidRPr="004A72CD">
        <w:rPr>
          <w:rFonts w:asciiTheme="minorHAnsi" w:hAnsiTheme="minorHAnsi" w:cstheme="minorHAnsi"/>
          <w:i/>
          <w:sz w:val="26"/>
          <w:szCs w:val="26"/>
        </w:rPr>
        <w:t xml:space="preserve"> de admitere în magistratură</w:t>
      </w:r>
      <w:r w:rsidRPr="004A72CD">
        <w:rPr>
          <w:rFonts w:asciiTheme="minorHAnsi" w:hAnsiTheme="minorHAnsi" w:cstheme="minorHAnsi"/>
          <w:sz w:val="26"/>
          <w:szCs w:val="26"/>
        </w:rPr>
        <w:t>, organizat în perioada 07.07.2023 – 06.03.2024;</w:t>
      </w:r>
    </w:p>
    <w:p w14:paraId="3C82B883" w14:textId="7F30630C" w:rsidR="00AE5495" w:rsidRPr="004A72CD" w:rsidRDefault="00AE5495">
      <w:pPr>
        <w:numPr>
          <w:ilvl w:val="0"/>
          <w:numId w:val="38"/>
        </w:numPr>
        <w:tabs>
          <w:tab w:val="left" w:pos="1080"/>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i/>
          <w:sz w:val="26"/>
          <w:szCs w:val="26"/>
        </w:rPr>
        <w:t>Concur</w:t>
      </w:r>
      <w:r w:rsidR="00D04575" w:rsidRPr="004A72CD">
        <w:rPr>
          <w:rFonts w:asciiTheme="minorHAnsi" w:hAnsiTheme="minorHAnsi" w:cstheme="minorHAnsi"/>
          <w:i/>
          <w:sz w:val="26"/>
          <w:szCs w:val="26"/>
        </w:rPr>
        <w:t>s</w:t>
      </w:r>
      <w:r w:rsidRPr="004A72CD">
        <w:rPr>
          <w:rFonts w:asciiTheme="minorHAnsi" w:hAnsiTheme="minorHAnsi" w:cstheme="minorHAnsi"/>
          <w:i/>
          <w:sz w:val="26"/>
          <w:szCs w:val="26"/>
        </w:rPr>
        <w:t xml:space="preserve"> de admitere în magistratură</w:t>
      </w:r>
      <w:r w:rsidRPr="004A72CD">
        <w:rPr>
          <w:rFonts w:asciiTheme="minorHAnsi" w:hAnsiTheme="minorHAnsi" w:cstheme="minorHAnsi"/>
          <w:sz w:val="26"/>
          <w:szCs w:val="26"/>
        </w:rPr>
        <w:t xml:space="preserve">, </w:t>
      </w:r>
      <w:bookmarkStart w:id="131" w:name="_Hlk117502473"/>
      <w:r w:rsidRPr="004A72CD">
        <w:rPr>
          <w:rFonts w:asciiTheme="minorHAnsi" w:hAnsiTheme="minorHAnsi" w:cstheme="minorHAnsi"/>
          <w:sz w:val="26"/>
          <w:szCs w:val="26"/>
        </w:rPr>
        <w:t xml:space="preserve">organizat în perioada </w:t>
      </w:r>
      <w:bookmarkEnd w:id="131"/>
      <w:r w:rsidRPr="004A72CD">
        <w:rPr>
          <w:rFonts w:asciiTheme="minorHAnsi" w:hAnsiTheme="minorHAnsi" w:cstheme="minorHAnsi"/>
          <w:sz w:val="26"/>
          <w:szCs w:val="26"/>
        </w:rPr>
        <w:t>09.02.2024 – 09.07.2024;</w:t>
      </w:r>
    </w:p>
    <w:p w14:paraId="7DED5AC5" w14:textId="142D0515" w:rsidR="00AE5495" w:rsidRPr="004A72CD" w:rsidRDefault="00AE5495">
      <w:pPr>
        <w:numPr>
          <w:ilvl w:val="0"/>
          <w:numId w:val="38"/>
        </w:numPr>
        <w:tabs>
          <w:tab w:val="left" w:pos="1080"/>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Concurs de admitere în magistratură, organizat în perioada 25.07.2024 – 27.03.2025.</w:t>
      </w:r>
    </w:p>
    <w:p w14:paraId="15C027F6" w14:textId="181B6A9B" w:rsidR="00AE5495" w:rsidRPr="004A72CD" w:rsidRDefault="00AE5495">
      <w:pPr>
        <w:numPr>
          <w:ilvl w:val="0"/>
          <w:numId w:val="13"/>
        </w:numPr>
        <w:tabs>
          <w:tab w:val="left" w:pos="1080"/>
        </w:tabs>
        <w:spacing w:line="276" w:lineRule="auto"/>
        <w:ind w:left="0" w:right="-2" w:firstLine="709"/>
        <w:contextualSpacing/>
        <w:jc w:val="both"/>
        <w:rPr>
          <w:rFonts w:asciiTheme="minorHAnsi" w:hAnsiTheme="minorHAnsi" w:cstheme="minorHAnsi"/>
          <w:b/>
          <w:bCs/>
          <w:sz w:val="26"/>
          <w:szCs w:val="26"/>
        </w:rPr>
      </w:pPr>
      <w:r w:rsidRPr="004A72CD">
        <w:rPr>
          <w:rFonts w:asciiTheme="minorHAnsi" w:hAnsiTheme="minorHAnsi" w:cstheme="minorHAnsi"/>
          <w:b/>
          <w:sz w:val="26"/>
          <w:szCs w:val="26"/>
        </w:rPr>
        <w:t>Concursu</w:t>
      </w:r>
      <w:r w:rsidR="00D04575" w:rsidRPr="004A72CD">
        <w:rPr>
          <w:rFonts w:asciiTheme="minorHAnsi" w:hAnsiTheme="minorHAnsi" w:cstheme="minorHAnsi"/>
          <w:b/>
          <w:sz w:val="26"/>
          <w:szCs w:val="26"/>
        </w:rPr>
        <w:t>l</w:t>
      </w:r>
      <w:r w:rsidRPr="004A72CD">
        <w:rPr>
          <w:rFonts w:asciiTheme="minorHAnsi" w:hAnsiTheme="minorHAnsi" w:cstheme="minorHAnsi"/>
          <w:b/>
          <w:sz w:val="26"/>
          <w:szCs w:val="26"/>
        </w:rPr>
        <w:t xml:space="preserve"> de admitere la </w:t>
      </w:r>
      <w:r w:rsidRPr="004A72CD">
        <w:rPr>
          <w:rFonts w:asciiTheme="minorHAnsi" w:hAnsiTheme="minorHAnsi" w:cstheme="minorHAnsi"/>
          <w:b/>
          <w:bCs/>
          <w:sz w:val="26"/>
          <w:szCs w:val="26"/>
        </w:rPr>
        <w:t>Institutul Național al Magistraturii</w:t>
      </w:r>
    </w:p>
    <w:p w14:paraId="07C9CD88" w14:textId="77777777" w:rsidR="00AE5495" w:rsidRPr="004A72CD" w:rsidRDefault="00AE5495">
      <w:pPr>
        <w:widowControl w:val="0"/>
        <w:numPr>
          <w:ilvl w:val="0"/>
          <w:numId w:val="39"/>
        </w:numPr>
        <w:tabs>
          <w:tab w:val="left" w:pos="993"/>
        </w:tabs>
        <w:suppressAutoHyphens/>
        <w:autoSpaceDN w:val="0"/>
        <w:spacing w:line="276" w:lineRule="auto"/>
        <w:ind w:left="0" w:right="-2" w:firstLine="709"/>
        <w:contextualSpacing/>
        <w:jc w:val="both"/>
        <w:textAlignment w:val="baseline"/>
        <w:rPr>
          <w:rFonts w:asciiTheme="minorHAnsi" w:hAnsiTheme="minorHAnsi" w:cstheme="minorHAnsi"/>
          <w:sz w:val="26"/>
          <w:szCs w:val="26"/>
        </w:rPr>
      </w:pPr>
      <w:r w:rsidRPr="004A72CD">
        <w:rPr>
          <w:rFonts w:asciiTheme="minorHAnsi" w:hAnsiTheme="minorHAnsi" w:cstheme="minorHAnsi"/>
          <w:i/>
          <w:sz w:val="26"/>
          <w:szCs w:val="26"/>
        </w:rPr>
        <w:t>Concurs de admitere la Institutul Naţional al Magistraturii</w:t>
      </w:r>
      <w:r w:rsidRPr="004A72CD">
        <w:rPr>
          <w:rFonts w:asciiTheme="minorHAnsi" w:hAnsiTheme="minorHAnsi" w:cstheme="minorHAnsi"/>
          <w:sz w:val="26"/>
          <w:szCs w:val="26"/>
        </w:rPr>
        <w:t>, organizat în perioada 07.07.2023 – 28.03.2024;</w:t>
      </w:r>
    </w:p>
    <w:p w14:paraId="63DE809E" w14:textId="77777777" w:rsidR="00AE5495" w:rsidRPr="004A72CD" w:rsidRDefault="00AE5495">
      <w:pPr>
        <w:widowControl w:val="0"/>
        <w:numPr>
          <w:ilvl w:val="0"/>
          <w:numId w:val="39"/>
        </w:numPr>
        <w:tabs>
          <w:tab w:val="left" w:pos="993"/>
        </w:tabs>
        <w:suppressAutoHyphens/>
        <w:autoSpaceDN w:val="0"/>
        <w:spacing w:line="276" w:lineRule="auto"/>
        <w:ind w:left="0" w:right="-2" w:firstLine="709"/>
        <w:contextualSpacing/>
        <w:jc w:val="both"/>
        <w:textAlignment w:val="baseline"/>
        <w:rPr>
          <w:rFonts w:asciiTheme="minorHAnsi" w:hAnsiTheme="minorHAnsi" w:cstheme="minorHAnsi"/>
          <w:sz w:val="26"/>
          <w:szCs w:val="26"/>
        </w:rPr>
      </w:pPr>
      <w:r w:rsidRPr="004A72CD">
        <w:rPr>
          <w:rFonts w:asciiTheme="minorHAnsi" w:hAnsiTheme="minorHAnsi" w:cstheme="minorHAnsi"/>
          <w:i/>
          <w:sz w:val="26"/>
          <w:szCs w:val="26"/>
        </w:rPr>
        <w:t>Concurs de admitere la Institutul Naţional al Magistraturii</w:t>
      </w:r>
      <w:r w:rsidRPr="004A72CD">
        <w:rPr>
          <w:rFonts w:asciiTheme="minorHAnsi" w:hAnsiTheme="minorHAnsi" w:cstheme="minorHAnsi"/>
          <w:sz w:val="26"/>
          <w:szCs w:val="26"/>
        </w:rPr>
        <w:t>, organizat în perioada 25.07.2024 – 16.04.2025.</w:t>
      </w:r>
    </w:p>
    <w:p w14:paraId="69F91FA9" w14:textId="3AF5181D" w:rsidR="00AE5495" w:rsidRPr="004A72CD" w:rsidRDefault="009E55A9">
      <w:pPr>
        <w:widowControl w:val="0"/>
        <w:numPr>
          <w:ilvl w:val="0"/>
          <w:numId w:val="13"/>
        </w:numPr>
        <w:tabs>
          <w:tab w:val="left" w:pos="993"/>
        </w:tabs>
        <w:suppressAutoHyphens/>
        <w:autoSpaceDN w:val="0"/>
        <w:spacing w:line="276" w:lineRule="auto"/>
        <w:ind w:left="0" w:right="-2" w:firstLine="709"/>
        <w:contextualSpacing/>
        <w:jc w:val="both"/>
        <w:textAlignment w:val="baseline"/>
        <w:rPr>
          <w:rFonts w:asciiTheme="minorHAnsi" w:hAnsiTheme="minorHAnsi" w:cstheme="minorHAnsi"/>
          <w:b/>
          <w:bCs/>
          <w:sz w:val="26"/>
          <w:szCs w:val="26"/>
        </w:rPr>
      </w:pPr>
      <w:r w:rsidRPr="004A72CD">
        <w:rPr>
          <w:rFonts w:asciiTheme="minorHAnsi" w:hAnsiTheme="minorHAnsi" w:cstheme="minorHAnsi"/>
          <w:b/>
          <w:bCs/>
          <w:sz w:val="26"/>
          <w:szCs w:val="26"/>
        </w:rPr>
        <w:t xml:space="preserve">  </w:t>
      </w:r>
      <w:r w:rsidR="00AE5495" w:rsidRPr="004A72CD">
        <w:rPr>
          <w:rFonts w:asciiTheme="minorHAnsi" w:hAnsiTheme="minorHAnsi" w:cstheme="minorHAnsi"/>
          <w:b/>
          <w:bCs/>
          <w:sz w:val="26"/>
          <w:szCs w:val="26"/>
        </w:rPr>
        <w:t>Concursuri în cadrul Inspecției judiciare</w:t>
      </w:r>
    </w:p>
    <w:p w14:paraId="154096AD" w14:textId="77777777" w:rsidR="00AE5495" w:rsidRPr="004A72CD" w:rsidRDefault="00AE5495">
      <w:pPr>
        <w:widowControl w:val="0"/>
        <w:numPr>
          <w:ilvl w:val="0"/>
          <w:numId w:val="40"/>
        </w:numPr>
        <w:tabs>
          <w:tab w:val="left" w:pos="993"/>
        </w:tabs>
        <w:suppressAutoHyphens/>
        <w:autoSpaceDN w:val="0"/>
        <w:spacing w:line="276" w:lineRule="auto"/>
        <w:ind w:left="0" w:right="-2" w:firstLine="709"/>
        <w:contextualSpacing/>
        <w:jc w:val="both"/>
        <w:textAlignment w:val="baseline"/>
        <w:rPr>
          <w:rFonts w:asciiTheme="minorHAnsi" w:hAnsiTheme="minorHAnsi" w:cstheme="minorHAnsi"/>
          <w:sz w:val="26"/>
          <w:szCs w:val="26"/>
        </w:rPr>
      </w:pPr>
      <w:r w:rsidRPr="004A72CD">
        <w:rPr>
          <w:rFonts w:asciiTheme="minorHAnsi" w:hAnsiTheme="minorHAnsi" w:cstheme="minorHAnsi"/>
          <w:i/>
          <w:sz w:val="26"/>
          <w:szCs w:val="26"/>
        </w:rPr>
        <w:t>Concurs pentru numirea în funcția de inspector judiciar</w:t>
      </w:r>
      <w:r w:rsidRPr="004A72CD">
        <w:rPr>
          <w:rFonts w:asciiTheme="minorHAnsi" w:hAnsiTheme="minorHAnsi" w:cstheme="minorHAnsi"/>
          <w:sz w:val="26"/>
          <w:szCs w:val="26"/>
        </w:rPr>
        <w:t xml:space="preserve"> în cadrul Direcției de inspecție pentru judecători a Inspecției Judiciare, organizat în perioada 29.02 - 03.07.2024;</w:t>
      </w:r>
    </w:p>
    <w:p w14:paraId="69E11D1F" w14:textId="77777777" w:rsidR="00AE5495" w:rsidRPr="004A72CD" w:rsidRDefault="00AE5495">
      <w:pPr>
        <w:widowControl w:val="0"/>
        <w:numPr>
          <w:ilvl w:val="0"/>
          <w:numId w:val="40"/>
        </w:numPr>
        <w:tabs>
          <w:tab w:val="left" w:pos="993"/>
        </w:tabs>
        <w:suppressAutoHyphens/>
        <w:autoSpaceDN w:val="0"/>
        <w:spacing w:line="276" w:lineRule="auto"/>
        <w:ind w:left="0" w:right="-2" w:firstLine="709"/>
        <w:contextualSpacing/>
        <w:jc w:val="both"/>
        <w:textAlignment w:val="baseline"/>
        <w:rPr>
          <w:rFonts w:asciiTheme="minorHAnsi" w:hAnsiTheme="minorHAnsi" w:cstheme="minorHAnsi"/>
          <w:sz w:val="26"/>
          <w:szCs w:val="26"/>
        </w:rPr>
      </w:pPr>
      <w:r w:rsidRPr="004A72CD">
        <w:rPr>
          <w:rFonts w:asciiTheme="minorHAnsi" w:hAnsiTheme="minorHAnsi" w:cstheme="minorHAnsi"/>
          <w:i/>
          <w:sz w:val="26"/>
          <w:szCs w:val="26"/>
        </w:rPr>
        <w:t>Concurs pentru numirea în funcția de inspector judiciar</w:t>
      </w:r>
      <w:r w:rsidRPr="004A72CD">
        <w:rPr>
          <w:rFonts w:asciiTheme="minorHAnsi" w:hAnsiTheme="minorHAnsi" w:cstheme="minorHAnsi"/>
          <w:sz w:val="26"/>
          <w:szCs w:val="26"/>
        </w:rPr>
        <w:t xml:space="preserve"> în cadrul Direcției de inspecție pentru procurori a Inspecției Judiciare, organizat în perioada 19.03 - 22.07.2024;</w:t>
      </w:r>
    </w:p>
    <w:p w14:paraId="7C2729E4" w14:textId="77777777" w:rsidR="00AE5495" w:rsidRPr="004A72CD" w:rsidRDefault="00AE5495">
      <w:pPr>
        <w:widowControl w:val="0"/>
        <w:numPr>
          <w:ilvl w:val="0"/>
          <w:numId w:val="40"/>
        </w:numPr>
        <w:tabs>
          <w:tab w:val="left" w:pos="993"/>
        </w:tabs>
        <w:suppressAutoHyphens/>
        <w:autoSpaceDN w:val="0"/>
        <w:spacing w:line="276" w:lineRule="auto"/>
        <w:ind w:left="0" w:right="-2" w:firstLine="709"/>
        <w:contextualSpacing/>
        <w:jc w:val="both"/>
        <w:textAlignment w:val="baseline"/>
        <w:rPr>
          <w:rFonts w:asciiTheme="minorHAnsi" w:hAnsiTheme="minorHAnsi" w:cstheme="minorHAnsi"/>
          <w:sz w:val="26"/>
          <w:szCs w:val="26"/>
        </w:rPr>
      </w:pPr>
      <w:r w:rsidRPr="004A72CD">
        <w:rPr>
          <w:rFonts w:asciiTheme="minorHAnsi" w:hAnsiTheme="minorHAnsi" w:cstheme="minorHAnsi"/>
          <w:i/>
          <w:sz w:val="26"/>
          <w:szCs w:val="26"/>
        </w:rPr>
        <w:t>Concurs pentru numirea în funcția de director</w:t>
      </w:r>
      <w:r w:rsidRPr="004A72CD">
        <w:rPr>
          <w:rFonts w:asciiTheme="minorHAnsi" w:hAnsiTheme="minorHAnsi" w:cstheme="minorHAnsi"/>
          <w:sz w:val="26"/>
          <w:szCs w:val="26"/>
        </w:rPr>
        <w:t xml:space="preserve"> al Direcției de inspecție pentru procurori din cadrul Inspecției Judiciare, organizat în perioada 13.06  - 15.10.2024;</w:t>
      </w:r>
    </w:p>
    <w:p w14:paraId="057F04CC" w14:textId="6CCDF67C" w:rsidR="00AE5495" w:rsidRDefault="00AE5495">
      <w:pPr>
        <w:widowControl w:val="0"/>
        <w:numPr>
          <w:ilvl w:val="0"/>
          <w:numId w:val="40"/>
        </w:numPr>
        <w:tabs>
          <w:tab w:val="left" w:pos="993"/>
        </w:tabs>
        <w:suppressAutoHyphens/>
        <w:autoSpaceDN w:val="0"/>
        <w:spacing w:line="276" w:lineRule="auto"/>
        <w:ind w:left="0" w:right="-2" w:firstLine="709"/>
        <w:contextualSpacing/>
        <w:jc w:val="both"/>
        <w:textAlignment w:val="baseline"/>
        <w:rPr>
          <w:rFonts w:asciiTheme="minorHAnsi" w:hAnsiTheme="minorHAnsi" w:cstheme="minorHAnsi"/>
          <w:sz w:val="26"/>
          <w:szCs w:val="26"/>
        </w:rPr>
      </w:pPr>
      <w:r w:rsidRPr="004A72CD">
        <w:rPr>
          <w:rFonts w:asciiTheme="minorHAnsi" w:hAnsiTheme="minorHAnsi" w:cstheme="minorHAnsi"/>
          <w:i/>
          <w:sz w:val="26"/>
          <w:szCs w:val="26"/>
        </w:rPr>
        <w:t>Concurs pentru numirea în funcția de inspector judiciar</w:t>
      </w:r>
      <w:r w:rsidRPr="004A72CD">
        <w:rPr>
          <w:rFonts w:asciiTheme="minorHAnsi" w:hAnsiTheme="minorHAnsi" w:cstheme="minorHAnsi"/>
          <w:sz w:val="26"/>
          <w:szCs w:val="26"/>
        </w:rPr>
        <w:t xml:space="preserve"> în cadrul Direcției de inspecție pentru judecători a Inspecției Judiciare, organizat în perioada 14.10.2024 – 11.03.2025</w:t>
      </w:r>
      <w:r w:rsidR="006A74D4" w:rsidRPr="00CD3492">
        <w:rPr>
          <w:rFonts w:asciiTheme="minorHAnsi" w:hAnsiTheme="minorHAnsi" w:cstheme="minorHAnsi"/>
          <w:sz w:val="26"/>
          <w:szCs w:val="26"/>
          <w:lang w:val="pt-PT"/>
        </w:rPr>
        <w:t>;</w:t>
      </w:r>
    </w:p>
    <w:p w14:paraId="4712E71F" w14:textId="77777777" w:rsidR="006A74D4" w:rsidRPr="006A74D4" w:rsidRDefault="006A74D4">
      <w:pPr>
        <w:numPr>
          <w:ilvl w:val="0"/>
          <w:numId w:val="50"/>
        </w:numPr>
        <w:tabs>
          <w:tab w:val="left" w:pos="851"/>
          <w:tab w:val="left" w:pos="993"/>
        </w:tabs>
        <w:autoSpaceDE w:val="0"/>
        <w:autoSpaceDN w:val="0"/>
        <w:spacing w:line="276" w:lineRule="auto"/>
        <w:ind w:left="0" w:firstLine="709"/>
        <w:contextualSpacing/>
        <w:jc w:val="both"/>
        <w:textAlignment w:val="baseline"/>
        <w:rPr>
          <w:rFonts w:ascii="Calibri" w:hAnsi="Calibri" w:cs="Calibri"/>
          <w:noProof w:val="0"/>
          <w:sz w:val="26"/>
          <w:szCs w:val="26"/>
        </w:rPr>
      </w:pPr>
      <w:r w:rsidRPr="006A74D4">
        <w:rPr>
          <w:rFonts w:ascii="Calibri" w:hAnsi="Calibri" w:cs="Calibri"/>
          <w:i/>
          <w:iCs/>
          <w:sz w:val="26"/>
          <w:szCs w:val="26"/>
        </w:rPr>
        <w:t>Concurs pentru numirea în funcția de inspector judiciar</w:t>
      </w:r>
      <w:r w:rsidRPr="006A74D4">
        <w:rPr>
          <w:rFonts w:ascii="Calibri" w:hAnsi="Calibri" w:cs="Calibri"/>
          <w:sz w:val="26"/>
          <w:szCs w:val="26"/>
        </w:rPr>
        <w:t xml:space="preserve"> în cadrul Direcției de inspecție pentru procurori a Inspecției Judiciare, organizat în perioada 12.12.2024 – 01.07.2025.</w:t>
      </w:r>
    </w:p>
    <w:p w14:paraId="7626DF6C" w14:textId="33FB2F4C" w:rsidR="00AE5495" w:rsidRPr="00F313A6" w:rsidRDefault="00AE5495" w:rsidP="00F313A6">
      <w:pPr>
        <w:widowControl w:val="0"/>
        <w:autoSpaceDE w:val="0"/>
        <w:autoSpaceDN w:val="0"/>
        <w:adjustRightInd w:val="0"/>
        <w:spacing w:line="276" w:lineRule="auto"/>
        <w:ind w:right="-2" w:firstLine="709"/>
        <w:jc w:val="both"/>
        <w:rPr>
          <w:rFonts w:asciiTheme="minorHAnsi" w:eastAsia="Calibri" w:hAnsiTheme="minorHAnsi" w:cstheme="minorHAnsi"/>
          <w:sz w:val="26"/>
          <w:szCs w:val="26"/>
        </w:rPr>
      </w:pPr>
      <w:r w:rsidRPr="004A72CD">
        <w:rPr>
          <w:rFonts w:asciiTheme="minorHAnsi" w:eastAsia="Calibri" w:hAnsiTheme="minorHAnsi" w:cstheme="minorHAnsi"/>
          <w:sz w:val="26"/>
          <w:szCs w:val="26"/>
        </w:rPr>
        <w:t>Având în vedere specificul fiecărui tip de concurs și activitățile ce se circumscriu sferei de competență a acestui compartiment, Serviciul concursuri şi formare profesională a realizat, în principal, următoarele tipuri de lucrări: documentația privind organizarea</w:t>
      </w:r>
      <w:r w:rsidRPr="004A72CD">
        <w:rPr>
          <w:rFonts w:asciiTheme="minorHAnsi" w:eastAsia="Calibri" w:hAnsiTheme="minorHAnsi" w:cstheme="minorHAnsi"/>
          <w:i/>
          <w:sz w:val="26"/>
          <w:szCs w:val="26"/>
        </w:rPr>
        <w:t xml:space="preserve"> </w:t>
      </w:r>
      <w:r w:rsidRPr="004A72CD">
        <w:rPr>
          <w:rFonts w:asciiTheme="minorHAnsi" w:eastAsia="Calibri" w:hAnsiTheme="minorHAnsi" w:cstheme="minorHAnsi"/>
          <w:sz w:val="26"/>
          <w:szCs w:val="26"/>
        </w:rPr>
        <w:t>concursurilor menționate, lucrările privind desemnarea componenței comisiilor de concurs, contractele de prestări servicii ale membrilor comisiilor de concurs, instrucțiunile privind desfășurarea probelor de concurs, analizarea și formularea de puncte de vedere asupra memoriilor formulate de candidați, instituții sau alte categorii de petenți, verificările privind îndeplinirea condiției de bună reputație a candidaților admiși la concursurile de admitere în magistratură, de admitere la Institutul Național al Magistraturii şi de admitere la Școala Națională de Grefieri, documentația privind validarea rezultatelor concursurilor și ale examenelor care se organizează de Consiliu, lucrările privind avizul Consiliului în vederea organizării concursurilor pentru ocuparea posturilor vacante de grefier la instanțe și parchete, elaborarea sau analizarea propunerilor de modificare a regulamentelor de concurs sau a dispozițiilor legale referitoare la concursuri.</w:t>
      </w:r>
      <w:r w:rsidRPr="004A72CD">
        <w:rPr>
          <w:rFonts w:asciiTheme="minorHAnsi" w:hAnsiTheme="minorHAnsi" w:cstheme="minorHAnsi"/>
          <w:b/>
          <w:bCs/>
          <w:color w:val="000000"/>
          <w:sz w:val="26"/>
          <w:szCs w:val="26"/>
        </w:rPr>
        <w:tab/>
      </w:r>
      <w:bookmarkStart w:id="132" w:name="_Toc532479795"/>
      <w:bookmarkStart w:id="133" w:name="_Toc57228234"/>
      <w:bookmarkEnd w:id="127"/>
    </w:p>
    <w:p w14:paraId="4C56373B" w14:textId="77777777" w:rsidR="00AE5495" w:rsidRPr="00CD3492" w:rsidRDefault="00AE5495" w:rsidP="00F313A6">
      <w:pPr>
        <w:pStyle w:val="Heading2"/>
        <w:rPr>
          <w:lang w:val="pt-PT"/>
        </w:rPr>
      </w:pPr>
      <w:bookmarkStart w:id="134" w:name="_Toc187824390"/>
      <w:r w:rsidRPr="00CD3492">
        <w:rPr>
          <w:lang w:val="pt-PT"/>
        </w:rPr>
        <w:t>VI.2. Activitatea Direcţiei legislaţie, documentare şi contencios</w:t>
      </w:r>
      <w:bookmarkEnd w:id="132"/>
      <w:bookmarkEnd w:id="133"/>
      <w:bookmarkEnd w:id="134"/>
    </w:p>
    <w:p w14:paraId="2291BC29" w14:textId="31C370D5" w:rsidR="00AE5495" w:rsidRPr="005403AD" w:rsidRDefault="00AE5495" w:rsidP="00F313A6">
      <w:pPr>
        <w:autoSpaceDE w:val="0"/>
        <w:autoSpaceDN w:val="0"/>
        <w:adjustRightInd w:val="0"/>
        <w:spacing w:line="276" w:lineRule="auto"/>
        <w:ind w:right="-2" w:firstLine="709"/>
        <w:jc w:val="both"/>
        <w:rPr>
          <w:rFonts w:asciiTheme="minorHAnsi" w:hAnsiTheme="minorHAnsi" w:cstheme="minorHAnsi"/>
          <w:sz w:val="26"/>
          <w:szCs w:val="26"/>
        </w:rPr>
      </w:pPr>
      <w:r w:rsidRPr="005403AD">
        <w:rPr>
          <w:rFonts w:asciiTheme="minorHAnsi" w:hAnsiTheme="minorHAnsi" w:cstheme="minorHAnsi"/>
          <w:sz w:val="26"/>
          <w:szCs w:val="26"/>
        </w:rPr>
        <w:t xml:space="preserve">La nivelul Direcţiei legislaţie, documentare şi contencios au fost înregistrate în perioada de referinţă </w:t>
      </w:r>
      <w:r w:rsidR="0058356D" w:rsidRPr="005403AD">
        <w:rPr>
          <w:rFonts w:asciiTheme="minorHAnsi" w:hAnsiTheme="minorHAnsi" w:cstheme="minorHAnsi"/>
          <w:sz w:val="26"/>
          <w:szCs w:val="26"/>
        </w:rPr>
        <w:t>7</w:t>
      </w:r>
      <w:r w:rsidR="00476324">
        <w:rPr>
          <w:rFonts w:asciiTheme="minorHAnsi" w:hAnsiTheme="minorHAnsi" w:cstheme="minorHAnsi"/>
          <w:sz w:val="26"/>
          <w:szCs w:val="26"/>
        </w:rPr>
        <w:t>94</w:t>
      </w:r>
      <w:r w:rsidRPr="005403AD">
        <w:rPr>
          <w:rFonts w:asciiTheme="minorHAnsi" w:hAnsiTheme="minorHAnsi" w:cstheme="minorHAnsi"/>
          <w:sz w:val="26"/>
          <w:szCs w:val="26"/>
        </w:rPr>
        <w:t xml:space="preserve"> de lucrări, din care 3</w:t>
      </w:r>
      <w:r w:rsidR="00476324">
        <w:rPr>
          <w:rFonts w:asciiTheme="minorHAnsi" w:hAnsiTheme="minorHAnsi" w:cstheme="minorHAnsi"/>
          <w:sz w:val="26"/>
          <w:szCs w:val="26"/>
        </w:rPr>
        <w:t>75</w:t>
      </w:r>
      <w:r w:rsidRPr="005403AD">
        <w:rPr>
          <w:rFonts w:asciiTheme="minorHAnsi" w:hAnsiTheme="minorHAnsi" w:cstheme="minorHAnsi"/>
          <w:sz w:val="26"/>
          <w:szCs w:val="26"/>
        </w:rPr>
        <w:t xml:space="preserve"> la Serviciul legislaţie şi documentare şi </w:t>
      </w:r>
      <w:r w:rsidR="006F73FC">
        <w:rPr>
          <w:rFonts w:asciiTheme="minorHAnsi" w:hAnsiTheme="minorHAnsi" w:cstheme="minorHAnsi"/>
          <w:sz w:val="26"/>
          <w:szCs w:val="26"/>
        </w:rPr>
        <w:t>4</w:t>
      </w:r>
      <w:r w:rsidR="00476324">
        <w:rPr>
          <w:rFonts w:asciiTheme="minorHAnsi" w:hAnsiTheme="minorHAnsi" w:cstheme="minorHAnsi"/>
          <w:sz w:val="26"/>
          <w:szCs w:val="26"/>
        </w:rPr>
        <w:t>19</w:t>
      </w:r>
      <w:r w:rsidRPr="005403AD">
        <w:rPr>
          <w:rFonts w:asciiTheme="minorHAnsi" w:hAnsiTheme="minorHAnsi" w:cstheme="minorHAnsi"/>
          <w:sz w:val="26"/>
          <w:szCs w:val="26"/>
        </w:rPr>
        <w:t xml:space="preserve"> la Serviciul contencios.</w:t>
      </w:r>
    </w:p>
    <w:p w14:paraId="4BEC2FAF" w14:textId="77777777" w:rsidR="00AE5495" w:rsidRPr="004A72CD" w:rsidRDefault="00AE5495" w:rsidP="00F313A6">
      <w:pPr>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lastRenderedPageBreak/>
        <w:t xml:space="preserve">Activitatea derulată la nivelul </w:t>
      </w:r>
      <w:r w:rsidRPr="00315502">
        <w:rPr>
          <w:rFonts w:asciiTheme="minorHAnsi" w:hAnsiTheme="minorHAnsi" w:cstheme="minorHAnsi"/>
          <w:iCs/>
          <w:sz w:val="26"/>
          <w:szCs w:val="26"/>
        </w:rPr>
        <w:t>Serviciului legislaţie şi documentare</w:t>
      </w:r>
      <w:r w:rsidRPr="004A72CD">
        <w:rPr>
          <w:rFonts w:asciiTheme="minorHAnsi" w:hAnsiTheme="minorHAnsi" w:cstheme="minorHAnsi"/>
          <w:sz w:val="26"/>
          <w:szCs w:val="26"/>
        </w:rPr>
        <w:t xml:space="preserve"> este reflectată la Cap. I - secţiunea I.7. - Raporturile Consiliului Superior al Magistraturii cu puterea legislativă şi cea executivă şi la Cap. III – Activitatea derulată în legătură cu atribuţiile în materie legislativă ale Consiliului Superior al Magistraturii, astfel că nu va fi reluată.</w:t>
      </w:r>
    </w:p>
    <w:p w14:paraId="3EEE2EA8" w14:textId="77777777" w:rsidR="00AE5495" w:rsidRPr="004A72CD" w:rsidRDefault="00AE5495" w:rsidP="00F313A6">
      <w:pPr>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De asemenea, acest serviciu a sprijinit activitatea grupurilor de lucru constituite la nivelul Consiliului şi a asigurat participarea şi în cadrul şedinţelor comisiilor de specialitate.</w:t>
      </w:r>
    </w:p>
    <w:p w14:paraId="5280B3F4" w14:textId="77777777" w:rsidR="00AE5495" w:rsidRPr="004A72CD" w:rsidRDefault="00AE5495" w:rsidP="00F313A6">
      <w:pPr>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Totodată, acest serviciu a efectuat toate demersurile în situațiile în care s-a impus consultarea instanțelor în legătură cu anumite propuneri sau proiecte legislative sau informarea instanțelor la solicitarea unor autorități.</w:t>
      </w:r>
    </w:p>
    <w:p w14:paraId="2E847813" w14:textId="77777777" w:rsidR="00AE5495" w:rsidRPr="004A72CD" w:rsidRDefault="00AE5495" w:rsidP="00F313A6">
      <w:pPr>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Astfel, ca urmare a adresei Ministerului Justiţiei vizând identificarea măsurilor necesare pentru asigurarea liberului acces la justiție din perspectiva costurilor, promovarea soluțiilor alternative de soluționare a litigiilor, în special a instituției medierii, dar și pentru degrevarea instanțelor de judecată, la nivelul Consiliului Superior al Magistraturii s-a decis consultarea instanțelor și parchetelor cu privire la propunerile de modificare a O.U.G. nr. 80/2013 privind taxele judiciare de timbru şi a O.U.G. nr. 51/2008 privind ajutorul public judiciar în materie civilă, astfel cum acestea au fost transmise de Ministerul Justiției în data de 22 noiembrie 2023. Serviciul legislaţie şi documentare a realizat centralizarea observațiilor și a propunerilor formulate de instanțe și parchete, acestea fiind comunicate Ministerului Justiţiei cu adresa nr. 22476/2023 din data de 29 februarie 2024.</w:t>
      </w:r>
    </w:p>
    <w:p w14:paraId="2AFF41FA" w14:textId="38CB8648" w:rsidR="00AE5495" w:rsidRPr="004A72CD" w:rsidRDefault="00AE5495" w:rsidP="00F313A6">
      <w:pPr>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Serviciul legislaţie şi documentare a realizat, prin adresa nr. 10255 din data de 18 iunie 2024, informarea instanţelor judecătoreşti şi a parchetelor de pe lângă acestea în legătură cu jurisprudența Curții de Justiție a Uniunii Europene referitoare la regimul lingvistic aplicabil cetățenilor mobili ai Uniunii Europene, care vorbesc o limbă cu statut de limbă minoritară protejată în statul membru în care se deplasează - cauza C-322/13 Grauel Ruffer, în care C</w:t>
      </w:r>
      <w:r w:rsidR="004D3C37" w:rsidRPr="004A72CD">
        <w:rPr>
          <w:rFonts w:asciiTheme="minorHAnsi" w:hAnsiTheme="minorHAnsi" w:cstheme="minorHAnsi"/>
          <w:sz w:val="26"/>
          <w:szCs w:val="26"/>
        </w:rPr>
        <w:t>.</w:t>
      </w:r>
      <w:r w:rsidRPr="004A72CD">
        <w:rPr>
          <w:rFonts w:asciiTheme="minorHAnsi" w:hAnsiTheme="minorHAnsi" w:cstheme="minorHAnsi"/>
          <w:sz w:val="26"/>
          <w:szCs w:val="26"/>
        </w:rPr>
        <w:t>J</w:t>
      </w:r>
      <w:r w:rsidR="004D3C37" w:rsidRPr="004A72CD">
        <w:rPr>
          <w:rFonts w:asciiTheme="minorHAnsi" w:hAnsiTheme="minorHAnsi" w:cstheme="minorHAnsi"/>
          <w:sz w:val="26"/>
          <w:szCs w:val="26"/>
        </w:rPr>
        <w:t>.</w:t>
      </w:r>
      <w:r w:rsidRPr="004A72CD">
        <w:rPr>
          <w:rFonts w:asciiTheme="minorHAnsi" w:hAnsiTheme="minorHAnsi" w:cstheme="minorHAnsi"/>
          <w:sz w:val="26"/>
          <w:szCs w:val="26"/>
        </w:rPr>
        <w:t>U</w:t>
      </w:r>
      <w:r w:rsidR="004D3C37" w:rsidRPr="004A72CD">
        <w:rPr>
          <w:rFonts w:asciiTheme="minorHAnsi" w:hAnsiTheme="minorHAnsi" w:cstheme="minorHAnsi"/>
          <w:sz w:val="26"/>
          <w:szCs w:val="26"/>
        </w:rPr>
        <w:t>.</w:t>
      </w:r>
      <w:r w:rsidRPr="004A72CD">
        <w:rPr>
          <w:rFonts w:asciiTheme="minorHAnsi" w:hAnsiTheme="minorHAnsi" w:cstheme="minorHAnsi"/>
          <w:sz w:val="26"/>
          <w:szCs w:val="26"/>
        </w:rPr>
        <w:t>E</w:t>
      </w:r>
      <w:r w:rsidR="004D3C37" w:rsidRPr="004A72CD">
        <w:rPr>
          <w:rFonts w:asciiTheme="minorHAnsi" w:hAnsiTheme="minorHAnsi" w:cstheme="minorHAnsi"/>
          <w:sz w:val="26"/>
          <w:szCs w:val="26"/>
        </w:rPr>
        <w:t>.</w:t>
      </w:r>
      <w:r w:rsidRPr="004A72CD">
        <w:rPr>
          <w:rFonts w:asciiTheme="minorHAnsi" w:hAnsiTheme="minorHAnsi" w:cstheme="minorHAnsi"/>
          <w:sz w:val="26"/>
          <w:szCs w:val="26"/>
        </w:rPr>
        <w:t xml:space="preserve"> și-a confirmat jurisprudența anterioară, cauza C-274/96 Bickel și Franz, potrivit căreia dreptul recunoscut printr-o reglementare națională, de a obține desfășurarea unei proceduri judiciare într-o altă limbă decât limba principală a respectivului stat, intră în domeniul de aplicare a dreptului U</w:t>
      </w:r>
      <w:r w:rsidR="004D3C37" w:rsidRPr="004A72CD">
        <w:rPr>
          <w:rFonts w:asciiTheme="minorHAnsi" w:hAnsiTheme="minorHAnsi" w:cstheme="minorHAnsi"/>
          <w:sz w:val="26"/>
          <w:szCs w:val="26"/>
        </w:rPr>
        <w:t>.</w:t>
      </w:r>
      <w:r w:rsidRPr="004A72CD">
        <w:rPr>
          <w:rFonts w:asciiTheme="minorHAnsi" w:hAnsiTheme="minorHAnsi" w:cstheme="minorHAnsi"/>
          <w:sz w:val="26"/>
          <w:szCs w:val="26"/>
        </w:rPr>
        <w:t>E</w:t>
      </w:r>
      <w:r w:rsidR="004D3C37" w:rsidRPr="004A72CD">
        <w:rPr>
          <w:rFonts w:asciiTheme="minorHAnsi" w:hAnsiTheme="minorHAnsi" w:cstheme="minorHAnsi"/>
          <w:sz w:val="26"/>
          <w:szCs w:val="26"/>
        </w:rPr>
        <w:t>.</w:t>
      </w:r>
      <w:r w:rsidRPr="004A72CD">
        <w:rPr>
          <w:rFonts w:asciiTheme="minorHAnsi" w:hAnsiTheme="minorHAnsi" w:cstheme="minorHAnsi"/>
          <w:sz w:val="26"/>
          <w:szCs w:val="26"/>
        </w:rPr>
        <w:t>, iar acesta din urmă se opune unei reglementări naționale care conferă cetățenilor care vorbesc o altă limbă decât limba principală a respectivului stat și își au reședința pe teritoriul unei anumite entități a acelui stat, dreptul de a obține desfășurarea procedurii judiciare în limba lor, fără ca acest drept să le fie recunoscut și resortisanților celorlalte state membre care vorbesc acea limbă și care circulă și locuiesc pe teritoriul respectiv.</w:t>
      </w:r>
    </w:p>
    <w:p w14:paraId="1D92DBD4"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Serviciul legislaţie şi documentare a realizat, prin adresa nr. 12739 din data de 02 august 2024, informarea instanţelor judecătoreşti </w:t>
      </w:r>
      <w:r w:rsidRPr="004A72CD">
        <w:rPr>
          <w:rFonts w:asciiTheme="minorHAnsi" w:hAnsiTheme="minorHAnsi" w:cstheme="minorHAnsi"/>
          <w:sz w:val="26"/>
          <w:szCs w:val="26"/>
        </w:rPr>
        <w:t xml:space="preserve">în legătură cu procedura aplicabilă în cazul solicitărilor de informații adresate de instanțele naționale misiunilor diplomatice române din străinătate. Astfel, Ministerul Afacerilor Externe a comunicat Consiliului faptul că instanțele judecătorești din România nu pot solicita în mod direct informații misiunilor diplomatice române din străinătate, ci numai prin intermediul Departamentului Consular din cadrul Ministerului Afacerilor Externe. </w:t>
      </w:r>
    </w:p>
    <w:p w14:paraId="26081CD9" w14:textId="403BE3D5"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Prin adresa nr. 10242 din data de 02</w:t>
      </w:r>
      <w:r w:rsidR="00533E9E" w:rsidRPr="004A72CD">
        <w:rPr>
          <w:rFonts w:asciiTheme="minorHAnsi" w:hAnsiTheme="minorHAnsi" w:cstheme="minorHAnsi"/>
          <w:sz w:val="26"/>
          <w:szCs w:val="26"/>
        </w:rPr>
        <w:t xml:space="preserve"> iulie </w:t>
      </w:r>
      <w:r w:rsidRPr="004A72CD">
        <w:rPr>
          <w:rFonts w:asciiTheme="minorHAnsi" w:hAnsiTheme="minorHAnsi" w:cstheme="minorHAnsi"/>
          <w:sz w:val="26"/>
          <w:szCs w:val="26"/>
        </w:rPr>
        <w:t xml:space="preserve">2024, </w:t>
      </w: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Serviciul legislaţie şi documentare a transmis</w:t>
      </w:r>
      <w:r w:rsidRPr="004A72CD">
        <w:rPr>
          <w:rFonts w:asciiTheme="minorHAnsi" w:hAnsiTheme="minorHAnsi" w:cstheme="minorHAnsi"/>
          <w:sz w:val="26"/>
          <w:szCs w:val="26"/>
        </w:rPr>
        <w:t xml:space="preserve"> instanțelor judecătorești solicitarea vizând posibilitatea filtrării cauzelor în care este necesară transmiterea în format fizic a probatoriului constând în înscrisuri, în acele situații în care acestea au fost depuse la dosar pe suport electronic, în condițiile art. 266 din Codul de procedură civilă. Cererea formulată în acest sens de Ministerul Investiţiilor şi Programelor Europene a fost </w:t>
      </w:r>
      <w:r w:rsidRPr="004A72CD">
        <w:rPr>
          <w:rFonts w:asciiTheme="minorHAnsi" w:hAnsiTheme="minorHAnsi" w:cstheme="minorHAnsi"/>
          <w:sz w:val="26"/>
          <w:szCs w:val="26"/>
        </w:rPr>
        <w:lastRenderedPageBreak/>
        <w:t xml:space="preserve">analizată în ședința din data de 27 iunie 2024 a Comisiei nr. 1 – judecători – „Legislație și cooperare interinstituțională” din cadrul Consiliului Superior al Magistraturii. În urma analizei solicitării, comisia de specialitate a decis comunicarea acesteia către instanțele judecătorești.  </w:t>
      </w:r>
    </w:p>
    <w:p w14:paraId="20477997" w14:textId="25A1A388"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Prin adresa nr. 11054 din data de 27 iunie 2024</w:t>
      </w:r>
      <w:r w:rsidR="0070034C" w:rsidRPr="004A72CD">
        <w:rPr>
          <w:rFonts w:asciiTheme="minorHAnsi" w:hAnsiTheme="minorHAnsi" w:cstheme="minorHAnsi"/>
          <w:sz w:val="26"/>
          <w:szCs w:val="26"/>
        </w:rPr>
        <w:t>,</w:t>
      </w:r>
      <w:r w:rsidRPr="004A72CD">
        <w:rPr>
          <w:rFonts w:asciiTheme="minorHAnsi" w:hAnsiTheme="minorHAnsi" w:cstheme="minorHAnsi"/>
          <w:sz w:val="26"/>
          <w:szCs w:val="26"/>
        </w:rPr>
        <w:t xml:space="preserve"> instanţele judecătoreşti şi parchetele de pe lângă acestea au fost informate cu privire la crearea unei adrese unice de e-mail în vederea simplificării procedurilor de comunicare a actelor vizând măsurile de suspendare a exercitării dreptului la libera circulaţie în străinătate, aspect comunicat Consiliului de către Ministerul Afacerilor Interne – Direcţia Generală de Paşapoarte.</w:t>
      </w:r>
    </w:p>
    <w:p w14:paraId="711057A4" w14:textId="77777777" w:rsidR="00AE5495" w:rsidRPr="004A72CD" w:rsidRDefault="00AE5495" w:rsidP="00F313A6">
      <w:pPr>
        <w:tabs>
          <w:tab w:val="left" w:pos="720"/>
        </w:tabs>
        <w:spacing w:line="276" w:lineRule="auto"/>
        <w:ind w:right="-2" w:firstLine="709"/>
        <w:jc w:val="both"/>
        <w:rPr>
          <w:rFonts w:asciiTheme="minorHAnsi" w:hAnsiTheme="minorHAnsi" w:cstheme="minorHAnsi"/>
          <w:sz w:val="26"/>
          <w:szCs w:val="26"/>
          <w14:shadow w14:blurRad="63500" w14:dist="50800" w14:dir="13500000" w14:sx="0" w14:sy="0" w14:kx="0" w14:ky="0" w14:algn="none">
            <w14:srgbClr w14:val="000000">
              <w14:alpha w14:val="50000"/>
            </w14:srgbClr>
          </w14:shadow>
        </w:rPr>
      </w:pPr>
      <w:r w:rsidRPr="004A72CD">
        <w:rPr>
          <w:rFonts w:asciiTheme="minorHAnsi" w:hAnsiTheme="minorHAnsi" w:cstheme="minorHAnsi"/>
          <w:sz w:val="26"/>
          <w:szCs w:val="26"/>
        </w:rPr>
        <w:tab/>
        <w:t xml:space="preserve">De asemenea, ca urmare a publicării în Monitorul Oficial al României, Partea I, nr. 26 din 12 ianuarie 2024 a Legii nr. 11/2024 privind statutul grefierilor şi al altor categorii de personal care ocupă funcţii de specialitate în cadrul instanţelor judecătoreşti, al parchetelor de pe lângă acestea şi al Institutului Naţional de Expertize Criminalistice, aceasta intrând în vigoare la data de 12 iulie 2024, la nivelul </w:t>
      </w: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Serviciului legislaţie şi documentare au fost elaborate proiectele de regulamente stabilite de lege, precum şi propunerile </w:t>
      </w:r>
      <w:r w:rsidRPr="004A72CD">
        <w:rPr>
          <w:rFonts w:asciiTheme="minorHAnsi" w:hAnsiTheme="minorHAnsi" w:cstheme="minorHAnsi"/>
          <w:iCs/>
          <w:sz w:val="26"/>
          <w:szCs w:val="26"/>
        </w:rPr>
        <w:t xml:space="preserve">de modificare şi completare a regulamentelor de ordine interioară ale instanţelor judecătoreşti şi ale parchetelor de pe lângă acestea. </w:t>
      </w:r>
      <w:r w:rsidRPr="004A72CD">
        <w:rPr>
          <w:rFonts w:asciiTheme="minorHAnsi" w:hAnsiTheme="minorHAnsi" w:cstheme="minorHAnsi"/>
          <w:sz w:val="26"/>
          <w:szCs w:val="26"/>
        </w:rPr>
        <w:t xml:space="preserve">Dat fiind că, în ședința din data de 19 septembrie 2024, Curtea Constituțională, în cadrul controlului de constituționalitate </w:t>
      </w:r>
      <w:r w:rsidRPr="004A72CD">
        <w:rPr>
          <w:rFonts w:asciiTheme="minorHAnsi" w:hAnsiTheme="minorHAnsi" w:cstheme="minorHAnsi"/>
          <w:i/>
          <w:iCs/>
          <w:sz w:val="26"/>
          <w:szCs w:val="26"/>
        </w:rPr>
        <w:t>a posteriori</w:t>
      </w:r>
      <w:r w:rsidRPr="004A72CD">
        <w:rPr>
          <w:rFonts w:asciiTheme="minorHAnsi" w:hAnsiTheme="minorHAnsi" w:cstheme="minorHAnsi"/>
          <w:sz w:val="26"/>
          <w:szCs w:val="26"/>
        </w:rPr>
        <w:t xml:space="preserve">, cu unanimitate de voturi, a admis excepția de neconstituționalitate și a constatat că Legea nr. 11/2024 este neconstituțională, în ansamblul său, lucrările vizând proiectele de regulamente elaborate în temeiul legii, aflate în procedură de transparență decizională, au fost închise. Menţionăm următoarele proiectele de regulamente elaborate în temeiul Legii nr. 11/2024 la nivelul </w:t>
      </w: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Serviciului legislaţie şi documentare:</w:t>
      </w:r>
    </w:p>
    <w:p w14:paraId="1AFF1ADA" w14:textId="345716F9" w:rsidR="00AE5495" w:rsidRPr="004A72CD" w:rsidRDefault="00AE5495">
      <w:pPr>
        <w:pStyle w:val="ListParagraph"/>
        <w:numPr>
          <w:ilvl w:val="0"/>
          <w:numId w:val="42"/>
        </w:numPr>
        <w:tabs>
          <w:tab w:val="left" w:pos="993"/>
        </w:tabs>
        <w:spacing w:line="276" w:lineRule="auto"/>
        <w:ind w:left="0" w:right="-2" w:firstLine="709"/>
        <w:jc w:val="both"/>
        <w:rPr>
          <w:rFonts w:asciiTheme="minorHAnsi" w:hAnsiTheme="minorHAnsi" w:cstheme="minorHAnsi"/>
          <w:sz w:val="26"/>
          <w:szCs w:val="26"/>
          <w14:shadow w14:blurRad="63500" w14:dist="50800" w14:dir="13500000" w14:sx="0" w14:sy="0" w14:kx="0" w14:ky="0" w14:algn="none">
            <w14:srgbClr w14:val="000000">
              <w14:alpha w14:val="50000"/>
            </w14:srgbClr>
          </w14:shadow>
        </w:rPr>
      </w:pP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Regulamentul privind organizarea şi desfăşurarea concursului pentru promovarea grefierilor şi a altor categorii de personal care ocupă funcţii de conducere, precum şi a examenului pentru promovarea din funcţia de grefier cu studii medii în cea de grefier cu studii superioare;</w:t>
      </w:r>
    </w:p>
    <w:p w14:paraId="523D14C5" w14:textId="1EEF0307" w:rsidR="0072484A" w:rsidRPr="004A72CD" w:rsidRDefault="00AE5495">
      <w:pPr>
        <w:pStyle w:val="ListParagraph"/>
        <w:numPr>
          <w:ilvl w:val="0"/>
          <w:numId w:val="41"/>
        </w:numPr>
        <w:tabs>
          <w:tab w:val="left" w:pos="993"/>
        </w:tabs>
        <w:spacing w:line="276" w:lineRule="auto"/>
        <w:ind w:left="0" w:right="-2" w:firstLine="709"/>
        <w:jc w:val="both"/>
        <w:rPr>
          <w:rFonts w:asciiTheme="minorHAnsi" w:hAnsiTheme="minorHAnsi" w:cstheme="minorHAnsi"/>
          <w:sz w:val="26"/>
          <w:szCs w:val="26"/>
        </w:rPr>
      </w:pP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Regulamentul privind examenul de absolvire a Şcolii Naţionale de Grefieri;</w:t>
      </w:r>
    </w:p>
    <w:p w14:paraId="27CAC8DC" w14:textId="25B80FB3" w:rsidR="00AE5495" w:rsidRPr="004A72CD" w:rsidRDefault="00AE5495">
      <w:pPr>
        <w:pStyle w:val="ListParagraph"/>
        <w:numPr>
          <w:ilvl w:val="0"/>
          <w:numId w:val="41"/>
        </w:numPr>
        <w:tabs>
          <w:tab w:val="left" w:pos="993"/>
        </w:tabs>
        <w:spacing w:line="276" w:lineRule="auto"/>
        <w:ind w:left="0" w:right="-2" w:firstLine="709"/>
        <w:jc w:val="both"/>
        <w:rPr>
          <w:rFonts w:asciiTheme="minorHAnsi" w:hAnsiTheme="minorHAnsi" w:cstheme="minorHAnsi"/>
          <w:sz w:val="26"/>
          <w:szCs w:val="26"/>
        </w:rPr>
      </w:pP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Regulamentul privind organizarea şi desfăşurarea concursului pentru recrutarea grefierilor judiciari;</w:t>
      </w:r>
    </w:p>
    <w:p w14:paraId="29887976" w14:textId="10C41128" w:rsidR="00AE5495" w:rsidRPr="004A72CD" w:rsidRDefault="00AE5495">
      <w:pPr>
        <w:pStyle w:val="ListParagraph"/>
        <w:numPr>
          <w:ilvl w:val="0"/>
          <w:numId w:val="41"/>
        </w:numPr>
        <w:tabs>
          <w:tab w:val="left" w:pos="993"/>
        </w:tabs>
        <w:spacing w:line="276" w:lineRule="auto"/>
        <w:ind w:left="0" w:right="-2" w:firstLine="709"/>
        <w:jc w:val="both"/>
        <w:rPr>
          <w:rFonts w:asciiTheme="minorHAnsi" w:hAnsiTheme="minorHAnsi" w:cstheme="minorHAnsi"/>
          <w:sz w:val="26"/>
          <w:szCs w:val="26"/>
          <w14:shadow w14:blurRad="63500" w14:dist="50800" w14:dir="13500000" w14:sx="0" w14:sy="0" w14:kx="0" w14:ky="0" w14:algn="none">
            <w14:srgbClr w14:val="000000">
              <w14:alpha w14:val="50000"/>
            </w14:srgbClr>
          </w14:shadow>
        </w:rPr>
      </w:pP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Regulamentul privind concediile grefierilor şi ale altor categorii de personal care ocupă funcţii de specialitate în cadrul instanţelor judecătoreşti şi al parchetelor de pe lângă acestea;</w:t>
      </w:r>
    </w:p>
    <w:p w14:paraId="73A88007" w14:textId="0F4D486D" w:rsidR="00AE5495" w:rsidRPr="004A72CD" w:rsidRDefault="00AE5495">
      <w:pPr>
        <w:pStyle w:val="ListParagraph"/>
        <w:numPr>
          <w:ilvl w:val="0"/>
          <w:numId w:val="41"/>
        </w:numPr>
        <w:tabs>
          <w:tab w:val="left" w:pos="993"/>
        </w:tabs>
        <w:spacing w:line="276" w:lineRule="auto"/>
        <w:ind w:left="0" w:right="-2" w:firstLine="709"/>
        <w:jc w:val="both"/>
        <w:rPr>
          <w:rFonts w:asciiTheme="minorHAnsi" w:hAnsiTheme="minorHAnsi" w:cstheme="minorHAnsi"/>
          <w:sz w:val="26"/>
          <w:szCs w:val="26"/>
        </w:rPr>
      </w:pPr>
      <w:r w:rsidRPr="004A72CD">
        <w:rPr>
          <w:rFonts w:asciiTheme="minorHAnsi" w:hAnsiTheme="minorHAnsi" w:cstheme="minorHAnsi"/>
          <w:sz w:val="26"/>
          <w:szCs w:val="26"/>
        </w:rPr>
        <w:t>Regulamentul privind privind organizarea și desfășurarea concursului pentru recrutarea grefierilor, a specialiștilor IT, a specialiștilor criminaliști, a tehnicienilor criminaliști, a agenților procedurali și a șoferilor;</w:t>
      </w:r>
    </w:p>
    <w:p w14:paraId="2244766B" w14:textId="52FEDFC7" w:rsidR="00AE5495" w:rsidRPr="004A72CD" w:rsidRDefault="00AE5495">
      <w:pPr>
        <w:pStyle w:val="ListParagraph"/>
        <w:numPr>
          <w:ilvl w:val="0"/>
          <w:numId w:val="41"/>
        </w:numPr>
        <w:tabs>
          <w:tab w:val="left" w:pos="993"/>
        </w:tabs>
        <w:spacing w:line="276" w:lineRule="auto"/>
        <w:ind w:left="0" w:right="-2" w:firstLine="709"/>
        <w:jc w:val="both"/>
        <w:rPr>
          <w:rFonts w:asciiTheme="minorHAnsi" w:hAnsiTheme="minorHAnsi" w:cstheme="minorHAnsi"/>
          <w:sz w:val="26"/>
          <w:szCs w:val="26"/>
          <w14:shadow w14:blurRad="63500" w14:dist="50800" w14:dir="13500000" w14:sx="0" w14:sy="0" w14:kx="0" w14:ky="0" w14:algn="none">
            <w14:srgbClr w14:val="000000">
              <w14:alpha w14:val="50000"/>
            </w14:srgbClr>
          </w14:shadow>
        </w:rPr>
      </w:pP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Regulamentul privind organizarea şi desfăşurarea concursului pentru recrutarea grefierilor de şedinţă şi a grefierilor principali;</w:t>
      </w:r>
    </w:p>
    <w:p w14:paraId="377FB3AC" w14:textId="20564B13" w:rsidR="00AE5495" w:rsidRPr="004A72CD" w:rsidRDefault="00AE5495">
      <w:pPr>
        <w:pStyle w:val="ListParagraph"/>
        <w:numPr>
          <w:ilvl w:val="0"/>
          <w:numId w:val="41"/>
        </w:numPr>
        <w:tabs>
          <w:tab w:val="left" w:pos="993"/>
        </w:tabs>
        <w:spacing w:line="276" w:lineRule="auto"/>
        <w:ind w:left="0" w:right="-2" w:firstLine="709"/>
        <w:jc w:val="both"/>
        <w:rPr>
          <w:rFonts w:asciiTheme="minorHAnsi" w:hAnsiTheme="minorHAnsi" w:cstheme="minorHAnsi"/>
          <w:sz w:val="26"/>
          <w:szCs w:val="26"/>
          <w14:shadow w14:blurRad="63500" w14:dist="50800" w14:dir="13500000" w14:sx="0" w14:sy="0" w14:kx="0" w14:ky="0" w14:algn="none">
            <w14:srgbClr w14:val="000000">
              <w14:alpha w14:val="50000"/>
            </w14:srgbClr>
          </w14:shadow>
        </w:rPr>
      </w:pP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Regulamentul privind delegarea, detaşarea şi transferul grefierilor şi ale altor categorii de personal care ocupă funcţii de specialitate în cadrul instanţelor judecătoreşti;</w:t>
      </w:r>
    </w:p>
    <w:p w14:paraId="391CAE4B" w14:textId="06ED06F1" w:rsidR="00AE5495" w:rsidRPr="004A72CD" w:rsidRDefault="00AE5495">
      <w:pPr>
        <w:pStyle w:val="ListParagraph"/>
        <w:numPr>
          <w:ilvl w:val="0"/>
          <w:numId w:val="41"/>
        </w:numPr>
        <w:tabs>
          <w:tab w:val="left" w:pos="993"/>
        </w:tabs>
        <w:spacing w:line="276" w:lineRule="auto"/>
        <w:ind w:left="0" w:right="-2" w:firstLine="709"/>
        <w:jc w:val="both"/>
        <w:rPr>
          <w:rFonts w:asciiTheme="minorHAnsi" w:hAnsiTheme="minorHAnsi" w:cstheme="minorHAnsi"/>
          <w:sz w:val="26"/>
          <w:szCs w:val="26"/>
        </w:rPr>
      </w:pP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Regulamentul privind delegarea, detaşarea şi transferul grefierilor şi ale altor categorii de personal care ocupă funcţii de specialitate în cadrul parchetelor de pe lângă instanţele judecătoreşti. </w:t>
      </w:r>
    </w:p>
    <w:p w14:paraId="1C5740CD" w14:textId="486BC957" w:rsidR="00AE5495" w:rsidRPr="004A72CD" w:rsidRDefault="00AE5495" w:rsidP="00F313A6">
      <w:pPr>
        <w:spacing w:line="276" w:lineRule="auto"/>
        <w:ind w:right="-2" w:firstLine="709"/>
        <w:jc w:val="both"/>
        <w:rPr>
          <w:rFonts w:asciiTheme="minorHAnsi" w:hAnsiTheme="minorHAnsi" w:cstheme="minorHAnsi"/>
          <w:iCs/>
          <w:sz w:val="26"/>
          <w:szCs w:val="26"/>
          <w14:shadow w14:blurRad="63500" w14:dist="50800" w14:dir="13500000" w14:sx="0" w14:sy="0" w14:kx="0" w14:ky="0" w14:algn="none">
            <w14:srgbClr w14:val="000000">
              <w14:alpha w14:val="50000"/>
            </w14:srgbClr>
          </w14:shadow>
        </w:rPr>
      </w:pPr>
      <w:r w:rsidRPr="004A72CD">
        <w:rPr>
          <w:rFonts w:asciiTheme="minorHAnsi" w:hAnsiTheme="minorHAnsi" w:cstheme="minorHAnsi"/>
          <w:bCs/>
          <w:sz w:val="26"/>
          <w:szCs w:val="26"/>
        </w:rPr>
        <w:t xml:space="preserve">Dat fiind rolul Consiliului Superior al Magistraturii în îndeplinirea condiționalităților stabilite prin mecanismul de monitorizare al Strategiei Naționale Anticorupție 2021 - 2025, raportările privind implementarea noii strategii sunt centralizate la nivelul Consiliului pentru întregul sistem </w:t>
      </w:r>
      <w:r w:rsidRPr="004A72CD">
        <w:rPr>
          <w:rFonts w:asciiTheme="minorHAnsi" w:hAnsiTheme="minorHAnsi" w:cstheme="minorHAnsi"/>
          <w:bCs/>
          <w:sz w:val="26"/>
          <w:szCs w:val="26"/>
        </w:rPr>
        <w:lastRenderedPageBreak/>
        <w:t>judiciar și ulterior transmise Secretariatului tehnic al S</w:t>
      </w:r>
      <w:r w:rsidR="0007472A" w:rsidRPr="004A72CD">
        <w:rPr>
          <w:rFonts w:asciiTheme="minorHAnsi" w:hAnsiTheme="minorHAnsi" w:cstheme="minorHAnsi"/>
          <w:bCs/>
          <w:sz w:val="26"/>
          <w:szCs w:val="26"/>
        </w:rPr>
        <w:t>.</w:t>
      </w:r>
      <w:r w:rsidRPr="004A72CD">
        <w:rPr>
          <w:rFonts w:asciiTheme="minorHAnsi" w:hAnsiTheme="minorHAnsi" w:cstheme="minorHAnsi"/>
          <w:bCs/>
          <w:sz w:val="26"/>
          <w:szCs w:val="26"/>
        </w:rPr>
        <w:t>N</w:t>
      </w:r>
      <w:r w:rsidR="0007472A" w:rsidRPr="004A72CD">
        <w:rPr>
          <w:rFonts w:asciiTheme="minorHAnsi" w:hAnsiTheme="minorHAnsi" w:cstheme="minorHAnsi"/>
          <w:bCs/>
          <w:sz w:val="26"/>
          <w:szCs w:val="26"/>
        </w:rPr>
        <w:t>.</w:t>
      </w:r>
      <w:r w:rsidRPr="004A72CD">
        <w:rPr>
          <w:rFonts w:asciiTheme="minorHAnsi" w:hAnsiTheme="minorHAnsi" w:cstheme="minorHAnsi"/>
          <w:bCs/>
          <w:sz w:val="26"/>
          <w:szCs w:val="26"/>
        </w:rPr>
        <w:t>A</w:t>
      </w:r>
      <w:r w:rsidR="0007472A" w:rsidRPr="004A72CD">
        <w:rPr>
          <w:rFonts w:asciiTheme="minorHAnsi" w:hAnsiTheme="minorHAnsi" w:cstheme="minorHAnsi"/>
          <w:bCs/>
          <w:sz w:val="26"/>
          <w:szCs w:val="26"/>
        </w:rPr>
        <w:t>.</w:t>
      </w:r>
      <w:r w:rsidRPr="004A72CD">
        <w:rPr>
          <w:rFonts w:asciiTheme="minorHAnsi" w:hAnsiTheme="minorHAnsi" w:cstheme="minorHAnsi"/>
          <w:bCs/>
          <w:sz w:val="26"/>
          <w:szCs w:val="26"/>
        </w:rPr>
        <w:t xml:space="preserve"> din cadrul Ministerului Justiţiei. În acest context, cu adresa nr. 908 din data de 11 martie 2024, Consiliul a comunicat Ministerul</w:t>
      </w:r>
      <w:r w:rsidR="00DF2B47" w:rsidRPr="004A72CD">
        <w:rPr>
          <w:rFonts w:asciiTheme="minorHAnsi" w:hAnsiTheme="minorHAnsi" w:cstheme="minorHAnsi"/>
          <w:bCs/>
          <w:sz w:val="26"/>
          <w:szCs w:val="26"/>
        </w:rPr>
        <w:t>ui</w:t>
      </w:r>
      <w:r w:rsidRPr="004A72CD">
        <w:rPr>
          <w:rFonts w:asciiTheme="minorHAnsi" w:hAnsiTheme="minorHAnsi" w:cstheme="minorHAnsi"/>
          <w:bCs/>
          <w:sz w:val="26"/>
          <w:szCs w:val="26"/>
        </w:rPr>
        <w:t xml:space="preserve"> Justiţiei </w:t>
      </w:r>
      <w:r w:rsidRPr="004A72CD">
        <w:rPr>
          <w:rFonts w:asciiTheme="minorHAnsi" w:hAnsiTheme="minorHAnsi" w:cstheme="minorHAnsi"/>
          <w:iCs/>
          <w:sz w:val="26"/>
          <w:szCs w:val="26"/>
          <w14:shadow w14:blurRad="63500" w14:dist="50800" w14:dir="13500000" w14:sx="0" w14:sy="0" w14:kx="0" w14:ky="0" w14:algn="none">
            <w14:srgbClr w14:val="000000">
              <w14:alpha w14:val="50000"/>
            </w14:srgbClr>
          </w14:shadow>
        </w:rPr>
        <w:t>Raportul narativ referitor la stadiul implementării măsurilor prevăzute în S</w:t>
      </w:r>
      <w:r w:rsidR="0007472A" w:rsidRPr="004A72CD">
        <w:rPr>
          <w:rFonts w:asciiTheme="minorHAnsi" w:hAnsiTheme="minorHAnsi" w:cstheme="minorHAnsi"/>
          <w:iCs/>
          <w:sz w:val="26"/>
          <w:szCs w:val="26"/>
          <w14:shadow w14:blurRad="63500" w14:dist="50800" w14:dir="13500000" w14:sx="0" w14:sy="0" w14:kx="0" w14:ky="0" w14:algn="none">
            <w14:srgbClr w14:val="000000">
              <w14:alpha w14:val="50000"/>
            </w14:srgbClr>
          </w14:shadow>
        </w:rPr>
        <w:t>.</w:t>
      </w:r>
      <w:r w:rsidRPr="004A72CD">
        <w:rPr>
          <w:rFonts w:asciiTheme="minorHAnsi" w:hAnsiTheme="minorHAnsi" w:cstheme="minorHAnsi"/>
          <w:iCs/>
          <w:sz w:val="26"/>
          <w:szCs w:val="26"/>
          <w14:shadow w14:blurRad="63500" w14:dist="50800" w14:dir="13500000" w14:sx="0" w14:sy="0" w14:kx="0" w14:ky="0" w14:algn="none">
            <w14:srgbClr w14:val="000000">
              <w14:alpha w14:val="50000"/>
            </w14:srgbClr>
          </w14:shadow>
        </w:rPr>
        <w:t>N</w:t>
      </w:r>
      <w:r w:rsidR="0007472A" w:rsidRPr="004A72CD">
        <w:rPr>
          <w:rFonts w:asciiTheme="minorHAnsi" w:hAnsiTheme="minorHAnsi" w:cstheme="minorHAnsi"/>
          <w:iCs/>
          <w:sz w:val="26"/>
          <w:szCs w:val="26"/>
          <w14:shadow w14:blurRad="63500" w14:dist="50800" w14:dir="13500000" w14:sx="0" w14:sy="0" w14:kx="0" w14:ky="0" w14:algn="none">
            <w14:srgbClr w14:val="000000">
              <w14:alpha w14:val="50000"/>
            </w14:srgbClr>
          </w14:shadow>
        </w:rPr>
        <w:t>.</w:t>
      </w:r>
      <w:r w:rsidRPr="004A72CD">
        <w:rPr>
          <w:rFonts w:asciiTheme="minorHAnsi" w:hAnsiTheme="minorHAnsi" w:cstheme="minorHAnsi"/>
          <w:iCs/>
          <w:sz w:val="26"/>
          <w:szCs w:val="26"/>
          <w14:shadow w14:blurRad="63500" w14:dist="50800" w14:dir="13500000" w14:sx="0" w14:sy="0" w14:kx="0" w14:ky="0" w14:algn="none">
            <w14:srgbClr w14:val="000000">
              <w14:alpha w14:val="50000"/>
            </w14:srgbClr>
          </w14:shadow>
        </w:rPr>
        <w:t>A</w:t>
      </w:r>
      <w:r w:rsidR="0007472A" w:rsidRPr="004A72CD">
        <w:rPr>
          <w:rFonts w:asciiTheme="minorHAnsi" w:hAnsiTheme="minorHAnsi" w:cstheme="minorHAnsi"/>
          <w:iCs/>
          <w:sz w:val="26"/>
          <w:szCs w:val="26"/>
          <w14:shadow w14:blurRad="63500" w14:dist="50800" w14:dir="13500000" w14:sx="0" w14:sy="0" w14:kx="0" w14:ky="0" w14:algn="none">
            <w14:srgbClr w14:val="000000">
              <w14:alpha w14:val="50000"/>
            </w14:srgbClr>
          </w14:shadow>
        </w:rPr>
        <w:t>.</w:t>
      </w:r>
      <w:r w:rsidRPr="004A72CD">
        <w:rPr>
          <w:rFonts w:asciiTheme="minorHAnsi" w:hAnsiTheme="minorHAnsi" w:cstheme="minorHAnsi"/>
          <w:iCs/>
          <w:sz w:val="26"/>
          <w:szCs w:val="26"/>
          <w14:shadow w14:blurRad="63500" w14:dist="50800" w14:dir="13500000" w14:sx="0" w14:sy="0" w14:kx="0" w14:ky="0" w14:algn="none">
            <w14:srgbClr w14:val="000000">
              <w14:alpha w14:val="50000"/>
            </w14:srgbClr>
          </w14:shadow>
        </w:rPr>
        <w:t xml:space="preserve"> ce revin în sarcina autorităților și instituțiilor publice din sistemul judiciar</w:t>
      </w:r>
      <w:r w:rsidRPr="004A72CD">
        <w:rPr>
          <w:rFonts w:asciiTheme="minorHAnsi" w:hAnsiTheme="minorHAnsi" w:cstheme="minorHAnsi"/>
          <w:sz w:val="26"/>
          <w:szCs w:val="26"/>
        </w:rPr>
        <w:t xml:space="preserve"> </w:t>
      </w:r>
      <w:r w:rsidRPr="004A72CD">
        <w:rPr>
          <w:rFonts w:asciiTheme="minorHAnsi" w:hAnsiTheme="minorHAnsi" w:cstheme="minorHAnsi"/>
          <w:iCs/>
          <w:sz w:val="26"/>
          <w:szCs w:val="26"/>
          <w14:shadow w14:blurRad="63500" w14:dist="50800" w14:dir="13500000" w14:sx="0" w14:sy="0" w14:kx="0" w14:ky="0" w14:algn="none">
            <w14:srgbClr w14:val="000000">
              <w14:alpha w14:val="50000"/>
            </w14:srgbClr>
          </w14:shadow>
        </w:rPr>
        <w:t>pentru anul 2023, împreună cu 17 fișe de raportare; Inventarul măsurilor de transparență instituțională și de prevenire a corupției, precum și indicatorii de evaluare la nivelul sistemului judiciar, pentru anul 2023.</w:t>
      </w:r>
    </w:p>
    <w:p w14:paraId="5A5DABDF" w14:textId="61113BBE" w:rsidR="00AE5495" w:rsidRPr="004A72CD" w:rsidRDefault="00AE5495" w:rsidP="00F313A6">
      <w:pPr>
        <w:spacing w:line="276" w:lineRule="auto"/>
        <w:ind w:right="-2" w:firstLine="709"/>
        <w:jc w:val="both"/>
        <w:rPr>
          <w:rFonts w:asciiTheme="minorHAnsi" w:hAnsiTheme="minorHAnsi" w:cstheme="minorHAnsi"/>
          <w:sz w:val="26"/>
          <w:szCs w:val="26"/>
          <w14:shadow w14:blurRad="63500" w14:dist="50800" w14:dir="13500000" w14:sx="0" w14:sy="0" w14:kx="0" w14:ky="0" w14:algn="none">
            <w14:srgbClr w14:val="000000">
              <w14:alpha w14:val="50000"/>
            </w14:srgbClr>
          </w14:shadow>
        </w:rPr>
      </w:pPr>
      <w:r w:rsidRPr="004A72CD">
        <w:rPr>
          <w:rFonts w:asciiTheme="minorHAnsi" w:hAnsiTheme="minorHAnsi" w:cstheme="minorHAnsi"/>
          <w:bCs/>
          <w:sz w:val="26"/>
          <w:szCs w:val="26"/>
        </w:rPr>
        <w:t xml:space="preserve">Cu adresa nr. 1947 din data de 11 martie 2024 au fost comunicate Ministerului Justiţiei </w:t>
      </w: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progresele înregistrate în implementarea măsurilor prevăzute de Strategia naţională privind recuperarea creanţelor provenite din infracţiuni pentru perioada 2021 - 2025 </w:t>
      </w:r>
      <w:r w:rsidR="0070034C"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w:t>
      </w: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Criminalitatea nu este profitabilă!" în responsabilitatea Consiliului.</w:t>
      </w:r>
    </w:p>
    <w:p w14:paraId="56977B14" w14:textId="6E6C875E"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Serviciul legislaţie şi documentare a comunicat compartimentului abilitat din cadrul Consiliului, cu adresele nr. 4898 din data de 02 aprilie </w:t>
      </w:r>
      <w:r w:rsidR="00A939C1"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2</w:t>
      </w: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024 şi nr. 5862 din data de 08 aprilie 2024, informaţiile </w:t>
      </w:r>
      <w:r w:rsidRPr="004A72CD">
        <w:rPr>
          <w:rFonts w:asciiTheme="minorHAnsi" w:hAnsiTheme="minorHAnsi" w:cstheme="minorHAnsi"/>
          <w:sz w:val="26"/>
          <w:szCs w:val="26"/>
        </w:rPr>
        <w:t>vizând proiectul de raport de evaluare a cadrului legal, instituțional și a practicilor naționale în domeniul integrității publice, întocmit de Secretariatul Organizației pentru Cooperare și Dezvoltare Economică, respectiv pe cele vizând proiectul de raport de evaluare a României în cadrul procedurii de aderare la Organizația pentru Cooperare și Dezvoltare Economică, raportat la competenţele serviciului.</w:t>
      </w:r>
    </w:p>
    <w:p w14:paraId="0C598BC8" w14:textId="44C0373D" w:rsidR="00AE5495"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Serviciul legislaţie şi documentare a comunicat</w:t>
      </w:r>
      <w:r w:rsidRPr="004A72CD">
        <w:rPr>
          <w:rFonts w:asciiTheme="minorHAnsi" w:hAnsiTheme="minorHAnsi" w:cstheme="minorHAnsi"/>
          <w:b/>
          <w:sz w:val="26"/>
          <w:szCs w:val="26"/>
        </w:rPr>
        <w:t xml:space="preserve"> </w:t>
      </w: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compartimentului abilitat din cadrul Consiliului, cu adresa nr. 13254 din data de 12 august 2024, </w:t>
      </w:r>
      <w:r w:rsidRPr="004A72CD">
        <w:rPr>
          <w:rFonts w:asciiTheme="minorHAnsi" w:hAnsiTheme="minorHAnsi" w:cstheme="minorHAnsi"/>
          <w:sz w:val="26"/>
          <w:szCs w:val="26"/>
        </w:rPr>
        <w:t>informaţii vizând stadiul de implementare a măsurilor prevăzute în Planul de acţiune 2024 - 2029 privind executarea hotărârilor C</w:t>
      </w:r>
      <w:r w:rsidR="0043072B">
        <w:rPr>
          <w:rFonts w:asciiTheme="minorHAnsi" w:hAnsiTheme="minorHAnsi" w:cstheme="minorHAnsi"/>
          <w:sz w:val="26"/>
          <w:szCs w:val="26"/>
        </w:rPr>
        <w:t>.</w:t>
      </w:r>
      <w:r w:rsidRPr="004A72CD">
        <w:rPr>
          <w:rFonts w:asciiTheme="minorHAnsi" w:hAnsiTheme="minorHAnsi" w:cstheme="minorHAnsi"/>
          <w:sz w:val="26"/>
          <w:szCs w:val="26"/>
        </w:rPr>
        <w:t>E</w:t>
      </w:r>
      <w:r w:rsidR="0043072B">
        <w:rPr>
          <w:rFonts w:asciiTheme="minorHAnsi" w:hAnsiTheme="minorHAnsi" w:cstheme="minorHAnsi"/>
          <w:sz w:val="26"/>
          <w:szCs w:val="26"/>
        </w:rPr>
        <w:t>.</w:t>
      </w:r>
      <w:r w:rsidRPr="004A72CD">
        <w:rPr>
          <w:rFonts w:asciiTheme="minorHAnsi" w:hAnsiTheme="minorHAnsi" w:cstheme="minorHAnsi"/>
          <w:sz w:val="26"/>
          <w:szCs w:val="26"/>
        </w:rPr>
        <w:t>D</w:t>
      </w:r>
      <w:r w:rsidR="0043072B">
        <w:rPr>
          <w:rFonts w:asciiTheme="minorHAnsi" w:hAnsiTheme="minorHAnsi" w:cstheme="minorHAnsi"/>
          <w:sz w:val="26"/>
          <w:szCs w:val="26"/>
        </w:rPr>
        <w:t>.</w:t>
      </w:r>
      <w:r w:rsidRPr="004A72CD">
        <w:rPr>
          <w:rFonts w:asciiTheme="minorHAnsi" w:hAnsiTheme="minorHAnsi" w:cstheme="minorHAnsi"/>
          <w:sz w:val="26"/>
          <w:szCs w:val="26"/>
        </w:rPr>
        <w:t>O</w:t>
      </w:r>
      <w:r w:rsidR="0043072B">
        <w:rPr>
          <w:rFonts w:asciiTheme="minorHAnsi" w:hAnsiTheme="minorHAnsi" w:cstheme="minorHAnsi"/>
          <w:sz w:val="26"/>
          <w:szCs w:val="26"/>
        </w:rPr>
        <w:t>.</w:t>
      </w:r>
      <w:r w:rsidRPr="004A72CD">
        <w:rPr>
          <w:rFonts w:asciiTheme="minorHAnsi" w:hAnsiTheme="minorHAnsi" w:cstheme="minorHAnsi"/>
          <w:sz w:val="26"/>
          <w:szCs w:val="26"/>
        </w:rPr>
        <w:t xml:space="preserve"> în domeniul sănătăţii mintale, care se circumscriu atribuţiilor şi competenţelor Consiliului Superior al Magistraturii.</w:t>
      </w:r>
    </w:p>
    <w:p w14:paraId="246D16D8" w14:textId="43F8880C" w:rsidR="0043072B" w:rsidRPr="0043072B" w:rsidRDefault="0043072B" w:rsidP="0043072B">
      <w:pPr>
        <w:spacing w:line="276" w:lineRule="auto"/>
        <w:ind w:firstLine="601"/>
        <w:jc w:val="both"/>
        <w:rPr>
          <w:rFonts w:ascii="Calibri" w:eastAsia="Calibri" w:hAnsi="Calibri" w:cs="Calibri"/>
          <w:bCs/>
          <w:noProof w:val="0"/>
          <w:sz w:val="26"/>
          <w:szCs w:val="26"/>
        </w:rPr>
      </w:pPr>
      <w:r w:rsidRPr="0043072B">
        <w:rPr>
          <w:rFonts w:ascii="Calibri" w:eastAsia="Calibri" w:hAnsi="Calibri" w:cs="Calibri"/>
          <w:noProof w:val="0"/>
          <w:sz w:val="26"/>
          <w:szCs w:val="26"/>
          <w14:shadow w14:blurRad="63500" w14:dist="50800" w14:dir="13500000" w14:sx="0" w14:sy="0" w14:kx="0" w14:ky="0" w14:algn="none">
            <w14:srgbClr w14:val="000000">
              <w14:alpha w14:val="50000"/>
            </w14:srgbClr>
          </w14:shadow>
        </w:rPr>
        <w:t>În contextul elaborării contribuţiei pentru Raportul Rule of Law gestionat de Ministerul Justiţiei, Serviciul legislaţie şi documentare a comunicat</w:t>
      </w:r>
      <w:r w:rsidRPr="00DA3EDD">
        <w:rPr>
          <w:rFonts w:ascii="Calibri" w:eastAsia="Calibri" w:hAnsi="Calibri" w:cs="Calibri"/>
          <w:b/>
          <w:noProof w:val="0"/>
          <w:sz w:val="26"/>
          <w:szCs w:val="26"/>
        </w:rPr>
        <w:t xml:space="preserve"> </w:t>
      </w:r>
      <w:r w:rsidRPr="0043072B">
        <w:rPr>
          <w:rFonts w:ascii="Calibri" w:eastAsia="Calibri" w:hAnsi="Calibri" w:cs="Calibri"/>
          <w:noProof w:val="0"/>
          <w:sz w:val="26"/>
          <w:szCs w:val="26"/>
          <w14:shadow w14:blurRad="63500" w14:dist="50800" w14:dir="13500000" w14:sx="0" w14:sy="0" w14:kx="0" w14:ky="0" w14:algn="none">
            <w14:srgbClr w14:val="000000">
              <w14:alpha w14:val="50000"/>
            </w14:srgbClr>
          </w14:shadow>
        </w:rPr>
        <w:t>compartimentului abilitat din cadrul Consiliului, cu adresa nr. 20605/2024 din data de 16.12.2024, informaţiile necesare pentru a răspunde chestionarului elaborat de Reţeaua Europeană a Consiliilor Judiciare (Mecanismul Uniunii Europene privind evaluarea sistemelor judiciare din statele membre din perspectiva statului de drept).</w:t>
      </w:r>
    </w:p>
    <w:p w14:paraId="62541F24" w14:textId="77777777" w:rsidR="00AE5495" w:rsidRPr="004A72CD" w:rsidRDefault="00AE5495" w:rsidP="00F313A6">
      <w:pPr>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Serviciul legislație şi documentare a întocmit şi note sau puncte de vedere referitoare la cereri de apărare a independenţei judecătorilor sau cereri de apărare a independenţei autorităţii judecătoreşti în ansamblul său. </w:t>
      </w:r>
    </w:p>
    <w:p w14:paraId="503B9DB7" w14:textId="77777777" w:rsidR="00AE5495" w:rsidRPr="004A72CD" w:rsidRDefault="00AE5495" w:rsidP="00F313A6">
      <w:pPr>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De asemenea, Serviciul legislație şi documentare a transmis atât Institutului Naţional al Magistraturii, cât şi curţilor de apel şi parchetelor de pe lângă curţile de apel hotărâri pronunțate de Curtea Europeană a Drepturilor Omului în cauzele în care s-au constatat încălcări ale Convenţiei pentru apărarea drepturilor omului şi a libertăţilor fundamentale de către Statul român, în vederea diseminării acestora în cadrul activităților de formare și pregătire profesională inițială și continuă, derulate în mod descentralizat sau organizate de Institutul Național al Magistraturii, respectiv în cadrul întâlnirilor profesionale periodice.</w:t>
      </w:r>
    </w:p>
    <w:p w14:paraId="1A1E5611" w14:textId="77777777" w:rsidR="00AE5495" w:rsidRPr="004A72CD" w:rsidRDefault="00AE5495" w:rsidP="00F313A6">
      <w:pPr>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Nu în ultimul rând, Serviciul legislaţie şi documentare a întocmit puncte de vedere în legătură cu incompatibilitățile şi interdicțiile funcției de judecător şi procuror, la solicitarea acestora.</w:t>
      </w:r>
    </w:p>
    <w:p w14:paraId="18D882D3" w14:textId="77777777" w:rsidR="00AE5495" w:rsidRPr="004A72CD" w:rsidRDefault="00AE5495" w:rsidP="00F313A6">
      <w:pPr>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Conform prevederilor art. 95 alin. (2) lit. f) din Regulamentul de organizare și funcționare a Consiliului Superior al Magistraturii, aprobat prin Hotărârea Plenului Consiliului Superior al </w:t>
      </w:r>
      <w:r w:rsidRPr="004A72CD">
        <w:rPr>
          <w:rFonts w:asciiTheme="minorHAnsi" w:hAnsiTheme="minorHAnsi" w:cstheme="minorHAnsi"/>
          <w:sz w:val="26"/>
          <w:szCs w:val="26"/>
        </w:rPr>
        <w:lastRenderedPageBreak/>
        <w:t xml:space="preserve">Magistraturii nr. 122/06.07.2023, una dintre atribuțiile </w:t>
      </w:r>
      <w:r w:rsidRPr="004A72CD">
        <w:rPr>
          <w:rFonts w:asciiTheme="minorHAnsi" w:hAnsiTheme="minorHAnsi" w:cstheme="minorHAnsi"/>
          <w:iCs/>
          <w:sz w:val="26"/>
          <w:szCs w:val="26"/>
        </w:rPr>
        <w:t>Serviciului contencios</w:t>
      </w:r>
      <w:r w:rsidRPr="004A72CD">
        <w:rPr>
          <w:rFonts w:asciiTheme="minorHAnsi" w:hAnsiTheme="minorHAnsi" w:cstheme="minorHAnsi"/>
          <w:sz w:val="26"/>
          <w:szCs w:val="26"/>
        </w:rPr>
        <w:t xml:space="preserve"> este aceea de a întocmi lucrările referitoare la plângerile prealabile </w:t>
      </w:r>
      <w:r w:rsidRPr="004A72CD">
        <w:rPr>
          <w:rFonts w:asciiTheme="minorHAnsi" w:hAnsiTheme="minorHAnsi" w:cstheme="minorHAnsi"/>
          <w:sz w:val="26"/>
          <w:szCs w:val="26"/>
          <w:shd w:val="clear" w:color="auto" w:fill="FFFFFF"/>
        </w:rPr>
        <w:t>formulate împotriva hotărârilor secțiilor de către alte persoane decât judecătorii sau procurorii vizați de acestea şi la cele formulate împotriva hotărârilor Plenului Consiliului</w:t>
      </w:r>
      <w:r w:rsidRPr="004A72CD">
        <w:rPr>
          <w:rFonts w:asciiTheme="minorHAnsi" w:hAnsiTheme="minorHAnsi" w:cstheme="minorHAnsi"/>
          <w:sz w:val="26"/>
          <w:szCs w:val="26"/>
        </w:rPr>
        <w:t>.</w:t>
      </w:r>
    </w:p>
    <w:p w14:paraId="451F986B" w14:textId="3D7B2061" w:rsidR="00AE5495" w:rsidRPr="004A72CD" w:rsidRDefault="00AE5495" w:rsidP="00F313A6">
      <w:pPr>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bCs/>
          <w:sz w:val="26"/>
          <w:szCs w:val="26"/>
        </w:rPr>
        <w:t xml:space="preserve">De asemenea, potrivit </w:t>
      </w:r>
      <w:r w:rsidRPr="004A72CD">
        <w:rPr>
          <w:rFonts w:asciiTheme="minorHAnsi" w:hAnsiTheme="minorHAnsi" w:cstheme="minorHAnsi"/>
          <w:sz w:val="26"/>
          <w:szCs w:val="26"/>
        </w:rPr>
        <w:t xml:space="preserve">prevederilor articolului 95 alin. (2) lit. a), b), c), d) şi e) din Regulamentul de organizare şi funcţionare a Consiliului Superior al Magistraturii, Serviciul contencios </w:t>
      </w:r>
      <w:r w:rsidRPr="004A72CD">
        <w:rPr>
          <w:rFonts w:asciiTheme="minorHAnsi" w:hAnsiTheme="minorHAnsi" w:cstheme="minorHAnsi"/>
          <w:sz w:val="26"/>
          <w:szCs w:val="26"/>
          <w:shd w:val="clear" w:color="auto" w:fill="FFFFFF"/>
        </w:rPr>
        <w:t>avizează din punct de vedere al legalităţii orice măsură de natură să angajeze răspunderea patrimonială a ordonatorului principal de credite şi, dacă este cazul, formulează puncte de vedere pe aceste aspecte</w:t>
      </w:r>
      <w:r w:rsidRPr="004A72CD">
        <w:rPr>
          <w:rFonts w:asciiTheme="minorHAnsi" w:hAnsiTheme="minorHAnsi" w:cstheme="minorHAnsi"/>
          <w:sz w:val="26"/>
          <w:szCs w:val="26"/>
        </w:rPr>
        <w:t xml:space="preserve">, </w:t>
      </w:r>
      <w:r w:rsidRPr="004A72CD">
        <w:rPr>
          <w:rFonts w:asciiTheme="minorHAnsi" w:hAnsiTheme="minorHAnsi" w:cstheme="minorHAnsi"/>
          <w:sz w:val="26"/>
          <w:szCs w:val="26"/>
          <w:shd w:val="clear" w:color="auto" w:fill="FFFFFF"/>
        </w:rPr>
        <w:t xml:space="preserve">avizează din punct de vedere al legalităţii orice măsură care ar putea aduce atingere drepturilor Consiliului, </w:t>
      </w:r>
      <w:r w:rsidRPr="004A72CD">
        <w:rPr>
          <w:rFonts w:asciiTheme="minorHAnsi" w:hAnsiTheme="minorHAnsi" w:cstheme="minorHAnsi"/>
          <w:sz w:val="26"/>
          <w:szCs w:val="26"/>
          <w:bdr w:val="none" w:sz="0" w:space="0" w:color="auto" w:frame="1"/>
          <w:shd w:val="clear" w:color="auto" w:fill="FFFFFF"/>
        </w:rPr>
        <w:t>avizează contractele încheiate de Consiliu în calitate de ordonator principal de credite, referatul de necesitate care se întocmeşte în conformitate cu H</w:t>
      </w:r>
      <w:r w:rsidR="00F717A9" w:rsidRPr="004A72CD">
        <w:rPr>
          <w:rFonts w:asciiTheme="minorHAnsi" w:hAnsiTheme="minorHAnsi" w:cstheme="minorHAnsi"/>
          <w:sz w:val="26"/>
          <w:szCs w:val="26"/>
          <w:bdr w:val="none" w:sz="0" w:space="0" w:color="auto" w:frame="1"/>
          <w:shd w:val="clear" w:color="auto" w:fill="FFFFFF"/>
        </w:rPr>
        <w:t xml:space="preserve">otărârea </w:t>
      </w:r>
      <w:r w:rsidRPr="004A72CD">
        <w:rPr>
          <w:rFonts w:asciiTheme="minorHAnsi" w:hAnsiTheme="minorHAnsi" w:cstheme="minorHAnsi"/>
          <w:sz w:val="26"/>
          <w:szCs w:val="26"/>
          <w:bdr w:val="none" w:sz="0" w:space="0" w:color="auto" w:frame="1"/>
          <w:shd w:val="clear" w:color="auto" w:fill="FFFFFF"/>
        </w:rPr>
        <w:t>G</w:t>
      </w:r>
      <w:r w:rsidR="00F717A9" w:rsidRPr="004A72CD">
        <w:rPr>
          <w:rFonts w:asciiTheme="minorHAnsi" w:hAnsiTheme="minorHAnsi" w:cstheme="minorHAnsi"/>
          <w:sz w:val="26"/>
          <w:szCs w:val="26"/>
          <w:bdr w:val="none" w:sz="0" w:space="0" w:color="auto" w:frame="1"/>
          <w:shd w:val="clear" w:color="auto" w:fill="FFFFFF"/>
        </w:rPr>
        <w:t>uvernului</w:t>
      </w:r>
      <w:r w:rsidRPr="004A72CD">
        <w:rPr>
          <w:rFonts w:asciiTheme="minorHAnsi" w:hAnsiTheme="minorHAnsi" w:cstheme="minorHAnsi"/>
          <w:sz w:val="26"/>
          <w:szCs w:val="26"/>
          <w:bdr w:val="none" w:sz="0" w:space="0" w:color="auto" w:frame="1"/>
          <w:shd w:val="clear" w:color="auto" w:fill="FFFFFF"/>
        </w:rPr>
        <w:t xml:space="preserve"> nr. 395/2016, strategia de contractare privind achiziţia de servicii, precum şi contractele de achiziţie publică/acordul-cadru, </w:t>
      </w:r>
      <w:r w:rsidRPr="004A72CD">
        <w:rPr>
          <w:rFonts w:asciiTheme="minorHAnsi" w:hAnsiTheme="minorHAnsi" w:cstheme="minorHAnsi"/>
          <w:sz w:val="26"/>
          <w:szCs w:val="26"/>
          <w:shd w:val="clear" w:color="auto" w:fill="FFFFFF"/>
        </w:rPr>
        <w:t>avizează, la solicitarea unităţilor aflate în coordonarea Consiliului, contractele încheiate de acestea</w:t>
      </w:r>
      <w:r w:rsidRPr="004A72CD">
        <w:rPr>
          <w:rFonts w:asciiTheme="minorHAnsi" w:hAnsiTheme="minorHAnsi" w:cstheme="minorHAnsi"/>
          <w:sz w:val="26"/>
          <w:szCs w:val="26"/>
        </w:rPr>
        <w:t>.</w:t>
      </w:r>
    </w:p>
    <w:p w14:paraId="68270A73" w14:textId="77777777" w:rsidR="00AE5495" w:rsidRPr="004A72CD" w:rsidRDefault="00AE5495" w:rsidP="00F313A6">
      <w:pPr>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Conform prevederilor art. 95 alin. (2) lit. g) din Regulamentul de organizare și funcționare a Consiliului Superior al Magistraturii, Serviciul contencios reprezintă Consiliul şi apără drepturile şi interesele acestuia în fața instanţelor judecătoreşti şi a altor organe de jurisdicții, formulând, în acest sens, acțiuni, cereri, întâmpinări şi alte lucrări.</w:t>
      </w:r>
    </w:p>
    <w:p w14:paraId="3CC8C5DA" w14:textId="2F0930CB" w:rsidR="00AE5495" w:rsidRPr="004A72CD" w:rsidRDefault="00AE5495" w:rsidP="00F313A6">
      <w:pPr>
        <w:autoSpaceDE w:val="0"/>
        <w:autoSpaceDN w:val="0"/>
        <w:adjustRightInd w:val="0"/>
        <w:spacing w:line="276" w:lineRule="auto"/>
        <w:ind w:right="-2" w:firstLine="709"/>
        <w:jc w:val="both"/>
        <w:rPr>
          <w:rFonts w:asciiTheme="minorHAnsi" w:hAnsiTheme="minorHAnsi" w:cstheme="minorHAnsi"/>
          <w:bCs/>
          <w:sz w:val="26"/>
          <w:szCs w:val="26"/>
        </w:rPr>
      </w:pPr>
      <w:r w:rsidRPr="004A72CD">
        <w:rPr>
          <w:rFonts w:asciiTheme="minorHAnsi" w:hAnsiTheme="minorHAnsi" w:cstheme="minorHAnsi"/>
          <w:bCs/>
          <w:sz w:val="26"/>
          <w:szCs w:val="26"/>
        </w:rPr>
        <w:t>Ca şi în anii anteriori, dintre litigiile în care Consiliul Superior al Magistraturii a fost parte în cursul anului 2024, un loc important l-au ocupat acţiunile formulate de judecători şi procurori, în temeiul art. 29 alin. (6) din Legea nr. 305/2022</w:t>
      </w:r>
      <w:r w:rsidR="0070034C" w:rsidRPr="004A72CD">
        <w:rPr>
          <w:rFonts w:asciiTheme="minorHAnsi" w:hAnsiTheme="minorHAnsi" w:cstheme="minorHAnsi"/>
          <w:bCs/>
          <w:sz w:val="26"/>
          <w:szCs w:val="26"/>
        </w:rPr>
        <w:t xml:space="preserve"> privind Consiliul Superior al Magistraturii</w:t>
      </w:r>
      <w:r w:rsidRPr="004A72CD">
        <w:rPr>
          <w:rFonts w:asciiTheme="minorHAnsi" w:hAnsiTheme="minorHAnsi" w:cstheme="minorHAnsi"/>
          <w:bCs/>
          <w:sz w:val="26"/>
          <w:szCs w:val="26"/>
        </w:rPr>
        <w:t>, precum şi în temeiul Legii nr. 554/2004 privind contenciosul administrativ, împotriva hotărârilor adoptate de Plen şi de Secţiile corespunzătoare ale Consiliului privind cariera şi drepturile judecătorilor şi procurorilor. În acest sens, pot fi indicate cu titlu de exemplu contestațiile formulate împotriva hotărârilor privind transferul judecătorilor și procurorilor, numirea din funcția de judecător în funcția de procuror sau viceversa, suspendarea din funcția de judecător sau procuror, acţiunile în anularea hotărârilor vizând organizarea şi desfăşurarea diferitelor concursuri (de admitere în magistratură, de promovare în funcţii de execuţie, numire în funcţii de conducere).</w:t>
      </w:r>
    </w:p>
    <w:p w14:paraId="7D5B217F" w14:textId="725B8E85" w:rsidR="00AE5495" w:rsidRPr="005403AD" w:rsidRDefault="00AE5495" w:rsidP="00F313A6">
      <w:pPr>
        <w:autoSpaceDE w:val="0"/>
        <w:autoSpaceDN w:val="0"/>
        <w:adjustRightInd w:val="0"/>
        <w:spacing w:line="276" w:lineRule="auto"/>
        <w:ind w:right="-2" w:firstLine="709"/>
        <w:jc w:val="both"/>
        <w:rPr>
          <w:rFonts w:asciiTheme="minorHAnsi" w:hAnsiTheme="minorHAnsi" w:cstheme="minorHAnsi"/>
          <w:bCs/>
          <w:sz w:val="26"/>
          <w:szCs w:val="26"/>
        </w:rPr>
      </w:pPr>
      <w:r w:rsidRPr="005403AD">
        <w:rPr>
          <w:rFonts w:asciiTheme="minorHAnsi" w:hAnsiTheme="minorHAnsi" w:cstheme="minorHAnsi"/>
          <w:bCs/>
          <w:sz w:val="26"/>
          <w:szCs w:val="26"/>
        </w:rPr>
        <w:t xml:space="preserve">Astfel, până la data de </w:t>
      </w:r>
      <w:r w:rsidR="0033555D">
        <w:rPr>
          <w:rFonts w:asciiTheme="minorHAnsi" w:hAnsiTheme="minorHAnsi" w:cstheme="minorHAnsi"/>
          <w:bCs/>
          <w:sz w:val="26"/>
          <w:szCs w:val="26"/>
        </w:rPr>
        <w:t>31</w:t>
      </w:r>
      <w:r w:rsidRPr="005403AD">
        <w:rPr>
          <w:rFonts w:asciiTheme="minorHAnsi" w:hAnsiTheme="minorHAnsi" w:cstheme="minorHAnsi"/>
          <w:bCs/>
          <w:sz w:val="26"/>
          <w:szCs w:val="26"/>
        </w:rPr>
        <w:t xml:space="preserve"> </w:t>
      </w:r>
      <w:r w:rsidR="00904061">
        <w:rPr>
          <w:rFonts w:asciiTheme="minorHAnsi" w:hAnsiTheme="minorHAnsi" w:cstheme="minorHAnsi"/>
          <w:bCs/>
          <w:sz w:val="26"/>
          <w:szCs w:val="26"/>
        </w:rPr>
        <w:t>dece</w:t>
      </w:r>
      <w:r w:rsidRPr="005403AD">
        <w:rPr>
          <w:rFonts w:asciiTheme="minorHAnsi" w:hAnsiTheme="minorHAnsi" w:cstheme="minorHAnsi"/>
          <w:bCs/>
          <w:sz w:val="26"/>
          <w:szCs w:val="26"/>
        </w:rPr>
        <w:t>mbrie 2024 a fost înregistrat un număr de 1</w:t>
      </w:r>
      <w:r w:rsidR="0093460C" w:rsidRPr="005403AD">
        <w:rPr>
          <w:rFonts w:asciiTheme="minorHAnsi" w:hAnsiTheme="minorHAnsi" w:cstheme="minorHAnsi"/>
          <w:bCs/>
          <w:sz w:val="26"/>
          <w:szCs w:val="26"/>
        </w:rPr>
        <w:t>3</w:t>
      </w:r>
      <w:r w:rsidR="0033555D">
        <w:rPr>
          <w:rFonts w:asciiTheme="minorHAnsi" w:hAnsiTheme="minorHAnsi" w:cstheme="minorHAnsi"/>
          <w:bCs/>
          <w:sz w:val="26"/>
          <w:szCs w:val="26"/>
        </w:rPr>
        <w:t>8</w:t>
      </w:r>
      <w:r w:rsidRPr="005403AD">
        <w:rPr>
          <w:rFonts w:asciiTheme="minorHAnsi" w:hAnsiTheme="minorHAnsi" w:cstheme="minorHAnsi"/>
          <w:bCs/>
          <w:sz w:val="26"/>
          <w:szCs w:val="26"/>
        </w:rPr>
        <w:t xml:space="preserve"> de acţiuni având ca obiect astfel de hotărâri.</w:t>
      </w:r>
    </w:p>
    <w:p w14:paraId="2C20F528" w14:textId="315A5AD6" w:rsidR="00AE5495" w:rsidRPr="005403AD" w:rsidRDefault="00AE5495" w:rsidP="00F313A6">
      <w:pPr>
        <w:autoSpaceDE w:val="0"/>
        <w:autoSpaceDN w:val="0"/>
        <w:adjustRightInd w:val="0"/>
        <w:spacing w:line="276" w:lineRule="auto"/>
        <w:ind w:right="-2" w:firstLine="709"/>
        <w:jc w:val="both"/>
        <w:rPr>
          <w:rFonts w:asciiTheme="minorHAnsi" w:hAnsiTheme="minorHAnsi" w:cstheme="minorHAnsi"/>
          <w:bCs/>
          <w:sz w:val="26"/>
          <w:szCs w:val="26"/>
        </w:rPr>
      </w:pPr>
      <w:r w:rsidRPr="005403AD">
        <w:rPr>
          <w:rFonts w:asciiTheme="minorHAnsi" w:hAnsiTheme="minorHAnsi" w:cstheme="minorHAnsi"/>
          <w:bCs/>
          <w:sz w:val="26"/>
          <w:szCs w:val="26"/>
        </w:rPr>
        <w:t xml:space="preserve">Până la data de </w:t>
      </w:r>
      <w:r w:rsidR="0033555D">
        <w:rPr>
          <w:rFonts w:asciiTheme="minorHAnsi" w:hAnsiTheme="minorHAnsi" w:cstheme="minorHAnsi"/>
          <w:bCs/>
          <w:sz w:val="26"/>
          <w:szCs w:val="26"/>
        </w:rPr>
        <w:t>31</w:t>
      </w:r>
      <w:r w:rsidRPr="005403AD">
        <w:rPr>
          <w:rFonts w:asciiTheme="minorHAnsi" w:hAnsiTheme="minorHAnsi" w:cstheme="minorHAnsi"/>
          <w:bCs/>
          <w:sz w:val="26"/>
          <w:szCs w:val="26"/>
        </w:rPr>
        <w:t xml:space="preserve"> </w:t>
      </w:r>
      <w:r w:rsidR="00904061">
        <w:rPr>
          <w:rFonts w:asciiTheme="minorHAnsi" w:hAnsiTheme="minorHAnsi" w:cstheme="minorHAnsi"/>
          <w:bCs/>
          <w:sz w:val="26"/>
          <w:szCs w:val="26"/>
        </w:rPr>
        <w:t>dece</w:t>
      </w:r>
      <w:r w:rsidRPr="005403AD">
        <w:rPr>
          <w:rFonts w:asciiTheme="minorHAnsi" w:hAnsiTheme="minorHAnsi" w:cstheme="minorHAnsi"/>
          <w:bCs/>
          <w:sz w:val="26"/>
          <w:szCs w:val="26"/>
        </w:rPr>
        <w:t>mbrie 2024</w:t>
      </w:r>
      <w:r w:rsidR="002F5F34">
        <w:rPr>
          <w:rFonts w:asciiTheme="minorHAnsi" w:hAnsiTheme="minorHAnsi" w:cstheme="minorHAnsi"/>
          <w:bCs/>
          <w:sz w:val="26"/>
          <w:szCs w:val="26"/>
        </w:rPr>
        <w:t xml:space="preserve"> </w:t>
      </w:r>
      <w:r w:rsidRPr="005403AD">
        <w:rPr>
          <w:rFonts w:asciiTheme="minorHAnsi" w:hAnsiTheme="minorHAnsi" w:cstheme="minorHAnsi"/>
          <w:bCs/>
          <w:sz w:val="26"/>
          <w:szCs w:val="26"/>
        </w:rPr>
        <w:t>au fost înregistrate în total 3</w:t>
      </w:r>
      <w:r w:rsidR="0033555D">
        <w:rPr>
          <w:rFonts w:asciiTheme="minorHAnsi" w:hAnsiTheme="minorHAnsi" w:cstheme="minorHAnsi"/>
          <w:bCs/>
          <w:sz w:val="26"/>
          <w:szCs w:val="26"/>
        </w:rPr>
        <w:t>50</w:t>
      </w:r>
      <w:r w:rsidRPr="005403AD">
        <w:rPr>
          <w:rFonts w:asciiTheme="minorHAnsi" w:hAnsiTheme="minorHAnsi" w:cstheme="minorHAnsi"/>
          <w:bCs/>
          <w:sz w:val="26"/>
          <w:szCs w:val="26"/>
        </w:rPr>
        <w:t xml:space="preserve"> cauze noi în care Consiliul Superior al Magistraturii a figurat ca parte, la care se adaugă un stoc de 470 dosare rămase nesoluționate din anii anteriori (2006 - 2023).</w:t>
      </w:r>
    </w:p>
    <w:p w14:paraId="0769C84A" w14:textId="52AD897E" w:rsidR="00AE5495" w:rsidRPr="005403AD" w:rsidRDefault="00AE5495" w:rsidP="00F313A6">
      <w:pPr>
        <w:autoSpaceDE w:val="0"/>
        <w:autoSpaceDN w:val="0"/>
        <w:adjustRightInd w:val="0"/>
        <w:spacing w:line="276" w:lineRule="auto"/>
        <w:ind w:right="-2" w:firstLine="709"/>
        <w:jc w:val="both"/>
        <w:rPr>
          <w:rFonts w:asciiTheme="minorHAnsi" w:hAnsiTheme="minorHAnsi" w:cstheme="minorHAnsi"/>
          <w:bCs/>
          <w:sz w:val="26"/>
          <w:szCs w:val="26"/>
        </w:rPr>
      </w:pPr>
      <w:r w:rsidRPr="005403AD">
        <w:rPr>
          <w:rFonts w:asciiTheme="minorHAnsi" w:hAnsiTheme="minorHAnsi" w:cstheme="minorHAnsi"/>
          <w:bCs/>
          <w:sz w:val="26"/>
          <w:szCs w:val="26"/>
        </w:rPr>
        <w:t xml:space="preserve">În anul curent, din totalul de </w:t>
      </w:r>
      <w:r w:rsidR="006C30C1" w:rsidRPr="005403AD">
        <w:rPr>
          <w:rFonts w:asciiTheme="minorHAnsi" w:hAnsiTheme="minorHAnsi" w:cstheme="minorHAnsi"/>
          <w:bCs/>
          <w:sz w:val="26"/>
          <w:szCs w:val="26"/>
        </w:rPr>
        <w:t>8</w:t>
      </w:r>
      <w:r w:rsidR="0033555D">
        <w:rPr>
          <w:rFonts w:asciiTheme="minorHAnsi" w:hAnsiTheme="minorHAnsi" w:cstheme="minorHAnsi"/>
          <w:bCs/>
          <w:sz w:val="26"/>
          <w:szCs w:val="26"/>
        </w:rPr>
        <w:t>20</w:t>
      </w:r>
      <w:r w:rsidRPr="005403AD">
        <w:rPr>
          <w:rFonts w:asciiTheme="minorHAnsi" w:hAnsiTheme="minorHAnsi" w:cstheme="minorHAnsi"/>
          <w:bCs/>
          <w:sz w:val="26"/>
          <w:szCs w:val="26"/>
        </w:rPr>
        <w:t xml:space="preserve"> de cauze rulate, </w:t>
      </w:r>
      <w:r w:rsidR="006C30C1" w:rsidRPr="005403AD">
        <w:rPr>
          <w:rFonts w:asciiTheme="minorHAnsi" w:hAnsiTheme="minorHAnsi" w:cstheme="minorHAnsi"/>
          <w:bCs/>
          <w:sz w:val="26"/>
          <w:szCs w:val="26"/>
        </w:rPr>
        <w:t>3</w:t>
      </w:r>
      <w:r w:rsidR="0033555D">
        <w:rPr>
          <w:rFonts w:asciiTheme="minorHAnsi" w:hAnsiTheme="minorHAnsi" w:cstheme="minorHAnsi"/>
          <w:bCs/>
          <w:sz w:val="26"/>
          <w:szCs w:val="26"/>
        </w:rPr>
        <w:t>4</w:t>
      </w:r>
      <w:r w:rsidRPr="005403AD">
        <w:rPr>
          <w:rFonts w:asciiTheme="minorHAnsi" w:hAnsiTheme="minorHAnsi" w:cstheme="minorHAnsi"/>
          <w:bCs/>
          <w:sz w:val="26"/>
          <w:szCs w:val="26"/>
        </w:rPr>
        <w:t xml:space="preserve"> de acţiuni au fost admise, </w:t>
      </w:r>
      <w:r w:rsidR="00710439">
        <w:rPr>
          <w:rFonts w:asciiTheme="minorHAnsi" w:hAnsiTheme="minorHAnsi" w:cstheme="minorHAnsi"/>
          <w:bCs/>
          <w:sz w:val="26"/>
          <w:szCs w:val="26"/>
        </w:rPr>
        <w:t>20</w:t>
      </w:r>
      <w:r w:rsidR="0033555D">
        <w:rPr>
          <w:rFonts w:asciiTheme="minorHAnsi" w:hAnsiTheme="minorHAnsi" w:cstheme="minorHAnsi"/>
          <w:bCs/>
          <w:sz w:val="26"/>
          <w:szCs w:val="26"/>
        </w:rPr>
        <w:t>5</w:t>
      </w:r>
      <w:r w:rsidRPr="005403AD">
        <w:rPr>
          <w:rFonts w:asciiTheme="minorHAnsi" w:hAnsiTheme="minorHAnsi" w:cstheme="minorHAnsi"/>
          <w:bCs/>
          <w:sz w:val="26"/>
          <w:szCs w:val="26"/>
        </w:rPr>
        <w:t xml:space="preserve"> au fost respinse, </w:t>
      </w:r>
      <w:r w:rsidR="006C30C1" w:rsidRPr="005403AD">
        <w:rPr>
          <w:rFonts w:asciiTheme="minorHAnsi" w:hAnsiTheme="minorHAnsi" w:cstheme="minorHAnsi"/>
          <w:bCs/>
          <w:sz w:val="26"/>
          <w:szCs w:val="26"/>
        </w:rPr>
        <w:t>6</w:t>
      </w:r>
      <w:r w:rsidR="00710439">
        <w:rPr>
          <w:rFonts w:asciiTheme="minorHAnsi" w:hAnsiTheme="minorHAnsi" w:cstheme="minorHAnsi"/>
          <w:bCs/>
          <w:sz w:val="26"/>
          <w:szCs w:val="26"/>
        </w:rPr>
        <w:t>7</w:t>
      </w:r>
      <w:r w:rsidRPr="005403AD">
        <w:rPr>
          <w:rFonts w:asciiTheme="minorHAnsi" w:hAnsiTheme="minorHAnsi" w:cstheme="minorHAnsi"/>
          <w:bCs/>
          <w:sz w:val="26"/>
          <w:szCs w:val="26"/>
        </w:rPr>
        <w:t xml:space="preserve"> au fost suspendate, </w:t>
      </w:r>
      <w:r w:rsidR="00710439">
        <w:rPr>
          <w:rFonts w:asciiTheme="minorHAnsi" w:hAnsiTheme="minorHAnsi" w:cstheme="minorHAnsi"/>
          <w:bCs/>
          <w:sz w:val="26"/>
          <w:szCs w:val="26"/>
        </w:rPr>
        <w:t>5</w:t>
      </w:r>
      <w:r w:rsidRPr="005403AD">
        <w:rPr>
          <w:rFonts w:asciiTheme="minorHAnsi" w:hAnsiTheme="minorHAnsi" w:cstheme="minorHAnsi"/>
          <w:bCs/>
          <w:sz w:val="26"/>
          <w:szCs w:val="26"/>
        </w:rPr>
        <w:t xml:space="preserve"> au fost perimate şi în 3</w:t>
      </w:r>
      <w:r w:rsidR="00710439">
        <w:rPr>
          <w:rFonts w:asciiTheme="minorHAnsi" w:hAnsiTheme="minorHAnsi" w:cstheme="minorHAnsi"/>
          <w:bCs/>
          <w:sz w:val="26"/>
          <w:szCs w:val="26"/>
        </w:rPr>
        <w:t>4</w:t>
      </w:r>
      <w:r w:rsidRPr="005403AD">
        <w:rPr>
          <w:rFonts w:asciiTheme="minorHAnsi" w:hAnsiTheme="minorHAnsi" w:cstheme="minorHAnsi"/>
          <w:bCs/>
          <w:sz w:val="26"/>
          <w:szCs w:val="26"/>
        </w:rPr>
        <w:t xml:space="preserve"> de cauze s-au înregistrat cereri de renunţare la judecată, rămânând astfel la data de </w:t>
      </w:r>
      <w:r w:rsidR="008412DD">
        <w:rPr>
          <w:rFonts w:asciiTheme="minorHAnsi" w:hAnsiTheme="minorHAnsi" w:cstheme="minorHAnsi"/>
          <w:bCs/>
          <w:sz w:val="26"/>
          <w:szCs w:val="26"/>
        </w:rPr>
        <w:t>31</w:t>
      </w:r>
      <w:r w:rsidRPr="005403AD">
        <w:rPr>
          <w:rFonts w:asciiTheme="minorHAnsi" w:hAnsiTheme="minorHAnsi" w:cstheme="minorHAnsi"/>
          <w:bCs/>
          <w:sz w:val="26"/>
          <w:szCs w:val="26"/>
        </w:rPr>
        <w:t xml:space="preserve"> </w:t>
      </w:r>
      <w:r w:rsidR="00710439">
        <w:rPr>
          <w:rFonts w:asciiTheme="minorHAnsi" w:hAnsiTheme="minorHAnsi" w:cstheme="minorHAnsi"/>
          <w:bCs/>
          <w:sz w:val="26"/>
          <w:szCs w:val="26"/>
        </w:rPr>
        <w:t>dece</w:t>
      </w:r>
      <w:r w:rsidRPr="005403AD">
        <w:rPr>
          <w:rFonts w:asciiTheme="minorHAnsi" w:hAnsiTheme="minorHAnsi" w:cstheme="minorHAnsi"/>
          <w:bCs/>
          <w:sz w:val="26"/>
          <w:szCs w:val="26"/>
        </w:rPr>
        <w:t>mbrie 2024, un număr de 5</w:t>
      </w:r>
      <w:r w:rsidR="008412DD">
        <w:rPr>
          <w:rFonts w:asciiTheme="minorHAnsi" w:hAnsiTheme="minorHAnsi" w:cstheme="minorHAnsi"/>
          <w:bCs/>
          <w:sz w:val="26"/>
          <w:szCs w:val="26"/>
        </w:rPr>
        <w:t>42</w:t>
      </w:r>
      <w:r w:rsidRPr="005403AD">
        <w:rPr>
          <w:rFonts w:asciiTheme="minorHAnsi" w:hAnsiTheme="minorHAnsi" w:cstheme="minorHAnsi"/>
          <w:bCs/>
          <w:sz w:val="26"/>
          <w:szCs w:val="26"/>
        </w:rPr>
        <w:t xml:space="preserve"> de cauze nesoluţionate.</w:t>
      </w:r>
    </w:p>
    <w:p w14:paraId="003580AD" w14:textId="77777777" w:rsidR="00AE5495" w:rsidRPr="005403AD" w:rsidRDefault="00AE5495" w:rsidP="00F313A6">
      <w:pPr>
        <w:autoSpaceDE w:val="0"/>
        <w:autoSpaceDN w:val="0"/>
        <w:adjustRightInd w:val="0"/>
        <w:spacing w:line="276" w:lineRule="auto"/>
        <w:ind w:right="-2" w:firstLine="709"/>
        <w:jc w:val="both"/>
        <w:rPr>
          <w:rFonts w:asciiTheme="minorHAnsi" w:hAnsiTheme="minorHAnsi" w:cstheme="minorHAnsi"/>
          <w:bCs/>
          <w:sz w:val="26"/>
          <w:szCs w:val="26"/>
        </w:rPr>
      </w:pPr>
      <w:r w:rsidRPr="005403AD">
        <w:rPr>
          <w:rFonts w:asciiTheme="minorHAnsi" w:hAnsiTheme="minorHAnsi" w:cstheme="minorHAnsi"/>
          <w:bCs/>
          <w:sz w:val="26"/>
          <w:szCs w:val="26"/>
        </w:rPr>
        <w:t>În cursul anului 2024, acţiunile admise au vizat în principal hotărârile adoptate de Secţiile corespunzătoare ale Consiliului în materia transferului judecătorilor şi procurorilor.</w:t>
      </w:r>
    </w:p>
    <w:p w14:paraId="1F960C65" w14:textId="6CBAAADE" w:rsidR="00AE5495" w:rsidRPr="005403AD" w:rsidRDefault="00AE5495" w:rsidP="00F313A6">
      <w:pPr>
        <w:autoSpaceDE w:val="0"/>
        <w:autoSpaceDN w:val="0"/>
        <w:adjustRightInd w:val="0"/>
        <w:spacing w:line="276" w:lineRule="auto"/>
        <w:ind w:right="-2" w:firstLine="709"/>
        <w:jc w:val="both"/>
        <w:rPr>
          <w:rFonts w:asciiTheme="minorHAnsi" w:hAnsiTheme="minorHAnsi" w:cstheme="minorHAnsi"/>
          <w:bCs/>
          <w:sz w:val="26"/>
          <w:szCs w:val="26"/>
        </w:rPr>
      </w:pPr>
      <w:r w:rsidRPr="005403AD">
        <w:rPr>
          <w:rFonts w:asciiTheme="minorHAnsi" w:hAnsiTheme="minorHAnsi" w:cstheme="minorHAnsi"/>
          <w:bCs/>
          <w:sz w:val="26"/>
          <w:szCs w:val="26"/>
        </w:rPr>
        <w:t xml:space="preserve">De asemenea, în cursul anului 2024, până la data de </w:t>
      </w:r>
      <w:r w:rsidR="008412DD">
        <w:rPr>
          <w:rFonts w:asciiTheme="minorHAnsi" w:hAnsiTheme="minorHAnsi" w:cstheme="minorHAnsi"/>
          <w:bCs/>
          <w:sz w:val="26"/>
          <w:szCs w:val="26"/>
        </w:rPr>
        <w:t>31</w:t>
      </w:r>
      <w:r w:rsidRPr="005403AD">
        <w:rPr>
          <w:rFonts w:asciiTheme="minorHAnsi" w:hAnsiTheme="minorHAnsi" w:cstheme="minorHAnsi"/>
          <w:bCs/>
          <w:sz w:val="26"/>
          <w:szCs w:val="26"/>
        </w:rPr>
        <w:t xml:space="preserve"> </w:t>
      </w:r>
      <w:r w:rsidR="00F2261E">
        <w:rPr>
          <w:rFonts w:asciiTheme="minorHAnsi" w:hAnsiTheme="minorHAnsi" w:cstheme="minorHAnsi"/>
          <w:bCs/>
          <w:sz w:val="26"/>
          <w:szCs w:val="26"/>
        </w:rPr>
        <w:t>dece</w:t>
      </w:r>
      <w:r w:rsidRPr="005403AD">
        <w:rPr>
          <w:rFonts w:asciiTheme="minorHAnsi" w:hAnsiTheme="minorHAnsi" w:cstheme="minorHAnsi"/>
          <w:bCs/>
          <w:sz w:val="26"/>
          <w:szCs w:val="26"/>
        </w:rPr>
        <w:t xml:space="preserve">mbrie 2024, au fost </w:t>
      </w:r>
      <w:r w:rsidRPr="004A72CD">
        <w:rPr>
          <w:rFonts w:asciiTheme="minorHAnsi" w:hAnsiTheme="minorHAnsi" w:cstheme="minorHAnsi"/>
          <w:bCs/>
          <w:sz w:val="26"/>
          <w:szCs w:val="26"/>
        </w:rPr>
        <w:t xml:space="preserve">înregistrate </w:t>
      </w:r>
      <w:r w:rsidR="00EB1372">
        <w:rPr>
          <w:rFonts w:asciiTheme="minorHAnsi" w:hAnsiTheme="minorHAnsi" w:cstheme="minorHAnsi"/>
          <w:bCs/>
          <w:sz w:val="26"/>
          <w:szCs w:val="26"/>
        </w:rPr>
        <w:t>6</w:t>
      </w:r>
      <w:r w:rsidR="00E15A2B" w:rsidRPr="005403AD">
        <w:rPr>
          <w:rFonts w:asciiTheme="minorHAnsi" w:hAnsiTheme="minorHAnsi" w:cstheme="minorHAnsi"/>
          <w:bCs/>
          <w:sz w:val="26"/>
          <w:szCs w:val="26"/>
        </w:rPr>
        <w:t>8</w:t>
      </w:r>
      <w:r w:rsidRPr="005403AD">
        <w:rPr>
          <w:rFonts w:asciiTheme="minorHAnsi" w:hAnsiTheme="minorHAnsi" w:cstheme="minorHAnsi"/>
          <w:bCs/>
          <w:sz w:val="26"/>
          <w:szCs w:val="26"/>
        </w:rPr>
        <w:t xml:space="preserve"> de plângeri prealabile, contestații, reclamații administrative formulate în temeiul Legii nr. 544/2001 privind liberul acces la informațiile de interes public, cu modificările şi completările ulterioare, precum şi alte solicitări adresate Consiliului Superior al Magistraturii, referitoare la </w:t>
      </w:r>
      <w:r w:rsidRPr="005403AD">
        <w:rPr>
          <w:rFonts w:asciiTheme="minorHAnsi" w:hAnsiTheme="minorHAnsi" w:cstheme="minorHAnsi"/>
          <w:bCs/>
          <w:sz w:val="26"/>
          <w:szCs w:val="26"/>
        </w:rPr>
        <w:lastRenderedPageBreak/>
        <w:t xml:space="preserve">aspecte ce ţin de activitatea acestuia, cu privire la care au fost întocmite puncte de vedere şi au fost transmise răspunsuri către petenți. </w:t>
      </w:r>
    </w:p>
    <w:p w14:paraId="5A66443A" w14:textId="0EB20E4E" w:rsidR="00AE5495" w:rsidRPr="005403AD" w:rsidRDefault="00AE5495" w:rsidP="00F313A6">
      <w:pPr>
        <w:autoSpaceDE w:val="0"/>
        <w:autoSpaceDN w:val="0"/>
        <w:adjustRightInd w:val="0"/>
        <w:spacing w:line="276" w:lineRule="auto"/>
        <w:ind w:right="-2" w:firstLine="709"/>
        <w:jc w:val="both"/>
        <w:rPr>
          <w:rFonts w:asciiTheme="minorHAnsi" w:hAnsiTheme="minorHAnsi" w:cstheme="minorHAnsi"/>
          <w:bCs/>
          <w:sz w:val="26"/>
          <w:szCs w:val="26"/>
        </w:rPr>
      </w:pPr>
      <w:r w:rsidRPr="005403AD">
        <w:rPr>
          <w:rFonts w:asciiTheme="minorHAnsi" w:hAnsiTheme="minorHAnsi" w:cstheme="minorHAnsi"/>
          <w:bCs/>
          <w:sz w:val="26"/>
          <w:szCs w:val="26"/>
        </w:rPr>
        <w:t>În activitatea curentă, au fost avizate din punct de vedere al legalității un număr de 1</w:t>
      </w:r>
      <w:r w:rsidR="00EB1372">
        <w:rPr>
          <w:rFonts w:asciiTheme="minorHAnsi" w:hAnsiTheme="minorHAnsi" w:cstheme="minorHAnsi"/>
          <w:bCs/>
          <w:sz w:val="26"/>
          <w:szCs w:val="26"/>
        </w:rPr>
        <w:t>62</w:t>
      </w:r>
      <w:r w:rsidR="00507D4B">
        <w:rPr>
          <w:rFonts w:asciiTheme="minorHAnsi" w:hAnsiTheme="minorHAnsi" w:cstheme="minorHAnsi"/>
          <w:bCs/>
          <w:sz w:val="26"/>
          <w:szCs w:val="26"/>
        </w:rPr>
        <w:t>7</w:t>
      </w:r>
      <w:r w:rsidRPr="005403AD">
        <w:rPr>
          <w:rFonts w:asciiTheme="minorHAnsi" w:hAnsiTheme="minorHAnsi" w:cstheme="minorHAnsi"/>
          <w:bCs/>
          <w:sz w:val="26"/>
          <w:szCs w:val="26"/>
        </w:rPr>
        <w:t xml:space="preserve"> de note şi contracte privitoare la angajarea răspunderii patrimoniale a instituţiei şi punerea în executare a unor hotărâri judecătoreşti, întocmite de celelalte compartimente din cadrul aparatului propriu al Consiliului Superior al Magistraturii.</w:t>
      </w:r>
    </w:p>
    <w:p w14:paraId="20543C84" w14:textId="59FE0390" w:rsidR="00AE5495" w:rsidRPr="004A72CD" w:rsidRDefault="00AE5495" w:rsidP="00F313A6">
      <w:pPr>
        <w:autoSpaceDE w:val="0"/>
        <w:autoSpaceDN w:val="0"/>
        <w:adjustRightInd w:val="0"/>
        <w:spacing w:line="276" w:lineRule="auto"/>
        <w:ind w:right="-2" w:firstLine="709"/>
        <w:jc w:val="both"/>
        <w:rPr>
          <w:rFonts w:asciiTheme="minorHAnsi" w:hAnsiTheme="minorHAnsi" w:cstheme="minorHAnsi"/>
          <w:bCs/>
          <w:color w:val="FF0000"/>
          <w:sz w:val="26"/>
          <w:szCs w:val="26"/>
        </w:rPr>
      </w:pPr>
      <w:r w:rsidRPr="004A72CD">
        <w:rPr>
          <w:rFonts w:asciiTheme="minorHAnsi" w:hAnsiTheme="minorHAnsi" w:cstheme="minorHAnsi"/>
          <w:bCs/>
          <w:sz w:val="26"/>
          <w:szCs w:val="26"/>
        </w:rPr>
        <w:t xml:space="preserve">Precizăm că un segment important al activităţii Serviciului contencios în perioada de referinţă a fost reprezentat de activităţile desfăşurate de personalul acestuia în cadrul comisiilor constituite la nivelul Consiliului Superior al Magistraturii, cum ar fi </w:t>
      </w:r>
      <w:r w:rsidRPr="004A72CD">
        <w:rPr>
          <w:rFonts w:asciiTheme="minorHAnsi" w:hAnsiTheme="minorHAnsi" w:cstheme="minorHAnsi"/>
          <w:sz w:val="26"/>
          <w:szCs w:val="26"/>
        </w:rPr>
        <w:t xml:space="preserve">Comisia de soluţionare a reclamaţiilor administrative constituită în baza art. 21 din Legea nr. 544/2001 privind liberul acces la informaţiile de interes public, </w:t>
      </w:r>
      <w:r w:rsidRPr="004A72CD">
        <w:rPr>
          <w:rFonts w:asciiTheme="minorHAnsi" w:hAnsiTheme="minorHAnsi" w:cstheme="minorHAnsi"/>
          <w:bCs/>
          <w:sz w:val="26"/>
          <w:szCs w:val="26"/>
          <w:shd w:val="clear" w:color="auto" w:fill="FFFFFF"/>
        </w:rPr>
        <w:t xml:space="preserve">cu modificările şi completările ulterioare, precum </w:t>
      </w:r>
      <w:r w:rsidRPr="004A72CD">
        <w:rPr>
          <w:rFonts w:asciiTheme="minorHAnsi" w:hAnsiTheme="minorHAnsi" w:cstheme="minorHAnsi"/>
          <w:bCs/>
          <w:sz w:val="26"/>
          <w:szCs w:val="26"/>
        </w:rPr>
        <w:t>şi în cadrul proiectului „Îmbunătăţirea digitalizării la nivelul Consiliului Superior al Magistraturii”.</w:t>
      </w:r>
    </w:p>
    <w:p w14:paraId="1E75BA51" w14:textId="77777777" w:rsidR="00AE5495" w:rsidRPr="00CD3492" w:rsidRDefault="00AE5495" w:rsidP="00F313A6">
      <w:pPr>
        <w:pStyle w:val="Heading2"/>
        <w:rPr>
          <w:lang w:val="ro-RO"/>
        </w:rPr>
      </w:pPr>
      <w:bookmarkStart w:id="135" w:name="_Toc187824391"/>
      <w:r w:rsidRPr="00CD3492">
        <w:rPr>
          <w:lang w:val="ro-RO"/>
        </w:rPr>
        <w:t>VI.3. Activitatea Direcţiei afaceri europene, relaţii internaţionale şi programe</w:t>
      </w:r>
      <w:bookmarkStart w:id="136" w:name="_Toc430867130"/>
      <w:bookmarkEnd w:id="135"/>
      <w:r w:rsidRPr="00CD3492">
        <w:rPr>
          <w:lang w:val="ro-RO"/>
        </w:rPr>
        <w:t xml:space="preserve"> </w:t>
      </w:r>
      <w:bookmarkStart w:id="137" w:name="_Toc381021553"/>
      <w:bookmarkStart w:id="138" w:name="_Toc430867131"/>
      <w:bookmarkEnd w:id="136"/>
    </w:p>
    <w:p w14:paraId="257977AA"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Consolidarea relațiilor interne și internaționale ale Consiliului Superior al Magistraturii se înscrie drept un capitol distinct în cadrul direcțiilor prioritare de acțiune pentru mandatul în curs</w:t>
      </w:r>
      <w:r w:rsidRPr="004A72CD">
        <w:rPr>
          <w:rFonts w:asciiTheme="minorHAnsi" w:eastAsia="Trebuchet MS" w:hAnsiTheme="minorHAnsi" w:cstheme="minorHAnsi"/>
          <w:sz w:val="26"/>
          <w:szCs w:val="26"/>
          <w:vertAlign w:val="superscript"/>
        </w:rPr>
        <w:footnoteReference w:id="1"/>
      </w:r>
      <w:r w:rsidRPr="004A72CD">
        <w:rPr>
          <w:rFonts w:asciiTheme="minorHAnsi" w:hAnsiTheme="minorHAnsi" w:cstheme="minorHAnsi"/>
          <w:sz w:val="26"/>
          <w:szCs w:val="26"/>
        </w:rPr>
        <w:t>.</w:t>
      </w:r>
    </w:p>
    <w:p w14:paraId="3FF07E1D"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În cursul anului 2024 au fost continuate și dezvoltate activitățile menite să susțină colaborarea Consiliului Superior al Magistraturii cu instituțiile și organizațiile relevante în plan intern și internațional, atât în contextul relațiilor bilaterale, dar și cât privește participarea la activitatea forurilor reprezentantive pentru instituțiile din sistemele judiciare ale statelor membre ale Uniunii Europene sau alte organisme internaționale cu semnificație pentru domeniile de competență ale Consiliului Superior al Magistraturii. </w:t>
      </w:r>
    </w:p>
    <w:p w14:paraId="0822F1B6"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Acțiunile realizate de Consiliul Superior al Magistraturii au fost subsumate viziunii instituționale privind politica de relații internaționale, cu accent pe consolidarea și dezvoltarea inițiativelor existente, susținerea procesului continuu de reformare și îmbunătățire a sistemului judiciar, promovarea dialogului pe tema conceptelor inovatoare care pot fi implementate în plan intern pentru atingerea obiectivelor amintite, precum și pentru asigurarea cadrului necesar schimbului de experiență și cooperării magistraților români cu colegii din alte sisteme judiciare. </w:t>
      </w:r>
    </w:p>
    <w:p w14:paraId="3F9F780F" w14:textId="1C045A31" w:rsidR="00AE5495" w:rsidRPr="004A3440" w:rsidRDefault="00AE5495" w:rsidP="00D35E09">
      <w:pPr>
        <w:pStyle w:val="Heading3"/>
        <w:jc w:val="both"/>
      </w:pPr>
      <w:bookmarkStart w:id="139" w:name="_Toc187824392"/>
      <w:r w:rsidRPr="004A3440">
        <w:t xml:space="preserve">VI.3.1. </w:t>
      </w:r>
      <w:bookmarkStart w:id="140" w:name="_Toc381021554"/>
      <w:bookmarkStart w:id="141" w:name="_Toc430867132"/>
      <w:bookmarkEnd w:id="137"/>
      <w:bookmarkEnd w:id="138"/>
      <w:r w:rsidRPr="004A3440">
        <w:t>Activitatea în cadrul Mecanismului de Cooperare și Verificare al Comisiei Europene</w:t>
      </w:r>
      <w:r w:rsidR="001016CD">
        <w:t xml:space="preserve"> și al Mecanismului privind statul de drept</w:t>
      </w:r>
      <w:bookmarkEnd w:id="139"/>
    </w:p>
    <w:p w14:paraId="63CD9FFA"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Odată cu </w:t>
      </w:r>
      <w:r w:rsidRPr="004A72CD">
        <w:rPr>
          <w:rFonts w:asciiTheme="minorHAnsi" w:hAnsiTheme="minorHAnsi" w:cstheme="minorHAnsi"/>
          <w:sz w:val="26"/>
          <w:szCs w:val="26"/>
          <w:shd w:val="clear" w:color="auto" w:fill="FFFFFF"/>
        </w:rPr>
        <w:t xml:space="preserve">închiderea oficială a Mecanismului de Cooperare și Verificare pentru România și Bulgaria, în anul 2023, Comisia Europeană a confirmat îndeplinirea corespunzătoare a obiectivelor de reformă și a recomandărilor formulate în cadrul mecanismului. Monitorizarea Comisiei Europene continuă în temeiul unui </w:t>
      </w:r>
      <w:r w:rsidRPr="004A72CD">
        <w:rPr>
          <w:rFonts w:asciiTheme="minorHAnsi" w:hAnsiTheme="minorHAnsi" w:cstheme="minorHAnsi"/>
          <w:sz w:val="26"/>
          <w:szCs w:val="26"/>
        </w:rPr>
        <w:t>nou instrument de evaluare a tuturor statelor membre – Raportul privind statul de drept, care își propune să faciliteze înțelegerea reciprocă prin intermediul dialogului, abordarea unitară a provocărilor privind statul de drept, stimularea cooperării interinstituționale, tratarea egală a statelor membre, stabilirea unui ritm anual de dezbatere în Consiliul și în Parlamentul European, impulsionarea reformelor necesare la nivel național.</w:t>
      </w:r>
    </w:p>
    <w:p w14:paraId="627F336D"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lastRenderedPageBreak/>
        <w:t xml:space="preserve">În acest sens, Consiliul Superior al Magistraturii a transmis contribuția sa la chestionarul Comisiei Europene şi a participat, în contextul discuțiilor bilaterale cu principalele autorități naționale din România (reuniuni de dialog/country visits), la data de 16 februarie 2024, la întâlnirea cu reprezentanții Comisiei, pentru actualizarea informațiior transmise, ulterior fiind comunicat un răspuns de follow-up agreat în cadrul reuniunii. </w:t>
      </w:r>
    </w:p>
    <w:p w14:paraId="44E4D53B"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Totodată, discuţiile pe marginea raportului privind statul de drept au continuat la nivel european, în contextul webinarelor organizate de Rețeaua Europeană a Consiliilor Judiciare, la data de 17 septembrie 2024 având loc o întâlnire online, privind ediția din anul 2024 a Raportului. </w:t>
      </w:r>
    </w:p>
    <w:p w14:paraId="19D52336"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shd w:val="clear" w:color="auto" w:fill="FFFFFF"/>
        </w:rPr>
        <w:t xml:space="preserve">La data de 24 iulie 2024 a fost publicat cel de-al cincilea Raport al Comisiei Europene privind statul de drept - </w:t>
      </w:r>
      <w:r w:rsidRPr="004A72CD">
        <w:rPr>
          <w:rFonts w:asciiTheme="minorHAnsi" w:hAnsiTheme="minorHAnsi" w:cstheme="minorHAnsi"/>
          <w:sz w:val="26"/>
          <w:szCs w:val="26"/>
        </w:rPr>
        <w:t xml:space="preserve">o sinteză a evoluțiilor relevante, din perspectiva statului de drept, la nivelul tuturor statelor membre ale Uniunii Europene, respectiv un raport general privind situaţia statului de drept în Uniunea Europeană şi câte un raport de țară, pentru fiecare stat membru. </w:t>
      </w:r>
    </w:p>
    <w:p w14:paraId="20B47BE0"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Raportul din acest an, cel mai bun cât privește capitolul justiție în succesiunea evaluărilor realizate de Comisia Europeană, reține faptul că percepția asupra independenței sistemului judiciar în rândul publicului larg a crescut cu 15% față de anul 2020 și este în creștere față de anul 2023, fiind astfel înregistrat un progres constant al percepției sociale a independenței magistraților. De asemenea, a fost evidențiat progresul efectuat de România în domeniul legilor justiției care au intrat în vigoare în decembrie 2022 și în procesul de punere în aplicare a acestora, subliniindu-se că implementarea recomandărilor a îmbunătățit asigurarea garanțiilor prevăzute de legislație, inclusiv prin adoptarea regulamentelor de punere în aplicare de către Consiliul Superior al Magistraturii. </w:t>
      </w:r>
    </w:p>
    <w:p w14:paraId="47010F20"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Raportul evidențiază și creșterea volumului de muncă al instanțelor în comparație cu datele din raportul precedent. În condițiile unui deficit semnificativ al resurselor umane la începutul perioadei de evaluare, Consiliul Superior al Magistraturii este constant în angajamentul asumat de a reduce deficitul de magistrați. </w:t>
      </w:r>
    </w:p>
    <w:p w14:paraId="0EAE14CC" w14:textId="77777777" w:rsidR="00AE5495"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Nu în ultimul rând, Raportul recunoaște progresele efectuate în domeniul digitalizării justiției, fiind evidențiată în acest sens utilitatea efectivă a aplicației ReJust elaborate și implementate de Consiliul Superior al Magistraturii, care este permanent îmbunătățită și care oferă acces publicului larg la hotărârile judecătorești. </w:t>
      </w:r>
    </w:p>
    <w:p w14:paraId="03135F6D" w14:textId="744053DC" w:rsidR="00F67FF3" w:rsidRPr="005403AD" w:rsidRDefault="00F67FF3" w:rsidP="00876DD7">
      <w:pPr>
        <w:spacing w:line="276" w:lineRule="auto"/>
        <w:ind w:firstLine="720"/>
        <w:jc w:val="both"/>
        <w:rPr>
          <w:rFonts w:asciiTheme="minorHAnsi" w:hAnsiTheme="minorHAnsi" w:cstheme="minorHAnsi"/>
          <w:sz w:val="26"/>
          <w:szCs w:val="26"/>
        </w:rPr>
      </w:pPr>
      <w:r w:rsidRPr="005403AD">
        <w:rPr>
          <w:rFonts w:asciiTheme="minorHAnsi" w:hAnsiTheme="minorHAnsi" w:cstheme="minorHAnsi"/>
          <w:sz w:val="26"/>
          <w:szCs w:val="26"/>
        </w:rPr>
        <w:t>În continuarea colaborării în contextul mecanismului U.E. privind statul de drept, trebuie menționat și că, la finalul anului 2024, a început pregătirea contribuției pentru următorul Raport privind statul de drept.</w:t>
      </w:r>
    </w:p>
    <w:p w14:paraId="4760853D" w14:textId="77777777" w:rsidR="00AE5495" w:rsidRPr="00CD3492" w:rsidRDefault="00AE5495" w:rsidP="00D35E09">
      <w:pPr>
        <w:pStyle w:val="Heading3"/>
      </w:pPr>
      <w:bookmarkStart w:id="142" w:name="_Toc381021555"/>
      <w:bookmarkStart w:id="143" w:name="_Toc430867133"/>
      <w:bookmarkStart w:id="144" w:name="_Toc187824393"/>
      <w:bookmarkEnd w:id="140"/>
      <w:bookmarkEnd w:id="141"/>
      <w:r w:rsidRPr="00CD3492">
        <w:t>VI.3.2. Dezvoltarea dialogului bilateral</w:t>
      </w:r>
      <w:bookmarkStart w:id="145" w:name="_Toc381021556"/>
      <w:bookmarkStart w:id="146" w:name="_Toc430867134"/>
      <w:bookmarkEnd w:id="142"/>
      <w:bookmarkEnd w:id="143"/>
      <w:bookmarkEnd w:id="144"/>
    </w:p>
    <w:p w14:paraId="5CE458AA"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În cursul anului 2024, au fost continuate și intensificate acțiunile de cooperare cu reprezentanţi ai sistemelor judiciare atât din spaţiul european, cât şi la nivel internaţional, cu scopul de a promova schimbul de bune practici în domenii prioritare pentru activitatea Consiliului Superior al Magistraturii și a de a consolida poziția instituțională și reprezentativitatea României în forurile internaționale. </w:t>
      </w:r>
    </w:p>
    <w:p w14:paraId="7ED2BAFE" w14:textId="404CE17F" w:rsidR="00F67FF3" w:rsidRPr="005403AD" w:rsidRDefault="00AE5495" w:rsidP="00090793">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Cât privește activitatea derulată în cadrul Rețelei Europene a Consiliilor Judiciare (R.E.C.J.), pe parcusul anului 2024 a fost asigurată reprezentarea Consiliului Superior al Magistraturii la acțiunile cuprinse în planul de activități al acestui for. Mai mult, rolul instituției a fost recunoscut prin alegerea României în calitate de membru în Comitetul Executiv al Rețelei, pentru un mandat </w:t>
      </w:r>
      <w:r w:rsidRPr="004A72CD">
        <w:rPr>
          <w:rFonts w:asciiTheme="minorHAnsi" w:hAnsiTheme="minorHAnsi" w:cstheme="minorHAnsi"/>
          <w:sz w:val="26"/>
          <w:szCs w:val="26"/>
        </w:rPr>
        <w:lastRenderedPageBreak/>
        <w:t xml:space="preserve">de doi ani, începând cu luna iunie a acestui an. Reprezentarea instituției în acest organ colegial, cu atribuții în gestionarea măsurilor necesare pentru implementarea programului anual de activități al R.E.C.J., este asigurată de domnul judecător Claudiu-Marian Drăgușin, membru ales al Consiliului Superior al Magistraturii. </w:t>
      </w:r>
      <w:r w:rsidR="00F67FF3" w:rsidRPr="005403AD">
        <w:rPr>
          <w:rFonts w:asciiTheme="minorHAnsi" w:hAnsiTheme="minorHAnsi" w:cstheme="minorHAnsi"/>
          <w:sz w:val="26"/>
          <w:szCs w:val="26"/>
        </w:rPr>
        <w:t>O primă reuniune a Comitetului Executiv a avut loc la data de 15</w:t>
      </w:r>
      <w:r w:rsidR="00090793" w:rsidRPr="005403AD">
        <w:rPr>
          <w:rFonts w:asciiTheme="minorHAnsi" w:hAnsiTheme="minorHAnsi" w:cstheme="minorHAnsi"/>
          <w:sz w:val="26"/>
          <w:szCs w:val="26"/>
        </w:rPr>
        <w:t xml:space="preserve"> noiembrie </w:t>
      </w:r>
      <w:r w:rsidR="00F67FF3" w:rsidRPr="005403AD">
        <w:rPr>
          <w:rFonts w:asciiTheme="minorHAnsi" w:hAnsiTheme="minorHAnsi" w:cstheme="minorHAnsi"/>
          <w:sz w:val="26"/>
          <w:szCs w:val="26"/>
        </w:rPr>
        <w:t>2024, la Dublin, cu participarea reprezentantului ales al C</w:t>
      </w:r>
      <w:r w:rsidR="00090793" w:rsidRPr="005403AD">
        <w:rPr>
          <w:rFonts w:asciiTheme="minorHAnsi" w:hAnsiTheme="minorHAnsi" w:cstheme="minorHAnsi"/>
          <w:sz w:val="26"/>
          <w:szCs w:val="26"/>
        </w:rPr>
        <w:t>.</w:t>
      </w:r>
      <w:r w:rsidR="00F67FF3" w:rsidRPr="005403AD">
        <w:rPr>
          <w:rFonts w:asciiTheme="minorHAnsi" w:hAnsiTheme="minorHAnsi" w:cstheme="minorHAnsi"/>
          <w:sz w:val="26"/>
          <w:szCs w:val="26"/>
        </w:rPr>
        <w:t>S</w:t>
      </w:r>
      <w:r w:rsidR="00090793" w:rsidRPr="005403AD">
        <w:rPr>
          <w:rFonts w:asciiTheme="minorHAnsi" w:hAnsiTheme="minorHAnsi" w:cstheme="minorHAnsi"/>
          <w:sz w:val="26"/>
          <w:szCs w:val="26"/>
        </w:rPr>
        <w:t>.</w:t>
      </w:r>
      <w:r w:rsidR="00F67FF3" w:rsidRPr="005403AD">
        <w:rPr>
          <w:rFonts w:asciiTheme="minorHAnsi" w:hAnsiTheme="minorHAnsi" w:cstheme="minorHAnsi"/>
          <w:sz w:val="26"/>
          <w:szCs w:val="26"/>
        </w:rPr>
        <w:t>M.</w:t>
      </w:r>
      <w:r w:rsidR="00090793" w:rsidRPr="005403AD">
        <w:rPr>
          <w:rFonts w:asciiTheme="minorHAnsi" w:hAnsiTheme="minorHAnsi" w:cstheme="minorHAnsi"/>
          <w:sz w:val="26"/>
          <w:szCs w:val="26"/>
        </w:rPr>
        <w:t>.</w:t>
      </w:r>
    </w:p>
    <w:p w14:paraId="55E4EFC5" w14:textId="474DCF10"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Aflat sub coordonarea României încă din anul 2023, prin domnul judecător Claudiu-Marian Drăgușin, membru ales al Consiliului Superior al Magistraturii, în luna martie 2024 a avut loc, la București, o sesiune în format fizic a Forumului Justiție Digitală (Digital Justice Forum). Scopul Digital Justice Forum este de a crea o rețea de schimb de informații și consiliere pentru experții naționali care se ocupă cu aspecte privind digitalizarea, de a promova dialogul privind provocările și oportunitățile – echilibrarea eficienței și a accesului la o justiție independentă, de a monitoriza evoluțiile din domeniul inteligenței artificiale, precum și provocările și oportunitățile pe care aceasta le poate oferi sistemului judiciar, de a crea cadrul propice schimbului de bune practici, de a oferi Comisiei Europene o perspectivă a sistemelor judiciare asupra e-Justice, precum și de a asigura legătura cu Grupul de lucru C.E.P.E.J. privind justiția cibernetică, C.C.B.E., Direcția E-Justice DG Just a C.E..</w:t>
      </w:r>
    </w:p>
    <w:p w14:paraId="4ACF30C2"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Tema forumului găzduit la București în 2024 a fost „Utilizarea AI în rezumarea documentelor legale”, iar la lucrări au luat parte atât membrii R.E.C.J., cât și experți din partea Consiliului Europei, a Curții de Casație din Franța și a Institutului de Cercetări pentru Inteligență Artificială „Mihai Drăgănescu” (I.C.I.A.).</w:t>
      </w:r>
    </w:p>
    <w:p w14:paraId="098E544D"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Și în acest an a continuat implicarea Consiliului în activitatea Proiectului nr. 1 al R.E.C.J. - „Independență, responsabilitate și calitate în sistemul judiciar”. Proiectul și-a propus să urmărească schimbul de bune practici între membrii și observatorii Rețelei, dar și provocările cu care se confruntă sistemele judiciare europene, încercând, totodată, identificarea unor elemente care ar putea avea o aplicabilitate generală pentru statele participante. Activitățile s-au derulat ținând cont de cele trei mari componente, și anume Independența și responsabilitatea sistemului judiciar (Independence and Accountability), Sondajul privind gradul de satisfacție a justițiabililor (Court Users Survey) și Calitatea (Quality). </w:t>
      </w:r>
    </w:p>
    <w:p w14:paraId="3444CEF0"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Cu privire la prima componentă, în prima parte a acestui an a avut loc măsurarea indicatorilor rezultați în urma completării chestionarelor din anul anterior, concluziile urmând a se regăsi în profilele naționale ale fiecărui sistem judiciar. Ulterior, rezultatele au fost prezentate în raportul echipei de proiect, adoptat în cadrul Adunării Generale, în luna iunie 2024. În cea de-a doua parte a anului, s-a urmărit valorificarea rezultatelor obținute, precum și abordarea unor noi aspecte ce vizează independența sistemelor judiciare.</w:t>
      </w:r>
    </w:p>
    <w:p w14:paraId="4EC3932C"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Referitor la sondajul privind gradul de satisfacție a justițiabililor, în cursul acestui an s-a discutat cu privire la identificarea diverselor modalități pentru a implica activ acele consilii judiciare care nu au o cultură în aplicarea sondajelor privind gradul de satisfacție a justițiabililor. De asemenea, la nivelul echipei de proiect s-a abordat și posibilitatea efectuării unui sondaj paneuropean, pentru concretizarea unei astfel de inițiative, fiind necesară o implicare amplă a cât mai multor membri ai echipei de proiect. </w:t>
      </w:r>
    </w:p>
    <w:p w14:paraId="3FF1CB7D"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În privința componentei privind calitatea, scopul a rămas în continuare conceperea unor instrumente menite să ajute consiliile judiciare să evalueze și să îmbunătățească, acolo unde este cazul, influența pe care o au în asigurarea și promovarea calității sistemelor judiciare naționale.</w:t>
      </w:r>
    </w:p>
    <w:p w14:paraId="3A183F58" w14:textId="48BA8205"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lastRenderedPageBreak/>
        <w:t xml:space="preserve">În perioada 18 </w:t>
      </w:r>
      <w:r w:rsidR="00795F36" w:rsidRPr="004A72CD">
        <w:rPr>
          <w:rFonts w:asciiTheme="minorHAnsi" w:hAnsiTheme="minorHAnsi" w:cstheme="minorHAnsi"/>
          <w:sz w:val="26"/>
          <w:szCs w:val="26"/>
        </w:rPr>
        <w:t>–</w:t>
      </w:r>
      <w:r w:rsidRPr="004A72CD">
        <w:rPr>
          <w:rFonts w:asciiTheme="minorHAnsi" w:hAnsiTheme="minorHAnsi" w:cstheme="minorHAnsi"/>
          <w:sz w:val="26"/>
          <w:szCs w:val="26"/>
        </w:rPr>
        <w:t xml:space="preserve"> 19</w:t>
      </w:r>
      <w:r w:rsidR="00795F36" w:rsidRPr="004A72CD">
        <w:rPr>
          <w:rFonts w:asciiTheme="minorHAnsi" w:hAnsiTheme="minorHAnsi" w:cstheme="minorHAnsi"/>
          <w:sz w:val="26"/>
          <w:szCs w:val="26"/>
        </w:rPr>
        <w:t>.01.</w:t>
      </w:r>
      <w:r w:rsidRPr="004A72CD">
        <w:rPr>
          <w:rFonts w:asciiTheme="minorHAnsi" w:hAnsiTheme="minorHAnsi" w:cstheme="minorHAnsi"/>
          <w:sz w:val="26"/>
          <w:szCs w:val="26"/>
        </w:rPr>
        <w:t>2024, a avut loc</w:t>
      </w:r>
      <w:r w:rsidR="004844D3">
        <w:rPr>
          <w:rFonts w:asciiTheme="minorHAnsi" w:hAnsiTheme="minorHAnsi" w:cstheme="minorHAnsi"/>
          <w:sz w:val="26"/>
          <w:szCs w:val="26"/>
        </w:rPr>
        <w:t>,</w:t>
      </w:r>
      <w:r w:rsidRPr="004A72CD">
        <w:rPr>
          <w:rFonts w:asciiTheme="minorHAnsi" w:hAnsiTheme="minorHAnsi" w:cstheme="minorHAnsi"/>
          <w:sz w:val="26"/>
          <w:szCs w:val="26"/>
        </w:rPr>
        <w:t xml:space="preserve"> la Helsinki</w:t>
      </w:r>
      <w:r w:rsidR="004844D3">
        <w:rPr>
          <w:rFonts w:asciiTheme="minorHAnsi" w:hAnsiTheme="minorHAnsi" w:cstheme="minorHAnsi"/>
          <w:sz w:val="26"/>
          <w:szCs w:val="26"/>
        </w:rPr>
        <w:t>,</w:t>
      </w:r>
      <w:r w:rsidRPr="004A72CD">
        <w:rPr>
          <w:rFonts w:asciiTheme="minorHAnsi" w:hAnsiTheme="minorHAnsi" w:cstheme="minorHAnsi"/>
          <w:sz w:val="26"/>
          <w:szCs w:val="26"/>
        </w:rPr>
        <w:t xml:space="preserve"> reuniunea grupului de dialog B din cadrul Proiectului 1, dedicat discuțiilor referitoare la realizările și provocările din perspectiva independenței și responsabilității întâmpinate de sistemele judiciare de la ultimele întâlniri în acest format, dar și strategiilor adoptate de către consiliile judiciare în privința calității justiției. Reprezentarea Consiliului Superior al Magistraturii a fost asigurată de domnul judecător Claudiu Drăgușin, membru ales al Consiliului.</w:t>
      </w:r>
    </w:p>
    <w:p w14:paraId="4F42F101" w14:textId="1EBE0C6A"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În perioada 11 </w:t>
      </w:r>
      <w:r w:rsidR="00795F36" w:rsidRPr="004A72CD">
        <w:rPr>
          <w:rFonts w:asciiTheme="minorHAnsi" w:hAnsiTheme="minorHAnsi" w:cstheme="minorHAnsi"/>
          <w:sz w:val="26"/>
          <w:szCs w:val="26"/>
        </w:rPr>
        <w:t>–</w:t>
      </w:r>
      <w:r w:rsidRPr="004A72CD">
        <w:rPr>
          <w:rFonts w:asciiTheme="minorHAnsi" w:hAnsiTheme="minorHAnsi" w:cstheme="minorHAnsi"/>
          <w:sz w:val="26"/>
          <w:szCs w:val="26"/>
        </w:rPr>
        <w:t xml:space="preserve"> 12</w:t>
      </w:r>
      <w:r w:rsidR="00795F36" w:rsidRPr="004A72CD">
        <w:rPr>
          <w:rFonts w:asciiTheme="minorHAnsi" w:hAnsiTheme="minorHAnsi" w:cstheme="minorHAnsi"/>
          <w:sz w:val="26"/>
          <w:szCs w:val="26"/>
        </w:rPr>
        <w:t>.03.</w:t>
      </w:r>
      <w:r w:rsidRPr="004A72CD">
        <w:rPr>
          <w:rFonts w:asciiTheme="minorHAnsi" w:hAnsiTheme="minorHAnsi" w:cstheme="minorHAnsi"/>
          <w:sz w:val="26"/>
          <w:szCs w:val="26"/>
        </w:rPr>
        <w:t>2024, a avut loc</w:t>
      </w:r>
      <w:r w:rsidR="003E00F5">
        <w:rPr>
          <w:rFonts w:asciiTheme="minorHAnsi" w:hAnsiTheme="minorHAnsi" w:cstheme="minorHAnsi"/>
          <w:sz w:val="26"/>
          <w:szCs w:val="26"/>
        </w:rPr>
        <w:t>,</w:t>
      </w:r>
      <w:r w:rsidRPr="004A72CD">
        <w:rPr>
          <w:rFonts w:asciiTheme="minorHAnsi" w:hAnsiTheme="minorHAnsi" w:cstheme="minorHAnsi"/>
          <w:sz w:val="26"/>
          <w:szCs w:val="26"/>
        </w:rPr>
        <w:t xml:space="preserve"> la Riga</w:t>
      </w:r>
      <w:r w:rsidR="003E00F5">
        <w:rPr>
          <w:rFonts w:asciiTheme="minorHAnsi" w:hAnsiTheme="minorHAnsi" w:cstheme="minorHAnsi"/>
          <w:sz w:val="26"/>
          <w:szCs w:val="26"/>
        </w:rPr>
        <w:t>,</w:t>
      </w:r>
      <w:r w:rsidRPr="004A72CD">
        <w:rPr>
          <w:rFonts w:asciiTheme="minorHAnsi" w:hAnsiTheme="minorHAnsi" w:cstheme="minorHAnsi"/>
          <w:sz w:val="26"/>
          <w:szCs w:val="26"/>
        </w:rPr>
        <w:t xml:space="preserve"> reuniunea grupului de dialog tematic din cadrul Proiectului 1, dedicat discuțiilor referitoare la atractivitatea carierei judiciare, cu accent asupra condițiilor de muncă ale judecătorilor și remunerației cuvenite funcției exercitate în societate. Alte teme abordate au fost impactul calității mediului de lucru în creșterea atractivității profesiei de judecător, identificarea celor mai bune practici organizaționale pentru îmbunătățirea condițiilor de lucru, cu accent pe managementul timpului, încărcătură, nevoile viitoarelor generații de magistrați cu privire la condițiile de lucru optime care să îi determine să se orienteze către profesia de judecător. Reprezentarea Consiliului Superior al Magistraturii a fost asigurată de domnul judecător Alin-Vasile Ene, membru ales al Consiliului Superior al Magistraturii.</w:t>
      </w:r>
    </w:p>
    <w:p w14:paraId="56248BA1" w14:textId="77777777" w:rsidR="00AE5495" w:rsidRPr="004A72CD" w:rsidRDefault="00AE5495" w:rsidP="00F313A6">
      <w:pPr>
        <w:widowControl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De asemenea, în cadrul acestui proiect s-a lansat apelul pentru participarea, în perioada 2024 - 2025, la grupuri de dialog al căror scop este atât de a analiza, în echipe mici alcӑtuite din membri și observatori ai Rețelei, provocările și problemele pe care le poate ridica aplicarea acestor indicatori, precum și de a dezvolta idei de îmbunătățire a acestora la nivel național. Se dorește a se crea un cadru care sӑ permitӑ participanților un schimb aprofundat de bune practici și, totodatӑ, o mai bunӑ înțelegere a altor sisteme judiciare și a provocărilor cu care se confruntă acestea, Consiliul Superior al Magistraturii urmând a fi reprezentat și în cadrul acestei activități.</w:t>
      </w:r>
    </w:p>
    <w:p w14:paraId="530D7847" w14:textId="77777777" w:rsidR="00AE5495" w:rsidRPr="004A72CD" w:rsidRDefault="00AE5495" w:rsidP="00F313A6">
      <w:pPr>
        <w:widowControl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În septembrie 2024 au fost începute demersurile pentru realizarea sondajului periodic realizat în rândul judecătorilor cu privire la independenţa lor.</w:t>
      </w:r>
    </w:p>
    <w:p w14:paraId="46CC1EFF" w14:textId="77777777" w:rsidR="00AE5495" w:rsidRPr="004A72CD" w:rsidRDefault="00AE5495" w:rsidP="00F313A6">
      <w:pPr>
        <w:widowControl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În anul 2024, R.E.C.J. a continuat organizarea, în format online, a întâlnirilor de tip lunch-seminar, în cadrul cărora au fost abordate teme de interes comun pentru membrii săi (precum sondajele privind nevoile legale, degradarea statului de drept, discuții referitoare la ediția din anul 2024 a Raportului Comisiei Europene privind statul de drept), dar și subiecte referitoare la situațiile specifice ale unor sisteme judiciare/Consilii ale membrilor sau observatorilor R.E.C.J..</w:t>
      </w:r>
    </w:p>
    <w:p w14:paraId="1FCE095C" w14:textId="77777777" w:rsidR="00AE5495" w:rsidRPr="004A72CD" w:rsidRDefault="00AE5495" w:rsidP="00F313A6">
      <w:pPr>
        <w:widowControl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Nu în ultimul rând, trebuie menționatӑ și Adunarea Generalӑ a R.E.C.J., care a avut loc în perioada 12 – 14.06.2024, la Roma și care a avut ca temă centrală accesul la justiție, atât din perspectiva digitalizării justiției, cât și a accesului la justiție pentru persoanele vulnerabile, două aspecte îndeaproape susținute și de acțiunile interne implementate de Consiliul Superior al Magistraturii din România. Cu această ocazie, a fost adoptată Declarația de la Roma, prin care au fost evidențiate importanța și necesitatea intensificării eforturilor de impementare a digitalizării în cadrul sistemelor judiciare din toate statele membre. </w:t>
      </w:r>
    </w:p>
    <w:p w14:paraId="40F82A4D" w14:textId="4002E0B7" w:rsidR="007545B1" w:rsidRPr="005403AD" w:rsidRDefault="00AE5495" w:rsidP="007545B1">
      <w:pPr>
        <w:widowControl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Totodată, a fost aprobat şi Planul de lucru al Rețelei pentru perioada 2024 - 2025, care continuă o parte din proiectele inițiate deja și propune noi teme de reflecție pentru membrii și observatorii R.E.C.J., din perspectiva priorităților definite în plan european. Astfel, Consiliul Superior al Magistraturii va fi în continuare reprezentat în proiectul 1 - Independență, responsabilitate și calitatea sistemului judiciar, care este structurat pe trei domenii de interes: independență și responsabilitate (sondaje privind independența sistemului judiciar, conectarea cu societatea, prin inițierea unui dialog între R.E.C.J. și organizațiile societății civile/organizațiile </w:t>
      </w:r>
      <w:r w:rsidRPr="004A72CD">
        <w:rPr>
          <w:rFonts w:asciiTheme="minorHAnsi" w:hAnsiTheme="minorHAnsi" w:cstheme="minorHAnsi"/>
          <w:sz w:val="26"/>
          <w:szCs w:val="26"/>
        </w:rPr>
        <w:lastRenderedPageBreak/>
        <w:t xml:space="preserve">activând în domeniul drepturilor omului la nivelul U.E. pe tema problemelor sociale și a percepțiilor privind independența și responsabilitatea sistemelor judicare, dezvoltarea unui format pentru o evaluare externă a consiliilor judiciare), calitate (va fi continuată activitatea privind mandatul Consiliilor judiciare și se va realiza o evaluare a anumitor indicatori din chestionarul privind calitatea sistemului judiciar), sondaje pentru justițiabili, fie la nivel de state membre ale R.E.C.J., fie la nivel european, cu implicarea Comisiei Europene. </w:t>
      </w:r>
      <w:r w:rsidR="007545B1" w:rsidRPr="005403AD">
        <w:rPr>
          <w:rFonts w:asciiTheme="minorHAnsi" w:hAnsiTheme="minorHAnsi" w:cstheme="minorHAnsi"/>
          <w:sz w:val="26"/>
          <w:szCs w:val="26"/>
        </w:rPr>
        <w:t xml:space="preserve">Primele întâlniri în cadrul acestui proiect, la care a fost reprezentat Consiliul Superior al Magistraturii, au avut loc la Bruxelles, în perioada 10 - 11.11.2024, respectiv </w:t>
      </w:r>
      <w:r w:rsidR="005403AD">
        <w:rPr>
          <w:rFonts w:asciiTheme="minorHAnsi" w:hAnsiTheme="minorHAnsi" w:cstheme="minorHAnsi"/>
          <w:sz w:val="26"/>
          <w:szCs w:val="26"/>
        </w:rPr>
        <w:t>0</w:t>
      </w:r>
      <w:r w:rsidR="007545B1" w:rsidRPr="005403AD">
        <w:rPr>
          <w:rFonts w:asciiTheme="minorHAnsi" w:hAnsiTheme="minorHAnsi" w:cstheme="minorHAnsi"/>
          <w:sz w:val="26"/>
          <w:szCs w:val="26"/>
        </w:rPr>
        <w:t xml:space="preserve">5 - </w:t>
      </w:r>
      <w:r w:rsidR="005403AD">
        <w:rPr>
          <w:rFonts w:asciiTheme="minorHAnsi" w:hAnsiTheme="minorHAnsi" w:cstheme="minorHAnsi"/>
          <w:sz w:val="26"/>
          <w:szCs w:val="26"/>
        </w:rPr>
        <w:t>0</w:t>
      </w:r>
      <w:r w:rsidR="007545B1" w:rsidRPr="005403AD">
        <w:rPr>
          <w:rFonts w:asciiTheme="minorHAnsi" w:hAnsiTheme="minorHAnsi" w:cstheme="minorHAnsi"/>
          <w:sz w:val="26"/>
          <w:szCs w:val="26"/>
        </w:rPr>
        <w:t xml:space="preserve">6.12.2024. </w:t>
      </w:r>
    </w:p>
    <w:p w14:paraId="31D9611C"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De asemenea, Consiliul va asigura coordonarea și participarea la proiectul 2 – Forumul justiției digitale, al cărui obiectiv specific pentru anul 2024 - 2025 va fi identificarea instrumentelor utilizate în diferite sisteme judiciare pentru accesul la justiție în format digital și instrumente utilizate pentru ședințe online. </w:t>
      </w:r>
    </w:p>
    <w:p w14:paraId="7B6F4F14" w14:textId="09480C54"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Pe lângă aceste două proiecte, au mai fost stabilite și alte forme pentru derularea activităților în cadrul R.E.C.J., respectiv grupul tematic de dialog Justiția și media, Standarde disciplinare și grupul de lucru Strategia R</w:t>
      </w:r>
      <w:r w:rsidR="000C154C" w:rsidRPr="004A72CD">
        <w:rPr>
          <w:rFonts w:asciiTheme="minorHAnsi" w:hAnsiTheme="minorHAnsi" w:cstheme="minorHAnsi"/>
          <w:sz w:val="26"/>
          <w:szCs w:val="26"/>
        </w:rPr>
        <w:t>.</w:t>
      </w:r>
      <w:r w:rsidRPr="004A72CD">
        <w:rPr>
          <w:rFonts w:asciiTheme="minorHAnsi" w:hAnsiTheme="minorHAnsi" w:cstheme="minorHAnsi"/>
          <w:sz w:val="26"/>
          <w:szCs w:val="26"/>
        </w:rPr>
        <w:t>E</w:t>
      </w:r>
      <w:r w:rsidR="000C154C" w:rsidRPr="004A72CD">
        <w:rPr>
          <w:rFonts w:asciiTheme="minorHAnsi" w:hAnsiTheme="minorHAnsi" w:cstheme="minorHAnsi"/>
          <w:sz w:val="26"/>
          <w:szCs w:val="26"/>
        </w:rPr>
        <w:t>.</w:t>
      </w:r>
      <w:r w:rsidRPr="004A72CD">
        <w:rPr>
          <w:rFonts w:asciiTheme="minorHAnsi" w:hAnsiTheme="minorHAnsi" w:cstheme="minorHAnsi"/>
          <w:sz w:val="26"/>
          <w:szCs w:val="26"/>
        </w:rPr>
        <w:t>C</w:t>
      </w:r>
      <w:r w:rsidR="000C154C" w:rsidRPr="004A72CD">
        <w:rPr>
          <w:rFonts w:asciiTheme="minorHAnsi" w:hAnsiTheme="minorHAnsi" w:cstheme="minorHAnsi"/>
          <w:sz w:val="26"/>
          <w:szCs w:val="26"/>
        </w:rPr>
        <w:t>.</w:t>
      </w:r>
      <w:r w:rsidRPr="004A72CD">
        <w:rPr>
          <w:rFonts w:asciiTheme="minorHAnsi" w:hAnsiTheme="minorHAnsi" w:cstheme="minorHAnsi"/>
          <w:sz w:val="26"/>
          <w:szCs w:val="26"/>
        </w:rPr>
        <w:t>J</w:t>
      </w:r>
      <w:r w:rsidR="000C154C" w:rsidRPr="004A72CD">
        <w:rPr>
          <w:rFonts w:asciiTheme="minorHAnsi" w:hAnsiTheme="minorHAnsi" w:cstheme="minorHAnsi"/>
          <w:sz w:val="26"/>
          <w:szCs w:val="26"/>
        </w:rPr>
        <w:t>.</w:t>
      </w:r>
      <w:r w:rsidRPr="004A72CD">
        <w:rPr>
          <w:rFonts w:asciiTheme="minorHAnsi" w:hAnsiTheme="minorHAnsi" w:cstheme="minorHAnsi"/>
          <w:sz w:val="26"/>
          <w:szCs w:val="26"/>
        </w:rPr>
        <w:t>, care are ca obiectiv elaborarea noii strategii a R</w:t>
      </w:r>
      <w:r w:rsidR="000C154C" w:rsidRPr="004A72CD">
        <w:rPr>
          <w:rFonts w:asciiTheme="minorHAnsi" w:hAnsiTheme="minorHAnsi" w:cstheme="minorHAnsi"/>
          <w:sz w:val="26"/>
          <w:szCs w:val="26"/>
        </w:rPr>
        <w:t>.</w:t>
      </w:r>
      <w:r w:rsidRPr="004A72CD">
        <w:rPr>
          <w:rFonts w:asciiTheme="minorHAnsi" w:hAnsiTheme="minorHAnsi" w:cstheme="minorHAnsi"/>
          <w:sz w:val="26"/>
          <w:szCs w:val="26"/>
        </w:rPr>
        <w:t>E</w:t>
      </w:r>
      <w:r w:rsidR="000C154C" w:rsidRPr="004A72CD">
        <w:rPr>
          <w:rFonts w:asciiTheme="minorHAnsi" w:hAnsiTheme="minorHAnsi" w:cstheme="minorHAnsi"/>
          <w:sz w:val="26"/>
          <w:szCs w:val="26"/>
        </w:rPr>
        <w:t>.</w:t>
      </w:r>
      <w:r w:rsidRPr="004A72CD">
        <w:rPr>
          <w:rFonts w:asciiTheme="minorHAnsi" w:hAnsiTheme="minorHAnsi" w:cstheme="minorHAnsi"/>
          <w:sz w:val="26"/>
          <w:szCs w:val="26"/>
        </w:rPr>
        <w:t>C</w:t>
      </w:r>
      <w:r w:rsidR="000C154C" w:rsidRPr="004A72CD">
        <w:rPr>
          <w:rFonts w:asciiTheme="minorHAnsi" w:hAnsiTheme="minorHAnsi" w:cstheme="minorHAnsi"/>
          <w:sz w:val="26"/>
          <w:szCs w:val="26"/>
        </w:rPr>
        <w:t>.</w:t>
      </w:r>
      <w:r w:rsidRPr="004A72CD">
        <w:rPr>
          <w:rFonts w:asciiTheme="minorHAnsi" w:hAnsiTheme="minorHAnsi" w:cstheme="minorHAnsi"/>
          <w:sz w:val="26"/>
          <w:szCs w:val="26"/>
        </w:rPr>
        <w:t>J</w:t>
      </w:r>
      <w:r w:rsidR="000C154C" w:rsidRPr="004A72CD">
        <w:rPr>
          <w:rFonts w:asciiTheme="minorHAnsi" w:hAnsiTheme="minorHAnsi" w:cstheme="minorHAnsi"/>
          <w:sz w:val="26"/>
          <w:szCs w:val="26"/>
        </w:rPr>
        <w:t>.</w:t>
      </w:r>
      <w:r w:rsidRPr="004A72CD">
        <w:rPr>
          <w:rFonts w:asciiTheme="minorHAnsi" w:hAnsiTheme="minorHAnsi" w:cstheme="minorHAnsi"/>
          <w:sz w:val="26"/>
          <w:szCs w:val="26"/>
        </w:rPr>
        <w:t>, care să fie aprobată cu ocazia Adunării Generale a R.E.C.J. din 2025. De asemenea, se vor organiza în continuare o serie de seminarii online (lunch seminars), pentru a promova încrederea și cunoașterea reciprocă în rândul membrilor și observatorilor R.E.C.J., pe teme de interes comun, practici naționale sau evoluții recente în anumite domenii. Consiliul Superior al Magistraturii și-a desemnat participanții pentru fiecare dintre aceste activități, atât la nivel tehnic, cât și prin membrii aleși.</w:t>
      </w:r>
    </w:p>
    <w:p w14:paraId="78399F48" w14:textId="77777777" w:rsidR="00AE5495" w:rsidRPr="004A72CD" w:rsidRDefault="00AE5495" w:rsidP="00F313A6">
      <w:pPr>
        <w:widowControl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Beneficiind de colaborarea cu instituţiile omoloage din statele membre şi observatoare ale R.E.C.J., la nivelul Direcţiei a fost continuată activitatea de dialog şi schimb de experienţă şi bune practici prin transmiterea şi solicitarea de informaţii pe diverse teme de interes recent, cele mai multe dintre acestea servind la elaborarea de studii de drept comparat necesare pentru fundamentarea unor propuneri de modificări legislative/de legislaţie secundară, de implementare a unor noi instituţii/concepte juridice, la punerea în aplicare a unor noi dispoziţii legislative, precum și la implementarea unor proiecte privind optimizarea și eficientizarea activităţii instanţelor sau parchetelor.</w:t>
      </w:r>
    </w:p>
    <w:p w14:paraId="55A09872" w14:textId="77777777" w:rsidR="00AE5495" w:rsidRPr="00CD3492" w:rsidRDefault="00AE5495" w:rsidP="00D35E09">
      <w:pPr>
        <w:pStyle w:val="Heading3"/>
      </w:pPr>
      <w:bookmarkStart w:id="147" w:name="_Toc187824394"/>
      <w:r w:rsidRPr="00CD3492">
        <w:t>VI.3.3. Alte activităţi în domeniul relaţiilor externe</w:t>
      </w:r>
      <w:bookmarkEnd w:id="145"/>
      <w:bookmarkEnd w:id="146"/>
      <w:bookmarkEnd w:id="147"/>
      <w:r w:rsidRPr="00CD3492">
        <w:t xml:space="preserve"> </w:t>
      </w:r>
      <w:bookmarkStart w:id="148" w:name="_Toc381021557"/>
      <w:bookmarkStart w:id="149" w:name="_Toc430867135"/>
    </w:p>
    <w:p w14:paraId="0D054108" w14:textId="77777777" w:rsidR="00AE5495" w:rsidRPr="004A72CD" w:rsidRDefault="00AE5495" w:rsidP="00F313A6">
      <w:pPr>
        <w:keepNext/>
        <w:spacing w:line="276" w:lineRule="auto"/>
        <w:ind w:right="-2" w:firstLine="709"/>
        <w:jc w:val="both"/>
        <w:rPr>
          <w:rFonts w:asciiTheme="minorHAnsi" w:hAnsiTheme="minorHAnsi" w:cstheme="minorHAnsi"/>
          <w:b/>
          <w:bCs/>
          <w:sz w:val="26"/>
          <w:szCs w:val="26"/>
        </w:rPr>
      </w:pPr>
      <w:r w:rsidRPr="004A72CD">
        <w:rPr>
          <w:rFonts w:asciiTheme="minorHAnsi" w:hAnsiTheme="minorHAnsi" w:cstheme="minorHAnsi"/>
          <w:b/>
          <w:bCs/>
          <w:sz w:val="26"/>
          <w:szCs w:val="26"/>
        </w:rPr>
        <w:t>La nivelul Uniunii Europene</w:t>
      </w:r>
    </w:p>
    <w:p w14:paraId="1D9C8DCD"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Consiliul Superior al Magistraturii, inclusiv prin intermediul Institutului Național al Magistraturii, a susținut activ programele de schimburi între profesioniști. Și în anul 2024 a fost continuată seria de vizite de studiu derulate la Consiliul Superior al Magistraturii, în cadrul Programului de schimb între autorităţile judiciare al Rețelei Europene de Formare Judiciară. În acest context, D.A.E.R.I.P. – S.A.E.R.I. a asigurat cadrul discuţiilor şi materialele necesare pentru a prezenta judecătorilor și procurorilor străini funcţiile şi atribuțiile Consiliului Superior al Magistraturii şi organizarea sistemului judiciar din România.</w:t>
      </w:r>
    </w:p>
    <w:p w14:paraId="19F8A64D"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De asemenea, instituția a fost reprezentată la cea de a opta întâlnire a președinților curților de apel din Uniunea Europeană, care a avut loc în perioada 12 – 14.06.2024, la București. Acest eveniment prestigios, la care participă magistrați din state membre, a avut ca temă drepturile și </w:t>
      </w:r>
      <w:r w:rsidRPr="004A72CD">
        <w:rPr>
          <w:rFonts w:asciiTheme="minorHAnsi" w:hAnsiTheme="minorHAnsi" w:cstheme="minorHAnsi"/>
          <w:sz w:val="26"/>
          <w:szCs w:val="26"/>
        </w:rPr>
        <w:lastRenderedPageBreak/>
        <w:t xml:space="preserve">libertățile fundamentale în sistemul judiciar, precum și digitalizarea, inteligența artificială și justiția. </w:t>
      </w:r>
    </w:p>
    <w:p w14:paraId="73108D9E"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În anul 2024, Consiliul Superior al Magistraturii a continuat să participe la reuniunile persoanelor de contact organizate de Comisia Europeană în legӑturӑ cu Tabloul de bord privind Justiția în U.E. – E.U. Justice Scoreboard. Consiliul Superior al Magistraturii a continuat implicarea activă prin completarea chestionarului transmis de Comisia Europeană, chestionar care va sta la baza elaborării ediției 2024 a Raportului E.U. Justice Scoreboard. Totodată, precizăm că Raportul EU Justice Scoreboard a fost publicat în luna iunie 2024.</w:t>
      </w:r>
    </w:p>
    <w:p w14:paraId="5D15E8B3" w14:textId="4BC80670"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De asemenea, trebuie menţionată reprezentarea Consiliului Superior al Magistraturii în activitatea Grupului de lucru Contencios al Uniunii Europene (G.L.C.U.E.), organism interguvernamental/interinstituţional, la nivelul Agentului Guvernamental pentru Curtea de Justiție a Uniunii Europene (A.g.C.J.U.E.), activitate concretizată în participarea la nivel tehnic, la reuniunile G.L.C.U.E. şi colaborarea prin transmiterea de observaţii și puncte de vedere relevante din perspectiva competențelor C</w:t>
      </w:r>
      <w:r w:rsidR="00917A28" w:rsidRPr="004A72CD">
        <w:rPr>
          <w:rFonts w:asciiTheme="minorHAnsi" w:hAnsiTheme="minorHAnsi" w:cstheme="minorHAnsi"/>
          <w:sz w:val="26"/>
          <w:szCs w:val="26"/>
        </w:rPr>
        <w:t xml:space="preserve">onsiliului </w:t>
      </w:r>
      <w:r w:rsidRPr="004A72CD">
        <w:rPr>
          <w:rFonts w:asciiTheme="minorHAnsi" w:hAnsiTheme="minorHAnsi" w:cstheme="minorHAnsi"/>
          <w:sz w:val="26"/>
          <w:szCs w:val="26"/>
        </w:rPr>
        <w:t>S</w:t>
      </w:r>
      <w:r w:rsidR="00364532" w:rsidRPr="004A72CD">
        <w:rPr>
          <w:rFonts w:asciiTheme="minorHAnsi" w:hAnsiTheme="minorHAnsi" w:cstheme="minorHAnsi"/>
          <w:sz w:val="26"/>
          <w:szCs w:val="26"/>
        </w:rPr>
        <w:t>u</w:t>
      </w:r>
      <w:r w:rsidR="00917A28" w:rsidRPr="004A72CD">
        <w:rPr>
          <w:rFonts w:asciiTheme="minorHAnsi" w:hAnsiTheme="minorHAnsi" w:cstheme="minorHAnsi"/>
          <w:sz w:val="26"/>
          <w:szCs w:val="26"/>
        </w:rPr>
        <w:t xml:space="preserve">perior al </w:t>
      </w:r>
      <w:r w:rsidRPr="004A72CD">
        <w:rPr>
          <w:rFonts w:asciiTheme="minorHAnsi" w:hAnsiTheme="minorHAnsi" w:cstheme="minorHAnsi"/>
          <w:sz w:val="26"/>
          <w:szCs w:val="26"/>
        </w:rPr>
        <w:t>M</w:t>
      </w:r>
      <w:r w:rsidR="00917A28" w:rsidRPr="004A72CD">
        <w:rPr>
          <w:rFonts w:asciiTheme="minorHAnsi" w:hAnsiTheme="minorHAnsi" w:cstheme="minorHAnsi"/>
          <w:sz w:val="26"/>
          <w:szCs w:val="26"/>
        </w:rPr>
        <w:t>agistraturii</w:t>
      </w:r>
      <w:r w:rsidRPr="004A72CD">
        <w:rPr>
          <w:rFonts w:asciiTheme="minorHAnsi" w:hAnsiTheme="minorHAnsi" w:cstheme="minorHAnsi"/>
          <w:sz w:val="26"/>
          <w:szCs w:val="26"/>
        </w:rPr>
        <w:t>, ori de câte ori au fost primite solicitări în acest sens.</w:t>
      </w:r>
    </w:p>
    <w:p w14:paraId="2C8CF013" w14:textId="77777777" w:rsidR="00AE5495" w:rsidRPr="004A72CD" w:rsidRDefault="00AE5495" w:rsidP="00F313A6">
      <w:pPr>
        <w:spacing w:line="276" w:lineRule="auto"/>
        <w:ind w:right="-2" w:firstLine="709"/>
        <w:jc w:val="both"/>
        <w:rPr>
          <w:rFonts w:asciiTheme="minorHAnsi" w:hAnsiTheme="minorHAnsi" w:cstheme="minorHAnsi"/>
          <w:b/>
          <w:bCs/>
          <w:sz w:val="26"/>
          <w:szCs w:val="26"/>
        </w:rPr>
      </w:pPr>
      <w:r w:rsidRPr="004A72CD">
        <w:rPr>
          <w:rFonts w:asciiTheme="minorHAnsi" w:hAnsiTheme="minorHAnsi" w:cstheme="minorHAnsi"/>
          <w:b/>
          <w:bCs/>
          <w:sz w:val="26"/>
          <w:szCs w:val="26"/>
        </w:rPr>
        <w:t>La nivelul Consiliului Europei (CoE)</w:t>
      </w:r>
    </w:p>
    <w:p w14:paraId="35E2C299" w14:textId="07C2BC6F"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Referitor la colaborarea în cadrul proiectului Consiliului Europei – Comisia Europeană pentru Eficientizarea Justiției (C.E.P.E.J.), aceasta s-a realizat atât prin reprezentarea instituției, la nivel tehnic, în activitatea specifică, precum și prin transmiterea contribuției României la chestionarele elaborate de C.E.P.E.J., care stau la baza evaluărilor sistemelor judiciare naționale ale statelor membre ale Consiliului Europei – atât cea realizată la fiecare doi ani, cât și distinct, pentru evaluarea anuală</w:t>
      </w:r>
      <w:bookmarkStart w:id="150" w:name="_Hlk178940854"/>
      <w:r w:rsidRPr="004A72CD">
        <w:rPr>
          <w:rFonts w:asciiTheme="minorHAnsi" w:hAnsiTheme="minorHAnsi" w:cstheme="minorHAnsi"/>
          <w:sz w:val="26"/>
          <w:szCs w:val="26"/>
        </w:rPr>
        <w:t xml:space="preserve"> în cadrul E.U. Justice Scoreboard</w:t>
      </w:r>
      <w:bookmarkEnd w:id="150"/>
      <w:r w:rsidRPr="004A72CD">
        <w:rPr>
          <w:rFonts w:asciiTheme="minorHAnsi" w:hAnsiTheme="minorHAnsi" w:cstheme="minorHAnsi"/>
          <w:sz w:val="26"/>
          <w:szCs w:val="26"/>
        </w:rPr>
        <w:t xml:space="preserve">. Ca şi până acum, implicarea </w:t>
      </w:r>
      <w:r w:rsidR="00917A28" w:rsidRPr="004A72CD">
        <w:rPr>
          <w:rFonts w:asciiTheme="minorHAnsi" w:hAnsiTheme="minorHAnsi" w:cstheme="minorHAnsi"/>
          <w:sz w:val="26"/>
          <w:szCs w:val="26"/>
        </w:rPr>
        <w:t>Consiliului S</w:t>
      </w:r>
      <w:r w:rsidR="00364532" w:rsidRPr="004A72CD">
        <w:rPr>
          <w:rFonts w:asciiTheme="minorHAnsi" w:hAnsiTheme="minorHAnsi" w:cstheme="minorHAnsi"/>
          <w:sz w:val="26"/>
          <w:szCs w:val="26"/>
        </w:rPr>
        <w:t>u</w:t>
      </w:r>
      <w:r w:rsidR="00917A28" w:rsidRPr="004A72CD">
        <w:rPr>
          <w:rFonts w:asciiTheme="minorHAnsi" w:hAnsiTheme="minorHAnsi" w:cstheme="minorHAnsi"/>
          <w:sz w:val="26"/>
          <w:szCs w:val="26"/>
        </w:rPr>
        <w:t>perior al Magistraturii</w:t>
      </w:r>
      <w:r w:rsidRPr="004A72CD">
        <w:rPr>
          <w:rFonts w:asciiTheme="minorHAnsi" w:hAnsiTheme="minorHAnsi" w:cstheme="minorHAnsi"/>
          <w:sz w:val="26"/>
          <w:szCs w:val="26"/>
        </w:rPr>
        <w:t xml:space="preserve">. a fost una activă, în colaborare cu Ministerul Justiţiei. Totodată, la data de 16 octombrie 2024, reprezentantul Consiliului Superior al Magistraturii a luat parte, la Strasbourg, la cea de-a 18-a reuniune a corespondenților naționali. </w:t>
      </w:r>
      <w:r w:rsidR="00B40103" w:rsidRPr="00B40103">
        <w:rPr>
          <w:rFonts w:asciiTheme="minorHAnsi" w:hAnsiTheme="minorHAnsi" w:cstheme="minorHAnsi"/>
          <w:sz w:val="26"/>
          <w:szCs w:val="26"/>
        </w:rPr>
        <w:t>La data de 16</w:t>
      </w:r>
      <w:r w:rsidR="00B40103">
        <w:rPr>
          <w:rFonts w:asciiTheme="minorHAnsi" w:hAnsiTheme="minorHAnsi" w:cstheme="minorHAnsi"/>
          <w:sz w:val="26"/>
          <w:szCs w:val="26"/>
        </w:rPr>
        <w:t xml:space="preserve"> octombrie </w:t>
      </w:r>
      <w:r w:rsidR="00B40103" w:rsidRPr="00B40103">
        <w:rPr>
          <w:rFonts w:asciiTheme="minorHAnsi" w:hAnsiTheme="minorHAnsi" w:cstheme="minorHAnsi"/>
          <w:sz w:val="26"/>
          <w:szCs w:val="26"/>
        </w:rPr>
        <w:t>2024 a fost publicat Raportul C</w:t>
      </w:r>
      <w:r w:rsidR="00B40103">
        <w:rPr>
          <w:rFonts w:asciiTheme="minorHAnsi" w:hAnsiTheme="minorHAnsi" w:cstheme="minorHAnsi"/>
          <w:sz w:val="26"/>
          <w:szCs w:val="26"/>
        </w:rPr>
        <w:t>.</w:t>
      </w:r>
      <w:r w:rsidR="00B40103" w:rsidRPr="00B40103">
        <w:rPr>
          <w:rFonts w:asciiTheme="minorHAnsi" w:hAnsiTheme="minorHAnsi" w:cstheme="minorHAnsi"/>
          <w:sz w:val="26"/>
          <w:szCs w:val="26"/>
        </w:rPr>
        <w:t>E</w:t>
      </w:r>
      <w:r w:rsidR="00B40103">
        <w:rPr>
          <w:rFonts w:asciiTheme="minorHAnsi" w:hAnsiTheme="minorHAnsi" w:cstheme="minorHAnsi"/>
          <w:sz w:val="26"/>
          <w:szCs w:val="26"/>
        </w:rPr>
        <w:t>.</w:t>
      </w:r>
      <w:r w:rsidR="00B40103" w:rsidRPr="00B40103">
        <w:rPr>
          <w:rFonts w:asciiTheme="minorHAnsi" w:hAnsiTheme="minorHAnsi" w:cstheme="minorHAnsi"/>
          <w:sz w:val="26"/>
          <w:szCs w:val="26"/>
        </w:rPr>
        <w:t>P</w:t>
      </w:r>
      <w:r w:rsidR="00B40103">
        <w:rPr>
          <w:rFonts w:asciiTheme="minorHAnsi" w:hAnsiTheme="minorHAnsi" w:cstheme="minorHAnsi"/>
          <w:sz w:val="26"/>
          <w:szCs w:val="26"/>
        </w:rPr>
        <w:t>.</w:t>
      </w:r>
      <w:r w:rsidR="00B40103" w:rsidRPr="00B40103">
        <w:rPr>
          <w:rFonts w:asciiTheme="minorHAnsi" w:hAnsiTheme="minorHAnsi" w:cstheme="minorHAnsi"/>
          <w:sz w:val="26"/>
          <w:szCs w:val="26"/>
        </w:rPr>
        <w:t>E</w:t>
      </w:r>
      <w:r w:rsidR="00B40103">
        <w:rPr>
          <w:rFonts w:asciiTheme="minorHAnsi" w:hAnsiTheme="minorHAnsi" w:cstheme="minorHAnsi"/>
          <w:sz w:val="26"/>
          <w:szCs w:val="26"/>
        </w:rPr>
        <w:t>.</w:t>
      </w:r>
      <w:r w:rsidR="00B40103" w:rsidRPr="00B40103">
        <w:rPr>
          <w:rFonts w:asciiTheme="minorHAnsi" w:hAnsiTheme="minorHAnsi" w:cstheme="minorHAnsi"/>
          <w:sz w:val="26"/>
          <w:szCs w:val="26"/>
        </w:rPr>
        <w:t>J</w:t>
      </w:r>
      <w:r w:rsidR="00B40103">
        <w:rPr>
          <w:rFonts w:asciiTheme="minorHAnsi" w:hAnsiTheme="minorHAnsi" w:cstheme="minorHAnsi"/>
          <w:sz w:val="26"/>
          <w:szCs w:val="26"/>
        </w:rPr>
        <w:t>.</w:t>
      </w:r>
      <w:r w:rsidR="00B40103" w:rsidRPr="00B40103">
        <w:rPr>
          <w:rFonts w:asciiTheme="minorHAnsi" w:hAnsiTheme="minorHAnsi" w:cstheme="minorHAnsi"/>
          <w:sz w:val="26"/>
          <w:szCs w:val="26"/>
        </w:rPr>
        <w:t xml:space="preserve"> de evaluare a sistemelor judiciare, cuprinzând date aferente anului 2022</w:t>
      </w:r>
      <w:r w:rsidR="00B40103">
        <w:rPr>
          <w:rFonts w:asciiTheme="minorHAnsi" w:hAnsiTheme="minorHAnsi" w:cstheme="minorHAnsi"/>
          <w:sz w:val="26"/>
          <w:szCs w:val="26"/>
        </w:rPr>
        <w:t>.</w:t>
      </w:r>
    </w:p>
    <w:p w14:paraId="57503C2D"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Tabloul de bord privind justiția în U.E. (EU Justice Scoreboard) este un instrument de informare menit să ajute U.E. și statele membre să crească gradul de eficacitate al justiției, prin furnizarea de date obiective, fiabile și comparabile privind calitatea, independența și eficiența sistemelor de justiție în toate statele membre. Acesta contribuie la identificarea eventualelor deficiențe, a îmbunătățirilor care pot fi aduse și a bunelor practici şi prezintă tendințele funcționării sistemelor naționale de justiție de-a lungul timpului. </w:t>
      </w:r>
    </w:p>
    <w:p w14:paraId="3C2166F6" w14:textId="5EC0D7C4" w:rsidR="00AE5495"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Reprezentarea Consiliului Superior al Magistraturii la activitățile Consiliului Europei s-a realizat și în cadrul activităților derulate în cadrul proiectului T.J.E.N.I. – Foster Transparency of Judicial Decisions and Enhancing the National Implementation of E.C.H.R., al cărui scop a fost acela de a propune soluții metodologice și tehnologice de anonimizare (pseudonimizare) a hotărârilor judecătorești, în vederea publicării și clasificării acestora și care a fost finalizat odată cu conferința de închidere de la Lisabona, din data de 18 martie 2024. Consiliul Europei a cooptat Consiliul Superior al Magistraturii ca partener încă de la debutul proiectului, pentru a exemplifica bunele practici și provocările în ceea ce privește publicarea jurisprudenței prin intermediul portalului </w:t>
      </w:r>
      <w:hyperlink r:id="rId33" w:history="1">
        <w:r w:rsidRPr="004A72CD">
          <w:rPr>
            <w:rFonts w:asciiTheme="minorHAnsi" w:hAnsiTheme="minorHAnsi" w:cstheme="minorHAnsi"/>
            <w:sz w:val="26"/>
            <w:szCs w:val="26"/>
          </w:rPr>
          <w:t>www.rejust.ro</w:t>
        </w:r>
      </w:hyperlink>
      <w:r w:rsidRPr="004A72CD">
        <w:rPr>
          <w:rFonts w:asciiTheme="minorHAnsi" w:hAnsiTheme="minorHAnsi" w:cstheme="minorHAnsi"/>
          <w:sz w:val="26"/>
          <w:szCs w:val="26"/>
        </w:rPr>
        <w:t xml:space="preserve">, instrument creat pentru creșterea transparenței sistemului judiciar și a încrederii publice în sistemul de justiție. Schimbul de experiență a condus la crearea unor noi </w:t>
      </w:r>
      <w:r w:rsidRPr="004A72CD">
        <w:rPr>
          <w:rFonts w:asciiTheme="minorHAnsi" w:hAnsiTheme="minorHAnsi" w:cstheme="minorHAnsi"/>
          <w:sz w:val="26"/>
          <w:szCs w:val="26"/>
        </w:rPr>
        <w:lastRenderedPageBreak/>
        <w:t xml:space="preserve">proiecte de digitalizare, utilizând instrumente de inteligență artificială ce vor contribui la eficientizarea justiției. De asemenea, proiectul T.J.E.N.I. a adus României oportunitatea de a traduce în limba română, cu sprijinul Institutului European din România, interfața H.U.D.O.C., limba română devenind astfel a noua limbă utilizată în cadrul platformei Curții Europene a Drepturilor Omului, prin care sunt puse la dispoziție hotărârile instanței europene. Aceasta a fost lansată oficial cu ocazia conferinței din </w:t>
      </w:r>
      <w:r w:rsidR="00E07D83" w:rsidRPr="004A72CD">
        <w:rPr>
          <w:rFonts w:asciiTheme="minorHAnsi" w:hAnsiTheme="minorHAnsi" w:cstheme="minorHAnsi"/>
          <w:sz w:val="26"/>
          <w:szCs w:val="26"/>
        </w:rPr>
        <w:t>0</w:t>
      </w:r>
      <w:r w:rsidRPr="004A72CD">
        <w:rPr>
          <w:rFonts w:asciiTheme="minorHAnsi" w:hAnsiTheme="minorHAnsi" w:cstheme="minorHAnsi"/>
          <w:sz w:val="26"/>
          <w:szCs w:val="26"/>
        </w:rPr>
        <w:t xml:space="preserve">5 aprilie 2024, de la București. </w:t>
      </w:r>
    </w:p>
    <w:p w14:paraId="28636523" w14:textId="6A641EEA" w:rsidR="00175A57" w:rsidRPr="005403AD" w:rsidRDefault="00175A57" w:rsidP="00175A57">
      <w:pPr>
        <w:spacing w:line="276" w:lineRule="auto"/>
        <w:ind w:right="-2" w:firstLine="709"/>
        <w:jc w:val="both"/>
        <w:rPr>
          <w:rFonts w:asciiTheme="minorHAnsi" w:hAnsiTheme="minorHAnsi" w:cstheme="minorHAnsi"/>
          <w:sz w:val="26"/>
          <w:szCs w:val="26"/>
        </w:rPr>
      </w:pPr>
      <w:r w:rsidRPr="005403AD">
        <w:rPr>
          <w:rFonts w:asciiTheme="minorHAnsi" w:hAnsiTheme="minorHAnsi" w:cstheme="minorHAnsi"/>
          <w:sz w:val="26"/>
          <w:szCs w:val="26"/>
        </w:rPr>
        <w:t xml:space="preserve">De asemenea, în cursul lunii noiembrie 2024, Consiliul Superior al Magistraturii a asigurat participarea la reuniunea coordonatorilor/membrilor evenimentelor de tip Hackathon – </w:t>
      </w:r>
      <w:r w:rsidRPr="005403AD">
        <w:rPr>
          <w:rFonts w:asciiTheme="minorHAnsi" w:hAnsiTheme="minorHAnsi" w:cstheme="minorHAnsi"/>
          <w:i/>
          <w:iCs/>
          <w:sz w:val="26"/>
          <w:szCs w:val="26"/>
        </w:rPr>
        <w:t xml:space="preserve">Digital Future of Justice 2.0, </w:t>
      </w:r>
      <w:r w:rsidRPr="005403AD">
        <w:rPr>
          <w:rFonts w:asciiTheme="minorHAnsi" w:hAnsiTheme="minorHAnsi" w:cstheme="minorHAnsi"/>
          <w:sz w:val="26"/>
          <w:szCs w:val="26"/>
        </w:rPr>
        <w:t xml:space="preserve">o activitate derulată de Consiliul Europei, în colaborare cu Institutul de Informatică Juridică și Sisteme Judiciare al Consiliului Național de Cercetare din Italia și Universitatea din Bologna. </w:t>
      </w:r>
    </w:p>
    <w:p w14:paraId="6877B252"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În contextul colaborării în cadrul CoE – C.E.D.O., trebuie menționată implicarea Consiliului în materia drepturilor omului şi colaborarea cu Agentul Guvernamental pentru Curtea Europeană a Drepturilor Omului prin diseminarea jurisprudenței relevante, la solicitarea Agentului Guvernamental pentru C.E.D.O.. De asemenea, la data de 26 ianuarie 2024, Consiliul Superior al Magistraturii a participat, la Strasbourg, la conferința de deschidere a anului judiciar al Curții Europene a Drepturilor Omului, care s-a derulat sub tema centrală a revizuirii principiului subsidiarității dreptului european în era responsabilității partajate, precum și la seminarul premergător, unde au fost abordate subiecte legate de impactul Protocolului nr. 15 la Convenția Europeană a Drepturilor Omului asupra principiului subsidiarității, controlul constituțional și epuizarea căilor de atac interne sau principiul subsidiarității prin prisma jurisprudenței naționale. </w:t>
      </w:r>
    </w:p>
    <w:p w14:paraId="5300F484"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În același context, Consiliul Superior al Magistraturii a continuat colaborarea cu Institutul European din România în ceea ce privește jurisprudența Curții Europene a Drepturilor Omului, transmisă de I.E.R. în forma tradusă în limba română.</w:t>
      </w:r>
    </w:p>
    <w:p w14:paraId="66B1480A" w14:textId="0F6134CC"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La data de </w:t>
      </w:r>
      <w:r w:rsidR="00C1716F" w:rsidRPr="004A72CD">
        <w:rPr>
          <w:rFonts w:asciiTheme="minorHAnsi" w:hAnsiTheme="minorHAnsi" w:cstheme="minorHAnsi"/>
          <w:sz w:val="26"/>
          <w:szCs w:val="26"/>
        </w:rPr>
        <w:t>0</w:t>
      </w:r>
      <w:r w:rsidRPr="004A72CD">
        <w:rPr>
          <w:rFonts w:asciiTheme="minorHAnsi" w:hAnsiTheme="minorHAnsi" w:cstheme="minorHAnsi"/>
          <w:sz w:val="26"/>
          <w:szCs w:val="26"/>
        </w:rPr>
        <w:t xml:space="preserve">8 august 2024, a fost dat publicității Raportul Grupului de State împotriva Corupției (G.R.E.C.O.), care reflectă situația României în urma celei de-a patra runde de evaluare vizând prevenirea corupției în rândul parlamentarilor, judecătorilor și procurorilor. Potrivit acestui raport, cu referire la sistemul judiciar și la aspectele privind integritatea judecătorilor și procurorilor, au fost apreciate eforturile depuse pentru creșterea rolului Consiliului Superior al Magistraturii și al Inspecției Judiciare, ca urmare a implementării noilor legi ale justiției adoptate în anul 2022 și a fost evidențiată îndeplinirea ultimelor două recomandări din Raportul follow-up la Raportul ad-hoc (Regula 34). Consiliul Superior al Magistraturii a colaborat cu toate instituțiile responsabile – Ministerul Justiției, Înalta Curte de Casație și Justiție, Parchetul de pe lângă Înalta Curte de Casație și Justiție și celelalte instanțe judecătorești și parchete de pe lângă acestea pentru consolidarea independenței justiției, aspecte reținute și de G.R.E.C.O.. </w:t>
      </w:r>
    </w:p>
    <w:p w14:paraId="3A258A8A" w14:textId="77777777" w:rsidR="00AE5495" w:rsidRPr="004A72CD" w:rsidRDefault="00AE5495" w:rsidP="00F313A6">
      <w:pPr>
        <w:keepNext/>
        <w:spacing w:line="276" w:lineRule="auto"/>
        <w:ind w:right="-2" w:firstLine="709"/>
        <w:jc w:val="both"/>
        <w:rPr>
          <w:rFonts w:asciiTheme="minorHAnsi" w:hAnsiTheme="minorHAnsi" w:cstheme="minorHAnsi"/>
          <w:b/>
          <w:bCs/>
          <w:sz w:val="26"/>
          <w:szCs w:val="26"/>
        </w:rPr>
      </w:pPr>
      <w:r w:rsidRPr="004A72CD">
        <w:rPr>
          <w:rFonts w:asciiTheme="minorHAnsi" w:hAnsiTheme="minorHAnsi" w:cstheme="minorHAnsi"/>
          <w:b/>
          <w:bCs/>
          <w:sz w:val="26"/>
          <w:szCs w:val="26"/>
        </w:rPr>
        <w:t xml:space="preserve">La nivelul altor foruri internaționale </w:t>
      </w:r>
    </w:p>
    <w:p w14:paraId="4D40A0FB"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Consiliul Superior al Magistraturii a oferit informațiile solicitate de Ministerul Justiției pentru completarea chestionarului transmis tuturor statelor O.N.U. de Oficiul Înaltului Comisar pentru Drepturile Omului în vederea pregătirii viitorului raport al Secretarului General privind „Drepturile omului în administrarea justiției”, raport solicitat de Adunarea generală O.N.U. prin Rezoluția 77/219 din 15 decembrie 2022.  </w:t>
      </w:r>
    </w:p>
    <w:p w14:paraId="436C96A6" w14:textId="719DD450"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De asemenea, Consiliul Superior al Magistraturii a sprijinit, în limita atribuțiilor care îi revin, eforturile autorităților naționale în procesul de aderare a României la Organizaţia pentru </w:t>
      </w:r>
      <w:r w:rsidRPr="004A72CD">
        <w:rPr>
          <w:rFonts w:asciiTheme="minorHAnsi" w:hAnsiTheme="minorHAnsi" w:cstheme="minorHAnsi"/>
          <w:sz w:val="26"/>
          <w:szCs w:val="26"/>
        </w:rPr>
        <w:lastRenderedPageBreak/>
        <w:t xml:space="preserve">Cooperare şi Dezvoltare Economică (O.C.D.E.). Astfel, în contextul evaluărilor periodice realizate de comitetele acestui for interguvernamental, pentru îmbunătățirea eforturilor de aliniere la standardele și bunele practici ale O.C.D.E. pe termen mediu și lung, Comitetul de Guvernanță Publică al O.C.D.E. a formulat opt recomandări prioritare în domeniul justiției. Pentru analiza și monitorizarea acestora, la nivelul Consiliului de Management Strategic a fost constituit un grup de lucru interinstituțional, în cadrul căruia Consiliul Superior al Magistraturii este reprezentat prin domnul judecător Claudiu-Marian Drăgușin și domnul procuror Bogdan Silviu Staicu, membri aleși ai Consiliului Superior al Magistraturii. În acest cadru, pe parcursul anului 2024, </w:t>
      </w:r>
      <w:r w:rsidR="00CA141A" w:rsidRPr="004A72CD">
        <w:rPr>
          <w:rFonts w:asciiTheme="minorHAnsi" w:hAnsiTheme="minorHAnsi" w:cstheme="minorHAnsi"/>
          <w:sz w:val="26"/>
          <w:szCs w:val="26"/>
        </w:rPr>
        <w:t>Consiliul Superior al Magistraturii</w:t>
      </w:r>
      <w:r w:rsidRPr="004A72CD">
        <w:rPr>
          <w:rFonts w:asciiTheme="minorHAnsi" w:hAnsiTheme="minorHAnsi" w:cstheme="minorHAnsi"/>
          <w:sz w:val="26"/>
          <w:szCs w:val="26"/>
        </w:rPr>
        <w:t xml:space="preserve"> a participat la reuniunile periodice ale acetui grup de lucru și a transmis contribuții scrise privind recomandările O.C.D.E. și pentru elaborarea Planului de măsuri pentru implementarea acestora. </w:t>
      </w:r>
    </w:p>
    <w:p w14:paraId="37DC3380" w14:textId="77777777" w:rsidR="00AE5495" w:rsidRPr="004A72CD" w:rsidRDefault="00AE5495" w:rsidP="00F313A6">
      <w:pPr>
        <w:spacing w:line="276" w:lineRule="auto"/>
        <w:ind w:right="-2" w:firstLine="709"/>
        <w:jc w:val="both"/>
        <w:rPr>
          <w:rFonts w:asciiTheme="minorHAnsi" w:hAnsiTheme="minorHAnsi" w:cstheme="minorHAnsi"/>
          <w:b/>
          <w:bCs/>
          <w:sz w:val="26"/>
          <w:szCs w:val="26"/>
        </w:rPr>
      </w:pPr>
      <w:r w:rsidRPr="004A72CD">
        <w:rPr>
          <w:rFonts w:asciiTheme="minorHAnsi" w:hAnsiTheme="minorHAnsi" w:cstheme="minorHAnsi"/>
          <w:b/>
          <w:bCs/>
          <w:sz w:val="26"/>
          <w:szCs w:val="26"/>
        </w:rPr>
        <w:t xml:space="preserve">La nivelul relațiilor bilaterale </w:t>
      </w:r>
    </w:p>
    <w:p w14:paraId="15B07D22"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Continuând în linia inițiativelor din anii precedenți, care au pus accentul pe consolidarea bunei cooperări instituționale si pe deschiderea spre dialog cu instituțiile omoloage din Republica Moldova, în anul 2024 au fost parcurși pași importanți în acest sens. </w:t>
      </w:r>
    </w:p>
    <w:p w14:paraId="2EBD4DB4" w14:textId="155E4732"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Astfel, în perioada 24 – 27.04.2024</w:t>
      </w:r>
      <w:r w:rsidR="000E64E9">
        <w:rPr>
          <w:rFonts w:asciiTheme="minorHAnsi" w:hAnsiTheme="minorHAnsi" w:cstheme="minorHAnsi"/>
          <w:sz w:val="26"/>
          <w:szCs w:val="26"/>
        </w:rPr>
        <w:t>,</w:t>
      </w:r>
      <w:r w:rsidRPr="004A72CD">
        <w:rPr>
          <w:rFonts w:asciiTheme="minorHAnsi" w:hAnsiTheme="minorHAnsi" w:cstheme="minorHAnsi"/>
          <w:sz w:val="26"/>
          <w:szCs w:val="26"/>
        </w:rPr>
        <w:t xml:space="preserve"> a avut loc o vizită de lucru a reprezentanților Consiliului Superior al Magistraturii din Moldova, prilej cu care a fost adoptată Declarația comună a Secției pentru judecători și a reprezentanților societății civile din cadrul Consiliului Superior al Magistraturii din România și a membrilor Consiliului Superior al Magistraturii din Republica Moldova, care marchează acordul părților semnatare pentru continuarea colaborării între sistemele judiciare din cele două țări și asigurarea unui sprijin instituțional țintit în direcția schimbului de experiență, ce va servi instituției din Republica Moldova în armonizarea legislației naționale cu normele europene pe parcusul procesului de aderare la Uniunea Europeană. </w:t>
      </w:r>
    </w:p>
    <w:p w14:paraId="2F5ACFC1" w14:textId="0EBD75D6"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De asemenea, în perioada 03 – 07.06.2024</w:t>
      </w:r>
      <w:r w:rsidR="000E64E9">
        <w:rPr>
          <w:rFonts w:asciiTheme="minorHAnsi" w:hAnsiTheme="minorHAnsi" w:cstheme="minorHAnsi"/>
          <w:sz w:val="26"/>
          <w:szCs w:val="26"/>
        </w:rPr>
        <w:t>,</w:t>
      </w:r>
      <w:r w:rsidRPr="004A72CD">
        <w:rPr>
          <w:rFonts w:asciiTheme="minorHAnsi" w:hAnsiTheme="minorHAnsi" w:cstheme="minorHAnsi"/>
          <w:sz w:val="26"/>
          <w:szCs w:val="26"/>
        </w:rPr>
        <w:t xml:space="preserve"> a avut loc, la București, o vizită de studiu a reprezentanților Consiliului Superior al Procurorilor din Republica Moldova. În acest cadru, la </w:t>
      </w:r>
      <w:r w:rsidR="008D17DE" w:rsidRPr="004A72CD">
        <w:rPr>
          <w:rFonts w:asciiTheme="minorHAnsi" w:hAnsiTheme="minorHAnsi" w:cstheme="minorHAnsi"/>
          <w:sz w:val="26"/>
          <w:szCs w:val="26"/>
        </w:rPr>
        <w:t>0</w:t>
      </w:r>
      <w:r w:rsidRPr="004A72CD">
        <w:rPr>
          <w:rFonts w:asciiTheme="minorHAnsi" w:hAnsiTheme="minorHAnsi" w:cstheme="minorHAnsi"/>
          <w:sz w:val="26"/>
          <w:szCs w:val="26"/>
        </w:rPr>
        <w:t xml:space="preserve">4 iunie 2024, a fost semnată o declarație comună, pentru a marca colaborarea dintre Secția pentru Procurori a Consiliului Superior al Magistraturii din România și Consiliul Superior al Procurorilor din Republica Moldova. Această declarație oficializează demersurile deja realizate de cele două instituții pentru întărirea parteneriatului pe teme de interes comun, concretizat în organizarea de reuniuni de lucru și schimburi de bune practici, inclusiv în baza protocolului tripartit încheiat cu instituțiile echivalente din Republica Moldova. Secția pentru Procurori a Consiliului Superior al Magistraturii va contribui cu expertiza și politicile instituționale consacrate în domenii strategice în susținerea Consiliului Superior al Procurorilor. </w:t>
      </w:r>
    </w:p>
    <w:p w14:paraId="49E0DF07" w14:textId="54584CEB"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Aceste acțiuni au fost precedate de participarea unei delegații a Consiliului Superior al Magistraturii, în perioada 24 – 28.01.2024, la Maramureș, la ședința comună a Comisiilor juridice și a Comitetului pentru politica juridică din Senatul României cu reprezentanții Parlamentului din Republica Moldova și ai Radei Supreme a Ucrainei. Întâlnirea a reprezentat o platformă de dialog și cooperare internațională, în vederea atingerii obiectivelor de integrare europeană a țărilor candidate, fiind stabilite, cu acest prilej, mai multe priorități privind colaborarea inter-instituțională și susținerea reformelor juridice ale sistemelor judiciare din Republica Moldova și Ucraina.</w:t>
      </w:r>
    </w:p>
    <w:p w14:paraId="66250A48" w14:textId="77777777" w:rsidR="00AE5495" w:rsidRPr="004A3440" w:rsidRDefault="00AE5495" w:rsidP="00D35E09">
      <w:pPr>
        <w:pStyle w:val="Heading3"/>
      </w:pPr>
      <w:bookmarkStart w:id="151" w:name="_Toc187824395"/>
      <w:r w:rsidRPr="004A3440">
        <w:lastRenderedPageBreak/>
        <w:t>VI.3.4. Activitatea în domeniul programelor cu finanţare europeană şi internaţională</w:t>
      </w:r>
      <w:bookmarkStart w:id="152" w:name="_Toc430867136"/>
      <w:bookmarkEnd w:id="148"/>
      <w:bookmarkEnd w:id="149"/>
      <w:bookmarkEnd w:id="151"/>
    </w:p>
    <w:p w14:paraId="36085236" w14:textId="70AF2CF3" w:rsidR="00AE5495" w:rsidRPr="004A72CD" w:rsidRDefault="00AE5495" w:rsidP="00F313A6">
      <w:pPr>
        <w:widowControl w:val="0"/>
        <w:autoSpaceDE w:val="0"/>
        <w:autoSpaceDN w:val="0"/>
        <w:adjustRightInd w:val="0"/>
        <w:spacing w:line="276" w:lineRule="auto"/>
        <w:ind w:right="-2" w:firstLine="709"/>
        <w:jc w:val="both"/>
        <w:rPr>
          <w:rFonts w:asciiTheme="minorHAnsi" w:hAnsiTheme="minorHAnsi" w:cstheme="minorHAnsi"/>
          <w:bCs/>
          <w:sz w:val="26"/>
          <w:szCs w:val="26"/>
        </w:rPr>
      </w:pPr>
      <w:r w:rsidRPr="004A72CD">
        <w:rPr>
          <w:rFonts w:asciiTheme="minorHAnsi" w:hAnsiTheme="minorHAnsi" w:cstheme="minorHAnsi"/>
          <w:sz w:val="26"/>
          <w:szCs w:val="26"/>
        </w:rPr>
        <w:t>Serviciul Programe Europene și Internaționale a continuat</w:t>
      </w:r>
      <w:r w:rsidR="00D9237D">
        <w:rPr>
          <w:rFonts w:asciiTheme="minorHAnsi" w:hAnsiTheme="minorHAnsi" w:cstheme="minorHAnsi"/>
          <w:sz w:val="26"/>
          <w:szCs w:val="26"/>
        </w:rPr>
        <w:t>,</w:t>
      </w:r>
      <w:r w:rsidRPr="004A72CD">
        <w:rPr>
          <w:rFonts w:asciiTheme="minorHAnsi" w:hAnsiTheme="minorHAnsi" w:cstheme="minorHAnsi"/>
          <w:sz w:val="26"/>
          <w:szCs w:val="26"/>
        </w:rPr>
        <w:t xml:space="preserve"> în anul 2024</w:t>
      </w:r>
      <w:r w:rsidR="00D9237D">
        <w:rPr>
          <w:rFonts w:asciiTheme="minorHAnsi" w:hAnsiTheme="minorHAnsi" w:cstheme="minorHAnsi"/>
          <w:sz w:val="26"/>
          <w:szCs w:val="26"/>
        </w:rPr>
        <w:t>,</w:t>
      </w:r>
      <w:r w:rsidRPr="004A72CD">
        <w:rPr>
          <w:rFonts w:asciiTheme="minorHAnsi" w:hAnsiTheme="minorHAnsi" w:cstheme="minorHAnsi"/>
          <w:sz w:val="26"/>
          <w:szCs w:val="26"/>
        </w:rPr>
        <w:t xml:space="preserve"> activitatea de implementare a proiectelor cu finanțare externă nerambursabilă demarate în anii anteriori, după cum urmează:</w:t>
      </w:r>
    </w:p>
    <w:p w14:paraId="7846A43A" w14:textId="77777777" w:rsidR="00AE5495" w:rsidRPr="004A72CD" w:rsidRDefault="00AE5495" w:rsidP="00F313A6">
      <w:pPr>
        <w:widowControl w:val="0"/>
        <w:autoSpaceDE w:val="0"/>
        <w:autoSpaceDN w:val="0"/>
        <w:adjustRightInd w:val="0"/>
        <w:spacing w:line="276" w:lineRule="auto"/>
        <w:ind w:right="-2" w:firstLine="709"/>
        <w:jc w:val="both"/>
        <w:rPr>
          <w:rFonts w:asciiTheme="minorHAnsi" w:hAnsiTheme="minorHAnsi" w:cstheme="minorHAnsi"/>
          <w:bCs/>
          <w:sz w:val="26"/>
          <w:szCs w:val="26"/>
        </w:rPr>
      </w:pPr>
      <w:r w:rsidRPr="004A72CD">
        <w:rPr>
          <w:rFonts w:asciiTheme="minorHAnsi" w:hAnsiTheme="minorHAnsi" w:cstheme="minorHAnsi"/>
          <w:b/>
          <w:bCs/>
          <w:sz w:val="26"/>
          <w:szCs w:val="26"/>
        </w:rPr>
        <w:t>1. Proiectul „Formarea profesională și consolidarea capacității la nivelul sistemului judiciar”</w:t>
      </w:r>
      <w:r w:rsidRPr="004A72CD">
        <w:rPr>
          <w:rFonts w:asciiTheme="minorHAnsi" w:hAnsiTheme="minorHAnsi" w:cstheme="minorHAnsi"/>
          <w:bCs/>
          <w:sz w:val="26"/>
          <w:szCs w:val="26"/>
        </w:rPr>
        <w:t>,</w:t>
      </w:r>
      <w:r w:rsidRPr="004A72CD">
        <w:rPr>
          <w:rFonts w:asciiTheme="minorHAnsi" w:hAnsiTheme="minorHAnsi" w:cstheme="minorHAnsi"/>
          <w:b/>
          <w:bCs/>
          <w:sz w:val="26"/>
          <w:szCs w:val="26"/>
        </w:rPr>
        <w:t xml:space="preserve"> </w:t>
      </w:r>
      <w:r w:rsidRPr="004A72CD">
        <w:rPr>
          <w:rFonts w:asciiTheme="minorHAnsi" w:hAnsiTheme="minorHAnsi" w:cstheme="minorHAnsi"/>
          <w:bCs/>
          <w:sz w:val="26"/>
          <w:szCs w:val="26"/>
        </w:rPr>
        <w:t>finanțat în cadrul Mecanismul Financiar Norvegian 2014-2021 (M.F.N. 2014-2021)</w:t>
      </w:r>
    </w:p>
    <w:p w14:paraId="49173144" w14:textId="77777777" w:rsidR="00AE5495" w:rsidRPr="004A72CD" w:rsidRDefault="00AE5495" w:rsidP="00F313A6">
      <w:pPr>
        <w:widowControl w:val="0"/>
        <w:autoSpaceDE w:val="0"/>
        <w:autoSpaceDN w:val="0"/>
        <w:adjustRightInd w:val="0"/>
        <w:spacing w:line="276" w:lineRule="auto"/>
        <w:ind w:right="-2" w:firstLine="709"/>
        <w:jc w:val="both"/>
        <w:rPr>
          <w:rFonts w:asciiTheme="minorHAnsi" w:hAnsiTheme="minorHAnsi" w:cstheme="minorHAnsi"/>
          <w:bCs/>
          <w:sz w:val="26"/>
          <w:szCs w:val="26"/>
        </w:rPr>
      </w:pPr>
      <w:r w:rsidRPr="004A72CD">
        <w:rPr>
          <w:rFonts w:asciiTheme="minorHAnsi" w:hAnsiTheme="minorHAnsi" w:cstheme="minorHAnsi"/>
          <w:bCs/>
          <w:sz w:val="26"/>
          <w:szCs w:val="26"/>
        </w:rPr>
        <w:t xml:space="preserve">Proiectul predefinit s-a derulat în perioada 28.02.2019 – 30.04.2024, un demers amplu dedicat </w:t>
      </w:r>
      <w:r w:rsidRPr="004A72CD">
        <w:rPr>
          <w:rFonts w:asciiTheme="minorHAnsi" w:hAnsiTheme="minorHAnsi" w:cstheme="minorHAnsi"/>
          <w:sz w:val="26"/>
          <w:szCs w:val="26"/>
        </w:rPr>
        <w:t>consolidării sistemului judiciar din România, prin îmbunătățirea eficienței acestuia, precum și dezvoltării conceptului de cultură juridică europeană.</w:t>
      </w:r>
    </w:p>
    <w:p w14:paraId="19C9E2A2" w14:textId="77777777" w:rsidR="00AE5495" w:rsidRPr="004A72CD" w:rsidRDefault="00AE5495" w:rsidP="00F313A6">
      <w:pPr>
        <w:widowControl w:val="0"/>
        <w:autoSpaceDE w:val="0"/>
        <w:autoSpaceDN w:val="0"/>
        <w:adjustRightInd w:val="0"/>
        <w:spacing w:line="276" w:lineRule="auto"/>
        <w:ind w:right="-2" w:firstLine="709"/>
        <w:jc w:val="both"/>
        <w:rPr>
          <w:rFonts w:asciiTheme="minorHAnsi" w:hAnsiTheme="minorHAnsi" w:cstheme="minorHAnsi"/>
          <w:bCs/>
          <w:sz w:val="26"/>
          <w:szCs w:val="26"/>
        </w:rPr>
      </w:pPr>
      <w:r w:rsidRPr="004A72CD">
        <w:rPr>
          <w:rFonts w:asciiTheme="minorHAnsi" w:hAnsiTheme="minorHAnsi" w:cstheme="minorHAnsi"/>
          <w:bCs/>
          <w:sz w:val="26"/>
          <w:szCs w:val="26"/>
        </w:rPr>
        <w:t>În cursul anului 2024, au fost organizate 12 sesiuni de formare profesională, în următoarele domenii: 3 sesiuni în domeniul achiziţiilor publice, o sesiune în domeniul procedurii fiscale, o sesiune în domeniul cooperării judiciare în materie civilă, o sesiune în domeniul cooperării judiciare în materie civilă și penală, 4 sesiuni în domeniul jurisprudenţei C.E.D.O. şi al drepturilor fundamentale şi 2 sesiuni în domeniul executării hotărârilor în materie penală. De asemenea, în perioada de referință au fost organizate 2 conferințe privind accesul la justiție al populației de etnie romă și grupurilor vulnerabile, precum și conferința de închidere a proiectului predefinit.</w:t>
      </w:r>
    </w:p>
    <w:p w14:paraId="71082E06" w14:textId="77777777" w:rsidR="00AE5495" w:rsidRPr="004A72CD" w:rsidRDefault="00AE5495" w:rsidP="00F313A6">
      <w:pPr>
        <w:widowControl w:val="0"/>
        <w:autoSpaceDE w:val="0"/>
        <w:autoSpaceDN w:val="0"/>
        <w:adjustRightInd w:val="0"/>
        <w:spacing w:line="276" w:lineRule="auto"/>
        <w:ind w:right="-2" w:firstLine="709"/>
        <w:jc w:val="both"/>
        <w:rPr>
          <w:rFonts w:asciiTheme="minorHAnsi" w:hAnsiTheme="minorHAnsi" w:cstheme="minorHAnsi"/>
          <w:bCs/>
          <w:sz w:val="26"/>
          <w:szCs w:val="26"/>
        </w:rPr>
      </w:pPr>
      <w:r w:rsidRPr="004A72CD">
        <w:rPr>
          <w:rFonts w:asciiTheme="minorHAnsi" w:hAnsiTheme="minorHAnsi" w:cstheme="minorHAnsi"/>
          <w:bCs/>
          <w:sz w:val="26"/>
          <w:szCs w:val="26"/>
        </w:rPr>
        <w:t xml:space="preserve">Proiectul a fost restructurat prin introducerea unei noi activități, respectiv organizarea a 8 sesiuni de conștientizare a importanței utilizării camerelor de audiere dezvoltate la nivelul instanțelor, activitate derulată în perioada februarie - aprilie 2024, fiind de asemenea dezvoltată o nouă cameră de audiere minori la nivelul instanțelor, ajungându-se astfel la un total de 51 de camere de audiere minori la nivel național. </w:t>
      </w:r>
    </w:p>
    <w:p w14:paraId="61DA9FD4" w14:textId="77777777" w:rsidR="00AE5495" w:rsidRPr="004A72CD" w:rsidRDefault="00AE5495" w:rsidP="00F313A6">
      <w:pPr>
        <w:widowControl w:val="0"/>
        <w:autoSpaceDE w:val="0"/>
        <w:autoSpaceDN w:val="0"/>
        <w:adjustRightInd w:val="0"/>
        <w:spacing w:line="276" w:lineRule="auto"/>
        <w:ind w:right="-2" w:firstLine="709"/>
        <w:jc w:val="both"/>
        <w:rPr>
          <w:rFonts w:asciiTheme="minorHAnsi" w:hAnsiTheme="minorHAnsi" w:cstheme="minorHAnsi"/>
          <w:bCs/>
          <w:sz w:val="26"/>
          <w:szCs w:val="26"/>
        </w:rPr>
      </w:pPr>
      <w:r w:rsidRPr="004A72CD">
        <w:rPr>
          <w:rFonts w:asciiTheme="minorHAnsi" w:hAnsiTheme="minorHAnsi" w:cstheme="minorHAnsi"/>
          <w:bCs/>
          <w:sz w:val="26"/>
          <w:szCs w:val="26"/>
        </w:rPr>
        <w:t>Nu în ultimul rând, au fost tipărite în format de hârtie și diseminate către instanțe Ghidul de bune practici în domeniul tehnicilor de audiere a minorilor și Ghidul de bune practici în domeniul executării hotărârilor penale, cu accent pe aspecte specifice populației de etnie romă, disponibile de asemenea în format electronic în secţiunea dedicată din site-ul Consiliului.</w:t>
      </w:r>
    </w:p>
    <w:p w14:paraId="1B326767" w14:textId="77777777" w:rsidR="00AE5495" w:rsidRPr="004A72CD" w:rsidRDefault="00AE5495" w:rsidP="00F313A6">
      <w:pPr>
        <w:widowControl w:val="0"/>
        <w:autoSpaceDE w:val="0"/>
        <w:autoSpaceDN w:val="0"/>
        <w:adjustRightInd w:val="0"/>
        <w:spacing w:line="276" w:lineRule="auto"/>
        <w:ind w:right="-2" w:firstLine="709"/>
        <w:jc w:val="both"/>
        <w:rPr>
          <w:rFonts w:asciiTheme="minorHAnsi" w:hAnsiTheme="minorHAnsi" w:cstheme="minorHAnsi"/>
          <w:bCs/>
          <w:sz w:val="26"/>
          <w:szCs w:val="26"/>
        </w:rPr>
      </w:pPr>
      <w:r w:rsidRPr="004A72CD">
        <w:rPr>
          <w:rFonts w:asciiTheme="minorHAnsi" w:hAnsiTheme="minorHAnsi" w:cstheme="minorHAnsi"/>
          <w:bCs/>
          <w:sz w:val="26"/>
          <w:szCs w:val="26"/>
        </w:rPr>
        <w:t xml:space="preserve">Totodată, în cadrul output 4, în cursul anului 2024 s-a finalizat dotarea cu echipamente IT a Consiliului Superior al Magistraturii și Școlii Naționale de Grefieri, precum și cu echipamente frigotehnice și de birou pentru Consiliul Superior al Magistraturii. </w:t>
      </w:r>
    </w:p>
    <w:p w14:paraId="77B596A8" w14:textId="77777777" w:rsidR="00AE5495" w:rsidRPr="004A72CD" w:rsidRDefault="00AE5495" w:rsidP="00F313A6">
      <w:pPr>
        <w:widowControl w:val="0"/>
        <w:autoSpaceDE w:val="0"/>
        <w:autoSpaceDN w:val="0"/>
        <w:adjustRightInd w:val="0"/>
        <w:spacing w:line="276" w:lineRule="auto"/>
        <w:ind w:right="-2" w:firstLine="709"/>
        <w:jc w:val="both"/>
        <w:rPr>
          <w:rFonts w:asciiTheme="minorHAnsi" w:hAnsiTheme="minorHAnsi" w:cstheme="minorHAnsi"/>
          <w:bCs/>
          <w:sz w:val="26"/>
          <w:szCs w:val="26"/>
        </w:rPr>
      </w:pPr>
      <w:r w:rsidRPr="004A72CD">
        <w:rPr>
          <w:rFonts w:asciiTheme="minorHAnsi" w:hAnsiTheme="minorHAnsi" w:cstheme="minorHAnsi"/>
          <w:bCs/>
          <w:sz w:val="26"/>
          <w:szCs w:val="26"/>
        </w:rPr>
        <w:t xml:space="preserve">Derulat pe parcursul a cinci ani, proiectul predefinit a contribuit la perfecționarea formării continue a profesioniștilor din cadrul sistemului judiciar, cu accent pe conceptele legale europene în domenii actuale în vederea creșterii eficienței și calității procesului de luare a deciziilor la nivelul sistemului, promovarea unor măsuri concrete pentru crearea unei justiții prietenoase pentru minori, atât prin îmbunătățirea abilităților practice ale profesioniștilor din cadrul, dar și din afara sistemului judiciar în domeniul tehnicilor de audiere a minorilor, cât și prin crearea infrastructurii necesare la nivelul instanțelor pentru derularea acestor proceduri, precum și la îmbunătățirea accesului la justiție, în special pentru grupurile vulnerabile. </w:t>
      </w:r>
    </w:p>
    <w:p w14:paraId="0C61ACBC" w14:textId="77777777" w:rsidR="00AE5495" w:rsidRPr="004A72CD" w:rsidRDefault="00AE5495" w:rsidP="00F313A6">
      <w:pPr>
        <w:widowControl w:val="0"/>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b/>
          <w:bCs/>
          <w:sz w:val="26"/>
          <w:szCs w:val="26"/>
        </w:rPr>
        <w:t>2. Planul Național de Redresare și Reziliență (P.N.R.R.)</w:t>
      </w:r>
    </w:p>
    <w:p w14:paraId="1A2C6BF6" w14:textId="77777777" w:rsidR="00AE5495" w:rsidRPr="004A72CD" w:rsidRDefault="00AE5495" w:rsidP="00F313A6">
      <w:pPr>
        <w:widowControl w:val="0"/>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Consiliul Superior al Magistraturii a continuat în anul 2024 implementarea proiectului „Îmbunătățirea digitalizării la nivelul Consiliului Superior al Magistraturii”</w:t>
      </w:r>
      <w:r w:rsidRPr="004A72CD">
        <w:rPr>
          <w:rFonts w:asciiTheme="minorHAnsi" w:hAnsiTheme="minorHAnsi" w:cstheme="minorHAnsi"/>
          <w:i/>
          <w:iCs/>
          <w:sz w:val="26"/>
          <w:szCs w:val="26"/>
        </w:rPr>
        <w:t xml:space="preserve">, </w:t>
      </w:r>
      <w:r w:rsidRPr="004A72CD">
        <w:rPr>
          <w:rFonts w:asciiTheme="minorHAnsi" w:hAnsiTheme="minorHAnsi" w:cstheme="minorHAnsi"/>
          <w:sz w:val="26"/>
          <w:szCs w:val="26"/>
        </w:rPr>
        <w:t xml:space="preserve">finanțat prin Mecanismul de Redresare și Reziliență, în cadrul componentei 7 - „Transformare digitală”, investiția 4 - „Digitalizarea sistemului judiciar” din Planul Național de Redresare și Reziliență, având ca obiectiv consolidarea capacității instituționale a Consiliului Superior al Magistraturii </w:t>
      </w:r>
      <w:r w:rsidRPr="004A72CD">
        <w:rPr>
          <w:rFonts w:asciiTheme="minorHAnsi" w:hAnsiTheme="minorHAnsi" w:cstheme="minorHAnsi"/>
          <w:sz w:val="26"/>
          <w:szCs w:val="26"/>
        </w:rPr>
        <w:lastRenderedPageBreak/>
        <w:t xml:space="preserve">pentru asigurarea îndeplinirii adecvate a atribuțiilor, prin furnizarea de resurse digitale, pentru a crea premisele necesare în vederea îmbunătățirii guvernării electronice și accelerării transformării digitale în sectorul judiciar. </w:t>
      </w:r>
    </w:p>
    <w:p w14:paraId="353670AB" w14:textId="77777777" w:rsidR="00AE5495" w:rsidRPr="004A72CD" w:rsidRDefault="00AE5495" w:rsidP="00F313A6">
      <w:pPr>
        <w:widowControl w:val="0"/>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În cursul anului 2024, în considerarea obiectivului proiectului și a rezultatului urmărit – consolidarea capacității instituționale la nivelul Consiliului Superior al Magistraturii prin sporirea infrastructurii IT și a securității informatice şi având în vedere economiile înregistrate în procesul de implementare, s-a realizat o analiză actualizată de nevoi, fiind incluse noi echipamente care vor avea o contribuţie directă la actualizarea şi funcţionarea în bune condiţii a infrastructurii IT din Consiliu. Corelativ, perioada de implementare a proiectului a fost extinsă până în luna august 2025. </w:t>
      </w:r>
    </w:p>
    <w:p w14:paraId="048D21B9" w14:textId="77777777" w:rsidR="00AE5495" w:rsidRPr="004A72CD" w:rsidRDefault="00AE5495" w:rsidP="00F313A6">
      <w:pPr>
        <w:widowControl w:val="0"/>
        <w:autoSpaceDE w:val="0"/>
        <w:autoSpaceDN w:val="0"/>
        <w:adjustRightInd w:val="0"/>
        <w:spacing w:line="276" w:lineRule="auto"/>
        <w:ind w:right="-2" w:firstLine="709"/>
        <w:jc w:val="both"/>
        <w:rPr>
          <w:rFonts w:asciiTheme="minorHAnsi" w:hAnsiTheme="minorHAnsi" w:cstheme="minorHAnsi"/>
          <w:b/>
          <w:bCs/>
          <w:sz w:val="26"/>
          <w:szCs w:val="26"/>
        </w:rPr>
      </w:pPr>
      <w:r w:rsidRPr="004A72CD">
        <w:rPr>
          <w:rFonts w:asciiTheme="minorHAnsi" w:hAnsiTheme="minorHAnsi" w:cstheme="minorHAnsi"/>
          <w:b/>
          <w:sz w:val="26"/>
          <w:szCs w:val="26"/>
        </w:rPr>
        <w:t>3. Proiectul „Dezvoltarea sistemului de management al cauzelor – Ecris V” (cod My SMIS 142520</w:t>
      </w:r>
      <w:r w:rsidRPr="004A72CD">
        <w:rPr>
          <w:rFonts w:asciiTheme="minorHAnsi" w:hAnsiTheme="minorHAnsi" w:cstheme="minorHAnsi"/>
          <w:b/>
          <w:bCs/>
          <w:sz w:val="26"/>
          <w:szCs w:val="26"/>
        </w:rPr>
        <w:t>)</w:t>
      </w:r>
    </w:p>
    <w:p w14:paraId="35536244" w14:textId="77777777" w:rsidR="00AE5495" w:rsidRDefault="00AE5495" w:rsidP="00F313A6">
      <w:pPr>
        <w:widowControl w:val="0"/>
        <w:autoSpaceDE w:val="0"/>
        <w:autoSpaceDN w:val="0"/>
        <w:adjustRightInd w:val="0"/>
        <w:spacing w:line="276" w:lineRule="auto"/>
        <w:ind w:right="-2" w:firstLine="709"/>
        <w:jc w:val="both"/>
        <w:rPr>
          <w:rFonts w:asciiTheme="minorHAnsi" w:hAnsiTheme="minorHAnsi" w:cstheme="minorHAnsi"/>
          <w:bCs/>
          <w:sz w:val="26"/>
          <w:szCs w:val="26"/>
        </w:rPr>
      </w:pPr>
      <w:r w:rsidRPr="004A72CD">
        <w:rPr>
          <w:rFonts w:asciiTheme="minorHAnsi" w:hAnsiTheme="minorHAnsi" w:cstheme="minorHAnsi"/>
          <w:bCs/>
          <w:sz w:val="26"/>
          <w:szCs w:val="26"/>
        </w:rPr>
        <w:t xml:space="preserve">Consiliul Superior al Magistraturii, alături de Curtea de Apel București şi Parchetul de pe lângă Înalta Curte de Casație și Justiție (Ministerul Public), participă, în calitate de parteneri, ȋn cadrul proiectului </w:t>
      </w:r>
      <w:r w:rsidRPr="004A72CD">
        <w:rPr>
          <w:rFonts w:asciiTheme="minorHAnsi" w:hAnsiTheme="minorHAnsi" w:cstheme="minorHAnsi"/>
          <w:bCs/>
          <w:iCs/>
          <w:sz w:val="26"/>
          <w:szCs w:val="26"/>
        </w:rPr>
        <w:t>„Dezvoltarea sistemului de management al cauzelor – Ecris V”</w:t>
      </w:r>
      <w:r w:rsidRPr="004A72CD">
        <w:rPr>
          <w:rFonts w:asciiTheme="minorHAnsi" w:hAnsiTheme="minorHAnsi" w:cstheme="minorHAnsi"/>
          <w:bCs/>
          <w:sz w:val="26"/>
          <w:szCs w:val="26"/>
        </w:rPr>
        <w:t xml:space="preserve">, implementat de Ministerul Justiției </w:t>
      </w:r>
      <w:r w:rsidRPr="004A72CD">
        <w:rPr>
          <w:rFonts w:asciiTheme="minorHAnsi" w:hAnsiTheme="minorHAnsi" w:cstheme="minorHAnsi"/>
          <w:sz w:val="26"/>
          <w:szCs w:val="26"/>
        </w:rPr>
        <w:t>în cadrul Programului Operațional Capacitate Administrativă</w:t>
      </w:r>
      <w:r w:rsidRPr="004A72CD">
        <w:rPr>
          <w:rFonts w:asciiTheme="minorHAnsi" w:hAnsiTheme="minorHAnsi" w:cstheme="minorHAnsi"/>
          <w:bCs/>
          <w:sz w:val="26"/>
          <w:szCs w:val="26"/>
        </w:rPr>
        <w:t>.</w:t>
      </w:r>
    </w:p>
    <w:p w14:paraId="61834862" w14:textId="15690A57" w:rsidR="009F6088" w:rsidRPr="004A72CD" w:rsidRDefault="009F6088" w:rsidP="00F313A6">
      <w:pPr>
        <w:widowControl w:val="0"/>
        <w:autoSpaceDE w:val="0"/>
        <w:autoSpaceDN w:val="0"/>
        <w:adjustRightInd w:val="0"/>
        <w:spacing w:line="276" w:lineRule="auto"/>
        <w:ind w:right="-2" w:firstLine="709"/>
        <w:jc w:val="both"/>
        <w:rPr>
          <w:rFonts w:asciiTheme="minorHAnsi" w:hAnsiTheme="minorHAnsi" w:cstheme="minorHAnsi"/>
          <w:bCs/>
          <w:sz w:val="26"/>
          <w:szCs w:val="26"/>
        </w:rPr>
      </w:pPr>
      <w:r w:rsidRPr="009F6088">
        <w:rPr>
          <w:rFonts w:asciiTheme="minorHAnsi" w:hAnsiTheme="minorHAnsi" w:cstheme="minorHAnsi"/>
          <w:bCs/>
          <w:sz w:val="26"/>
          <w:szCs w:val="26"/>
        </w:rPr>
        <w:t>În considerarea activităţilor de punere în producţie ce vor avea loc în cursul anului 2025, la finalul anului 2024</w:t>
      </w:r>
      <w:r w:rsidR="009B6366">
        <w:rPr>
          <w:rFonts w:asciiTheme="minorHAnsi" w:hAnsiTheme="minorHAnsi" w:cstheme="minorHAnsi"/>
          <w:bCs/>
          <w:sz w:val="26"/>
          <w:szCs w:val="26"/>
        </w:rPr>
        <w:t>,</w:t>
      </w:r>
      <w:r w:rsidRPr="009F6088">
        <w:rPr>
          <w:rFonts w:asciiTheme="minorHAnsi" w:hAnsiTheme="minorHAnsi" w:cstheme="minorHAnsi"/>
          <w:bCs/>
          <w:sz w:val="26"/>
          <w:szCs w:val="26"/>
        </w:rPr>
        <w:t xml:space="preserve"> Consiliul Superior al Magistraturii, în calitate de partener de proiect, a facilitat concretizarea unor activităţi de dezvoltare specifice privind interconectarea noului sistem ECRIS cu sisteme informatice ale unor instituţii implicate în activitatea judiciară şi a stabilit instanţele pilot ce vor fi implicate în implementarea sistemului informatic.</w:t>
      </w:r>
    </w:p>
    <w:p w14:paraId="68AEC719" w14:textId="77777777" w:rsidR="00AE5495" w:rsidRPr="004A72CD" w:rsidRDefault="00AE5495" w:rsidP="00F313A6">
      <w:pPr>
        <w:widowControl w:val="0"/>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b/>
          <w:bCs/>
          <w:sz w:val="26"/>
          <w:szCs w:val="26"/>
        </w:rPr>
        <w:t>4.</w:t>
      </w:r>
      <w:r w:rsidRPr="004A72CD">
        <w:rPr>
          <w:rFonts w:asciiTheme="minorHAnsi" w:hAnsiTheme="minorHAnsi" w:cstheme="minorHAnsi"/>
          <w:sz w:val="26"/>
          <w:szCs w:val="26"/>
        </w:rPr>
        <w:t xml:space="preserve"> In anul 2024, Consiliul Superior al Magistraturii a negociat, în cadrul </w:t>
      </w:r>
      <w:r w:rsidRPr="004A72CD">
        <w:rPr>
          <w:rFonts w:asciiTheme="minorHAnsi" w:hAnsiTheme="minorHAnsi" w:cstheme="minorHAnsi"/>
          <w:b/>
          <w:bCs/>
          <w:sz w:val="26"/>
          <w:szCs w:val="26"/>
        </w:rPr>
        <w:t>Programului de Cooperare Elvețiano-Român (a doua contribuție)</w:t>
      </w:r>
      <w:r w:rsidRPr="004A72CD">
        <w:rPr>
          <w:rFonts w:asciiTheme="minorHAnsi" w:hAnsiTheme="minorHAnsi" w:cstheme="minorHAnsi"/>
          <w:sz w:val="26"/>
          <w:szCs w:val="26"/>
        </w:rPr>
        <w:t xml:space="preserve">, implementarea unui proiect care vizează îmbunătățirea și consolidarea unui sistem de justiție prietenos copiilor. </w:t>
      </w:r>
    </w:p>
    <w:p w14:paraId="1418FFF2" w14:textId="70C73635" w:rsidR="00AE5495" w:rsidRPr="004A72CD" w:rsidRDefault="00AE5495" w:rsidP="00F313A6">
      <w:pPr>
        <w:widowControl w:val="0"/>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De asemenea, în contextul adoptării de către Consiliul Europei, la data de 25 iunie 2024, a deciziei privind semnarea și aplicarea unui acord privind mecanismul financiar norvegian pentru perioada 2021 - 2028, s-au creat premisele pentru implementarea unui nou program finan</w:t>
      </w:r>
      <w:r w:rsidR="00FF1AB4" w:rsidRPr="004A72CD">
        <w:rPr>
          <w:rFonts w:asciiTheme="minorHAnsi" w:hAnsiTheme="minorHAnsi" w:cstheme="minorHAnsi"/>
          <w:sz w:val="26"/>
          <w:szCs w:val="26"/>
        </w:rPr>
        <w:t>ț</w:t>
      </w:r>
      <w:r w:rsidRPr="004A72CD">
        <w:rPr>
          <w:rFonts w:asciiTheme="minorHAnsi" w:hAnsiTheme="minorHAnsi" w:cstheme="minorHAnsi"/>
          <w:sz w:val="26"/>
          <w:szCs w:val="26"/>
        </w:rPr>
        <w:t>at de granturile norvegiene în domeniul justiției. În luna august 2024, Ministerul Justi</w:t>
      </w:r>
      <w:r w:rsidR="00FF1AB4" w:rsidRPr="004A72CD">
        <w:rPr>
          <w:rFonts w:asciiTheme="minorHAnsi" w:hAnsiTheme="minorHAnsi" w:cstheme="minorHAnsi"/>
          <w:sz w:val="26"/>
          <w:szCs w:val="26"/>
        </w:rPr>
        <w:t>ț</w:t>
      </w:r>
      <w:r w:rsidRPr="004A72CD">
        <w:rPr>
          <w:rFonts w:asciiTheme="minorHAnsi" w:hAnsiTheme="minorHAnsi" w:cstheme="minorHAnsi"/>
          <w:sz w:val="26"/>
          <w:szCs w:val="26"/>
        </w:rPr>
        <w:t>iei, în calitate de Operator de Program, a solicitat Consiliului Superior al Magistraturii identificarea de priorități de finanțare atât la nivelul Consiliului, cât și instituțiilor aflate în coordonare și Inspecției Judiciare, în contextul viitorului Mecanism Financiar Norvegian 2021 - 2028. În considerarea obiectivelor generale ale asistenței financiare norvegiene, a Principalelor direcții de acțiune și obiective ale Consiliului Superior al Magistraturii, pentru mandatul 2023 - 2029,</w:t>
      </w:r>
      <w:r w:rsidRPr="004A72CD">
        <w:rPr>
          <w:rFonts w:asciiTheme="minorHAnsi" w:hAnsiTheme="minorHAnsi" w:cstheme="minorHAnsi"/>
          <w:i/>
          <w:iCs/>
          <w:sz w:val="26"/>
          <w:szCs w:val="26"/>
        </w:rPr>
        <w:t xml:space="preserve"> </w:t>
      </w:r>
      <w:r w:rsidRPr="004A72CD">
        <w:rPr>
          <w:rFonts w:asciiTheme="minorHAnsi" w:hAnsiTheme="minorHAnsi" w:cstheme="minorHAnsi"/>
          <w:sz w:val="26"/>
          <w:szCs w:val="26"/>
        </w:rPr>
        <w:t> precum și a proiectului Strategiei de dezvoltare a sistemului judiciar 2025 - 2029, precum și a altor documente strategice naționale și internaționale, a lecțiilor învățate și a bunelor practici dezvoltate pe parcursul implementării proiectului predefinit în cadrul Mecanismului Financiar Norvegian 2014 - 2021, Consiliul Superior al Magistraturii a reiterat preocuparea de a sprijini și în viitor:</w:t>
      </w:r>
    </w:p>
    <w:p w14:paraId="1E1FB60A" w14:textId="77777777" w:rsidR="00AE5495" w:rsidRPr="004A72CD" w:rsidRDefault="00AE5495" w:rsidP="00F313A6">
      <w:pPr>
        <w:widowControl w:val="0"/>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politicile de consolidare a capacității, calității și eficienței instituțiilor din sistemul judiciar, a serviciilor furnizate de acestea;</w:t>
      </w:r>
    </w:p>
    <w:p w14:paraId="41977047" w14:textId="77777777" w:rsidR="00AE5495" w:rsidRPr="004A72CD" w:rsidRDefault="00AE5495" w:rsidP="00F313A6">
      <w:pPr>
        <w:widowControl w:val="0"/>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creșterea transparenței și îmbunătățirea comunicării instituționale;</w:t>
      </w:r>
    </w:p>
    <w:p w14:paraId="69BB3B0B" w14:textId="77777777" w:rsidR="00AE5495" w:rsidRPr="004A72CD" w:rsidRDefault="00AE5495" w:rsidP="00F313A6">
      <w:pPr>
        <w:widowControl w:val="0"/>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 îmbunătățirea infrastructurii Consiliului Superior al Magistraturii și a instanțelor, inclusiv din perspectiva nevoii de digitalizare; </w:t>
      </w:r>
    </w:p>
    <w:p w14:paraId="4ED4FA60" w14:textId="77777777" w:rsidR="00AE5495" w:rsidRPr="004A72CD" w:rsidRDefault="00AE5495" w:rsidP="00F313A6">
      <w:pPr>
        <w:widowControl w:val="0"/>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 acțiunile de formare  profesională inițială și continuă a magistraților și altor categorii de </w:t>
      </w:r>
      <w:r w:rsidRPr="004A72CD">
        <w:rPr>
          <w:rFonts w:asciiTheme="minorHAnsi" w:hAnsiTheme="minorHAnsi" w:cstheme="minorHAnsi"/>
          <w:sz w:val="26"/>
          <w:szCs w:val="26"/>
        </w:rPr>
        <w:lastRenderedPageBreak/>
        <w:t xml:space="preserve">personal. </w:t>
      </w:r>
    </w:p>
    <w:p w14:paraId="5B96057F" w14:textId="74B0BB1B" w:rsidR="00AE5495" w:rsidRPr="004A72CD" w:rsidRDefault="00AE5495" w:rsidP="00F313A6">
      <w:pPr>
        <w:spacing w:line="276" w:lineRule="auto"/>
        <w:ind w:right="-2" w:firstLine="709"/>
        <w:jc w:val="both"/>
        <w:rPr>
          <w:rFonts w:asciiTheme="minorHAnsi" w:hAnsiTheme="minorHAnsi" w:cstheme="minorHAnsi"/>
          <w:sz w:val="26"/>
          <w:szCs w:val="26"/>
          <w:shd w:val="clear" w:color="auto" w:fill="FFFFFF"/>
        </w:rPr>
      </w:pPr>
      <w:r w:rsidRPr="004A72CD">
        <w:rPr>
          <w:rFonts w:asciiTheme="minorHAnsi" w:hAnsiTheme="minorHAnsi" w:cstheme="minorHAnsi"/>
          <w:sz w:val="26"/>
          <w:szCs w:val="26"/>
        </w:rPr>
        <w:t xml:space="preserve">În ceea ce priveşte proiectele finanţate în cadrul Programului Operaţional Capacitate Administrativă 2014 - 2020, respectiv: „T.A.E.J. - Transparență, accesibilitate și educație juridică prin îmbunătățirea comunicării publice la nivelul sistemului judiciar” (cod MySMIS 118765/SIPOCA 454), „C.P.C.I. – Creșterea performanței și calității instituționale prin îmbunătățirea sistemului de evaluare și asistență psihologică la nivelul sistemului judiciar” (cod MySMIS 135456/SIPOCA 762), „Optimizarea managementului la nivelul sistemului judiciar. Componenta de parchete” (cod MySMIS 133850/SIPOCA 761), „Consolidarea capacității organizaționale și administrative a Consiliului Superior al Magistraturii” (cod MySMIS 135225/SIPOCA 760) şi </w:t>
      </w:r>
      <w:bookmarkStart w:id="153" w:name="_Hlk178770600"/>
      <w:r w:rsidRPr="004A72CD">
        <w:rPr>
          <w:rFonts w:asciiTheme="minorHAnsi" w:hAnsiTheme="minorHAnsi" w:cstheme="minorHAnsi"/>
          <w:sz w:val="26"/>
          <w:szCs w:val="26"/>
        </w:rPr>
        <w:t xml:space="preserve">„Optimizarea managementului la nivelul sistemului judiciar. Componenta de instanţe judecătoreşti” </w:t>
      </w:r>
      <w:bookmarkEnd w:id="153"/>
      <w:r w:rsidRPr="004A72CD">
        <w:rPr>
          <w:rFonts w:asciiTheme="minorHAnsi" w:hAnsiTheme="minorHAnsi" w:cstheme="minorHAnsi"/>
          <w:sz w:val="26"/>
          <w:szCs w:val="26"/>
        </w:rPr>
        <w:t>(cod SIPOCA 129513/MySMIS 751), finalizate în cursul anului 2023, acestea se află în etapa de sustenabilitate, în cursul anului 2024 începând activitatea de valorificare a rezultatelor obţinute în cadrul acestor proiecte, conform contractelor de finanţare încheiate cu finanţatorul A.M.P.O.C.A..</w:t>
      </w:r>
    </w:p>
    <w:p w14:paraId="255DC410" w14:textId="6F2E9721"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Menţionăm astfel, exemplificativ, că livrabilele obţinute în cadrul proiectului „Optimizarea managementului la nivelul sistemului judiciar. Componenta de instanţe judecătoreşti”, respectiv </w:t>
      </w:r>
      <w:r w:rsidR="00025E9B">
        <w:rPr>
          <w:rFonts w:asciiTheme="minorHAnsi" w:hAnsiTheme="minorHAnsi" w:cstheme="minorHAnsi"/>
          <w:sz w:val="26"/>
          <w:szCs w:val="26"/>
        </w:rPr>
        <w:t>m</w:t>
      </w:r>
      <w:r w:rsidRPr="004A72CD">
        <w:rPr>
          <w:rFonts w:asciiTheme="minorHAnsi" w:hAnsiTheme="minorHAnsi" w:cstheme="minorHAnsi"/>
          <w:sz w:val="26"/>
          <w:szCs w:val="26"/>
        </w:rPr>
        <w:t xml:space="preserve">anualul de management standard integrat pentru instanţele judecătoreşti, împreună cu aplicaţia de registratură administrativă electronica Optimapp aflată în faza de punere în producţie, constituie instrumente utile de optimizare a activităţii de management la nivelul instanţelor judecătoreşti. </w:t>
      </w:r>
    </w:p>
    <w:p w14:paraId="19375502" w14:textId="16626DA2"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De asemenea, ca urmare a implementării aceluiaşi proiect, curţile de apel şi instanţele din circumscripţia acestora beneficiază de o nouă categorie de personal suport, respectiv asistenţii judecătorului, instituţia fiind consacrată legislativ, ulterior finalizării cu succes a exerciţiului pilot, prin Legea nr. 393/13.12.2023 privind statutul asistentului judecătorului.</w:t>
      </w:r>
    </w:p>
    <w:p w14:paraId="7AC4F43B" w14:textId="6325FFCA"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Livrabilele obţinute în cadrul proiectului „C.P.C.I. – Creșterea performanței și calității instituționale prin îmbunătățirea sistemului de evaluare și asistență psihologică la nivelul sistemului judiciar”, respectiv instrumentele de asistenţă şi evaluare psihologică şi aplicaţia informatică Mindapp </w:t>
      </w:r>
      <w:r w:rsidR="000513A9">
        <w:rPr>
          <w:rFonts w:asciiTheme="minorHAnsi" w:hAnsiTheme="minorHAnsi" w:cstheme="minorHAnsi"/>
          <w:sz w:val="26"/>
          <w:szCs w:val="26"/>
        </w:rPr>
        <w:t>au fost folosite în procedura de testare psihologică desfășurată în cadrul concursului de admitere în magistratură și</w:t>
      </w:r>
      <w:r w:rsidRPr="004A72CD">
        <w:rPr>
          <w:rFonts w:asciiTheme="minorHAnsi" w:hAnsiTheme="minorHAnsi" w:cstheme="minorHAnsi"/>
          <w:sz w:val="26"/>
          <w:szCs w:val="26"/>
        </w:rPr>
        <w:t xml:space="preserve"> vor fi utilizate în scopul aplicării procedurii de evaluare psihologică periodică a magistraţilor, reglementată de art. 222 din Legea nr. 303/2022 privind statutul judecătorilor şi procurorilor, dar şi a stabilirii unei practici constante de sprijin şi asistenţă psihologică permanentă a judecătorilor şi procurorilor din cadrul sistemului judiciar.</w:t>
      </w:r>
    </w:p>
    <w:p w14:paraId="70DA78B6" w14:textId="0B5A2311" w:rsidR="00AE5495" w:rsidRPr="004A72CD" w:rsidRDefault="00AE5495" w:rsidP="00F313A6">
      <w:pPr>
        <w:spacing w:line="276" w:lineRule="auto"/>
        <w:ind w:right="-2" w:firstLine="709"/>
        <w:jc w:val="both"/>
        <w:rPr>
          <w:rFonts w:asciiTheme="minorHAnsi" w:hAnsiTheme="minorHAnsi" w:cstheme="minorHAnsi"/>
          <w:sz w:val="26"/>
          <w:szCs w:val="26"/>
          <w:shd w:val="clear" w:color="auto" w:fill="FFFFFF"/>
        </w:rPr>
      </w:pPr>
      <w:r w:rsidRPr="004A72CD">
        <w:rPr>
          <w:rFonts w:asciiTheme="minorHAnsi" w:hAnsiTheme="minorHAnsi" w:cstheme="minorHAnsi"/>
          <w:sz w:val="26"/>
          <w:szCs w:val="26"/>
        </w:rPr>
        <w:t xml:space="preserve">Componenta de digitalizare dezvoltată în cadrul proiectelor implementate prin „Programul Operaţional Capacitate Administrativă” s-a materializat și sub forma demarării unui amplu proces de restructurare a modului de gestionare a noilor aplicaţii informatice, inclusiv prin configurarea la nivelul Consiliului Superior al Magistraturii a </w:t>
      </w:r>
      <w:r w:rsidRPr="004A72CD">
        <w:rPr>
          <w:rFonts w:asciiTheme="minorHAnsi" w:hAnsiTheme="minorHAnsi" w:cstheme="minorHAnsi"/>
          <w:sz w:val="26"/>
          <w:szCs w:val="26"/>
          <w:shd w:val="clear" w:color="auto" w:fill="FFFFFF"/>
        </w:rPr>
        <w:t>unui server de identitate ce permite folosirea de către o persoană din sistemul judiciar a unui singur set de credențiale pentru toate aplicațiile.</w:t>
      </w:r>
    </w:p>
    <w:p w14:paraId="0855D2EF"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În cursul activităţii de punere în producţie a aplicaţiilor informatice dezvoltate în proiectele menţionate, au fost identificate noi oportunităţi de valorificare a acestora, prin interconectarea cu aplicaţii informatice în curs de dezvoltare, spre exemplu ECRIS V, şi posibilităţi de valorificare în relaţie cu demersuri de digitalizare derulate ca urmare a altor iniţiative, spre exemplu cele concretizate în implementarea portalului registratura.rejust.ro sau rejust.ro. </w:t>
      </w:r>
    </w:p>
    <w:p w14:paraId="5F89D531"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lastRenderedPageBreak/>
        <w:t xml:space="preserve">Practic, sistemele informatice dezvoltate în perioada de implementare a programului P.O.C.A. fac parte dintr-un efort de digitalizare al cărui ritm şi consistenţă au crescut progresiv în cursul anului 2024. </w:t>
      </w:r>
    </w:p>
    <w:p w14:paraId="24176E46" w14:textId="77777777" w:rsidR="00AE5495" w:rsidRPr="004A3440" w:rsidRDefault="00AE5495" w:rsidP="00F313A6">
      <w:pPr>
        <w:pStyle w:val="Heading2"/>
        <w:rPr>
          <w:lang w:val="ro-RO"/>
        </w:rPr>
      </w:pPr>
      <w:bookmarkStart w:id="154" w:name="_Toc187824396"/>
      <w:r w:rsidRPr="004A3440">
        <w:rPr>
          <w:lang w:val="ro-RO"/>
        </w:rPr>
        <w:t>VI.4. Activitatea Serviciului sinteze şi pregătirea lucrărilor şedinţelor Consiliului Superior al Magistraturii</w:t>
      </w:r>
      <w:bookmarkEnd w:id="152"/>
      <w:bookmarkEnd w:id="154"/>
    </w:p>
    <w:p w14:paraId="31EE3DC2" w14:textId="77777777" w:rsidR="00AE5495" w:rsidRPr="004A72CD" w:rsidRDefault="00AE5495" w:rsidP="00F313A6">
      <w:pPr>
        <w:tabs>
          <w:tab w:val="left" w:pos="1134"/>
        </w:tabs>
        <w:spacing w:line="276" w:lineRule="auto"/>
        <w:ind w:right="-2" w:firstLine="709"/>
        <w:jc w:val="both"/>
        <w:rPr>
          <w:rFonts w:asciiTheme="minorHAnsi" w:hAnsiTheme="minorHAnsi" w:cstheme="minorHAnsi"/>
          <w:iCs/>
          <w:sz w:val="26"/>
          <w:szCs w:val="26"/>
        </w:rPr>
      </w:pPr>
      <w:r w:rsidRPr="004A72CD">
        <w:rPr>
          <w:rFonts w:asciiTheme="minorHAnsi" w:hAnsiTheme="minorHAnsi" w:cstheme="minorHAnsi"/>
          <w:sz w:val="26"/>
          <w:szCs w:val="26"/>
        </w:rPr>
        <w:t xml:space="preserve">Unul dintre compartimentele Consiliului Superior al Magistraturii a cărui funcţionare optimă se reflectă în calitatea lucrărilor instituţiei este </w:t>
      </w:r>
      <w:r w:rsidRPr="004A72CD">
        <w:rPr>
          <w:rFonts w:asciiTheme="minorHAnsi" w:hAnsiTheme="minorHAnsi" w:cstheme="minorHAnsi"/>
          <w:iCs/>
          <w:sz w:val="26"/>
          <w:szCs w:val="26"/>
        </w:rPr>
        <w:t>Serviciul de sinteze şi pregătirea lucrărilor şedinţelor.</w:t>
      </w:r>
    </w:p>
    <w:p w14:paraId="1BC41C83" w14:textId="28C9A48A" w:rsidR="00AE5495" w:rsidRPr="004A72CD" w:rsidRDefault="00AE5495" w:rsidP="00F313A6">
      <w:pPr>
        <w:tabs>
          <w:tab w:val="left" w:pos="1134"/>
        </w:tabs>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În anul 2024, activitatea proprie a compartimentului de specialitate a presupus nu doar efectuarea tuturor demersurilor necesare ca lucrările cu care sunt învestite Secţiile şi Plenul Consiliului să fie înregistrate şi încărcate în mapa electronică E</w:t>
      </w:r>
      <w:r w:rsidR="002E551E" w:rsidRPr="004A72CD">
        <w:rPr>
          <w:rFonts w:asciiTheme="minorHAnsi" w:hAnsiTheme="minorHAnsi" w:cstheme="minorHAnsi"/>
          <w:sz w:val="26"/>
          <w:szCs w:val="26"/>
        </w:rPr>
        <w:t>MAP</w:t>
      </w:r>
      <w:r w:rsidRPr="004A72CD">
        <w:rPr>
          <w:rFonts w:asciiTheme="minorHAnsi" w:hAnsiTheme="minorHAnsi" w:cstheme="minorHAnsi"/>
          <w:sz w:val="26"/>
          <w:szCs w:val="26"/>
        </w:rPr>
        <w:t>, ci şi întocmirea tuturor documentelor pentru buna desfăşurare a şedinţelor în care aceste lucrări sunt analizate şi soluţionate (transmitere invitaţii, elaborare buletine de vot, elaborarea ordinii de zi şi a ordinii de zi soluționate, întocmirea proiectelor de hotărâre).</w:t>
      </w:r>
    </w:p>
    <w:p w14:paraId="4D8689AF" w14:textId="46690A04" w:rsidR="00AE5495" w:rsidRPr="005403AD" w:rsidRDefault="00AE5495" w:rsidP="00F313A6">
      <w:pPr>
        <w:spacing w:line="276" w:lineRule="auto"/>
        <w:ind w:right="-2" w:firstLine="709"/>
        <w:jc w:val="both"/>
        <w:rPr>
          <w:rFonts w:asciiTheme="minorHAnsi" w:hAnsiTheme="minorHAnsi" w:cstheme="minorHAnsi"/>
          <w:sz w:val="26"/>
          <w:szCs w:val="26"/>
        </w:rPr>
      </w:pPr>
      <w:r w:rsidRPr="005403AD">
        <w:rPr>
          <w:rFonts w:asciiTheme="minorHAnsi" w:hAnsiTheme="minorHAnsi" w:cstheme="minorHAnsi"/>
          <w:sz w:val="26"/>
          <w:szCs w:val="26"/>
        </w:rPr>
        <w:t xml:space="preserve">Pe parcursul anului 2024, Serviciul sinteze a asigurat buna desfășurare a ședințelor Consiliului Superior al Magistraturii, fiind organizate </w:t>
      </w:r>
      <w:r w:rsidR="007B434D">
        <w:rPr>
          <w:rFonts w:asciiTheme="minorHAnsi" w:hAnsiTheme="minorHAnsi" w:cstheme="minorHAnsi"/>
          <w:b/>
          <w:sz w:val="26"/>
          <w:szCs w:val="26"/>
        </w:rPr>
        <w:t>52</w:t>
      </w:r>
      <w:r w:rsidRPr="005403AD">
        <w:rPr>
          <w:rFonts w:asciiTheme="minorHAnsi" w:hAnsiTheme="minorHAnsi" w:cstheme="minorHAnsi"/>
          <w:b/>
          <w:sz w:val="26"/>
          <w:szCs w:val="26"/>
        </w:rPr>
        <w:t xml:space="preserve"> </w:t>
      </w:r>
      <w:r w:rsidRPr="005403AD">
        <w:rPr>
          <w:rFonts w:asciiTheme="minorHAnsi" w:hAnsiTheme="minorHAnsi" w:cstheme="minorHAnsi"/>
          <w:sz w:val="26"/>
          <w:szCs w:val="26"/>
        </w:rPr>
        <w:t xml:space="preserve">de şedinţe ale Secţiei pentru judecători, </w:t>
      </w:r>
      <w:r w:rsidR="007B434D">
        <w:rPr>
          <w:rFonts w:asciiTheme="minorHAnsi" w:hAnsiTheme="minorHAnsi" w:cstheme="minorHAnsi"/>
          <w:b/>
          <w:sz w:val="26"/>
          <w:szCs w:val="26"/>
        </w:rPr>
        <w:t>60</w:t>
      </w:r>
      <w:r w:rsidRPr="005403AD">
        <w:rPr>
          <w:rFonts w:asciiTheme="minorHAnsi" w:hAnsiTheme="minorHAnsi" w:cstheme="minorHAnsi"/>
          <w:b/>
          <w:sz w:val="26"/>
          <w:szCs w:val="26"/>
        </w:rPr>
        <w:t xml:space="preserve"> </w:t>
      </w:r>
      <w:r w:rsidRPr="005403AD">
        <w:rPr>
          <w:rFonts w:asciiTheme="minorHAnsi" w:hAnsiTheme="minorHAnsi" w:cstheme="minorHAnsi"/>
          <w:sz w:val="26"/>
          <w:szCs w:val="26"/>
        </w:rPr>
        <w:t xml:space="preserve">de şedinţe ale Secţiei pentru procurori şi </w:t>
      </w:r>
      <w:r w:rsidR="007B434D">
        <w:rPr>
          <w:rFonts w:asciiTheme="minorHAnsi" w:hAnsiTheme="minorHAnsi" w:cstheme="minorHAnsi"/>
          <w:b/>
          <w:sz w:val="26"/>
          <w:szCs w:val="26"/>
        </w:rPr>
        <w:t>21</w:t>
      </w:r>
      <w:r w:rsidRPr="005403AD">
        <w:rPr>
          <w:rFonts w:asciiTheme="minorHAnsi" w:hAnsiTheme="minorHAnsi" w:cstheme="minorHAnsi"/>
          <w:sz w:val="26"/>
          <w:szCs w:val="26"/>
        </w:rPr>
        <w:t xml:space="preserve"> şedinţe ale Plenului.</w:t>
      </w:r>
    </w:p>
    <w:p w14:paraId="3D5CCBFA" w14:textId="77777777" w:rsidR="00AE5495" w:rsidRPr="006B5C90"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În anul 2024, date fiind competenţele distincte ale Secţiilor pentru judecători, respectiv pentru procurori sub aspectul carierei celor două profesii, trendul ascendent al numărului de hotărâri ale secţiilor faţă de cele ale Plenului Consiliului s-a menţinut, reflectându-se în datele statistice prezentate în cele ce urmează.</w:t>
      </w:r>
    </w:p>
    <w:p w14:paraId="16EE1041" w14:textId="77777777" w:rsidR="00AE5495" w:rsidRPr="006B5C90" w:rsidRDefault="00AE5495" w:rsidP="00F313A6">
      <w:pPr>
        <w:keepNext/>
        <w:keepLines/>
        <w:spacing w:line="276" w:lineRule="auto"/>
        <w:ind w:firstLine="567"/>
        <w:jc w:val="both"/>
        <w:rPr>
          <w:rFonts w:asciiTheme="minorHAnsi" w:hAnsiTheme="minorHAnsi" w:cstheme="minorHAnsi"/>
          <w:b/>
          <w:sz w:val="26"/>
          <w:szCs w:val="26"/>
        </w:rPr>
      </w:pPr>
      <w:r w:rsidRPr="006B5C90">
        <w:rPr>
          <w:rFonts w:asciiTheme="minorHAnsi" w:hAnsiTheme="minorHAnsi" w:cstheme="minorHAnsi"/>
          <w:b/>
          <w:sz w:val="26"/>
          <w:szCs w:val="26"/>
        </w:rPr>
        <w:t>HOTĂRÂRILE PLENULUI ŞI ALE SECŢIILOR PENTRU JUDECĂTORI ŞI PENTRU PROCURORI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4"/>
        <w:gridCol w:w="1256"/>
        <w:gridCol w:w="1903"/>
        <w:gridCol w:w="1791"/>
      </w:tblGrid>
      <w:tr w:rsidR="006B5C90" w:rsidRPr="006B5C90" w14:paraId="06154580"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5F24403" w14:textId="77777777" w:rsidR="00AE5495" w:rsidRPr="006B5C90" w:rsidRDefault="00AE5495" w:rsidP="00F313A6">
            <w:pPr>
              <w:keepNext/>
              <w:keepLines/>
              <w:spacing w:line="276" w:lineRule="auto"/>
              <w:ind w:firstLine="567"/>
              <w:jc w:val="both"/>
              <w:rPr>
                <w:rFonts w:asciiTheme="minorHAnsi" w:hAnsiTheme="minorHAnsi" w:cstheme="minorHAnsi"/>
                <w:b/>
                <w:sz w:val="26"/>
                <w:szCs w:val="26"/>
                <w:lang w:eastAsia="ro-RO"/>
              </w:rPr>
            </w:pPr>
            <w:r w:rsidRPr="006B5C90">
              <w:rPr>
                <w:rFonts w:asciiTheme="minorHAnsi" w:hAnsiTheme="minorHAnsi" w:cstheme="minorHAnsi"/>
                <w:b/>
                <w:sz w:val="26"/>
                <w:szCs w:val="26"/>
                <w:lang w:eastAsia="ro-RO"/>
              </w:rPr>
              <w:t>Categoria</w:t>
            </w:r>
          </w:p>
        </w:tc>
        <w:tc>
          <w:tcPr>
            <w:tcW w:w="7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A27FBFB" w14:textId="63E3BF0F" w:rsidR="00AE5495" w:rsidRPr="006B5C90" w:rsidRDefault="00AE5495" w:rsidP="00D56F90">
            <w:pPr>
              <w:keepNext/>
              <w:keepLines/>
              <w:spacing w:line="276" w:lineRule="auto"/>
              <w:ind w:firstLine="567"/>
              <w:jc w:val="center"/>
              <w:rPr>
                <w:rFonts w:asciiTheme="minorHAnsi" w:hAnsiTheme="minorHAnsi" w:cstheme="minorHAnsi"/>
                <w:b/>
                <w:sz w:val="26"/>
                <w:szCs w:val="26"/>
                <w:lang w:eastAsia="ro-RO"/>
              </w:rPr>
            </w:pPr>
            <w:r w:rsidRPr="006B5C90">
              <w:rPr>
                <w:rFonts w:asciiTheme="minorHAnsi" w:hAnsiTheme="minorHAnsi" w:cstheme="minorHAnsi"/>
                <w:b/>
                <w:sz w:val="26"/>
                <w:szCs w:val="26"/>
                <w:lang w:eastAsia="ro-RO"/>
              </w:rPr>
              <w:t>Plen</w:t>
            </w:r>
          </w:p>
          <w:p w14:paraId="6AFAC4AA" w14:textId="10E2B26D" w:rsidR="00AE5495" w:rsidRPr="006B5C90" w:rsidRDefault="00AE5495" w:rsidP="00D56F90">
            <w:pPr>
              <w:keepNext/>
              <w:keepLines/>
              <w:spacing w:line="276" w:lineRule="auto"/>
              <w:ind w:firstLine="567"/>
              <w:jc w:val="center"/>
              <w:rPr>
                <w:rFonts w:asciiTheme="minorHAnsi" w:hAnsiTheme="minorHAnsi" w:cstheme="minorHAnsi"/>
                <w:b/>
                <w:sz w:val="26"/>
                <w:szCs w:val="26"/>
                <w:lang w:eastAsia="ro-RO"/>
              </w:rPr>
            </w:pPr>
          </w:p>
        </w:tc>
        <w:tc>
          <w:tcPr>
            <w:tcW w:w="74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157B0F5" w14:textId="77777777" w:rsidR="00AE5495" w:rsidRPr="006B5C90" w:rsidRDefault="00AE5495" w:rsidP="00D56F90">
            <w:pPr>
              <w:keepNext/>
              <w:keepLines/>
              <w:spacing w:line="276" w:lineRule="auto"/>
              <w:ind w:firstLine="567"/>
              <w:jc w:val="center"/>
              <w:rPr>
                <w:rFonts w:asciiTheme="minorHAnsi" w:hAnsiTheme="minorHAnsi" w:cstheme="minorHAnsi"/>
                <w:b/>
                <w:sz w:val="26"/>
                <w:szCs w:val="26"/>
                <w:lang w:eastAsia="ro-RO"/>
              </w:rPr>
            </w:pPr>
            <w:r w:rsidRPr="006B5C90">
              <w:rPr>
                <w:rFonts w:asciiTheme="minorHAnsi" w:hAnsiTheme="minorHAnsi" w:cstheme="minorHAnsi"/>
                <w:b/>
                <w:sz w:val="26"/>
                <w:szCs w:val="26"/>
                <w:lang w:eastAsia="ro-RO"/>
              </w:rPr>
              <w:t>Secţie</w:t>
            </w:r>
          </w:p>
          <w:p w14:paraId="0C2C82F2" w14:textId="4E71F1A0" w:rsidR="00AE5495" w:rsidRPr="006B5C90" w:rsidRDefault="00AE5495" w:rsidP="00D56F90">
            <w:pPr>
              <w:keepNext/>
              <w:keepLines/>
              <w:spacing w:line="276" w:lineRule="auto"/>
              <w:ind w:firstLine="567"/>
              <w:jc w:val="center"/>
              <w:rPr>
                <w:rFonts w:asciiTheme="minorHAnsi" w:hAnsiTheme="minorHAnsi" w:cstheme="minorHAnsi"/>
                <w:b/>
                <w:sz w:val="26"/>
                <w:szCs w:val="26"/>
                <w:lang w:eastAsia="ro-RO"/>
              </w:rPr>
            </w:pPr>
            <w:r w:rsidRPr="006B5C90">
              <w:rPr>
                <w:rFonts w:asciiTheme="minorHAnsi" w:hAnsiTheme="minorHAnsi" w:cstheme="minorHAnsi"/>
                <w:b/>
                <w:sz w:val="26"/>
                <w:szCs w:val="26"/>
                <w:lang w:eastAsia="ro-RO"/>
              </w:rPr>
              <w:t>Judecători</w:t>
            </w:r>
          </w:p>
        </w:tc>
        <w:tc>
          <w:tcPr>
            <w:tcW w:w="73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2A82C86" w14:textId="77777777" w:rsidR="00AE5495" w:rsidRPr="006B5C90" w:rsidRDefault="00AE5495" w:rsidP="00D56F90">
            <w:pPr>
              <w:keepNext/>
              <w:keepLines/>
              <w:spacing w:line="276" w:lineRule="auto"/>
              <w:ind w:firstLine="567"/>
              <w:jc w:val="center"/>
              <w:rPr>
                <w:rFonts w:asciiTheme="minorHAnsi" w:hAnsiTheme="minorHAnsi" w:cstheme="minorHAnsi"/>
                <w:b/>
                <w:sz w:val="26"/>
                <w:szCs w:val="26"/>
                <w:lang w:eastAsia="ro-RO"/>
              </w:rPr>
            </w:pPr>
            <w:r w:rsidRPr="006B5C90">
              <w:rPr>
                <w:rFonts w:asciiTheme="minorHAnsi" w:hAnsiTheme="minorHAnsi" w:cstheme="minorHAnsi"/>
                <w:b/>
                <w:sz w:val="26"/>
                <w:szCs w:val="26"/>
                <w:lang w:eastAsia="ro-RO"/>
              </w:rPr>
              <w:t>Secţie</w:t>
            </w:r>
          </w:p>
          <w:p w14:paraId="28C0C368" w14:textId="587E82A0" w:rsidR="00AE5495" w:rsidRPr="006B5C90" w:rsidRDefault="00AE5495" w:rsidP="00D56F90">
            <w:pPr>
              <w:keepNext/>
              <w:keepLines/>
              <w:spacing w:line="276" w:lineRule="auto"/>
              <w:ind w:firstLine="567"/>
              <w:jc w:val="center"/>
              <w:rPr>
                <w:rFonts w:asciiTheme="minorHAnsi" w:hAnsiTheme="minorHAnsi" w:cstheme="minorHAnsi"/>
                <w:b/>
                <w:sz w:val="26"/>
                <w:szCs w:val="26"/>
                <w:lang w:eastAsia="ro-RO"/>
              </w:rPr>
            </w:pPr>
            <w:r w:rsidRPr="006B5C90">
              <w:rPr>
                <w:rFonts w:asciiTheme="minorHAnsi" w:hAnsiTheme="minorHAnsi" w:cstheme="minorHAnsi"/>
                <w:b/>
                <w:sz w:val="26"/>
                <w:szCs w:val="26"/>
                <w:lang w:eastAsia="ro-RO"/>
              </w:rPr>
              <w:t>Procurori</w:t>
            </w:r>
          </w:p>
        </w:tc>
      </w:tr>
      <w:tr w:rsidR="006B5C90" w:rsidRPr="006B5C90" w14:paraId="1C8C0264" w14:textId="77777777" w:rsidTr="00B9099C">
        <w:trPr>
          <w:trHeight w:val="70"/>
          <w:jc w:val="center"/>
        </w:trPr>
        <w:tc>
          <w:tcPr>
            <w:tcW w:w="274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917F55F" w14:textId="77777777" w:rsidR="00AE5495" w:rsidRPr="006B5C90" w:rsidRDefault="00AE5495" w:rsidP="00F313A6">
            <w:pPr>
              <w:keepNext/>
              <w:keepLines/>
              <w:spacing w:line="276" w:lineRule="auto"/>
              <w:ind w:firstLine="567"/>
              <w:jc w:val="both"/>
              <w:rPr>
                <w:rFonts w:asciiTheme="minorHAnsi" w:hAnsiTheme="minorHAnsi" w:cstheme="minorHAnsi"/>
                <w:b/>
                <w:sz w:val="26"/>
                <w:szCs w:val="26"/>
                <w:lang w:eastAsia="ro-RO"/>
              </w:rPr>
            </w:pPr>
            <w:r w:rsidRPr="006B5C90">
              <w:rPr>
                <w:rFonts w:asciiTheme="minorHAnsi" w:hAnsiTheme="minorHAnsi" w:cstheme="minorHAnsi"/>
                <w:b/>
                <w:sz w:val="26"/>
                <w:szCs w:val="26"/>
                <w:lang w:eastAsia="ro-RO"/>
              </w:rPr>
              <w:t xml:space="preserve">Total </w:t>
            </w:r>
          </w:p>
        </w:tc>
        <w:tc>
          <w:tcPr>
            <w:tcW w:w="7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72D2E5B" w14:textId="72FE6453" w:rsidR="00AE5495" w:rsidRPr="006B5C90" w:rsidRDefault="00AB0ED6" w:rsidP="00F313A6">
            <w:pPr>
              <w:keepNext/>
              <w:keepLines/>
              <w:spacing w:line="276" w:lineRule="auto"/>
              <w:ind w:firstLine="567"/>
              <w:jc w:val="center"/>
              <w:rPr>
                <w:rFonts w:asciiTheme="minorHAnsi" w:hAnsiTheme="minorHAnsi" w:cstheme="minorHAnsi"/>
                <w:b/>
                <w:sz w:val="26"/>
                <w:szCs w:val="26"/>
                <w:lang w:eastAsia="ro-RO"/>
              </w:rPr>
            </w:pPr>
            <w:r w:rsidRPr="006B5C90">
              <w:rPr>
                <w:rFonts w:asciiTheme="minorHAnsi" w:hAnsiTheme="minorHAnsi" w:cstheme="minorHAnsi"/>
                <w:b/>
                <w:sz w:val="26"/>
                <w:szCs w:val="26"/>
                <w:lang w:eastAsia="ro-RO"/>
              </w:rPr>
              <w:t>218</w:t>
            </w:r>
          </w:p>
        </w:tc>
        <w:tc>
          <w:tcPr>
            <w:tcW w:w="74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B5821D1" w14:textId="0513913C" w:rsidR="00AE5495" w:rsidRPr="006B5C90" w:rsidRDefault="00AE5495" w:rsidP="00F313A6">
            <w:pPr>
              <w:keepNext/>
              <w:keepLines/>
              <w:spacing w:line="276" w:lineRule="auto"/>
              <w:ind w:firstLine="567"/>
              <w:jc w:val="center"/>
              <w:rPr>
                <w:rFonts w:asciiTheme="minorHAnsi" w:hAnsiTheme="minorHAnsi" w:cstheme="minorHAnsi"/>
                <w:b/>
                <w:sz w:val="26"/>
                <w:szCs w:val="26"/>
                <w:lang w:eastAsia="ro-RO"/>
              </w:rPr>
            </w:pPr>
            <w:r w:rsidRPr="006B5C90">
              <w:rPr>
                <w:rFonts w:asciiTheme="minorHAnsi" w:hAnsiTheme="minorHAnsi" w:cstheme="minorHAnsi"/>
                <w:b/>
                <w:sz w:val="26"/>
                <w:szCs w:val="26"/>
                <w:lang w:eastAsia="ro-RO"/>
              </w:rPr>
              <w:t>1</w:t>
            </w:r>
            <w:r w:rsidR="00AB0ED6" w:rsidRPr="006B5C90">
              <w:rPr>
                <w:rFonts w:asciiTheme="minorHAnsi" w:hAnsiTheme="minorHAnsi" w:cstheme="minorHAnsi"/>
                <w:b/>
                <w:sz w:val="26"/>
                <w:szCs w:val="26"/>
                <w:lang w:eastAsia="ro-RO"/>
              </w:rPr>
              <w:t>925</w:t>
            </w:r>
          </w:p>
        </w:tc>
        <w:tc>
          <w:tcPr>
            <w:tcW w:w="73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F1610B6" w14:textId="7E6EEFF5" w:rsidR="00AE5495" w:rsidRPr="006B5C90" w:rsidRDefault="00AE5495" w:rsidP="00F313A6">
            <w:pPr>
              <w:keepNext/>
              <w:keepLines/>
              <w:spacing w:line="276" w:lineRule="auto"/>
              <w:ind w:firstLine="567"/>
              <w:jc w:val="center"/>
              <w:rPr>
                <w:rFonts w:asciiTheme="minorHAnsi" w:hAnsiTheme="minorHAnsi" w:cstheme="minorHAnsi"/>
                <w:b/>
                <w:sz w:val="26"/>
                <w:szCs w:val="26"/>
                <w:lang w:eastAsia="ro-RO"/>
              </w:rPr>
            </w:pPr>
            <w:r w:rsidRPr="006B5C90">
              <w:rPr>
                <w:rFonts w:asciiTheme="minorHAnsi" w:hAnsiTheme="minorHAnsi" w:cstheme="minorHAnsi"/>
                <w:b/>
                <w:sz w:val="26"/>
                <w:szCs w:val="26"/>
                <w:lang w:eastAsia="ro-RO"/>
              </w:rPr>
              <w:t>1</w:t>
            </w:r>
            <w:r w:rsidR="00AB0ED6" w:rsidRPr="006B5C90">
              <w:rPr>
                <w:rFonts w:asciiTheme="minorHAnsi" w:hAnsiTheme="minorHAnsi" w:cstheme="minorHAnsi"/>
                <w:b/>
                <w:sz w:val="26"/>
                <w:szCs w:val="26"/>
                <w:lang w:eastAsia="ro-RO"/>
              </w:rPr>
              <w:t>595</w:t>
            </w:r>
          </w:p>
        </w:tc>
      </w:tr>
      <w:tr w:rsidR="006B5C90" w:rsidRPr="006B5C90" w14:paraId="6EEB51CE"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42447BDD" w14:textId="77777777" w:rsidR="00AE5495" w:rsidRPr="006B5C90" w:rsidRDefault="00AE5495" w:rsidP="00F313A6">
            <w:pPr>
              <w:keepNext/>
              <w:keepLines/>
              <w:shd w:val="clear" w:color="auto" w:fill="FFFFFF"/>
              <w:spacing w:line="276" w:lineRule="auto"/>
              <w:ind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Apărarea independenţei autorităţii judecătoreşti în ansamblul său/apărarea independenţei sistemului judiciar/apărarea independenţei, imparțialității şi reputației profesionale/Retragere</w:t>
            </w:r>
          </w:p>
        </w:tc>
        <w:tc>
          <w:tcPr>
            <w:tcW w:w="770" w:type="pct"/>
            <w:tcBorders>
              <w:top w:val="single" w:sz="4" w:space="0" w:color="auto"/>
              <w:left w:val="single" w:sz="4" w:space="0" w:color="auto"/>
              <w:bottom w:val="single" w:sz="4" w:space="0" w:color="auto"/>
              <w:right w:val="single" w:sz="4" w:space="0" w:color="auto"/>
            </w:tcBorders>
            <w:hideMark/>
          </w:tcPr>
          <w:p w14:paraId="58509657" w14:textId="77777777" w:rsidR="00AE5495" w:rsidRPr="006B5C90" w:rsidRDefault="00AE5495" w:rsidP="00F313A6">
            <w:pPr>
              <w:keepNext/>
              <w:keepLines/>
              <w:shd w:val="clear" w:color="auto" w:fill="FFFFFF"/>
              <w:spacing w:line="276" w:lineRule="auto"/>
              <w:ind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26A46545" w14:textId="3BB64F96" w:rsidR="00AE5495" w:rsidRPr="006B5C90" w:rsidRDefault="007B434D" w:rsidP="00F313A6">
            <w:pPr>
              <w:keepNext/>
              <w:keepLines/>
              <w:shd w:val="clear" w:color="auto" w:fill="FFFFFF"/>
              <w:spacing w:line="276" w:lineRule="auto"/>
              <w:ind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8</w:t>
            </w:r>
          </w:p>
        </w:tc>
        <w:tc>
          <w:tcPr>
            <w:tcW w:w="736" w:type="pct"/>
            <w:tcBorders>
              <w:top w:val="single" w:sz="4" w:space="0" w:color="auto"/>
              <w:left w:val="single" w:sz="4" w:space="0" w:color="auto"/>
              <w:bottom w:val="single" w:sz="4" w:space="0" w:color="auto"/>
              <w:right w:val="single" w:sz="4" w:space="0" w:color="auto"/>
            </w:tcBorders>
            <w:hideMark/>
          </w:tcPr>
          <w:p w14:paraId="0BCDBD7E" w14:textId="77777777" w:rsidR="00AE5495" w:rsidRPr="006B5C90" w:rsidRDefault="00AE5495" w:rsidP="00F313A6">
            <w:pPr>
              <w:keepNext/>
              <w:keepLines/>
              <w:shd w:val="clear" w:color="auto" w:fill="FFFFFF"/>
              <w:spacing w:line="276" w:lineRule="auto"/>
              <w:ind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8</w:t>
            </w:r>
          </w:p>
        </w:tc>
      </w:tr>
      <w:tr w:rsidR="006B5C90" w:rsidRPr="006B5C90" w14:paraId="31EA1D1D"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54AE2D2B"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Propuneri de numire/Numire în funcţia de judecător/procuror/Retragere/Promovări în funcţii de execuţie/Reîncadrări</w:t>
            </w:r>
          </w:p>
        </w:tc>
        <w:tc>
          <w:tcPr>
            <w:tcW w:w="770" w:type="pct"/>
            <w:tcBorders>
              <w:top w:val="single" w:sz="4" w:space="0" w:color="auto"/>
              <w:left w:val="single" w:sz="4" w:space="0" w:color="auto"/>
              <w:bottom w:val="single" w:sz="4" w:space="0" w:color="auto"/>
              <w:right w:val="single" w:sz="4" w:space="0" w:color="auto"/>
            </w:tcBorders>
            <w:hideMark/>
          </w:tcPr>
          <w:p w14:paraId="3907A2AA"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74F817A4"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56</w:t>
            </w:r>
          </w:p>
        </w:tc>
        <w:tc>
          <w:tcPr>
            <w:tcW w:w="736" w:type="pct"/>
            <w:tcBorders>
              <w:top w:val="single" w:sz="4" w:space="0" w:color="auto"/>
              <w:left w:val="single" w:sz="4" w:space="0" w:color="auto"/>
              <w:bottom w:val="single" w:sz="4" w:space="0" w:color="auto"/>
              <w:right w:val="single" w:sz="4" w:space="0" w:color="auto"/>
            </w:tcBorders>
            <w:hideMark/>
          </w:tcPr>
          <w:p w14:paraId="6CAFDE25" w14:textId="21A190C2"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1</w:t>
            </w:r>
            <w:r w:rsidR="007B434D">
              <w:rPr>
                <w:rFonts w:asciiTheme="minorHAnsi" w:hAnsiTheme="minorHAnsi" w:cstheme="minorHAnsi"/>
                <w:sz w:val="26"/>
                <w:szCs w:val="26"/>
                <w:lang w:eastAsia="ro-RO"/>
              </w:rPr>
              <w:t>8</w:t>
            </w:r>
          </w:p>
        </w:tc>
      </w:tr>
      <w:tr w:rsidR="006B5C90" w:rsidRPr="006B5C90" w14:paraId="3BF451C3"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7D6BBC1F"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Eliberări din funcţie prin pensionare (judecător, procuror, magistrat asistent)/Renunţare la pensionare/Suspendare pensionare</w:t>
            </w:r>
          </w:p>
        </w:tc>
        <w:tc>
          <w:tcPr>
            <w:tcW w:w="770" w:type="pct"/>
            <w:tcBorders>
              <w:top w:val="single" w:sz="4" w:space="0" w:color="auto"/>
              <w:left w:val="single" w:sz="4" w:space="0" w:color="auto"/>
              <w:bottom w:val="single" w:sz="4" w:space="0" w:color="auto"/>
              <w:right w:val="single" w:sz="4" w:space="0" w:color="auto"/>
            </w:tcBorders>
            <w:hideMark/>
          </w:tcPr>
          <w:p w14:paraId="291CE241"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5420AE28" w14:textId="72566BFE"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1</w:t>
            </w:r>
            <w:r w:rsidR="00D56F90">
              <w:rPr>
                <w:rFonts w:asciiTheme="minorHAnsi" w:hAnsiTheme="minorHAnsi" w:cstheme="minorHAnsi"/>
                <w:sz w:val="26"/>
                <w:szCs w:val="26"/>
                <w:lang w:eastAsia="ro-RO"/>
              </w:rPr>
              <w:t>73</w:t>
            </w:r>
          </w:p>
        </w:tc>
        <w:tc>
          <w:tcPr>
            <w:tcW w:w="736" w:type="pct"/>
            <w:tcBorders>
              <w:top w:val="single" w:sz="4" w:space="0" w:color="auto"/>
              <w:left w:val="single" w:sz="4" w:space="0" w:color="auto"/>
              <w:bottom w:val="single" w:sz="4" w:space="0" w:color="auto"/>
              <w:right w:val="single" w:sz="4" w:space="0" w:color="auto"/>
            </w:tcBorders>
            <w:hideMark/>
          </w:tcPr>
          <w:p w14:paraId="04C60682" w14:textId="443C0AAA" w:rsidR="00AE5495" w:rsidRPr="006B5C90" w:rsidRDefault="00D56F90" w:rsidP="00D51F5A">
            <w:pPr>
              <w:shd w:val="clear" w:color="auto" w:fill="FFFFFF"/>
              <w:spacing w:line="276" w:lineRule="auto"/>
              <w:ind w:right="-2"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85</w:t>
            </w:r>
          </w:p>
        </w:tc>
      </w:tr>
      <w:tr w:rsidR="006B5C90" w:rsidRPr="006B5C90" w14:paraId="3EAFCF4E"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26F189F2"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Radieri sancţiuni disciplinare</w:t>
            </w:r>
          </w:p>
        </w:tc>
        <w:tc>
          <w:tcPr>
            <w:tcW w:w="770" w:type="pct"/>
            <w:tcBorders>
              <w:top w:val="single" w:sz="4" w:space="0" w:color="auto"/>
              <w:left w:val="single" w:sz="4" w:space="0" w:color="auto"/>
              <w:bottom w:val="single" w:sz="4" w:space="0" w:color="auto"/>
              <w:right w:val="single" w:sz="4" w:space="0" w:color="auto"/>
            </w:tcBorders>
          </w:tcPr>
          <w:p w14:paraId="1B45D62B"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6135ED83" w14:textId="6BD3C865" w:rsidR="00AE5495" w:rsidRPr="006B5C90" w:rsidRDefault="00802FB0"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4</w:t>
            </w:r>
          </w:p>
        </w:tc>
        <w:tc>
          <w:tcPr>
            <w:tcW w:w="736" w:type="pct"/>
            <w:tcBorders>
              <w:top w:val="single" w:sz="4" w:space="0" w:color="auto"/>
              <w:left w:val="single" w:sz="4" w:space="0" w:color="auto"/>
              <w:bottom w:val="single" w:sz="4" w:space="0" w:color="auto"/>
              <w:right w:val="single" w:sz="4" w:space="0" w:color="auto"/>
            </w:tcBorders>
            <w:hideMark/>
          </w:tcPr>
          <w:p w14:paraId="6CE595C6"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r>
      <w:tr w:rsidR="006B5C90" w:rsidRPr="006B5C90" w14:paraId="20003DB4"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79B0BF45"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Eliberări din funcţie prin demisie/Retragere</w:t>
            </w:r>
          </w:p>
        </w:tc>
        <w:tc>
          <w:tcPr>
            <w:tcW w:w="770" w:type="pct"/>
            <w:tcBorders>
              <w:top w:val="single" w:sz="4" w:space="0" w:color="auto"/>
              <w:left w:val="single" w:sz="4" w:space="0" w:color="auto"/>
              <w:bottom w:val="single" w:sz="4" w:space="0" w:color="auto"/>
              <w:right w:val="single" w:sz="4" w:space="0" w:color="auto"/>
            </w:tcBorders>
            <w:hideMark/>
          </w:tcPr>
          <w:p w14:paraId="0CA6B567"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7289E34B" w14:textId="75336ACB" w:rsidR="00AE5495" w:rsidRPr="006B5C90" w:rsidRDefault="00D56F90" w:rsidP="00D51F5A">
            <w:pPr>
              <w:shd w:val="clear" w:color="auto" w:fill="FFFFFF"/>
              <w:spacing w:line="276" w:lineRule="auto"/>
              <w:ind w:right="-2"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4</w:t>
            </w:r>
          </w:p>
        </w:tc>
        <w:tc>
          <w:tcPr>
            <w:tcW w:w="736" w:type="pct"/>
            <w:tcBorders>
              <w:top w:val="single" w:sz="4" w:space="0" w:color="auto"/>
              <w:left w:val="single" w:sz="4" w:space="0" w:color="auto"/>
              <w:bottom w:val="single" w:sz="4" w:space="0" w:color="auto"/>
              <w:right w:val="single" w:sz="4" w:space="0" w:color="auto"/>
            </w:tcBorders>
            <w:hideMark/>
          </w:tcPr>
          <w:p w14:paraId="2EE19AE6" w14:textId="5BBA1814" w:rsidR="00AE5495" w:rsidRPr="006B5C90" w:rsidRDefault="00802FB0"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3</w:t>
            </w:r>
          </w:p>
        </w:tc>
      </w:tr>
      <w:tr w:rsidR="006B5C90" w:rsidRPr="006B5C90" w14:paraId="2462A8B2"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444BD531"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Suspendare din funcţie/Încetarea suspendare</w:t>
            </w:r>
          </w:p>
        </w:tc>
        <w:tc>
          <w:tcPr>
            <w:tcW w:w="770" w:type="pct"/>
            <w:tcBorders>
              <w:top w:val="single" w:sz="4" w:space="0" w:color="auto"/>
              <w:left w:val="single" w:sz="4" w:space="0" w:color="auto"/>
              <w:bottom w:val="single" w:sz="4" w:space="0" w:color="auto"/>
              <w:right w:val="single" w:sz="4" w:space="0" w:color="auto"/>
            </w:tcBorders>
            <w:hideMark/>
          </w:tcPr>
          <w:p w14:paraId="2C3E987C"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786CA529" w14:textId="7D81C91F"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1</w:t>
            </w:r>
            <w:r w:rsidR="00D56F90">
              <w:rPr>
                <w:rFonts w:asciiTheme="minorHAnsi" w:hAnsiTheme="minorHAnsi" w:cstheme="minorHAnsi"/>
                <w:sz w:val="26"/>
                <w:szCs w:val="26"/>
                <w:lang w:eastAsia="ro-RO"/>
              </w:rPr>
              <w:t>6</w:t>
            </w:r>
          </w:p>
        </w:tc>
        <w:tc>
          <w:tcPr>
            <w:tcW w:w="736" w:type="pct"/>
            <w:tcBorders>
              <w:top w:val="single" w:sz="4" w:space="0" w:color="auto"/>
              <w:left w:val="single" w:sz="4" w:space="0" w:color="auto"/>
              <w:bottom w:val="single" w:sz="4" w:space="0" w:color="auto"/>
              <w:right w:val="single" w:sz="4" w:space="0" w:color="auto"/>
            </w:tcBorders>
            <w:hideMark/>
          </w:tcPr>
          <w:p w14:paraId="7B09071C" w14:textId="63F7F60A" w:rsidR="00AE5495" w:rsidRPr="006B5C90" w:rsidRDefault="00D56F90" w:rsidP="00D51F5A">
            <w:pPr>
              <w:shd w:val="clear" w:color="auto" w:fill="FFFFFF"/>
              <w:spacing w:line="276" w:lineRule="auto"/>
              <w:ind w:right="-2"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6</w:t>
            </w:r>
          </w:p>
        </w:tc>
      </w:tr>
      <w:tr w:rsidR="006B5C90" w:rsidRPr="006B5C90" w14:paraId="7C054FD9"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77EE8150"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lastRenderedPageBreak/>
              <w:t>Eliberare din funcţie (motive imputabile)</w:t>
            </w:r>
          </w:p>
        </w:tc>
        <w:tc>
          <w:tcPr>
            <w:tcW w:w="770" w:type="pct"/>
            <w:tcBorders>
              <w:top w:val="single" w:sz="4" w:space="0" w:color="auto"/>
              <w:left w:val="single" w:sz="4" w:space="0" w:color="auto"/>
              <w:bottom w:val="single" w:sz="4" w:space="0" w:color="auto"/>
              <w:right w:val="single" w:sz="4" w:space="0" w:color="auto"/>
            </w:tcBorders>
            <w:hideMark/>
          </w:tcPr>
          <w:p w14:paraId="13E3D34D"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tcPr>
          <w:p w14:paraId="262DE08E"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p>
        </w:tc>
        <w:tc>
          <w:tcPr>
            <w:tcW w:w="736" w:type="pct"/>
            <w:tcBorders>
              <w:top w:val="single" w:sz="4" w:space="0" w:color="auto"/>
              <w:left w:val="single" w:sz="4" w:space="0" w:color="auto"/>
              <w:bottom w:val="single" w:sz="4" w:space="0" w:color="auto"/>
              <w:right w:val="single" w:sz="4" w:space="0" w:color="auto"/>
            </w:tcBorders>
            <w:hideMark/>
          </w:tcPr>
          <w:p w14:paraId="490C682D"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1</w:t>
            </w:r>
          </w:p>
        </w:tc>
      </w:tr>
      <w:tr w:rsidR="006B5C90" w:rsidRPr="006B5C90" w14:paraId="78CD9199" w14:textId="77777777" w:rsidTr="00B9099C">
        <w:trPr>
          <w:trHeight w:val="827"/>
          <w:jc w:val="center"/>
        </w:trPr>
        <w:tc>
          <w:tcPr>
            <w:tcW w:w="2745" w:type="pct"/>
            <w:tcBorders>
              <w:top w:val="single" w:sz="4" w:space="0" w:color="auto"/>
              <w:left w:val="single" w:sz="4" w:space="0" w:color="auto"/>
              <w:bottom w:val="single" w:sz="4" w:space="0" w:color="auto"/>
              <w:right w:val="single" w:sz="4" w:space="0" w:color="auto"/>
            </w:tcBorders>
            <w:hideMark/>
          </w:tcPr>
          <w:p w14:paraId="72D53F4D"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Menţinere în funcţia de judecător/procuror/ Retragere</w:t>
            </w:r>
          </w:p>
        </w:tc>
        <w:tc>
          <w:tcPr>
            <w:tcW w:w="770" w:type="pct"/>
            <w:tcBorders>
              <w:top w:val="single" w:sz="4" w:space="0" w:color="auto"/>
              <w:left w:val="single" w:sz="4" w:space="0" w:color="auto"/>
              <w:bottom w:val="single" w:sz="4" w:space="0" w:color="auto"/>
              <w:right w:val="single" w:sz="4" w:space="0" w:color="auto"/>
            </w:tcBorders>
            <w:hideMark/>
          </w:tcPr>
          <w:p w14:paraId="79EA5665"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2E015069"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12</w:t>
            </w:r>
          </w:p>
        </w:tc>
        <w:tc>
          <w:tcPr>
            <w:tcW w:w="736" w:type="pct"/>
            <w:tcBorders>
              <w:top w:val="single" w:sz="4" w:space="0" w:color="auto"/>
              <w:left w:val="single" w:sz="4" w:space="0" w:color="auto"/>
              <w:bottom w:val="single" w:sz="4" w:space="0" w:color="auto"/>
              <w:right w:val="single" w:sz="4" w:space="0" w:color="auto"/>
            </w:tcBorders>
            <w:hideMark/>
          </w:tcPr>
          <w:p w14:paraId="03769F65" w14:textId="2A5F203A" w:rsidR="00AE5495" w:rsidRPr="006B5C90" w:rsidRDefault="00802FB0"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2</w:t>
            </w:r>
          </w:p>
        </w:tc>
      </w:tr>
      <w:tr w:rsidR="006B5C90" w:rsidRPr="006B5C90" w14:paraId="2B157CA7"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0157855C"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Numire/reînvestire în funcţii de conducere/ Retragere</w:t>
            </w:r>
          </w:p>
        </w:tc>
        <w:tc>
          <w:tcPr>
            <w:tcW w:w="770" w:type="pct"/>
            <w:tcBorders>
              <w:top w:val="single" w:sz="4" w:space="0" w:color="auto"/>
              <w:left w:val="single" w:sz="4" w:space="0" w:color="auto"/>
              <w:bottom w:val="single" w:sz="4" w:space="0" w:color="auto"/>
              <w:right w:val="single" w:sz="4" w:space="0" w:color="auto"/>
            </w:tcBorders>
            <w:hideMark/>
          </w:tcPr>
          <w:p w14:paraId="15A3C7C2"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47330CD5" w14:textId="555A935C" w:rsidR="00AE5495" w:rsidRPr="006B5C90" w:rsidRDefault="00D56F90" w:rsidP="00D51F5A">
            <w:pPr>
              <w:shd w:val="clear" w:color="auto" w:fill="FFFFFF"/>
              <w:spacing w:line="276" w:lineRule="auto"/>
              <w:ind w:right="-2"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72</w:t>
            </w:r>
          </w:p>
        </w:tc>
        <w:tc>
          <w:tcPr>
            <w:tcW w:w="736" w:type="pct"/>
            <w:tcBorders>
              <w:top w:val="single" w:sz="4" w:space="0" w:color="auto"/>
              <w:left w:val="single" w:sz="4" w:space="0" w:color="auto"/>
              <w:bottom w:val="single" w:sz="4" w:space="0" w:color="auto"/>
              <w:right w:val="single" w:sz="4" w:space="0" w:color="auto"/>
            </w:tcBorders>
            <w:hideMark/>
          </w:tcPr>
          <w:p w14:paraId="0C8024EE" w14:textId="0DB0874B" w:rsidR="00AE5495" w:rsidRPr="006B5C90" w:rsidRDefault="00F53714" w:rsidP="00D51F5A">
            <w:pPr>
              <w:shd w:val="clear" w:color="auto" w:fill="FFFFFF"/>
              <w:spacing w:line="276" w:lineRule="auto"/>
              <w:ind w:right="-2"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93</w:t>
            </w:r>
          </w:p>
        </w:tc>
      </w:tr>
      <w:tr w:rsidR="006B5C90" w:rsidRPr="006B5C90" w14:paraId="7FCB3E82"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725BE35D"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 xml:space="preserve">Promovare în funcţia de judecător la </w:t>
            </w:r>
          </w:p>
          <w:p w14:paraId="4A2E58AD"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Înalta Curte de Casaţie şi Justiţie</w:t>
            </w:r>
          </w:p>
        </w:tc>
        <w:tc>
          <w:tcPr>
            <w:tcW w:w="770" w:type="pct"/>
            <w:tcBorders>
              <w:top w:val="single" w:sz="4" w:space="0" w:color="auto"/>
              <w:left w:val="single" w:sz="4" w:space="0" w:color="auto"/>
              <w:bottom w:val="single" w:sz="4" w:space="0" w:color="auto"/>
              <w:right w:val="single" w:sz="4" w:space="0" w:color="auto"/>
            </w:tcBorders>
            <w:hideMark/>
          </w:tcPr>
          <w:p w14:paraId="6F0CC248"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57863167"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7</w:t>
            </w:r>
          </w:p>
        </w:tc>
        <w:tc>
          <w:tcPr>
            <w:tcW w:w="736" w:type="pct"/>
            <w:tcBorders>
              <w:top w:val="single" w:sz="4" w:space="0" w:color="auto"/>
              <w:left w:val="single" w:sz="4" w:space="0" w:color="auto"/>
              <w:bottom w:val="single" w:sz="4" w:space="0" w:color="auto"/>
              <w:right w:val="single" w:sz="4" w:space="0" w:color="auto"/>
            </w:tcBorders>
          </w:tcPr>
          <w:p w14:paraId="52220FF6" w14:textId="77777777" w:rsidR="00AE5495" w:rsidRPr="006B5C90" w:rsidRDefault="00AE5495">
            <w:pPr>
              <w:numPr>
                <w:ilvl w:val="0"/>
                <w:numId w:val="17"/>
              </w:numPr>
              <w:shd w:val="clear" w:color="auto" w:fill="FFFFFF"/>
              <w:spacing w:line="276" w:lineRule="auto"/>
              <w:ind w:left="0" w:right="-2" w:firstLine="567"/>
              <w:jc w:val="center"/>
              <w:rPr>
                <w:rFonts w:asciiTheme="minorHAnsi" w:hAnsiTheme="minorHAnsi" w:cstheme="minorHAnsi"/>
                <w:sz w:val="26"/>
                <w:szCs w:val="26"/>
                <w:lang w:eastAsia="ro-RO"/>
              </w:rPr>
            </w:pPr>
          </w:p>
        </w:tc>
      </w:tr>
      <w:tr w:rsidR="006B5C90" w:rsidRPr="006B5C90" w14:paraId="2C0417EC"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332A01E1"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Avizare numire</w:t>
            </w:r>
          </w:p>
        </w:tc>
        <w:tc>
          <w:tcPr>
            <w:tcW w:w="770" w:type="pct"/>
            <w:tcBorders>
              <w:top w:val="single" w:sz="4" w:space="0" w:color="auto"/>
              <w:left w:val="single" w:sz="4" w:space="0" w:color="auto"/>
              <w:bottom w:val="single" w:sz="4" w:space="0" w:color="auto"/>
              <w:right w:val="single" w:sz="4" w:space="0" w:color="auto"/>
            </w:tcBorders>
            <w:hideMark/>
          </w:tcPr>
          <w:p w14:paraId="6D96E9EE"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tcPr>
          <w:p w14:paraId="51993D74"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p>
        </w:tc>
        <w:tc>
          <w:tcPr>
            <w:tcW w:w="736" w:type="pct"/>
            <w:tcBorders>
              <w:top w:val="single" w:sz="4" w:space="0" w:color="auto"/>
              <w:left w:val="single" w:sz="4" w:space="0" w:color="auto"/>
              <w:bottom w:val="single" w:sz="4" w:space="0" w:color="auto"/>
              <w:right w:val="single" w:sz="4" w:space="0" w:color="auto"/>
            </w:tcBorders>
            <w:hideMark/>
          </w:tcPr>
          <w:p w14:paraId="7ED77DDA" w14:textId="6A51EA61" w:rsidR="00AE5495" w:rsidRPr="006B5C90" w:rsidRDefault="00802FB0"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9</w:t>
            </w:r>
          </w:p>
        </w:tc>
      </w:tr>
      <w:tr w:rsidR="006B5C90" w:rsidRPr="006B5C90" w14:paraId="3779B6C7"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341678CD"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Transfer</w:t>
            </w:r>
          </w:p>
        </w:tc>
        <w:tc>
          <w:tcPr>
            <w:tcW w:w="770" w:type="pct"/>
            <w:tcBorders>
              <w:top w:val="single" w:sz="4" w:space="0" w:color="auto"/>
              <w:left w:val="single" w:sz="4" w:space="0" w:color="auto"/>
              <w:bottom w:val="single" w:sz="4" w:space="0" w:color="auto"/>
              <w:right w:val="single" w:sz="4" w:space="0" w:color="auto"/>
            </w:tcBorders>
            <w:hideMark/>
          </w:tcPr>
          <w:p w14:paraId="5D250F90"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71D2DEE7" w14:textId="0D782D06" w:rsidR="00AE5495" w:rsidRPr="006B5C90" w:rsidRDefault="00F53714" w:rsidP="00D51F5A">
            <w:pPr>
              <w:shd w:val="clear" w:color="auto" w:fill="FFFFFF"/>
              <w:spacing w:line="276" w:lineRule="auto"/>
              <w:ind w:right="-2"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680</w:t>
            </w:r>
          </w:p>
        </w:tc>
        <w:tc>
          <w:tcPr>
            <w:tcW w:w="736" w:type="pct"/>
            <w:tcBorders>
              <w:top w:val="single" w:sz="4" w:space="0" w:color="auto"/>
              <w:left w:val="single" w:sz="4" w:space="0" w:color="auto"/>
              <w:bottom w:val="single" w:sz="4" w:space="0" w:color="auto"/>
              <w:right w:val="single" w:sz="4" w:space="0" w:color="auto"/>
            </w:tcBorders>
            <w:hideMark/>
          </w:tcPr>
          <w:p w14:paraId="41BE2AB8" w14:textId="552CD403" w:rsidR="00AE5495" w:rsidRPr="006B5C90" w:rsidRDefault="00802FB0"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45</w:t>
            </w:r>
            <w:r w:rsidR="00F53714">
              <w:rPr>
                <w:rFonts w:asciiTheme="minorHAnsi" w:hAnsiTheme="minorHAnsi" w:cstheme="minorHAnsi"/>
                <w:sz w:val="26"/>
                <w:szCs w:val="26"/>
                <w:lang w:eastAsia="ro-RO"/>
              </w:rPr>
              <w:t>9</w:t>
            </w:r>
          </w:p>
        </w:tc>
      </w:tr>
      <w:tr w:rsidR="006B5C90" w:rsidRPr="006B5C90" w14:paraId="4A616AE9"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5365B347"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Detaşare instanţe/parchet; Prelungire detaşare instanţe/parchete; Delegare funcţii de execuţie la instanţe/parchete; Prelungire delegare în funcţii de execuţie la instanţe/parchete; Încetare delegare în funcţii de execuţie la instanţe/parchete/Retragere</w:t>
            </w:r>
          </w:p>
        </w:tc>
        <w:tc>
          <w:tcPr>
            <w:tcW w:w="770" w:type="pct"/>
            <w:tcBorders>
              <w:top w:val="single" w:sz="4" w:space="0" w:color="auto"/>
              <w:left w:val="single" w:sz="4" w:space="0" w:color="auto"/>
              <w:bottom w:val="single" w:sz="4" w:space="0" w:color="auto"/>
              <w:right w:val="single" w:sz="4" w:space="0" w:color="auto"/>
            </w:tcBorders>
            <w:hideMark/>
          </w:tcPr>
          <w:p w14:paraId="7F9B9377"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0E7532EC" w14:textId="0BDE5954"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4</w:t>
            </w:r>
            <w:r w:rsidR="00F53714">
              <w:rPr>
                <w:rFonts w:asciiTheme="minorHAnsi" w:hAnsiTheme="minorHAnsi" w:cstheme="minorHAnsi"/>
                <w:sz w:val="26"/>
                <w:szCs w:val="26"/>
                <w:lang w:eastAsia="ro-RO"/>
              </w:rPr>
              <w:t>5</w:t>
            </w:r>
          </w:p>
        </w:tc>
        <w:tc>
          <w:tcPr>
            <w:tcW w:w="736" w:type="pct"/>
            <w:tcBorders>
              <w:top w:val="single" w:sz="4" w:space="0" w:color="auto"/>
              <w:left w:val="single" w:sz="4" w:space="0" w:color="auto"/>
              <w:bottom w:val="single" w:sz="4" w:space="0" w:color="auto"/>
              <w:right w:val="single" w:sz="4" w:space="0" w:color="auto"/>
            </w:tcBorders>
          </w:tcPr>
          <w:p w14:paraId="412F306C"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p>
        </w:tc>
      </w:tr>
      <w:tr w:rsidR="006B5C90" w:rsidRPr="006B5C90" w14:paraId="78F07A25"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164F5805"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Prelungire detaşare instituţii/Detaşare la alte instituţii/Încetare detaşare instituţii/Retragere</w:t>
            </w:r>
          </w:p>
        </w:tc>
        <w:tc>
          <w:tcPr>
            <w:tcW w:w="770" w:type="pct"/>
            <w:tcBorders>
              <w:top w:val="single" w:sz="4" w:space="0" w:color="auto"/>
              <w:left w:val="single" w:sz="4" w:space="0" w:color="auto"/>
              <w:bottom w:val="single" w:sz="4" w:space="0" w:color="auto"/>
              <w:right w:val="single" w:sz="4" w:space="0" w:color="auto"/>
            </w:tcBorders>
            <w:hideMark/>
          </w:tcPr>
          <w:p w14:paraId="7CF07674"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2FFD3AA6" w14:textId="1430CB92" w:rsidR="00AE5495" w:rsidRPr="006B5C90" w:rsidRDefault="00802FB0"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4</w:t>
            </w:r>
            <w:r w:rsidR="00F53714">
              <w:rPr>
                <w:rFonts w:asciiTheme="minorHAnsi" w:hAnsiTheme="minorHAnsi" w:cstheme="minorHAnsi"/>
                <w:sz w:val="26"/>
                <w:szCs w:val="26"/>
                <w:lang w:eastAsia="ro-RO"/>
              </w:rPr>
              <w:t>2</w:t>
            </w:r>
          </w:p>
        </w:tc>
        <w:tc>
          <w:tcPr>
            <w:tcW w:w="736" w:type="pct"/>
            <w:tcBorders>
              <w:top w:val="single" w:sz="4" w:space="0" w:color="auto"/>
              <w:left w:val="single" w:sz="4" w:space="0" w:color="auto"/>
              <w:bottom w:val="single" w:sz="4" w:space="0" w:color="auto"/>
              <w:right w:val="single" w:sz="4" w:space="0" w:color="auto"/>
            </w:tcBorders>
          </w:tcPr>
          <w:p w14:paraId="20BFCB8C"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p>
        </w:tc>
      </w:tr>
      <w:tr w:rsidR="006B5C90" w:rsidRPr="006B5C90" w14:paraId="6A4B56D3"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3C8AD7CD"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Delegare în funcţii de conducere/Încetare delegare în funcţii de conducere/Retragere</w:t>
            </w:r>
          </w:p>
        </w:tc>
        <w:tc>
          <w:tcPr>
            <w:tcW w:w="770" w:type="pct"/>
            <w:tcBorders>
              <w:top w:val="single" w:sz="4" w:space="0" w:color="auto"/>
              <w:left w:val="single" w:sz="4" w:space="0" w:color="auto"/>
              <w:bottom w:val="single" w:sz="4" w:space="0" w:color="auto"/>
              <w:right w:val="single" w:sz="4" w:space="0" w:color="auto"/>
            </w:tcBorders>
            <w:hideMark/>
          </w:tcPr>
          <w:p w14:paraId="35859EC7"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622900D2" w14:textId="782FFD40"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2</w:t>
            </w:r>
            <w:r w:rsidR="00F53714">
              <w:rPr>
                <w:rFonts w:asciiTheme="minorHAnsi" w:hAnsiTheme="minorHAnsi" w:cstheme="minorHAnsi"/>
                <w:sz w:val="26"/>
                <w:szCs w:val="26"/>
                <w:lang w:eastAsia="ro-RO"/>
              </w:rPr>
              <w:t>53</w:t>
            </w:r>
          </w:p>
        </w:tc>
        <w:tc>
          <w:tcPr>
            <w:tcW w:w="736" w:type="pct"/>
            <w:tcBorders>
              <w:top w:val="single" w:sz="4" w:space="0" w:color="auto"/>
              <w:left w:val="single" w:sz="4" w:space="0" w:color="auto"/>
              <w:bottom w:val="single" w:sz="4" w:space="0" w:color="auto"/>
              <w:right w:val="single" w:sz="4" w:space="0" w:color="auto"/>
            </w:tcBorders>
            <w:hideMark/>
          </w:tcPr>
          <w:p w14:paraId="5A1171E5" w14:textId="1D339A9B"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2</w:t>
            </w:r>
            <w:r w:rsidR="00F53714">
              <w:rPr>
                <w:rFonts w:asciiTheme="minorHAnsi" w:hAnsiTheme="minorHAnsi" w:cstheme="minorHAnsi"/>
                <w:sz w:val="26"/>
                <w:szCs w:val="26"/>
                <w:lang w:eastAsia="ro-RO"/>
              </w:rPr>
              <w:t>89</w:t>
            </w:r>
          </w:p>
        </w:tc>
      </w:tr>
      <w:tr w:rsidR="006B5C90" w:rsidRPr="006B5C90" w14:paraId="5BC21EF5"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674EC76C"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Prelungire delegare în funcţii de conducere/ Retragere</w:t>
            </w:r>
          </w:p>
        </w:tc>
        <w:tc>
          <w:tcPr>
            <w:tcW w:w="770" w:type="pct"/>
            <w:tcBorders>
              <w:top w:val="single" w:sz="4" w:space="0" w:color="auto"/>
              <w:left w:val="single" w:sz="4" w:space="0" w:color="auto"/>
              <w:bottom w:val="single" w:sz="4" w:space="0" w:color="auto"/>
              <w:right w:val="single" w:sz="4" w:space="0" w:color="auto"/>
            </w:tcBorders>
            <w:hideMark/>
          </w:tcPr>
          <w:p w14:paraId="54457437"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07885719" w14:textId="49BA4F0F" w:rsidR="00AE5495" w:rsidRPr="006B5C90" w:rsidRDefault="00F53714" w:rsidP="00D51F5A">
            <w:pPr>
              <w:shd w:val="clear" w:color="auto" w:fill="FFFFFF"/>
              <w:spacing w:line="276" w:lineRule="auto"/>
              <w:ind w:right="-2"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552</w:t>
            </w:r>
          </w:p>
        </w:tc>
        <w:tc>
          <w:tcPr>
            <w:tcW w:w="736" w:type="pct"/>
            <w:tcBorders>
              <w:top w:val="single" w:sz="4" w:space="0" w:color="auto"/>
              <w:left w:val="single" w:sz="4" w:space="0" w:color="auto"/>
              <w:bottom w:val="single" w:sz="4" w:space="0" w:color="auto"/>
              <w:right w:val="single" w:sz="4" w:space="0" w:color="auto"/>
            </w:tcBorders>
            <w:hideMark/>
          </w:tcPr>
          <w:p w14:paraId="148209E4" w14:textId="25575F14"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3</w:t>
            </w:r>
            <w:r w:rsidR="00D95C80">
              <w:rPr>
                <w:rFonts w:asciiTheme="minorHAnsi" w:hAnsiTheme="minorHAnsi" w:cstheme="minorHAnsi"/>
                <w:sz w:val="26"/>
                <w:szCs w:val="26"/>
                <w:lang w:eastAsia="ro-RO"/>
              </w:rPr>
              <w:t>3</w:t>
            </w:r>
            <w:r w:rsidR="00802FB0" w:rsidRPr="006B5C90">
              <w:rPr>
                <w:rFonts w:asciiTheme="minorHAnsi" w:hAnsiTheme="minorHAnsi" w:cstheme="minorHAnsi"/>
                <w:sz w:val="26"/>
                <w:szCs w:val="26"/>
                <w:lang w:eastAsia="ro-RO"/>
              </w:rPr>
              <w:t>8</w:t>
            </w:r>
          </w:p>
        </w:tc>
      </w:tr>
      <w:tr w:rsidR="006B5C90" w:rsidRPr="006B5C90" w14:paraId="47DCC3A4"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412A8082" w14:textId="070F6086"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Ocuparea pe perioadă nedeterminată – art.</w:t>
            </w:r>
            <w:r w:rsidR="002E551E" w:rsidRPr="006B5C90">
              <w:rPr>
                <w:rFonts w:asciiTheme="minorHAnsi" w:hAnsiTheme="minorHAnsi" w:cstheme="minorHAnsi"/>
                <w:sz w:val="26"/>
                <w:szCs w:val="26"/>
                <w:lang w:eastAsia="ro-RO"/>
              </w:rPr>
              <w:t xml:space="preserve"> </w:t>
            </w:r>
            <w:r w:rsidRPr="006B5C90">
              <w:rPr>
                <w:rFonts w:asciiTheme="minorHAnsi" w:hAnsiTheme="minorHAnsi" w:cstheme="minorHAnsi"/>
                <w:sz w:val="26"/>
                <w:szCs w:val="26"/>
                <w:lang w:eastAsia="ro-RO"/>
              </w:rPr>
              <w:t>134 ind.</w:t>
            </w:r>
            <w:r w:rsidR="002E551E" w:rsidRPr="006B5C90">
              <w:rPr>
                <w:rFonts w:asciiTheme="minorHAnsi" w:hAnsiTheme="minorHAnsi" w:cstheme="minorHAnsi"/>
                <w:sz w:val="26"/>
                <w:szCs w:val="26"/>
                <w:lang w:eastAsia="ro-RO"/>
              </w:rPr>
              <w:t xml:space="preserve"> </w:t>
            </w:r>
            <w:r w:rsidRPr="006B5C90">
              <w:rPr>
                <w:rFonts w:asciiTheme="minorHAnsi" w:hAnsiTheme="minorHAnsi" w:cstheme="minorHAnsi"/>
                <w:sz w:val="26"/>
                <w:szCs w:val="26"/>
                <w:lang w:eastAsia="ro-RO"/>
              </w:rPr>
              <w:t>1</w:t>
            </w:r>
            <w:r w:rsidR="002E551E" w:rsidRPr="006B5C90">
              <w:rPr>
                <w:rFonts w:asciiTheme="minorHAnsi" w:hAnsiTheme="minorHAnsi" w:cstheme="minorHAnsi"/>
                <w:sz w:val="26"/>
                <w:szCs w:val="26"/>
                <w:lang w:eastAsia="ro-RO"/>
              </w:rPr>
              <w:t xml:space="preserve"> </w:t>
            </w:r>
            <w:r w:rsidRPr="006B5C90">
              <w:rPr>
                <w:rFonts w:asciiTheme="minorHAnsi" w:hAnsiTheme="minorHAnsi" w:cstheme="minorHAnsi"/>
                <w:sz w:val="26"/>
                <w:szCs w:val="26"/>
                <w:lang w:eastAsia="ro-RO"/>
              </w:rPr>
              <w:t>/Efecte hotărâri/Retragere</w:t>
            </w:r>
          </w:p>
        </w:tc>
        <w:tc>
          <w:tcPr>
            <w:tcW w:w="770" w:type="pct"/>
            <w:tcBorders>
              <w:top w:val="single" w:sz="4" w:space="0" w:color="auto"/>
              <w:left w:val="single" w:sz="4" w:space="0" w:color="auto"/>
              <w:bottom w:val="single" w:sz="4" w:space="0" w:color="auto"/>
              <w:right w:val="single" w:sz="4" w:space="0" w:color="auto"/>
            </w:tcBorders>
            <w:hideMark/>
          </w:tcPr>
          <w:p w14:paraId="1690DD76"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4E8CB05D" w14:textId="14F6BA1F"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1</w:t>
            </w:r>
            <w:r w:rsidR="00D95C80">
              <w:rPr>
                <w:rFonts w:asciiTheme="minorHAnsi" w:hAnsiTheme="minorHAnsi" w:cstheme="minorHAnsi"/>
                <w:sz w:val="26"/>
                <w:szCs w:val="26"/>
                <w:lang w:eastAsia="ro-RO"/>
              </w:rPr>
              <w:t>77</w:t>
            </w:r>
          </w:p>
        </w:tc>
        <w:tc>
          <w:tcPr>
            <w:tcW w:w="736" w:type="pct"/>
            <w:tcBorders>
              <w:top w:val="single" w:sz="4" w:space="0" w:color="auto"/>
              <w:left w:val="single" w:sz="4" w:space="0" w:color="auto"/>
              <w:bottom w:val="single" w:sz="4" w:space="0" w:color="auto"/>
              <w:right w:val="single" w:sz="4" w:space="0" w:color="auto"/>
            </w:tcBorders>
            <w:hideMark/>
          </w:tcPr>
          <w:p w14:paraId="0656B7FB" w14:textId="69D4A0B2"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2</w:t>
            </w:r>
            <w:r w:rsidR="00D95C80">
              <w:rPr>
                <w:rFonts w:asciiTheme="minorHAnsi" w:hAnsiTheme="minorHAnsi" w:cstheme="minorHAnsi"/>
                <w:sz w:val="26"/>
                <w:szCs w:val="26"/>
                <w:lang w:eastAsia="ro-RO"/>
              </w:rPr>
              <w:t>3</w:t>
            </w:r>
          </w:p>
        </w:tc>
      </w:tr>
      <w:tr w:rsidR="006B5C90" w:rsidRPr="006B5C90" w14:paraId="7A04591F"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7B4A51E7"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 xml:space="preserve">Eliberare din funcţia de conducere/ Art. 5/ Demisie/ Revocare din funcţii de conducere/Retragere/ Încetare mandat </w:t>
            </w:r>
          </w:p>
        </w:tc>
        <w:tc>
          <w:tcPr>
            <w:tcW w:w="770" w:type="pct"/>
            <w:tcBorders>
              <w:top w:val="single" w:sz="4" w:space="0" w:color="auto"/>
              <w:left w:val="single" w:sz="4" w:space="0" w:color="auto"/>
              <w:bottom w:val="single" w:sz="4" w:space="0" w:color="auto"/>
              <w:right w:val="single" w:sz="4" w:space="0" w:color="auto"/>
            </w:tcBorders>
            <w:hideMark/>
          </w:tcPr>
          <w:p w14:paraId="6D34F743"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23FEB85B"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6</w:t>
            </w:r>
          </w:p>
        </w:tc>
        <w:tc>
          <w:tcPr>
            <w:tcW w:w="736" w:type="pct"/>
            <w:tcBorders>
              <w:top w:val="single" w:sz="4" w:space="0" w:color="auto"/>
              <w:left w:val="single" w:sz="4" w:space="0" w:color="auto"/>
              <w:bottom w:val="single" w:sz="4" w:space="0" w:color="auto"/>
              <w:right w:val="single" w:sz="4" w:space="0" w:color="auto"/>
            </w:tcBorders>
            <w:hideMark/>
          </w:tcPr>
          <w:p w14:paraId="7DF34E00" w14:textId="5EA0033D" w:rsidR="00AE5495" w:rsidRPr="006B5C90" w:rsidRDefault="008E7EFC"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20</w:t>
            </w:r>
          </w:p>
        </w:tc>
      </w:tr>
      <w:tr w:rsidR="006B5C90" w:rsidRPr="006B5C90" w14:paraId="09740A2F" w14:textId="77777777" w:rsidTr="00B9099C">
        <w:trPr>
          <w:trHeight w:val="534"/>
          <w:jc w:val="center"/>
        </w:trPr>
        <w:tc>
          <w:tcPr>
            <w:tcW w:w="2745" w:type="pct"/>
            <w:tcBorders>
              <w:top w:val="single" w:sz="4" w:space="0" w:color="auto"/>
              <w:left w:val="single" w:sz="4" w:space="0" w:color="auto"/>
              <w:bottom w:val="single" w:sz="4" w:space="0" w:color="auto"/>
              <w:right w:val="single" w:sz="4" w:space="0" w:color="auto"/>
            </w:tcBorders>
            <w:hideMark/>
          </w:tcPr>
          <w:p w14:paraId="13DBF5AC"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Inspecţia Judiciară</w:t>
            </w:r>
          </w:p>
          <w:p w14:paraId="786C8140"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(rapoarte în urma diverselor controale)</w:t>
            </w:r>
          </w:p>
        </w:tc>
        <w:tc>
          <w:tcPr>
            <w:tcW w:w="770" w:type="pct"/>
            <w:tcBorders>
              <w:top w:val="single" w:sz="4" w:space="0" w:color="auto"/>
              <w:left w:val="single" w:sz="4" w:space="0" w:color="auto"/>
              <w:bottom w:val="single" w:sz="4" w:space="0" w:color="auto"/>
              <w:right w:val="single" w:sz="4" w:space="0" w:color="auto"/>
            </w:tcBorders>
            <w:hideMark/>
          </w:tcPr>
          <w:p w14:paraId="75A7762C" w14:textId="77777777" w:rsidR="00AE5495" w:rsidRPr="006B5C90" w:rsidRDefault="00AE5495" w:rsidP="00D51F5A">
            <w:pPr>
              <w:spacing w:line="276" w:lineRule="auto"/>
              <w:ind w:right="-2" w:firstLine="567"/>
              <w:jc w:val="center"/>
              <w:rPr>
                <w:rFonts w:asciiTheme="minorHAnsi" w:hAnsiTheme="minorHAnsi" w:cstheme="minorHAnsi"/>
                <w:sz w:val="26"/>
                <w:szCs w:val="26"/>
              </w:rPr>
            </w:pPr>
            <w:r w:rsidRPr="006B5C90">
              <w:rPr>
                <w:rFonts w:asciiTheme="minorHAnsi" w:hAnsiTheme="minorHAnsi" w:cstheme="minorHAnsi"/>
                <w:sz w:val="26"/>
                <w:szCs w:val="26"/>
              </w:rPr>
              <w:t>1</w:t>
            </w:r>
          </w:p>
        </w:tc>
        <w:tc>
          <w:tcPr>
            <w:tcW w:w="748" w:type="pct"/>
            <w:tcBorders>
              <w:top w:val="single" w:sz="4" w:space="0" w:color="auto"/>
              <w:left w:val="single" w:sz="4" w:space="0" w:color="auto"/>
              <w:bottom w:val="single" w:sz="4" w:space="0" w:color="auto"/>
              <w:right w:val="single" w:sz="4" w:space="0" w:color="auto"/>
            </w:tcBorders>
            <w:hideMark/>
          </w:tcPr>
          <w:p w14:paraId="346D74FD" w14:textId="68821FC0" w:rsidR="00AE5495" w:rsidRPr="006B5C90" w:rsidRDefault="00D95C80" w:rsidP="00D51F5A">
            <w:pPr>
              <w:shd w:val="clear" w:color="auto" w:fill="FFFFFF"/>
              <w:spacing w:line="276" w:lineRule="auto"/>
              <w:ind w:right="-2"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20</w:t>
            </w:r>
          </w:p>
        </w:tc>
        <w:tc>
          <w:tcPr>
            <w:tcW w:w="736" w:type="pct"/>
            <w:tcBorders>
              <w:top w:val="single" w:sz="4" w:space="0" w:color="auto"/>
              <w:left w:val="single" w:sz="4" w:space="0" w:color="auto"/>
              <w:bottom w:val="single" w:sz="4" w:space="0" w:color="auto"/>
              <w:right w:val="single" w:sz="4" w:space="0" w:color="auto"/>
            </w:tcBorders>
            <w:hideMark/>
          </w:tcPr>
          <w:p w14:paraId="662DE340" w14:textId="270BE983" w:rsidR="00AE5495" w:rsidRPr="006B5C90" w:rsidRDefault="00D95C80" w:rsidP="00D51F5A">
            <w:pPr>
              <w:shd w:val="clear" w:color="auto" w:fill="FFFFFF"/>
              <w:spacing w:line="276" w:lineRule="auto"/>
              <w:ind w:right="-2"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24</w:t>
            </w:r>
          </w:p>
        </w:tc>
      </w:tr>
      <w:tr w:rsidR="006B5C90" w:rsidRPr="006B5C90" w14:paraId="0080809A"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43B7712F"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Sesizări Inspecţia Judiciară/Respingeri solicitări de sesizare a Inspecţiei Judiciare</w:t>
            </w:r>
          </w:p>
        </w:tc>
        <w:tc>
          <w:tcPr>
            <w:tcW w:w="770" w:type="pct"/>
            <w:tcBorders>
              <w:top w:val="single" w:sz="4" w:space="0" w:color="auto"/>
              <w:left w:val="single" w:sz="4" w:space="0" w:color="auto"/>
              <w:bottom w:val="single" w:sz="4" w:space="0" w:color="auto"/>
              <w:right w:val="single" w:sz="4" w:space="0" w:color="auto"/>
            </w:tcBorders>
          </w:tcPr>
          <w:p w14:paraId="6F7DF62E"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p>
        </w:tc>
        <w:tc>
          <w:tcPr>
            <w:tcW w:w="748" w:type="pct"/>
            <w:tcBorders>
              <w:top w:val="single" w:sz="4" w:space="0" w:color="auto"/>
              <w:left w:val="single" w:sz="4" w:space="0" w:color="auto"/>
              <w:bottom w:val="single" w:sz="4" w:space="0" w:color="auto"/>
              <w:right w:val="single" w:sz="4" w:space="0" w:color="auto"/>
            </w:tcBorders>
            <w:hideMark/>
          </w:tcPr>
          <w:p w14:paraId="4E5A484F" w14:textId="0D4F69E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3</w:t>
            </w:r>
            <w:r w:rsidR="00D95C80">
              <w:rPr>
                <w:rFonts w:asciiTheme="minorHAnsi" w:hAnsiTheme="minorHAnsi" w:cstheme="minorHAnsi"/>
                <w:sz w:val="26"/>
                <w:szCs w:val="26"/>
                <w:lang w:eastAsia="ro-RO"/>
              </w:rPr>
              <w:t>7</w:t>
            </w:r>
          </w:p>
        </w:tc>
        <w:tc>
          <w:tcPr>
            <w:tcW w:w="736" w:type="pct"/>
            <w:tcBorders>
              <w:top w:val="single" w:sz="4" w:space="0" w:color="auto"/>
              <w:left w:val="single" w:sz="4" w:space="0" w:color="auto"/>
              <w:bottom w:val="single" w:sz="4" w:space="0" w:color="auto"/>
              <w:right w:val="single" w:sz="4" w:space="0" w:color="auto"/>
            </w:tcBorders>
            <w:hideMark/>
          </w:tcPr>
          <w:p w14:paraId="7894D371" w14:textId="682AF883" w:rsidR="00AE5495" w:rsidRPr="006B5C90" w:rsidRDefault="00D95C80" w:rsidP="00D51F5A">
            <w:pPr>
              <w:shd w:val="clear" w:color="auto" w:fill="FFFFFF"/>
              <w:spacing w:line="276" w:lineRule="auto"/>
              <w:ind w:right="-2"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30</w:t>
            </w:r>
          </w:p>
        </w:tc>
      </w:tr>
      <w:tr w:rsidR="006B5C90" w:rsidRPr="006B5C90" w14:paraId="1DD23B3B"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5CD252CF"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Acord prealabil eventuală detaşare/Retragere</w:t>
            </w:r>
          </w:p>
        </w:tc>
        <w:tc>
          <w:tcPr>
            <w:tcW w:w="770" w:type="pct"/>
            <w:tcBorders>
              <w:top w:val="single" w:sz="4" w:space="0" w:color="auto"/>
              <w:left w:val="single" w:sz="4" w:space="0" w:color="auto"/>
              <w:bottom w:val="single" w:sz="4" w:space="0" w:color="auto"/>
              <w:right w:val="single" w:sz="4" w:space="0" w:color="auto"/>
            </w:tcBorders>
            <w:hideMark/>
          </w:tcPr>
          <w:p w14:paraId="0BBFB841"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550C4784" w14:textId="025E6C6C" w:rsidR="00AE5495" w:rsidRPr="006B5C90" w:rsidRDefault="00D95C80" w:rsidP="00D51F5A">
            <w:pPr>
              <w:shd w:val="clear" w:color="auto" w:fill="FFFFFF"/>
              <w:spacing w:line="276" w:lineRule="auto"/>
              <w:ind w:right="-2"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39</w:t>
            </w:r>
          </w:p>
        </w:tc>
        <w:tc>
          <w:tcPr>
            <w:tcW w:w="736" w:type="pct"/>
            <w:tcBorders>
              <w:top w:val="single" w:sz="4" w:space="0" w:color="auto"/>
              <w:left w:val="single" w:sz="4" w:space="0" w:color="auto"/>
              <w:bottom w:val="single" w:sz="4" w:space="0" w:color="auto"/>
              <w:right w:val="single" w:sz="4" w:space="0" w:color="auto"/>
            </w:tcBorders>
          </w:tcPr>
          <w:p w14:paraId="53206BBE"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p>
        </w:tc>
      </w:tr>
      <w:tr w:rsidR="006B5C90" w:rsidRPr="006B5C90" w14:paraId="30B715E9"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25370CCB"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Încetare continuare/continuare activitate, revenire activitate/Continuarea activităţii după mandat de conducere</w:t>
            </w:r>
          </w:p>
        </w:tc>
        <w:tc>
          <w:tcPr>
            <w:tcW w:w="770" w:type="pct"/>
            <w:tcBorders>
              <w:top w:val="single" w:sz="4" w:space="0" w:color="auto"/>
              <w:left w:val="single" w:sz="4" w:space="0" w:color="auto"/>
              <w:bottom w:val="single" w:sz="4" w:space="0" w:color="auto"/>
              <w:right w:val="single" w:sz="4" w:space="0" w:color="auto"/>
            </w:tcBorders>
            <w:hideMark/>
          </w:tcPr>
          <w:p w14:paraId="4BF290BA"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33A70643"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3</w:t>
            </w:r>
          </w:p>
        </w:tc>
        <w:tc>
          <w:tcPr>
            <w:tcW w:w="736" w:type="pct"/>
            <w:tcBorders>
              <w:top w:val="single" w:sz="4" w:space="0" w:color="auto"/>
              <w:left w:val="single" w:sz="4" w:space="0" w:color="auto"/>
              <w:bottom w:val="single" w:sz="4" w:space="0" w:color="auto"/>
              <w:right w:val="single" w:sz="4" w:space="0" w:color="auto"/>
            </w:tcBorders>
            <w:hideMark/>
          </w:tcPr>
          <w:p w14:paraId="29A81840" w14:textId="62F74A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2</w:t>
            </w:r>
            <w:r w:rsidR="00D95C80">
              <w:rPr>
                <w:rFonts w:asciiTheme="minorHAnsi" w:hAnsiTheme="minorHAnsi" w:cstheme="minorHAnsi"/>
                <w:sz w:val="26"/>
                <w:szCs w:val="26"/>
                <w:lang w:eastAsia="ro-RO"/>
              </w:rPr>
              <w:t>2</w:t>
            </w:r>
          </w:p>
        </w:tc>
      </w:tr>
      <w:tr w:rsidR="006B5C90" w:rsidRPr="006B5C90" w14:paraId="45BF6524"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7AD04A22"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Modificare comisii evaluare</w:t>
            </w:r>
          </w:p>
        </w:tc>
        <w:tc>
          <w:tcPr>
            <w:tcW w:w="770" w:type="pct"/>
            <w:tcBorders>
              <w:top w:val="single" w:sz="4" w:space="0" w:color="auto"/>
              <w:left w:val="single" w:sz="4" w:space="0" w:color="auto"/>
              <w:bottom w:val="single" w:sz="4" w:space="0" w:color="auto"/>
              <w:right w:val="single" w:sz="4" w:space="0" w:color="auto"/>
            </w:tcBorders>
            <w:hideMark/>
          </w:tcPr>
          <w:p w14:paraId="23B8E6ED" w14:textId="7FA6A973"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2</w:t>
            </w:r>
            <w:r w:rsidR="00D95C80">
              <w:rPr>
                <w:rFonts w:asciiTheme="minorHAnsi" w:hAnsiTheme="minorHAnsi" w:cstheme="minorHAnsi"/>
                <w:sz w:val="26"/>
                <w:szCs w:val="26"/>
                <w:lang w:eastAsia="ro-RO"/>
              </w:rPr>
              <w:t>6</w:t>
            </w:r>
          </w:p>
        </w:tc>
        <w:tc>
          <w:tcPr>
            <w:tcW w:w="748" w:type="pct"/>
            <w:tcBorders>
              <w:top w:val="single" w:sz="4" w:space="0" w:color="auto"/>
              <w:left w:val="single" w:sz="4" w:space="0" w:color="auto"/>
              <w:bottom w:val="single" w:sz="4" w:space="0" w:color="auto"/>
              <w:right w:val="single" w:sz="4" w:space="0" w:color="auto"/>
            </w:tcBorders>
          </w:tcPr>
          <w:p w14:paraId="077FCD38"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p>
        </w:tc>
        <w:tc>
          <w:tcPr>
            <w:tcW w:w="736" w:type="pct"/>
            <w:tcBorders>
              <w:top w:val="single" w:sz="4" w:space="0" w:color="auto"/>
              <w:left w:val="single" w:sz="4" w:space="0" w:color="auto"/>
              <w:bottom w:val="single" w:sz="4" w:space="0" w:color="auto"/>
              <w:right w:val="single" w:sz="4" w:space="0" w:color="auto"/>
            </w:tcBorders>
          </w:tcPr>
          <w:p w14:paraId="4CF09CE2"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p>
        </w:tc>
      </w:tr>
      <w:tr w:rsidR="006B5C90" w:rsidRPr="006B5C90" w14:paraId="2222A5A0"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5A97E427"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Sesizare comisie medicală raport de expertiză/Expertiza de specialitate/Comisii medicale de specialitate</w:t>
            </w:r>
          </w:p>
        </w:tc>
        <w:tc>
          <w:tcPr>
            <w:tcW w:w="770" w:type="pct"/>
            <w:tcBorders>
              <w:top w:val="single" w:sz="4" w:space="0" w:color="auto"/>
              <w:left w:val="single" w:sz="4" w:space="0" w:color="auto"/>
              <w:bottom w:val="single" w:sz="4" w:space="0" w:color="auto"/>
              <w:right w:val="single" w:sz="4" w:space="0" w:color="auto"/>
            </w:tcBorders>
            <w:hideMark/>
          </w:tcPr>
          <w:p w14:paraId="1018905A"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19667A8E" w14:textId="75DAB29C" w:rsidR="00AE5495" w:rsidRPr="006B5C90" w:rsidRDefault="00BD3E2A" w:rsidP="00D51F5A">
            <w:pPr>
              <w:shd w:val="clear" w:color="auto" w:fill="FFFFFF"/>
              <w:spacing w:line="276" w:lineRule="auto"/>
              <w:ind w:right="-2"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4</w:t>
            </w:r>
          </w:p>
        </w:tc>
        <w:tc>
          <w:tcPr>
            <w:tcW w:w="736" w:type="pct"/>
            <w:tcBorders>
              <w:top w:val="single" w:sz="4" w:space="0" w:color="auto"/>
              <w:left w:val="single" w:sz="4" w:space="0" w:color="auto"/>
              <w:bottom w:val="single" w:sz="4" w:space="0" w:color="auto"/>
              <w:right w:val="single" w:sz="4" w:space="0" w:color="auto"/>
            </w:tcBorders>
            <w:hideMark/>
          </w:tcPr>
          <w:p w14:paraId="0B78535C"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2</w:t>
            </w:r>
          </w:p>
        </w:tc>
      </w:tr>
      <w:tr w:rsidR="006B5C90" w:rsidRPr="006B5C90" w14:paraId="354E9BC9"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26389D41"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 xml:space="preserve">Plângeri prealabile </w:t>
            </w:r>
          </w:p>
        </w:tc>
        <w:tc>
          <w:tcPr>
            <w:tcW w:w="770" w:type="pct"/>
            <w:tcBorders>
              <w:top w:val="single" w:sz="4" w:space="0" w:color="auto"/>
              <w:left w:val="single" w:sz="4" w:space="0" w:color="auto"/>
              <w:bottom w:val="single" w:sz="4" w:space="0" w:color="auto"/>
              <w:right w:val="single" w:sz="4" w:space="0" w:color="auto"/>
            </w:tcBorders>
            <w:hideMark/>
          </w:tcPr>
          <w:p w14:paraId="64F58DF1" w14:textId="2758210F"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1</w:t>
            </w:r>
            <w:r w:rsidR="00BD3E2A">
              <w:rPr>
                <w:rFonts w:asciiTheme="minorHAnsi" w:hAnsiTheme="minorHAnsi" w:cstheme="minorHAnsi"/>
                <w:sz w:val="26"/>
                <w:szCs w:val="26"/>
                <w:lang w:eastAsia="ro-RO"/>
              </w:rPr>
              <w:t>7</w:t>
            </w:r>
          </w:p>
        </w:tc>
        <w:tc>
          <w:tcPr>
            <w:tcW w:w="748" w:type="pct"/>
            <w:tcBorders>
              <w:top w:val="single" w:sz="4" w:space="0" w:color="auto"/>
              <w:left w:val="single" w:sz="4" w:space="0" w:color="auto"/>
              <w:bottom w:val="single" w:sz="4" w:space="0" w:color="auto"/>
              <w:right w:val="single" w:sz="4" w:space="0" w:color="auto"/>
            </w:tcBorders>
            <w:hideMark/>
          </w:tcPr>
          <w:p w14:paraId="3B5353C2" w14:textId="3D3E3012" w:rsidR="00AE5495" w:rsidRPr="006B5C90" w:rsidRDefault="00BD3E2A" w:rsidP="00D51F5A">
            <w:pPr>
              <w:shd w:val="clear" w:color="auto" w:fill="FFFFFF"/>
              <w:spacing w:line="276" w:lineRule="auto"/>
              <w:ind w:right="-2"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9</w:t>
            </w:r>
          </w:p>
        </w:tc>
        <w:tc>
          <w:tcPr>
            <w:tcW w:w="736" w:type="pct"/>
            <w:tcBorders>
              <w:top w:val="single" w:sz="4" w:space="0" w:color="auto"/>
              <w:left w:val="single" w:sz="4" w:space="0" w:color="auto"/>
              <w:bottom w:val="single" w:sz="4" w:space="0" w:color="auto"/>
              <w:right w:val="single" w:sz="4" w:space="0" w:color="auto"/>
            </w:tcBorders>
            <w:hideMark/>
          </w:tcPr>
          <w:p w14:paraId="06C100F6"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1</w:t>
            </w:r>
          </w:p>
        </w:tc>
      </w:tr>
      <w:tr w:rsidR="006B5C90" w:rsidRPr="006B5C90" w14:paraId="7E98D54F"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23BB2D43"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 xml:space="preserve">Concursuri </w:t>
            </w:r>
          </w:p>
        </w:tc>
        <w:tc>
          <w:tcPr>
            <w:tcW w:w="770" w:type="pct"/>
            <w:tcBorders>
              <w:top w:val="single" w:sz="4" w:space="0" w:color="auto"/>
              <w:left w:val="single" w:sz="4" w:space="0" w:color="auto"/>
              <w:bottom w:val="single" w:sz="4" w:space="0" w:color="auto"/>
              <w:right w:val="single" w:sz="4" w:space="0" w:color="auto"/>
            </w:tcBorders>
            <w:hideMark/>
          </w:tcPr>
          <w:p w14:paraId="5EC42281" w14:textId="0AC4C9D5"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2</w:t>
            </w:r>
            <w:r w:rsidR="00BD3E2A">
              <w:rPr>
                <w:rFonts w:asciiTheme="minorHAnsi" w:hAnsiTheme="minorHAnsi" w:cstheme="minorHAnsi"/>
                <w:sz w:val="26"/>
                <w:szCs w:val="26"/>
                <w:lang w:eastAsia="ro-RO"/>
              </w:rPr>
              <w:t>9</w:t>
            </w:r>
          </w:p>
        </w:tc>
        <w:tc>
          <w:tcPr>
            <w:tcW w:w="748" w:type="pct"/>
            <w:tcBorders>
              <w:top w:val="single" w:sz="4" w:space="0" w:color="auto"/>
              <w:left w:val="single" w:sz="4" w:space="0" w:color="auto"/>
              <w:bottom w:val="single" w:sz="4" w:space="0" w:color="auto"/>
              <w:right w:val="single" w:sz="4" w:space="0" w:color="auto"/>
            </w:tcBorders>
            <w:hideMark/>
          </w:tcPr>
          <w:p w14:paraId="256C8D6D" w14:textId="4DB25ABF"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3</w:t>
            </w:r>
            <w:r w:rsidR="00BD3E2A">
              <w:rPr>
                <w:rFonts w:asciiTheme="minorHAnsi" w:hAnsiTheme="minorHAnsi" w:cstheme="minorHAnsi"/>
                <w:sz w:val="26"/>
                <w:szCs w:val="26"/>
                <w:lang w:eastAsia="ro-RO"/>
              </w:rPr>
              <w:t>9</w:t>
            </w:r>
          </w:p>
        </w:tc>
        <w:tc>
          <w:tcPr>
            <w:tcW w:w="736" w:type="pct"/>
            <w:tcBorders>
              <w:top w:val="single" w:sz="4" w:space="0" w:color="auto"/>
              <w:left w:val="single" w:sz="4" w:space="0" w:color="auto"/>
              <w:bottom w:val="single" w:sz="4" w:space="0" w:color="auto"/>
              <w:right w:val="single" w:sz="4" w:space="0" w:color="auto"/>
            </w:tcBorders>
            <w:hideMark/>
          </w:tcPr>
          <w:p w14:paraId="507A4AEA" w14:textId="76FE4610" w:rsidR="00AE5495" w:rsidRPr="006B5C90" w:rsidRDefault="008E7EFC"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2</w:t>
            </w:r>
            <w:r w:rsidR="00BD3E2A">
              <w:rPr>
                <w:rFonts w:asciiTheme="minorHAnsi" w:hAnsiTheme="minorHAnsi" w:cstheme="minorHAnsi"/>
                <w:sz w:val="26"/>
                <w:szCs w:val="26"/>
                <w:lang w:eastAsia="ro-RO"/>
              </w:rPr>
              <w:t>1</w:t>
            </w:r>
          </w:p>
        </w:tc>
      </w:tr>
      <w:tr w:rsidR="006B5C90" w:rsidRPr="006B5C90" w14:paraId="142ECE88"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483C43E4" w14:textId="48D63B00"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lastRenderedPageBreak/>
              <w:t>Avizarea propuneri M</w:t>
            </w:r>
            <w:r w:rsidR="00BA2A56" w:rsidRPr="006B5C90">
              <w:rPr>
                <w:rFonts w:asciiTheme="minorHAnsi" w:hAnsiTheme="minorHAnsi" w:cstheme="minorHAnsi"/>
                <w:sz w:val="26"/>
                <w:szCs w:val="26"/>
                <w:lang w:eastAsia="ro-RO"/>
              </w:rPr>
              <w:t>.</w:t>
            </w:r>
            <w:r w:rsidRPr="006B5C90">
              <w:rPr>
                <w:rFonts w:asciiTheme="minorHAnsi" w:hAnsiTheme="minorHAnsi" w:cstheme="minorHAnsi"/>
                <w:sz w:val="26"/>
                <w:szCs w:val="26"/>
                <w:lang w:eastAsia="ro-RO"/>
              </w:rPr>
              <w:t>J</w:t>
            </w:r>
            <w:r w:rsidR="00BA2A56" w:rsidRPr="006B5C90">
              <w:rPr>
                <w:rFonts w:asciiTheme="minorHAnsi" w:hAnsiTheme="minorHAnsi" w:cstheme="minorHAnsi"/>
                <w:sz w:val="26"/>
                <w:szCs w:val="26"/>
                <w:lang w:eastAsia="ro-RO"/>
              </w:rPr>
              <w:t>.</w:t>
            </w:r>
            <w:r w:rsidRPr="006B5C90">
              <w:rPr>
                <w:rFonts w:asciiTheme="minorHAnsi" w:hAnsiTheme="minorHAnsi" w:cstheme="minorHAnsi"/>
                <w:sz w:val="26"/>
                <w:szCs w:val="26"/>
                <w:lang w:eastAsia="ro-RO"/>
              </w:rPr>
              <w:t xml:space="preserve"> pentru funcţii de conducere la D.I.I.C.O.T./D.N.A./P.Î.C.C.J.</w:t>
            </w:r>
          </w:p>
        </w:tc>
        <w:tc>
          <w:tcPr>
            <w:tcW w:w="770" w:type="pct"/>
            <w:tcBorders>
              <w:top w:val="single" w:sz="4" w:space="0" w:color="auto"/>
              <w:left w:val="single" w:sz="4" w:space="0" w:color="auto"/>
              <w:bottom w:val="single" w:sz="4" w:space="0" w:color="auto"/>
              <w:right w:val="single" w:sz="4" w:space="0" w:color="auto"/>
            </w:tcBorders>
            <w:hideMark/>
          </w:tcPr>
          <w:p w14:paraId="4B0555F9"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tcPr>
          <w:p w14:paraId="26C00AA0"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36" w:type="pct"/>
            <w:tcBorders>
              <w:top w:val="single" w:sz="4" w:space="0" w:color="auto"/>
              <w:left w:val="single" w:sz="4" w:space="0" w:color="auto"/>
              <w:bottom w:val="single" w:sz="4" w:space="0" w:color="auto"/>
              <w:right w:val="single" w:sz="4" w:space="0" w:color="auto"/>
            </w:tcBorders>
            <w:hideMark/>
          </w:tcPr>
          <w:p w14:paraId="30645572"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r>
      <w:tr w:rsidR="006B5C90" w:rsidRPr="006B5C90" w14:paraId="79A35A33"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62B60242"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 xml:space="preserve">Avizarea modificare state de funcţii şi de personal </w:t>
            </w:r>
          </w:p>
        </w:tc>
        <w:tc>
          <w:tcPr>
            <w:tcW w:w="770" w:type="pct"/>
            <w:tcBorders>
              <w:top w:val="single" w:sz="4" w:space="0" w:color="auto"/>
              <w:left w:val="single" w:sz="4" w:space="0" w:color="auto"/>
              <w:bottom w:val="single" w:sz="4" w:space="0" w:color="auto"/>
              <w:right w:val="single" w:sz="4" w:space="0" w:color="auto"/>
            </w:tcBorders>
            <w:hideMark/>
          </w:tcPr>
          <w:p w14:paraId="7B81896C" w14:textId="35CA5605" w:rsidR="00AE5495" w:rsidRPr="006B5C90" w:rsidRDefault="008E7EFC"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13</w:t>
            </w:r>
          </w:p>
        </w:tc>
        <w:tc>
          <w:tcPr>
            <w:tcW w:w="748" w:type="pct"/>
            <w:tcBorders>
              <w:top w:val="single" w:sz="4" w:space="0" w:color="auto"/>
              <w:left w:val="single" w:sz="4" w:space="0" w:color="auto"/>
              <w:bottom w:val="single" w:sz="4" w:space="0" w:color="auto"/>
              <w:right w:val="single" w:sz="4" w:space="0" w:color="auto"/>
            </w:tcBorders>
            <w:hideMark/>
          </w:tcPr>
          <w:p w14:paraId="3381E035"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22</w:t>
            </w:r>
          </w:p>
        </w:tc>
        <w:tc>
          <w:tcPr>
            <w:tcW w:w="736" w:type="pct"/>
            <w:tcBorders>
              <w:top w:val="single" w:sz="4" w:space="0" w:color="auto"/>
              <w:left w:val="single" w:sz="4" w:space="0" w:color="auto"/>
              <w:bottom w:val="single" w:sz="4" w:space="0" w:color="auto"/>
              <w:right w:val="single" w:sz="4" w:space="0" w:color="auto"/>
            </w:tcBorders>
            <w:hideMark/>
          </w:tcPr>
          <w:p w14:paraId="1883215B" w14:textId="1A1C6F34" w:rsidR="00AE5495" w:rsidRPr="006B5C90" w:rsidRDefault="00BD3E2A" w:rsidP="00D51F5A">
            <w:pPr>
              <w:shd w:val="clear" w:color="auto" w:fill="FFFFFF"/>
              <w:spacing w:line="276" w:lineRule="auto"/>
              <w:ind w:right="-2"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3</w:t>
            </w:r>
          </w:p>
        </w:tc>
      </w:tr>
      <w:tr w:rsidR="006B5C90" w:rsidRPr="006B5C90" w14:paraId="29E079B7"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0AC854EF"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Contestaţii la raportul de evaluare profesională</w:t>
            </w:r>
          </w:p>
        </w:tc>
        <w:tc>
          <w:tcPr>
            <w:tcW w:w="770" w:type="pct"/>
            <w:tcBorders>
              <w:top w:val="single" w:sz="4" w:space="0" w:color="auto"/>
              <w:left w:val="single" w:sz="4" w:space="0" w:color="auto"/>
              <w:bottom w:val="single" w:sz="4" w:space="0" w:color="auto"/>
              <w:right w:val="single" w:sz="4" w:space="0" w:color="auto"/>
            </w:tcBorders>
            <w:hideMark/>
          </w:tcPr>
          <w:p w14:paraId="426F18C9"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3B16A732"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0</w:t>
            </w:r>
          </w:p>
        </w:tc>
        <w:tc>
          <w:tcPr>
            <w:tcW w:w="736" w:type="pct"/>
            <w:tcBorders>
              <w:top w:val="single" w:sz="4" w:space="0" w:color="auto"/>
              <w:left w:val="single" w:sz="4" w:space="0" w:color="auto"/>
              <w:bottom w:val="single" w:sz="4" w:space="0" w:color="auto"/>
              <w:right w:val="single" w:sz="4" w:space="0" w:color="auto"/>
            </w:tcBorders>
            <w:hideMark/>
          </w:tcPr>
          <w:p w14:paraId="6F18EA46"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93</w:t>
            </w:r>
          </w:p>
        </w:tc>
      </w:tr>
      <w:tr w:rsidR="006B5C90" w:rsidRPr="006B5C90" w14:paraId="0A7A7060"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23AA25BE"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Contestaţii la cereri transfer/impotriva hotârilor comisiilor de organizare a concursurilor</w:t>
            </w:r>
          </w:p>
        </w:tc>
        <w:tc>
          <w:tcPr>
            <w:tcW w:w="770" w:type="pct"/>
            <w:tcBorders>
              <w:top w:val="single" w:sz="4" w:space="0" w:color="auto"/>
              <w:left w:val="single" w:sz="4" w:space="0" w:color="auto"/>
              <w:bottom w:val="single" w:sz="4" w:space="0" w:color="auto"/>
              <w:right w:val="single" w:sz="4" w:space="0" w:color="auto"/>
            </w:tcBorders>
          </w:tcPr>
          <w:p w14:paraId="5176AFB5"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p>
        </w:tc>
        <w:tc>
          <w:tcPr>
            <w:tcW w:w="748" w:type="pct"/>
            <w:tcBorders>
              <w:top w:val="single" w:sz="4" w:space="0" w:color="auto"/>
              <w:left w:val="single" w:sz="4" w:space="0" w:color="auto"/>
              <w:bottom w:val="single" w:sz="4" w:space="0" w:color="auto"/>
              <w:right w:val="single" w:sz="4" w:space="0" w:color="auto"/>
            </w:tcBorders>
            <w:hideMark/>
          </w:tcPr>
          <w:p w14:paraId="513F89BF"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0</w:t>
            </w:r>
          </w:p>
        </w:tc>
        <w:tc>
          <w:tcPr>
            <w:tcW w:w="736" w:type="pct"/>
            <w:tcBorders>
              <w:top w:val="single" w:sz="4" w:space="0" w:color="auto"/>
              <w:left w:val="single" w:sz="4" w:space="0" w:color="auto"/>
              <w:bottom w:val="single" w:sz="4" w:space="0" w:color="auto"/>
              <w:right w:val="single" w:sz="4" w:space="0" w:color="auto"/>
            </w:tcBorders>
            <w:hideMark/>
          </w:tcPr>
          <w:p w14:paraId="0D9439CF"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3</w:t>
            </w:r>
          </w:p>
        </w:tc>
      </w:tr>
      <w:tr w:rsidR="006B5C90" w:rsidRPr="006B5C90" w14:paraId="2035F2CD"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1635D2DE"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Punerea în executare (decizii Î.C.C.J.)</w:t>
            </w:r>
          </w:p>
        </w:tc>
        <w:tc>
          <w:tcPr>
            <w:tcW w:w="770" w:type="pct"/>
            <w:tcBorders>
              <w:top w:val="single" w:sz="4" w:space="0" w:color="auto"/>
              <w:left w:val="single" w:sz="4" w:space="0" w:color="auto"/>
              <w:bottom w:val="single" w:sz="4" w:space="0" w:color="auto"/>
              <w:right w:val="single" w:sz="4" w:space="0" w:color="auto"/>
            </w:tcBorders>
            <w:hideMark/>
          </w:tcPr>
          <w:p w14:paraId="29E746C5" w14:textId="77777777" w:rsidR="00AE5495" w:rsidRPr="006B5C90" w:rsidRDefault="00AE5495" w:rsidP="00D51F5A">
            <w:pPr>
              <w:spacing w:line="276" w:lineRule="auto"/>
              <w:ind w:right="-2" w:firstLine="567"/>
              <w:rPr>
                <w:rFonts w:asciiTheme="minorHAnsi" w:hAnsiTheme="minorHAnsi" w:cstheme="minorHAnsi"/>
                <w:sz w:val="26"/>
                <w:szCs w:val="26"/>
              </w:rPr>
            </w:pPr>
          </w:p>
        </w:tc>
        <w:tc>
          <w:tcPr>
            <w:tcW w:w="748" w:type="pct"/>
            <w:tcBorders>
              <w:top w:val="single" w:sz="4" w:space="0" w:color="auto"/>
              <w:left w:val="single" w:sz="4" w:space="0" w:color="auto"/>
              <w:bottom w:val="single" w:sz="4" w:space="0" w:color="auto"/>
              <w:right w:val="single" w:sz="4" w:space="0" w:color="auto"/>
            </w:tcBorders>
            <w:hideMark/>
          </w:tcPr>
          <w:p w14:paraId="2892CF48" w14:textId="4C80E992"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1</w:t>
            </w:r>
            <w:r w:rsidR="00BD3E2A">
              <w:rPr>
                <w:rFonts w:asciiTheme="minorHAnsi" w:hAnsiTheme="minorHAnsi" w:cstheme="minorHAnsi"/>
                <w:sz w:val="26"/>
                <w:szCs w:val="26"/>
                <w:lang w:eastAsia="ro-RO"/>
              </w:rPr>
              <w:t>6</w:t>
            </w:r>
          </w:p>
        </w:tc>
        <w:tc>
          <w:tcPr>
            <w:tcW w:w="736" w:type="pct"/>
            <w:tcBorders>
              <w:top w:val="single" w:sz="4" w:space="0" w:color="auto"/>
              <w:left w:val="single" w:sz="4" w:space="0" w:color="auto"/>
              <w:bottom w:val="single" w:sz="4" w:space="0" w:color="auto"/>
              <w:right w:val="single" w:sz="4" w:space="0" w:color="auto"/>
            </w:tcBorders>
            <w:hideMark/>
          </w:tcPr>
          <w:p w14:paraId="2326BD39" w14:textId="30960414" w:rsidR="00AE5495" w:rsidRPr="006B5C90" w:rsidRDefault="00BD3E2A" w:rsidP="00D51F5A">
            <w:pPr>
              <w:shd w:val="clear" w:color="auto" w:fill="FFFFFF"/>
              <w:spacing w:line="276" w:lineRule="auto"/>
              <w:ind w:right="-2"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2</w:t>
            </w:r>
          </w:p>
        </w:tc>
      </w:tr>
      <w:tr w:rsidR="006B5C90" w:rsidRPr="006B5C90" w14:paraId="2BE60204"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50B053B3"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Aviz legislativ (aviz conform), aprobare Regulamente/metodologii/proceduri, sesizări M.J.</w:t>
            </w:r>
          </w:p>
        </w:tc>
        <w:tc>
          <w:tcPr>
            <w:tcW w:w="770" w:type="pct"/>
            <w:tcBorders>
              <w:top w:val="single" w:sz="4" w:space="0" w:color="auto"/>
              <w:left w:val="single" w:sz="4" w:space="0" w:color="auto"/>
              <w:bottom w:val="single" w:sz="4" w:space="0" w:color="auto"/>
              <w:right w:val="single" w:sz="4" w:space="0" w:color="auto"/>
            </w:tcBorders>
            <w:hideMark/>
          </w:tcPr>
          <w:p w14:paraId="1787E0D5" w14:textId="2ABD8DE4"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1</w:t>
            </w:r>
            <w:r w:rsidR="00BD3E2A">
              <w:rPr>
                <w:rFonts w:asciiTheme="minorHAnsi" w:hAnsiTheme="minorHAnsi" w:cstheme="minorHAnsi"/>
                <w:sz w:val="26"/>
                <w:szCs w:val="26"/>
                <w:lang w:eastAsia="ro-RO"/>
              </w:rPr>
              <w:t>1</w:t>
            </w:r>
          </w:p>
        </w:tc>
        <w:tc>
          <w:tcPr>
            <w:tcW w:w="748" w:type="pct"/>
            <w:tcBorders>
              <w:top w:val="single" w:sz="4" w:space="0" w:color="auto"/>
              <w:left w:val="single" w:sz="4" w:space="0" w:color="auto"/>
              <w:bottom w:val="single" w:sz="4" w:space="0" w:color="auto"/>
              <w:right w:val="single" w:sz="4" w:space="0" w:color="auto"/>
            </w:tcBorders>
            <w:hideMark/>
          </w:tcPr>
          <w:p w14:paraId="52C906F2"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2</w:t>
            </w:r>
          </w:p>
        </w:tc>
        <w:tc>
          <w:tcPr>
            <w:tcW w:w="736" w:type="pct"/>
            <w:tcBorders>
              <w:top w:val="single" w:sz="4" w:space="0" w:color="auto"/>
              <w:left w:val="single" w:sz="4" w:space="0" w:color="auto"/>
              <w:bottom w:val="single" w:sz="4" w:space="0" w:color="auto"/>
              <w:right w:val="single" w:sz="4" w:space="0" w:color="auto"/>
            </w:tcBorders>
            <w:hideMark/>
          </w:tcPr>
          <w:p w14:paraId="051C5B44" w14:textId="54FD013B" w:rsidR="00AE5495" w:rsidRPr="006B5C90" w:rsidRDefault="008E7EFC"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1</w:t>
            </w:r>
          </w:p>
        </w:tc>
      </w:tr>
      <w:tr w:rsidR="006B5C90" w:rsidRPr="006B5C90" w14:paraId="562F9E24"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31E823C7"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Modificări hotărâri</w:t>
            </w:r>
          </w:p>
        </w:tc>
        <w:tc>
          <w:tcPr>
            <w:tcW w:w="770" w:type="pct"/>
            <w:tcBorders>
              <w:top w:val="single" w:sz="4" w:space="0" w:color="auto"/>
              <w:left w:val="single" w:sz="4" w:space="0" w:color="auto"/>
              <w:bottom w:val="single" w:sz="4" w:space="0" w:color="auto"/>
              <w:right w:val="single" w:sz="4" w:space="0" w:color="auto"/>
            </w:tcBorders>
            <w:hideMark/>
          </w:tcPr>
          <w:p w14:paraId="31B15858" w14:textId="7019D41C" w:rsidR="00AE5495" w:rsidRPr="006B5C90" w:rsidRDefault="008E7EFC"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5</w:t>
            </w:r>
          </w:p>
        </w:tc>
        <w:tc>
          <w:tcPr>
            <w:tcW w:w="748" w:type="pct"/>
            <w:tcBorders>
              <w:top w:val="single" w:sz="4" w:space="0" w:color="auto"/>
              <w:left w:val="single" w:sz="4" w:space="0" w:color="auto"/>
              <w:bottom w:val="single" w:sz="4" w:space="0" w:color="auto"/>
              <w:right w:val="single" w:sz="4" w:space="0" w:color="auto"/>
            </w:tcBorders>
            <w:hideMark/>
          </w:tcPr>
          <w:p w14:paraId="7B96F3A5" w14:textId="1899C560"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1</w:t>
            </w:r>
            <w:r w:rsidR="00613DCE">
              <w:rPr>
                <w:rFonts w:asciiTheme="minorHAnsi" w:hAnsiTheme="minorHAnsi" w:cstheme="minorHAnsi"/>
                <w:sz w:val="26"/>
                <w:szCs w:val="26"/>
                <w:lang w:eastAsia="ro-RO"/>
              </w:rPr>
              <w:t>8</w:t>
            </w:r>
          </w:p>
        </w:tc>
        <w:tc>
          <w:tcPr>
            <w:tcW w:w="736" w:type="pct"/>
            <w:tcBorders>
              <w:top w:val="single" w:sz="4" w:space="0" w:color="auto"/>
              <w:left w:val="single" w:sz="4" w:space="0" w:color="auto"/>
              <w:bottom w:val="single" w:sz="4" w:space="0" w:color="auto"/>
              <w:right w:val="single" w:sz="4" w:space="0" w:color="auto"/>
            </w:tcBorders>
            <w:hideMark/>
          </w:tcPr>
          <w:p w14:paraId="690DEC50" w14:textId="4B0BBD3F" w:rsidR="00AE5495" w:rsidRPr="006B5C90" w:rsidRDefault="00613DCE" w:rsidP="00D51F5A">
            <w:pPr>
              <w:shd w:val="clear" w:color="auto" w:fill="FFFFFF"/>
              <w:spacing w:line="276" w:lineRule="auto"/>
              <w:ind w:right="-2"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8</w:t>
            </w:r>
          </w:p>
        </w:tc>
      </w:tr>
      <w:tr w:rsidR="006B5C90" w:rsidRPr="006B5C90" w14:paraId="717C36B7"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7BD2A630" w14:textId="77777777"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Completuri specializate</w:t>
            </w:r>
          </w:p>
        </w:tc>
        <w:tc>
          <w:tcPr>
            <w:tcW w:w="770" w:type="pct"/>
            <w:tcBorders>
              <w:top w:val="single" w:sz="4" w:space="0" w:color="auto"/>
              <w:left w:val="single" w:sz="4" w:space="0" w:color="auto"/>
              <w:bottom w:val="single" w:sz="4" w:space="0" w:color="auto"/>
              <w:right w:val="single" w:sz="4" w:space="0" w:color="auto"/>
            </w:tcBorders>
            <w:hideMark/>
          </w:tcPr>
          <w:p w14:paraId="5B3E7AD8"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c>
          <w:tcPr>
            <w:tcW w:w="748" w:type="pct"/>
            <w:tcBorders>
              <w:top w:val="single" w:sz="4" w:space="0" w:color="auto"/>
              <w:left w:val="single" w:sz="4" w:space="0" w:color="auto"/>
              <w:bottom w:val="single" w:sz="4" w:space="0" w:color="auto"/>
              <w:right w:val="single" w:sz="4" w:space="0" w:color="auto"/>
            </w:tcBorders>
            <w:hideMark/>
          </w:tcPr>
          <w:p w14:paraId="06FB909B" w14:textId="5C346A46" w:rsidR="00AE5495" w:rsidRPr="006B5C90" w:rsidRDefault="00613DCE" w:rsidP="00D51F5A">
            <w:pPr>
              <w:shd w:val="clear" w:color="auto" w:fill="FFFFFF"/>
              <w:spacing w:line="276" w:lineRule="auto"/>
              <w:ind w:right="-2"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2</w:t>
            </w:r>
            <w:r w:rsidR="00AE5495" w:rsidRPr="006B5C90">
              <w:rPr>
                <w:rFonts w:asciiTheme="minorHAnsi" w:hAnsiTheme="minorHAnsi" w:cstheme="minorHAnsi"/>
                <w:sz w:val="26"/>
                <w:szCs w:val="26"/>
                <w:lang w:eastAsia="ro-RO"/>
              </w:rPr>
              <w:t>1</w:t>
            </w:r>
          </w:p>
        </w:tc>
        <w:tc>
          <w:tcPr>
            <w:tcW w:w="736" w:type="pct"/>
            <w:tcBorders>
              <w:top w:val="single" w:sz="4" w:space="0" w:color="auto"/>
              <w:left w:val="single" w:sz="4" w:space="0" w:color="auto"/>
              <w:bottom w:val="single" w:sz="4" w:space="0" w:color="auto"/>
              <w:right w:val="single" w:sz="4" w:space="0" w:color="auto"/>
            </w:tcBorders>
            <w:hideMark/>
          </w:tcPr>
          <w:p w14:paraId="7BE73F81" w14:textId="77777777"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w:t>
            </w:r>
          </w:p>
        </w:tc>
      </w:tr>
      <w:tr w:rsidR="006B5C90" w:rsidRPr="006B5C90" w14:paraId="05D2CC01" w14:textId="77777777" w:rsidTr="00B9099C">
        <w:trPr>
          <w:jc w:val="center"/>
        </w:trPr>
        <w:tc>
          <w:tcPr>
            <w:tcW w:w="2745" w:type="pct"/>
            <w:tcBorders>
              <w:top w:val="single" w:sz="4" w:space="0" w:color="auto"/>
              <w:left w:val="single" w:sz="4" w:space="0" w:color="auto"/>
              <w:bottom w:val="single" w:sz="4" w:space="0" w:color="auto"/>
              <w:right w:val="single" w:sz="4" w:space="0" w:color="auto"/>
            </w:tcBorders>
            <w:hideMark/>
          </w:tcPr>
          <w:p w14:paraId="454BF840" w14:textId="70C70811" w:rsidR="00AE5495" w:rsidRPr="006B5C90" w:rsidRDefault="00AE5495" w:rsidP="00D51F5A">
            <w:pPr>
              <w:shd w:val="clear" w:color="auto" w:fill="FFFFFF"/>
              <w:spacing w:line="276" w:lineRule="auto"/>
              <w:ind w:right="-2" w:firstLine="567"/>
              <w:jc w:val="both"/>
              <w:rPr>
                <w:rFonts w:asciiTheme="minorHAnsi" w:hAnsiTheme="minorHAnsi" w:cstheme="minorHAnsi"/>
                <w:sz w:val="26"/>
                <w:szCs w:val="26"/>
                <w:lang w:eastAsia="ro-RO"/>
              </w:rPr>
            </w:pPr>
            <w:r w:rsidRPr="006B5C90">
              <w:rPr>
                <w:rFonts w:asciiTheme="minorHAnsi" w:hAnsiTheme="minorHAnsi" w:cstheme="minorHAnsi"/>
                <w:sz w:val="26"/>
                <w:szCs w:val="26"/>
                <w:lang w:eastAsia="ro-RO"/>
              </w:rPr>
              <w:t>Diverse (alte hotărâri,</w:t>
            </w:r>
            <w:r w:rsidR="006C7CA4" w:rsidRPr="006B5C90">
              <w:rPr>
                <w:rFonts w:asciiTheme="minorHAnsi" w:hAnsiTheme="minorHAnsi" w:cstheme="minorHAnsi"/>
                <w:sz w:val="26"/>
                <w:szCs w:val="26"/>
                <w:lang w:eastAsia="ro-RO"/>
              </w:rPr>
              <w:t xml:space="preserve"> </w:t>
            </w:r>
            <w:r w:rsidRPr="006B5C90">
              <w:rPr>
                <w:rFonts w:asciiTheme="minorHAnsi" w:hAnsiTheme="minorHAnsi" w:cstheme="minorHAnsi"/>
                <w:sz w:val="26"/>
                <w:szCs w:val="26"/>
                <w:lang w:eastAsia="ro-RO"/>
              </w:rPr>
              <w:t>C.S.M., I.N.M., S.N.G., D.A.E.R.I.P., T.A.E.J., proiecte buget)</w:t>
            </w:r>
          </w:p>
        </w:tc>
        <w:tc>
          <w:tcPr>
            <w:tcW w:w="770" w:type="pct"/>
            <w:tcBorders>
              <w:top w:val="single" w:sz="4" w:space="0" w:color="auto"/>
              <w:left w:val="single" w:sz="4" w:space="0" w:color="auto"/>
              <w:bottom w:val="single" w:sz="4" w:space="0" w:color="auto"/>
              <w:right w:val="single" w:sz="4" w:space="0" w:color="auto"/>
            </w:tcBorders>
            <w:hideMark/>
          </w:tcPr>
          <w:p w14:paraId="0E7F8D23" w14:textId="6E256A18" w:rsidR="00AE5495" w:rsidRPr="006B5C90" w:rsidRDefault="00AE5495" w:rsidP="00D51F5A">
            <w:pPr>
              <w:shd w:val="clear" w:color="auto" w:fill="FFFFFF"/>
              <w:spacing w:line="276" w:lineRule="auto"/>
              <w:ind w:right="-2" w:firstLine="567"/>
              <w:jc w:val="center"/>
              <w:rPr>
                <w:rFonts w:asciiTheme="minorHAnsi" w:hAnsiTheme="minorHAnsi" w:cstheme="minorHAnsi"/>
                <w:sz w:val="26"/>
                <w:szCs w:val="26"/>
                <w:lang w:eastAsia="ro-RO"/>
              </w:rPr>
            </w:pPr>
            <w:r w:rsidRPr="006B5C90">
              <w:rPr>
                <w:rFonts w:asciiTheme="minorHAnsi" w:hAnsiTheme="minorHAnsi" w:cstheme="minorHAnsi"/>
                <w:sz w:val="26"/>
                <w:szCs w:val="26"/>
                <w:lang w:eastAsia="ro-RO"/>
              </w:rPr>
              <w:t>1</w:t>
            </w:r>
            <w:r w:rsidR="00613DCE">
              <w:rPr>
                <w:rFonts w:asciiTheme="minorHAnsi" w:hAnsiTheme="minorHAnsi" w:cstheme="minorHAnsi"/>
                <w:sz w:val="26"/>
                <w:szCs w:val="26"/>
                <w:lang w:eastAsia="ro-RO"/>
              </w:rPr>
              <w:t>35</w:t>
            </w:r>
          </w:p>
        </w:tc>
        <w:tc>
          <w:tcPr>
            <w:tcW w:w="748" w:type="pct"/>
            <w:tcBorders>
              <w:top w:val="single" w:sz="4" w:space="0" w:color="auto"/>
              <w:left w:val="single" w:sz="4" w:space="0" w:color="auto"/>
              <w:bottom w:val="single" w:sz="4" w:space="0" w:color="auto"/>
              <w:right w:val="single" w:sz="4" w:space="0" w:color="auto"/>
            </w:tcBorders>
            <w:hideMark/>
          </w:tcPr>
          <w:p w14:paraId="4E56420B" w14:textId="6905ACFD" w:rsidR="00AE5495" w:rsidRPr="006B5C90" w:rsidRDefault="00613DCE" w:rsidP="00D51F5A">
            <w:pPr>
              <w:shd w:val="clear" w:color="auto" w:fill="FFFFFF"/>
              <w:spacing w:line="276" w:lineRule="auto"/>
              <w:ind w:right="-2"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107</w:t>
            </w:r>
          </w:p>
        </w:tc>
        <w:tc>
          <w:tcPr>
            <w:tcW w:w="736" w:type="pct"/>
            <w:tcBorders>
              <w:top w:val="single" w:sz="4" w:space="0" w:color="auto"/>
              <w:left w:val="single" w:sz="4" w:space="0" w:color="auto"/>
              <w:bottom w:val="single" w:sz="4" w:space="0" w:color="auto"/>
              <w:right w:val="single" w:sz="4" w:space="0" w:color="auto"/>
            </w:tcBorders>
            <w:hideMark/>
          </w:tcPr>
          <w:p w14:paraId="5E308107" w14:textId="1FF6A699" w:rsidR="00AE5495" w:rsidRPr="006B5C90" w:rsidRDefault="00613DCE" w:rsidP="00D51F5A">
            <w:pPr>
              <w:shd w:val="clear" w:color="auto" w:fill="FFFFFF"/>
              <w:spacing w:line="276" w:lineRule="auto"/>
              <w:ind w:right="-2" w:firstLine="567"/>
              <w:jc w:val="center"/>
              <w:rPr>
                <w:rFonts w:asciiTheme="minorHAnsi" w:hAnsiTheme="minorHAnsi" w:cstheme="minorHAnsi"/>
                <w:sz w:val="26"/>
                <w:szCs w:val="26"/>
                <w:lang w:eastAsia="ro-RO"/>
              </w:rPr>
            </w:pPr>
            <w:r>
              <w:rPr>
                <w:rFonts w:asciiTheme="minorHAnsi" w:hAnsiTheme="minorHAnsi" w:cstheme="minorHAnsi"/>
                <w:sz w:val="26"/>
                <w:szCs w:val="26"/>
                <w:lang w:eastAsia="ro-RO"/>
              </w:rPr>
              <w:t>1</w:t>
            </w:r>
            <w:r w:rsidR="00AE5495" w:rsidRPr="006B5C90">
              <w:rPr>
                <w:rFonts w:asciiTheme="minorHAnsi" w:hAnsiTheme="minorHAnsi" w:cstheme="minorHAnsi"/>
                <w:sz w:val="26"/>
                <w:szCs w:val="26"/>
                <w:lang w:eastAsia="ro-RO"/>
              </w:rPr>
              <w:t>6</w:t>
            </w:r>
            <w:r>
              <w:rPr>
                <w:rFonts w:asciiTheme="minorHAnsi" w:hAnsiTheme="minorHAnsi" w:cstheme="minorHAnsi"/>
                <w:sz w:val="26"/>
                <w:szCs w:val="26"/>
                <w:lang w:eastAsia="ro-RO"/>
              </w:rPr>
              <w:t>2</w:t>
            </w:r>
          </w:p>
        </w:tc>
      </w:tr>
    </w:tbl>
    <w:p w14:paraId="3C4EE03F" w14:textId="77777777" w:rsidR="00AE5495" w:rsidRPr="004A72CD" w:rsidRDefault="00AE5495" w:rsidP="00F313A6">
      <w:pPr>
        <w:pStyle w:val="Heading2"/>
      </w:pPr>
      <w:bookmarkStart w:id="155" w:name="_Toc187824397"/>
      <w:bookmarkStart w:id="156" w:name="_Toc430867137"/>
      <w:r w:rsidRPr="004A72CD">
        <w:t>VI.5. Activitatea Serviciului grefa secțiilor</w:t>
      </w:r>
      <w:bookmarkEnd w:id="155"/>
    </w:p>
    <w:p w14:paraId="4FEF8EB2" w14:textId="24412DD8" w:rsidR="009524C8" w:rsidRDefault="009524C8" w:rsidP="009524C8">
      <w:pPr>
        <w:widowControl w:val="0"/>
        <w:autoSpaceDE w:val="0"/>
        <w:autoSpaceDN w:val="0"/>
        <w:adjustRightInd w:val="0"/>
        <w:spacing w:line="276" w:lineRule="auto"/>
        <w:ind w:right="-2" w:firstLine="709"/>
        <w:jc w:val="both"/>
        <w:rPr>
          <w:rFonts w:asciiTheme="minorHAnsi" w:hAnsiTheme="minorHAnsi" w:cstheme="minorHAnsi"/>
          <w:b/>
          <w:sz w:val="26"/>
          <w:szCs w:val="26"/>
        </w:rPr>
      </w:pPr>
      <w:r>
        <w:rPr>
          <w:rFonts w:asciiTheme="minorHAnsi" w:hAnsiTheme="minorHAnsi" w:cstheme="minorHAnsi"/>
          <w:sz w:val="26"/>
          <w:szCs w:val="26"/>
        </w:rPr>
        <w:t>Serviciul grefa secțiilor asigură activitatea de secretariat a ședințelor secțiilor Consiliului şi redactează hotărârile secțiilor Consiliului prin care s-au soluționat sesizările privind încălcarea normelor de conduită reglementate de Codul deontologic al judecătorilor şi procurorilor, conform dispozițiilor art. 99 alin. (1) lit. f) din Regulamentul de organizare şi funcționare al Consiliului Superior al Magistraturii, cu modificările ulterioare.</w:t>
      </w:r>
    </w:p>
    <w:p w14:paraId="344211CA" w14:textId="44DD23BA" w:rsidR="009524C8" w:rsidRDefault="009524C8" w:rsidP="009524C8">
      <w:pPr>
        <w:widowControl w:val="0"/>
        <w:autoSpaceDE w:val="0"/>
        <w:autoSpaceDN w:val="0"/>
        <w:adjustRightInd w:val="0"/>
        <w:spacing w:line="276" w:lineRule="auto"/>
        <w:ind w:right="-2" w:firstLine="709"/>
        <w:jc w:val="both"/>
        <w:rPr>
          <w:rFonts w:asciiTheme="minorHAnsi" w:hAnsiTheme="minorHAnsi" w:cstheme="minorHAnsi"/>
          <w:b/>
          <w:color w:val="FF0000"/>
          <w:sz w:val="26"/>
          <w:szCs w:val="26"/>
        </w:rPr>
      </w:pPr>
      <w:bookmarkStart w:id="157" w:name="_Hlk147482693"/>
      <w:r w:rsidRPr="005403AD">
        <w:rPr>
          <w:rFonts w:asciiTheme="minorHAnsi" w:hAnsiTheme="minorHAnsi" w:cstheme="minorHAnsi"/>
          <w:sz w:val="26"/>
          <w:szCs w:val="26"/>
        </w:rPr>
        <w:t xml:space="preserve">Până la data de </w:t>
      </w:r>
      <w:r w:rsidR="00E428D0">
        <w:rPr>
          <w:rFonts w:asciiTheme="minorHAnsi" w:hAnsiTheme="minorHAnsi" w:cstheme="minorHAnsi"/>
          <w:sz w:val="26"/>
          <w:szCs w:val="26"/>
        </w:rPr>
        <w:t>31 dec</w:t>
      </w:r>
      <w:r w:rsidRPr="005403AD">
        <w:rPr>
          <w:rFonts w:asciiTheme="minorHAnsi" w:hAnsiTheme="minorHAnsi" w:cstheme="minorHAnsi"/>
          <w:sz w:val="26"/>
          <w:szCs w:val="26"/>
        </w:rPr>
        <w:t xml:space="preserve">embrie 2024 </w:t>
      </w:r>
      <w:bookmarkEnd w:id="157"/>
      <w:r w:rsidRPr="005403AD">
        <w:rPr>
          <w:rFonts w:asciiTheme="minorHAnsi" w:hAnsiTheme="minorHAnsi" w:cstheme="minorHAnsi"/>
          <w:sz w:val="26"/>
          <w:szCs w:val="26"/>
        </w:rPr>
        <w:t xml:space="preserve">au fost înregistrate </w:t>
      </w:r>
      <w:r>
        <w:rPr>
          <w:rFonts w:asciiTheme="minorHAnsi" w:hAnsiTheme="minorHAnsi" w:cstheme="minorHAnsi"/>
          <w:sz w:val="26"/>
          <w:szCs w:val="26"/>
        </w:rPr>
        <w:t>două sesizări referitoare la încălcări ale Codului deontologic de către judecători, care au fost soluționate prin Hotărârile nr. 502/10.04.2024 şi nr. 1581/18.09.2024 ale Secţiei pentru judecători.</w:t>
      </w:r>
    </w:p>
    <w:p w14:paraId="65B14507" w14:textId="77777777" w:rsidR="009524C8" w:rsidRDefault="009524C8" w:rsidP="009524C8">
      <w:pPr>
        <w:widowControl w:val="0"/>
        <w:autoSpaceDE w:val="0"/>
        <w:autoSpaceDN w:val="0"/>
        <w:adjustRightInd w:val="0"/>
        <w:spacing w:line="276" w:lineRule="auto"/>
        <w:ind w:right="-2" w:firstLine="709"/>
        <w:jc w:val="both"/>
        <w:rPr>
          <w:rFonts w:asciiTheme="minorHAnsi" w:hAnsiTheme="minorHAnsi" w:cstheme="minorHAnsi"/>
          <w:b/>
          <w:sz w:val="26"/>
          <w:szCs w:val="26"/>
        </w:rPr>
      </w:pPr>
      <w:r>
        <w:rPr>
          <w:rFonts w:asciiTheme="minorHAnsi" w:hAnsiTheme="minorHAnsi" w:cstheme="minorHAnsi"/>
          <w:sz w:val="26"/>
          <w:szCs w:val="26"/>
        </w:rPr>
        <w:t xml:space="preserve">Serviciul grefa secțiilor asigură activitatea de secretariat a ședințelor secțiilor Consiliului în materia sesizărilor având ca obiect suspendarea din funcție a judecătorilor şi procurorilor </w:t>
      </w:r>
      <w:bookmarkStart w:id="158" w:name="_Hlk148948206"/>
      <w:r>
        <w:rPr>
          <w:rFonts w:asciiTheme="minorHAnsi" w:hAnsiTheme="minorHAnsi" w:cstheme="minorHAnsi"/>
          <w:sz w:val="26"/>
          <w:szCs w:val="26"/>
        </w:rPr>
        <w:t xml:space="preserve">în temeiul art. 197 alin. (1) lit. f) şi g) din Legea nr. 303/2022 privind statutul judecătorilor şi procurorilor, cu modificările şi completările ulterioare, </w:t>
      </w:r>
      <w:bookmarkEnd w:id="158"/>
      <w:r>
        <w:rPr>
          <w:rFonts w:asciiTheme="minorHAnsi" w:hAnsiTheme="minorHAnsi" w:cstheme="minorHAnsi"/>
          <w:sz w:val="26"/>
          <w:szCs w:val="26"/>
        </w:rPr>
        <w:t>şi redactează hotărârile pronunțate, conform dispozițiilor art. 99 alin. (1) lit. g) din Regulamentul de organizare și funcționare al Consiliului Superior al Magistraturii, cu modificările şi completările ulterioare.</w:t>
      </w:r>
    </w:p>
    <w:p w14:paraId="5CB204CB" w14:textId="5EFD52AF" w:rsidR="009524C8" w:rsidRDefault="009524C8" w:rsidP="009524C8">
      <w:pPr>
        <w:widowControl w:val="0"/>
        <w:autoSpaceDE w:val="0"/>
        <w:autoSpaceDN w:val="0"/>
        <w:adjustRightInd w:val="0"/>
        <w:spacing w:line="276" w:lineRule="auto"/>
        <w:ind w:right="-2" w:firstLine="709"/>
        <w:jc w:val="both"/>
        <w:rPr>
          <w:rFonts w:asciiTheme="minorHAnsi" w:hAnsiTheme="minorHAnsi" w:cstheme="minorHAnsi"/>
          <w:b/>
          <w:sz w:val="26"/>
          <w:szCs w:val="26"/>
        </w:rPr>
      </w:pPr>
      <w:r w:rsidRPr="005403AD">
        <w:rPr>
          <w:rFonts w:asciiTheme="minorHAnsi" w:hAnsiTheme="minorHAnsi" w:cstheme="minorHAnsi"/>
          <w:sz w:val="26"/>
          <w:szCs w:val="26"/>
        </w:rPr>
        <w:t xml:space="preserve">Astfel, până la data de </w:t>
      </w:r>
      <w:r w:rsidR="00E428D0">
        <w:rPr>
          <w:rFonts w:asciiTheme="minorHAnsi" w:hAnsiTheme="minorHAnsi" w:cstheme="minorHAnsi"/>
          <w:sz w:val="26"/>
          <w:szCs w:val="26"/>
        </w:rPr>
        <w:t>31 dec</w:t>
      </w:r>
      <w:r w:rsidRPr="005403AD">
        <w:rPr>
          <w:rFonts w:asciiTheme="minorHAnsi" w:hAnsiTheme="minorHAnsi" w:cstheme="minorHAnsi"/>
          <w:sz w:val="26"/>
          <w:szCs w:val="26"/>
        </w:rPr>
        <w:t xml:space="preserve">embrie 2024, în </w:t>
      </w:r>
      <w:r>
        <w:rPr>
          <w:rFonts w:asciiTheme="minorHAnsi" w:hAnsiTheme="minorHAnsi" w:cstheme="minorHAnsi"/>
          <w:sz w:val="26"/>
          <w:szCs w:val="26"/>
        </w:rPr>
        <w:t>temeiul art. 197 alin. (1) lit. g) din Legea nr. 303/2022 privind statutul judecătorilor şi procurorilor, Secția pentru judecători a dispus suspendarea din funcție a unui număr de 3 judecători.</w:t>
      </w:r>
    </w:p>
    <w:p w14:paraId="346EC520" w14:textId="0BE0D444" w:rsidR="009524C8" w:rsidRDefault="009524C8" w:rsidP="009524C8">
      <w:pPr>
        <w:widowControl w:val="0"/>
        <w:autoSpaceDE w:val="0"/>
        <w:autoSpaceDN w:val="0"/>
        <w:adjustRightInd w:val="0"/>
        <w:spacing w:line="276" w:lineRule="auto"/>
        <w:ind w:right="-2" w:firstLine="709"/>
        <w:jc w:val="both"/>
        <w:rPr>
          <w:rFonts w:asciiTheme="minorHAnsi" w:hAnsiTheme="minorHAnsi" w:cstheme="minorHAnsi"/>
          <w:b/>
          <w:sz w:val="26"/>
          <w:szCs w:val="26"/>
        </w:rPr>
      </w:pPr>
      <w:r>
        <w:rPr>
          <w:rFonts w:asciiTheme="minorHAnsi" w:hAnsiTheme="minorHAnsi" w:cstheme="minorHAnsi"/>
          <w:sz w:val="26"/>
          <w:szCs w:val="26"/>
        </w:rPr>
        <w:t>De asemenea, Serviciul grefa secțiilor întocmește lucrările referitoare la radierea sancțiunilor disciplinare aplicate judecătorilor şi procurorilor, conform art. 99 alin. (1) lit.</w:t>
      </w:r>
      <w:r w:rsidR="009C43E6">
        <w:rPr>
          <w:rFonts w:asciiTheme="minorHAnsi" w:hAnsiTheme="minorHAnsi" w:cstheme="minorHAnsi"/>
          <w:sz w:val="26"/>
          <w:szCs w:val="26"/>
        </w:rPr>
        <w:t xml:space="preserve"> </w:t>
      </w:r>
      <w:r>
        <w:rPr>
          <w:rFonts w:asciiTheme="minorHAnsi" w:hAnsiTheme="minorHAnsi" w:cstheme="minorHAnsi"/>
          <w:sz w:val="26"/>
          <w:szCs w:val="26"/>
        </w:rPr>
        <w:t>j) din Regulamentul de organizare și funcționare al Consiliului Superior al Magistraturii, cu modificările ulterioare.</w:t>
      </w:r>
    </w:p>
    <w:p w14:paraId="188D2D40" w14:textId="3B23506E" w:rsidR="009524C8" w:rsidRPr="005403AD" w:rsidRDefault="009524C8" w:rsidP="009524C8">
      <w:pPr>
        <w:widowControl w:val="0"/>
        <w:autoSpaceDE w:val="0"/>
        <w:autoSpaceDN w:val="0"/>
        <w:adjustRightInd w:val="0"/>
        <w:spacing w:line="276" w:lineRule="auto"/>
        <w:ind w:right="-2" w:firstLine="709"/>
        <w:jc w:val="both"/>
        <w:rPr>
          <w:rFonts w:asciiTheme="minorHAnsi" w:hAnsiTheme="minorHAnsi" w:cstheme="minorHAnsi"/>
          <w:sz w:val="26"/>
          <w:szCs w:val="26"/>
        </w:rPr>
      </w:pPr>
      <w:r w:rsidRPr="005403AD">
        <w:rPr>
          <w:rFonts w:asciiTheme="minorHAnsi" w:hAnsiTheme="minorHAnsi" w:cstheme="minorHAnsi"/>
          <w:sz w:val="26"/>
          <w:szCs w:val="26"/>
        </w:rPr>
        <w:t xml:space="preserve">Până la data de </w:t>
      </w:r>
      <w:r w:rsidR="00E428D0">
        <w:rPr>
          <w:rFonts w:asciiTheme="minorHAnsi" w:hAnsiTheme="minorHAnsi" w:cstheme="minorHAnsi"/>
          <w:sz w:val="26"/>
          <w:szCs w:val="26"/>
        </w:rPr>
        <w:t>31 dec</w:t>
      </w:r>
      <w:r w:rsidRPr="005403AD">
        <w:rPr>
          <w:rFonts w:asciiTheme="minorHAnsi" w:hAnsiTheme="minorHAnsi" w:cstheme="minorHAnsi"/>
          <w:sz w:val="26"/>
          <w:szCs w:val="26"/>
        </w:rPr>
        <w:t>embrie 2024, au fost înregistrate 4 cereri referitoare la radierea sancțiunilor disciplinare aplicate judecătorilor care au fost soluționate prin Hotărârile nr. 321/14.02.2024, nr. 431/13.03.2024, nr. 1683/02.10.2024 şi nr.</w:t>
      </w:r>
      <w:r w:rsidRPr="005403AD">
        <w:t xml:space="preserve"> </w:t>
      </w:r>
      <w:r w:rsidRPr="005403AD">
        <w:rPr>
          <w:rFonts w:asciiTheme="minorHAnsi" w:hAnsiTheme="minorHAnsi" w:cstheme="minorHAnsi"/>
          <w:sz w:val="26"/>
          <w:szCs w:val="26"/>
        </w:rPr>
        <w:t xml:space="preserve">1855/30.10.2024 ale Secţiei </w:t>
      </w:r>
      <w:r w:rsidRPr="005403AD">
        <w:rPr>
          <w:rFonts w:asciiTheme="minorHAnsi" w:hAnsiTheme="minorHAnsi" w:cstheme="minorHAnsi"/>
          <w:sz w:val="26"/>
          <w:szCs w:val="26"/>
        </w:rPr>
        <w:lastRenderedPageBreak/>
        <w:t>pentru judecători.</w:t>
      </w:r>
    </w:p>
    <w:p w14:paraId="15B1BF08" w14:textId="77777777" w:rsidR="00AE5495" w:rsidRPr="00CD3492" w:rsidRDefault="00AE5495" w:rsidP="00F313A6">
      <w:pPr>
        <w:pStyle w:val="Heading2"/>
        <w:rPr>
          <w:lang w:val="ro-RO"/>
        </w:rPr>
      </w:pPr>
      <w:bookmarkStart w:id="159" w:name="_Toc187824398"/>
      <w:r w:rsidRPr="00CD3492">
        <w:rPr>
          <w:lang w:val="ro-RO"/>
        </w:rPr>
        <w:t>VI.6. Activitatea Serviciului de relaţii cu publicul, registratură şi arhivă</w:t>
      </w:r>
      <w:bookmarkEnd w:id="156"/>
      <w:bookmarkEnd w:id="159"/>
    </w:p>
    <w:p w14:paraId="5EFA4748" w14:textId="77777777" w:rsidR="00AE5495" w:rsidRPr="004A72CD" w:rsidRDefault="00AE5495" w:rsidP="00F313A6">
      <w:pPr>
        <w:shd w:val="clear" w:color="auto" w:fill="FFFFFF"/>
        <w:spacing w:line="276" w:lineRule="auto"/>
        <w:ind w:right="-2" w:firstLine="709"/>
        <w:jc w:val="both"/>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Activitatea de soluţionare a memoriilor s-a desfăşurat în conformitate cu prevederile Ordonanţei Guvernului nr. 27/2002 privind activitatea de soluţionare a petiţiilor, modificată şi aprobată prin Legea nr. 233/2002, potrivit cărora petiţiile se soluţionează în termen de 30 zile și de 5 zile de la data înregistrării la instituţia în cauză.</w:t>
      </w:r>
    </w:p>
    <w:p w14:paraId="428D89E5" w14:textId="3AC0E2B9" w:rsidR="00AE5495" w:rsidRPr="005403AD" w:rsidRDefault="00AE5495" w:rsidP="00D67DD3">
      <w:pPr>
        <w:shd w:val="clear" w:color="auto" w:fill="FFFFFF"/>
        <w:spacing w:line="276" w:lineRule="auto"/>
        <w:ind w:right="-2" w:firstLine="709"/>
        <w:jc w:val="both"/>
        <w:rPr>
          <w:rFonts w:asciiTheme="minorHAnsi" w:hAnsiTheme="minorHAnsi" w:cstheme="minorHAnsi"/>
          <w:sz w:val="26"/>
          <w:szCs w:val="26"/>
          <w:lang w:eastAsia="ro-RO"/>
        </w:rPr>
      </w:pPr>
      <w:r w:rsidRPr="005403AD">
        <w:rPr>
          <w:rFonts w:asciiTheme="minorHAnsi" w:hAnsiTheme="minorHAnsi" w:cstheme="minorHAnsi"/>
          <w:sz w:val="26"/>
          <w:szCs w:val="26"/>
          <w:lang w:eastAsia="ro-RO"/>
        </w:rPr>
        <w:t xml:space="preserve">Până la data de </w:t>
      </w:r>
      <w:r w:rsidR="009C15E2">
        <w:rPr>
          <w:rFonts w:asciiTheme="minorHAnsi" w:hAnsiTheme="minorHAnsi" w:cstheme="minorHAnsi"/>
          <w:sz w:val="26"/>
          <w:szCs w:val="26"/>
          <w:lang w:eastAsia="ro-RO"/>
        </w:rPr>
        <w:t>31 decembrie</w:t>
      </w:r>
      <w:r w:rsidRPr="005403AD">
        <w:rPr>
          <w:rFonts w:asciiTheme="minorHAnsi" w:hAnsiTheme="minorHAnsi" w:cstheme="minorHAnsi"/>
          <w:sz w:val="26"/>
          <w:szCs w:val="26"/>
          <w:lang w:eastAsia="ro-RO"/>
        </w:rPr>
        <w:t xml:space="preserve"> 2024 au fost soluţionate</w:t>
      </w:r>
      <w:r w:rsidR="00D46F45">
        <w:rPr>
          <w:rFonts w:asciiTheme="minorHAnsi" w:hAnsiTheme="minorHAnsi" w:cstheme="minorHAnsi"/>
          <w:sz w:val="26"/>
          <w:szCs w:val="26"/>
          <w:lang w:eastAsia="ro-RO"/>
        </w:rPr>
        <w:t>,</w:t>
      </w:r>
      <w:r w:rsidRPr="005403AD">
        <w:rPr>
          <w:rFonts w:asciiTheme="minorHAnsi" w:hAnsiTheme="minorHAnsi" w:cstheme="minorHAnsi"/>
          <w:sz w:val="26"/>
          <w:szCs w:val="26"/>
          <w:lang w:eastAsia="ro-RO"/>
        </w:rPr>
        <w:t xml:space="preserve"> de către consilierii juridici din cadrul acestui serviciu</w:t>
      </w:r>
      <w:r w:rsidR="00D46F45">
        <w:rPr>
          <w:rFonts w:asciiTheme="minorHAnsi" w:hAnsiTheme="minorHAnsi" w:cstheme="minorHAnsi"/>
          <w:sz w:val="26"/>
          <w:szCs w:val="26"/>
          <w:lang w:eastAsia="ro-RO"/>
        </w:rPr>
        <w:t>,</w:t>
      </w:r>
      <w:r w:rsidRPr="005403AD">
        <w:rPr>
          <w:rFonts w:asciiTheme="minorHAnsi" w:hAnsiTheme="minorHAnsi" w:cstheme="minorHAnsi"/>
          <w:sz w:val="26"/>
          <w:szCs w:val="26"/>
          <w:lang w:eastAsia="ro-RO"/>
        </w:rPr>
        <w:t xml:space="preserve"> un număr de  </w:t>
      </w:r>
      <w:r w:rsidR="009C15E2">
        <w:rPr>
          <w:rFonts w:asciiTheme="minorHAnsi" w:hAnsiTheme="minorHAnsi" w:cstheme="minorHAnsi"/>
          <w:sz w:val="26"/>
          <w:szCs w:val="26"/>
          <w:lang w:eastAsia="ro-RO"/>
        </w:rPr>
        <w:t>7365</w:t>
      </w:r>
      <w:r w:rsidRPr="005403AD">
        <w:rPr>
          <w:rFonts w:asciiTheme="minorHAnsi" w:hAnsiTheme="minorHAnsi" w:cstheme="minorHAnsi"/>
          <w:sz w:val="26"/>
          <w:szCs w:val="26"/>
          <w:lang w:eastAsia="ro-RO"/>
        </w:rPr>
        <w:t xml:space="preserve"> petiţii. </w:t>
      </w:r>
    </w:p>
    <w:p w14:paraId="4AEFEFE1" w14:textId="03E2EDAE" w:rsidR="00AE5495" w:rsidRPr="005403AD" w:rsidRDefault="00AE5495" w:rsidP="00F313A6">
      <w:pPr>
        <w:shd w:val="clear" w:color="auto" w:fill="FFFFFF"/>
        <w:spacing w:line="276" w:lineRule="auto"/>
        <w:ind w:right="-2" w:firstLine="709"/>
        <w:jc w:val="both"/>
        <w:rPr>
          <w:rFonts w:asciiTheme="minorHAnsi" w:hAnsiTheme="minorHAnsi" w:cstheme="minorHAnsi"/>
          <w:sz w:val="26"/>
          <w:szCs w:val="26"/>
          <w:lang w:eastAsia="ro-RO"/>
        </w:rPr>
      </w:pPr>
      <w:r w:rsidRPr="005403AD">
        <w:rPr>
          <w:rFonts w:asciiTheme="minorHAnsi" w:hAnsiTheme="minorHAnsi" w:cstheme="minorHAnsi"/>
          <w:sz w:val="26"/>
          <w:szCs w:val="26"/>
          <w:lang w:eastAsia="ro-RO"/>
        </w:rPr>
        <w:t xml:space="preserve">Dintre acestea, </w:t>
      </w:r>
      <w:r w:rsidR="000E2E85" w:rsidRPr="005403AD">
        <w:rPr>
          <w:rFonts w:asciiTheme="minorHAnsi" w:hAnsiTheme="minorHAnsi" w:cstheme="minorHAnsi"/>
          <w:sz w:val="26"/>
          <w:szCs w:val="26"/>
          <w:lang w:eastAsia="ro-RO"/>
        </w:rPr>
        <w:t>7</w:t>
      </w:r>
      <w:r w:rsidR="00547817">
        <w:rPr>
          <w:rFonts w:asciiTheme="minorHAnsi" w:hAnsiTheme="minorHAnsi" w:cstheme="minorHAnsi"/>
          <w:sz w:val="26"/>
          <w:szCs w:val="26"/>
          <w:lang w:eastAsia="ro-RO"/>
        </w:rPr>
        <w:t>284</w:t>
      </w:r>
      <w:r w:rsidRPr="005403AD">
        <w:rPr>
          <w:rFonts w:asciiTheme="minorHAnsi" w:hAnsiTheme="minorHAnsi" w:cstheme="minorHAnsi"/>
          <w:sz w:val="26"/>
          <w:szCs w:val="26"/>
          <w:lang w:eastAsia="ro-RO"/>
        </w:rPr>
        <w:t xml:space="preserve"> petiţii au fost </w:t>
      </w:r>
      <w:r w:rsidRPr="004A72CD">
        <w:rPr>
          <w:rFonts w:asciiTheme="minorHAnsi" w:hAnsiTheme="minorHAnsi" w:cstheme="minorHAnsi"/>
          <w:sz w:val="26"/>
          <w:szCs w:val="26"/>
          <w:lang w:eastAsia="ro-RO"/>
        </w:rPr>
        <w:t xml:space="preserve">adresate direct Consiliului Superior al Magistraturii, </w:t>
      </w:r>
      <w:r w:rsidRPr="005403AD">
        <w:rPr>
          <w:rFonts w:asciiTheme="minorHAnsi" w:hAnsiTheme="minorHAnsi" w:cstheme="minorHAnsi"/>
          <w:sz w:val="26"/>
          <w:szCs w:val="26"/>
          <w:lang w:eastAsia="ro-RO"/>
        </w:rPr>
        <w:t>existând, însă</w:t>
      </w:r>
      <w:r w:rsidR="00347B46">
        <w:rPr>
          <w:rFonts w:asciiTheme="minorHAnsi" w:hAnsiTheme="minorHAnsi" w:cstheme="minorHAnsi"/>
          <w:sz w:val="26"/>
          <w:szCs w:val="26"/>
          <w:lang w:eastAsia="ro-RO"/>
        </w:rPr>
        <w:t>,</w:t>
      </w:r>
      <w:r w:rsidRPr="005403AD">
        <w:rPr>
          <w:rFonts w:asciiTheme="minorHAnsi" w:hAnsiTheme="minorHAnsi" w:cstheme="minorHAnsi"/>
          <w:sz w:val="26"/>
          <w:szCs w:val="26"/>
          <w:lang w:eastAsia="ro-RO"/>
        </w:rPr>
        <w:t xml:space="preserve"> şi un număr important de petiţii primite de la alte instituţii. Astfel, Administraţia Prezidenţială a sesizat Consiliul cu un număr de 7 petiţii, Ministerul Justiţiei cu 1</w:t>
      </w:r>
      <w:r w:rsidR="00547817">
        <w:rPr>
          <w:rFonts w:asciiTheme="minorHAnsi" w:hAnsiTheme="minorHAnsi" w:cstheme="minorHAnsi"/>
          <w:sz w:val="26"/>
          <w:szCs w:val="26"/>
          <w:lang w:eastAsia="ro-RO"/>
        </w:rPr>
        <w:t>9</w:t>
      </w:r>
      <w:r w:rsidRPr="005403AD">
        <w:rPr>
          <w:rFonts w:asciiTheme="minorHAnsi" w:hAnsiTheme="minorHAnsi" w:cstheme="minorHAnsi"/>
          <w:sz w:val="26"/>
          <w:szCs w:val="26"/>
          <w:lang w:eastAsia="ro-RO"/>
        </w:rPr>
        <w:t xml:space="preserve"> petiţii, Parlamentul României cu </w:t>
      </w:r>
      <w:r w:rsidR="00547817">
        <w:rPr>
          <w:rFonts w:asciiTheme="minorHAnsi" w:hAnsiTheme="minorHAnsi" w:cstheme="minorHAnsi"/>
          <w:sz w:val="26"/>
          <w:szCs w:val="26"/>
          <w:lang w:eastAsia="ro-RO"/>
        </w:rPr>
        <w:t>7</w:t>
      </w:r>
      <w:r w:rsidRPr="005403AD">
        <w:rPr>
          <w:rFonts w:asciiTheme="minorHAnsi" w:hAnsiTheme="minorHAnsi" w:cstheme="minorHAnsi"/>
          <w:sz w:val="26"/>
          <w:szCs w:val="26"/>
          <w:lang w:eastAsia="ro-RO"/>
        </w:rPr>
        <w:t xml:space="preserve"> petiţii, Guvernul României cu 1</w:t>
      </w:r>
      <w:r w:rsidR="00547817">
        <w:rPr>
          <w:rFonts w:asciiTheme="minorHAnsi" w:hAnsiTheme="minorHAnsi" w:cstheme="minorHAnsi"/>
          <w:sz w:val="26"/>
          <w:szCs w:val="26"/>
          <w:lang w:eastAsia="ro-RO"/>
        </w:rPr>
        <w:t>4</w:t>
      </w:r>
      <w:r w:rsidRPr="005403AD">
        <w:rPr>
          <w:rFonts w:asciiTheme="minorHAnsi" w:hAnsiTheme="minorHAnsi" w:cstheme="minorHAnsi"/>
          <w:sz w:val="26"/>
          <w:szCs w:val="26"/>
          <w:lang w:eastAsia="ro-RO"/>
        </w:rPr>
        <w:t xml:space="preserve"> petiţii, iar din alte surse, precum Ministerul Administraţiei şi Internelor, instanţe şi parchete, au fost transmise </w:t>
      </w:r>
      <w:r w:rsidR="00547817">
        <w:rPr>
          <w:rFonts w:asciiTheme="minorHAnsi" w:hAnsiTheme="minorHAnsi" w:cstheme="minorHAnsi"/>
          <w:sz w:val="26"/>
          <w:szCs w:val="26"/>
          <w:lang w:eastAsia="ro-RO"/>
        </w:rPr>
        <w:t>40</w:t>
      </w:r>
      <w:r w:rsidRPr="005403AD">
        <w:rPr>
          <w:rFonts w:asciiTheme="minorHAnsi" w:hAnsiTheme="minorHAnsi" w:cstheme="minorHAnsi"/>
          <w:sz w:val="26"/>
          <w:szCs w:val="26"/>
          <w:lang w:eastAsia="ro-RO"/>
        </w:rPr>
        <w:t xml:space="preserve"> de petiţii.</w:t>
      </w:r>
    </w:p>
    <w:p w14:paraId="71D274D6" w14:textId="77777777" w:rsidR="00AE5495" w:rsidRPr="004A72CD" w:rsidRDefault="00AE5495" w:rsidP="00F313A6">
      <w:pPr>
        <w:shd w:val="clear" w:color="auto" w:fill="FFFFFF"/>
        <w:spacing w:line="276" w:lineRule="auto"/>
        <w:ind w:right="-2" w:firstLine="709"/>
        <w:jc w:val="both"/>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 xml:space="preserve">Problematica reclamată de petiţionari a vizat, în principal, nelegalitatea sau netemeinicia hotărârilor judecătoreşti şi a măsurilor dispuse de instanţe sau parchete; repartizarea aleatorie a cauzelor; durata mare a proceselor; pretinse abateri disciplinare săvârşite de magistraţi; îndoieli legate de imparţialitatea şi corectitudinea magistraţilor; lipsa de transparenţă a magistraţilor; tergiversarea soluţionării dosarelor, atât la instanţe, cât şi la parchete; solicitări de primire a răspunsului de la Inspecţia Judiciară, precum şi nemulţumiri legate de răspunsurile primite de la Inspecţia Judiciară; cereri de apărare, cereri de strămutare, cereri de apel în dosarele aflate pe rolul instanţelor; solicitări de comunicare a hotărârilor judecătoreşti şi a soluţiilor dispuse de procurori; cereri de eliberare de acte din dosarele aflate pe rolul instanţelor şi parchetelor sau din dosarele aflate în conservarea acestora; solicitări de acordare de consultanţă juridică; nemulţumiri privind activitatea avocaţilor, notarilor, executorilor judecătoreşti, experţilor, personalului auxiliar din instanţe şi parchete, organelor de poliţie; plângeri penale, atât împotriva unor judecători şi procurori, cât şi împotriva unor persoane fizice sau juridice; plângeri privind regimul de detenţie sau de executare a pedepselor. </w:t>
      </w:r>
    </w:p>
    <w:p w14:paraId="31D91760" w14:textId="404A0FA2" w:rsidR="00AE5495" w:rsidRPr="005403AD" w:rsidRDefault="00AE5495" w:rsidP="00F313A6">
      <w:pPr>
        <w:shd w:val="clear" w:color="auto" w:fill="FFFFFF"/>
        <w:spacing w:line="276" w:lineRule="auto"/>
        <w:ind w:right="-2" w:firstLine="709"/>
        <w:jc w:val="both"/>
        <w:rPr>
          <w:rFonts w:asciiTheme="minorHAnsi" w:hAnsiTheme="minorHAnsi" w:cstheme="minorHAnsi"/>
          <w:sz w:val="26"/>
          <w:szCs w:val="26"/>
          <w:lang w:eastAsia="ro-RO"/>
        </w:rPr>
      </w:pPr>
      <w:r w:rsidRPr="005403AD">
        <w:rPr>
          <w:rFonts w:asciiTheme="minorHAnsi" w:hAnsiTheme="minorHAnsi" w:cstheme="minorHAnsi"/>
          <w:sz w:val="26"/>
          <w:szCs w:val="26"/>
          <w:lang w:eastAsia="ro-RO"/>
        </w:rPr>
        <w:t>Toate memoriile înregistrate</w:t>
      </w:r>
      <w:r w:rsidR="00A46F1B">
        <w:rPr>
          <w:rFonts w:asciiTheme="minorHAnsi" w:hAnsiTheme="minorHAnsi" w:cstheme="minorHAnsi"/>
          <w:sz w:val="26"/>
          <w:szCs w:val="26"/>
          <w:lang w:eastAsia="ro-RO"/>
        </w:rPr>
        <w:t>,</w:t>
      </w:r>
      <w:r w:rsidRPr="005403AD">
        <w:rPr>
          <w:rFonts w:asciiTheme="minorHAnsi" w:hAnsiTheme="minorHAnsi" w:cstheme="minorHAnsi"/>
          <w:sz w:val="26"/>
          <w:szCs w:val="26"/>
          <w:lang w:eastAsia="ro-RO"/>
        </w:rPr>
        <w:t xml:space="preserve"> până la data de </w:t>
      </w:r>
      <w:r w:rsidR="00547817">
        <w:rPr>
          <w:rFonts w:asciiTheme="minorHAnsi" w:hAnsiTheme="minorHAnsi" w:cstheme="minorHAnsi"/>
          <w:sz w:val="26"/>
          <w:szCs w:val="26"/>
          <w:lang w:eastAsia="ro-RO"/>
        </w:rPr>
        <w:t xml:space="preserve">31 decembrie </w:t>
      </w:r>
      <w:r w:rsidRPr="005403AD">
        <w:rPr>
          <w:rFonts w:asciiTheme="minorHAnsi" w:hAnsiTheme="minorHAnsi" w:cstheme="minorHAnsi"/>
          <w:sz w:val="26"/>
          <w:szCs w:val="26"/>
          <w:lang w:eastAsia="ro-RO"/>
        </w:rPr>
        <w:t>2024</w:t>
      </w:r>
      <w:r w:rsidR="00A46F1B">
        <w:rPr>
          <w:rFonts w:asciiTheme="minorHAnsi" w:hAnsiTheme="minorHAnsi" w:cstheme="minorHAnsi"/>
          <w:sz w:val="26"/>
          <w:szCs w:val="26"/>
          <w:lang w:eastAsia="ro-RO"/>
        </w:rPr>
        <w:t>,</w:t>
      </w:r>
      <w:r w:rsidRPr="005403AD">
        <w:rPr>
          <w:rFonts w:asciiTheme="minorHAnsi" w:hAnsiTheme="minorHAnsi" w:cstheme="minorHAnsi"/>
          <w:sz w:val="26"/>
          <w:szCs w:val="26"/>
          <w:lang w:eastAsia="ro-RO"/>
        </w:rPr>
        <w:t xml:space="preserve"> la Serviciul relaţii cu publicul, registratură şi arhivă au fost soluţionate cu respectarea strictă a termenelor legale de soluţionare, astfel cum sunt prevăzute de Ordonanţa Guvernului nr. 27/2002 privind activitatea de soluţionare a petiţiilor, modificată şi aprobată prin Legea nr. 233/2002.</w:t>
      </w:r>
    </w:p>
    <w:p w14:paraId="70628B6C" w14:textId="75A84196" w:rsidR="00AE5495" w:rsidRPr="005403AD" w:rsidRDefault="00AE5495" w:rsidP="00F313A6">
      <w:pPr>
        <w:shd w:val="clear" w:color="auto" w:fill="FFFFFF"/>
        <w:spacing w:line="276" w:lineRule="auto"/>
        <w:ind w:right="-2" w:firstLine="709"/>
        <w:jc w:val="both"/>
        <w:rPr>
          <w:rFonts w:asciiTheme="minorHAnsi" w:hAnsiTheme="minorHAnsi" w:cstheme="minorHAnsi"/>
          <w:sz w:val="26"/>
          <w:szCs w:val="26"/>
          <w:lang w:eastAsia="ro-RO"/>
        </w:rPr>
      </w:pPr>
      <w:r w:rsidRPr="005403AD">
        <w:rPr>
          <w:rFonts w:asciiTheme="minorHAnsi" w:hAnsiTheme="minorHAnsi" w:cstheme="minorHAnsi"/>
          <w:sz w:val="26"/>
          <w:szCs w:val="26"/>
          <w:lang w:eastAsia="ro-RO"/>
        </w:rPr>
        <w:t>Din totalul acestora, 1</w:t>
      </w:r>
      <w:r w:rsidR="00B04361">
        <w:rPr>
          <w:rFonts w:asciiTheme="minorHAnsi" w:hAnsiTheme="minorHAnsi" w:cstheme="minorHAnsi"/>
          <w:sz w:val="26"/>
          <w:szCs w:val="26"/>
          <w:lang w:eastAsia="ro-RO"/>
        </w:rPr>
        <w:t>571</w:t>
      </w:r>
      <w:r w:rsidRPr="005403AD">
        <w:rPr>
          <w:rFonts w:asciiTheme="minorHAnsi" w:hAnsiTheme="minorHAnsi" w:cstheme="minorHAnsi"/>
          <w:sz w:val="26"/>
          <w:szCs w:val="26"/>
          <w:lang w:eastAsia="ro-RO"/>
        </w:rPr>
        <w:t xml:space="preserve"> de petiţii au primit răspuns din partea Serviciului relaţii cu publicul, registratură şi arhivă, fără a mai fi necesară transmiterea acestora către alte instituţii sau alte departamente competente ale aparatului Consiliului Superior al Magistraturii.</w:t>
      </w:r>
    </w:p>
    <w:p w14:paraId="0F8BAE5D" w14:textId="6856EE12" w:rsidR="00AE5495" w:rsidRPr="005403AD" w:rsidRDefault="00AE5495" w:rsidP="00F313A6">
      <w:pPr>
        <w:shd w:val="clear" w:color="auto" w:fill="FFFFFF"/>
        <w:spacing w:line="276" w:lineRule="auto"/>
        <w:ind w:right="-2" w:firstLine="709"/>
        <w:jc w:val="both"/>
        <w:rPr>
          <w:rFonts w:asciiTheme="minorHAnsi" w:hAnsiTheme="minorHAnsi" w:cstheme="minorHAnsi"/>
          <w:sz w:val="26"/>
          <w:szCs w:val="26"/>
          <w:lang w:eastAsia="ro-RO"/>
        </w:rPr>
      </w:pPr>
      <w:r w:rsidRPr="005403AD">
        <w:rPr>
          <w:rFonts w:asciiTheme="minorHAnsi" w:hAnsiTheme="minorHAnsi" w:cstheme="minorHAnsi"/>
          <w:sz w:val="26"/>
          <w:szCs w:val="26"/>
          <w:lang w:eastAsia="ro-RO"/>
        </w:rPr>
        <w:t xml:space="preserve">Un număr de </w:t>
      </w:r>
      <w:r w:rsidR="003D48D9" w:rsidRPr="005403AD">
        <w:rPr>
          <w:rFonts w:asciiTheme="minorHAnsi" w:hAnsiTheme="minorHAnsi" w:cstheme="minorHAnsi"/>
          <w:sz w:val="26"/>
          <w:szCs w:val="26"/>
          <w:lang w:eastAsia="ro-RO"/>
        </w:rPr>
        <w:t>2</w:t>
      </w:r>
      <w:r w:rsidR="00B04361">
        <w:rPr>
          <w:rFonts w:asciiTheme="minorHAnsi" w:hAnsiTheme="minorHAnsi" w:cstheme="minorHAnsi"/>
          <w:sz w:val="26"/>
          <w:szCs w:val="26"/>
          <w:lang w:eastAsia="ro-RO"/>
        </w:rPr>
        <w:t>154</w:t>
      </w:r>
      <w:r w:rsidRPr="005403AD">
        <w:rPr>
          <w:rFonts w:asciiTheme="minorHAnsi" w:hAnsiTheme="minorHAnsi" w:cstheme="minorHAnsi"/>
          <w:sz w:val="26"/>
          <w:szCs w:val="26"/>
          <w:lang w:eastAsia="ro-RO"/>
        </w:rPr>
        <w:t xml:space="preserve"> petiţii au fost transmise Inspecţiei Judiciare, întrucât în cuprinsul acestora erau descrise pretinse abateri disciplinare sau situaţii de tergiversare a cauzelor aflate pe rolul instanţelor de judecată şi pe rolul parchetelor. </w:t>
      </w:r>
    </w:p>
    <w:p w14:paraId="7CACF0A3" w14:textId="0D85A234" w:rsidR="00AE5495" w:rsidRPr="004A72CD" w:rsidRDefault="00AE5495" w:rsidP="00F313A6">
      <w:pPr>
        <w:shd w:val="clear" w:color="auto" w:fill="FFFFFF"/>
        <w:spacing w:line="276" w:lineRule="auto"/>
        <w:ind w:right="-2" w:firstLine="709"/>
        <w:jc w:val="both"/>
        <w:rPr>
          <w:rFonts w:asciiTheme="minorHAnsi" w:hAnsiTheme="minorHAnsi" w:cstheme="minorHAnsi"/>
          <w:color w:val="000000"/>
          <w:sz w:val="26"/>
          <w:szCs w:val="26"/>
          <w:lang w:eastAsia="ro-RO"/>
        </w:rPr>
      </w:pPr>
      <w:r w:rsidRPr="005403AD">
        <w:rPr>
          <w:rFonts w:asciiTheme="minorHAnsi" w:hAnsiTheme="minorHAnsi" w:cstheme="minorHAnsi"/>
          <w:sz w:val="26"/>
          <w:szCs w:val="26"/>
          <w:lang w:eastAsia="ro-RO"/>
        </w:rPr>
        <w:t xml:space="preserve">O serie de petiţii, în număr de </w:t>
      </w:r>
      <w:r w:rsidR="003D48D9" w:rsidRPr="005403AD">
        <w:rPr>
          <w:rFonts w:asciiTheme="minorHAnsi" w:hAnsiTheme="minorHAnsi" w:cstheme="minorHAnsi"/>
          <w:sz w:val="26"/>
          <w:szCs w:val="26"/>
          <w:lang w:eastAsia="ro-RO"/>
        </w:rPr>
        <w:t>8</w:t>
      </w:r>
      <w:r w:rsidR="00B04361">
        <w:rPr>
          <w:rFonts w:asciiTheme="minorHAnsi" w:hAnsiTheme="minorHAnsi" w:cstheme="minorHAnsi"/>
          <w:sz w:val="26"/>
          <w:szCs w:val="26"/>
          <w:lang w:eastAsia="ro-RO"/>
        </w:rPr>
        <w:t>75</w:t>
      </w:r>
      <w:r w:rsidRPr="005403AD">
        <w:rPr>
          <w:rFonts w:asciiTheme="minorHAnsi" w:hAnsiTheme="minorHAnsi" w:cstheme="minorHAnsi"/>
          <w:sz w:val="26"/>
          <w:szCs w:val="26"/>
          <w:lang w:eastAsia="ro-RO"/>
        </w:rPr>
        <w:t xml:space="preserve"> de petiţii, respectiv </w:t>
      </w:r>
      <w:r w:rsidR="003D48D9" w:rsidRPr="005403AD">
        <w:rPr>
          <w:rFonts w:asciiTheme="minorHAnsi" w:hAnsiTheme="minorHAnsi" w:cstheme="minorHAnsi"/>
          <w:sz w:val="26"/>
          <w:szCs w:val="26"/>
          <w:lang w:eastAsia="ro-RO"/>
        </w:rPr>
        <w:t>86</w:t>
      </w:r>
      <w:r w:rsidR="00B04361">
        <w:rPr>
          <w:rFonts w:asciiTheme="minorHAnsi" w:hAnsiTheme="minorHAnsi" w:cstheme="minorHAnsi"/>
          <w:sz w:val="26"/>
          <w:szCs w:val="26"/>
          <w:lang w:eastAsia="ro-RO"/>
        </w:rPr>
        <w:t>9</w:t>
      </w:r>
      <w:r w:rsidRPr="005403AD">
        <w:rPr>
          <w:rFonts w:asciiTheme="minorHAnsi" w:hAnsiTheme="minorHAnsi" w:cstheme="minorHAnsi"/>
          <w:sz w:val="26"/>
          <w:szCs w:val="26"/>
          <w:lang w:eastAsia="ro-RO"/>
        </w:rPr>
        <w:t xml:space="preserve"> de </w:t>
      </w:r>
      <w:r w:rsidRPr="004A72CD">
        <w:rPr>
          <w:rFonts w:asciiTheme="minorHAnsi" w:hAnsiTheme="minorHAnsi" w:cstheme="minorHAnsi"/>
          <w:color w:val="000000"/>
          <w:sz w:val="26"/>
          <w:szCs w:val="26"/>
          <w:lang w:eastAsia="ro-RO"/>
        </w:rPr>
        <w:t>petiţii</w:t>
      </w:r>
      <w:r w:rsidR="009E51A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 xml:space="preserve"> au fost trimise la instanţe şi parchete, deoarece reprezentau cereri de apărare, cereri de strămutare, cereri de apel în dosarele aflate pe rolul instanţelor; solicitări de comunicare a hotărârilor judecătoreşti şi a soluţiilor dispuse de procurori; cereri de eliberare de acte din dosarele aflate pe rolul instanţelor </w:t>
      </w:r>
      <w:r w:rsidRPr="004A72CD">
        <w:rPr>
          <w:rFonts w:asciiTheme="minorHAnsi" w:hAnsiTheme="minorHAnsi" w:cstheme="minorHAnsi"/>
          <w:color w:val="000000"/>
          <w:sz w:val="26"/>
          <w:szCs w:val="26"/>
          <w:lang w:eastAsia="ro-RO"/>
        </w:rPr>
        <w:lastRenderedPageBreak/>
        <w:t>şi parchetelor sau din dosarele aflate în conservarea acestora; plângeri penale, atât împotriva unor judecători şi procurori, cât şi împotriva unor persoane fizice sau juridice.</w:t>
      </w:r>
    </w:p>
    <w:p w14:paraId="119888AA" w14:textId="68FCBE4F" w:rsidR="00AE5495" w:rsidRPr="005403AD" w:rsidRDefault="00AE5495" w:rsidP="00F313A6">
      <w:pPr>
        <w:shd w:val="clear" w:color="auto" w:fill="FFFFFF"/>
        <w:spacing w:line="276" w:lineRule="auto"/>
        <w:ind w:right="-2" w:firstLine="709"/>
        <w:jc w:val="both"/>
        <w:rPr>
          <w:rFonts w:asciiTheme="minorHAnsi" w:hAnsiTheme="minorHAnsi" w:cstheme="minorHAnsi"/>
          <w:sz w:val="26"/>
          <w:szCs w:val="26"/>
          <w:lang w:eastAsia="ro-RO"/>
        </w:rPr>
      </w:pPr>
      <w:r w:rsidRPr="005403AD">
        <w:rPr>
          <w:rFonts w:asciiTheme="minorHAnsi" w:hAnsiTheme="minorHAnsi" w:cstheme="minorHAnsi"/>
          <w:sz w:val="26"/>
          <w:szCs w:val="26"/>
          <w:lang w:eastAsia="ro-RO"/>
        </w:rPr>
        <w:t xml:space="preserve">În </w:t>
      </w:r>
      <w:r w:rsidR="003D48D9" w:rsidRPr="005403AD">
        <w:rPr>
          <w:rFonts w:asciiTheme="minorHAnsi" w:hAnsiTheme="minorHAnsi" w:cstheme="minorHAnsi"/>
          <w:sz w:val="26"/>
          <w:szCs w:val="26"/>
          <w:lang w:eastAsia="ro-RO"/>
        </w:rPr>
        <w:t>7</w:t>
      </w:r>
      <w:r w:rsidR="00B04361">
        <w:rPr>
          <w:rFonts w:asciiTheme="minorHAnsi" w:hAnsiTheme="minorHAnsi" w:cstheme="minorHAnsi"/>
          <w:sz w:val="26"/>
          <w:szCs w:val="26"/>
          <w:lang w:eastAsia="ro-RO"/>
        </w:rPr>
        <w:t>3</w:t>
      </w:r>
      <w:r w:rsidRPr="005403AD">
        <w:rPr>
          <w:rFonts w:asciiTheme="minorHAnsi" w:hAnsiTheme="minorHAnsi" w:cstheme="minorHAnsi"/>
          <w:sz w:val="26"/>
          <w:szCs w:val="26"/>
          <w:lang w:eastAsia="ro-RO"/>
        </w:rPr>
        <w:t xml:space="preserve"> de memorii, petenţii şi-au exprimat nemulţumirea faţă de întârzierile în comunicarea hotărârilor şi a soluţiilor dispuse de procurori, iar într-un număr de </w:t>
      </w:r>
      <w:r w:rsidR="00B04361">
        <w:rPr>
          <w:rFonts w:asciiTheme="minorHAnsi" w:hAnsiTheme="minorHAnsi" w:cstheme="minorHAnsi"/>
          <w:sz w:val="26"/>
          <w:szCs w:val="26"/>
          <w:lang w:eastAsia="ro-RO"/>
        </w:rPr>
        <w:t>5</w:t>
      </w:r>
      <w:r w:rsidRPr="005403AD">
        <w:rPr>
          <w:rFonts w:asciiTheme="minorHAnsi" w:hAnsiTheme="minorHAnsi" w:cstheme="minorHAnsi"/>
          <w:sz w:val="26"/>
          <w:szCs w:val="26"/>
          <w:lang w:eastAsia="ro-RO"/>
        </w:rPr>
        <w:t xml:space="preserve"> memorii a fost criticat  modul în care este implementat sistemul de repartizare aleatorie a cauzelor. </w:t>
      </w:r>
    </w:p>
    <w:p w14:paraId="23BFA785" w14:textId="54662104" w:rsidR="00AE5495" w:rsidRPr="005403AD" w:rsidRDefault="00AE5495" w:rsidP="00F313A6">
      <w:pPr>
        <w:shd w:val="clear" w:color="auto" w:fill="FFFFFF"/>
        <w:spacing w:line="276" w:lineRule="auto"/>
        <w:ind w:right="-2" w:firstLine="709"/>
        <w:jc w:val="both"/>
        <w:rPr>
          <w:rFonts w:asciiTheme="minorHAnsi" w:hAnsiTheme="minorHAnsi" w:cstheme="minorHAnsi"/>
          <w:sz w:val="26"/>
          <w:szCs w:val="26"/>
          <w:lang w:eastAsia="ro-RO"/>
        </w:rPr>
      </w:pPr>
      <w:r w:rsidRPr="005403AD">
        <w:rPr>
          <w:rFonts w:asciiTheme="minorHAnsi" w:hAnsiTheme="minorHAnsi" w:cstheme="minorHAnsi"/>
          <w:sz w:val="26"/>
          <w:szCs w:val="26"/>
          <w:lang w:eastAsia="ro-RO"/>
        </w:rPr>
        <w:t>Într-un număr de 1</w:t>
      </w:r>
      <w:r w:rsidR="00174FE2">
        <w:rPr>
          <w:rFonts w:asciiTheme="minorHAnsi" w:hAnsiTheme="minorHAnsi" w:cstheme="minorHAnsi"/>
          <w:sz w:val="26"/>
          <w:szCs w:val="26"/>
          <w:lang w:eastAsia="ro-RO"/>
        </w:rPr>
        <w:t>4</w:t>
      </w:r>
      <w:r w:rsidRPr="005403AD">
        <w:rPr>
          <w:rFonts w:asciiTheme="minorHAnsi" w:hAnsiTheme="minorHAnsi" w:cstheme="minorHAnsi"/>
          <w:sz w:val="26"/>
          <w:szCs w:val="26"/>
          <w:lang w:eastAsia="ro-RO"/>
        </w:rPr>
        <w:t xml:space="preserve"> memorii era criticat comportamentul unor magistraţi, în </w:t>
      </w:r>
      <w:r w:rsidR="00174FE2">
        <w:rPr>
          <w:rFonts w:asciiTheme="minorHAnsi" w:hAnsiTheme="minorHAnsi" w:cstheme="minorHAnsi"/>
          <w:sz w:val="26"/>
          <w:szCs w:val="26"/>
          <w:lang w:eastAsia="ro-RO"/>
        </w:rPr>
        <w:t>9</w:t>
      </w:r>
      <w:r w:rsidRPr="005403AD">
        <w:rPr>
          <w:rFonts w:asciiTheme="minorHAnsi" w:hAnsiTheme="minorHAnsi" w:cstheme="minorHAnsi"/>
          <w:sz w:val="26"/>
          <w:szCs w:val="26"/>
          <w:lang w:eastAsia="ro-RO"/>
        </w:rPr>
        <w:t xml:space="preserve"> memorii era criticat managementul defectuos al unor instanţe şi parchete şi în </w:t>
      </w:r>
      <w:r w:rsidR="00174FE2">
        <w:rPr>
          <w:rFonts w:asciiTheme="minorHAnsi" w:hAnsiTheme="minorHAnsi" w:cstheme="minorHAnsi"/>
          <w:sz w:val="26"/>
          <w:szCs w:val="26"/>
          <w:lang w:eastAsia="ro-RO"/>
        </w:rPr>
        <w:t>7</w:t>
      </w:r>
      <w:r w:rsidRPr="005403AD">
        <w:rPr>
          <w:rFonts w:asciiTheme="minorHAnsi" w:hAnsiTheme="minorHAnsi" w:cstheme="minorHAnsi"/>
          <w:sz w:val="26"/>
          <w:szCs w:val="26"/>
          <w:lang w:eastAsia="ro-RO"/>
        </w:rPr>
        <w:t xml:space="preserve"> memorii se făcea referire la nelegala compunere a completului de judecată.</w:t>
      </w:r>
    </w:p>
    <w:p w14:paraId="0A8A50EB" w14:textId="386B957A" w:rsidR="00AE5495" w:rsidRPr="005403AD" w:rsidRDefault="00AE5495" w:rsidP="00F313A6">
      <w:pPr>
        <w:shd w:val="clear" w:color="auto" w:fill="FFFFFF"/>
        <w:spacing w:line="276" w:lineRule="auto"/>
        <w:ind w:right="-2" w:firstLine="709"/>
        <w:jc w:val="both"/>
        <w:rPr>
          <w:rFonts w:asciiTheme="minorHAnsi" w:hAnsiTheme="minorHAnsi" w:cstheme="minorHAnsi"/>
          <w:sz w:val="26"/>
          <w:szCs w:val="26"/>
          <w:lang w:eastAsia="ro-RO"/>
        </w:rPr>
      </w:pPr>
      <w:r w:rsidRPr="005403AD">
        <w:rPr>
          <w:rFonts w:asciiTheme="minorHAnsi" w:hAnsiTheme="minorHAnsi" w:cstheme="minorHAnsi"/>
          <w:sz w:val="26"/>
          <w:szCs w:val="26"/>
          <w:lang w:eastAsia="ro-RO"/>
        </w:rPr>
        <w:t>Menţionăm şi faptul că un număr de 1</w:t>
      </w:r>
      <w:r w:rsidR="00174FE2">
        <w:rPr>
          <w:rFonts w:asciiTheme="minorHAnsi" w:hAnsiTheme="minorHAnsi" w:cstheme="minorHAnsi"/>
          <w:sz w:val="26"/>
          <w:szCs w:val="26"/>
          <w:lang w:eastAsia="ro-RO"/>
        </w:rPr>
        <w:t>6</w:t>
      </w:r>
      <w:r w:rsidRPr="005403AD">
        <w:rPr>
          <w:rFonts w:asciiTheme="minorHAnsi" w:hAnsiTheme="minorHAnsi" w:cstheme="minorHAnsi"/>
          <w:sz w:val="26"/>
          <w:szCs w:val="26"/>
          <w:lang w:eastAsia="ro-RO"/>
        </w:rPr>
        <w:t xml:space="preserve"> petiţii au cuprins cereri de acordare de audienţe, iar 2</w:t>
      </w:r>
      <w:r w:rsidR="00045F5D" w:rsidRPr="005403AD">
        <w:rPr>
          <w:rFonts w:asciiTheme="minorHAnsi" w:hAnsiTheme="minorHAnsi" w:cstheme="minorHAnsi"/>
          <w:sz w:val="26"/>
          <w:szCs w:val="26"/>
          <w:lang w:eastAsia="ro-RO"/>
        </w:rPr>
        <w:t>4</w:t>
      </w:r>
      <w:r w:rsidRPr="005403AD">
        <w:rPr>
          <w:rFonts w:asciiTheme="minorHAnsi" w:hAnsiTheme="minorHAnsi" w:cstheme="minorHAnsi"/>
          <w:sz w:val="26"/>
          <w:szCs w:val="26"/>
          <w:lang w:eastAsia="ro-RO"/>
        </w:rPr>
        <w:t xml:space="preserve"> de petiţii au cuprins nemulţumiri privind activitatea avocaţilor, notarilor, executorilor judecătoreşti, experţilor, personalului auxiliar din instanţe şi parchete, organelor de poliţie, acestea din urmă fiind redirecţionate spre competentă soluţionare altor autorităţi sau instituţii publice, cu informarea petenţilor despre măsura dispusă.</w:t>
      </w:r>
    </w:p>
    <w:p w14:paraId="774EF24D" w14:textId="4468E598" w:rsidR="00AE5495" w:rsidRPr="004A72CD" w:rsidRDefault="00AE5495" w:rsidP="00F313A6">
      <w:pPr>
        <w:spacing w:line="276" w:lineRule="auto"/>
        <w:ind w:right="-2" w:firstLine="709"/>
        <w:jc w:val="both"/>
        <w:rPr>
          <w:rFonts w:asciiTheme="minorHAnsi" w:hAnsiTheme="minorHAnsi" w:cstheme="minorHAnsi"/>
          <w:color w:val="000000"/>
          <w:sz w:val="26"/>
          <w:szCs w:val="26"/>
        </w:rPr>
      </w:pPr>
      <w:r w:rsidRPr="005403AD">
        <w:rPr>
          <w:rFonts w:asciiTheme="minorHAnsi" w:hAnsiTheme="minorHAnsi" w:cstheme="minorHAnsi"/>
          <w:sz w:val="26"/>
          <w:szCs w:val="26"/>
        </w:rPr>
        <w:t xml:space="preserve">A fost remarcat şi faptul că un număr de </w:t>
      </w:r>
      <w:r w:rsidR="00174FE2">
        <w:rPr>
          <w:rFonts w:asciiTheme="minorHAnsi" w:hAnsiTheme="minorHAnsi" w:cstheme="minorHAnsi"/>
          <w:sz w:val="26"/>
          <w:szCs w:val="26"/>
        </w:rPr>
        <w:t>31</w:t>
      </w:r>
      <w:r w:rsidRPr="005403AD">
        <w:rPr>
          <w:rFonts w:asciiTheme="minorHAnsi" w:hAnsiTheme="minorHAnsi" w:cstheme="minorHAnsi"/>
          <w:sz w:val="26"/>
          <w:szCs w:val="26"/>
        </w:rPr>
        <w:t xml:space="preserve"> de memorii </w:t>
      </w:r>
      <w:r w:rsidRPr="004A72CD">
        <w:rPr>
          <w:rFonts w:asciiTheme="minorHAnsi" w:hAnsiTheme="minorHAnsi" w:cstheme="minorHAnsi"/>
          <w:sz w:val="26"/>
          <w:szCs w:val="26"/>
        </w:rPr>
        <w:t>au cuprins solicitări de acordare de consultanţă juridică, deşi</w:t>
      </w:r>
      <w:r w:rsidR="005E03DC">
        <w:rPr>
          <w:rFonts w:asciiTheme="minorHAnsi" w:hAnsiTheme="minorHAnsi" w:cstheme="minorHAnsi"/>
          <w:sz w:val="26"/>
          <w:szCs w:val="26"/>
        </w:rPr>
        <w:t>,</w:t>
      </w:r>
      <w:r w:rsidRPr="004A72CD">
        <w:rPr>
          <w:rFonts w:asciiTheme="minorHAnsi" w:hAnsiTheme="minorHAnsi" w:cstheme="minorHAnsi"/>
          <w:sz w:val="26"/>
          <w:szCs w:val="26"/>
        </w:rPr>
        <w:t xml:space="preserve"> potrivit legislaţiei române, respectiv Legea nr. 51</w:t>
      </w:r>
      <w:r w:rsidRPr="004A72CD">
        <w:rPr>
          <w:rFonts w:asciiTheme="minorHAnsi" w:hAnsiTheme="minorHAnsi" w:cstheme="minorHAnsi"/>
          <w:color w:val="000000"/>
          <w:sz w:val="26"/>
          <w:szCs w:val="26"/>
        </w:rPr>
        <w:t xml:space="preserve">/1995 </w:t>
      </w:r>
      <w:r w:rsidRPr="004A72CD">
        <w:rPr>
          <w:rFonts w:asciiTheme="minorHAnsi" w:hAnsiTheme="minorHAnsi" w:cstheme="minorHAnsi"/>
          <w:sz w:val="26"/>
          <w:szCs w:val="26"/>
          <w:lang w:eastAsia="ro-RO"/>
        </w:rPr>
        <w:t>pentru organizarea şi exercitarea profesiei de avocat</w:t>
      </w:r>
      <w:r w:rsidRPr="004A72CD">
        <w:rPr>
          <w:rFonts w:asciiTheme="minorHAnsi" w:hAnsiTheme="minorHAnsi" w:cstheme="minorHAnsi"/>
          <w:color w:val="000000"/>
          <w:sz w:val="26"/>
          <w:szCs w:val="26"/>
        </w:rPr>
        <w:t>, activităţile referitoare la redactarea de cereri, reprezentarea în faţa instanţelor şi parchetelor sau acordarea de consultanţă juridică se exercită de către avocaţi.</w:t>
      </w:r>
    </w:p>
    <w:p w14:paraId="2AB27740"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color w:val="000000"/>
          <w:sz w:val="26"/>
          <w:szCs w:val="26"/>
        </w:rPr>
        <w:t xml:space="preserve">O atenţie deosebită s-a acordat îmbunătăţirii calităţii răspunsurilor comunicate petiţionarilor, urmărindu-se ca acestea să corespundă punctual solicitărilor formulate şi, în acelaşi timp, să constituie un îndrumar pentru petiţionari, aspect de natură să contribuie la o percepere cât mai corectă a competenţelor Consiliului Superior al Magistraturii şi a faptului că, </w:t>
      </w:r>
      <w:r w:rsidRPr="004A72CD">
        <w:rPr>
          <w:rFonts w:asciiTheme="minorHAnsi" w:hAnsiTheme="minorHAnsi" w:cstheme="minorHAnsi"/>
          <w:sz w:val="26"/>
          <w:szCs w:val="26"/>
        </w:rPr>
        <w:t>în orice situaţie, instituţia este ţinută a veghea asupra respectării principiilor care guvernează activitatea magistraţilor.</w:t>
      </w:r>
    </w:p>
    <w:p w14:paraId="1B958EB8" w14:textId="4748B52B" w:rsidR="00AE5495" w:rsidRPr="005403A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color w:val="000000"/>
          <w:sz w:val="26"/>
          <w:szCs w:val="26"/>
        </w:rPr>
        <w:t>Cu privire la activitatea de acordare a audienţelor, este de menţionat că, pe parcursul acestei perioade, a fost acordat de personalul de specialitate juridică din cadrul Serviciului relaţii cu publicul</w:t>
      </w:r>
      <w:r w:rsidRPr="005403AD">
        <w:rPr>
          <w:rFonts w:asciiTheme="minorHAnsi" w:hAnsiTheme="minorHAnsi" w:cstheme="minorHAnsi"/>
          <w:sz w:val="26"/>
          <w:szCs w:val="26"/>
        </w:rPr>
        <w:t xml:space="preserve">, registratură şi arhivă, un număr de </w:t>
      </w:r>
      <w:r w:rsidR="004D1A67">
        <w:rPr>
          <w:rFonts w:asciiTheme="minorHAnsi" w:hAnsiTheme="minorHAnsi" w:cstheme="minorHAnsi"/>
          <w:sz w:val="26"/>
          <w:szCs w:val="26"/>
        </w:rPr>
        <w:t>218</w:t>
      </w:r>
      <w:r w:rsidRPr="005403AD">
        <w:rPr>
          <w:rFonts w:asciiTheme="minorHAnsi" w:hAnsiTheme="minorHAnsi" w:cstheme="minorHAnsi"/>
          <w:sz w:val="26"/>
          <w:szCs w:val="26"/>
        </w:rPr>
        <w:t xml:space="preserve"> de audienţe.</w:t>
      </w:r>
    </w:p>
    <w:p w14:paraId="5390F2B9" w14:textId="77777777" w:rsidR="00AE5495" w:rsidRPr="004A72CD" w:rsidRDefault="00AE5495" w:rsidP="00F313A6">
      <w:pPr>
        <w:spacing w:line="276" w:lineRule="auto"/>
        <w:ind w:right="-2" w:firstLine="709"/>
        <w:jc w:val="both"/>
        <w:rPr>
          <w:rFonts w:asciiTheme="minorHAnsi" w:hAnsiTheme="minorHAnsi" w:cstheme="minorHAnsi"/>
          <w:color w:val="000000"/>
          <w:sz w:val="26"/>
          <w:szCs w:val="26"/>
        </w:rPr>
      </w:pPr>
      <w:r w:rsidRPr="004A72CD">
        <w:rPr>
          <w:rFonts w:asciiTheme="minorHAnsi" w:hAnsiTheme="minorHAnsi" w:cstheme="minorHAnsi"/>
          <w:color w:val="000000"/>
          <w:sz w:val="26"/>
          <w:szCs w:val="26"/>
        </w:rPr>
        <w:t>Considerând că audienţele reprezintă un mijloc esenţial de dialog cu cetăţenii, precum şi modalitatea cea mai rapidă prin care se pot identifica atât problemele acestora, cât şi deficienţele sistemului judiciar, Serviciul relaţii cu publicul, registratură şi arhivă a acordat o atenţie sporită organizării audienţelor, iar personalul ce a acordat audienţe s-a aplecat cu atenţie asupra problemelor semnalate de petenţi.</w:t>
      </w:r>
    </w:p>
    <w:p w14:paraId="7ABC80CA" w14:textId="77777777" w:rsidR="00AE5495" w:rsidRPr="004A72CD" w:rsidRDefault="00AE5495" w:rsidP="00F313A6">
      <w:pPr>
        <w:spacing w:line="276" w:lineRule="auto"/>
        <w:ind w:right="-2" w:firstLine="709"/>
        <w:jc w:val="both"/>
        <w:rPr>
          <w:rFonts w:asciiTheme="minorHAnsi" w:hAnsiTheme="minorHAnsi" w:cstheme="minorHAnsi"/>
          <w:color w:val="FF0000"/>
          <w:sz w:val="26"/>
          <w:szCs w:val="26"/>
        </w:rPr>
      </w:pPr>
      <w:r w:rsidRPr="004A72CD">
        <w:rPr>
          <w:rFonts w:asciiTheme="minorHAnsi" w:hAnsiTheme="minorHAnsi" w:cstheme="minorHAnsi"/>
          <w:sz w:val="26"/>
          <w:szCs w:val="26"/>
        </w:rPr>
        <w:t>Î</w:t>
      </w:r>
      <w:r w:rsidRPr="004A72CD">
        <w:rPr>
          <w:rFonts w:asciiTheme="minorHAnsi" w:hAnsiTheme="minorHAnsi" w:cstheme="minorHAnsi"/>
          <w:color w:val="000000"/>
          <w:sz w:val="26"/>
          <w:szCs w:val="26"/>
        </w:rPr>
        <w:t xml:space="preserve">ntr-un număr mare de cazuri, persoanele care au solicitat audienţă au criticat hotărârile judecătoreşti dispuse de instanţe sau soluţiile procurorilor, precum şi durata mare a proceselor. În aceste situaţii, discuţiile s-au </w:t>
      </w:r>
      <w:r w:rsidRPr="004A72CD">
        <w:rPr>
          <w:rFonts w:asciiTheme="minorHAnsi" w:hAnsiTheme="minorHAnsi" w:cstheme="minorHAnsi"/>
          <w:sz w:val="26"/>
          <w:szCs w:val="26"/>
        </w:rPr>
        <w:t xml:space="preserve">centrat </w:t>
      </w:r>
      <w:r w:rsidRPr="004A72CD">
        <w:rPr>
          <w:rFonts w:asciiTheme="minorHAnsi" w:hAnsiTheme="minorHAnsi" w:cstheme="minorHAnsi"/>
          <w:color w:val="000000"/>
          <w:sz w:val="26"/>
          <w:szCs w:val="26"/>
        </w:rPr>
        <w:t>pe aducerea la cunoştinţă a faptului că, potrivit atribuţiilor prevăzute de Regulament, Consiliul Superior al Magistraturii nu se poate pronunţa asupra hotărârilor judecătoreşti ori soluţiilor procurorilor, neputând interpreta considerentele pe care magistraţii şi-au fundamentat motivarea ori soluţia dispusă, accentuându-se faptul că singurele în măsură să aprecieze asupra legalităţii şi temeiniciei hotărârilor judecătoreşti sunt instanţele ierarhic superioare, în cadrul căilor de atac prevăzute de lege.</w:t>
      </w:r>
      <w:r w:rsidRPr="004A72CD">
        <w:rPr>
          <w:rFonts w:asciiTheme="minorHAnsi" w:hAnsiTheme="minorHAnsi" w:cstheme="minorHAnsi"/>
          <w:color w:val="FF0000"/>
          <w:sz w:val="26"/>
          <w:szCs w:val="26"/>
        </w:rPr>
        <w:t xml:space="preserve"> </w:t>
      </w:r>
    </w:p>
    <w:p w14:paraId="2CA5C091" w14:textId="77777777" w:rsidR="00AE5495" w:rsidRPr="004A72CD" w:rsidRDefault="00AE5495" w:rsidP="00F313A6">
      <w:pPr>
        <w:spacing w:line="276" w:lineRule="auto"/>
        <w:ind w:right="-2" w:firstLine="709"/>
        <w:jc w:val="both"/>
        <w:rPr>
          <w:rFonts w:asciiTheme="minorHAnsi" w:hAnsiTheme="minorHAnsi" w:cstheme="minorHAnsi"/>
          <w:color w:val="000000"/>
          <w:sz w:val="26"/>
          <w:szCs w:val="26"/>
        </w:rPr>
      </w:pPr>
      <w:r w:rsidRPr="004A72CD">
        <w:rPr>
          <w:rFonts w:asciiTheme="minorHAnsi" w:hAnsiTheme="minorHAnsi" w:cstheme="minorHAnsi"/>
          <w:color w:val="000000"/>
          <w:sz w:val="26"/>
          <w:szCs w:val="26"/>
        </w:rPr>
        <w:t xml:space="preserve">Rigurozitatea în analiza problemelor semnalate de petiţionari, colaborarea activă cu celelalte departamente ale aparatului tehnic din cadrul Consiliului Superior al Magistraturii, precum şi cu alte instituţii din sistemul judiciar şi din afara acestuia, în vederea soluţionării în </w:t>
      </w:r>
      <w:r w:rsidRPr="004A72CD">
        <w:rPr>
          <w:rFonts w:asciiTheme="minorHAnsi" w:hAnsiTheme="minorHAnsi" w:cstheme="minorHAnsi"/>
          <w:color w:val="000000"/>
          <w:sz w:val="26"/>
          <w:szCs w:val="26"/>
        </w:rPr>
        <w:lastRenderedPageBreak/>
        <w:t xml:space="preserve">termen rezonabil şi în mod punctual a solicitărilor petiţionarilor, au contribuit la o mai bună percepţie a justiţiabililor asupra rolului Consiliului în angrenajul autorităţilor publice şi la o imagine corectă asupra sistemului judiciar şi activităţii magistraţilor.  </w:t>
      </w:r>
    </w:p>
    <w:p w14:paraId="6DD945D4" w14:textId="77777777" w:rsidR="00AE5495" w:rsidRPr="004A72CD" w:rsidRDefault="00AE5495" w:rsidP="00F313A6">
      <w:pPr>
        <w:spacing w:line="276" w:lineRule="auto"/>
        <w:ind w:right="-2" w:firstLine="709"/>
        <w:jc w:val="both"/>
        <w:rPr>
          <w:rFonts w:asciiTheme="minorHAnsi" w:hAnsiTheme="minorHAnsi" w:cstheme="minorHAnsi"/>
          <w:color w:val="000000"/>
          <w:sz w:val="26"/>
          <w:szCs w:val="26"/>
        </w:rPr>
      </w:pPr>
      <w:r w:rsidRPr="004A72CD">
        <w:rPr>
          <w:rFonts w:asciiTheme="minorHAnsi" w:hAnsiTheme="minorHAnsi" w:cstheme="minorHAnsi"/>
          <w:color w:val="000000"/>
          <w:sz w:val="26"/>
          <w:szCs w:val="26"/>
        </w:rPr>
        <w:t>Pentru a răspunde nevoii de concizie şi promptitudine, deziderate ce aparţin, în egală măsură, petiţionarului şi instituţiei publice, au fost puse la dispoziţia persoanelor interesate, formularul de petiţie şi g</w:t>
      </w:r>
      <w:r w:rsidRPr="004A72CD">
        <w:rPr>
          <w:rFonts w:asciiTheme="minorHAnsi" w:hAnsiTheme="minorHAnsi" w:cstheme="minorHAnsi"/>
          <w:bCs/>
          <w:color w:val="000000"/>
          <w:sz w:val="26"/>
          <w:szCs w:val="26"/>
        </w:rPr>
        <w:t>hidul petiţionarului</w:t>
      </w:r>
      <w:r w:rsidRPr="004A72CD">
        <w:rPr>
          <w:rFonts w:asciiTheme="minorHAnsi" w:hAnsiTheme="minorHAnsi" w:cstheme="minorHAnsi"/>
          <w:color w:val="000000"/>
          <w:sz w:val="26"/>
          <w:szCs w:val="26"/>
        </w:rPr>
        <w:t>, publicate pe pagina de internet a Consiliului Superior al Magistraturii</w:t>
      </w:r>
      <w:r w:rsidRPr="004A72CD">
        <w:rPr>
          <w:rFonts w:asciiTheme="minorHAnsi" w:hAnsiTheme="minorHAnsi" w:cstheme="minorHAnsi"/>
          <w:bCs/>
          <w:color w:val="000000"/>
          <w:sz w:val="26"/>
          <w:szCs w:val="26"/>
        </w:rPr>
        <w:t>, care sprijină justiţiabilul în a înţelege cu mai multă precizie competenţele Consiliului</w:t>
      </w:r>
      <w:r w:rsidRPr="004A72CD">
        <w:rPr>
          <w:rFonts w:asciiTheme="minorHAnsi" w:hAnsiTheme="minorHAnsi" w:cstheme="minorHAnsi"/>
          <w:color w:val="000000"/>
          <w:sz w:val="26"/>
          <w:szCs w:val="26"/>
        </w:rPr>
        <w:t xml:space="preserve"> Superior al Magistraturii</w:t>
      </w:r>
      <w:r w:rsidRPr="004A72CD">
        <w:rPr>
          <w:rFonts w:asciiTheme="minorHAnsi" w:hAnsiTheme="minorHAnsi" w:cstheme="minorHAnsi"/>
          <w:bCs/>
          <w:color w:val="000000"/>
          <w:sz w:val="26"/>
          <w:szCs w:val="26"/>
        </w:rPr>
        <w:t>.</w:t>
      </w:r>
    </w:p>
    <w:p w14:paraId="4358B6F9" w14:textId="77777777" w:rsidR="00AE5495" w:rsidRPr="004A72CD" w:rsidRDefault="00AE5495" w:rsidP="00F313A6">
      <w:pPr>
        <w:spacing w:line="276" w:lineRule="auto"/>
        <w:ind w:right="-2" w:firstLine="709"/>
        <w:jc w:val="both"/>
        <w:rPr>
          <w:rFonts w:asciiTheme="minorHAnsi" w:hAnsiTheme="minorHAnsi" w:cstheme="minorHAnsi"/>
          <w:color w:val="000000"/>
          <w:sz w:val="26"/>
          <w:szCs w:val="26"/>
        </w:rPr>
      </w:pPr>
      <w:r w:rsidRPr="004A72CD">
        <w:rPr>
          <w:rFonts w:asciiTheme="minorHAnsi" w:hAnsiTheme="minorHAnsi" w:cstheme="minorHAnsi"/>
          <w:color w:val="000000"/>
          <w:sz w:val="26"/>
          <w:szCs w:val="26"/>
        </w:rPr>
        <w:t>Serviciul relaţii cu publicul, registratură şi arhivă a urmărit permanent, atât în activitatea de soluţionare a petiţiilor, cât şi în cursul audienţelor acordate, să furnizeze informaţii complete, sistematice asupra competenţelor Consiliului Superior al Magistraturii, asupra demersurilor efectuate de acesta, în vederea îmbunătăţirii activităţii instanţelor şi parchetelor, considerând că o bună cunoaştere a rolului şi acţiunii Consiliului Superior al Magistraturii va permite o apreciere obiectivă a modului în care problemele personale pot fi soluţionate în mod optim de către această instituţie.</w:t>
      </w:r>
    </w:p>
    <w:p w14:paraId="3D704A18" w14:textId="77777777" w:rsidR="00AE5495" w:rsidRPr="004A72CD" w:rsidRDefault="00AE5495" w:rsidP="00F313A6">
      <w:pPr>
        <w:spacing w:line="276" w:lineRule="auto"/>
        <w:ind w:right="-2" w:firstLine="709"/>
        <w:jc w:val="both"/>
        <w:rPr>
          <w:rFonts w:asciiTheme="minorHAnsi" w:hAnsiTheme="minorHAnsi" w:cstheme="minorHAnsi"/>
          <w:b/>
          <w:bCs/>
          <w:color w:val="000000"/>
          <w:sz w:val="26"/>
          <w:szCs w:val="26"/>
        </w:rPr>
      </w:pPr>
      <w:r w:rsidRPr="004A72CD">
        <w:rPr>
          <w:rFonts w:asciiTheme="minorHAnsi" w:hAnsiTheme="minorHAnsi" w:cstheme="minorHAnsi"/>
          <w:b/>
          <w:bCs/>
          <w:color w:val="000000"/>
          <w:sz w:val="26"/>
          <w:szCs w:val="26"/>
        </w:rPr>
        <w:t>Activitatea de registratură și arhivă</w:t>
      </w:r>
    </w:p>
    <w:p w14:paraId="17D75A2E" w14:textId="13D1477E" w:rsidR="00AE5495" w:rsidRPr="005403AD" w:rsidRDefault="00AE5495" w:rsidP="00F313A6">
      <w:pPr>
        <w:spacing w:line="276" w:lineRule="auto"/>
        <w:ind w:right="-2" w:firstLine="709"/>
        <w:jc w:val="both"/>
        <w:rPr>
          <w:rFonts w:asciiTheme="minorHAnsi" w:hAnsiTheme="minorHAnsi" w:cstheme="minorHAnsi"/>
          <w:bCs/>
          <w:iCs/>
          <w:sz w:val="26"/>
          <w:szCs w:val="26"/>
        </w:rPr>
      </w:pPr>
      <w:r w:rsidRPr="005403AD">
        <w:rPr>
          <w:rFonts w:asciiTheme="minorHAnsi" w:hAnsiTheme="minorHAnsi" w:cstheme="minorHAnsi"/>
          <w:bCs/>
          <w:iCs/>
          <w:sz w:val="26"/>
          <w:szCs w:val="26"/>
        </w:rPr>
        <w:t>În perioada analizată, registratura Consiliului Superior al Magistraturii</w:t>
      </w:r>
      <w:r w:rsidRPr="005403AD">
        <w:rPr>
          <w:rFonts w:asciiTheme="minorHAnsi" w:hAnsiTheme="minorHAnsi" w:cstheme="minorHAnsi"/>
          <w:b/>
          <w:bCs/>
          <w:i/>
          <w:iCs/>
          <w:sz w:val="26"/>
          <w:szCs w:val="26"/>
        </w:rPr>
        <w:t xml:space="preserve"> </w:t>
      </w:r>
      <w:r w:rsidRPr="005403AD">
        <w:rPr>
          <w:rFonts w:asciiTheme="minorHAnsi" w:hAnsiTheme="minorHAnsi" w:cstheme="minorHAnsi"/>
          <w:bCs/>
          <w:iCs/>
          <w:sz w:val="26"/>
          <w:szCs w:val="26"/>
        </w:rPr>
        <w:t xml:space="preserve">a înregistrat şi repartizat către direcţiile şi serviciile competente un număr de </w:t>
      </w:r>
      <w:r w:rsidR="004D1A67">
        <w:rPr>
          <w:rFonts w:asciiTheme="minorHAnsi" w:hAnsiTheme="minorHAnsi" w:cstheme="minorHAnsi"/>
          <w:bCs/>
          <w:iCs/>
          <w:sz w:val="26"/>
          <w:szCs w:val="26"/>
        </w:rPr>
        <w:t>9122</w:t>
      </w:r>
      <w:r w:rsidRPr="005403AD">
        <w:rPr>
          <w:rFonts w:asciiTheme="minorHAnsi" w:hAnsiTheme="minorHAnsi" w:cstheme="minorHAnsi"/>
          <w:bCs/>
          <w:iCs/>
          <w:sz w:val="26"/>
          <w:szCs w:val="26"/>
        </w:rPr>
        <w:t xml:space="preserve"> de lucrări. </w:t>
      </w:r>
    </w:p>
    <w:p w14:paraId="3BAB59EC" w14:textId="4AC015F8" w:rsidR="00AE5495" w:rsidRPr="005403AD" w:rsidRDefault="00AE5495" w:rsidP="00F313A6">
      <w:pPr>
        <w:spacing w:line="276" w:lineRule="auto"/>
        <w:ind w:right="-2" w:firstLine="709"/>
        <w:jc w:val="both"/>
        <w:rPr>
          <w:rFonts w:asciiTheme="minorHAnsi" w:hAnsiTheme="minorHAnsi" w:cstheme="minorHAnsi"/>
          <w:bCs/>
          <w:iCs/>
          <w:sz w:val="26"/>
          <w:szCs w:val="26"/>
        </w:rPr>
      </w:pPr>
      <w:r w:rsidRPr="005403AD">
        <w:rPr>
          <w:rFonts w:asciiTheme="minorHAnsi" w:hAnsiTheme="minorHAnsi" w:cstheme="minorHAnsi"/>
          <w:bCs/>
          <w:iCs/>
          <w:sz w:val="26"/>
          <w:szCs w:val="26"/>
        </w:rPr>
        <w:t>Potrivit competenţelor conferite de lege, registratura a expediat</w:t>
      </w:r>
      <w:r w:rsidR="008E224E">
        <w:rPr>
          <w:rFonts w:asciiTheme="minorHAnsi" w:hAnsiTheme="minorHAnsi" w:cstheme="minorHAnsi"/>
          <w:bCs/>
          <w:iCs/>
          <w:sz w:val="26"/>
          <w:szCs w:val="26"/>
        </w:rPr>
        <w:t>,</w:t>
      </w:r>
      <w:r w:rsidRPr="005403AD">
        <w:rPr>
          <w:rFonts w:asciiTheme="minorHAnsi" w:hAnsiTheme="minorHAnsi" w:cstheme="minorHAnsi"/>
          <w:bCs/>
          <w:iCs/>
          <w:sz w:val="26"/>
          <w:szCs w:val="26"/>
        </w:rPr>
        <w:t xml:space="preserve"> prin Poşta Romană şi prin Poşta Militară</w:t>
      </w:r>
      <w:r w:rsidR="008E224E">
        <w:rPr>
          <w:rFonts w:asciiTheme="minorHAnsi" w:hAnsiTheme="minorHAnsi" w:cstheme="minorHAnsi"/>
          <w:bCs/>
          <w:iCs/>
          <w:sz w:val="26"/>
          <w:szCs w:val="26"/>
        </w:rPr>
        <w:t>,</w:t>
      </w:r>
      <w:r w:rsidRPr="005403AD">
        <w:rPr>
          <w:rFonts w:asciiTheme="minorHAnsi" w:hAnsiTheme="minorHAnsi" w:cstheme="minorHAnsi"/>
          <w:bCs/>
          <w:iCs/>
          <w:sz w:val="26"/>
          <w:szCs w:val="26"/>
        </w:rPr>
        <w:t xml:space="preserve"> un număr de </w:t>
      </w:r>
      <w:r w:rsidR="004D1A67">
        <w:rPr>
          <w:rFonts w:asciiTheme="minorHAnsi" w:hAnsiTheme="minorHAnsi" w:cstheme="minorHAnsi"/>
          <w:bCs/>
          <w:iCs/>
          <w:sz w:val="26"/>
          <w:szCs w:val="26"/>
        </w:rPr>
        <w:t>6609</w:t>
      </w:r>
      <w:r w:rsidRPr="005403AD">
        <w:rPr>
          <w:rFonts w:asciiTheme="minorHAnsi" w:hAnsiTheme="minorHAnsi" w:cstheme="minorHAnsi"/>
          <w:bCs/>
          <w:iCs/>
          <w:sz w:val="26"/>
          <w:szCs w:val="26"/>
        </w:rPr>
        <w:t xml:space="preserve"> lucrări. </w:t>
      </w:r>
    </w:p>
    <w:p w14:paraId="37A589F4" w14:textId="77777777" w:rsidR="00AE5495" w:rsidRPr="005403AD" w:rsidRDefault="00AE5495" w:rsidP="00F313A6">
      <w:pPr>
        <w:spacing w:line="276" w:lineRule="auto"/>
        <w:ind w:right="-2" w:firstLine="709"/>
        <w:jc w:val="both"/>
        <w:rPr>
          <w:rFonts w:asciiTheme="minorHAnsi" w:hAnsiTheme="minorHAnsi" w:cstheme="minorHAnsi"/>
          <w:bCs/>
          <w:iCs/>
          <w:sz w:val="26"/>
          <w:szCs w:val="26"/>
        </w:rPr>
      </w:pPr>
      <w:r w:rsidRPr="005403AD">
        <w:rPr>
          <w:rFonts w:asciiTheme="minorHAnsi" w:hAnsiTheme="minorHAnsi" w:cstheme="minorHAnsi"/>
          <w:bCs/>
          <w:iCs/>
          <w:sz w:val="26"/>
          <w:szCs w:val="26"/>
        </w:rPr>
        <w:t xml:space="preserve">De asemenea, în perioada analizată, arhiva Consiliului Superior al Magistraturii s-a implicat în procedura de arhivare, selecţionare şi casare a documentelor aflate în depozitul instituţiei (aprox. 2000 kg), pentru care timpul de păstrare a expirat, conform Nomenclatorului arhivistic.  </w:t>
      </w:r>
    </w:p>
    <w:p w14:paraId="6CA4F91E" w14:textId="77777777" w:rsidR="00AE5495" w:rsidRPr="004A3440" w:rsidRDefault="00AE5495" w:rsidP="00C92E94">
      <w:pPr>
        <w:pStyle w:val="Heading2"/>
        <w:jc w:val="both"/>
        <w:rPr>
          <w:lang w:val="ro-RO"/>
        </w:rPr>
      </w:pPr>
      <w:bookmarkStart w:id="160" w:name="_Toc187824399"/>
      <w:bookmarkStart w:id="161" w:name="_Toc430867139"/>
      <w:r w:rsidRPr="004A3440">
        <w:rPr>
          <w:lang w:val="ro-RO"/>
        </w:rPr>
        <w:t>VI.7. Activitatea Serviciului de informare publică, relaţii cu mass-media și protecția datelor cu caracter personal</w:t>
      </w:r>
      <w:bookmarkEnd w:id="160"/>
    </w:p>
    <w:p w14:paraId="0FF5DB61" w14:textId="4378476A"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Serviciul de informare publică, relaţii cu mass-media şi protecţia datelor cu caracter personal este organizat şi funcţionează potrivit prevederilor Legii nr. 305/2022 privind Consiliul Superior al Magistraturii, cu modificările ulterioare, Legii nr. 304/2022 privind organizarea judiciară, cu modificările ulterioare, ale Legii nr. 303/2022 privind statutul judecătorilor şi procurorilor, cu modificările şi completările ulterioare, ale Regulamentul de organizare şi funcţionare a </w:t>
      </w:r>
      <w:bookmarkStart w:id="162" w:name="_Hlk181004040"/>
      <w:r w:rsidRPr="004A72CD">
        <w:rPr>
          <w:rFonts w:asciiTheme="minorHAnsi" w:hAnsiTheme="minorHAnsi" w:cstheme="minorHAnsi"/>
          <w:sz w:val="26"/>
          <w:szCs w:val="26"/>
        </w:rPr>
        <w:t>Consiliului Superior al Magistraturii</w:t>
      </w:r>
      <w:bookmarkEnd w:id="162"/>
      <w:r w:rsidRPr="004A72CD">
        <w:rPr>
          <w:rFonts w:asciiTheme="minorHAnsi" w:hAnsiTheme="minorHAnsi" w:cstheme="minorHAnsi"/>
          <w:sz w:val="26"/>
          <w:szCs w:val="26"/>
        </w:rPr>
        <w:t xml:space="preserve">, aprobat prin Hotărârea Plenului </w:t>
      </w:r>
      <w:r w:rsidR="005E481F" w:rsidRPr="004A72CD">
        <w:rPr>
          <w:rFonts w:asciiTheme="minorHAnsi" w:hAnsiTheme="minorHAnsi" w:cstheme="minorHAnsi"/>
          <w:sz w:val="26"/>
          <w:szCs w:val="26"/>
        </w:rPr>
        <w:t>Consiliului Superior al Magistraturii</w:t>
      </w:r>
      <w:r w:rsidRPr="004A72CD">
        <w:rPr>
          <w:rFonts w:asciiTheme="minorHAnsi" w:hAnsiTheme="minorHAnsi" w:cstheme="minorHAnsi"/>
          <w:sz w:val="26"/>
          <w:szCs w:val="26"/>
        </w:rPr>
        <w:t xml:space="preserve"> nr. 122/2023, ale Legii nr. 544/2001 privind liberul acces la informaţiile de interes public, cu modificările şi completările ulterioare, ale Ghidului privind relaţia dintre sistemul judiciar şi mass-media, aprobat prin Hotărârea Plenului </w:t>
      </w:r>
      <w:r w:rsidR="005E481F" w:rsidRPr="004A72CD">
        <w:rPr>
          <w:rFonts w:asciiTheme="minorHAnsi" w:hAnsiTheme="minorHAnsi" w:cstheme="minorHAnsi"/>
          <w:sz w:val="26"/>
          <w:szCs w:val="26"/>
        </w:rPr>
        <w:t xml:space="preserve">Consiliului Superior al Magistraturii </w:t>
      </w:r>
      <w:r w:rsidRPr="004A72CD">
        <w:rPr>
          <w:rFonts w:asciiTheme="minorHAnsi" w:hAnsiTheme="minorHAnsi" w:cstheme="minorHAnsi"/>
          <w:sz w:val="26"/>
          <w:szCs w:val="26"/>
        </w:rPr>
        <w:t>nr. 197/2019, precum şi ale Regulamentului (U.E.) 2016/679 privind protecţia persoanelor fizice în ceea ce priveşte prelucrarea datelor cu caracter personal şi privind libera circulaţie a acestor date şi de abrogare a Directivei 95/46/C.E. (Regulamentul general privind protecţia datelor</w:t>
      </w:r>
      <w:r w:rsidRPr="004A72CD">
        <w:rPr>
          <w:rFonts w:asciiTheme="minorHAnsi" w:hAnsiTheme="minorHAnsi" w:cstheme="minorHAnsi"/>
          <w:iCs/>
          <w:sz w:val="26"/>
          <w:szCs w:val="26"/>
          <w:bdr w:val="none" w:sz="0" w:space="0" w:color="auto" w:frame="1"/>
        </w:rPr>
        <w:t>).</w:t>
      </w:r>
    </w:p>
    <w:p w14:paraId="65EDC5DE" w14:textId="265F5AA5" w:rsidR="00AE5495" w:rsidRPr="004A72CD" w:rsidRDefault="00AE5495" w:rsidP="00F313A6">
      <w:pPr>
        <w:keepNext/>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Serviciul de informare publică, relaţii cu mass-media și protecția datelor cu caracter personal, aflat în subordinea directă a președintelui Consiliului, și-a desfășurat activitatea în anul </w:t>
      </w:r>
      <w:r w:rsidRPr="004A72CD">
        <w:rPr>
          <w:rFonts w:asciiTheme="minorHAnsi" w:hAnsiTheme="minorHAnsi" w:cstheme="minorHAnsi"/>
          <w:sz w:val="26"/>
          <w:szCs w:val="26"/>
        </w:rPr>
        <w:lastRenderedPageBreak/>
        <w:t xml:space="preserve">2024 în cadrul specific comunicării publice instituționale şi al protecţiei datelor cu caracter personal, cu respectarea dispozițiilor legale. </w:t>
      </w:r>
    </w:p>
    <w:p w14:paraId="6DCCC73D" w14:textId="760B417C" w:rsidR="00AE5495" w:rsidRPr="004A72CD" w:rsidRDefault="00AE5495" w:rsidP="00F313A6">
      <w:pPr>
        <w:keepNext/>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Având în vedere noile atribuții prevăzute de art. 104 alin. (13) și (14) din Regulamentul de organizare şi funcţionare a Consiliului Superior al Magistraturii, aprobat prin Hotărârea Plenului </w:t>
      </w:r>
      <w:r w:rsidR="005E481F" w:rsidRPr="004A72CD">
        <w:rPr>
          <w:rFonts w:asciiTheme="minorHAnsi" w:hAnsiTheme="minorHAnsi" w:cstheme="minorHAnsi"/>
          <w:sz w:val="26"/>
          <w:szCs w:val="26"/>
        </w:rPr>
        <w:t>Consiliului Superior al Magistraturii</w:t>
      </w:r>
      <w:r w:rsidRPr="004A72CD">
        <w:rPr>
          <w:rFonts w:asciiTheme="minorHAnsi" w:hAnsiTheme="minorHAnsi" w:cstheme="minorHAnsi"/>
          <w:sz w:val="26"/>
          <w:szCs w:val="26"/>
        </w:rPr>
        <w:t xml:space="preserve">  nr. 122/2023, în anul 2024, la nivelul Serviciului de informare publică, relaţii cu mass-media şi protecţia datelor cu caracter personal au fost întocmite lucrările referitoare la îndeplinirea rolului Consiliului de autoritate competentă să supravegheze operaţiunile de prelucrare a datelor cu caracter personal de către instanţele judecătoreşti în exercitarea atribuţiilor lor judiciare. </w:t>
      </w:r>
    </w:p>
    <w:p w14:paraId="64045715" w14:textId="641791B7" w:rsidR="00AE5495" w:rsidRPr="004A72CD" w:rsidRDefault="00AE5495" w:rsidP="00F313A6">
      <w:pPr>
        <w:widowControl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Totodată, având în vedere că</w:t>
      </w:r>
      <w:r w:rsidR="000B5794">
        <w:rPr>
          <w:rFonts w:asciiTheme="minorHAnsi" w:hAnsiTheme="minorHAnsi" w:cstheme="minorHAnsi"/>
          <w:sz w:val="26"/>
          <w:szCs w:val="26"/>
        </w:rPr>
        <w:t>,</w:t>
      </w:r>
      <w:r w:rsidRPr="004A72CD">
        <w:rPr>
          <w:rFonts w:asciiTheme="minorHAnsi" w:hAnsiTheme="minorHAnsi" w:cstheme="minorHAnsi"/>
          <w:sz w:val="26"/>
          <w:szCs w:val="26"/>
        </w:rPr>
        <w:t xml:space="preserve"> în cadrul Serviciului de informare publică, relaţii cu mass-media şi protecţia datelor cu caracter personal</w:t>
      </w:r>
      <w:r w:rsidR="000B5794">
        <w:rPr>
          <w:rFonts w:asciiTheme="minorHAnsi" w:hAnsiTheme="minorHAnsi" w:cstheme="minorHAnsi"/>
          <w:sz w:val="26"/>
          <w:szCs w:val="26"/>
        </w:rPr>
        <w:t>,</w:t>
      </w:r>
      <w:r w:rsidRPr="004A72CD">
        <w:rPr>
          <w:rFonts w:asciiTheme="minorHAnsi" w:hAnsiTheme="minorHAnsi" w:cstheme="minorHAnsi"/>
          <w:sz w:val="26"/>
          <w:szCs w:val="26"/>
        </w:rPr>
        <w:t xml:space="preserve"> funcţionează şi </w:t>
      </w:r>
      <w:bookmarkStart w:id="163" w:name="_Hlk180745624"/>
      <w:r w:rsidRPr="004A72CD">
        <w:rPr>
          <w:rFonts w:asciiTheme="minorHAnsi" w:hAnsiTheme="minorHAnsi" w:cstheme="minorHAnsi"/>
          <w:sz w:val="26"/>
          <w:szCs w:val="26"/>
        </w:rPr>
        <w:t>responsabilul cu protecţia datelor la nivelul Consiliului</w:t>
      </w:r>
      <w:bookmarkEnd w:id="163"/>
      <w:r w:rsidRPr="004A72CD">
        <w:rPr>
          <w:rFonts w:asciiTheme="minorHAnsi" w:hAnsiTheme="minorHAnsi" w:cstheme="minorHAnsi"/>
          <w:sz w:val="26"/>
          <w:szCs w:val="26"/>
        </w:rPr>
        <w:t>, care îndeplinește atribuţiile prevăzute la art. 38 - 39 din Regulamentul general privind protecţia datelor, precum şi orice alte atribuţii stabilite de conducerea Consiliului, la nivelul serviciului au fost întocmite și lucrările aferente  acestor atribuții.</w:t>
      </w:r>
    </w:p>
    <w:p w14:paraId="158DBE70"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Din perspectiva atribuțiilor de informare publică și relaţii cu mass-media, obiectivul activităților derulate în cadrul S.I.P.R.M.M.P.D.C.P. a fost îmbunătățirea imaginii publice a Consiliului Superior al Magistraturii și a sistemului judiciar în ansamblul său, prin creșterea gradului de transparență a acestora în scopul unei informări publice corecte și complete, a corelării cu nevoile de informare contemporane ale publicului și, implicit, prin creșterea gradului de încredere a cetățeanului în sistemul de justiție.</w:t>
      </w:r>
    </w:p>
    <w:p w14:paraId="79CF8130"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Aceste deziderate au impus și în cursul anului 2024 îmbunătățirea tehnicilor de comunicare atât în interiorul, cât și în exteriorul sistemului din perspectiva accesului la informațiile de interes public, astfel cum este reglementat prin Legea nr. 544/2001 privind liberul acces la informațiile de interes public.</w:t>
      </w:r>
    </w:p>
    <w:p w14:paraId="289BF89D"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După intrarea în vigoare a </w:t>
      </w:r>
      <w:bookmarkStart w:id="164" w:name="_Hlk180573700"/>
      <w:r w:rsidRPr="004A72CD">
        <w:rPr>
          <w:rFonts w:asciiTheme="minorHAnsi" w:hAnsiTheme="minorHAnsi" w:cstheme="minorHAnsi"/>
          <w:sz w:val="26"/>
          <w:szCs w:val="26"/>
        </w:rPr>
        <w:t xml:space="preserve">Regulamentului nr. 679/2016 privind protecția persoanelor fizice în ceea ce privește prelucrarea datelor cu caracter personal şi privind libera circulație a acestor date şi de abrogare a Directivei 95/46/CE, adoptat de către Parlamentul European şi Consiliul Uniunii Europene la data de 25 mai 2018 (G.D.P.R.), </w:t>
      </w:r>
      <w:bookmarkEnd w:id="164"/>
      <w:r w:rsidRPr="004A72CD">
        <w:rPr>
          <w:rFonts w:asciiTheme="minorHAnsi" w:hAnsiTheme="minorHAnsi" w:cstheme="minorHAnsi"/>
          <w:sz w:val="26"/>
          <w:szCs w:val="26"/>
        </w:rPr>
        <w:t>analiza solicitărilor adresate serviciului a devenit complexă din perspectiva documentării suplimentare pentru a fi asigurată corelarea dintre practica administrativă anterioară a Consiliului, cu noile dispoziții care urmăresc protejarea datelor personale și interesul public al cetățeanului, interes public afirmat constant și fără nicio distincție (date confidențiale - date publice) de către reprezentanții mass media în demersurile și solicitările acestora.</w:t>
      </w:r>
    </w:p>
    <w:p w14:paraId="029D615A"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Și în anul 2024, justiția a fost folosită constant ca temă de dezbatere publică, printr-o multitudine de canale de comunicare (emisiuni TV, presă scrisă, online, audio, video, platforma socială </w:t>
      </w:r>
      <w:r w:rsidRPr="004A72CD">
        <w:rPr>
          <w:rFonts w:asciiTheme="minorHAnsi" w:hAnsiTheme="minorHAnsi" w:cstheme="minorHAnsi"/>
          <w:iCs/>
          <w:sz w:val="26"/>
          <w:szCs w:val="26"/>
        </w:rPr>
        <w:t>Facebook</w:t>
      </w:r>
      <w:r w:rsidRPr="004A72CD">
        <w:rPr>
          <w:rFonts w:asciiTheme="minorHAnsi" w:hAnsiTheme="minorHAnsi" w:cstheme="minorHAnsi"/>
          <w:sz w:val="26"/>
          <w:szCs w:val="26"/>
        </w:rPr>
        <w:t xml:space="preserve">, pagini de internet oficiale ale unor instituții publice sau platforme politice, etc.), fiind lansate atacuri la adresa independenței justiției, precum și la adresa independenței şi reputației magistraților individual. </w:t>
      </w:r>
    </w:p>
    <w:p w14:paraId="6AAC63A7"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În acest context, una dintre prioritățile serviciului a fost identificarea situațiilor de afectare a independenței justiției, a reputației şi independenței magistraților în scopul sancționării unor astfel de atacuri, dar şi preocuparea pentru prevenirea expansiunii unor speculații şi atacuri la adresa independenței justiției şi a magistraților.</w:t>
      </w:r>
    </w:p>
    <w:p w14:paraId="7277F315" w14:textId="7B362E6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lastRenderedPageBreak/>
        <w:t xml:space="preserve">Monitorizarea atentă şi continuă a presei centrale şi locale, online, scrise, audio şi video, </w:t>
      </w:r>
      <w:r w:rsidR="0097298F">
        <w:rPr>
          <w:rFonts w:asciiTheme="minorHAnsi" w:hAnsiTheme="minorHAnsi" w:cstheme="minorHAnsi"/>
          <w:sz w:val="26"/>
          <w:szCs w:val="26"/>
        </w:rPr>
        <w:t xml:space="preserve"> </w:t>
      </w:r>
      <w:r w:rsidRPr="004A72CD">
        <w:rPr>
          <w:rFonts w:asciiTheme="minorHAnsi" w:hAnsiTheme="minorHAnsi" w:cstheme="minorHAnsi"/>
          <w:sz w:val="26"/>
          <w:szCs w:val="26"/>
        </w:rPr>
        <w:t xml:space="preserve">s-a concretizat în sesizări ale Inspecției Judiciare dispuse de conducerea Consiliului, precum și măsuri dispuse în Plenul sau Secțiile C.S.M., dar și în adoptarea unor poziții publice ferme prin publicarea unor informări sau comunicate de presă, cu respectarea cerințelor de claritate şi accesibilitate în transmiterea mesajului public. </w:t>
      </w:r>
    </w:p>
    <w:p w14:paraId="7EB54F4E"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Identificarea problemelor de interpretare şi aplicare a dispozițiilor </w:t>
      </w:r>
      <w:r w:rsidRPr="004A72CD">
        <w:rPr>
          <w:rFonts w:asciiTheme="minorHAnsi" w:hAnsiTheme="minorHAnsi" w:cstheme="minorHAnsi"/>
          <w:iCs/>
          <w:sz w:val="26"/>
          <w:szCs w:val="26"/>
        </w:rPr>
        <w:t>Ghidului</w:t>
      </w:r>
      <w:r w:rsidRPr="004A72CD">
        <w:rPr>
          <w:rFonts w:asciiTheme="minorHAnsi" w:hAnsiTheme="minorHAnsi" w:cstheme="minorHAnsi"/>
          <w:sz w:val="26"/>
          <w:szCs w:val="26"/>
        </w:rPr>
        <w:t xml:space="preserve"> de bune practici privind relația sistemului judiciar cu mass-media</w:t>
      </w:r>
      <w:r w:rsidRPr="004A72CD">
        <w:rPr>
          <w:rFonts w:asciiTheme="minorHAnsi" w:hAnsiTheme="minorHAnsi" w:cstheme="minorHAnsi"/>
          <w:i/>
          <w:iCs/>
          <w:sz w:val="26"/>
          <w:szCs w:val="26"/>
        </w:rPr>
        <w:t xml:space="preserve">, </w:t>
      </w:r>
      <w:r w:rsidRPr="004A72CD">
        <w:rPr>
          <w:rFonts w:asciiTheme="minorHAnsi" w:hAnsiTheme="minorHAnsi" w:cstheme="minorHAnsi"/>
          <w:sz w:val="26"/>
          <w:szCs w:val="26"/>
        </w:rPr>
        <w:t>fie la sesizarea purtătorilor de cuvânt din instanțe şi parchete, fie a jurnaliștilor, şi coordonarea unei interpretări cât mai unitare a acestui instrument au constituit o altă preocupare în activitatea Serviciului.</w:t>
      </w:r>
    </w:p>
    <w:p w14:paraId="0CB06C15"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Inițiate în cea mai mare parte de jurnaliști, solicitările telefonice au fost și în cursul acestui an adresate şi de justițiabilii nemulțumiți de activitatea magistraților, a Inspecției Judiciare, a Consiliului, de soluțiile pronunțate de judecători sau procurori. Furnizarea unui </w:t>
      </w:r>
      <w:r w:rsidRPr="004A72CD">
        <w:rPr>
          <w:rFonts w:asciiTheme="minorHAnsi" w:hAnsiTheme="minorHAnsi" w:cstheme="minorHAnsi"/>
          <w:iCs/>
          <w:sz w:val="26"/>
          <w:szCs w:val="26"/>
        </w:rPr>
        <w:t>feed-back</w:t>
      </w:r>
      <w:r w:rsidRPr="004A72CD">
        <w:rPr>
          <w:rFonts w:asciiTheme="minorHAnsi" w:hAnsiTheme="minorHAnsi" w:cstheme="minorHAnsi"/>
          <w:sz w:val="26"/>
          <w:szCs w:val="26"/>
        </w:rPr>
        <w:t xml:space="preserve"> prompt jurnaliștilor şi altor persoane sau organizații interesate a fost un element suplimentar de îmbunătățire a imaginii instituției şi chiar de prevenire a lansării în spațiul public a unor informații nereale sau trunchiate.</w:t>
      </w:r>
    </w:p>
    <w:p w14:paraId="672F2822"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Din punct de vedere al modalităților de comunicare, ținând cont de evoluția tehnologică spectaculoasă a ultimilor ani, a fost valorificată o largă paletă a canalelor şi instrumentelor de comunicare, inclusiv platformele social media </w:t>
      </w:r>
      <w:r w:rsidRPr="004A72CD">
        <w:rPr>
          <w:rFonts w:asciiTheme="minorHAnsi" w:hAnsiTheme="minorHAnsi" w:cstheme="minorHAnsi"/>
          <w:iCs/>
          <w:sz w:val="26"/>
          <w:szCs w:val="26"/>
        </w:rPr>
        <w:t>Facebook și Linkedin</w:t>
      </w:r>
      <w:r w:rsidRPr="004A72CD">
        <w:rPr>
          <w:rFonts w:asciiTheme="minorHAnsi" w:hAnsiTheme="minorHAnsi" w:cstheme="minorHAnsi"/>
          <w:i/>
          <w:iCs/>
          <w:sz w:val="26"/>
          <w:szCs w:val="26"/>
        </w:rPr>
        <w:t xml:space="preserve">. </w:t>
      </w:r>
      <w:r w:rsidRPr="004A72CD">
        <w:rPr>
          <w:rFonts w:asciiTheme="minorHAnsi" w:hAnsiTheme="minorHAnsi" w:cstheme="minorHAnsi"/>
          <w:sz w:val="26"/>
          <w:szCs w:val="26"/>
        </w:rPr>
        <w:t>Comunicarea publică</w:t>
      </w:r>
      <w:r w:rsidRPr="004A72CD">
        <w:rPr>
          <w:rFonts w:asciiTheme="minorHAnsi" w:hAnsiTheme="minorHAnsi" w:cstheme="minorHAnsi"/>
          <w:i/>
          <w:iCs/>
          <w:sz w:val="26"/>
          <w:szCs w:val="26"/>
        </w:rPr>
        <w:t xml:space="preserve"> </w:t>
      </w:r>
      <w:r w:rsidRPr="004A72CD">
        <w:rPr>
          <w:rFonts w:asciiTheme="minorHAnsi" w:hAnsiTheme="minorHAnsi" w:cstheme="minorHAnsi"/>
          <w:sz w:val="26"/>
          <w:szCs w:val="26"/>
        </w:rPr>
        <w:t xml:space="preserve">prin platforme social media prezintă avantaje indubitabile pentru imaginea şi vizibilitatea instituției. Dincolo de rapiditatea cu care mesajele sunt difuzate şi propagate în spațiul public față de un număr mare de potențiali destinatari, aparținând tuturor categoriilor de grupuri țintă, utilizarea unor elemente de identitate vizuală face mult mai atractiv mesajul public transmis, inclusiv printre utilizatorii din segmentul tânăr al populației, care ar trebui să beneficieze din timp de educație juridică. </w:t>
      </w:r>
    </w:p>
    <w:p w14:paraId="17239DA2"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Platformele social media Facebook și Linkedin ale Consiliului Superior al Magistraturii</w:t>
      </w:r>
      <w:r w:rsidRPr="004A72CD">
        <w:rPr>
          <w:rFonts w:asciiTheme="minorHAnsi" w:hAnsiTheme="minorHAnsi" w:cstheme="minorHAnsi"/>
          <w:i/>
          <w:iCs/>
          <w:sz w:val="26"/>
          <w:szCs w:val="26"/>
        </w:rPr>
        <w:t xml:space="preserve">, </w:t>
      </w:r>
      <w:r w:rsidRPr="004A72CD">
        <w:rPr>
          <w:rFonts w:asciiTheme="minorHAnsi" w:hAnsiTheme="minorHAnsi" w:cstheme="minorHAnsi"/>
          <w:sz w:val="26"/>
          <w:szCs w:val="26"/>
        </w:rPr>
        <w:t>alături de</w:t>
      </w:r>
      <w:r w:rsidRPr="004A72CD">
        <w:rPr>
          <w:rFonts w:asciiTheme="minorHAnsi" w:hAnsiTheme="minorHAnsi" w:cstheme="minorHAnsi"/>
          <w:i/>
          <w:iCs/>
          <w:sz w:val="26"/>
          <w:szCs w:val="26"/>
        </w:rPr>
        <w:t xml:space="preserve"> </w:t>
      </w:r>
      <w:r w:rsidRPr="004A72CD">
        <w:rPr>
          <w:rFonts w:asciiTheme="minorHAnsi" w:hAnsiTheme="minorHAnsi" w:cstheme="minorHAnsi"/>
          <w:sz w:val="26"/>
          <w:szCs w:val="26"/>
        </w:rPr>
        <w:t>aplicația telefonică WhatsApp şi de instrumentele de comunicare utilizate în relația cu mass media (comunicat de presă, informare de presă), au reprezentat canale de comunicare eficiente pentru asigurarea unei vizibilități sporite a activității instituției, inclusiv în cadrul proiectelor cu finanțare externă derulate de Consiliu.</w:t>
      </w:r>
    </w:p>
    <w:p w14:paraId="4C631E4D"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Și în cursul anului 2024 materialele puse la dispoziție în cadrul Centrului de Informare de la parterul Consiliului au fost actualizate, acestea fiind utilizate şi cu ocazia Zilei Justiției și Zilei Europene a Justiției Civile pentru informarea cetățenilor. </w:t>
      </w:r>
    </w:p>
    <w:p w14:paraId="118E50A2"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În contextul evenimentelor dedicate Zilei Justiţiei, Consiliul Superior al Magistraturii a organizat pentru studenţii facultăţilor de drept din Bucureşti şi din ţară concursul de eseuri cu tema „Justiţia în era digitală”. În cadrul concursului au fost transmise 37 de eseuri de către candidaţi din cadrul facultăţilor de drept din Bucureşti, Craiova, Braşov, Sibiu, Constanţa, Galaţi, Suceava, Iaşi, Cluj Napoca şi Oradea, fiind organizată o festivitate de premiere a studenţilor câştigători, la sediul C.S.M. în cadrul căreia au fost înmânate diplome de merit studenților câștigători.</w:t>
      </w:r>
    </w:p>
    <w:p w14:paraId="1BB81678"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De asemenea, cu ocazia Zilei Justiției, precum și a Zilei Europene a Justiției Civile, sediul Consiliului a găzduit peste 200 de studenți din cadrul facultăților de drept din București, de cursanți ai Școlii Naționale de Grefieri și de auditori de justiție din cadrul Institutului Național al </w:t>
      </w:r>
      <w:r w:rsidRPr="004A72CD">
        <w:rPr>
          <w:rFonts w:asciiTheme="minorHAnsi" w:hAnsiTheme="minorHAnsi" w:cstheme="minorHAnsi"/>
          <w:sz w:val="26"/>
          <w:szCs w:val="26"/>
        </w:rPr>
        <w:lastRenderedPageBreak/>
        <w:t>Magistraturii, care au participat la activități de informare privind activitatea instituției, organizarea sistemului judiciar și tehnici de comunicare publică.</w:t>
      </w:r>
    </w:p>
    <w:p w14:paraId="0042B53E"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Ambele evenimente au fost mediatizate de Consiliu și preluate în presa centrală și locală.</w:t>
      </w:r>
    </w:p>
    <w:p w14:paraId="1A2FAF1E" w14:textId="77777777" w:rsidR="00AE5495" w:rsidRPr="004A72CD" w:rsidRDefault="00AE5495">
      <w:pPr>
        <w:numPr>
          <w:ilvl w:val="0"/>
          <w:numId w:val="18"/>
        </w:numPr>
        <w:tabs>
          <w:tab w:val="left" w:pos="1080"/>
        </w:tabs>
        <w:spacing w:line="276" w:lineRule="auto"/>
        <w:ind w:left="0" w:right="-2" w:firstLine="709"/>
        <w:contextualSpacing/>
        <w:jc w:val="both"/>
        <w:rPr>
          <w:rFonts w:asciiTheme="minorHAnsi" w:hAnsiTheme="minorHAnsi" w:cstheme="minorHAnsi"/>
          <w:b/>
          <w:bCs/>
          <w:sz w:val="26"/>
          <w:szCs w:val="26"/>
        </w:rPr>
      </w:pPr>
      <w:r w:rsidRPr="004A72CD">
        <w:rPr>
          <w:rFonts w:asciiTheme="minorHAnsi" w:hAnsiTheme="minorHAnsi" w:cstheme="minorHAnsi"/>
          <w:b/>
          <w:bCs/>
          <w:sz w:val="26"/>
          <w:szCs w:val="26"/>
        </w:rPr>
        <w:t xml:space="preserve">Volumul de activitate </w:t>
      </w:r>
    </w:p>
    <w:p w14:paraId="325DD017" w14:textId="3689DBAC" w:rsidR="00AE5495" w:rsidRPr="005403AD" w:rsidRDefault="00AE5495" w:rsidP="00F313A6">
      <w:pPr>
        <w:spacing w:line="276" w:lineRule="auto"/>
        <w:ind w:right="-2" w:firstLine="709"/>
        <w:jc w:val="both"/>
        <w:rPr>
          <w:rFonts w:asciiTheme="minorHAnsi" w:hAnsiTheme="minorHAnsi" w:cstheme="minorHAnsi"/>
          <w:sz w:val="26"/>
          <w:szCs w:val="26"/>
        </w:rPr>
      </w:pPr>
      <w:r w:rsidRPr="005403AD">
        <w:rPr>
          <w:rFonts w:asciiTheme="minorHAnsi" w:hAnsiTheme="minorHAnsi" w:cstheme="minorHAnsi"/>
          <w:sz w:val="26"/>
          <w:szCs w:val="26"/>
        </w:rPr>
        <w:t xml:space="preserve">Sub aspectul cuantificării volumului de activitate derulat de Serviciul de informare publică, relaţii cu mass-media și protecția datelor cu caracter personal în anul 2024, acesta poate fi redat după cum urmează: </w:t>
      </w:r>
    </w:p>
    <w:p w14:paraId="5404E16B" w14:textId="72C1C608" w:rsidR="00AE5495" w:rsidRPr="005403AD" w:rsidRDefault="00AE5495">
      <w:pPr>
        <w:numPr>
          <w:ilvl w:val="0"/>
          <w:numId w:val="19"/>
        </w:numPr>
        <w:tabs>
          <w:tab w:val="left" w:pos="990"/>
        </w:tabs>
        <w:spacing w:line="276" w:lineRule="auto"/>
        <w:ind w:left="0" w:right="-2" w:firstLine="709"/>
        <w:jc w:val="both"/>
        <w:rPr>
          <w:rFonts w:asciiTheme="minorHAnsi" w:hAnsiTheme="minorHAnsi" w:cstheme="minorHAnsi"/>
          <w:sz w:val="26"/>
          <w:szCs w:val="26"/>
        </w:rPr>
      </w:pPr>
      <w:r w:rsidRPr="005403AD">
        <w:rPr>
          <w:rFonts w:asciiTheme="minorHAnsi" w:hAnsiTheme="minorHAnsi" w:cstheme="minorHAnsi"/>
          <w:sz w:val="26"/>
          <w:szCs w:val="26"/>
        </w:rPr>
        <w:t>au fost emise un număr de 4</w:t>
      </w:r>
      <w:r w:rsidR="0062396B">
        <w:rPr>
          <w:rFonts w:asciiTheme="minorHAnsi" w:hAnsiTheme="minorHAnsi" w:cstheme="minorHAnsi"/>
          <w:sz w:val="26"/>
          <w:szCs w:val="26"/>
        </w:rPr>
        <w:t>5</w:t>
      </w:r>
      <w:r w:rsidRPr="005403AD">
        <w:rPr>
          <w:rFonts w:asciiTheme="minorHAnsi" w:hAnsiTheme="minorHAnsi" w:cstheme="minorHAnsi"/>
          <w:sz w:val="26"/>
          <w:szCs w:val="26"/>
        </w:rPr>
        <w:t xml:space="preserve"> de comunicări sub formă de informări de presă, comunicate de presă, precizări, mesaje;</w:t>
      </w:r>
    </w:p>
    <w:p w14:paraId="5A48BAD5" w14:textId="3900DD06" w:rsidR="00AE5495" w:rsidRPr="005403AD" w:rsidRDefault="00AE5495">
      <w:pPr>
        <w:numPr>
          <w:ilvl w:val="0"/>
          <w:numId w:val="19"/>
        </w:numPr>
        <w:tabs>
          <w:tab w:val="left" w:pos="990"/>
        </w:tabs>
        <w:spacing w:line="276" w:lineRule="auto"/>
        <w:ind w:left="0" w:right="-2" w:firstLine="709"/>
        <w:jc w:val="both"/>
        <w:rPr>
          <w:rFonts w:asciiTheme="minorHAnsi" w:hAnsiTheme="minorHAnsi" w:cstheme="minorHAnsi"/>
          <w:sz w:val="26"/>
          <w:szCs w:val="26"/>
        </w:rPr>
      </w:pPr>
      <w:r w:rsidRPr="005403AD">
        <w:rPr>
          <w:rFonts w:asciiTheme="minorHAnsi" w:hAnsiTheme="minorHAnsi" w:cstheme="minorHAnsi"/>
          <w:sz w:val="26"/>
          <w:szCs w:val="26"/>
        </w:rPr>
        <w:t xml:space="preserve">s-au înregistrat </w:t>
      </w:r>
      <w:r w:rsidR="008501A1" w:rsidRPr="005403AD">
        <w:rPr>
          <w:rFonts w:asciiTheme="minorHAnsi" w:hAnsiTheme="minorHAnsi" w:cstheme="minorHAnsi"/>
          <w:sz w:val="26"/>
          <w:szCs w:val="26"/>
        </w:rPr>
        <w:t>5</w:t>
      </w:r>
      <w:r w:rsidR="0062396B">
        <w:rPr>
          <w:rFonts w:asciiTheme="minorHAnsi" w:hAnsiTheme="minorHAnsi" w:cstheme="minorHAnsi"/>
          <w:sz w:val="26"/>
          <w:szCs w:val="26"/>
        </w:rPr>
        <w:t>72</w:t>
      </w:r>
      <w:r w:rsidRPr="005403AD">
        <w:rPr>
          <w:rFonts w:asciiTheme="minorHAnsi" w:hAnsiTheme="minorHAnsi" w:cstheme="minorHAnsi"/>
          <w:sz w:val="26"/>
          <w:szCs w:val="26"/>
        </w:rPr>
        <w:t xml:space="preserve"> de lucrări având ca obiect solicitări formulate potrivit Legii nr. 544/2001 privind liberul acces la informațiile de interes public (</w:t>
      </w:r>
      <w:r w:rsidR="008501A1" w:rsidRPr="005403AD">
        <w:rPr>
          <w:rFonts w:asciiTheme="minorHAnsi" w:hAnsiTheme="minorHAnsi" w:cstheme="minorHAnsi"/>
          <w:sz w:val="26"/>
          <w:szCs w:val="26"/>
        </w:rPr>
        <w:t>3</w:t>
      </w:r>
      <w:r w:rsidR="0062396B">
        <w:rPr>
          <w:rFonts w:asciiTheme="minorHAnsi" w:hAnsiTheme="minorHAnsi" w:cstheme="minorHAnsi"/>
          <w:sz w:val="26"/>
          <w:szCs w:val="26"/>
        </w:rPr>
        <w:t>52</w:t>
      </w:r>
      <w:r w:rsidRPr="005403AD">
        <w:rPr>
          <w:rFonts w:asciiTheme="minorHAnsi" w:hAnsiTheme="minorHAnsi" w:cstheme="minorHAnsi"/>
          <w:sz w:val="26"/>
          <w:szCs w:val="26"/>
        </w:rPr>
        <w:t xml:space="preserve"> solicitări scrise și 2</w:t>
      </w:r>
      <w:r w:rsidR="008501A1" w:rsidRPr="005403AD">
        <w:rPr>
          <w:rFonts w:asciiTheme="minorHAnsi" w:hAnsiTheme="minorHAnsi" w:cstheme="minorHAnsi"/>
          <w:sz w:val="26"/>
          <w:szCs w:val="26"/>
        </w:rPr>
        <w:t>2</w:t>
      </w:r>
      <w:r w:rsidR="0062396B">
        <w:rPr>
          <w:rFonts w:asciiTheme="minorHAnsi" w:hAnsiTheme="minorHAnsi" w:cstheme="minorHAnsi"/>
          <w:sz w:val="26"/>
          <w:szCs w:val="26"/>
        </w:rPr>
        <w:t>0</w:t>
      </w:r>
      <w:r w:rsidRPr="005403AD">
        <w:rPr>
          <w:rFonts w:asciiTheme="minorHAnsi" w:hAnsiTheme="minorHAnsi" w:cstheme="minorHAnsi"/>
          <w:sz w:val="26"/>
          <w:szCs w:val="26"/>
        </w:rPr>
        <w:t xml:space="preserve"> solicitări verbale), dintre care </w:t>
      </w:r>
      <w:r w:rsidR="008501A1" w:rsidRPr="005403AD">
        <w:rPr>
          <w:rFonts w:asciiTheme="minorHAnsi" w:hAnsiTheme="minorHAnsi" w:cstheme="minorHAnsi"/>
          <w:sz w:val="26"/>
          <w:szCs w:val="26"/>
        </w:rPr>
        <w:t>8</w:t>
      </w:r>
      <w:r w:rsidR="0062396B">
        <w:rPr>
          <w:rFonts w:asciiTheme="minorHAnsi" w:hAnsiTheme="minorHAnsi" w:cstheme="minorHAnsi"/>
          <w:sz w:val="26"/>
          <w:szCs w:val="26"/>
        </w:rPr>
        <w:t>7</w:t>
      </w:r>
      <w:r w:rsidRPr="005403AD">
        <w:rPr>
          <w:rFonts w:asciiTheme="minorHAnsi" w:hAnsiTheme="minorHAnsi" w:cstheme="minorHAnsi"/>
          <w:sz w:val="26"/>
          <w:szCs w:val="26"/>
        </w:rPr>
        <w:t xml:space="preserve"> de solicitări de informații exceptate de la liberul acces şi </w:t>
      </w:r>
      <w:r w:rsidR="008501A1" w:rsidRPr="005403AD">
        <w:rPr>
          <w:rFonts w:asciiTheme="minorHAnsi" w:hAnsiTheme="minorHAnsi" w:cstheme="minorHAnsi"/>
          <w:sz w:val="26"/>
          <w:szCs w:val="26"/>
        </w:rPr>
        <w:t>3</w:t>
      </w:r>
      <w:r w:rsidR="009F3A35">
        <w:rPr>
          <w:rFonts w:asciiTheme="minorHAnsi" w:hAnsiTheme="minorHAnsi" w:cstheme="minorHAnsi"/>
          <w:sz w:val="26"/>
          <w:szCs w:val="26"/>
        </w:rPr>
        <w:t>3</w:t>
      </w:r>
      <w:r w:rsidRPr="005403AD">
        <w:rPr>
          <w:rFonts w:asciiTheme="minorHAnsi" w:hAnsiTheme="minorHAnsi" w:cstheme="minorHAnsi"/>
          <w:sz w:val="26"/>
          <w:szCs w:val="26"/>
        </w:rPr>
        <w:t xml:space="preserve"> greșit îndreptate, acestea din urmă fiind redirecționate, potrivit art. 24 din H</w:t>
      </w:r>
      <w:r w:rsidR="00093AC6" w:rsidRPr="005403AD">
        <w:rPr>
          <w:rFonts w:asciiTheme="minorHAnsi" w:hAnsiTheme="minorHAnsi" w:cstheme="minorHAnsi"/>
          <w:sz w:val="26"/>
          <w:szCs w:val="26"/>
        </w:rPr>
        <w:t xml:space="preserve">otărârea </w:t>
      </w:r>
      <w:r w:rsidRPr="005403AD">
        <w:rPr>
          <w:rFonts w:asciiTheme="minorHAnsi" w:hAnsiTheme="minorHAnsi" w:cstheme="minorHAnsi"/>
          <w:sz w:val="26"/>
          <w:szCs w:val="26"/>
        </w:rPr>
        <w:t>G</w:t>
      </w:r>
      <w:r w:rsidR="00093AC6" w:rsidRPr="005403AD">
        <w:rPr>
          <w:rFonts w:asciiTheme="minorHAnsi" w:hAnsiTheme="minorHAnsi" w:cstheme="minorHAnsi"/>
          <w:sz w:val="26"/>
          <w:szCs w:val="26"/>
        </w:rPr>
        <w:t>uvernului</w:t>
      </w:r>
      <w:r w:rsidRPr="005403AD">
        <w:rPr>
          <w:rFonts w:asciiTheme="minorHAnsi" w:hAnsiTheme="minorHAnsi" w:cstheme="minorHAnsi"/>
          <w:sz w:val="26"/>
          <w:szCs w:val="26"/>
        </w:rPr>
        <w:t xml:space="preserve"> nr. 123/2002;</w:t>
      </w:r>
    </w:p>
    <w:p w14:paraId="33346BF9" w14:textId="77777777" w:rsidR="00AE5495" w:rsidRPr="005403AD" w:rsidRDefault="00AE5495">
      <w:pPr>
        <w:numPr>
          <w:ilvl w:val="0"/>
          <w:numId w:val="19"/>
        </w:numPr>
        <w:tabs>
          <w:tab w:val="left" w:pos="990"/>
        </w:tabs>
        <w:spacing w:line="276" w:lineRule="auto"/>
        <w:ind w:left="0" w:right="-2" w:firstLine="709"/>
        <w:jc w:val="both"/>
        <w:rPr>
          <w:rFonts w:asciiTheme="minorHAnsi" w:hAnsiTheme="minorHAnsi" w:cstheme="minorHAnsi"/>
          <w:sz w:val="26"/>
          <w:szCs w:val="26"/>
        </w:rPr>
      </w:pPr>
      <w:r w:rsidRPr="005403AD">
        <w:rPr>
          <w:rFonts w:asciiTheme="minorHAnsi" w:hAnsiTheme="minorHAnsi" w:cstheme="minorHAnsi"/>
          <w:sz w:val="26"/>
          <w:szCs w:val="26"/>
        </w:rPr>
        <w:t>au fost înregistrate la S.I.P.R.M.M.P.D.C.P. şi un număr de 27 de petiții care nu erau fundamentate pe Legea nr. 544/2001 privind liberul acces la informaţii de interes public, acestea fiind transmise Serviciului de relaţii cu publicul, registratură şi arhivă, pentru a fi soluționate potrivit atribuțiilor;</w:t>
      </w:r>
    </w:p>
    <w:p w14:paraId="7D1F0D30" w14:textId="73A696F2" w:rsidR="00AE5495" w:rsidRPr="005403AD" w:rsidRDefault="00AE5495">
      <w:pPr>
        <w:numPr>
          <w:ilvl w:val="0"/>
          <w:numId w:val="19"/>
        </w:numPr>
        <w:tabs>
          <w:tab w:val="left" w:pos="990"/>
        </w:tabs>
        <w:spacing w:line="276" w:lineRule="auto"/>
        <w:ind w:left="0" w:right="-2" w:firstLine="709"/>
        <w:jc w:val="both"/>
        <w:rPr>
          <w:rFonts w:asciiTheme="minorHAnsi" w:hAnsiTheme="minorHAnsi" w:cstheme="minorHAnsi"/>
          <w:sz w:val="26"/>
          <w:szCs w:val="26"/>
        </w:rPr>
      </w:pPr>
      <w:r w:rsidRPr="005403AD">
        <w:rPr>
          <w:rFonts w:asciiTheme="minorHAnsi" w:hAnsiTheme="minorHAnsi" w:cstheme="minorHAnsi"/>
          <w:sz w:val="26"/>
          <w:szCs w:val="26"/>
        </w:rPr>
        <w:t xml:space="preserve">funcționarea serviciului în acord cu dispozițiile legale este relevată şi de numărul relativ redus de reclamații administrative, respectiv </w:t>
      </w:r>
      <w:r w:rsidR="008501A1" w:rsidRPr="005403AD">
        <w:rPr>
          <w:rFonts w:asciiTheme="minorHAnsi" w:hAnsiTheme="minorHAnsi" w:cstheme="minorHAnsi"/>
          <w:sz w:val="26"/>
          <w:szCs w:val="26"/>
        </w:rPr>
        <w:t>5</w:t>
      </w:r>
      <w:r w:rsidRPr="005403AD">
        <w:rPr>
          <w:rFonts w:asciiTheme="minorHAnsi" w:hAnsiTheme="minorHAnsi" w:cstheme="minorHAnsi"/>
          <w:sz w:val="26"/>
          <w:szCs w:val="26"/>
        </w:rPr>
        <w:t>, toate fiind respinse;</w:t>
      </w:r>
    </w:p>
    <w:p w14:paraId="2B49F38F" w14:textId="77777777" w:rsidR="00AE5495" w:rsidRPr="005403AD" w:rsidRDefault="00AE5495">
      <w:pPr>
        <w:numPr>
          <w:ilvl w:val="0"/>
          <w:numId w:val="19"/>
        </w:numPr>
        <w:tabs>
          <w:tab w:val="left" w:pos="990"/>
        </w:tabs>
        <w:spacing w:line="276" w:lineRule="auto"/>
        <w:ind w:left="0" w:right="-2" w:firstLine="709"/>
        <w:jc w:val="both"/>
        <w:rPr>
          <w:rFonts w:asciiTheme="minorHAnsi" w:hAnsiTheme="minorHAnsi" w:cstheme="minorHAnsi"/>
          <w:sz w:val="26"/>
          <w:szCs w:val="26"/>
        </w:rPr>
      </w:pPr>
      <w:r w:rsidRPr="005403AD">
        <w:rPr>
          <w:rFonts w:asciiTheme="minorHAnsi" w:hAnsiTheme="minorHAnsi" w:cstheme="minorHAnsi"/>
          <w:sz w:val="26"/>
          <w:szCs w:val="26"/>
        </w:rPr>
        <w:t>grupul de informare cu jurnaliștii în aplicaţia telefonică WhatsApp a devenit deosebit de activ, fiind utilizat ca un canal obişnuit de transmitere a informaţiilor publice în relaţia cu mass media, iar prin intermediul acesteia au fost transmise de către purtătorul de cuvânt şi răspunsurile solicitate de către jurnalişti în forma comunicatelor de presă, a precizărilor care se impun pentru lămurirea neclarităților referitoare la activitatea Consiliului Superior al Magistraturii sau la poziţia publică a acestuia, a soluțiilor adoptate de plen sau de secţii;</w:t>
      </w:r>
    </w:p>
    <w:p w14:paraId="4F117802" w14:textId="77777777" w:rsidR="00AE5495" w:rsidRPr="004A72CD" w:rsidRDefault="00AE5495">
      <w:pPr>
        <w:numPr>
          <w:ilvl w:val="0"/>
          <w:numId w:val="19"/>
        </w:numPr>
        <w:tabs>
          <w:tab w:val="left" w:pos="990"/>
        </w:tabs>
        <w:spacing w:line="276" w:lineRule="auto"/>
        <w:ind w:left="0" w:right="-2" w:firstLine="709"/>
        <w:jc w:val="both"/>
        <w:rPr>
          <w:rFonts w:asciiTheme="minorHAnsi" w:hAnsiTheme="minorHAnsi" w:cstheme="minorHAnsi"/>
          <w:sz w:val="26"/>
          <w:szCs w:val="26"/>
        </w:rPr>
      </w:pPr>
      <w:r w:rsidRPr="004A72CD">
        <w:rPr>
          <w:rFonts w:asciiTheme="minorHAnsi" w:hAnsiTheme="minorHAnsi" w:cstheme="minorHAnsi"/>
          <w:color w:val="000000"/>
          <w:sz w:val="26"/>
          <w:szCs w:val="26"/>
        </w:rPr>
        <w:t>în vederea soluționării cu celeritate, potrivit legii, a solicitărilor de informații de interes public şi a realizării altor activități ce revin în competența compartimentului</w:t>
      </w:r>
      <w:r w:rsidRPr="004A72CD">
        <w:rPr>
          <w:rFonts w:asciiTheme="minorHAnsi" w:hAnsiTheme="minorHAnsi" w:cstheme="minorHAnsi"/>
          <w:sz w:val="26"/>
          <w:szCs w:val="26"/>
        </w:rPr>
        <w:t>, în cele mai multe situații, purtătorul de cuvânt şi ceilalți reprezentanți ai serviciului au desfășurat activități şi în afara programului normal de lucru.</w:t>
      </w:r>
    </w:p>
    <w:p w14:paraId="6C35D45E" w14:textId="70A520BE" w:rsidR="00AE5495" w:rsidRPr="005403AD" w:rsidRDefault="00AE5495" w:rsidP="00F313A6">
      <w:pPr>
        <w:tabs>
          <w:tab w:val="left" w:pos="990"/>
        </w:tabs>
        <w:spacing w:line="276" w:lineRule="auto"/>
        <w:ind w:right="-2" w:firstLine="709"/>
        <w:jc w:val="both"/>
        <w:rPr>
          <w:rFonts w:asciiTheme="minorHAnsi" w:hAnsiTheme="minorHAnsi" w:cstheme="minorHAnsi"/>
          <w:sz w:val="26"/>
          <w:szCs w:val="26"/>
        </w:rPr>
      </w:pPr>
      <w:r w:rsidRPr="005403AD">
        <w:rPr>
          <w:rFonts w:asciiTheme="minorHAnsi" w:hAnsiTheme="minorHAnsi" w:cstheme="minorHAnsi"/>
          <w:sz w:val="26"/>
          <w:szCs w:val="26"/>
        </w:rPr>
        <w:t xml:space="preserve">În ceea ce privește lucrările referitoare la datele cu caracter personal (G.D.P.R.), acestea au fost în număr de </w:t>
      </w:r>
      <w:r w:rsidR="009F3A35">
        <w:rPr>
          <w:rFonts w:asciiTheme="minorHAnsi" w:hAnsiTheme="minorHAnsi" w:cstheme="minorHAnsi"/>
          <w:sz w:val="26"/>
          <w:szCs w:val="26"/>
        </w:rPr>
        <w:t>30</w:t>
      </w:r>
      <w:r w:rsidRPr="005403AD">
        <w:rPr>
          <w:rFonts w:asciiTheme="minorHAnsi" w:hAnsiTheme="minorHAnsi" w:cstheme="minorHAnsi"/>
          <w:sz w:val="26"/>
          <w:szCs w:val="26"/>
        </w:rPr>
        <w:t>, dintre care 7 solicitări privind ștergerea datelor de pe site-ul C</w:t>
      </w:r>
      <w:r w:rsidR="007B4B33" w:rsidRPr="005403AD">
        <w:rPr>
          <w:rFonts w:asciiTheme="minorHAnsi" w:hAnsiTheme="minorHAnsi" w:cstheme="minorHAnsi"/>
          <w:sz w:val="26"/>
          <w:szCs w:val="26"/>
        </w:rPr>
        <w:t>.</w:t>
      </w:r>
      <w:r w:rsidRPr="005403AD">
        <w:rPr>
          <w:rFonts w:asciiTheme="minorHAnsi" w:hAnsiTheme="minorHAnsi" w:cstheme="minorHAnsi"/>
          <w:sz w:val="26"/>
          <w:szCs w:val="26"/>
        </w:rPr>
        <w:t>S</w:t>
      </w:r>
      <w:r w:rsidR="007B4B33" w:rsidRPr="005403AD">
        <w:rPr>
          <w:rFonts w:asciiTheme="minorHAnsi" w:hAnsiTheme="minorHAnsi" w:cstheme="minorHAnsi"/>
          <w:sz w:val="26"/>
          <w:szCs w:val="26"/>
        </w:rPr>
        <w:t>.</w:t>
      </w:r>
      <w:r w:rsidRPr="005403AD">
        <w:rPr>
          <w:rFonts w:asciiTheme="minorHAnsi" w:hAnsiTheme="minorHAnsi" w:cstheme="minorHAnsi"/>
          <w:sz w:val="26"/>
          <w:szCs w:val="26"/>
        </w:rPr>
        <w:t>M</w:t>
      </w:r>
      <w:r w:rsidR="007B4B33" w:rsidRPr="005403AD">
        <w:rPr>
          <w:rFonts w:asciiTheme="minorHAnsi" w:hAnsiTheme="minorHAnsi" w:cstheme="minorHAnsi"/>
          <w:sz w:val="26"/>
          <w:szCs w:val="26"/>
        </w:rPr>
        <w:t>.</w:t>
      </w:r>
      <w:r w:rsidRPr="005403AD">
        <w:rPr>
          <w:rFonts w:asciiTheme="minorHAnsi" w:hAnsiTheme="minorHAnsi" w:cstheme="minorHAnsi"/>
          <w:sz w:val="26"/>
          <w:szCs w:val="26"/>
        </w:rPr>
        <w:t xml:space="preserve"> și 2</w:t>
      </w:r>
      <w:r w:rsidR="00445138">
        <w:rPr>
          <w:rFonts w:asciiTheme="minorHAnsi" w:hAnsiTheme="minorHAnsi" w:cstheme="minorHAnsi"/>
          <w:sz w:val="26"/>
          <w:szCs w:val="26"/>
        </w:rPr>
        <w:t>3</w:t>
      </w:r>
      <w:r w:rsidRPr="005403AD">
        <w:rPr>
          <w:rFonts w:asciiTheme="minorHAnsi" w:hAnsiTheme="minorHAnsi" w:cstheme="minorHAnsi"/>
          <w:sz w:val="26"/>
          <w:szCs w:val="26"/>
        </w:rPr>
        <w:t xml:space="preserve"> de solicitări/plângeri adresate atât de personalul din cadrul instanțelor, cât și de justițiabili. </w:t>
      </w:r>
    </w:p>
    <w:p w14:paraId="68210CB6" w14:textId="7F6D7FF6" w:rsidR="00AE5495" w:rsidRPr="004A72CD" w:rsidRDefault="00AE5495">
      <w:pPr>
        <w:numPr>
          <w:ilvl w:val="0"/>
          <w:numId w:val="18"/>
        </w:numPr>
        <w:tabs>
          <w:tab w:val="left" w:pos="1080"/>
        </w:tabs>
        <w:spacing w:line="276" w:lineRule="auto"/>
        <w:ind w:left="0" w:right="-2" w:firstLine="709"/>
        <w:contextualSpacing/>
        <w:jc w:val="both"/>
        <w:rPr>
          <w:rFonts w:asciiTheme="minorHAnsi" w:hAnsiTheme="minorHAnsi" w:cstheme="minorHAnsi"/>
          <w:b/>
          <w:bCs/>
          <w:sz w:val="26"/>
          <w:szCs w:val="26"/>
        </w:rPr>
      </w:pPr>
      <w:r w:rsidRPr="004A72CD">
        <w:rPr>
          <w:rFonts w:asciiTheme="minorHAnsi" w:hAnsiTheme="minorHAnsi" w:cstheme="minorHAnsi"/>
          <w:b/>
          <w:bCs/>
          <w:sz w:val="26"/>
          <w:szCs w:val="26"/>
        </w:rPr>
        <w:t>Problematica vizată prin solicitările adresate S.I.P.R.M.M.P.D.C.P.</w:t>
      </w:r>
      <w:r w:rsidRPr="004A72CD">
        <w:rPr>
          <w:rFonts w:asciiTheme="minorHAnsi" w:hAnsiTheme="minorHAnsi" w:cstheme="minorHAnsi"/>
          <w:sz w:val="26"/>
          <w:szCs w:val="26"/>
        </w:rPr>
        <w:t xml:space="preserve"> </w:t>
      </w:r>
      <w:r w:rsidRPr="004A72CD">
        <w:rPr>
          <w:rFonts w:asciiTheme="minorHAnsi" w:hAnsiTheme="minorHAnsi" w:cstheme="minorHAnsi"/>
          <w:b/>
          <w:bCs/>
          <w:sz w:val="26"/>
          <w:szCs w:val="26"/>
        </w:rPr>
        <w:t>în temeiul Legii nr. 544/2001</w:t>
      </w:r>
      <w:r w:rsidR="007B4B33" w:rsidRPr="004A72CD">
        <w:rPr>
          <w:rFonts w:asciiTheme="minorHAnsi" w:hAnsiTheme="minorHAnsi" w:cstheme="minorHAnsi"/>
          <w:b/>
          <w:bCs/>
          <w:sz w:val="26"/>
          <w:szCs w:val="26"/>
        </w:rPr>
        <w:t xml:space="preserve"> privind liberul acces la informații de interes public</w:t>
      </w:r>
    </w:p>
    <w:p w14:paraId="56F197FA"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Problematica vizată de solicitanți prin cererile formulate în scris în temeiul </w:t>
      </w:r>
      <w:r w:rsidRPr="004A72CD">
        <w:rPr>
          <w:rFonts w:asciiTheme="minorHAnsi" w:hAnsiTheme="minorHAnsi" w:cstheme="minorHAnsi"/>
          <w:iCs/>
          <w:sz w:val="26"/>
          <w:szCs w:val="26"/>
        </w:rPr>
        <w:t xml:space="preserve">Legii </w:t>
      </w:r>
      <w:r w:rsidRPr="004A72CD">
        <w:rPr>
          <w:rFonts w:asciiTheme="minorHAnsi" w:hAnsiTheme="minorHAnsi" w:cstheme="minorHAnsi"/>
          <w:iCs/>
          <w:sz w:val="26"/>
          <w:szCs w:val="26"/>
        </w:rPr>
        <w:br/>
        <w:t>nr. 544/2001 privind liberul acces la informații de interes public</w:t>
      </w:r>
      <w:r w:rsidRPr="004A72CD">
        <w:rPr>
          <w:rFonts w:asciiTheme="minorHAnsi" w:hAnsiTheme="minorHAnsi" w:cstheme="minorHAnsi"/>
          <w:sz w:val="26"/>
          <w:szCs w:val="26"/>
        </w:rPr>
        <w:t xml:space="preserve"> </w:t>
      </w:r>
      <w:bookmarkStart w:id="165" w:name="_Hlk180573746"/>
      <w:r w:rsidRPr="004A72CD">
        <w:rPr>
          <w:rFonts w:asciiTheme="minorHAnsi" w:hAnsiTheme="minorHAnsi" w:cstheme="minorHAnsi"/>
          <w:sz w:val="26"/>
          <w:szCs w:val="26"/>
        </w:rPr>
        <w:t xml:space="preserve">a avut în vedere, în principal, </w:t>
      </w:r>
      <w:bookmarkEnd w:id="165"/>
      <w:r w:rsidRPr="004A72CD">
        <w:rPr>
          <w:rFonts w:asciiTheme="minorHAnsi" w:hAnsiTheme="minorHAnsi" w:cstheme="minorHAnsi"/>
          <w:sz w:val="26"/>
          <w:szCs w:val="26"/>
        </w:rPr>
        <w:t xml:space="preserve">furnizarea de informații din următoarele domenii: statistică judiciară; puncte de vedere emise de compartimentele de specialitate ale Consiliului; aspecte ale evoluției în carieră a unor judecători şi procurori (în cea mai mare măsură traseul profesional public), aspecte vizând depunerea jurământului; declarații de avere, interese, rudenie sau neapartenență ale magistraților; date referitoare la activitatea membrilor Consiliului Superior al Magistraturii; aspecte vizând răspunderea disciplinară a magistraților sau verificările efectuate de Inspecția Judiciară; </w:t>
      </w:r>
      <w:r w:rsidRPr="004A72CD">
        <w:rPr>
          <w:rFonts w:asciiTheme="minorHAnsi" w:hAnsiTheme="minorHAnsi" w:cstheme="minorHAnsi"/>
          <w:sz w:val="26"/>
          <w:szCs w:val="26"/>
        </w:rPr>
        <w:lastRenderedPageBreak/>
        <w:t>regulamentele de concurs sau de funcționare a Consiliului; lucrări înaintate de Consiliul Superior al Magistraturii către Inspecția Judiciară; participarea membrilor de drept la ședințele Secțiilor și ale Plenului; modul de soluționare a ordinii de zi alocate fiecărei ședințe - solicitări formulate înainte de publicarea pe site-ul oficial; utilizarea fondurilor bugetare sau cele alocate din finanțare externă în cadrul proiectelor derulate din fonduri europene de către Consiliu;</w:t>
      </w:r>
      <w:r w:rsidRPr="004A72CD">
        <w:rPr>
          <w:rFonts w:asciiTheme="minorHAnsi" w:hAnsiTheme="minorHAnsi" w:cstheme="minorHAnsi"/>
          <w:bCs/>
          <w:sz w:val="26"/>
          <w:szCs w:val="26"/>
        </w:rPr>
        <w:t xml:space="preserve"> </w:t>
      </w:r>
      <w:r w:rsidRPr="004A72CD">
        <w:rPr>
          <w:rFonts w:asciiTheme="minorHAnsi" w:hAnsiTheme="minorHAnsi" w:cstheme="minorHAnsi"/>
          <w:sz w:val="26"/>
          <w:szCs w:val="26"/>
        </w:rPr>
        <w:t>salarizarea magistraților; concursurile organizate de Consiliul Superior al Magistraturii; participarea magistraților la diverse forme de pregătire profesională; hotărâri adoptate de Plenul sau secţiile Consiliului; solicitări privind modul de comunicare a jurnaliștilor cu purtătorii de cuvânt ai instanțelor şi parchetelor;</w:t>
      </w:r>
      <w:r w:rsidRPr="004A72CD">
        <w:rPr>
          <w:rFonts w:asciiTheme="minorHAnsi" w:hAnsiTheme="minorHAnsi" w:cstheme="minorHAnsi"/>
          <w:bCs/>
          <w:sz w:val="26"/>
          <w:szCs w:val="26"/>
        </w:rPr>
        <w:t xml:space="preserve"> </w:t>
      </w:r>
      <w:r w:rsidRPr="004A72CD">
        <w:rPr>
          <w:rFonts w:asciiTheme="minorHAnsi" w:hAnsiTheme="minorHAnsi" w:cstheme="minorHAnsi"/>
          <w:sz w:val="26"/>
          <w:szCs w:val="26"/>
        </w:rPr>
        <w:t>rapoarte ale Inspecției Judiciare discutate în ședințele Plenului Consiliul Superior al Magistraturii; proiecte derulate de Consiliul Superior al Magistraturii.</w:t>
      </w:r>
    </w:p>
    <w:p w14:paraId="0D604750"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Persoanele care au manifestat un interes major față de activitatea Consiliului au fost jurnaliștii, persoanele fizice, iar uneori asociațiile profesionale ale magistraților și diverse asociații reprezentând societatea civilă.</w:t>
      </w:r>
    </w:p>
    <w:p w14:paraId="419C7458" w14:textId="0122B5A2" w:rsidR="00AE5495" w:rsidRPr="004A72CD" w:rsidRDefault="00AE5495" w:rsidP="00F313A6">
      <w:pPr>
        <w:shd w:val="clear" w:color="auto" w:fill="FFFFFF"/>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În solicitările telefonice</w:t>
      </w:r>
      <w:r w:rsidR="001B3240">
        <w:rPr>
          <w:rFonts w:asciiTheme="minorHAnsi" w:hAnsiTheme="minorHAnsi" w:cstheme="minorHAnsi"/>
          <w:sz w:val="26"/>
          <w:szCs w:val="26"/>
        </w:rPr>
        <w:t>,</w:t>
      </w:r>
      <w:r w:rsidRPr="004A72CD">
        <w:rPr>
          <w:rFonts w:asciiTheme="minorHAnsi" w:hAnsiTheme="minorHAnsi" w:cstheme="minorHAnsi"/>
          <w:sz w:val="26"/>
          <w:szCs w:val="26"/>
        </w:rPr>
        <w:t xml:space="preserve"> jurnaliștii au manifestat interes pentru deciziile luate în plen şi secții referitoare la avize legislative şi propuneri de modificări legislative în diverse domenii, apărarea reputației judecătorilor şi procurorilor, sancțiunile disciplinare aplicate şi detalierea situației de fapt reținute de secții în soluționarea acțiunilor disciplinare, precum și soluții dispuse în urma derulării unor proceduri penale față de magistrați. În activitatea de comunicare verbală, purtătorul de cuvânt a urmărit şi realizat informarea promptă a jurnaliștilor prin furnizarea pe loc a datelor solicitate şi a descrierii ample a modului de funcționare şi organizare a Consiliul Superior al Magistraturii şi, respectiv, al instanțelor şi parchetelor.</w:t>
      </w:r>
    </w:p>
    <w:p w14:paraId="2A283B39" w14:textId="77777777" w:rsidR="00AE5495" w:rsidRPr="004A72CD" w:rsidRDefault="00AE5495">
      <w:pPr>
        <w:keepNext/>
        <w:numPr>
          <w:ilvl w:val="0"/>
          <w:numId w:val="18"/>
        </w:numPr>
        <w:tabs>
          <w:tab w:val="left" w:pos="1080"/>
        </w:tabs>
        <w:spacing w:line="276" w:lineRule="auto"/>
        <w:ind w:left="0" w:right="-2" w:firstLine="709"/>
        <w:contextualSpacing/>
        <w:jc w:val="both"/>
        <w:rPr>
          <w:rFonts w:asciiTheme="minorHAnsi" w:hAnsiTheme="minorHAnsi" w:cstheme="minorHAnsi"/>
          <w:b/>
          <w:bCs/>
          <w:sz w:val="26"/>
          <w:szCs w:val="26"/>
        </w:rPr>
      </w:pPr>
      <w:r w:rsidRPr="004A72CD">
        <w:rPr>
          <w:rFonts w:asciiTheme="minorHAnsi" w:hAnsiTheme="minorHAnsi" w:cstheme="minorHAnsi"/>
          <w:b/>
          <w:bCs/>
          <w:sz w:val="26"/>
          <w:szCs w:val="26"/>
        </w:rPr>
        <w:t>Coordonarea rețelei purtătorilor de cuvânt şi de formare profesională în domeniul comunicării publice</w:t>
      </w:r>
    </w:p>
    <w:p w14:paraId="6474B8B8" w14:textId="77777777" w:rsidR="00AE5495" w:rsidRPr="004A72CD" w:rsidRDefault="00AE5495" w:rsidP="00F313A6">
      <w:pPr>
        <w:keepNext/>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Referitor la coordonarea rețelei purtătorilor de cuvânt şi a personalului auxiliar de la nivelul instanțelor judecătorești şi parchetelor, în virtutea atribuțiilor de coordonare şi îndrumare, purtătorul de cuvânt a acordat consultanță acestora și recomandări pentru unificarea procedurii administrative în domeniu ori de câte ori s-a solicitat ori s-a apreciat necesar.</w:t>
      </w:r>
    </w:p>
    <w:p w14:paraId="6CDF61D4" w14:textId="77777777" w:rsidR="00AE5495" w:rsidRPr="004A72CD" w:rsidRDefault="00AE5495">
      <w:pPr>
        <w:numPr>
          <w:ilvl w:val="0"/>
          <w:numId w:val="18"/>
        </w:numPr>
        <w:tabs>
          <w:tab w:val="left" w:pos="1080"/>
        </w:tabs>
        <w:spacing w:line="276" w:lineRule="auto"/>
        <w:ind w:left="0" w:right="-2" w:firstLine="709"/>
        <w:contextualSpacing/>
        <w:jc w:val="both"/>
        <w:rPr>
          <w:rFonts w:asciiTheme="minorHAnsi" w:hAnsiTheme="minorHAnsi" w:cstheme="minorHAnsi"/>
          <w:b/>
          <w:bCs/>
          <w:sz w:val="26"/>
          <w:szCs w:val="26"/>
        </w:rPr>
      </w:pPr>
      <w:r w:rsidRPr="004A72CD">
        <w:rPr>
          <w:rFonts w:asciiTheme="minorHAnsi" w:hAnsiTheme="minorHAnsi" w:cstheme="minorHAnsi"/>
          <w:b/>
          <w:bCs/>
          <w:sz w:val="26"/>
          <w:szCs w:val="26"/>
        </w:rPr>
        <w:t>Problematica vizată prin solicitările adresate S.I.P.R.M.M.P.D.C.P.</w:t>
      </w:r>
      <w:r w:rsidRPr="004A72CD">
        <w:rPr>
          <w:rFonts w:asciiTheme="minorHAnsi" w:hAnsiTheme="minorHAnsi" w:cstheme="minorHAnsi"/>
          <w:b/>
          <w:sz w:val="26"/>
          <w:szCs w:val="26"/>
        </w:rPr>
        <w:t xml:space="preserve"> referitoare la datele cu cracter personal în aplicarea G.D.P.R.</w:t>
      </w:r>
    </w:p>
    <w:p w14:paraId="50B8ECF0" w14:textId="77777777" w:rsidR="00AE5495" w:rsidRPr="004A72CD" w:rsidRDefault="00AE5495" w:rsidP="00F313A6">
      <w:pPr>
        <w:tabs>
          <w:tab w:val="left" w:pos="1080"/>
        </w:tabs>
        <w:spacing w:line="276" w:lineRule="auto"/>
        <w:ind w:right="-2" w:firstLine="709"/>
        <w:jc w:val="both"/>
        <w:rPr>
          <w:rFonts w:asciiTheme="minorHAnsi" w:hAnsiTheme="minorHAnsi" w:cstheme="minorHAnsi"/>
          <w:bCs/>
          <w:sz w:val="26"/>
          <w:szCs w:val="26"/>
        </w:rPr>
      </w:pPr>
      <w:r w:rsidRPr="004A72CD">
        <w:rPr>
          <w:rFonts w:asciiTheme="minorHAnsi" w:hAnsiTheme="minorHAnsi" w:cstheme="minorHAnsi"/>
          <w:bCs/>
          <w:sz w:val="26"/>
          <w:szCs w:val="26"/>
        </w:rPr>
        <w:t>Problematica vizată de solicitanți prin cererile formulate în temeiul</w:t>
      </w:r>
      <w:r w:rsidRPr="004A72CD">
        <w:rPr>
          <w:rFonts w:asciiTheme="minorHAnsi" w:hAnsiTheme="minorHAnsi" w:cstheme="minorHAnsi"/>
          <w:sz w:val="26"/>
          <w:szCs w:val="26"/>
        </w:rPr>
        <w:t xml:space="preserve"> </w:t>
      </w:r>
      <w:r w:rsidRPr="004A72CD">
        <w:rPr>
          <w:rFonts w:asciiTheme="minorHAnsi" w:hAnsiTheme="minorHAnsi" w:cstheme="minorHAnsi"/>
          <w:bCs/>
          <w:sz w:val="26"/>
          <w:szCs w:val="26"/>
        </w:rPr>
        <w:t>Regulamentului nr. 679/2016 privind protecția persoanelor fizice în ceea ce privește prelucrarea datelor cu caracter personal şi privind libera circulație a acestor date şi de abrogare a Directivei 95/46/CE, adoptat de către Parlamentul European şi Consiliul Uniunii Europene la data de 25 mai 2018 (G.D.P.R.),</w:t>
      </w:r>
      <w:r w:rsidRPr="004A72CD">
        <w:rPr>
          <w:rFonts w:asciiTheme="minorHAnsi" w:hAnsiTheme="minorHAnsi" w:cstheme="minorHAnsi"/>
          <w:sz w:val="26"/>
          <w:szCs w:val="26"/>
        </w:rPr>
        <w:t xml:space="preserve"> </w:t>
      </w:r>
      <w:r w:rsidRPr="004A72CD">
        <w:rPr>
          <w:rFonts w:asciiTheme="minorHAnsi" w:hAnsiTheme="minorHAnsi" w:cstheme="minorHAnsi"/>
          <w:bCs/>
          <w:sz w:val="26"/>
          <w:szCs w:val="26"/>
        </w:rPr>
        <w:t>a avut în vedere, în principal,</w:t>
      </w:r>
      <w:r w:rsidRPr="004A72CD">
        <w:rPr>
          <w:rFonts w:asciiTheme="minorHAnsi" w:hAnsiTheme="minorHAnsi" w:cstheme="minorHAnsi"/>
          <w:sz w:val="26"/>
          <w:szCs w:val="26"/>
        </w:rPr>
        <w:t xml:space="preserve"> </w:t>
      </w:r>
      <w:r w:rsidRPr="004A72CD">
        <w:rPr>
          <w:rFonts w:asciiTheme="minorHAnsi" w:hAnsiTheme="minorHAnsi" w:cstheme="minorHAnsi"/>
          <w:bCs/>
          <w:sz w:val="26"/>
          <w:szCs w:val="26"/>
        </w:rPr>
        <w:t>ștergerea datelor cu caracter personal de pe site-ul C.S.M., anonimizarea datelor pe portalul just.ro și Google ori luarea măsurilor necesare în vederea dezindexării datelor din motorul de căutare Google.</w:t>
      </w:r>
    </w:p>
    <w:p w14:paraId="616694D1" w14:textId="77777777" w:rsidR="00AE5495" w:rsidRPr="004A72CD" w:rsidRDefault="00AE5495" w:rsidP="00F313A6">
      <w:pPr>
        <w:tabs>
          <w:tab w:val="left" w:pos="1080"/>
        </w:tabs>
        <w:spacing w:line="276" w:lineRule="auto"/>
        <w:ind w:right="-2" w:firstLine="709"/>
        <w:jc w:val="both"/>
        <w:rPr>
          <w:rFonts w:asciiTheme="minorHAnsi" w:hAnsiTheme="minorHAnsi" w:cstheme="minorHAnsi"/>
          <w:bCs/>
          <w:sz w:val="26"/>
          <w:szCs w:val="26"/>
        </w:rPr>
      </w:pPr>
      <w:r w:rsidRPr="004A72CD">
        <w:rPr>
          <w:rFonts w:asciiTheme="minorHAnsi" w:hAnsiTheme="minorHAnsi" w:cstheme="minorHAnsi"/>
          <w:bCs/>
          <w:sz w:val="26"/>
          <w:szCs w:val="26"/>
        </w:rPr>
        <w:t>De asemenea, unele solicitări adresate Consiliului au vizat:</w:t>
      </w:r>
    </w:p>
    <w:p w14:paraId="376809C4" w14:textId="77777777" w:rsidR="00AE5495" w:rsidRPr="004A72CD" w:rsidRDefault="00AE5495">
      <w:pPr>
        <w:numPr>
          <w:ilvl w:val="0"/>
          <w:numId w:val="27"/>
        </w:numPr>
        <w:tabs>
          <w:tab w:val="left" w:pos="993"/>
        </w:tabs>
        <w:spacing w:line="276" w:lineRule="auto"/>
        <w:ind w:left="0" w:right="-2" w:firstLine="709"/>
        <w:contextualSpacing/>
        <w:jc w:val="both"/>
        <w:rPr>
          <w:rFonts w:asciiTheme="minorHAnsi" w:hAnsiTheme="minorHAnsi" w:cstheme="minorHAnsi"/>
          <w:bCs/>
          <w:sz w:val="26"/>
          <w:szCs w:val="26"/>
        </w:rPr>
      </w:pPr>
      <w:r w:rsidRPr="004A72CD">
        <w:rPr>
          <w:rFonts w:asciiTheme="minorHAnsi" w:hAnsiTheme="minorHAnsi" w:cstheme="minorHAnsi"/>
          <w:bCs/>
          <w:sz w:val="26"/>
          <w:szCs w:val="26"/>
        </w:rPr>
        <w:t>modul de aplicare la nivelul instanțelor judecătorești a prevederilor art. 28 din Regulamentul privind protecția datelor cu caracter personal nr. 679/2016;</w:t>
      </w:r>
    </w:p>
    <w:p w14:paraId="2D4B7700" w14:textId="77777777" w:rsidR="00AE5495" w:rsidRPr="004A72CD" w:rsidRDefault="00AE5495">
      <w:pPr>
        <w:numPr>
          <w:ilvl w:val="0"/>
          <w:numId w:val="27"/>
        </w:numPr>
        <w:tabs>
          <w:tab w:val="left" w:pos="993"/>
        </w:tabs>
        <w:spacing w:line="276" w:lineRule="auto"/>
        <w:ind w:left="0" w:right="-2" w:firstLine="709"/>
        <w:contextualSpacing/>
        <w:rPr>
          <w:rFonts w:asciiTheme="minorHAnsi" w:hAnsiTheme="minorHAnsi" w:cstheme="minorHAnsi"/>
          <w:bCs/>
          <w:sz w:val="26"/>
          <w:szCs w:val="26"/>
        </w:rPr>
      </w:pPr>
      <w:r w:rsidRPr="004A72CD">
        <w:rPr>
          <w:rFonts w:asciiTheme="minorHAnsi" w:hAnsiTheme="minorHAnsi" w:cstheme="minorHAnsi"/>
          <w:bCs/>
          <w:sz w:val="26"/>
          <w:szCs w:val="26"/>
        </w:rPr>
        <w:t>procedura de anonimizare a numelui şi prenumelui părților pe portalul instanțelor de judecată ori a obiectului sau chiar a întregului dosar;</w:t>
      </w:r>
    </w:p>
    <w:p w14:paraId="432109D3" w14:textId="13C92934" w:rsidR="00AE5495" w:rsidRPr="004A72CD" w:rsidRDefault="00AE5495">
      <w:pPr>
        <w:numPr>
          <w:ilvl w:val="0"/>
          <w:numId w:val="27"/>
        </w:numPr>
        <w:tabs>
          <w:tab w:val="left" w:pos="993"/>
        </w:tabs>
        <w:spacing w:line="276" w:lineRule="auto"/>
        <w:ind w:left="0" w:right="-2" w:firstLine="709"/>
        <w:contextualSpacing/>
        <w:jc w:val="both"/>
        <w:rPr>
          <w:rFonts w:asciiTheme="minorHAnsi" w:hAnsiTheme="minorHAnsi" w:cstheme="minorHAnsi"/>
          <w:bCs/>
          <w:sz w:val="26"/>
          <w:szCs w:val="26"/>
        </w:rPr>
      </w:pPr>
      <w:r w:rsidRPr="004A72CD">
        <w:rPr>
          <w:rFonts w:asciiTheme="minorHAnsi" w:hAnsiTheme="minorHAnsi" w:cstheme="minorHAnsi"/>
          <w:bCs/>
          <w:sz w:val="26"/>
          <w:szCs w:val="26"/>
        </w:rPr>
        <w:lastRenderedPageBreak/>
        <w:t>interpretarea Hotărârii Secţiei pentru judecători a C</w:t>
      </w:r>
      <w:r w:rsidR="00D83814" w:rsidRPr="004A72CD">
        <w:rPr>
          <w:rFonts w:asciiTheme="minorHAnsi" w:hAnsiTheme="minorHAnsi" w:cstheme="minorHAnsi"/>
          <w:bCs/>
          <w:sz w:val="26"/>
          <w:szCs w:val="26"/>
        </w:rPr>
        <w:t>onsiliului Superior al Magistraturii</w:t>
      </w:r>
      <w:r w:rsidRPr="004A72CD">
        <w:rPr>
          <w:rFonts w:asciiTheme="minorHAnsi" w:hAnsiTheme="minorHAnsi" w:cstheme="minorHAnsi"/>
          <w:bCs/>
          <w:sz w:val="26"/>
          <w:szCs w:val="26"/>
        </w:rPr>
        <w:t xml:space="preserve"> nr. 600/2021 în privinţa anonimizării numelui inculpaţilor pe portalul instanțelor de judecată în aplicarea G.D.P.R.;</w:t>
      </w:r>
    </w:p>
    <w:p w14:paraId="6582C0C9" w14:textId="77777777" w:rsidR="00AE5495" w:rsidRPr="004A72CD" w:rsidRDefault="00AE5495">
      <w:pPr>
        <w:numPr>
          <w:ilvl w:val="0"/>
          <w:numId w:val="27"/>
        </w:numPr>
        <w:tabs>
          <w:tab w:val="left" w:pos="993"/>
        </w:tabs>
        <w:spacing w:line="276" w:lineRule="auto"/>
        <w:ind w:left="0" w:right="-2" w:firstLine="709"/>
        <w:contextualSpacing/>
        <w:jc w:val="both"/>
        <w:rPr>
          <w:rFonts w:asciiTheme="minorHAnsi" w:hAnsiTheme="minorHAnsi" w:cstheme="minorHAnsi"/>
          <w:bCs/>
          <w:sz w:val="26"/>
          <w:szCs w:val="26"/>
        </w:rPr>
      </w:pPr>
      <w:r w:rsidRPr="004A72CD">
        <w:rPr>
          <w:rFonts w:asciiTheme="minorHAnsi" w:hAnsiTheme="minorHAnsi" w:cstheme="minorHAnsi"/>
          <w:bCs/>
          <w:sz w:val="26"/>
          <w:szCs w:val="26"/>
        </w:rPr>
        <w:t>aplicarea legislației în vigoare privitoare la protecția datelor cu caracter personal asupra procedurii de comunicare a citațiilor și a altor documente din dosare.</w:t>
      </w:r>
    </w:p>
    <w:p w14:paraId="5A7D8DFE" w14:textId="358470CB" w:rsidR="00AE5495" w:rsidRPr="004A72CD" w:rsidRDefault="00AE5495" w:rsidP="00F313A6">
      <w:pPr>
        <w:spacing w:line="276" w:lineRule="auto"/>
        <w:ind w:right="-2" w:firstLine="709"/>
        <w:jc w:val="both"/>
        <w:rPr>
          <w:rFonts w:asciiTheme="minorHAnsi" w:hAnsiTheme="minorHAnsi" w:cstheme="minorHAnsi"/>
          <w:sz w:val="26"/>
          <w:szCs w:val="26"/>
          <w14:shadow w14:blurRad="63500" w14:dist="50800" w14:dir="13500000" w14:sx="0" w14:sy="0" w14:kx="0" w14:ky="0" w14:algn="none">
            <w14:srgbClr w14:val="000000">
              <w14:alpha w14:val="50000"/>
            </w14:srgbClr>
          </w14:shadow>
        </w:rPr>
      </w:pP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Potrivit </w:t>
      </w:r>
      <w:r w:rsidRPr="004A72CD">
        <w:rPr>
          <w:rFonts w:asciiTheme="minorHAnsi" w:hAnsiTheme="minorHAnsi" w:cstheme="minorHAnsi"/>
          <w:bCs/>
          <w:sz w:val="26"/>
          <w:szCs w:val="26"/>
          <w14:shadow w14:blurRad="63500" w14:dist="50800" w14:dir="13500000" w14:sx="0" w14:sy="0" w14:kx="0" w14:ky="0" w14:algn="none">
            <w14:srgbClr w14:val="000000">
              <w14:alpha w14:val="50000"/>
            </w14:srgbClr>
          </w14:shadow>
        </w:rPr>
        <w:t xml:space="preserve">art. 34 alin. (2) din Legea nr. 305/2022 privind Consiliul Superior al Magistraturii, </w:t>
      </w:r>
      <w:r w:rsidRPr="004A72CD">
        <w:rPr>
          <w:rFonts w:asciiTheme="minorHAnsi" w:hAnsiTheme="minorHAnsi" w:cstheme="minorHAnsi"/>
          <w:sz w:val="26"/>
          <w:szCs w:val="26"/>
          <w14:shadow w14:blurRad="63500" w14:dist="50800" w14:dir="13500000" w14:sx="0" w14:sy="0" w14:kx="0" w14:ky="0" w14:algn="none">
            <w14:srgbClr w14:val="000000">
              <w14:alpha w14:val="50000"/>
            </w14:srgbClr>
          </w14:shadow>
        </w:rPr>
        <w:t>Consiliul este autoritate competentă pentru supravegherea operaţiunilor de prelucrare a datelor cu caracter personal de către instanţele judecătoreşti în exercitarea atribuţiilor lor judiciare.</w:t>
      </w:r>
    </w:p>
    <w:p w14:paraId="15C56A8A" w14:textId="6C8E215C" w:rsidR="00AE5495" w:rsidRPr="004A72CD" w:rsidRDefault="00AE5495" w:rsidP="00F313A6">
      <w:pPr>
        <w:spacing w:line="276" w:lineRule="auto"/>
        <w:ind w:right="-2" w:firstLine="709"/>
        <w:jc w:val="both"/>
        <w:rPr>
          <w:rFonts w:asciiTheme="minorHAnsi" w:hAnsiTheme="minorHAnsi" w:cstheme="minorHAnsi"/>
          <w:bCs/>
          <w:sz w:val="26"/>
          <w:szCs w:val="26"/>
        </w:rPr>
      </w:pPr>
      <w:r w:rsidRPr="004A72CD">
        <w:rPr>
          <w:rFonts w:asciiTheme="minorHAnsi" w:hAnsiTheme="minorHAnsi" w:cstheme="minorHAnsi"/>
          <w:sz w:val="26"/>
          <w:szCs w:val="26"/>
        </w:rPr>
        <w:t xml:space="preserve">S.I.P.R.M.M.P.D.C.P. a </w:t>
      </w:r>
      <w:r w:rsidRPr="004A72CD">
        <w:rPr>
          <w:rFonts w:asciiTheme="minorHAnsi" w:hAnsiTheme="minorHAnsi" w:cstheme="minorHAnsi"/>
          <w:bCs/>
          <w:sz w:val="26"/>
          <w:szCs w:val="26"/>
        </w:rPr>
        <w:t>analizat necesitarea elaborării unei proceduri administrative de către Consiliul Superior al Magistraturii, în calitate de autoritate de supraveghere, referitoare la aplicarea Regulamentului G</w:t>
      </w:r>
      <w:r w:rsidR="007E714F" w:rsidRPr="004A72CD">
        <w:rPr>
          <w:rFonts w:asciiTheme="minorHAnsi" w:hAnsiTheme="minorHAnsi" w:cstheme="minorHAnsi"/>
          <w:bCs/>
          <w:sz w:val="26"/>
          <w:szCs w:val="26"/>
        </w:rPr>
        <w:t>.</w:t>
      </w:r>
      <w:r w:rsidRPr="004A72CD">
        <w:rPr>
          <w:rFonts w:asciiTheme="minorHAnsi" w:hAnsiTheme="minorHAnsi" w:cstheme="minorHAnsi"/>
          <w:bCs/>
          <w:sz w:val="26"/>
          <w:szCs w:val="26"/>
        </w:rPr>
        <w:t>D</w:t>
      </w:r>
      <w:r w:rsidR="007E714F" w:rsidRPr="004A72CD">
        <w:rPr>
          <w:rFonts w:asciiTheme="minorHAnsi" w:hAnsiTheme="minorHAnsi" w:cstheme="minorHAnsi"/>
          <w:bCs/>
          <w:sz w:val="26"/>
          <w:szCs w:val="26"/>
        </w:rPr>
        <w:t>.</w:t>
      </w:r>
      <w:r w:rsidRPr="004A72CD">
        <w:rPr>
          <w:rFonts w:asciiTheme="minorHAnsi" w:hAnsiTheme="minorHAnsi" w:cstheme="minorHAnsi"/>
          <w:bCs/>
          <w:sz w:val="26"/>
          <w:szCs w:val="26"/>
        </w:rPr>
        <w:t>P</w:t>
      </w:r>
      <w:r w:rsidR="007E714F" w:rsidRPr="004A72CD">
        <w:rPr>
          <w:rFonts w:asciiTheme="minorHAnsi" w:hAnsiTheme="minorHAnsi" w:cstheme="minorHAnsi"/>
          <w:bCs/>
          <w:sz w:val="26"/>
          <w:szCs w:val="26"/>
        </w:rPr>
        <w:t>.</w:t>
      </w:r>
      <w:r w:rsidRPr="004A72CD">
        <w:rPr>
          <w:rFonts w:asciiTheme="minorHAnsi" w:hAnsiTheme="minorHAnsi" w:cstheme="minorHAnsi"/>
          <w:bCs/>
          <w:sz w:val="26"/>
          <w:szCs w:val="26"/>
        </w:rPr>
        <w:t>R</w:t>
      </w:r>
      <w:r w:rsidR="007E714F" w:rsidRPr="004A72CD">
        <w:rPr>
          <w:rFonts w:asciiTheme="minorHAnsi" w:hAnsiTheme="minorHAnsi" w:cstheme="minorHAnsi"/>
          <w:bCs/>
          <w:sz w:val="26"/>
          <w:szCs w:val="26"/>
        </w:rPr>
        <w:t>.</w:t>
      </w:r>
      <w:r w:rsidRPr="004A72CD">
        <w:rPr>
          <w:rFonts w:asciiTheme="minorHAnsi" w:hAnsiTheme="minorHAnsi" w:cstheme="minorHAnsi"/>
          <w:bCs/>
          <w:sz w:val="26"/>
          <w:szCs w:val="26"/>
        </w:rPr>
        <w:t xml:space="preserve"> de către instanțele judecătorești atunci când acestea exercită atribuțiile judiciare</w:t>
      </w:r>
      <w:r w:rsidRPr="004A72CD">
        <w:rPr>
          <w:rFonts w:asciiTheme="minorHAnsi" w:hAnsiTheme="minorHAnsi" w:cstheme="minorHAnsi"/>
          <w:sz w:val="26"/>
          <w:szCs w:val="26"/>
        </w:rPr>
        <w:t>, s</w:t>
      </w:r>
      <w:r w:rsidRPr="004A72CD">
        <w:rPr>
          <w:rFonts w:asciiTheme="minorHAnsi" w:hAnsiTheme="minorHAnsi" w:cstheme="minorHAnsi"/>
          <w:bCs/>
          <w:sz w:val="26"/>
          <w:szCs w:val="26"/>
        </w:rPr>
        <w:t xml:space="preserve">ens în care, la data de 22 februarie 2024, Comisia nr. 1 – judecători </w:t>
      </w:r>
      <w:r w:rsidR="00CA44ED" w:rsidRPr="004A72CD">
        <w:rPr>
          <w:rFonts w:asciiTheme="minorHAnsi" w:hAnsiTheme="minorHAnsi" w:cstheme="minorHAnsi"/>
          <w:bCs/>
          <w:sz w:val="26"/>
          <w:szCs w:val="26"/>
        </w:rPr>
        <w:t>„</w:t>
      </w:r>
      <w:r w:rsidRPr="004A72CD">
        <w:rPr>
          <w:rFonts w:asciiTheme="minorHAnsi" w:hAnsiTheme="minorHAnsi" w:cstheme="minorHAnsi"/>
          <w:bCs/>
          <w:sz w:val="26"/>
          <w:szCs w:val="26"/>
        </w:rPr>
        <w:t>Legislație și cooperare interinstituțională” din cadrul Consiliului Superior al Magistraturii a decis constituirea unui grup de lucru pentru elaborarea unei proceduri administrative (Cod de conduită) de către Consiliul Superior al Magistraturii, în calitate de autoritate de supraveghere, referitoare la aplicarea Regulamentului nr. 679/2016 (G</w:t>
      </w:r>
      <w:r w:rsidR="00CA44ED" w:rsidRPr="004A72CD">
        <w:rPr>
          <w:rFonts w:asciiTheme="minorHAnsi" w:hAnsiTheme="minorHAnsi" w:cstheme="minorHAnsi"/>
          <w:bCs/>
          <w:sz w:val="26"/>
          <w:szCs w:val="26"/>
        </w:rPr>
        <w:t>.</w:t>
      </w:r>
      <w:r w:rsidRPr="004A72CD">
        <w:rPr>
          <w:rFonts w:asciiTheme="minorHAnsi" w:hAnsiTheme="minorHAnsi" w:cstheme="minorHAnsi"/>
          <w:bCs/>
          <w:sz w:val="26"/>
          <w:szCs w:val="26"/>
        </w:rPr>
        <w:t>D</w:t>
      </w:r>
      <w:r w:rsidR="00CA44ED" w:rsidRPr="004A72CD">
        <w:rPr>
          <w:rFonts w:asciiTheme="minorHAnsi" w:hAnsiTheme="minorHAnsi" w:cstheme="minorHAnsi"/>
          <w:bCs/>
          <w:sz w:val="26"/>
          <w:szCs w:val="26"/>
        </w:rPr>
        <w:t>.</w:t>
      </w:r>
      <w:r w:rsidRPr="004A72CD">
        <w:rPr>
          <w:rFonts w:asciiTheme="minorHAnsi" w:hAnsiTheme="minorHAnsi" w:cstheme="minorHAnsi"/>
          <w:bCs/>
          <w:sz w:val="26"/>
          <w:szCs w:val="26"/>
        </w:rPr>
        <w:t>P</w:t>
      </w:r>
      <w:r w:rsidR="00CA44ED" w:rsidRPr="004A72CD">
        <w:rPr>
          <w:rFonts w:asciiTheme="minorHAnsi" w:hAnsiTheme="minorHAnsi" w:cstheme="minorHAnsi"/>
          <w:bCs/>
          <w:sz w:val="26"/>
          <w:szCs w:val="26"/>
        </w:rPr>
        <w:t>.</w:t>
      </w:r>
      <w:r w:rsidRPr="004A72CD">
        <w:rPr>
          <w:rFonts w:asciiTheme="minorHAnsi" w:hAnsiTheme="minorHAnsi" w:cstheme="minorHAnsi"/>
          <w:bCs/>
          <w:sz w:val="26"/>
          <w:szCs w:val="26"/>
        </w:rPr>
        <w:t>R</w:t>
      </w:r>
      <w:r w:rsidR="00CA44ED" w:rsidRPr="004A72CD">
        <w:rPr>
          <w:rFonts w:asciiTheme="minorHAnsi" w:hAnsiTheme="minorHAnsi" w:cstheme="minorHAnsi"/>
          <w:bCs/>
          <w:sz w:val="26"/>
          <w:szCs w:val="26"/>
        </w:rPr>
        <w:t>.</w:t>
      </w:r>
      <w:r w:rsidRPr="004A72CD">
        <w:rPr>
          <w:rFonts w:asciiTheme="minorHAnsi" w:hAnsiTheme="minorHAnsi" w:cstheme="minorHAnsi"/>
          <w:bCs/>
          <w:sz w:val="26"/>
          <w:szCs w:val="26"/>
        </w:rPr>
        <w:t>) de către instanțele judecătoreşti atunci când acestea exercită atribuţiile judiciare</w:t>
      </w:r>
      <w:r w:rsidR="00CA44ED" w:rsidRPr="004A72CD">
        <w:rPr>
          <w:rFonts w:asciiTheme="minorHAnsi" w:hAnsiTheme="minorHAnsi" w:cstheme="minorHAnsi"/>
          <w:bCs/>
          <w:sz w:val="26"/>
          <w:szCs w:val="26"/>
        </w:rPr>
        <w:t>.</w:t>
      </w:r>
      <w:r w:rsidRPr="004A72CD">
        <w:rPr>
          <w:rFonts w:asciiTheme="minorHAnsi" w:hAnsiTheme="minorHAnsi" w:cstheme="minorHAnsi"/>
          <w:bCs/>
          <w:sz w:val="26"/>
          <w:szCs w:val="26"/>
        </w:rPr>
        <w:t xml:space="preserve"> </w:t>
      </w:r>
    </w:p>
    <w:p w14:paraId="59DB1319" w14:textId="607E0730" w:rsidR="00AE5495" w:rsidRPr="004A72CD" w:rsidRDefault="00AE5495" w:rsidP="00F313A6">
      <w:pPr>
        <w:spacing w:line="276" w:lineRule="auto"/>
        <w:ind w:right="-2" w:firstLine="709"/>
        <w:jc w:val="both"/>
        <w:rPr>
          <w:rFonts w:asciiTheme="minorHAnsi" w:hAnsiTheme="minorHAnsi" w:cstheme="minorHAnsi"/>
          <w:bCs/>
          <w:sz w:val="26"/>
          <w:szCs w:val="26"/>
        </w:rPr>
      </w:pPr>
      <w:r w:rsidRPr="004A72CD">
        <w:rPr>
          <w:rFonts w:asciiTheme="minorHAnsi" w:hAnsiTheme="minorHAnsi" w:cstheme="minorHAnsi"/>
          <w:bCs/>
          <w:sz w:val="26"/>
          <w:szCs w:val="26"/>
        </w:rPr>
        <w:t>În contextul îndeplinirii rolului Consiliului Superior al Magistraturii de autoritate competentă pentru supravegherea operațiunilor de prelucrare a datelor cu caracter personal de către instanțele judecătorești în exercitarea atribuțiilor judiciare, în aplicarea G.D.P.R., potrivit art. 34 alin. 2 din Legea nr. 305/2022 privind Consiliul Superior al Magistraturii, S.I.P.R.M.M.P.D.C.P. a analizat incidenţa Hotărârii din data de 07 martie 2024</w:t>
      </w:r>
      <w:r w:rsidR="00471233">
        <w:rPr>
          <w:rFonts w:asciiTheme="minorHAnsi" w:hAnsiTheme="minorHAnsi" w:cstheme="minorHAnsi"/>
          <w:bCs/>
          <w:sz w:val="26"/>
          <w:szCs w:val="26"/>
        </w:rPr>
        <w:t>,</w:t>
      </w:r>
      <w:r w:rsidRPr="004A72CD">
        <w:rPr>
          <w:rFonts w:asciiTheme="minorHAnsi" w:hAnsiTheme="minorHAnsi" w:cstheme="minorHAnsi"/>
          <w:bCs/>
          <w:sz w:val="26"/>
          <w:szCs w:val="26"/>
        </w:rPr>
        <w:t xml:space="preserve"> pronunţată de Curtea de Justiţie a Uniunii Europene în cauza C-740/2022</w:t>
      </w:r>
      <w:r w:rsidR="00471233">
        <w:rPr>
          <w:rFonts w:asciiTheme="minorHAnsi" w:hAnsiTheme="minorHAnsi" w:cstheme="minorHAnsi"/>
          <w:bCs/>
          <w:sz w:val="26"/>
          <w:szCs w:val="26"/>
        </w:rPr>
        <w:t>,</w:t>
      </w:r>
      <w:r w:rsidRPr="004A72CD">
        <w:rPr>
          <w:rFonts w:asciiTheme="minorHAnsi" w:hAnsiTheme="minorHAnsi" w:cstheme="minorHAnsi"/>
          <w:bCs/>
          <w:sz w:val="26"/>
          <w:szCs w:val="26"/>
        </w:rPr>
        <w:t xml:space="preserve"> în ceea ce priveşte protecţia datelor cu caracter personal ale persoanelor fizice în exercitarea atribuţiilor judiciare de către instanţele judecătoreşti, sens în care, în urma analizării în Comisia nr. 2 Judecători – </w:t>
      </w:r>
      <w:r w:rsidR="00616998" w:rsidRPr="004A72CD">
        <w:rPr>
          <w:rFonts w:asciiTheme="minorHAnsi" w:hAnsiTheme="minorHAnsi" w:cstheme="minorHAnsi"/>
          <w:bCs/>
          <w:sz w:val="26"/>
          <w:szCs w:val="26"/>
        </w:rPr>
        <w:t>„</w:t>
      </w:r>
      <w:r w:rsidRPr="004A72CD">
        <w:rPr>
          <w:rFonts w:asciiTheme="minorHAnsi" w:hAnsiTheme="minorHAnsi" w:cstheme="minorHAnsi"/>
          <w:bCs/>
          <w:sz w:val="26"/>
          <w:szCs w:val="26"/>
        </w:rPr>
        <w:t>Resurse umane și organizare” a fost transmisă o circulară către instanțe pentru a fi diseminată și avută în vedere la soluţionarea prin Birourile de informare și relații publice a cererilor de anonimizare formulate de persoane fizice în ceea ce priveşte publicarea datelor cu caracter personal pe portalul instanţelor de judecată sau pe site-urile proprii.</w:t>
      </w:r>
    </w:p>
    <w:p w14:paraId="4478938D"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Tot în contextul îndeplinirii rolului Consiliului Superior al Magistraturii de autoritate competentă pentru supravegherea operațiunilor de prelucrare a datelor cu caracter personal de către instanțele judecătorești în exercitarea atribuțiilor judiciare, în aplicarea G.D.P.R., potrivit art. 34 alin. 2 din Legea nr. 305/2022 privind Consiliul Superior al Magistraturii, la data de 15 octombrie 2024, Consiliul a organizat un webinar la care au participat aproximativ 150 de judecători de la curți de apel, tribunale și judecătorii, şi care a urmărit, prin agenda dedicată, prezentarea sediului materiei, a jurisprudenței C.J.U.E. și C.E.D.O. în domeniu, precum și practica C.S.M. conturată până în prezent în soluționarea plângerilor cu care Consiliul a fost învestit în calitatea sa de autoritate de supraveghere.</w:t>
      </w:r>
    </w:p>
    <w:p w14:paraId="60C17085"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În acest sens, au fost transmise instanțelor în format rezumat informațiile prezentate în timpul webinar-ului, pentru ca acestea să poată fi consultate ulterior, în situația în care apare necesar în funcţie de cererile adresate instanţelor judecătoreşti de către petenţi pe cale administrativă.</w:t>
      </w:r>
    </w:p>
    <w:p w14:paraId="78069885" w14:textId="75A43488"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lastRenderedPageBreak/>
        <w:t>Tot în acest an, S.I.P.R.M.M.P.D.C.P. a transmis instanțelor spre diseminare chestionarul adoptat prin hotărârea Secției pentru judecători a C</w:t>
      </w:r>
      <w:r w:rsidR="00BE0B4E" w:rsidRPr="004A72CD">
        <w:rPr>
          <w:rFonts w:asciiTheme="minorHAnsi" w:hAnsiTheme="minorHAnsi" w:cstheme="minorHAnsi"/>
          <w:sz w:val="26"/>
          <w:szCs w:val="26"/>
        </w:rPr>
        <w:t xml:space="preserve">onsiliului </w:t>
      </w:r>
      <w:r w:rsidRPr="004A72CD">
        <w:rPr>
          <w:rFonts w:asciiTheme="minorHAnsi" w:hAnsiTheme="minorHAnsi" w:cstheme="minorHAnsi"/>
          <w:sz w:val="26"/>
          <w:szCs w:val="26"/>
        </w:rPr>
        <w:t>S</w:t>
      </w:r>
      <w:r w:rsidR="00BE0B4E" w:rsidRPr="004A72CD">
        <w:rPr>
          <w:rFonts w:asciiTheme="minorHAnsi" w:hAnsiTheme="minorHAnsi" w:cstheme="minorHAnsi"/>
          <w:sz w:val="26"/>
          <w:szCs w:val="26"/>
        </w:rPr>
        <w:t xml:space="preserve">uperior al </w:t>
      </w:r>
      <w:r w:rsidRPr="004A72CD">
        <w:rPr>
          <w:rFonts w:asciiTheme="minorHAnsi" w:hAnsiTheme="minorHAnsi" w:cstheme="minorHAnsi"/>
          <w:sz w:val="26"/>
          <w:szCs w:val="26"/>
        </w:rPr>
        <w:t>M</w:t>
      </w:r>
      <w:r w:rsidR="00BE0B4E" w:rsidRPr="004A72CD">
        <w:rPr>
          <w:rFonts w:asciiTheme="minorHAnsi" w:hAnsiTheme="minorHAnsi" w:cstheme="minorHAnsi"/>
          <w:sz w:val="26"/>
          <w:szCs w:val="26"/>
        </w:rPr>
        <w:t>agistraturii</w:t>
      </w:r>
      <w:r w:rsidRPr="004A72CD">
        <w:rPr>
          <w:rFonts w:asciiTheme="minorHAnsi" w:hAnsiTheme="minorHAnsi" w:cstheme="minorHAnsi"/>
          <w:sz w:val="26"/>
          <w:szCs w:val="26"/>
        </w:rPr>
        <w:t xml:space="preserve"> nr. 2646/16.11.2023, chestionar propus ca modalitate de evaluare a gradului de satisfacție a părților interesate în vederea atingerii indicatorului din Strategia de dezvoltare a sistemului judiciar 2022 - 2025.</w:t>
      </w:r>
    </w:p>
    <w:p w14:paraId="30163056" w14:textId="77777777" w:rsidR="00AE5495" w:rsidRPr="004A72CD" w:rsidRDefault="00AE5495" w:rsidP="00F313A6">
      <w:pPr>
        <w:keepNext/>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Prin întreaga sa activitate, Serviciul de informare publică, relaţii cu mass-media și protecția datelor cu caracter personal a reafirmat și în acest an deschiderea instituției spre dialog şi colaborare cu reprezentanții mass-media şi cu alte instituții sau persoane interesate de activitatea justiției, comunicând atât proactiv, cât și cu celeritate.</w:t>
      </w:r>
    </w:p>
    <w:p w14:paraId="5E491D32" w14:textId="77777777" w:rsidR="00AE5495" w:rsidRPr="004A72CD" w:rsidRDefault="00AE5495" w:rsidP="00F313A6">
      <w:pPr>
        <w:keepNext/>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bCs/>
          <w:sz w:val="26"/>
          <w:szCs w:val="26"/>
        </w:rPr>
        <w:t>Totodată, S.I.P.R.M.M.P.D.C.P. și-a îndeplinit noile atribuții prevăzute de alin. (13) și (14) din</w:t>
      </w:r>
      <w:r w:rsidRPr="004A72CD">
        <w:rPr>
          <w:rFonts w:asciiTheme="minorHAnsi" w:hAnsiTheme="minorHAnsi" w:cstheme="minorHAnsi"/>
          <w:sz w:val="26"/>
          <w:szCs w:val="26"/>
        </w:rPr>
        <w:t xml:space="preserve"> </w:t>
      </w:r>
      <w:r w:rsidRPr="004A72CD">
        <w:rPr>
          <w:rFonts w:asciiTheme="minorHAnsi" w:hAnsiTheme="minorHAnsi" w:cstheme="minorHAnsi"/>
          <w:bCs/>
          <w:sz w:val="26"/>
          <w:szCs w:val="26"/>
        </w:rPr>
        <w:t>Regulamentul de organizare şi funcţionare a Consiliului Superior al Magistraturii, aprobat prin Hotărârea Plenului Consiliului nr. 122/2023, cu modificările şi completările ulterioare.</w:t>
      </w:r>
    </w:p>
    <w:p w14:paraId="35F1EBB8"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În concluzie, se poate afirma că, în ansamblu, deși activitatea de comunicare publică este întotdeauna perfectibilă, nu au existat sincope în comunicarea dintre reprezentanții mass-media şi reprezentanții S.I.P.R.M.M.P.D.C.P., această activitate fiind derulată în contextul dispozițiilor legale incidente, dar și ale prevederilor Ghidului de bune practici privind relația sistemului judiciar cu mass-media și ale Legii nr. 544/2001 privind liberul acces la informații de interes public și ale </w:t>
      </w:r>
      <w:r w:rsidRPr="004A72CD">
        <w:rPr>
          <w:rFonts w:asciiTheme="minorHAnsi" w:hAnsiTheme="minorHAnsi" w:cstheme="minorHAnsi"/>
          <w:bCs/>
          <w:sz w:val="26"/>
          <w:szCs w:val="26"/>
        </w:rPr>
        <w:t>Regulamentului nr. 679/2016 privind protecția persoanelor fizice în ceea ce privește prelucrarea datelor cu caracter personal şi privind libera circulație a acestor date şi de abrogare a Directivei 95/46/C.E., adoptat de către Parlamentul European şi Consiliul Uniunii Europene la data de 25 mai 2018</w:t>
      </w:r>
      <w:r w:rsidRPr="004A72CD">
        <w:rPr>
          <w:rFonts w:asciiTheme="minorHAnsi" w:hAnsiTheme="minorHAnsi" w:cstheme="minorHAnsi"/>
          <w:sz w:val="26"/>
          <w:szCs w:val="26"/>
        </w:rPr>
        <w:t>.</w:t>
      </w:r>
    </w:p>
    <w:p w14:paraId="1CECC28B" w14:textId="77777777" w:rsidR="00AE5495" w:rsidRPr="00CD3492" w:rsidRDefault="00AE5495" w:rsidP="00F313A6">
      <w:pPr>
        <w:pStyle w:val="Heading2"/>
        <w:rPr>
          <w:lang w:val="pt-PT"/>
        </w:rPr>
      </w:pPr>
      <w:bookmarkStart w:id="166" w:name="_Toc187824400"/>
      <w:r w:rsidRPr="00CD3492">
        <w:rPr>
          <w:lang w:val="pt-PT"/>
        </w:rPr>
        <w:t>VI.8. Activitatea Serviciului achiziţii publice</w:t>
      </w:r>
      <w:bookmarkEnd w:id="161"/>
      <w:r w:rsidRPr="00CD3492">
        <w:rPr>
          <w:lang w:val="pt-PT"/>
        </w:rPr>
        <w:t>, protocol și secretariat</w:t>
      </w:r>
      <w:bookmarkEnd w:id="166"/>
    </w:p>
    <w:p w14:paraId="41F01A06" w14:textId="77777777" w:rsidR="00AE5495" w:rsidRPr="004A72CD" w:rsidRDefault="00AE5495" w:rsidP="00F313A6">
      <w:pPr>
        <w:spacing w:line="276" w:lineRule="auto"/>
        <w:ind w:right="-2" w:firstLine="709"/>
        <w:jc w:val="both"/>
        <w:rPr>
          <w:rFonts w:asciiTheme="minorHAnsi" w:hAnsiTheme="minorHAnsi" w:cstheme="minorHAnsi"/>
          <w:sz w:val="26"/>
          <w:szCs w:val="26"/>
        </w:rPr>
      </w:pPr>
      <w:bookmarkStart w:id="167" w:name="_Toc430867140"/>
      <w:r w:rsidRPr="004A72CD">
        <w:rPr>
          <w:rFonts w:asciiTheme="minorHAnsi" w:hAnsiTheme="minorHAnsi" w:cstheme="minorHAnsi"/>
          <w:sz w:val="26"/>
          <w:szCs w:val="26"/>
        </w:rPr>
        <w:t>Biroul de achiziţii publice a fost înfiinţat prin</w:t>
      </w:r>
      <w:bookmarkStart w:id="168" w:name="1720848"/>
      <w:bookmarkEnd w:id="168"/>
      <w:r w:rsidRPr="004A72CD">
        <w:rPr>
          <w:rFonts w:asciiTheme="minorHAnsi" w:hAnsiTheme="minorHAnsi" w:cstheme="minorHAnsi"/>
          <w:sz w:val="26"/>
          <w:szCs w:val="26"/>
        </w:rPr>
        <w:t xml:space="preserve"> Hotărârea Plenului Consiliului Superior al Magistraturii nr. 399/2007 privind modificarea şi completarea Regulamentului de organizare şi funcţionare a Consiliului Superior al Magistraturii, publicată în Monitorul Oficial al României nr. 450/03.07.2007, şi constituie compartimentul specializat în atribuirea contractelor de achiziţii publice.</w:t>
      </w:r>
    </w:p>
    <w:p w14:paraId="3323359E" w14:textId="62A7A55A"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Atribuțiile și competențele Biroului de Achiziţii Publice și Protocol</w:t>
      </w:r>
      <w:r w:rsidRPr="004A72CD">
        <w:rPr>
          <w:rFonts w:asciiTheme="minorHAnsi" w:hAnsiTheme="minorHAnsi" w:cstheme="minorHAnsi"/>
          <w:color w:val="FF0000"/>
          <w:sz w:val="26"/>
          <w:szCs w:val="26"/>
        </w:rPr>
        <w:t xml:space="preserve"> </w:t>
      </w:r>
      <w:r w:rsidRPr="004A72CD">
        <w:rPr>
          <w:rFonts w:asciiTheme="minorHAnsi" w:hAnsiTheme="minorHAnsi" w:cstheme="minorHAnsi"/>
          <w:sz w:val="26"/>
          <w:szCs w:val="26"/>
        </w:rPr>
        <w:t xml:space="preserve">au fost prevăzute inițial în Regulamentul de organizare și functionare a Consiliului Superior al Magistraturii aprobat prin Hotararea Plenului </w:t>
      </w:r>
      <w:r w:rsidR="00BE0B4E" w:rsidRPr="004A72CD">
        <w:rPr>
          <w:rFonts w:asciiTheme="minorHAnsi" w:hAnsiTheme="minorHAnsi" w:cstheme="minorHAnsi"/>
          <w:sz w:val="26"/>
          <w:szCs w:val="26"/>
        </w:rPr>
        <w:t>Consiliului Superior al Magistraturii</w:t>
      </w:r>
      <w:r w:rsidRPr="004A72CD">
        <w:rPr>
          <w:rFonts w:asciiTheme="minorHAnsi" w:hAnsiTheme="minorHAnsi" w:cstheme="minorHAnsi"/>
          <w:sz w:val="26"/>
          <w:szCs w:val="26"/>
        </w:rPr>
        <w:t xml:space="preserve"> nr. 326/2005 și, ulterior, în Regulamentul de organizare și funcționare a Consiliului Superior al Magistraturii aprobat prin Hotararea Plenului </w:t>
      </w:r>
      <w:r w:rsidR="00BE0B4E" w:rsidRPr="004A72CD">
        <w:rPr>
          <w:rFonts w:asciiTheme="minorHAnsi" w:hAnsiTheme="minorHAnsi" w:cstheme="minorHAnsi"/>
          <w:sz w:val="26"/>
          <w:szCs w:val="26"/>
        </w:rPr>
        <w:t>Consiliului Superior al Magistraturii</w:t>
      </w:r>
      <w:r w:rsidRPr="004A72CD">
        <w:rPr>
          <w:rFonts w:asciiTheme="minorHAnsi" w:hAnsiTheme="minorHAnsi" w:cstheme="minorHAnsi"/>
          <w:sz w:val="26"/>
          <w:szCs w:val="26"/>
        </w:rPr>
        <w:t xml:space="preserve"> nr. 1073/03.12.2018, prin care a fost abrogată Hotararea Plenului </w:t>
      </w:r>
      <w:r w:rsidR="00BE0B4E" w:rsidRPr="004A72CD">
        <w:rPr>
          <w:rFonts w:asciiTheme="minorHAnsi" w:hAnsiTheme="minorHAnsi" w:cstheme="minorHAnsi"/>
          <w:sz w:val="26"/>
          <w:szCs w:val="26"/>
        </w:rPr>
        <w:t>Consiliului Superior al Magistraturii</w:t>
      </w:r>
      <w:r w:rsidRPr="004A72CD">
        <w:rPr>
          <w:rFonts w:asciiTheme="minorHAnsi" w:hAnsiTheme="minorHAnsi" w:cstheme="minorHAnsi"/>
          <w:sz w:val="26"/>
          <w:szCs w:val="26"/>
        </w:rPr>
        <w:t xml:space="preserve"> nr. 326/2005.</w:t>
      </w:r>
    </w:p>
    <w:p w14:paraId="68CCB547" w14:textId="100E04A3"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Prin Hotărârea Plenului Consiliului Superior al Magistraturii nr. 1108/2013, Biroul de achiziţii publice a fost transformat în Compartiment de achiziţii publice, iar începand cu luna iulie 2015 a redevenit Birou. Prin Hotărârea Plenului Consiliului Superior al Magistraturii nr. 136/18.06.2024, Biroul de achiziţii publice și protocol a fost transformat în Serviciu și a primit atribuții de asigurare a secr</w:t>
      </w:r>
      <w:r w:rsidR="002B6BA8" w:rsidRPr="004A72CD">
        <w:rPr>
          <w:rFonts w:asciiTheme="minorHAnsi" w:hAnsiTheme="minorHAnsi" w:cstheme="minorHAnsi"/>
          <w:sz w:val="26"/>
          <w:szCs w:val="26"/>
        </w:rPr>
        <w:t>et</w:t>
      </w:r>
      <w:r w:rsidRPr="004A72CD">
        <w:rPr>
          <w:rFonts w:asciiTheme="minorHAnsi" w:hAnsiTheme="minorHAnsi" w:cstheme="minorHAnsi"/>
          <w:sz w:val="26"/>
          <w:szCs w:val="26"/>
        </w:rPr>
        <w:t>ariatului la nivelul instituției.</w:t>
      </w:r>
    </w:p>
    <w:p w14:paraId="10535E8E"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Serviciul funcţionează în subordinea ordonatorului principal de credite, derulând procedurile de achiziţie publică reglementate de actele normative în domeniu. </w:t>
      </w:r>
    </w:p>
    <w:p w14:paraId="695F276E"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lastRenderedPageBreak/>
        <w:t>Prin activitatea Serviciului s-au asigurat toate condiţiile în vederea bunei derulări a contractelor în vigoare şi  pentru încheierea unor noi contracte în conformitate cu solicitările compartimentelor ce funcţionează la nivelul instituţiei.</w:t>
      </w:r>
    </w:p>
    <w:p w14:paraId="0278897F"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Serviciul de achiziţii publice, protocol și secretariat desfăşoară o activitate de sinteză şi previziune în ceea ce priveşte solicitările compartimentelor de specialitate, întocmind Programul Anual al Achizițiilor Publice pe anul 2024, în condiţiile impuse de Legea nr. 98/2016 </w:t>
      </w:r>
      <w:r w:rsidRPr="004A72CD">
        <w:rPr>
          <w:rFonts w:asciiTheme="minorHAnsi" w:hAnsiTheme="minorHAnsi" w:cstheme="minorHAnsi"/>
          <w:sz w:val="26"/>
          <w:szCs w:val="26"/>
          <w:lang w:eastAsia="ro-RO"/>
        </w:rPr>
        <w:t>privind achiziţiile publice modificată și Legea bugetului de stat</w:t>
      </w:r>
      <w:r w:rsidRPr="004A72CD">
        <w:rPr>
          <w:rFonts w:asciiTheme="minorHAnsi" w:hAnsiTheme="minorHAnsi" w:cstheme="minorHAnsi"/>
          <w:sz w:val="26"/>
          <w:szCs w:val="26"/>
        </w:rPr>
        <w:t>.</w:t>
      </w:r>
    </w:p>
    <w:p w14:paraId="653F7B24" w14:textId="3C6CADAF" w:rsidR="00AE5495" w:rsidRPr="005403AD" w:rsidRDefault="00AE5495" w:rsidP="00F313A6">
      <w:pPr>
        <w:shd w:val="clear" w:color="auto" w:fill="FFFFFF"/>
        <w:spacing w:line="276" w:lineRule="auto"/>
        <w:ind w:right="-2" w:firstLine="709"/>
        <w:jc w:val="both"/>
        <w:rPr>
          <w:rFonts w:asciiTheme="minorHAnsi" w:hAnsiTheme="minorHAnsi" w:cstheme="minorHAnsi"/>
          <w:sz w:val="26"/>
          <w:szCs w:val="26"/>
          <w:lang w:eastAsia="ro-RO"/>
        </w:rPr>
      </w:pPr>
      <w:r w:rsidRPr="005403AD">
        <w:rPr>
          <w:rFonts w:asciiTheme="minorHAnsi" w:hAnsiTheme="minorHAnsi" w:cstheme="minorHAnsi"/>
          <w:sz w:val="26"/>
          <w:szCs w:val="26"/>
          <w:lang w:eastAsia="ro-RO"/>
        </w:rPr>
        <w:t xml:space="preserve">În mod concret, în anul 2024, Serviciul de achiziţii publice, protocol și secretariat a soluționat un număr de peste </w:t>
      </w:r>
      <w:r w:rsidR="001B7A11">
        <w:rPr>
          <w:rFonts w:asciiTheme="minorHAnsi" w:hAnsiTheme="minorHAnsi" w:cstheme="minorHAnsi"/>
          <w:sz w:val="26"/>
          <w:szCs w:val="26"/>
          <w:lang w:eastAsia="ro-RO"/>
        </w:rPr>
        <w:t>308</w:t>
      </w:r>
      <w:r w:rsidRPr="005403AD">
        <w:rPr>
          <w:rFonts w:asciiTheme="minorHAnsi" w:hAnsiTheme="minorHAnsi" w:cstheme="minorHAnsi"/>
          <w:sz w:val="26"/>
          <w:szCs w:val="26"/>
          <w:lang w:eastAsia="ro-RO"/>
        </w:rPr>
        <w:t xml:space="preserve"> de solicitări (referate de necesitate pentru achiziții directe și proceduri de atribuire, precum și alte tipuri de solicitări) de la departamentele din cadrul Consiliului, fiind încheiate un număr de peste 1</w:t>
      </w:r>
      <w:r w:rsidR="001B7A11">
        <w:rPr>
          <w:rFonts w:asciiTheme="minorHAnsi" w:hAnsiTheme="minorHAnsi" w:cstheme="minorHAnsi"/>
          <w:sz w:val="26"/>
          <w:szCs w:val="26"/>
          <w:lang w:eastAsia="ro-RO"/>
        </w:rPr>
        <w:t>86</w:t>
      </w:r>
      <w:r w:rsidRPr="005403AD">
        <w:rPr>
          <w:rFonts w:asciiTheme="minorHAnsi" w:hAnsiTheme="minorHAnsi" w:cstheme="minorHAnsi"/>
          <w:sz w:val="26"/>
          <w:szCs w:val="26"/>
          <w:lang w:eastAsia="ro-RO"/>
        </w:rPr>
        <w:t xml:space="preserve"> de contracte și acte adiționale, având ca obiect prestarea de servicii şi furnizarea de bunuri necesare bunei funcţionări a activităţii Consiliului Superior al Magistraturii. </w:t>
      </w:r>
    </w:p>
    <w:p w14:paraId="4F640226" w14:textId="2D27198C" w:rsidR="00AE5495" w:rsidRPr="004A72CD" w:rsidRDefault="00AE5495" w:rsidP="00F313A6">
      <w:pPr>
        <w:tabs>
          <w:tab w:val="left" w:pos="6597"/>
        </w:tabs>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În cadrul derulării procedurilor de achiziţii publice, în conformitate cu prevederile Legii nr. 98/2016 </w:t>
      </w:r>
      <w:r w:rsidRPr="004A72CD">
        <w:rPr>
          <w:rFonts w:asciiTheme="minorHAnsi" w:hAnsiTheme="minorHAnsi" w:cstheme="minorHAnsi"/>
          <w:sz w:val="26"/>
          <w:szCs w:val="26"/>
          <w:lang w:eastAsia="ro-RO"/>
        </w:rPr>
        <w:t>privind achiziţiile publice, modificată,</w:t>
      </w:r>
      <w:r w:rsidRPr="004A72CD">
        <w:rPr>
          <w:rFonts w:asciiTheme="minorHAnsi" w:hAnsiTheme="minorHAnsi" w:cstheme="minorHAnsi"/>
          <w:sz w:val="26"/>
          <w:szCs w:val="26"/>
        </w:rPr>
        <w:t xml:space="preserve"> s-a recurs, atât la achiziționarea directă din catalogul SICAP/offline a bunurilor și serviciilor necesare funcționării instituției, cât și la procedurile de atribuire prevăzute de art. 68 din Legea nr. 98/2016 privind achizitiile publice, cu modificările și completările ulterioare.</w:t>
      </w:r>
    </w:p>
    <w:p w14:paraId="4AB35621" w14:textId="39FABB44" w:rsidR="00AE5495" w:rsidRPr="005403AD" w:rsidRDefault="00AE5495" w:rsidP="00F313A6">
      <w:pPr>
        <w:spacing w:line="276" w:lineRule="auto"/>
        <w:ind w:right="-2" w:firstLine="709"/>
        <w:jc w:val="both"/>
        <w:rPr>
          <w:rFonts w:asciiTheme="minorHAnsi" w:hAnsiTheme="minorHAnsi" w:cstheme="minorHAnsi"/>
          <w:bCs/>
          <w:sz w:val="26"/>
          <w:szCs w:val="26"/>
        </w:rPr>
      </w:pPr>
      <w:r w:rsidRPr="005403AD">
        <w:rPr>
          <w:rFonts w:asciiTheme="minorHAnsi" w:hAnsiTheme="minorHAnsi" w:cstheme="minorHAnsi"/>
          <w:sz w:val="26"/>
          <w:szCs w:val="26"/>
        </w:rPr>
        <w:t>Astfel, Serviciul de achiziţii publice, protocol şi secretariat a realizat</w:t>
      </w:r>
      <w:r w:rsidR="00D8753F">
        <w:rPr>
          <w:rFonts w:asciiTheme="minorHAnsi" w:hAnsiTheme="minorHAnsi" w:cstheme="minorHAnsi"/>
          <w:sz w:val="26"/>
          <w:szCs w:val="26"/>
        </w:rPr>
        <w:t>,</w:t>
      </w:r>
      <w:r w:rsidRPr="005403AD">
        <w:rPr>
          <w:rFonts w:asciiTheme="minorHAnsi" w:hAnsiTheme="minorHAnsi" w:cstheme="minorHAnsi"/>
          <w:sz w:val="26"/>
          <w:szCs w:val="26"/>
        </w:rPr>
        <w:t xml:space="preserve"> în anul 2024</w:t>
      </w:r>
      <w:r w:rsidR="00D8753F">
        <w:rPr>
          <w:rFonts w:asciiTheme="minorHAnsi" w:hAnsiTheme="minorHAnsi" w:cstheme="minorHAnsi"/>
          <w:sz w:val="26"/>
          <w:szCs w:val="26"/>
        </w:rPr>
        <w:t>,</w:t>
      </w:r>
      <w:r w:rsidRPr="005403AD">
        <w:rPr>
          <w:rFonts w:asciiTheme="minorHAnsi" w:hAnsiTheme="minorHAnsi" w:cstheme="minorHAnsi"/>
          <w:sz w:val="26"/>
          <w:szCs w:val="26"/>
        </w:rPr>
        <w:t xml:space="preserve">  un număr de peste 1</w:t>
      </w:r>
      <w:r w:rsidR="00F77CAC">
        <w:rPr>
          <w:rFonts w:asciiTheme="minorHAnsi" w:hAnsiTheme="minorHAnsi" w:cstheme="minorHAnsi"/>
          <w:sz w:val="26"/>
          <w:szCs w:val="26"/>
        </w:rPr>
        <w:t>69</w:t>
      </w:r>
      <w:r w:rsidRPr="005403AD">
        <w:rPr>
          <w:rFonts w:asciiTheme="minorHAnsi" w:hAnsiTheme="minorHAnsi" w:cstheme="minorHAnsi"/>
          <w:sz w:val="26"/>
          <w:szCs w:val="26"/>
        </w:rPr>
        <w:t xml:space="preserve"> de achiziţii directe de bunuri și servicii prin cumpărare directă, din catalogul electronic SICAP/offline.</w:t>
      </w:r>
    </w:p>
    <w:p w14:paraId="5CFC0029" w14:textId="77777777" w:rsidR="00AE5495" w:rsidRPr="004A72CD" w:rsidRDefault="00AE5495" w:rsidP="00F313A6">
      <w:pPr>
        <w:spacing w:line="276" w:lineRule="auto"/>
        <w:ind w:right="-2" w:firstLine="709"/>
        <w:jc w:val="both"/>
        <w:rPr>
          <w:rFonts w:asciiTheme="minorHAnsi" w:hAnsiTheme="minorHAnsi" w:cstheme="minorHAnsi"/>
          <w:bCs/>
          <w:sz w:val="26"/>
          <w:szCs w:val="26"/>
        </w:rPr>
      </w:pPr>
      <w:r w:rsidRPr="004A72CD">
        <w:rPr>
          <w:rFonts w:asciiTheme="minorHAnsi" w:hAnsiTheme="minorHAnsi" w:cstheme="minorHAnsi"/>
          <w:sz w:val="26"/>
          <w:szCs w:val="26"/>
        </w:rPr>
        <w:t>Totodată, au fost derulate proceduri de achiziţie (proceduri simplificate, proceduri realizate după norme proprii, proceduri de licitație deschisă) finalizate cu încheierea unor contracte, acorduri cadru și contracte subsecvente cu operatorii economici specializați în domeniu.</w:t>
      </w:r>
    </w:p>
    <w:p w14:paraId="4A9F0C5F" w14:textId="77777777" w:rsidR="00AE5495" w:rsidRPr="004A72CD" w:rsidRDefault="00AE5495" w:rsidP="00F313A6">
      <w:pPr>
        <w:shd w:val="clear" w:color="auto" w:fill="FFFFFF"/>
        <w:spacing w:line="276" w:lineRule="auto"/>
        <w:ind w:right="-2" w:firstLine="709"/>
        <w:jc w:val="both"/>
        <w:rPr>
          <w:rFonts w:asciiTheme="minorHAnsi" w:hAnsiTheme="minorHAnsi" w:cstheme="minorHAnsi"/>
          <w:sz w:val="26"/>
          <w:szCs w:val="26"/>
          <w:lang w:eastAsia="ro-RO"/>
        </w:rPr>
      </w:pPr>
      <w:r w:rsidRPr="004A72CD">
        <w:rPr>
          <w:rFonts w:asciiTheme="minorHAnsi" w:hAnsiTheme="minorHAnsi" w:cstheme="minorHAnsi"/>
          <w:sz w:val="26"/>
          <w:szCs w:val="26"/>
          <w:lang w:eastAsia="ro-RO"/>
        </w:rPr>
        <w:t xml:space="preserve">Informațiile privind obiectul contractelor, sumele, procedurile de achiziție publică folosite, numele/denumirea câștigătorilor, procedurile anulate, se regăsesc pe site-ul </w:t>
      </w:r>
      <w:hyperlink r:id="rId34" w:history="1">
        <w:r w:rsidRPr="004A72CD">
          <w:rPr>
            <w:rFonts w:asciiTheme="minorHAnsi" w:hAnsiTheme="minorHAnsi" w:cstheme="minorHAnsi"/>
            <w:color w:val="0000FF"/>
            <w:sz w:val="26"/>
            <w:szCs w:val="26"/>
            <w:u w:val="single"/>
            <w:lang w:eastAsia="ro-RO"/>
          </w:rPr>
          <w:t>www.e-licitatie.ro</w:t>
        </w:r>
      </w:hyperlink>
      <w:r w:rsidRPr="004A72CD">
        <w:rPr>
          <w:rFonts w:asciiTheme="minorHAnsi" w:hAnsiTheme="minorHAnsi" w:cstheme="minorHAnsi"/>
          <w:sz w:val="26"/>
          <w:szCs w:val="26"/>
          <w:lang w:eastAsia="ro-RO"/>
        </w:rPr>
        <w:t xml:space="preserve">, la secţiunea autoritate contractantă - Consiliul Superior al Magistraturii și pe site-ul instituției la secțiunea „Achiziții publice”. </w:t>
      </w:r>
    </w:p>
    <w:p w14:paraId="52AA6C6E" w14:textId="77777777" w:rsidR="00AE5495" w:rsidRPr="004A72CD" w:rsidRDefault="00AE5495" w:rsidP="00F313A6">
      <w:pPr>
        <w:tabs>
          <w:tab w:val="left" w:pos="6597"/>
        </w:tabs>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O preocupare importantă a Serviciului de achiziţii publice, protocol și secretariat a constat în selecţia riguroasă a ofertanţilor, astfel încât să se asigure instituţiei servicii şi produse eficiente şi de calitate, în măsura posibilităţilor rezultate din derularea ulterioară a contractelor și constrângerilor bugetare pe care a fost nevoit să le respecte prin rectificările bugetare aprobate.</w:t>
      </w:r>
    </w:p>
    <w:p w14:paraId="6F0EA295"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În cadrul activității de protocol s-a asigurat realizarea în bune condiţii a deplasărilor membrilor și personalului Consiliului în străinătate și în țară, prin achiziționarea serviciilor de cazare, transport, transfer și asigurare medicală, precum și desfășurarea în condiţii corespunzătoare a întâlnirilor cu delegaţiile străine şi interne, invitate de Consiliu.</w:t>
      </w:r>
    </w:p>
    <w:p w14:paraId="1F801A2E" w14:textId="3B171E41"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Personalul din cadrul </w:t>
      </w:r>
      <w:r w:rsidR="002213BE" w:rsidRPr="004A72CD">
        <w:rPr>
          <w:rFonts w:asciiTheme="minorHAnsi" w:hAnsiTheme="minorHAnsi" w:cstheme="minorHAnsi"/>
          <w:sz w:val="26"/>
          <w:szCs w:val="26"/>
        </w:rPr>
        <w:t>Serviciului de achiziţii publice, protocol și secretariat</w:t>
      </w:r>
      <w:r w:rsidRPr="004A72CD">
        <w:rPr>
          <w:rFonts w:asciiTheme="minorHAnsi" w:hAnsiTheme="minorHAnsi" w:cstheme="minorHAnsi"/>
          <w:sz w:val="26"/>
          <w:szCs w:val="26"/>
        </w:rPr>
        <w:t xml:space="preserve"> s-a implicat în organizarea şi desfăşurarea activităţilor cu caracter festiv, a asigurat protocolul necesar pentru președintele instituției, cabinetele membrilor și toate întâlnirile organizate la/pentru C.S.M. și a sprijinit celelalte compartimente ale aparatului Consiliului în organizarea unor evenimente internaţionale și interne.</w:t>
      </w:r>
    </w:p>
    <w:p w14:paraId="1079077E" w14:textId="77777777" w:rsidR="00AE5495" w:rsidRPr="004A72CD" w:rsidRDefault="00AE5495" w:rsidP="00F313A6">
      <w:pPr>
        <w:tabs>
          <w:tab w:val="left" w:pos="6597"/>
        </w:tabs>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lang w:eastAsia="ro-RO"/>
        </w:rPr>
        <w:lastRenderedPageBreak/>
        <w:t>Serviciul de achiziţii publice, protocol și secretariat</w:t>
      </w:r>
      <w:r w:rsidRPr="004A72CD">
        <w:rPr>
          <w:rFonts w:asciiTheme="minorHAnsi" w:hAnsiTheme="minorHAnsi" w:cstheme="minorHAnsi"/>
          <w:sz w:val="26"/>
          <w:szCs w:val="26"/>
        </w:rPr>
        <w:t xml:space="preserve"> a fost implicat și în derularea unor proiecte cu finanțare europeană, personalul fiind antrenat în organizarea procedurilor de achiziție și în activitatea de evaluare și selecţie a ofertanților, pentru activitățile planificate în cadrul proiectelor aprobate de autoritățile de management, astfel:</w:t>
      </w:r>
    </w:p>
    <w:p w14:paraId="0E2129C5" w14:textId="77777777" w:rsidR="00AE5495" w:rsidRPr="004A72CD" w:rsidRDefault="00AE5495" w:rsidP="00F313A6">
      <w:pPr>
        <w:tabs>
          <w:tab w:val="left" w:pos="6597"/>
        </w:tabs>
        <w:spacing w:line="276" w:lineRule="auto"/>
        <w:ind w:right="-2" w:firstLine="709"/>
        <w:jc w:val="both"/>
        <w:rPr>
          <w:rFonts w:asciiTheme="minorHAnsi" w:hAnsiTheme="minorHAnsi" w:cstheme="minorHAnsi"/>
          <w:bCs/>
          <w:sz w:val="26"/>
          <w:szCs w:val="26"/>
        </w:rPr>
      </w:pPr>
      <w:r w:rsidRPr="004A72CD">
        <w:rPr>
          <w:rFonts w:asciiTheme="minorHAnsi" w:hAnsiTheme="minorHAnsi" w:cstheme="minorHAnsi"/>
          <w:sz w:val="26"/>
          <w:szCs w:val="26"/>
        </w:rPr>
        <w:t>- „</w:t>
      </w:r>
      <w:r w:rsidRPr="004A72CD">
        <w:rPr>
          <w:rFonts w:asciiTheme="minorHAnsi" w:hAnsiTheme="minorHAnsi" w:cstheme="minorHAnsi"/>
          <w:bCs/>
          <w:sz w:val="26"/>
          <w:szCs w:val="26"/>
        </w:rPr>
        <w:t xml:space="preserve">Formare profesională și consolidarea capacității la nivelul sistemului judiciar”, finanțat în cadrul Mecanismului Financiar Norvegian M.F.N. 2014 – 2021; </w:t>
      </w:r>
    </w:p>
    <w:p w14:paraId="294C1880" w14:textId="77777777" w:rsidR="00AE5495" w:rsidRPr="004A72CD" w:rsidRDefault="00AE5495" w:rsidP="00F313A6">
      <w:pPr>
        <w:tabs>
          <w:tab w:val="left" w:pos="6597"/>
        </w:tabs>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bCs/>
          <w:sz w:val="26"/>
          <w:szCs w:val="26"/>
        </w:rPr>
        <w:t>- „Îmbunătățirea digitalizării la nivelul Consiliului Superior al Magistraturii” în cadrul Mecanismului de Redresare și Reziliență, în cadrul Componentei 7 – „Transformare digitală”, Investiția 4 „Digitalizarea sistemului judiciar” din Planul Național de Redresare și Reziliență.</w:t>
      </w:r>
    </w:p>
    <w:p w14:paraId="35A0A69A" w14:textId="77777777" w:rsidR="00AE5495" w:rsidRPr="00CD3492" w:rsidRDefault="00AE5495" w:rsidP="00F313A6">
      <w:pPr>
        <w:pStyle w:val="Heading2"/>
        <w:rPr>
          <w:lang w:val="ro-RO"/>
        </w:rPr>
      </w:pPr>
      <w:bookmarkStart w:id="169" w:name="_Toc187824401"/>
      <w:r w:rsidRPr="00CD3492">
        <w:rPr>
          <w:lang w:val="ro-RO"/>
        </w:rPr>
        <w:t>VI.9. Activitatea Serviciului informatică</w:t>
      </w:r>
      <w:bookmarkEnd w:id="167"/>
      <w:r w:rsidRPr="00CD3492">
        <w:rPr>
          <w:lang w:val="ro-RO"/>
        </w:rPr>
        <w:t xml:space="preserve"> şi statistică judiciară</w:t>
      </w:r>
      <w:bookmarkEnd w:id="169"/>
    </w:p>
    <w:p w14:paraId="6F243ACF" w14:textId="77777777" w:rsidR="00AE5495" w:rsidRPr="004A72CD" w:rsidRDefault="00AE5495" w:rsidP="00F313A6">
      <w:pPr>
        <w:pStyle w:val="Heading3"/>
      </w:pPr>
      <w:bookmarkStart w:id="170" w:name="_Toc187824402"/>
      <w:r w:rsidRPr="004A72CD">
        <w:t>VI.9.1. Activitatea Compartimentului statistică judiciară</w:t>
      </w:r>
      <w:bookmarkEnd w:id="170"/>
    </w:p>
    <w:p w14:paraId="5BF1015F" w14:textId="4BC349BA"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În anul 2024, la nivelul Compartimentului de Statistică Judiciară au fost consemnate un număr de </w:t>
      </w:r>
      <w:r w:rsidR="005403AD">
        <w:rPr>
          <w:rFonts w:asciiTheme="minorHAnsi" w:hAnsiTheme="minorHAnsi" w:cstheme="minorHAnsi"/>
          <w:sz w:val="26"/>
          <w:szCs w:val="26"/>
        </w:rPr>
        <w:t>5</w:t>
      </w:r>
      <w:r w:rsidR="007A33A3">
        <w:rPr>
          <w:rFonts w:asciiTheme="minorHAnsi" w:hAnsiTheme="minorHAnsi" w:cstheme="minorHAnsi"/>
          <w:sz w:val="26"/>
          <w:szCs w:val="26"/>
        </w:rPr>
        <w:t>3</w:t>
      </w:r>
      <w:r w:rsidRPr="004A72CD">
        <w:rPr>
          <w:rFonts w:asciiTheme="minorHAnsi" w:hAnsiTheme="minorHAnsi" w:cstheme="minorHAnsi"/>
          <w:sz w:val="26"/>
          <w:szCs w:val="26"/>
        </w:rPr>
        <w:t xml:space="preserve"> de lucrări cu număr propriu de Compartiment și 2</w:t>
      </w:r>
      <w:r w:rsidR="007A33A3">
        <w:rPr>
          <w:rFonts w:asciiTheme="minorHAnsi" w:hAnsiTheme="minorHAnsi" w:cstheme="minorHAnsi"/>
          <w:sz w:val="26"/>
          <w:szCs w:val="26"/>
        </w:rPr>
        <w:t>75</w:t>
      </w:r>
      <w:r w:rsidRPr="004A72CD">
        <w:rPr>
          <w:rFonts w:asciiTheme="minorHAnsi" w:hAnsiTheme="minorHAnsi" w:cstheme="minorHAnsi"/>
          <w:sz w:val="26"/>
          <w:szCs w:val="26"/>
        </w:rPr>
        <w:t xml:space="preserve"> de lucrări cu număr comun de Serviciu în EMAP – Registry, fiind acordat</w:t>
      </w:r>
      <w:r w:rsidR="00551BEA">
        <w:rPr>
          <w:rFonts w:asciiTheme="minorHAnsi" w:hAnsiTheme="minorHAnsi" w:cstheme="minorHAnsi"/>
          <w:sz w:val="26"/>
          <w:szCs w:val="26"/>
        </w:rPr>
        <w:t>,</w:t>
      </w:r>
      <w:r w:rsidRPr="004A72CD">
        <w:rPr>
          <w:rFonts w:asciiTheme="minorHAnsi" w:hAnsiTheme="minorHAnsi" w:cstheme="minorHAnsi"/>
          <w:sz w:val="26"/>
          <w:szCs w:val="26"/>
        </w:rPr>
        <w:t xml:space="preserve"> totodată</w:t>
      </w:r>
      <w:r w:rsidR="00551BEA">
        <w:rPr>
          <w:rFonts w:asciiTheme="minorHAnsi" w:hAnsiTheme="minorHAnsi" w:cstheme="minorHAnsi"/>
          <w:sz w:val="26"/>
          <w:szCs w:val="26"/>
        </w:rPr>
        <w:t>,</w:t>
      </w:r>
      <w:r w:rsidRPr="004A72CD">
        <w:rPr>
          <w:rFonts w:asciiTheme="minorHAnsi" w:hAnsiTheme="minorHAnsi" w:cstheme="minorHAnsi"/>
          <w:sz w:val="26"/>
          <w:szCs w:val="26"/>
        </w:rPr>
        <w:t xml:space="preserve"> sprijin compartimentelor din cadrul aparatului propriu pentru furnizarea datelor statistice necesare în lucrările acestora. Au fost desfășurate activități de statistică judiciară vizând</w:t>
      </w:r>
      <w:r w:rsidR="00C57A93">
        <w:rPr>
          <w:rFonts w:asciiTheme="minorHAnsi" w:hAnsiTheme="minorHAnsi" w:cstheme="minorHAnsi"/>
          <w:sz w:val="26"/>
          <w:szCs w:val="26"/>
        </w:rPr>
        <w:t>,</w:t>
      </w:r>
      <w:r w:rsidRPr="004A72CD">
        <w:rPr>
          <w:rFonts w:asciiTheme="minorHAnsi" w:hAnsiTheme="minorHAnsi" w:cstheme="minorHAnsi"/>
          <w:sz w:val="26"/>
          <w:szCs w:val="26"/>
        </w:rPr>
        <w:t xml:space="preserve"> în principal</w:t>
      </w:r>
      <w:r w:rsidR="00C57A93">
        <w:rPr>
          <w:rFonts w:asciiTheme="minorHAnsi" w:hAnsiTheme="minorHAnsi" w:cstheme="minorHAnsi"/>
          <w:sz w:val="26"/>
          <w:szCs w:val="26"/>
        </w:rPr>
        <w:t>,</w:t>
      </w:r>
      <w:r w:rsidRPr="004A72CD">
        <w:rPr>
          <w:rFonts w:asciiTheme="minorHAnsi" w:hAnsiTheme="minorHAnsi" w:cstheme="minorHAnsi"/>
          <w:sz w:val="26"/>
          <w:szCs w:val="26"/>
        </w:rPr>
        <w:t xml:space="preserve"> următoarele direcții:</w:t>
      </w:r>
    </w:p>
    <w:p w14:paraId="47CE8230" w14:textId="77777777" w:rsidR="00AE5495" w:rsidRPr="004A72CD" w:rsidRDefault="00AE5495">
      <w:pPr>
        <w:numPr>
          <w:ilvl w:val="0"/>
          <w:numId w:val="27"/>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Coordonarea mentenanţei şi funcţionalităţii aplicației Statis-Central, inclusiv pentru rapoartele privind aspectele calitative ale activităţii judecătorilor (încărcătura pe judecător sau grefier, agregarea atributelor statistice, starea infracțională, etc).</w:t>
      </w:r>
    </w:p>
    <w:p w14:paraId="58653BC2" w14:textId="77777777" w:rsidR="00AE5495" w:rsidRPr="004A72CD" w:rsidRDefault="00AE5495">
      <w:pPr>
        <w:numPr>
          <w:ilvl w:val="0"/>
          <w:numId w:val="27"/>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Coordonarea mentenanţei modulului Executări penale din STATIS astfel încât să ofere date dezagregate pe sexe, vârstă (majori/minori) şi cetăţenie (română/străină) şi alte criterii secundare cum ar fi recidiva, antecedentele penale etc.</w:t>
      </w:r>
    </w:p>
    <w:p w14:paraId="3EB276E4" w14:textId="77777777" w:rsidR="00AE5495" w:rsidRPr="004A72CD" w:rsidRDefault="00AE5495">
      <w:pPr>
        <w:numPr>
          <w:ilvl w:val="0"/>
          <w:numId w:val="27"/>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Coordonarea mentenanţei funcţionalităţii aplicaţiilor Statis Semicentral pentru curțile de apel și instanțele arondate, precum și a celei pentru Înalta Curte de Casație și Justiție, de așa natură încât, pe lângă pilonul Statis-Central, fiecare curte de apel (pentru sine și pentru instanțele din subordine) să poată să își actualizeze datele statistice săptămânal, rămânând ca Statis-Central să agrege date naționale trimestrial.</w:t>
      </w:r>
    </w:p>
    <w:p w14:paraId="5F87D481" w14:textId="77777777" w:rsidR="00AE5495" w:rsidRPr="004A72CD" w:rsidRDefault="00AE5495">
      <w:pPr>
        <w:numPr>
          <w:ilvl w:val="0"/>
          <w:numId w:val="27"/>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Generarea, analiza, verificarea şi centralizarea datelor statistice care au servit la fundamentarea deciziilor luate de Consiliul Superior al Magistraturii în demersuri ca acelea privind raționalizarea unor instanțe şi parchete, echilibrarea schemelor de personal, transferuri sau detașări, organizarea de concursuri de admitere la I.N.M. sau în magistratură etc.</w:t>
      </w:r>
    </w:p>
    <w:p w14:paraId="78F0443B" w14:textId="77777777" w:rsidR="00AE5495" w:rsidRPr="004A72CD" w:rsidRDefault="00AE5495">
      <w:pPr>
        <w:numPr>
          <w:ilvl w:val="0"/>
          <w:numId w:val="27"/>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Întocmire raport anual de activitate pentru instanțe şi parchete, ca parte integranta a Raportului privind Starea Justiţiei.</w:t>
      </w:r>
    </w:p>
    <w:p w14:paraId="347696CD" w14:textId="77777777" w:rsidR="00AE5495" w:rsidRPr="004A72CD" w:rsidRDefault="00AE5495">
      <w:pPr>
        <w:numPr>
          <w:ilvl w:val="0"/>
          <w:numId w:val="27"/>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Furnizarea de date statistice către Direcţia Afaceri Europene, Relaţii Internaţionale şi Programe în vederea întocmirii raportării statistice anuale pentru C.E.P.E.J..</w:t>
      </w:r>
    </w:p>
    <w:p w14:paraId="44840A9E" w14:textId="4D6B609A" w:rsidR="00AE5495" w:rsidRPr="004A72CD" w:rsidRDefault="00AE5495">
      <w:pPr>
        <w:numPr>
          <w:ilvl w:val="0"/>
          <w:numId w:val="27"/>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Furnizare de date statistice compartimentelor din cadrul </w:t>
      </w:r>
      <w:r w:rsidR="00E66BDA" w:rsidRPr="004A72CD">
        <w:rPr>
          <w:rFonts w:asciiTheme="minorHAnsi" w:hAnsiTheme="minorHAnsi" w:cstheme="minorHAnsi"/>
          <w:sz w:val="26"/>
          <w:szCs w:val="26"/>
        </w:rPr>
        <w:t>Consiliului Superior al Magistraturii</w:t>
      </w:r>
      <w:r w:rsidRPr="004A72CD">
        <w:rPr>
          <w:rFonts w:asciiTheme="minorHAnsi" w:hAnsiTheme="minorHAnsi" w:cstheme="minorHAnsi"/>
          <w:sz w:val="26"/>
          <w:szCs w:val="26"/>
        </w:rPr>
        <w:t xml:space="preserve"> pentru fundamentarea punctelor de vedere şi a notelor proprii întocmite.</w:t>
      </w:r>
    </w:p>
    <w:p w14:paraId="18982891" w14:textId="77777777" w:rsidR="00AE5495" w:rsidRPr="004A72CD" w:rsidRDefault="00AE5495">
      <w:pPr>
        <w:numPr>
          <w:ilvl w:val="0"/>
          <w:numId w:val="27"/>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Diverse circulare către instanțele naționale legate de funcționarea modulelor aplicației Statis Ecris şi de solicitare a rapoartelor privind eficienţa instanţelor.</w:t>
      </w:r>
    </w:p>
    <w:p w14:paraId="2058FC00" w14:textId="77777777" w:rsidR="00AE5495" w:rsidRPr="004A72CD" w:rsidRDefault="00AE5495">
      <w:pPr>
        <w:numPr>
          <w:ilvl w:val="0"/>
          <w:numId w:val="27"/>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Diverse analize şi sesizări transmise Direcției Tehnologia Informației din cadrul Ministerului Justiţiei.</w:t>
      </w:r>
    </w:p>
    <w:p w14:paraId="10C83DC1" w14:textId="13321F17" w:rsidR="00AE5495" w:rsidRPr="004A72CD" w:rsidRDefault="00AE5495">
      <w:pPr>
        <w:numPr>
          <w:ilvl w:val="0"/>
          <w:numId w:val="27"/>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lastRenderedPageBreak/>
        <w:t xml:space="preserve">Diverse analize şi date statistice transmise la solicitarea cabinetelor membrilor </w:t>
      </w:r>
      <w:r w:rsidR="00E66BDA" w:rsidRPr="004A72CD">
        <w:rPr>
          <w:rFonts w:asciiTheme="minorHAnsi" w:hAnsiTheme="minorHAnsi" w:cstheme="minorHAnsi"/>
          <w:sz w:val="26"/>
          <w:szCs w:val="26"/>
        </w:rPr>
        <w:t>Consiliului Superior al Magistraturii.</w:t>
      </w:r>
    </w:p>
    <w:p w14:paraId="6CF5DFF7" w14:textId="481ADD81" w:rsidR="00AE5495" w:rsidRPr="004A72CD" w:rsidRDefault="00AE5495">
      <w:pPr>
        <w:numPr>
          <w:ilvl w:val="0"/>
          <w:numId w:val="27"/>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Furnizare de date statistice pentru D.A.E.R.I.P. şi alte compartimente din</w:t>
      </w:r>
      <w:r w:rsidR="006D4B09" w:rsidRPr="004A72CD">
        <w:rPr>
          <w:rFonts w:asciiTheme="minorHAnsi" w:hAnsiTheme="minorHAnsi" w:cstheme="minorHAnsi"/>
          <w:sz w:val="26"/>
          <w:szCs w:val="26"/>
        </w:rPr>
        <w:t xml:space="preserve"> cadrul</w:t>
      </w:r>
      <w:r w:rsidRPr="004A72CD">
        <w:rPr>
          <w:rFonts w:asciiTheme="minorHAnsi" w:hAnsiTheme="minorHAnsi" w:cstheme="minorHAnsi"/>
          <w:sz w:val="26"/>
          <w:szCs w:val="26"/>
        </w:rPr>
        <w:t xml:space="preserve"> </w:t>
      </w:r>
      <w:r w:rsidR="00E66BDA" w:rsidRPr="004A72CD">
        <w:rPr>
          <w:rFonts w:asciiTheme="minorHAnsi" w:hAnsiTheme="minorHAnsi" w:cstheme="minorHAnsi"/>
          <w:sz w:val="26"/>
          <w:szCs w:val="26"/>
        </w:rPr>
        <w:t>Consiliul</w:t>
      </w:r>
      <w:r w:rsidR="006D4B09" w:rsidRPr="004A72CD">
        <w:rPr>
          <w:rFonts w:asciiTheme="minorHAnsi" w:hAnsiTheme="minorHAnsi" w:cstheme="minorHAnsi"/>
          <w:sz w:val="26"/>
          <w:szCs w:val="26"/>
        </w:rPr>
        <w:t>ui</w:t>
      </w:r>
      <w:r w:rsidR="00E66BDA" w:rsidRPr="004A72CD">
        <w:rPr>
          <w:rFonts w:asciiTheme="minorHAnsi" w:hAnsiTheme="minorHAnsi" w:cstheme="minorHAnsi"/>
          <w:sz w:val="26"/>
          <w:szCs w:val="26"/>
        </w:rPr>
        <w:t xml:space="preserve"> Superior al Magistraturii </w:t>
      </w:r>
      <w:r w:rsidRPr="004A72CD">
        <w:rPr>
          <w:rFonts w:asciiTheme="minorHAnsi" w:hAnsiTheme="minorHAnsi" w:cstheme="minorHAnsi"/>
          <w:sz w:val="26"/>
          <w:szCs w:val="26"/>
        </w:rPr>
        <w:t>implicate în derularea de programe de dezvoltare instituţională cu finanţare din fonduri şi granturi europene nerambursabile sau parţial rambursabile.</w:t>
      </w:r>
    </w:p>
    <w:p w14:paraId="2F9DF22E" w14:textId="3F84BBC5" w:rsidR="00AE5495" w:rsidRPr="004A72CD" w:rsidRDefault="00AE5495">
      <w:pPr>
        <w:numPr>
          <w:ilvl w:val="0"/>
          <w:numId w:val="27"/>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Furnizare de date statistice pentru departamentele din</w:t>
      </w:r>
      <w:r w:rsidR="006D4B09" w:rsidRPr="004A72CD">
        <w:rPr>
          <w:rFonts w:asciiTheme="minorHAnsi" w:hAnsiTheme="minorHAnsi" w:cstheme="minorHAnsi"/>
          <w:sz w:val="26"/>
          <w:szCs w:val="26"/>
        </w:rPr>
        <w:t xml:space="preserve"> cadrul</w:t>
      </w:r>
      <w:r w:rsidRPr="004A72CD">
        <w:rPr>
          <w:rFonts w:asciiTheme="minorHAnsi" w:hAnsiTheme="minorHAnsi" w:cstheme="minorHAnsi"/>
          <w:sz w:val="26"/>
          <w:szCs w:val="26"/>
        </w:rPr>
        <w:t xml:space="preserve"> </w:t>
      </w:r>
      <w:r w:rsidR="006D4B09" w:rsidRPr="004A72CD">
        <w:rPr>
          <w:rFonts w:asciiTheme="minorHAnsi" w:hAnsiTheme="minorHAnsi" w:cstheme="minorHAnsi"/>
          <w:sz w:val="26"/>
          <w:szCs w:val="26"/>
        </w:rPr>
        <w:t>Consiliului Superior al Magistraturii</w:t>
      </w:r>
      <w:r w:rsidRPr="004A72CD">
        <w:rPr>
          <w:rFonts w:asciiTheme="minorHAnsi" w:hAnsiTheme="minorHAnsi" w:cstheme="minorHAnsi"/>
          <w:sz w:val="26"/>
          <w:szCs w:val="26"/>
        </w:rPr>
        <w:t xml:space="preserve"> care oferă informaţii la solicitarea M.C.V.</w:t>
      </w:r>
    </w:p>
    <w:p w14:paraId="59609478" w14:textId="77777777" w:rsidR="00AE5495" w:rsidRPr="004A72CD" w:rsidRDefault="00AE5495">
      <w:pPr>
        <w:numPr>
          <w:ilvl w:val="0"/>
          <w:numId w:val="27"/>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Asigurarea lucrărilor de secretariat şi participarea la sedinţele Comisiei de aprobare a modificărilor aduse aplicației ECRIS și a celorlalte aplicații din sistemul judiciar.</w:t>
      </w:r>
    </w:p>
    <w:p w14:paraId="692C9D8D" w14:textId="77777777" w:rsidR="00AE5495" w:rsidRPr="004A72CD" w:rsidRDefault="00AE5495">
      <w:pPr>
        <w:numPr>
          <w:ilvl w:val="0"/>
          <w:numId w:val="27"/>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Participarea la Grupului tehnic de lucru interinstituțional pentru definitivarea detaliilor aferente conceptului de statistică judiciară integrată la nivelul instanțelor și parchetelor instituit prin O.M.J. nr. 254/C din 21 ianuarie 2022.</w:t>
      </w:r>
    </w:p>
    <w:p w14:paraId="6FA521E1" w14:textId="0015A287" w:rsidR="00AE5495" w:rsidRPr="004A72CD" w:rsidRDefault="00AE5495">
      <w:pPr>
        <w:numPr>
          <w:ilvl w:val="0"/>
          <w:numId w:val="27"/>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Transmitere</w:t>
      </w:r>
      <w:r w:rsidR="00B53A4C" w:rsidRPr="004A72CD">
        <w:rPr>
          <w:rFonts w:asciiTheme="minorHAnsi" w:hAnsiTheme="minorHAnsi" w:cstheme="minorHAnsi"/>
          <w:sz w:val="26"/>
          <w:szCs w:val="26"/>
        </w:rPr>
        <w:t>a</w:t>
      </w:r>
      <w:r w:rsidRPr="004A72CD">
        <w:rPr>
          <w:rFonts w:asciiTheme="minorHAnsi" w:hAnsiTheme="minorHAnsi" w:cstheme="minorHAnsi"/>
          <w:sz w:val="26"/>
          <w:szCs w:val="26"/>
        </w:rPr>
        <w:t xml:space="preserve"> de date statistice la solicitarea diverselor direcții şi departamente din Ministerul Justiției sau Ministerul Afacerilor Externe.</w:t>
      </w:r>
    </w:p>
    <w:p w14:paraId="2D11B804" w14:textId="5908C60B" w:rsidR="00AE5495" w:rsidRPr="004A72CD" w:rsidRDefault="00AE5495">
      <w:pPr>
        <w:numPr>
          <w:ilvl w:val="0"/>
          <w:numId w:val="27"/>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Transmitere</w:t>
      </w:r>
      <w:r w:rsidR="00B53A4C" w:rsidRPr="004A72CD">
        <w:rPr>
          <w:rFonts w:asciiTheme="minorHAnsi" w:hAnsiTheme="minorHAnsi" w:cstheme="minorHAnsi"/>
          <w:sz w:val="26"/>
          <w:szCs w:val="26"/>
        </w:rPr>
        <w:t>a</w:t>
      </w:r>
      <w:r w:rsidRPr="004A72CD">
        <w:rPr>
          <w:rFonts w:asciiTheme="minorHAnsi" w:hAnsiTheme="minorHAnsi" w:cstheme="minorHAnsi"/>
          <w:sz w:val="26"/>
          <w:szCs w:val="26"/>
        </w:rPr>
        <w:t xml:space="preserve"> de date statistice către beneficiari externi, persoane fizice şi juridice, prin intermediul S.I.P.R.M.M.P.D.C.P. sau S.R.P.R.S.A..</w:t>
      </w:r>
    </w:p>
    <w:p w14:paraId="1BCD2DEC" w14:textId="55E9A96D" w:rsidR="00AE5495" w:rsidRPr="004A72CD" w:rsidRDefault="00AE5495">
      <w:pPr>
        <w:numPr>
          <w:ilvl w:val="0"/>
          <w:numId w:val="27"/>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Completarea de machete statistice transmise de I</w:t>
      </w:r>
      <w:r w:rsidR="00B53A4C" w:rsidRPr="004A72CD">
        <w:rPr>
          <w:rFonts w:asciiTheme="minorHAnsi" w:hAnsiTheme="minorHAnsi" w:cstheme="minorHAnsi"/>
          <w:sz w:val="26"/>
          <w:szCs w:val="26"/>
        </w:rPr>
        <w:t>.</w:t>
      </w:r>
      <w:r w:rsidRPr="004A72CD">
        <w:rPr>
          <w:rFonts w:asciiTheme="minorHAnsi" w:hAnsiTheme="minorHAnsi" w:cstheme="minorHAnsi"/>
          <w:sz w:val="26"/>
          <w:szCs w:val="26"/>
        </w:rPr>
        <w:t>N</w:t>
      </w:r>
      <w:r w:rsidR="00B53A4C" w:rsidRPr="004A72CD">
        <w:rPr>
          <w:rFonts w:asciiTheme="minorHAnsi" w:hAnsiTheme="minorHAnsi" w:cstheme="minorHAnsi"/>
          <w:sz w:val="26"/>
          <w:szCs w:val="26"/>
        </w:rPr>
        <w:t>.</w:t>
      </w:r>
      <w:r w:rsidRPr="004A72CD">
        <w:rPr>
          <w:rFonts w:asciiTheme="minorHAnsi" w:hAnsiTheme="minorHAnsi" w:cstheme="minorHAnsi"/>
          <w:sz w:val="26"/>
          <w:szCs w:val="26"/>
        </w:rPr>
        <w:t>S</w:t>
      </w:r>
      <w:r w:rsidR="00B53A4C" w:rsidRPr="004A72CD">
        <w:rPr>
          <w:rFonts w:asciiTheme="minorHAnsi" w:hAnsiTheme="minorHAnsi" w:cstheme="minorHAnsi"/>
          <w:sz w:val="26"/>
          <w:szCs w:val="26"/>
        </w:rPr>
        <w:t>.</w:t>
      </w:r>
      <w:r w:rsidRPr="004A72CD">
        <w:rPr>
          <w:rFonts w:asciiTheme="minorHAnsi" w:hAnsiTheme="minorHAnsi" w:cstheme="minorHAnsi"/>
          <w:sz w:val="26"/>
          <w:szCs w:val="26"/>
        </w:rPr>
        <w:t xml:space="preserve"> în vederea realizării Anuarului statistic sau la cererea altor organisme internaționale, precum Comisia Europeana, U.N.I.C.E.F. etc.</w:t>
      </w:r>
    </w:p>
    <w:p w14:paraId="2967809E" w14:textId="77777777" w:rsidR="00AE5495" w:rsidRPr="004A72CD" w:rsidRDefault="00AE5495">
      <w:pPr>
        <w:numPr>
          <w:ilvl w:val="0"/>
          <w:numId w:val="27"/>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Transmiterea către Ministerul de Interne, Agenția Națională Antidrog, Agenția Națională pentru Traficul de Persoane, de date statistice privind traficul de droguri şi traficul de persoane.</w:t>
      </w:r>
    </w:p>
    <w:p w14:paraId="02BDE4A0" w14:textId="77777777" w:rsidR="00AE5495" w:rsidRPr="004A72CD" w:rsidRDefault="00AE5495">
      <w:pPr>
        <w:numPr>
          <w:ilvl w:val="0"/>
          <w:numId w:val="27"/>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Participarea la grupurile de lucru interinstituţionale privind îmbunătăţirea şi diversificarea raportarilor de statistică judiciară, alături de M.J., P.I.C.C.J., I.G.P.R., I.N.S., M.A.E., A.N.A., A.N.I.T.P. şi alte instituţii publice producătoare sau beneficiare de raportări statistice.</w:t>
      </w:r>
    </w:p>
    <w:p w14:paraId="49F87C95" w14:textId="77777777" w:rsidR="00AE5495" w:rsidRPr="004A72CD" w:rsidRDefault="00AE5495" w:rsidP="00F313A6">
      <w:pPr>
        <w:pStyle w:val="Heading3"/>
      </w:pPr>
      <w:bookmarkStart w:id="171" w:name="_Toc155267924"/>
      <w:bookmarkStart w:id="172" w:name="_Toc187824403"/>
      <w:bookmarkStart w:id="173" w:name="_Toc430867141"/>
      <w:r w:rsidRPr="004A72CD">
        <w:t>VI.9.2. Activitatea Compartimentului informatică</w:t>
      </w:r>
      <w:bookmarkEnd w:id="171"/>
      <w:bookmarkEnd w:id="172"/>
    </w:p>
    <w:p w14:paraId="5CD02B48"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Compartimentul informatică a oferit, pe întreg parcursul anului 2024, suportul necesar pentru buna desfășurare a activității departamentelor Consiliului Superior al Magistraturii și a asigurat funcționarea optimă a produselor și serviciilor informatice.</w:t>
      </w:r>
    </w:p>
    <w:p w14:paraId="3919611E"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În anul 2024, monitorizarea operaţiilor efectuate de Compartimentul informatică s-a realizat prin intermediul sistemului de helpdesk implementat la nivelul compartimentului și prin intermediul registrelor specifice.</w:t>
      </w:r>
    </w:p>
    <w:p w14:paraId="1DAF8E52"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Efortul specialiștilor IT din cadrul Compartimentului informatică s-a axat pe următoarele patru componente:</w:t>
      </w:r>
    </w:p>
    <w:p w14:paraId="72F3B222" w14:textId="77777777" w:rsidR="00AE5495" w:rsidRPr="004A72CD" w:rsidRDefault="00AE5495" w:rsidP="00F313A6">
      <w:pPr>
        <w:spacing w:line="276" w:lineRule="auto"/>
        <w:ind w:right="-2" w:firstLine="709"/>
        <w:jc w:val="both"/>
        <w:rPr>
          <w:rFonts w:asciiTheme="minorHAnsi" w:hAnsiTheme="minorHAnsi" w:cstheme="minorHAnsi"/>
          <w:b/>
          <w:sz w:val="26"/>
          <w:szCs w:val="26"/>
        </w:rPr>
      </w:pPr>
      <w:r w:rsidRPr="004A72CD">
        <w:rPr>
          <w:rFonts w:asciiTheme="minorHAnsi" w:hAnsiTheme="minorHAnsi" w:cstheme="minorHAnsi"/>
          <w:b/>
          <w:sz w:val="26"/>
          <w:szCs w:val="26"/>
        </w:rPr>
        <w:t>1. Administrarea, dezvoltarea și optimizarea produselor și serviciilor informatice existente:</w:t>
      </w:r>
    </w:p>
    <w:p w14:paraId="0A05B419"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A) Administrarea, dezvoltarea și optimizarea portalului EMAP prin:</w:t>
      </w:r>
    </w:p>
    <w:p w14:paraId="17DACC5F" w14:textId="77777777" w:rsidR="00AE5495" w:rsidRPr="004A72CD" w:rsidRDefault="00AE5495">
      <w:pPr>
        <w:numPr>
          <w:ilvl w:val="0"/>
          <w:numId w:val="30"/>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asigurarea suportului tehnic permanent pentru încărcarea de materiale în secțiunile: mapa electronică, vot electronic, registratură, activitate C.S.M., activităţi proiecte, cazuri de integritate, întâlniri trimestriale, declarații de avere și interese, etc;</w:t>
      </w:r>
    </w:p>
    <w:p w14:paraId="3FDF0F36" w14:textId="77777777" w:rsidR="00AE5495" w:rsidRPr="004A72CD" w:rsidRDefault="00AE5495">
      <w:pPr>
        <w:numPr>
          <w:ilvl w:val="0"/>
          <w:numId w:val="30"/>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integrarea de noi tehnologii şi actualizarea celor existente la ultimele versiuni;</w:t>
      </w:r>
    </w:p>
    <w:p w14:paraId="6B575505" w14:textId="77777777" w:rsidR="00AE5495" w:rsidRPr="004A72CD" w:rsidRDefault="00AE5495">
      <w:pPr>
        <w:numPr>
          <w:ilvl w:val="0"/>
          <w:numId w:val="30"/>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lastRenderedPageBreak/>
        <w:t>asigurarea suportului tehnic pentru exploatarea instrumentelor: Chestionare online, Conversie audio în text;</w:t>
      </w:r>
    </w:p>
    <w:p w14:paraId="106588D2" w14:textId="77777777" w:rsidR="00AE5495" w:rsidRPr="004A72CD" w:rsidRDefault="00AE5495">
      <w:pPr>
        <w:numPr>
          <w:ilvl w:val="0"/>
          <w:numId w:val="30"/>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dezvoltarea de noi funcționalități aferente concursurilor/examenelor organizate de C.S.M.: reproiectarea rapoartelor, implementarea modulelor dedicate validării dosarelor, eficientizarea secțiunilor aferente gestiunii candidaților, implementarea modulelor pentru depunerea online a contestațiilor, implementarea modulelor pentru depunerea online a dosarelor candidaților pentru promovarea în funcții de execuție, etc;</w:t>
      </w:r>
    </w:p>
    <w:p w14:paraId="223E9843" w14:textId="77777777" w:rsidR="00AE5495" w:rsidRPr="004A72CD" w:rsidRDefault="00AE5495">
      <w:pPr>
        <w:numPr>
          <w:ilvl w:val="0"/>
          <w:numId w:val="30"/>
        </w:numPr>
        <w:tabs>
          <w:tab w:val="left" w:pos="284"/>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eficientizarea sistemului de vot electronic.</w:t>
      </w:r>
    </w:p>
    <w:p w14:paraId="5664101D"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B) Administrarea și dezvoltarea site-ului Consiliului Superior al Magistraturii </w:t>
      </w:r>
    </w:p>
    <w:p w14:paraId="57CB1734"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În concordanță cu obiectivele generale ale Consiliului Superior al Magistraturii, Compartimentul informatică are ca preocupare permanentă îmbunătățirea structurii paginii de Internet a Consiliului și a serviciilor oferite publicului.</w:t>
      </w:r>
    </w:p>
    <w:p w14:paraId="25460A99"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Astfel, în cursul anului 2024, Compartimentul informatică:</w:t>
      </w:r>
    </w:p>
    <w:p w14:paraId="0B1147DB" w14:textId="4E998A8F" w:rsidR="00AE5495" w:rsidRPr="004A72CD" w:rsidRDefault="00AE5495">
      <w:pPr>
        <w:numPr>
          <w:ilvl w:val="0"/>
          <w:numId w:val="30"/>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a asigurat integrarea de noi tehnologii şi actualizarea celor existente la ultimele versiuni;</w:t>
      </w:r>
    </w:p>
    <w:p w14:paraId="0E70E629" w14:textId="77777777" w:rsidR="004B7911" w:rsidRPr="004A72CD" w:rsidRDefault="00AE5495">
      <w:pPr>
        <w:numPr>
          <w:ilvl w:val="0"/>
          <w:numId w:val="31"/>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a asigurat actualizarea structurii site-ului conform solicitărilor transmise de către departamentele Consiliului;</w:t>
      </w:r>
    </w:p>
    <w:p w14:paraId="29AFBFA8" w14:textId="26BBD1EB" w:rsidR="00AE5495" w:rsidRPr="004A72CD" w:rsidRDefault="00AE5495">
      <w:pPr>
        <w:numPr>
          <w:ilvl w:val="0"/>
          <w:numId w:val="31"/>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a efectuat actualizarea secțiunilor site-ului cu materiale transmise de către departamentele consiliului, pe aria de competență;</w:t>
      </w:r>
    </w:p>
    <w:p w14:paraId="56584FDE"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C) Asistență utilizatori pentru exploatarea serviciilor și produselor informatice:</w:t>
      </w:r>
    </w:p>
    <w:p w14:paraId="14FCEE90" w14:textId="438F7454" w:rsidR="00AE5495" w:rsidRPr="004A72CD" w:rsidRDefault="00AE5495" w:rsidP="00F313A6">
      <w:pPr>
        <w:spacing w:line="276" w:lineRule="auto"/>
        <w:ind w:right="-2" w:firstLine="709"/>
        <w:jc w:val="both"/>
        <w:rPr>
          <w:rFonts w:asciiTheme="minorHAnsi" w:hAnsiTheme="minorHAnsi" w:cstheme="minorHAnsi"/>
          <w:color w:val="FF0000"/>
          <w:sz w:val="26"/>
          <w:szCs w:val="26"/>
        </w:rPr>
      </w:pPr>
      <w:r w:rsidRPr="004A72CD">
        <w:rPr>
          <w:rFonts w:asciiTheme="minorHAnsi" w:hAnsiTheme="minorHAnsi" w:cstheme="minorHAnsi"/>
          <w:sz w:val="26"/>
          <w:szCs w:val="26"/>
        </w:rPr>
        <w:t xml:space="preserve">Prin sistemul de evidență și control al solicitărilor transmise către Compartimentul informatică, în perioada 01.01.2024 - 01.11.2024 au fost înregistrate un număr de </w:t>
      </w:r>
      <w:r w:rsidRPr="004A72CD">
        <w:rPr>
          <w:rFonts w:asciiTheme="minorHAnsi" w:hAnsiTheme="minorHAnsi" w:cstheme="minorHAnsi"/>
          <w:bCs/>
          <w:sz w:val="26"/>
          <w:szCs w:val="26"/>
        </w:rPr>
        <w:t>aproximativ 8.500 solicitări</w:t>
      </w:r>
      <w:r w:rsidRPr="004A72CD">
        <w:rPr>
          <w:rFonts w:asciiTheme="minorHAnsi" w:hAnsiTheme="minorHAnsi" w:cstheme="minorHAnsi"/>
          <w:bCs/>
          <w:color w:val="000000"/>
          <w:sz w:val="26"/>
          <w:szCs w:val="26"/>
        </w:rPr>
        <w:t>.</w:t>
      </w:r>
      <w:r w:rsidRPr="004A72CD">
        <w:rPr>
          <w:rFonts w:asciiTheme="minorHAnsi" w:hAnsiTheme="minorHAnsi" w:cstheme="minorHAnsi"/>
          <w:b/>
          <w:color w:val="000000"/>
          <w:sz w:val="26"/>
          <w:szCs w:val="26"/>
        </w:rPr>
        <w:t xml:space="preserve"> </w:t>
      </w:r>
      <w:r w:rsidRPr="004A72CD">
        <w:rPr>
          <w:rFonts w:asciiTheme="minorHAnsi" w:hAnsiTheme="minorHAnsi" w:cstheme="minorHAnsi"/>
          <w:color w:val="000000"/>
          <w:sz w:val="26"/>
          <w:szCs w:val="26"/>
        </w:rPr>
        <w:t>Aceste solicitări au vizat probleme precum: solicitare de suport tehnic pentru depanare hardware și software, publicare de materiale pe site-ul Consiliului Superior al Magistraturii (anunțuri, concursuri, comunicate, hotărâri, minute, agende, etc); publicare materiale în portalul EMAP; asistenţă tehnică de specialitate pentru utilizatori</w:t>
      </w:r>
      <w:r w:rsidR="00C527BD" w:rsidRPr="004A72CD">
        <w:rPr>
          <w:rFonts w:asciiTheme="minorHAnsi" w:hAnsiTheme="minorHAnsi" w:cstheme="minorHAnsi"/>
          <w:color w:val="000000"/>
          <w:sz w:val="26"/>
          <w:szCs w:val="26"/>
        </w:rPr>
        <w:t>i</w:t>
      </w:r>
      <w:r w:rsidRPr="004A72CD">
        <w:rPr>
          <w:rFonts w:asciiTheme="minorHAnsi" w:hAnsiTheme="minorHAnsi" w:cstheme="minorHAnsi"/>
          <w:color w:val="000000"/>
          <w:sz w:val="26"/>
          <w:szCs w:val="26"/>
        </w:rPr>
        <w:t xml:space="preserve"> din instanţe, parchete, I.N.M., S.N.G., I.J., M.J.; lucrări administrative.</w:t>
      </w:r>
    </w:p>
    <w:p w14:paraId="4658C7E7" w14:textId="5B93D0E9"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D) Actualizarea permanentă a produselor legislative: Eurolex, Monitorul Oficial</w:t>
      </w:r>
      <w:r w:rsidR="00ED7957" w:rsidRPr="004A72CD">
        <w:rPr>
          <w:rFonts w:asciiTheme="minorHAnsi" w:hAnsiTheme="minorHAnsi" w:cstheme="minorHAnsi"/>
          <w:sz w:val="26"/>
          <w:szCs w:val="26"/>
        </w:rPr>
        <w:t xml:space="preserve"> al României</w:t>
      </w:r>
      <w:r w:rsidRPr="004A72CD">
        <w:rPr>
          <w:rFonts w:asciiTheme="minorHAnsi" w:hAnsiTheme="minorHAnsi" w:cstheme="minorHAnsi"/>
          <w:sz w:val="26"/>
          <w:szCs w:val="26"/>
        </w:rPr>
        <w:t xml:space="preserve"> şi suport de specialitate pentru buna funcţionare a acestora.</w:t>
      </w:r>
    </w:p>
    <w:p w14:paraId="56F9CE98"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E) Suport permanent pentru menținerea infrastructurii hardware și software: administrare servere; administrare active directory; actualizare produse office, produse contabilitate, baze de date, etc;</w:t>
      </w:r>
    </w:p>
    <w:p w14:paraId="487789B7"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F) Asigurarea, în cadrul Serviciului informatică şi statistică judiciară, a mentenanței aplicației desktop ReJust, dezvoltată pentru uzul judecătorilor și grefierilor, precum și organizarea unor sesiuni de formare a grefierilor, prin intermediul a trei webinare organizate de Școala Națională de Grefieri;</w:t>
      </w:r>
    </w:p>
    <w:p w14:paraId="2CEB0BEC"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G) Suport tehnic de specialitate pentru concursurile/examenele organizate de Consiliul Superior al Magistraturii, Institutul Național al Magistraturii și Școala Națională de Grefieri:</w:t>
      </w:r>
    </w:p>
    <w:p w14:paraId="5035196D" w14:textId="77777777" w:rsidR="00AE5495" w:rsidRPr="004A72CD" w:rsidRDefault="00AE5495">
      <w:pPr>
        <w:numPr>
          <w:ilvl w:val="0"/>
          <w:numId w:val="32"/>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Concurs de admitere la Institutul Naţional al Magistraturii, organizat în perioada 07.07.2023 – 28.03.2024;</w:t>
      </w:r>
    </w:p>
    <w:p w14:paraId="201D4962" w14:textId="77777777" w:rsidR="00AE5495" w:rsidRPr="004A72CD" w:rsidRDefault="00AE5495">
      <w:pPr>
        <w:numPr>
          <w:ilvl w:val="0"/>
          <w:numId w:val="32"/>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Concurs de admitere la Institutul National al Magistraturii, organizat în perioada 25.07.2024 – 16.04.2025;</w:t>
      </w:r>
    </w:p>
    <w:p w14:paraId="1E9505D4" w14:textId="77777777" w:rsidR="00AE5495" w:rsidRPr="004A72CD" w:rsidRDefault="00AE5495">
      <w:pPr>
        <w:numPr>
          <w:ilvl w:val="0"/>
          <w:numId w:val="32"/>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Concurs de admitere în magistratură, organizat în perioada 07.07.2023 – 06.03.2024;</w:t>
      </w:r>
    </w:p>
    <w:p w14:paraId="560D4598" w14:textId="77777777" w:rsidR="00AE5495" w:rsidRPr="004A72CD" w:rsidRDefault="00AE5495">
      <w:pPr>
        <w:numPr>
          <w:ilvl w:val="0"/>
          <w:numId w:val="32"/>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Concurs de admitere în magistratură, organizat în perioada 09.02.2024 – 09.07.2024;</w:t>
      </w:r>
    </w:p>
    <w:p w14:paraId="5633BF2B" w14:textId="77777777" w:rsidR="00AE5495" w:rsidRPr="004A72CD" w:rsidRDefault="00AE5495">
      <w:pPr>
        <w:numPr>
          <w:ilvl w:val="0"/>
          <w:numId w:val="32"/>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lastRenderedPageBreak/>
        <w:t>Concurs de admitere în magistratură, organizat în perioada 25.07.2024 – 27.03.2025;</w:t>
      </w:r>
    </w:p>
    <w:p w14:paraId="1A39C47E" w14:textId="77777777" w:rsidR="00AE5495" w:rsidRPr="004A72CD" w:rsidRDefault="00AE5495">
      <w:pPr>
        <w:numPr>
          <w:ilvl w:val="0"/>
          <w:numId w:val="32"/>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Examen de capacitate al judecătorilor stagiari și procurorilor stagiari, sesiunea octombrie 2023 - februarie 2024;</w:t>
      </w:r>
    </w:p>
    <w:p w14:paraId="3533D085" w14:textId="77777777" w:rsidR="00AE5495" w:rsidRPr="004A72CD" w:rsidRDefault="00AE5495">
      <w:pPr>
        <w:numPr>
          <w:ilvl w:val="0"/>
          <w:numId w:val="32"/>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Concurs de promovare efectivă în funcții de execuție a procurorilor, organizat în perioada aprilie - septembrie 2024;</w:t>
      </w:r>
    </w:p>
    <w:p w14:paraId="1FD34161" w14:textId="77777777" w:rsidR="00AE5495" w:rsidRPr="004A72CD" w:rsidRDefault="00AE5495">
      <w:pPr>
        <w:numPr>
          <w:ilvl w:val="0"/>
          <w:numId w:val="32"/>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Concurs de promovare efectivă în funcţii de execuţie a judecătorilor, organizat în perioada septembrie 2024 - februarie 2025; </w:t>
      </w:r>
    </w:p>
    <w:p w14:paraId="067FEF86" w14:textId="77777777" w:rsidR="00AE5495" w:rsidRPr="004A72CD" w:rsidRDefault="00AE5495">
      <w:pPr>
        <w:numPr>
          <w:ilvl w:val="0"/>
          <w:numId w:val="32"/>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Concurs sau examen pentru numirea în funcţii de conducere a judecătorilor la curţile de apel, tribunale, tribunale specializate, judecătorii și instanțele militare organizat în perioada februarie - iunie 2024; </w:t>
      </w:r>
    </w:p>
    <w:p w14:paraId="75148D84" w14:textId="77777777" w:rsidR="00AE5495" w:rsidRPr="004A72CD" w:rsidRDefault="00AE5495">
      <w:pPr>
        <w:numPr>
          <w:ilvl w:val="0"/>
          <w:numId w:val="32"/>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Concurs sau examen pentru numirea în funcţii de conducere a procurorilor la parchetele de pe lângă curţile de apel, tribunale, tribunale specializate şi judecătorii, organizat în perioada august - noiembrie 2024; </w:t>
      </w:r>
    </w:p>
    <w:p w14:paraId="3085F6BE" w14:textId="77777777" w:rsidR="00AE5495" w:rsidRPr="004A72CD" w:rsidRDefault="00AE5495">
      <w:pPr>
        <w:numPr>
          <w:ilvl w:val="0"/>
          <w:numId w:val="32"/>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Concurs sau examen pentru numirea în funcţii de conducere a judecătorilor la curţile de apel, tribunale, tribunale specializate, judecătorii și instanțele militare organizat în perioada august - decembrie 2024;</w:t>
      </w:r>
    </w:p>
    <w:p w14:paraId="1E579F2F" w14:textId="77777777" w:rsidR="00AE5495" w:rsidRPr="004A72CD" w:rsidRDefault="00AE5495">
      <w:pPr>
        <w:numPr>
          <w:ilvl w:val="0"/>
          <w:numId w:val="32"/>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 xml:space="preserve">Concurs de promovare în funcţia de judecător la Înalta Curte de Casaţie şi Justiţie în perioada noiembrie 2023 - martie 2024; </w:t>
      </w:r>
    </w:p>
    <w:p w14:paraId="22827E7B" w14:textId="77777777" w:rsidR="00AE5495" w:rsidRPr="004A72CD" w:rsidRDefault="00AE5495">
      <w:pPr>
        <w:numPr>
          <w:ilvl w:val="0"/>
          <w:numId w:val="32"/>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Concurs de promovare în funcţia de judecător la Înalta Curte de Casaţie şi Justiţie ce se va desfăşura în perioada septembrie 2024 - ianuarie 2025;</w:t>
      </w:r>
    </w:p>
    <w:p w14:paraId="033AF533" w14:textId="77777777" w:rsidR="00AE5495" w:rsidRPr="004A72CD" w:rsidRDefault="00AE5495">
      <w:pPr>
        <w:numPr>
          <w:ilvl w:val="0"/>
          <w:numId w:val="32"/>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Concurs pentru numirea în funcția de inspector judiciar în cadrul Direcției de inspecție pentru judecători a Inspecției Judiciare, organizat în perioada 29.02. – 03.07.2024;</w:t>
      </w:r>
    </w:p>
    <w:p w14:paraId="07DD6811" w14:textId="77777777" w:rsidR="00AE5495" w:rsidRPr="004A72CD" w:rsidRDefault="00AE5495">
      <w:pPr>
        <w:numPr>
          <w:ilvl w:val="0"/>
          <w:numId w:val="32"/>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Concurs pentru numirea în funcția de inspector judiciar în cadrul Direcției de inspecție pentru procurori a Inspecției Judiciare, organizat în perioada 19.03. – 22.07.2024;</w:t>
      </w:r>
    </w:p>
    <w:p w14:paraId="53EE130B" w14:textId="77777777" w:rsidR="00AE5495" w:rsidRPr="004A72CD" w:rsidRDefault="00AE5495">
      <w:pPr>
        <w:numPr>
          <w:ilvl w:val="0"/>
          <w:numId w:val="32"/>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Concurs pentru numirea în funcția de director al Direcției de inspecție pentru procurori din cadrul Inspecției Judiciare, organizat în perioada 13.06. – 15.10.2024;</w:t>
      </w:r>
    </w:p>
    <w:p w14:paraId="6F5D66AC" w14:textId="77777777" w:rsidR="00AE5495" w:rsidRPr="004A72CD" w:rsidRDefault="00AE5495">
      <w:pPr>
        <w:numPr>
          <w:ilvl w:val="0"/>
          <w:numId w:val="32"/>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Concursul de admitere la Şcoala Naţională de Grefieri din data de 26 mai 2024.</w:t>
      </w:r>
    </w:p>
    <w:p w14:paraId="6D38D5A9" w14:textId="77777777" w:rsidR="00AE5495" w:rsidRPr="004A72CD" w:rsidRDefault="00AE5495" w:rsidP="00F313A6">
      <w:pPr>
        <w:keepNext/>
        <w:spacing w:line="276" w:lineRule="auto"/>
        <w:ind w:right="-2" w:firstLine="709"/>
        <w:jc w:val="both"/>
        <w:rPr>
          <w:rFonts w:asciiTheme="minorHAnsi" w:hAnsiTheme="minorHAnsi" w:cstheme="minorHAnsi"/>
          <w:b/>
          <w:sz w:val="26"/>
          <w:szCs w:val="26"/>
        </w:rPr>
      </w:pPr>
      <w:r w:rsidRPr="004A72CD">
        <w:rPr>
          <w:rFonts w:asciiTheme="minorHAnsi" w:hAnsiTheme="minorHAnsi" w:cstheme="minorHAnsi"/>
          <w:b/>
          <w:sz w:val="26"/>
          <w:szCs w:val="26"/>
        </w:rPr>
        <w:t>2. Dezvoltare proiectelor informatice</w:t>
      </w:r>
    </w:p>
    <w:p w14:paraId="386993EE" w14:textId="77777777" w:rsidR="00AE5495" w:rsidRPr="004A72CD" w:rsidRDefault="00AE5495" w:rsidP="00F313A6">
      <w:pPr>
        <w:keepNext/>
        <w:spacing w:line="276" w:lineRule="auto"/>
        <w:ind w:right="-2" w:firstLine="709"/>
        <w:jc w:val="both"/>
        <w:rPr>
          <w:rFonts w:asciiTheme="minorHAnsi" w:hAnsiTheme="minorHAnsi" w:cstheme="minorHAnsi"/>
          <w:b/>
          <w:sz w:val="26"/>
          <w:szCs w:val="26"/>
        </w:rPr>
      </w:pPr>
      <w:r w:rsidRPr="004A72CD">
        <w:rPr>
          <w:rFonts w:asciiTheme="minorHAnsi" w:hAnsiTheme="minorHAnsi" w:cstheme="minorHAnsi"/>
          <w:b/>
          <w:sz w:val="26"/>
          <w:szCs w:val="26"/>
        </w:rPr>
        <w:t>Registratura.rejust.ro</w:t>
      </w:r>
    </w:p>
    <w:p w14:paraId="455CDBB7" w14:textId="77777777" w:rsidR="00AE5495" w:rsidRPr="004A72CD" w:rsidRDefault="00AE5495" w:rsidP="00F313A6">
      <w:pPr>
        <w:shd w:val="clear" w:color="auto" w:fill="FFFFFF"/>
        <w:spacing w:after="60" w:line="276" w:lineRule="auto"/>
        <w:ind w:right="-2" w:firstLine="709"/>
        <w:jc w:val="both"/>
        <w:rPr>
          <w:rFonts w:asciiTheme="minorHAnsi" w:hAnsiTheme="minorHAnsi" w:cstheme="minorHAnsi"/>
          <w:color w:val="000000"/>
          <w:sz w:val="26"/>
          <w:szCs w:val="26"/>
        </w:rPr>
      </w:pPr>
      <w:r w:rsidRPr="004A72CD">
        <w:rPr>
          <w:rFonts w:asciiTheme="minorHAnsi" w:hAnsiTheme="minorHAnsi" w:cstheme="minorHAnsi"/>
          <w:color w:val="000000"/>
          <w:sz w:val="26"/>
          <w:szCs w:val="26"/>
        </w:rPr>
        <w:t>În anul 2024, portalul registratura.rejust.ro a fost optimizat și actualizat pentru a îmbunătăți accesibilitatea și eficiența depunerii electronice a documentelor și plății taxelor judiciare de timbru, simplificând astfel interacțiunea utilizatorilor cu sistemul judiciar și accelerând procesele administrative.</w:t>
      </w:r>
    </w:p>
    <w:p w14:paraId="1665D58C" w14:textId="77777777" w:rsidR="00AE5495" w:rsidRPr="004A72CD" w:rsidRDefault="00AE5495" w:rsidP="00F313A6">
      <w:pPr>
        <w:shd w:val="clear" w:color="auto" w:fill="FFFFFF"/>
        <w:spacing w:after="60" w:line="276" w:lineRule="auto"/>
        <w:ind w:right="-2" w:firstLine="709"/>
        <w:jc w:val="both"/>
        <w:rPr>
          <w:rFonts w:asciiTheme="minorHAnsi" w:hAnsiTheme="minorHAnsi" w:cstheme="minorHAnsi"/>
          <w:color w:val="000000"/>
          <w:sz w:val="26"/>
          <w:szCs w:val="26"/>
        </w:rPr>
      </w:pPr>
      <w:r w:rsidRPr="004A72CD">
        <w:rPr>
          <w:rFonts w:asciiTheme="minorHAnsi" w:hAnsiTheme="minorHAnsi" w:cstheme="minorHAnsi"/>
          <w:color w:val="000000"/>
          <w:sz w:val="26"/>
          <w:szCs w:val="26"/>
        </w:rPr>
        <w:t>Totodată, au fost create mecanisme pentru gestionarea acestor cereri în mod facil și unitar de către instanțele judecătorești.</w:t>
      </w:r>
    </w:p>
    <w:p w14:paraId="5BBE1C12" w14:textId="77777777" w:rsidR="00AE5495" w:rsidRPr="004A72CD" w:rsidRDefault="00AE5495" w:rsidP="00F313A6">
      <w:pPr>
        <w:spacing w:line="276" w:lineRule="auto"/>
        <w:ind w:right="-2" w:firstLine="709"/>
        <w:jc w:val="both"/>
        <w:rPr>
          <w:rFonts w:asciiTheme="minorHAnsi" w:hAnsiTheme="minorHAnsi" w:cstheme="minorHAnsi"/>
          <w:b/>
          <w:bCs/>
          <w:color w:val="000000"/>
          <w:sz w:val="26"/>
          <w:szCs w:val="26"/>
        </w:rPr>
      </w:pPr>
      <w:r w:rsidRPr="004A72CD">
        <w:rPr>
          <w:rFonts w:asciiTheme="minorHAnsi" w:hAnsiTheme="minorHAnsi" w:cstheme="minorHAnsi"/>
          <w:b/>
          <w:bCs/>
          <w:color w:val="000000"/>
          <w:sz w:val="26"/>
          <w:szCs w:val="26"/>
        </w:rPr>
        <w:t>Dosarul electronic pentru judecători</w:t>
      </w:r>
    </w:p>
    <w:p w14:paraId="2747D1EE" w14:textId="77777777" w:rsidR="00AE5495" w:rsidRPr="004A72CD" w:rsidRDefault="00AE5495" w:rsidP="00F313A6">
      <w:pPr>
        <w:spacing w:line="276" w:lineRule="auto"/>
        <w:ind w:right="-2" w:firstLine="709"/>
        <w:jc w:val="both"/>
        <w:rPr>
          <w:rFonts w:asciiTheme="minorHAnsi" w:eastAsia="Calibri" w:hAnsiTheme="minorHAnsi" w:cstheme="minorHAnsi"/>
          <w:color w:val="000000"/>
          <w:sz w:val="26"/>
          <w:szCs w:val="26"/>
        </w:rPr>
      </w:pPr>
      <w:r w:rsidRPr="004A72CD">
        <w:rPr>
          <w:rFonts w:asciiTheme="minorHAnsi" w:eastAsia="Calibri" w:hAnsiTheme="minorHAnsi" w:cstheme="minorHAnsi"/>
          <w:color w:val="000000"/>
          <w:sz w:val="26"/>
          <w:szCs w:val="26"/>
        </w:rPr>
        <w:t>A fost îmbunătățit dosarul electronic, fiind create noi rapoarte prin intermediul cărora pot fi evidențiate soluțiile pronunțate în căile de atac, dosarele aflate în faza camerei preliminare și dosarele cu măsuri preventive.</w:t>
      </w:r>
    </w:p>
    <w:p w14:paraId="094D66D0" w14:textId="77777777" w:rsidR="00AE5495" w:rsidRPr="004A72CD" w:rsidRDefault="00AE5495" w:rsidP="00F313A6">
      <w:pPr>
        <w:spacing w:line="276" w:lineRule="auto"/>
        <w:ind w:right="-2" w:firstLine="709"/>
        <w:jc w:val="both"/>
        <w:rPr>
          <w:rFonts w:asciiTheme="minorHAnsi" w:hAnsiTheme="minorHAnsi" w:cstheme="minorHAnsi"/>
          <w:b/>
          <w:bCs/>
          <w:color w:val="000000"/>
          <w:sz w:val="26"/>
          <w:szCs w:val="26"/>
        </w:rPr>
      </w:pPr>
      <w:r w:rsidRPr="004A72CD">
        <w:rPr>
          <w:rFonts w:asciiTheme="minorHAnsi" w:eastAsia="Calibri" w:hAnsiTheme="minorHAnsi" w:cstheme="minorHAnsi"/>
          <w:color w:val="000000"/>
          <w:sz w:val="26"/>
          <w:szCs w:val="26"/>
        </w:rPr>
        <w:t xml:space="preserve">În același timp, a fost dezvoltat modulul </w:t>
      </w:r>
      <w:r w:rsidRPr="004A72CD">
        <w:rPr>
          <w:rFonts w:asciiTheme="minorHAnsi" w:eastAsia="Calibri" w:hAnsiTheme="minorHAnsi" w:cstheme="minorHAnsi"/>
          <w:b/>
          <w:bCs/>
          <w:color w:val="000000"/>
          <w:sz w:val="26"/>
          <w:szCs w:val="26"/>
        </w:rPr>
        <w:t>Notebook</w:t>
      </w:r>
      <w:r w:rsidRPr="004A72CD">
        <w:rPr>
          <w:rFonts w:asciiTheme="minorHAnsi" w:eastAsia="Calibri" w:hAnsiTheme="minorHAnsi" w:cstheme="minorHAnsi"/>
          <w:color w:val="000000"/>
          <w:sz w:val="26"/>
          <w:szCs w:val="26"/>
        </w:rPr>
        <w:t>, disponibil în mod integrat în această aplicație</w:t>
      </w:r>
      <w:r w:rsidRPr="004A72CD">
        <w:rPr>
          <w:rFonts w:asciiTheme="minorHAnsi" w:hAnsiTheme="minorHAnsi" w:cstheme="minorHAnsi"/>
          <w:color w:val="000000"/>
          <w:sz w:val="26"/>
          <w:szCs w:val="26"/>
        </w:rPr>
        <w:t>.</w:t>
      </w:r>
    </w:p>
    <w:p w14:paraId="796DFABF" w14:textId="7E340576" w:rsidR="00AE5495" w:rsidRPr="004A72CD" w:rsidRDefault="00AE5495" w:rsidP="00F313A6">
      <w:pPr>
        <w:spacing w:line="276" w:lineRule="auto"/>
        <w:ind w:right="-2" w:firstLine="709"/>
        <w:jc w:val="both"/>
        <w:rPr>
          <w:rFonts w:asciiTheme="minorHAnsi" w:hAnsiTheme="minorHAnsi" w:cstheme="minorHAnsi"/>
          <w:bCs/>
          <w:color w:val="000000"/>
          <w:sz w:val="26"/>
          <w:szCs w:val="26"/>
        </w:rPr>
      </w:pPr>
      <w:r w:rsidRPr="004A72CD">
        <w:rPr>
          <w:rFonts w:asciiTheme="minorHAnsi" w:hAnsiTheme="minorHAnsi" w:cstheme="minorHAnsi"/>
          <w:bCs/>
          <w:color w:val="000000"/>
          <w:sz w:val="26"/>
          <w:szCs w:val="26"/>
        </w:rPr>
        <w:lastRenderedPageBreak/>
        <w:t>Astfel, în cursul anului 2024, portalul www.rejust.ro, inițial conceput pentru publicarea jurisprudenței naționale, a fost optimizat prin adăugarea unei noi funcționalități menite să eficientizeze gestionarea dosarelor. În acest context, a fost introdus modulul Notebook, conceput să sprijine soluționarea cu celeritate a dosarelor prin automatizarea și simplificarea sarcinilor administrative. Acesta contribuie la diminuarea timpilor de procesare și la facilitarea accesului la informațiile esențiale, asigurând</w:t>
      </w:r>
      <w:r w:rsidR="008B0CBE">
        <w:rPr>
          <w:rFonts w:asciiTheme="minorHAnsi" w:hAnsiTheme="minorHAnsi" w:cstheme="minorHAnsi"/>
          <w:bCs/>
          <w:color w:val="000000"/>
          <w:sz w:val="26"/>
          <w:szCs w:val="26"/>
        </w:rPr>
        <w:t>,</w:t>
      </w:r>
      <w:r w:rsidRPr="004A72CD">
        <w:rPr>
          <w:rFonts w:asciiTheme="minorHAnsi" w:hAnsiTheme="minorHAnsi" w:cstheme="minorHAnsi"/>
          <w:bCs/>
          <w:color w:val="000000"/>
          <w:sz w:val="26"/>
          <w:szCs w:val="26"/>
        </w:rPr>
        <w:t xml:space="preserve"> astfel</w:t>
      </w:r>
      <w:r w:rsidR="008B0CBE">
        <w:rPr>
          <w:rFonts w:asciiTheme="minorHAnsi" w:hAnsiTheme="minorHAnsi" w:cstheme="minorHAnsi"/>
          <w:bCs/>
          <w:color w:val="000000"/>
          <w:sz w:val="26"/>
          <w:szCs w:val="26"/>
        </w:rPr>
        <w:t>,</w:t>
      </w:r>
      <w:r w:rsidRPr="004A72CD">
        <w:rPr>
          <w:rFonts w:asciiTheme="minorHAnsi" w:hAnsiTheme="minorHAnsi" w:cstheme="minorHAnsi"/>
          <w:bCs/>
          <w:color w:val="000000"/>
          <w:sz w:val="26"/>
          <w:szCs w:val="26"/>
        </w:rPr>
        <w:t xml:space="preserve"> o gestionare mai eficace a dosarelor și o soluționare promptă a acestora, alături de o monitorizare adecvată a evoluției lor. </w:t>
      </w:r>
    </w:p>
    <w:p w14:paraId="0B3972A4" w14:textId="77777777" w:rsidR="00AE5495" w:rsidRPr="004A72CD" w:rsidRDefault="00AE5495" w:rsidP="00F313A6">
      <w:pPr>
        <w:spacing w:line="276" w:lineRule="auto"/>
        <w:ind w:right="-2" w:firstLine="709"/>
        <w:jc w:val="both"/>
        <w:rPr>
          <w:rFonts w:asciiTheme="minorHAnsi" w:hAnsiTheme="minorHAnsi" w:cstheme="minorHAnsi"/>
          <w:bCs/>
          <w:color w:val="000000"/>
          <w:sz w:val="26"/>
          <w:szCs w:val="26"/>
        </w:rPr>
      </w:pPr>
      <w:r w:rsidRPr="004A72CD">
        <w:rPr>
          <w:rFonts w:asciiTheme="minorHAnsi" w:hAnsiTheme="minorHAnsi" w:cstheme="minorHAnsi"/>
          <w:bCs/>
          <w:color w:val="000000"/>
          <w:sz w:val="26"/>
          <w:szCs w:val="26"/>
        </w:rPr>
        <w:t>Prin digitalizarea și centralizarea informațiilor într-un spațiu accesibil și securizat, modulul facilitează o activitate judiciară modernă, caracterizată prin flexibilitate și capacitatea de a susține munca la distanță, aliniindu-se astfel cerințelor actuale de digitalizare și eficiență.</w:t>
      </w:r>
    </w:p>
    <w:p w14:paraId="35EFBDCB" w14:textId="77777777" w:rsidR="00AE5495" w:rsidRPr="004A72CD" w:rsidRDefault="00AE5495" w:rsidP="00F313A6">
      <w:pPr>
        <w:spacing w:line="276" w:lineRule="auto"/>
        <w:ind w:right="-2" w:firstLine="709"/>
        <w:jc w:val="both"/>
        <w:rPr>
          <w:rFonts w:asciiTheme="minorHAnsi" w:hAnsiTheme="minorHAnsi" w:cstheme="minorHAnsi"/>
          <w:bCs/>
          <w:color w:val="000000"/>
          <w:sz w:val="26"/>
          <w:szCs w:val="26"/>
        </w:rPr>
      </w:pPr>
      <w:r w:rsidRPr="004A72CD">
        <w:rPr>
          <w:rFonts w:asciiTheme="minorHAnsi" w:hAnsiTheme="minorHAnsi" w:cstheme="minorHAnsi"/>
          <w:bCs/>
          <w:color w:val="000000"/>
          <w:sz w:val="26"/>
          <w:szCs w:val="26"/>
        </w:rPr>
        <w:t xml:space="preserve">Modulul Notebook integrează funcțiile existente din ReJust Desktop – Registru Personal și permite stocarea următoarelor observații ale judecătorului: observații generale referitoare la dosar, observații referitoare la fiecare termen de judecată, observații referitoare la părți, observații referitoare la excepții și probe. </w:t>
      </w:r>
    </w:p>
    <w:p w14:paraId="4950E1C6" w14:textId="77777777" w:rsidR="00AE5495" w:rsidRPr="004A72CD" w:rsidRDefault="00AE5495" w:rsidP="00F313A6">
      <w:pPr>
        <w:spacing w:line="276" w:lineRule="auto"/>
        <w:ind w:right="-2" w:firstLine="709"/>
        <w:jc w:val="both"/>
        <w:rPr>
          <w:rFonts w:asciiTheme="minorHAnsi" w:hAnsiTheme="minorHAnsi" w:cstheme="minorHAnsi"/>
          <w:bCs/>
          <w:color w:val="000000"/>
          <w:sz w:val="26"/>
          <w:szCs w:val="26"/>
        </w:rPr>
      </w:pPr>
      <w:r w:rsidRPr="004A72CD">
        <w:rPr>
          <w:rFonts w:asciiTheme="minorHAnsi" w:hAnsiTheme="minorHAnsi" w:cstheme="minorHAnsi"/>
          <w:bCs/>
          <w:color w:val="000000"/>
          <w:sz w:val="26"/>
          <w:szCs w:val="26"/>
        </w:rPr>
        <w:t>Așadar, judecătorul are opțiunea de a insera comentarii și notițe personale asupra fiecărui dosar, fiind evidențiate observații specifice despre evoluția cazului, precum și informații relevante pentru deliberare și redactare.</w:t>
      </w:r>
    </w:p>
    <w:p w14:paraId="3EF23847" w14:textId="77777777" w:rsidR="00AE5495" w:rsidRPr="004A72CD" w:rsidRDefault="00AE5495" w:rsidP="00F313A6">
      <w:pPr>
        <w:keepNext/>
        <w:keepLines/>
        <w:spacing w:line="276" w:lineRule="auto"/>
        <w:ind w:firstLine="709"/>
        <w:jc w:val="both"/>
        <w:rPr>
          <w:rFonts w:asciiTheme="minorHAnsi" w:hAnsiTheme="minorHAnsi" w:cstheme="minorHAnsi"/>
          <w:b/>
          <w:bCs/>
          <w:iCs/>
          <w:color w:val="000000"/>
          <w:sz w:val="26"/>
          <w:szCs w:val="26"/>
        </w:rPr>
      </w:pPr>
      <w:r w:rsidRPr="004A72CD">
        <w:rPr>
          <w:rFonts w:asciiTheme="minorHAnsi" w:hAnsiTheme="minorHAnsi" w:cstheme="minorHAnsi"/>
          <w:b/>
          <w:bCs/>
          <w:iCs/>
          <w:color w:val="000000"/>
          <w:sz w:val="26"/>
          <w:szCs w:val="26"/>
        </w:rPr>
        <w:t>Aplicația TEXT</w:t>
      </w:r>
    </w:p>
    <w:p w14:paraId="6D65E357" w14:textId="77777777" w:rsidR="00AE5495" w:rsidRPr="004A72CD" w:rsidRDefault="00AE5495" w:rsidP="00F313A6">
      <w:pPr>
        <w:keepNext/>
        <w:keepLines/>
        <w:spacing w:line="276" w:lineRule="auto"/>
        <w:ind w:firstLine="709"/>
        <w:jc w:val="both"/>
        <w:rPr>
          <w:rFonts w:asciiTheme="minorHAnsi" w:hAnsiTheme="minorHAnsi" w:cstheme="minorHAnsi"/>
          <w:bCs/>
          <w:iCs/>
          <w:color w:val="000000"/>
          <w:sz w:val="26"/>
          <w:szCs w:val="26"/>
        </w:rPr>
      </w:pPr>
      <w:r w:rsidRPr="004A72CD">
        <w:rPr>
          <w:rFonts w:asciiTheme="minorHAnsi" w:hAnsiTheme="minorHAnsi" w:cstheme="minorHAnsi"/>
          <w:bCs/>
          <w:iCs/>
          <w:color w:val="000000"/>
          <w:sz w:val="26"/>
          <w:szCs w:val="26"/>
        </w:rPr>
        <w:t>Aplicația reprezintă o soluție unitară, Ia nivelul tuturor instanțelor, ce permite conversia documentelor scanate, încărcate în ECRIS, în text, pentru prelucrarea acestora în partea introductivă a considerentelor hotărârii.</w:t>
      </w:r>
    </w:p>
    <w:p w14:paraId="78CF81DB" w14:textId="77777777" w:rsidR="00AE5495" w:rsidRPr="004A72CD" w:rsidRDefault="00AE5495" w:rsidP="00F313A6">
      <w:pPr>
        <w:spacing w:line="276" w:lineRule="auto"/>
        <w:ind w:right="-2" w:firstLine="709"/>
        <w:jc w:val="both"/>
        <w:rPr>
          <w:rFonts w:asciiTheme="minorHAnsi" w:hAnsiTheme="minorHAnsi" w:cstheme="minorHAnsi"/>
          <w:bCs/>
          <w:iCs/>
          <w:color w:val="000000"/>
          <w:sz w:val="26"/>
          <w:szCs w:val="26"/>
        </w:rPr>
      </w:pPr>
      <w:r w:rsidRPr="004A72CD">
        <w:rPr>
          <w:rFonts w:asciiTheme="minorHAnsi" w:hAnsiTheme="minorHAnsi" w:cstheme="minorHAnsi"/>
          <w:bCs/>
          <w:iCs/>
          <w:color w:val="000000"/>
          <w:sz w:val="26"/>
          <w:szCs w:val="26"/>
        </w:rPr>
        <w:t>Utilizarea este facilă, prin indicarea unui număr de dosar și selectarea documentului din listă. Mai mult decât atât, aplicația permite adăugarea diacriticelor specifice limbii române cuvintelor scrise fără diacritice. Mecanismul implementat utilizează algoritmi AI pentru identificarea corectă a cazurilor în care este necesară adăugarea diacriticelor, înțelegând contextul paragrafelor prin folosirea tehnicilor de prelucrare a limbajului natural (N.L.P.) și modele Deep Learning.</w:t>
      </w:r>
    </w:p>
    <w:p w14:paraId="4BB59523" w14:textId="77777777" w:rsidR="00AE5495" w:rsidRPr="004A72CD" w:rsidRDefault="00AE5495" w:rsidP="00F313A6">
      <w:pPr>
        <w:spacing w:line="276" w:lineRule="auto"/>
        <w:ind w:right="-2" w:firstLine="709"/>
        <w:jc w:val="both"/>
        <w:rPr>
          <w:rFonts w:asciiTheme="minorHAnsi" w:hAnsiTheme="minorHAnsi" w:cstheme="minorHAnsi"/>
          <w:b/>
          <w:iCs/>
          <w:color w:val="000000"/>
          <w:sz w:val="26"/>
          <w:szCs w:val="26"/>
        </w:rPr>
      </w:pPr>
      <w:r w:rsidRPr="004A72CD">
        <w:rPr>
          <w:rFonts w:asciiTheme="minorHAnsi" w:hAnsiTheme="minorHAnsi" w:cstheme="minorHAnsi"/>
          <w:b/>
          <w:iCs/>
          <w:color w:val="000000"/>
          <w:sz w:val="26"/>
          <w:szCs w:val="26"/>
        </w:rPr>
        <w:t xml:space="preserve">Modulul de gestionare a documentelor primite prin corespondența electronică </w:t>
      </w:r>
    </w:p>
    <w:p w14:paraId="10272CD2" w14:textId="6D489476" w:rsidR="00AE5495" w:rsidRPr="004A72CD" w:rsidRDefault="00AE5495" w:rsidP="00F313A6">
      <w:pPr>
        <w:spacing w:line="276" w:lineRule="auto"/>
        <w:ind w:right="-2" w:firstLine="709"/>
        <w:jc w:val="both"/>
        <w:rPr>
          <w:rFonts w:asciiTheme="minorHAnsi" w:hAnsiTheme="minorHAnsi" w:cstheme="minorHAnsi"/>
          <w:iCs/>
          <w:color w:val="000000"/>
          <w:sz w:val="26"/>
          <w:szCs w:val="26"/>
        </w:rPr>
      </w:pPr>
      <w:r w:rsidRPr="004A72CD">
        <w:rPr>
          <w:rFonts w:asciiTheme="minorHAnsi" w:hAnsiTheme="minorHAnsi" w:cstheme="minorHAnsi"/>
          <w:iCs/>
          <w:color w:val="000000"/>
          <w:sz w:val="26"/>
          <w:szCs w:val="26"/>
        </w:rPr>
        <w:t xml:space="preserve">Modulul dezvoltat în cursul acestui an permite gestionarea corespondenței primite prin email, fie că provine de la registratura.rejust.ro, fie că provine direct de la părți și participanți. </w:t>
      </w:r>
    </w:p>
    <w:p w14:paraId="49EF243E" w14:textId="77777777" w:rsidR="00AE5495" w:rsidRPr="004A72CD" w:rsidRDefault="00AE5495" w:rsidP="00F313A6">
      <w:pPr>
        <w:spacing w:line="276" w:lineRule="auto"/>
        <w:ind w:right="-2" w:firstLine="709"/>
        <w:jc w:val="both"/>
        <w:rPr>
          <w:rFonts w:asciiTheme="minorHAnsi" w:hAnsiTheme="minorHAnsi" w:cstheme="minorHAnsi"/>
          <w:iCs/>
          <w:color w:val="000000"/>
          <w:sz w:val="26"/>
          <w:szCs w:val="26"/>
        </w:rPr>
      </w:pPr>
      <w:r w:rsidRPr="004A72CD">
        <w:rPr>
          <w:rFonts w:asciiTheme="minorHAnsi" w:hAnsiTheme="minorHAnsi" w:cstheme="minorHAnsi"/>
          <w:iCs/>
          <w:color w:val="000000"/>
          <w:sz w:val="26"/>
          <w:szCs w:val="26"/>
        </w:rPr>
        <w:t xml:space="preserve">Acest modul facilitează și încărcarea documentelor în ECRIS, nemaifiind necesară scanarea acestora după aplicarea vizei de primire. </w:t>
      </w:r>
    </w:p>
    <w:p w14:paraId="764E41F3" w14:textId="77777777" w:rsidR="00AE5495" w:rsidRPr="004A72CD" w:rsidRDefault="00AE5495" w:rsidP="00F313A6">
      <w:pPr>
        <w:spacing w:line="276" w:lineRule="auto"/>
        <w:ind w:right="-2" w:firstLine="709"/>
        <w:jc w:val="both"/>
        <w:rPr>
          <w:rFonts w:asciiTheme="minorHAnsi" w:hAnsiTheme="minorHAnsi" w:cstheme="minorHAnsi"/>
          <w:iCs/>
          <w:color w:val="000000"/>
          <w:sz w:val="26"/>
          <w:szCs w:val="26"/>
        </w:rPr>
      </w:pPr>
      <w:r w:rsidRPr="004A72CD">
        <w:rPr>
          <w:rFonts w:asciiTheme="minorHAnsi" w:hAnsiTheme="minorHAnsi" w:cstheme="minorHAnsi"/>
          <w:iCs/>
          <w:color w:val="000000"/>
          <w:sz w:val="26"/>
          <w:szCs w:val="26"/>
        </w:rPr>
        <w:t xml:space="preserve">În plus, documentului semnat electronic i se atașează automat un raport din conținutul căruia rezultă dacă pe document a fost aplicată o semnătură electronică extinsă, bazată pe un certificat calificat nesuspendat sau nerevocat la momentul respectiv și generată cu ajutorul unui dispozitiv securizat de creare a semnăturii electronice. </w:t>
      </w:r>
    </w:p>
    <w:p w14:paraId="334508E8" w14:textId="77777777" w:rsidR="00AE5495" w:rsidRPr="004A72CD" w:rsidRDefault="00AE5495" w:rsidP="00F313A6">
      <w:pPr>
        <w:spacing w:line="276" w:lineRule="auto"/>
        <w:ind w:right="-2" w:firstLine="709"/>
        <w:jc w:val="both"/>
        <w:rPr>
          <w:rFonts w:asciiTheme="minorHAnsi" w:hAnsiTheme="minorHAnsi" w:cstheme="minorHAnsi"/>
          <w:iCs/>
          <w:color w:val="000000"/>
          <w:sz w:val="26"/>
          <w:szCs w:val="26"/>
        </w:rPr>
      </w:pPr>
      <w:r w:rsidRPr="004A72CD">
        <w:rPr>
          <w:rFonts w:asciiTheme="minorHAnsi" w:hAnsiTheme="minorHAnsi" w:cstheme="minorHAnsi"/>
          <w:iCs/>
          <w:color w:val="000000"/>
          <w:sz w:val="26"/>
          <w:szCs w:val="26"/>
        </w:rPr>
        <w:t xml:space="preserve">Pentru dosarele noi, părțile primesc pe email confirmare de înregistrare a dosarului, fiindu-le comunicat și numărul unic al dosarului nou creat. </w:t>
      </w:r>
    </w:p>
    <w:p w14:paraId="7A73690B" w14:textId="77777777" w:rsidR="00AE5495" w:rsidRPr="004A72CD" w:rsidRDefault="00AE5495" w:rsidP="00F313A6">
      <w:pPr>
        <w:spacing w:line="276" w:lineRule="auto"/>
        <w:ind w:right="-2" w:firstLine="709"/>
        <w:jc w:val="both"/>
        <w:rPr>
          <w:rFonts w:asciiTheme="minorHAnsi" w:hAnsiTheme="minorHAnsi" w:cstheme="minorHAnsi"/>
          <w:iCs/>
          <w:color w:val="000000"/>
          <w:sz w:val="26"/>
          <w:szCs w:val="26"/>
        </w:rPr>
      </w:pPr>
      <w:r w:rsidRPr="004A72CD">
        <w:rPr>
          <w:rFonts w:asciiTheme="minorHAnsi" w:hAnsiTheme="minorHAnsi" w:cstheme="minorHAnsi"/>
          <w:iCs/>
          <w:color w:val="000000"/>
          <w:sz w:val="26"/>
          <w:szCs w:val="26"/>
        </w:rPr>
        <w:t xml:space="preserve">Pentru înscrisurile depuse la dosarele existente, părțile primesc pe email confirmarea faptului că documentul a fost încărcat în dosar. </w:t>
      </w:r>
    </w:p>
    <w:p w14:paraId="3891D71D" w14:textId="77777777" w:rsidR="00AE5495" w:rsidRPr="004A72CD" w:rsidRDefault="00AE5495" w:rsidP="00F313A6">
      <w:pPr>
        <w:spacing w:line="276" w:lineRule="auto"/>
        <w:ind w:right="-2" w:firstLine="709"/>
        <w:jc w:val="both"/>
        <w:rPr>
          <w:rFonts w:asciiTheme="minorHAnsi" w:hAnsiTheme="minorHAnsi" w:cstheme="minorHAnsi"/>
          <w:b/>
          <w:bCs/>
          <w:iCs/>
          <w:color w:val="000000"/>
          <w:sz w:val="26"/>
          <w:szCs w:val="26"/>
        </w:rPr>
      </w:pPr>
      <w:r w:rsidRPr="004A72CD">
        <w:rPr>
          <w:rFonts w:asciiTheme="minorHAnsi" w:hAnsiTheme="minorHAnsi" w:cstheme="minorHAnsi"/>
          <w:b/>
          <w:bCs/>
          <w:iCs/>
          <w:color w:val="000000"/>
          <w:sz w:val="26"/>
          <w:szCs w:val="26"/>
        </w:rPr>
        <w:t>Aplicația CSMApp</w:t>
      </w:r>
    </w:p>
    <w:p w14:paraId="4DF640C9" w14:textId="77777777" w:rsidR="00AE5495" w:rsidRPr="004A72CD" w:rsidRDefault="00AE5495" w:rsidP="00F313A6">
      <w:pPr>
        <w:spacing w:line="276" w:lineRule="auto"/>
        <w:ind w:right="-2" w:firstLine="709"/>
        <w:jc w:val="both"/>
        <w:rPr>
          <w:rFonts w:asciiTheme="minorHAnsi" w:hAnsiTheme="minorHAnsi" w:cstheme="minorHAnsi"/>
          <w:iCs/>
          <w:color w:val="000000"/>
          <w:sz w:val="26"/>
          <w:szCs w:val="26"/>
        </w:rPr>
      </w:pPr>
      <w:r w:rsidRPr="004A72CD">
        <w:rPr>
          <w:rFonts w:asciiTheme="minorHAnsi" w:hAnsiTheme="minorHAnsi" w:cstheme="minorHAnsi"/>
          <w:iCs/>
          <w:color w:val="000000"/>
          <w:sz w:val="26"/>
          <w:szCs w:val="26"/>
        </w:rPr>
        <w:t>Aplicația CSMApp a fost îmbunătățită și au fost realizate configurări pentru sesiunile de concursuri organizate de către Consiliu.</w:t>
      </w:r>
    </w:p>
    <w:p w14:paraId="7B204345" w14:textId="77777777" w:rsidR="00AE5495" w:rsidRPr="004A72CD" w:rsidRDefault="00AE5495" w:rsidP="00F313A6">
      <w:pPr>
        <w:spacing w:line="276" w:lineRule="auto"/>
        <w:ind w:right="-2" w:firstLine="709"/>
        <w:jc w:val="both"/>
        <w:rPr>
          <w:rFonts w:asciiTheme="minorHAnsi" w:hAnsiTheme="minorHAnsi" w:cstheme="minorHAnsi"/>
          <w:iCs/>
          <w:color w:val="000000"/>
          <w:sz w:val="26"/>
          <w:szCs w:val="26"/>
        </w:rPr>
      </w:pPr>
      <w:r w:rsidRPr="004A72CD">
        <w:rPr>
          <w:rFonts w:asciiTheme="minorHAnsi" w:hAnsiTheme="minorHAnsi" w:cstheme="minorHAnsi"/>
          <w:iCs/>
          <w:color w:val="000000"/>
          <w:sz w:val="26"/>
          <w:szCs w:val="26"/>
        </w:rPr>
        <w:lastRenderedPageBreak/>
        <w:t>Au fost extinse domeniile în care aceasta este utilizată, fiind organizate prin intermediul acesteia atât sesiuni de transfer, cât și sesiuni de numire din funcția de procuror în funcția de judecător și din funcția de judecător în funcția de procuror.</w:t>
      </w:r>
    </w:p>
    <w:p w14:paraId="1FC1AF9F" w14:textId="77777777" w:rsidR="00AE5495" w:rsidRPr="004A72CD" w:rsidRDefault="00AE5495" w:rsidP="00F313A6">
      <w:pPr>
        <w:spacing w:line="276" w:lineRule="auto"/>
        <w:ind w:right="-2" w:firstLine="709"/>
        <w:jc w:val="both"/>
        <w:rPr>
          <w:rFonts w:asciiTheme="minorHAnsi" w:hAnsiTheme="minorHAnsi" w:cstheme="minorHAnsi"/>
          <w:b/>
          <w:sz w:val="26"/>
          <w:szCs w:val="26"/>
        </w:rPr>
      </w:pPr>
      <w:r w:rsidRPr="004A72CD">
        <w:rPr>
          <w:rFonts w:asciiTheme="minorHAnsi" w:hAnsiTheme="minorHAnsi" w:cstheme="minorHAnsi"/>
          <w:b/>
          <w:sz w:val="26"/>
          <w:szCs w:val="26"/>
        </w:rPr>
        <w:t xml:space="preserve">3. Participare în cadrul mai multor proiecte </w:t>
      </w:r>
    </w:p>
    <w:p w14:paraId="647B1C7C" w14:textId="77777777" w:rsidR="00AE5495" w:rsidRPr="004A72CD" w:rsidRDefault="00AE5495">
      <w:pPr>
        <w:numPr>
          <w:ilvl w:val="0"/>
          <w:numId w:val="33"/>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Formare profesională și consolidarea capacității la nivelul sistemului judiciar, finanțat în cadrul Mecanismului Financiar Norvegian 2014 - 2021;</w:t>
      </w:r>
    </w:p>
    <w:p w14:paraId="6200A3F3" w14:textId="77777777" w:rsidR="00AE5495" w:rsidRPr="004A72CD" w:rsidRDefault="00AE5495">
      <w:pPr>
        <w:numPr>
          <w:ilvl w:val="0"/>
          <w:numId w:val="33"/>
        </w:numPr>
        <w:tabs>
          <w:tab w:val="left" w:pos="993"/>
        </w:tabs>
        <w:spacing w:line="276" w:lineRule="auto"/>
        <w:ind w:left="0" w:right="-2" w:firstLine="709"/>
        <w:contextualSpacing/>
        <w:jc w:val="both"/>
        <w:rPr>
          <w:rFonts w:asciiTheme="minorHAnsi" w:hAnsiTheme="minorHAnsi" w:cstheme="minorHAnsi"/>
          <w:sz w:val="26"/>
          <w:szCs w:val="26"/>
        </w:rPr>
      </w:pPr>
      <w:r w:rsidRPr="004A72CD">
        <w:rPr>
          <w:rFonts w:asciiTheme="minorHAnsi" w:hAnsiTheme="minorHAnsi" w:cstheme="minorHAnsi"/>
          <w:sz w:val="26"/>
          <w:szCs w:val="26"/>
        </w:rPr>
        <w:t>Proiectul „Îmbunătățirea digitalizării la nivelul Consiliului Superior al Magistraturii”, finanțat prin Mecanismul de Redresare și Reziliență, în cadrul Componentei 7 – „Transformare digitală”, Investiția 4 „Digitalizarea sistemului judiciar” din Planul Național de Redresare și Reziliență.</w:t>
      </w:r>
    </w:p>
    <w:p w14:paraId="4D9E987D" w14:textId="77777777" w:rsidR="00AE5495" w:rsidRPr="004A72CD" w:rsidRDefault="00AE5495" w:rsidP="00F313A6">
      <w:pPr>
        <w:spacing w:line="276" w:lineRule="auto"/>
        <w:ind w:right="-2" w:firstLine="709"/>
        <w:jc w:val="both"/>
        <w:rPr>
          <w:rFonts w:asciiTheme="minorHAnsi" w:hAnsiTheme="minorHAnsi" w:cstheme="minorHAnsi"/>
          <w:b/>
          <w:sz w:val="26"/>
          <w:szCs w:val="26"/>
        </w:rPr>
      </w:pPr>
      <w:r w:rsidRPr="004A72CD">
        <w:rPr>
          <w:rFonts w:asciiTheme="minorHAnsi" w:hAnsiTheme="minorHAnsi" w:cstheme="minorHAnsi"/>
          <w:b/>
          <w:sz w:val="26"/>
          <w:szCs w:val="26"/>
        </w:rPr>
        <w:t>4. Securitate</w:t>
      </w:r>
    </w:p>
    <w:p w14:paraId="584CCCE0"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Produsele de securitate la nivel de staţie au fost actualizate la ultimele versiuni. Echipamentele de protecţie la nivelul reţelei au fost monitorizate permanent, prin intermediul consolelor specifice de management, pentru a asigura protecţia împotriva atacurilor cibernetice.</w:t>
      </w:r>
    </w:p>
    <w:p w14:paraId="155C8292" w14:textId="7EED35D3" w:rsidR="00AE5495" w:rsidRPr="004A3440" w:rsidRDefault="00AE5495" w:rsidP="00F313A6">
      <w:pPr>
        <w:pStyle w:val="Heading2"/>
        <w:rPr>
          <w:lang w:val="fr-FR"/>
        </w:rPr>
      </w:pPr>
      <w:bookmarkStart w:id="174" w:name="_Toc94524131"/>
      <w:bookmarkStart w:id="175" w:name="_Toc187824404"/>
      <w:bookmarkEnd w:id="173"/>
      <w:r w:rsidRPr="004A3440">
        <w:rPr>
          <w:lang w:val="fr-FR"/>
        </w:rPr>
        <w:t>VI.10. Activitatea Compartimentului de audit public intern</w:t>
      </w:r>
      <w:bookmarkEnd w:id="174"/>
      <w:bookmarkEnd w:id="175"/>
    </w:p>
    <w:p w14:paraId="1909E2AC"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Structura de audit public intern din cadrul Consiliului Superior al Magistraturii este organizată la nivel de compartiment şi îşi desfăşoară activitatea conform Legii nr. 672/2002 privind auditul public intern, republicată, cu modificările şi completările ulterioare, Normelor generale privind exercitarea activităţii de audit public intern aprobate prin Hotărârea Guvernului nr. 1086/2013 şi </w:t>
      </w:r>
      <w:r w:rsidRPr="004A72CD">
        <w:rPr>
          <w:rFonts w:asciiTheme="minorHAnsi" w:hAnsiTheme="minorHAnsi" w:cstheme="minorHAnsi"/>
          <w:color w:val="000000"/>
          <w:sz w:val="26"/>
          <w:szCs w:val="26"/>
        </w:rPr>
        <w:t>Normelor metodologice privind exercitarea auditului public intern din cadrul Consiliului Superior al Magistraturii</w:t>
      </w:r>
      <w:r w:rsidRPr="004A72CD">
        <w:rPr>
          <w:rFonts w:asciiTheme="minorHAnsi" w:hAnsiTheme="minorHAnsi" w:cstheme="minorHAnsi"/>
          <w:sz w:val="26"/>
          <w:szCs w:val="26"/>
        </w:rPr>
        <w:t>, avizate de către Unitatea Centrală de Armonizare a Auditului Public Intern (U.C.A.A.P.I.), structură în cadrul Ministerului Finanţelor.</w:t>
      </w:r>
    </w:p>
    <w:p w14:paraId="2B49ACD7" w14:textId="3AA1B0B8"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Potrivit art. 102 alin. (1) din Regulamentul de organizare şi funcţionare a Consiliului Superior al Magistraturii</w:t>
      </w:r>
      <w:r w:rsidR="00ED6021">
        <w:rPr>
          <w:rFonts w:asciiTheme="minorHAnsi" w:hAnsiTheme="minorHAnsi" w:cstheme="minorHAnsi"/>
          <w:sz w:val="26"/>
          <w:szCs w:val="26"/>
        </w:rPr>
        <w:t>,</w:t>
      </w:r>
      <w:r w:rsidRPr="004A72CD">
        <w:rPr>
          <w:rFonts w:asciiTheme="minorHAnsi" w:hAnsiTheme="minorHAnsi" w:cstheme="minorHAnsi"/>
          <w:sz w:val="26"/>
          <w:szCs w:val="26"/>
        </w:rPr>
        <w:t xml:space="preserve"> aprobat prin Hotărârea Plenului Consiliului</w:t>
      </w:r>
      <w:r w:rsidR="001C3B8A" w:rsidRPr="004A72CD">
        <w:rPr>
          <w:rFonts w:asciiTheme="minorHAnsi" w:hAnsiTheme="minorHAnsi" w:cstheme="minorHAnsi"/>
          <w:sz w:val="26"/>
          <w:szCs w:val="26"/>
        </w:rPr>
        <w:t xml:space="preserve"> Superior al Magistraturii</w:t>
      </w:r>
      <w:r w:rsidRPr="004A72CD">
        <w:rPr>
          <w:rFonts w:asciiTheme="minorHAnsi" w:hAnsiTheme="minorHAnsi" w:cstheme="minorHAnsi"/>
          <w:sz w:val="26"/>
          <w:szCs w:val="26"/>
        </w:rPr>
        <w:t xml:space="preserve"> nr. 122/2023, Compartimentul de audit public intern reprezintă compartimentul de specialitate care exercită, în condiţiile legii, auditul intern asupra activităţilor desfăşurate în cadrul Consiliului, Institutului Naţional al Magistraturii şi Şcolii Naţionale de Grefieri, iar</w:t>
      </w:r>
      <w:r w:rsidR="00ED6021">
        <w:rPr>
          <w:rFonts w:asciiTheme="minorHAnsi" w:hAnsiTheme="minorHAnsi" w:cstheme="minorHAnsi"/>
          <w:sz w:val="26"/>
          <w:szCs w:val="26"/>
        </w:rPr>
        <w:t>,</w:t>
      </w:r>
      <w:r w:rsidRPr="004A72CD">
        <w:rPr>
          <w:rFonts w:asciiTheme="minorHAnsi" w:hAnsiTheme="minorHAnsi" w:cstheme="minorHAnsi"/>
          <w:sz w:val="26"/>
          <w:szCs w:val="26"/>
        </w:rPr>
        <w:t xml:space="preserve"> potrivit art. 103 alin. (1) lit. e)</w:t>
      </w:r>
      <w:r w:rsidR="00ED6021">
        <w:rPr>
          <w:rFonts w:asciiTheme="minorHAnsi" w:hAnsiTheme="minorHAnsi" w:cstheme="minorHAnsi"/>
          <w:sz w:val="26"/>
          <w:szCs w:val="26"/>
        </w:rPr>
        <w:t>,</w:t>
      </w:r>
      <w:r w:rsidRPr="004A72CD">
        <w:rPr>
          <w:rFonts w:asciiTheme="minorHAnsi" w:hAnsiTheme="minorHAnsi" w:cstheme="minorHAnsi"/>
          <w:sz w:val="26"/>
          <w:szCs w:val="26"/>
        </w:rPr>
        <w:t xml:space="preserve"> efectuează misiuni de evaluare cel puţin o dată la 5 ani la Compartimentul de audit public intern din cadrul Inspecţiei Judiciare. </w:t>
      </w:r>
    </w:p>
    <w:p w14:paraId="44786B1A"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Sfera auditului public intern cuprinde toate activităţile desfăşurate în cadrul Consiliului şi a instituţiilor publice aflate sub coordonarea acestuia, pentru îndeplinirea obiectivelor acestora, inclusiv evaluarea sistemului de control intern managerial.</w:t>
      </w:r>
    </w:p>
    <w:p w14:paraId="5AB1AAB9"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Structura de audit public intern din cadrul Consiliului funcţionează în subordinea directă a Preşedintelui Consiliului Superior al Magistraturii, exercitând o funcţie distinctă şi independentă de activităţile instituţiei.</w:t>
      </w:r>
    </w:p>
    <w:p w14:paraId="6CEF52B9" w14:textId="1ED7555D"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Obiectivul general al auditul</w:t>
      </w:r>
      <w:r w:rsidR="0076218E" w:rsidRPr="004A72CD">
        <w:rPr>
          <w:rFonts w:asciiTheme="minorHAnsi" w:hAnsiTheme="minorHAnsi" w:cstheme="minorHAnsi"/>
          <w:sz w:val="26"/>
          <w:szCs w:val="26"/>
        </w:rPr>
        <w:t>ui</w:t>
      </w:r>
      <w:r w:rsidRPr="004A72CD">
        <w:rPr>
          <w:rFonts w:asciiTheme="minorHAnsi" w:hAnsiTheme="minorHAnsi" w:cstheme="minorHAnsi"/>
          <w:sz w:val="26"/>
          <w:szCs w:val="26"/>
        </w:rPr>
        <w:t xml:space="preserve"> public intern vizează, în principal, îmbunătăţirea managementului prin misiuni de asigurare şi activităţi de consiliere.</w:t>
      </w:r>
    </w:p>
    <w:p w14:paraId="3445630B" w14:textId="3AA08273"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pacing w:val="-4"/>
          <w:sz w:val="26"/>
          <w:szCs w:val="26"/>
        </w:rPr>
        <w:t xml:space="preserve">Compartimentul de audit public intern şi-a </w:t>
      </w:r>
      <w:r w:rsidRPr="004A72CD">
        <w:rPr>
          <w:rFonts w:asciiTheme="minorHAnsi" w:hAnsiTheme="minorHAnsi" w:cstheme="minorHAnsi"/>
          <w:sz w:val="26"/>
          <w:szCs w:val="26"/>
        </w:rPr>
        <w:t>desfăşurat activitatea</w:t>
      </w:r>
      <w:r w:rsidR="00710B22">
        <w:rPr>
          <w:rFonts w:asciiTheme="minorHAnsi" w:hAnsiTheme="minorHAnsi" w:cstheme="minorHAnsi"/>
          <w:sz w:val="26"/>
          <w:szCs w:val="26"/>
        </w:rPr>
        <w:t>,</w:t>
      </w:r>
      <w:r w:rsidRPr="004A72CD">
        <w:rPr>
          <w:rFonts w:asciiTheme="minorHAnsi" w:hAnsiTheme="minorHAnsi" w:cstheme="minorHAnsi"/>
          <w:sz w:val="26"/>
          <w:szCs w:val="26"/>
        </w:rPr>
        <w:t xml:space="preserve"> în anul 2024, potrivit Planului multianual de audit public intern pentru perioada 2023 - 2026, în baza căruia a fost elaborat Planul de audit public intern pentru anul 2024, ambele documente fiind aprobate de către Preşedintele Consiliului Superior al Magistraturii. </w:t>
      </w:r>
    </w:p>
    <w:p w14:paraId="64F55CC2"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lastRenderedPageBreak/>
        <w:t>Ca urmare a rezultatului analizei de risc şi resurselor de audit disponibile pentru anul 2024 (2 auditori interni), au fost planificate un număr de 4 misiuni de audit public intern, procentul de realizare a acestora fiind de 100%, astfel:</w:t>
      </w:r>
    </w:p>
    <w:p w14:paraId="33F46E6C" w14:textId="77777777" w:rsidR="00AE5495" w:rsidRPr="004A72CD" w:rsidRDefault="00AE5495">
      <w:pPr>
        <w:numPr>
          <w:ilvl w:val="0"/>
          <w:numId w:val="14"/>
        </w:numPr>
        <w:tabs>
          <w:tab w:val="left" w:pos="993"/>
        </w:tabs>
        <w:spacing w:line="276" w:lineRule="auto"/>
        <w:ind w:left="0" w:right="-2" w:firstLine="709"/>
        <w:contextualSpacing/>
        <w:jc w:val="both"/>
        <w:rPr>
          <w:rFonts w:asciiTheme="minorHAnsi" w:hAnsiTheme="minorHAnsi" w:cstheme="minorHAnsi"/>
          <w:i/>
          <w:sz w:val="26"/>
          <w:szCs w:val="26"/>
        </w:rPr>
      </w:pPr>
      <w:bookmarkStart w:id="176" w:name="_Hlk135724863"/>
      <w:r w:rsidRPr="004A72CD">
        <w:rPr>
          <w:rFonts w:asciiTheme="minorHAnsi" w:hAnsiTheme="minorHAnsi" w:cstheme="minorHAnsi"/>
          <w:iCs/>
          <w:sz w:val="26"/>
          <w:szCs w:val="26"/>
        </w:rPr>
        <w:t xml:space="preserve">„Evaluarea </w:t>
      </w:r>
      <w:bookmarkEnd w:id="176"/>
      <w:r w:rsidRPr="004A72CD">
        <w:rPr>
          <w:rFonts w:asciiTheme="minorHAnsi" w:hAnsiTheme="minorHAnsi" w:cstheme="minorHAnsi"/>
          <w:iCs/>
          <w:sz w:val="26"/>
          <w:szCs w:val="26"/>
        </w:rPr>
        <w:t>modului de administrare şi gestionare a parcului auto şi a consumului de carburanţi” la Institutul Național al Magistraturii, în perioada 05.02.2024 - 05.04.2024;</w:t>
      </w:r>
    </w:p>
    <w:p w14:paraId="433CE6F2" w14:textId="77777777" w:rsidR="00AE5495" w:rsidRPr="004A72CD" w:rsidRDefault="00AE5495">
      <w:pPr>
        <w:numPr>
          <w:ilvl w:val="0"/>
          <w:numId w:val="14"/>
        </w:numPr>
        <w:tabs>
          <w:tab w:val="left" w:pos="993"/>
        </w:tabs>
        <w:spacing w:line="276" w:lineRule="auto"/>
        <w:ind w:left="0" w:right="-2" w:firstLine="709"/>
        <w:contextualSpacing/>
        <w:jc w:val="both"/>
        <w:rPr>
          <w:rFonts w:asciiTheme="minorHAnsi" w:hAnsiTheme="minorHAnsi" w:cstheme="minorHAnsi"/>
          <w:i/>
          <w:sz w:val="26"/>
          <w:szCs w:val="26"/>
        </w:rPr>
      </w:pPr>
      <w:r w:rsidRPr="004A72CD">
        <w:rPr>
          <w:rFonts w:asciiTheme="minorHAnsi" w:hAnsiTheme="minorHAnsi" w:cstheme="minorHAnsi"/>
          <w:bCs/>
          <w:color w:val="000000"/>
          <w:sz w:val="26"/>
          <w:szCs w:val="26"/>
        </w:rPr>
        <w:t>„Auditarea activităţii de achiziţii publice” la Școala Națională de Grefieri,</w:t>
      </w:r>
      <w:r w:rsidRPr="004A72CD">
        <w:rPr>
          <w:rFonts w:asciiTheme="minorHAnsi" w:hAnsiTheme="minorHAnsi" w:cstheme="minorHAnsi"/>
          <w:iCs/>
          <w:sz w:val="26"/>
          <w:szCs w:val="26"/>
        </w:rPr>
        <w:t xml:space="preserve"> în perioada 08.04.2024 - 07.06.2024;</w:t>
      </w:r>
    </w:p>
    <w:p w14:paraId="1274B738" w14:textId="77777777" w:rsidR="00AE5495" w:rsidRPr="004A72CD" w:rsidRDefault="00AE5495">
      <w:pPr>
        <w:numPr>
          <w:ilvl w:val="0"/>
          <w:numId w:val="14"/>
        </w:numPr>
        <w:tabs>
          <w:tab w:val="left" w:pos="993"/>
        </w:tabs>
        <w:spacing w:line="276" w:lineRule="auto"/>
        <w:ind w:left="0" w:right="-2" w:firstLine="709"/>
        <w:contextualSpacing/>
        <w:jc w:val="both"/>
        <w:rPr>
          <w:rFonts w:asciiTheme="minorHAnsi" w:hAnsiTheme="minorHAnsi" w:cstheme="minorHAnsi"/>
          <w:i/>
          <w:sz w:val="26"/>
          <w:szCs w:val="26"/>
        </w:rPr>
      </w:pPr>
      <w:r w:rsidRPr="004A72CD">
        <w:rPr>
          <w:rFonts w:asciiTheme="minorHAnsi" w:hAnsiTheme="minorHAnsi" w:cstheme="minorHAnsi"/>
          <w:bCs/>
          <w:color w:val="000000"/>
          <w:sz w:val="26"/>
          <w:szCs w:val="26"/>
        </w:rPr>
        <w:t xml:space="preserve">„Auditarea activităţii de achiziţii publice” la </w:t>
      </w:r>
      <w:r w:rsidRPr="004A72CD">
        <w:rPr>
          <w:rFonts w:asciiTheme="minorHAnsi" w:hAnsiTheme="minorHAnsi" w:cstheme="minorHAnsi"/>
          <w:iCs/>
          <w:sz w:val="26"/>
          <w:szCs w:val="26"/>
        </w:rPr>
        <w:t>Institutul Național al Magistraturii</w:t>
      </w:r>
      <w:r w:rsidRPr="004A72CD">
        <w:rPr>
          <w:rFonts w:asciiTheme="minorHAnsi" w:hAnsiTheme="minorHAnsi" w:cstheme="minorHAnsi"/>
          <w:bCs/>
          <w:color w:val="000000"/>
          <w:sz w:val="26"/>
          <w:szCs w:val="26"/>
        </w:rPr>
        <w:t>,</w:t>
      </w:r>
      <w:r w:rsidRPr="004A72CD">
        <w:rPr>
          <w:rFonts w:asciiTheme="minorHAnsi" w:hAnsiTheme="minorHAnsi" w:cstheme="minorHAnsi"/>
          <w:iCs/>
          <w:sz w:val="26"/>
          <w:szCs w:val="26"/>
        </w:rPr>
        <w:t xml:space="preserve"> în perioada 10.06.2024 - 09.08.2024;</w:t>
      </w:r>
    </w:p>
    <w:p w14:paraId="22A5A900" w14:textId="77777777" w:rsidR="00AE5495" w:rsidRPr="004A72CD" w:rsidRDefault="00AE5495">
      <w:pPr>
        <w:numPr>
          <w:ilvl w:val="0"/>
          <w:numId w:val="14"/>
        </w:numPr>
        <w:tabs>
          <w:tab w:val="left" w:pos="993"/>
        </w:tabs>
        <w:spacing w:line="276" w:lineRule="auto"/>
        <w:ind w:left="0" w:right="-2" w:firstLine="709"/>
        <w:contextualSpacing/>
        <w:jc w:val="both"/>
        <w:rPr>
          <w:rFonts w:asciiTheme="minorHAnsi" w:hAnsiTheme="minorHAnsi" w:cstheme="minorHAnsi"/>
          <w:i/>
          <w:sz w:val="26"/>
          <w:szCs w:val="26"/>
        </w:rPr>
      </w:pPr>
      <w:r w:rsidRPr="004A72CD">
        <w:rPr>
          <w:rFonts w:asciiTheme="minorHAnsi" w:hAnsiTheme="minorHAnsi" w:cstheme="minorHAnsi"/>
          <w:bCs/>
          <w:color w:val="000000"/>
          <w:sz w:val="26"/>
          <w:szCs w:val="26"/>
        </w:rPr>
        <w:t>„Auditarea activităţii de achiziţii publice” la Consiliul Superior al Magistraturii,</w:t>
      </w:r>
      <w:r w:rsidRPr="004A72CD">
        <w:rPr>
          <w:rFonts w:asciiTheme="minorHAnsi" w:hAnsiTheme="minorHAnsi" w:cstheme="minorHAnsi"/>
          <w:iCs/>
          <w:sz w:val="26"/>
          <w:szCs w:val="26"/>
        </w:rPr>
        <w:t xml:space="preserve"> în perioada 12.08.2024 - 25.10.2024.</w:t>
      </w:r>
    </w:p>
    <w:p w14:paraId="48512DAE"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De asemenea, în cursul anului a fost elaborată procedura operaţională </w:t>
      </w:r>
      <w:r w:rsidRPr="004A72CD">
        <w:rPr>
          <w:rFonts w:asciiTheme="minorHAnsi" w:hAnsiTheme="minorHAnsi" w:cstheme="minorHAnsi"/>
          <w:bCs/>
          <w:color w:val="000000"/>
          <w:sz w:val="26"/>
          <w:szCs w:val="26"/>
        </w:rPr>
        <w:t>„</w:t>
      </w:r>
      <w:r w:rsidRPr="004A72CD">
        <w:rPr>
          <w:rFonts w:asciiTheme="minorHAnsi" w:hAnsiTheme="minorHAnsi" w:cstheme="minorHAnsi"/>
          <w:sz w:val="26"/>
          <w:szCs w:val="26"/>
        </w:rPr>
        <w:t>Planificarea multianuală şi anuală a activităţii de audit public intern</w:t>
      </w:r>
      <w:r w:rsidRPr="004A72CD">
        <w:rPr>
          <w:rFonts w:asciiTheme="minorHAnsi" w:hAnsiTheme="minorHAnsi" w:cstheme="minorHAnsi"/>
          <w:bCs/>
          <w:color w:val="000000"/>
          <w:sz w:val="26"/>
          <w:szCs w:val="26"/>
        </w:rPr>
        <w:t>”</w:t>
      </w:r>
      <w:r w:rsidRPr="004A72CD">
        <w:rPr>
          <w:rFonts w:asciiTheme="minorHAnsi" w:hAnsiTheme="minorHAnsi" w:cstheme="minorHAnsi"/>
          <w:sz w:val="26"/>
          <w:szCs w:val="26"/>
        </w:rPr>
        <w:t xml:space="preserve"> şi a fost actualizată procedura operaţională </w:t>
      </w:r>
      <w:r w:rsidRPr="004A72CD">
        <w:rPr>
          <w:rFonts w:asciiTheme="minorHAnsi" w:hAnsiTheme="minorHAnsi" w:cstheme="minorHAnsi"/>
          <w:bCs/>
          <w:color w:val="000000"/>
          <w:sz w:val="26"/>
          <w:szCs w:val="26"/>
        </w:rPr>
        <w:t>„</w:t>
      </w:r>
      <w:r w:rsidRPr="004A72CD">
        <w:rPr>
          <w:rFonts w:asciiTheme="minorHAnsi" w:hAnsiTheme="minorHAnsi" w:cstheme="minorHAnsi"/>
          <w:sz w:val="26"/>
          <w:szCs w:val="26"/>
        </w:rPr>
        <w:t>Raport anual privind activitatea de audit public intern</w:t>
      </w:r>
      <w:r w:rsidRPr="004A72CD">
        <w:rPr>
          <w:rFonts w:asciiTheme="minorHAnsi" w:hAnsiTheme="minorHAnsi" w:cstheme="minorHAnsi"/>
          <w:bCs/>
          <w:color w:val="000000"/>
          <w:sz w:val="26"/>
          <w:szCs w:val="26"/>
        </w:rPr>
        <w:t>”</w:t>
      </w:r>
      <w:r w:rsidRPr="004A72CD">
        <w:rPr>
          <w:rFonts w:asciiTheme="minorHAnsi" w:hAnsiTheme="minorHAnsi" w:cstheme="minorHAnsi"/>
          <w:sz w:val="26"/>
          <w:szCs w:val="26"/>
        </w:rPr>
        <w:t>.</w:t>
      </w:r>
      <w:r w:rsidRPr="004A72CD">
        <w:rPr>
          <w:rFonts w:asciiTheme="minorHAnsi" w:hAnsiTheme="minorHAnsi" w:cstheme="minorHAnsi"/>
          <w:bCs/>
          <w:color w:val="000000"/>
          <w:sz w:val="26"/>
          <w:szCs w:val="26"/>
        </w:rPr>
        <w:t xml:space="preserve"> </w:t>
      </w:r>
    </w:p>
    <w:p w14:paraId="6D524D64"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Ca urmare a misiunilor de audit public intern efectuate în anul 2024, au fost elaborate un număr de 4 rapoarte de audit intern care cuprind constatările, cauzele, consecinţele şi recomandările auditorilor interni. Rapoartele de audit intern au fost elaborate cu respectarea legislaţiei în vigoare, fiind însuşite de către conducerea structurilor/instituţiilor auditate şi avizate de către Preşedintele Consiliului Superior al Magistraturii.</w:t>
      </w:r>
    </w:p>
    <w:p w14:paraId="096FE5B9" w14:textId="77777777" w:rsidR="00AE5495" w:rsidRPr="004A72CD" w:rsidRDefault="00AE5495" w:rsidP="00F313A6">
      <w:pPr>
        <w:spacing w:line="276" w:lineRule="auto"/>
        <w:ind w:right="-2" w:firstLine="709"/>
        <w:jc w:val="both"/>
        <w:rPr>
          <w:rFonts w:asciiTheme="minorHAnsi" w:eastAsia="Calibri" w:hAnsiTheme="minorHAnsi" w:cstheme="minorHAnsi"/>
          <w:i/>
          <w:sz w:val="26"/>
          <w:szCs w:val="26"/>
        </w:rPr>
      </w:pPr>
      <w:r w:rsidRPr="004A72CD">
        <w:rPr>
          <w:rFonts w:asciiTheme="minorHAnsi" w:hAnsiTheme="minorHAnsi" w:cstheme="minorHAnsi"/>
          <w:sz w:val="26"/>
          <w:szCs w:val="26"/>
        </w:rPr>
        <w:t>În cadrul fiecărei misiuni de audit public intern a fost întocmit Dosarul misiunii de audit public intern, care cuprinde documentaţia specifică pentru cele 21 de proceduri aferente etapelor realizării fiecărei misiuni de audit, respectiv aproximativ 100 de documente concretizate în ordine, notificări, minute, declaraţii, studii, chestionare, interviuri, teste, liste de verificare, fişe de identificare şi analiză a problemelor, proiecte, rapoarte, sinteze, adrese, alte documente şi Dosarul de lucru care cuprinde copii xerox ale documentelor justificative, care confirmă şi sprijină constatările şi recomandările auditorilor interni.</w:t>
      </w:r>
    </w:p>
    <w:p w14:paraId="24CCAF5E" w14:textId="77777777" w:rsidR="00AE5495" w:rsidRPr="004A72CD" w:rsidRDefault="00AE5495" w:rsidP="00F313A6">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Implementarea recomandărilor formulate de auditorii interni a fost asigurată de către conducătorii structurilor/instituţiilor auditate, la termenele prevăzute în Planul de acţiune pentru implementarea recomandărilor. Urmărirea implementării recomandărilor s-a realizat în cadrul structurii de audit intern, pe baza fişelor de urmărire a implementării recomandărilor.</w:t>
      </w:r>
    </w:p>
    <w:p w14:paraId="5B7075B9" w14:textId="77777777" w:rsidR="00AE5495" w:rsidRPr="004A72CD" w:rsidRDefault="00AE5495" w:rsidP="00F313A6">
      <w:pPr>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Referitor la pregătirea profesională a auditorilor interni, aceasta s-a realizat conform prevederilor legale, auditorii desfăşurând studiu individual pe teme de audit public intern. </w:t>
      </w:r>
    </w:p>
    <w:p w14:paraId="04612C7A" w14:textId="77777777" w:rsidR="00AE5495" w:rsidRPr="00CD3492" w:rsidRDefault="00AE5495" w:rsidP="00F313A6">
      <w:pPr>
        <w:pStyle w:val="Heading2"/>
        <w:rPr>
          <w:lang w:val="ro-RO"/>
        </w:rPr>
      </w:pPr>
      <w:bookmarkStart w:id="177" w:name="_Toc187824405"/>
      <w:r w:rsidRPr="00CD3492">
        <w:rPr>
          <w:lang w:val="ro-RO"/>
        </w:rPr>
        <w:t>VI.11. Activitatea Compartimentului de psihologie a personalului</w:t>
      </w:r>
      <w:bookmarkEnd w:id="177"/>
    </w:p>
    <w:p w14:paraId="1EF3F7E0" w14:textId="1B2C642C" w:rsidR="00AE5495" w:rsidRPr="004A72CD" w:rsidRDefault="00AE5495" w:rsidP="00F313A6">
      <w:pPr>
        <w:tabs>
          <w:tab w:val="left" w:pos="3120"/>
        </w:tabs>
        <w:spacing w:line="276" w:lineRule="auto"/>
        <w:ind w:right="-2" w:firstLine="709"/>
        <w:jc w:val="both"/>
        <w:rPr>
          <w:rFonts w:asciiTheme="minorHAnsi" w:eastAsia="Calibri" w:hAnsiTheme="minorHAnsi" w:cstheme="minorHAnsi"/>
          <w:sz w:val="26"/>
          <w:szCs w:val="26"/>
        </w:rPr>
      </w:pPr>
      <w:r w:rsidRPr="004A72CD">
        <w:rPr>
          <w:rFonts w:asciiTheme="minorHAnsi" w:hAnsiTheme="minorHAnsi" w:cstheme="minorHAnsi"/>
          <w:sz w:val="26"/>
          <w:szCs w:val="26"/>
          <w:lang w:eastAsia="en-GB"/>
        </w:rPr>
        <w:t xml:space="preserve">Compartimentul de psihologie a personalului este constituit </w:t>
      </w:r>
      <w:r w:rsidRPr="004A72CD">
        <w:rPr>
          <w:rFonts w:asciiTheme="minorHAnsi" w:eastAsia="Calibri" w:hAnsiTheme="minorHAnsi" w:cstheme="minorHAnsi"/>
          <w:sz w:val="26"/>
          <w:szCs w:val="26"/>
        </w:rPr>
        <w:t>potrivit dispozițiilor din Legea nr. 213/2004 privind exercitarea profesiei de psiholog cu drept de liberă practică, înființarea, organizarea și funcționarea Colegiului Psihologilor din România, structura de specialitate fiind înregistrată în Registrul structurilor de psihologie conform avizului de funcționare</w:t>
      </w:r>
      <w:r w:rsidR="001C3B8A" w:rsidRPr="004A72CD">
        <w:rPr>
          <w:rFonts w:asciiTheme="minorHAnsi" w:eastAsia="Calibri" w:hAnsiTheme="minorHAnsi" w:cstheme="minorHAnsi"/>
          <w:sz w:val="26"/>
          <w:szCs w:val="26"/>
        </w:rPr>
        <w:t xml:space="preserve"> </w:t>
      </w:r>
      <w:r w:rsidRPr="004A72CD">
        <w:rPr>
          <w:rFonts w:asciiTheme="minorHAnsi" w:eastAsia="Calibri" w:hAnsiTheme="minorHAnsi" w:cstheme="minorHAnsi"/>
          <w:sz w:val="26"/>
          <w:szCs w:val="26"/>
        </w:rPr>
        <w:t>nr. 5/2011 eliberat de Comitetul Director al Colegiului Psihologilor din România.</w:t>
      </w:r>
    </w:p>
    <w:p w14:paraId="1078FEA8" w14:textId="77777777" w:rsidR="00AE5495" w:rsidRPr="004A72CD" w:rsidRDefault="00AE5495" w:rsidP="00F313A6">
      <w:pPr>
        <w:tabs>
          <w:tab w:val="left" w:pos="3120"/>
        </w:tabs>
        <w:spacing w:line="276" w:lineRule="auto"/>
        <w:ind w:right="-2" w:firstLine="709"/>
        <w:jc w:val="both"/>
        <w:rPr>
          <w:rFonts w:asciiTheme="minorHAnsi" w:eastAsia="Calibri" w:hAnsiTheme="minorHAnsi" w:cstheme="minorHAnsi"/>
          <w:sz w:val="26"/>
          <w:szCs w:val="26"/>
        </w:rPr>
      </w:pPr>
      <w:r w:rsidRPr="004A72CD">
        <w:rPr>
          <w:rFonts w:asciiTheme="minorHAnsi" w:eastAsia="Calibri" w:hAnsiTheme="minorHAnsi" w:cstheme="minorHAnsi"/>
          <w:sz w:val="26"/>
          <w:szCs w:val="26"/>
        </w:rPr>
        <w:t>Compartimentul de psihologie asigură coordonarea metodologică a activităţii psihologilor din sistemul judiciar, principalele activități desfășurate fiind în materia testării psihologice</w:t>
      </w:r>
      <w:bookmarkStart w:id="178" w:name="_Hlk118105683"/>
      <w:r w:rsidRPr="004A72CD">
        <w:rPr>
          <w:rFonts w:asciiTheme="minorHAnsi" w:eastAsia="Calibri" w:hAnsiTheme="minorHAnsi" w:cstheme="minorHAnsi"/>
          <w:sz w:val="26"/>
          <w:szCs w:val="26"/>
        </w:rPr>
        <w:t xml:space="preserve"> a candidaților la concursurile organizate de Consiliu,</w:t>
      </w:r>
      <w:bookmarkStart w:id="179" w:name="_Hlk118115224"/>
      <w:bookmarkEnd w:id="178"/>
      <w:r w:rsidRPr="004A72CD">
        <w:rPr>
          <w:rFonts w:asciiTheme="minorHAnsi" w:eastAsia="Calibri" w:hAnsiTheme="minorHAnsi" w:cstheme="minorHAnsi"/>
          <w:sz w:val="26"/>
          <w:szCs w:val="26"/>
        </w:rPr>
        <w:t xml:space="preserve"> evaluării psihologice periodice a judecătorilor, procurorilor, magistraților-asistenți de la Înalta Curte de Casație și Justiție și a personalului de </w:t>
      </w:r>
      <w:r w:rsidRPr="004A72CD">
        <w:rPr>
          <w:rFonts w:asciiTheme="minorHAnsi" w:eastAsia="Calibri" w:hAnsiTheme="minorHAnsi" w:cstheme="minorHAnsi"/>
          <w:sz w:val="26"/>
          <w:szCs w:val="26"/>
        </w:rPr>
        <w:lastRenderedPageBreak/>
        <w:t>specialitate juridică asimilat judecătorilor și procurorilor din cadrul Consiliului și Institutului Național al Magistraturii, în condițiile legii,</w:t>
      </w:r>
      <w:bookmarkEnd w:id="179"/>
      <w:r w:rsidRPr="004A72CD">
        <w:rPr>
          <w:rFonts w:asciiTheme="minorHAnsi" w:eastAsia="Calibri" w:hAnsiTheme="minorHAnsi" w:cstheme="minorHAnsi"/>
          <w:sz w:val="26"/>
          <w:szCs w:val="26"/>
        </w:rPr>
        <w:t xml:space="preserve"> dezvoltării organizaționale, elaborării metodologiilor privind organizarea și desfășurarea testărilor psihologice, desfășurarea programelor de asistență psihologică, analizelor de climat organizațional, evaluării factorilor de risc psihosocial la nivelul personalului etc.</w:t>
      </w:r>
    </w:p>
    <w:p w14:paraId="0CCE21F1" w14:textId="77777777" w:rsidR="00AE5495" w:rsidRPr="004A72CD" w:rsidRDefault="00AE5495" w:rsidP="00F313A6">
      <w:pPr>
        <w:tabs>
          <w:tab w:val="left" w:pos="3120"/>
        </w:tabs>
        <w:spacing w:line="276" w:lineRule="auto"/>
        <w:ind w:right="-2" w:firstLine="709"/>
        <w:jc w:val="both"/>
        <w:rPr>
          <w:rFonts w:asciiTheme="minorHAnsi" w:eastAsia="Calibri" w:hAnsiTheme="minorHAnsi" w:cstheme="minorHAnsi"/>
          <w:sz w:val="26"/>
          <w:szCs w:val="26"/>
        </w:rPr>
      </w:pPr>
      <w:r w:rsidRPr="004A72CD">
        <w:rPr>
          <w:rFonts w:asciiTheme="minorHAnsi" w:eastAsia="Calibri" w:hAnsiTheme="minorHAnsi" w:cstheme="minorHAnsi"/>
          <w:sz w:val="26"/>
          <w:szCs w:val="26"/>
        </w:rPr>
        <w:t>Psihologii încadrați la nivelul Consiliului, Î.C.C.J., I.J., I.N.M., P.Î.C.C.J., curților de apel și al parchetelor de pe lângă curțile de apel sunt atestaţi, în condiţiile legii, în specialitatea „psihologia muncii şi organizaţională”.</w:t>
      </w:r>
    </w:p>
    <w:p w14:paraId="5AF8C2C9" w14:textId="181D452B" w:rsidR="00AE5495" w:rsidRPr="004A72CD" w:rsidRDefault="00AE5495" w:rsidP="00F313A6">
      <w:pPr>
        <w:tabs>
          <w:tab w:val="left" w:pos="3120"/>
        </w:tabs>
        <w:spacing w:line="276" w:lineRule="auto"/>
        <w:ind w:right="-2" w:firstLine="709"/>
        <w:jc w:val="both"/>
        <w:rPr>
          <w:rFonts w:asciiTheme="minorHAnsi" w:eastAsia="Calibri" w:hAnsiTheme="minorHAnsi" w:cstheme="minorHAnsi"/>
          <w:bCs/>
          <w:sz w:val="26"/>
          <w:szCs w:val="26"/>
        </w:rPr>
      </w:pPr>
      <w:r w:rsidRPr="004A72CD">
        <w:rPr>
          <w:rFonts w:asciiTheme="minorHAnsi" w:eastAsia="Calibri" w:hAnsiTheme="minorHAnsi" w:cstheme="minorHAnsi"/>
          <w:bCs/>
          <w:sz w:val="26"/>
          <w:szCs w:val="26"/>
        </w:rPr>
        <w:t>Schema de personal a C.P.P. este alcătuită din două posturi ocupate, respectiv un post consilier-psiholog (funcție publică) și un post de personal contractual, consilier-psiholog</w:t>
      </w:r>
      <w:r w:rsidR="00514853">
        <w:rPr>
          <w:rFonts w:asciiTheme="minorHAnsi" w:eastAsia="Calibri" w:hAnsiTheme="minorHAnsi" w:cstheme="minorHAnsi"/>
          <w:bCs/>
          <w:sz w:val="26"/>
          <w:szCs w:val="26"/>
        </w:rPr>
        <w:t xml:space="preserve">, </w:t>
      </w:r>
      <w:r w:rsidR="00514853" w:rsidRPr="00514853">
        <w:rPr>
          <w:rFonts w:asciiTheme="minorHAnsi" w:eastAsia="Calibri" w:hAnsiTheme="minorHAnsi" w:cstheme="minorHAnsi"/>
          <w:bCs/>
          <w:sz w:val="26"/>
          <w:szCs w:val="26"/>
        </w:rPr>
        <w:t>numărul de posturi fiind stabilit  prin Hotărârea nr. 136/2024 a Plenului Consiliului Superior al Magistraturii prin care a fost aprobată noua structură organizatorică a Consiliului Superior al Magistraturii precum și statele de funcții și de personal valabile de la data de 30</w:t>
      </w:r>
      <w:r w:rsidR="00514853">
        <w:rPr>
          <w:rFonts w:asciiTheme="minorHAnsi" w:eastAsia="Calibri" w:hAnsiTheme="minorHAnsi" w:cstheme="minorHAnsi"/>
          <w:bCs/>
          <w:sz w:val="26"/>
          <w:szCs w:val="26"/>
        </w:rPr>
        <w:t xml:space="preserve"> iunie </w:t>
      </w:r>
      <w:r w:rsidR="00514853" w:rsidRPr="00514853">
        <w:rPr>
          <w:rFonts w:asciiTheme="minorHAnsi" w:eastAsia="Calibri" w:hAnsiTheme="minorHAnsi" w:cstheme="minorHAnsi"/>
          <w:bCs/>
          <w:sz w:val="26"/>
          <w:szCs w:val="26"/>
        </w:rPr>
        <w:t>2024.</w:t>
      </w:r>
    </w:p>
    <w:tbl>
      <w:tblPr>
        <w:tblW w:w="9209" w:type="dxa"/>
        <w:jc w:val="center"/>
        <w:tblLook w:val="04A0" w:firstRow="1" w:lastRow="0" w:firstColumn="1" w:lastColumn="0" w:noHBand="0" w:noVBand="1"/>
      </w:tblPr>
      <w:tblGrid>
        <w:gridCol w:w="1555"/>
        <w:gridCol w:w="984"/>
        <w:gridCol w:w="1687"/>
        <w:gridCol w:w="1681"/>
        <w:gridCol w:w="1724"/>
        <w:gridCol w:w="1579"/>
      </w:tblGrid>
      <w:tr w:rsidR="00AE5495" w:rsidRPr="004A72CD" w14:paraId="3F3DEA84" w14:textId="77777777" w:rsidTr="00946E46">
        <w:trPr>
          <w:trHeight w:val="131"/>
          <w:jc w:val="center"/>
        </w:trPr>
        <w:tc>
          <w:tcPr>
            <w:tcW w:w="1555" w:type="dxa"/>
            <w:vMerge w:val="restart"/>
            <w:tcBorders>
              <w:top w:val="single" w:sz="4" w:space="0" w:color="auto"/>
              <w:left w:val="single" w:sz="4" w:space="0" w:color="auto"/>
              <w:right w:val="single" w:sz="4" w:space="0" w:color="auto"/>
            </w:tcBorders>
            <w:shd w:val="clear" w:color="auto" w:fill="auto"/>
            <w:noWrap/>
            <w:vAlign w:val="center"/>
            <w:hideMark/>
          </w:tcPr>
          <w:p w14:paraId="330CBB53" w14:textId="77777777" w:rsidR="00AE5495" w:rsidRPr="004A72CD" w:rsidRDefault="00AE5495" w:rsidP="00D51F5A">
            <w:pPr>
              <w:spacing w:line="276" w:lineRule="auto"/>
              <w:ind w:right="-2"/>
              <w:jc w:val="center"/>
              <w:rPr>
                <w:rFonts w:asciiTheme="minorHAnsi" w:hAnsiTheme="minorHAnsi" w:cstheme="minorHAnsi"/>
                <w:b/>
                <w:bCs/>
                <w:color w:val="000000"/>
                <w:sz w:val="26"/>
                <w:szCs w:val="26"/>
                <w:lang w:eastAsia="ro-RO"/>
              </w:rPr>
            </w:pPr>
            <w:bookmarkStart w:id="180" w:name="_Hlk145418784"/>
            <w:r w:rsidRPr="004A72CD">
              <w:rPr>
                <w:rFonts w:asciiTheme="minorHAnsi" w:hAnsiTheme="minorHAnsi" w:cstheme="minorHAnsi"/>
                <w:b/>
                <w:bCs/>
                <w:color w:val="000000"/>
                <w:sz w:val="26"/>
                <w:szCs w:val="26"/>
                <w:lang w:eastAsia="ro-RO"/>
              </w:rPr>
              <w:t>Instituția</w:t>
            </w:r>
          </w:p>
          <w:p w14:paraId="0A7B2211" w14:textId="77777777" w:rsidR="00AE5495" w:rsidRPr="004A72CD" w:rsidRDefault="00AE5495" w:rsidP="00D51F5A">
            <w:pPr>
              <w:spacing w:line="276" w:lineRule="auto"/>
              <w:ind w:right="-2"/>
              <w:jc w:val="center"/>
              <w:rPr>
                <w:rFonts w:asciiTheme="minorHAnsi" w:hAnsiTheme="minorHAnsi" w:cstheme="minorHAnsi"/>
                <w:b/>
                <w:bCs/>
                <w:color w:val="000000"/>
                <w:sz w:val="26"/>
                <w:szCs w:val="26"/>
                <w:lang w:eastAsia="ro-RO"/>
              </w:rPr>
            </w:pPr>
          </w:p>
        </w:tc>
        <w:tc>
          <w:tcPr>
            <w:tcW w:w="9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0D6A185" w14:textId="77777777" w:rsidR="00AE5495" w:rsidRPr="004A72CD" w:rsidRDefault="00AE5495" w:rsidP="00D51F5A">
            <w:pPr>
              <w:spacing w:line="276" w:lineRule="auto"/>
              <w:ind w:right="-2"/>
              <w:jc w:val="center"/>
              <w:rPr>
                <w:rFonts w:asciiTheme="minorHAnsi" w:hAnsiTheme="minorHAnsi" w:cstheme="minorHAnsi"/>
                <w:b/>
                <w:bCs/>
                <w:color w:val="000000"/>
                <w:sz w:val="26"/>
                <w:szCs w:val="26"/>
                <w:lang w:eastAsia="ro-RO"/>
              </w:rPr>
            </w:pPr>
            <w:r w:rsidRPr="004A72CD">
              <w:rPr>
                <w:rFonts w:asciiTheme="minorHAnsi" w:hAnsiTheme="minorHAnsi" w:cstheme="minorHAnsi"/>
                <w:b/>
                <w:bCs/>
                <w:color w:val="000000"/>
                <w:sz w:val="26"/>
                <w:szCs w:val="26"/>
                <w:lang w:eastAsia="ro-RO"/>
              </w:rPr>
              <w:t>Posturi</w:t>
            </w:r>
          </w:p>
        </w:tc>
        <w:tc>
          <w:tcPr>
            <w:tcW w:w="6670" w:type="dxa"/>
            <w:gridSpan w:val="4"/>
            <w:tcBorders>
              <w:top w:val="single" w:sz="4" w:space="0" w:color="auto"/>
              <w:left w:val="nil"/>
              <w:bottom w:val="single" w:sz="4" w:space="0" w:color="auto"/>
              <w:right w:val="single" w:sz="4" w:space="0" w:color="auto"/>
            </w:tcBorders>
            <w:shd w:val="clear" w:color="auto" w:fill="auto"/>
            <w:noWrap/>
            <w:vAlign w:val="center"/>
            <w:hideMark/>
          </w:tcPr>
          <w:p w14:paraId="34FF3FC3" w14:textId="77777777" w:rsidR="00AE5495" w:rsidRPr="004A72CD" w:rsidRDefault="00AE5495" w:rsidP="00D51F5A">
            <w:pPr>
              <w:spacing w:line="276" w:lineRule="auto"/>
              <w:ind w:right="-2"/>
              <w:jc w:val="center"/>
              <w:rPr>
                <w:rFonts w:asciiTheme="minorHAnsi" w:hAnsiTheme="minorHAnsi" w:cstheme="minorHAnsi"/>
                <w:b/>
                <w:bCs/>
                <w:color w:val="000000"/>
                <w:sz w:val="26"/>
                <w:szCs w:val="26"/>
                <w:lang w:eastAsia="ro-RO"/>
              </w:rPr>
            </w:pPr>
            <w:r w:rsidRPr="004A72CD">
              <w:rPr>
                <w:rFonts w:asciiTheme="minorHAnsi" w:hAnsiTheme="minorHAnsi" w:cstheme="minorHAnsi"/>
                <w:b/>
                <w:bCs/>
                <w:color w:val="000000"/>
                <w:sz w:val="26"/>
                <w:szCs w:val="26"/>
                <w:lang w:eastAsia="ro-RO"/>
              </w:rPr>
              <w:t>Situația ocupării  posturilor de psiholog la nivelul sistemului judiciar</w:t>
            </w:r>
          </w:p>
        </w:tc>
      </w:tr>
      <w:tr w:rsidR="00AE5495" w:rsidRPr="004A72CD" w14:paraId="2DB66123" w14:textId="77777777" w:rsidTr="00946E46">
        <w:trPr>
          <w:trHeight w:val="131"/>
          <w:jc w:val="center"/>
        </w:trPr>
        <w:tc>
          <w:tcPr>
            <w:tcW w:w="1555" w:type="dxa"/>
            <w:vMerge/>
            <w:tcBorders>
              <w:left w:val="single" w:sz="4" w:space="0" w:color="auto"/>
              <w:bottom w:val="single" w:sz="4" w:space="0" w:color="auto"/>
              <w:right w:val="single" w:sz="4" w:space="0" w:color="auto"/>
            </w:tcBorders>
            <w:shd w:val="clear" w:color="auto" w:fill="auto"/>
            <w:noWrap/>
            <w:vAlign w:val="center"/>
            <w:hideMark/>
          </w:tcPr>
          <w:p w14:paraId="455A9927" w14:textId="77777777" w:rsidR="00AE5495" w:rsidRPr="004A72CD" w:rsidRDefault="00AE5495" w:rsidP="00D51F5A">
            <w:pPr>
              <w:spacing w:line="276" w:lineRule="auto"/>
              <w:ind w:right="-2"/>
              <w:jc w:val="both"/>
              <w:rPr>
                <w:rFonts w:asciiTheme="minorHAnsi" w:hAnsiTheme="minorHAnsi" w:cstheme="minorHAnsi"/>
                <w:b/>
                <w:bCs/>
                <w:color w:val="000000"/>
                <w:sz w:val="26"/>
                <w:szCs w:val="26"/>
                <w:lang w:eastAsia="ro-RO"/>
              </w:rPr>
            </w:pPr>
          </w:p>
        </w:tc>
        <w:tc>
          <w:tcPr>
            <w:tcW w:w="984" w:type="dxa"/>
            <w:vMerge/>
            <w:tcBorders>
              <w:top w:val="single" w:sz="4" w:space="0" w:color="auto"/>
              <w:left w:val="single" w:sz="4" w:space="0" w:color="auto"/>
              <w:bottom w:val="single" w:sz="4" w:space="0" w:color="000000"/>
              <w:right w:val="single" w:sz="4" w:space="0" w:color="auto"/>
            </w:tcBorders>
            <w:vAlign w:val="center"/>
            <w:hideMark/>
          </w:tcPr>
          <w:p w14:paraId="3FB246C8" w14:textId="77777777" w:rsidR="00AE5495" w:rsidRPr="004A72CD" w:rsidRDefault="00AE5495" w:rsidP="00D51F5A">
            <w:pPr>
              <w:spacing w:line="276" w:lineRule="auto"/>
              <w:ind w:right="-2"/>
              <w:jc w:val="both"/>
              <w:rPr>
                <w:rFonts w:asciiTheme="minorHAnsi" w:hAnsiTheme="minorHAnsi" w:cstheme="minorHAnsi"/>
                <w:b/>
                <w:bCs/>
                <w:color w:val="000000"/>
                <w:sz w:val="26"/>
                <w:szCs w:val="26"/>
                <w:lang w:eastAsia="ro-RO"/>
              </w:rPr>
            </w:pPr>
          </w:p>
        </w:tc>
        <w:tc>
          <w:tcPr>
            <w:tcW w:w="0" w:type="auto"/>
            <w:tcBorders>
              <w:top w:val="nil"/>
              <w:left w:val="nil"/>
              <w:bottom w:val="single" w:sz="4" w:space="0" w:color="auto"/>
              <w:right w:val="single" w:sz="4" w:space="0" w:color="auto"/>
            </w:tcBorders>
            <w:shd w:val="clear" w:color="auto" w:fill="auto"/>
            <w:noWrap/>
            <w:vAlign w:val="center"/>
            <w:hideMark/>
          </w:tcPr>
          <w:p w14:paraId="355249CA" w14:textId="77777777" w:rsidR="00AE5495" w:rsidRPr="004A72CD" w:rsidRDefault="00AE5495" w:rsidP="00D51F5A">
            <w:pPr>
              <w:spacing w:line="276" w:lineRule="auto"/>
              <w:ind w:right="-2"/>
              <w:jc w:val="both"/>
              <w:rPr>
                <w:rFonts w:asciiTheme="minorHAnsi" w:hAnsiTheme="minorHAnsi" w:cstheme="minorHAnsi"/>
                <w:b/>
                <w:bCs/>
                <w:color w:val="000000"/>
                <w:sz w:val="26"/>
                <w:szCs w:val="26"/>
                <w:lang w:eastAsia="ro-RO"/>
              </w:rPr>
            </w:pPr>
            <w:r w:rsidRPr="004A72CD">
              <w:rPr>
                <w:rFonts w:asciiTheme="minorHAnsi" w:hAnsiTheme="minorHAnsi" w:cstheme="minorHAnsi"/>
                <w:b/>
                <w:bCs/>
                <w:color w:val="000000"/>
                <w:sz w:val="26"/>
                <w:szCs w:val="26"/>
                <w:lang w:eastAsia="ro-RO"/>
              </w:rPr>
              <w:t>Ocupate</w:t>
            </w:r>
          </w:p>
        </w:tc>
        <w:tc>
          <w:tcPr>
            <w:tcW w:w="0" w:type="auto"/>
            <w:tcBorders>
              <w:top w:val="nil"/>
              <w:left w:val="nil"/>
              <w:bottom w:val="single" w:sz="4" w:space="0" w:color="auto"/>
              <w:right w:val="single" w:sz="4" w:space="0" w:color="auto"/>
            </w:tcBorders>
            <w:shd w:val="clear" w:color="auto" w:fill="auto"/>
            <w:noWrap/>
            <w:vAlign w:val="center"/>
            <w:hideMark/>
          </w:tcPr>
          <w:p w14:paraId="30E589C6" w14:textId="77777777" w:rsidR="00AE5495" w:rsidRPr="004A72CD" w:rsidRDefault="00AE5495" w:rsidP="00D51F5A">
            <w:pPr>
              <w:spacing w:line="276" w:lineRule="auto"/>
              <w:ind w:right="-2"/>
              <w:jc w:val="both"/>
              <w:rPr>
                <w:rFonts w:asciiTheme="minorHAnsi" w:hAnsiTheme="minorHAnsi" w:cstheme="minorHAnsi"/>
                <w:b/>
                <w:bCs/>
                <w:color w:val="000000"/>
                <w:sz w:val="26"/>
                <w:szCs w:val="26"/>
                <w:lang w:eastAsia="ro-RO"/>
              </w:rPr>
            </w:pPr>
            <w:r w:rsidRPr="004A72CD">
              <w:rPr>
                <w:rFonts w:asciiTheme="minorHAnsi" w:hAnsiTheme="minorHAnsi" w:cstheme="minorHAnsi"/>
                <w:b/>
                <w:bCs/>
                <w:color w:val="000000"/>
                <w:sz w:val="26"/>
                <w:szCs w:val="26"/>
                <w:lang w:eastAsia="ro-RO"/>
              </w:rPr>
              <w:t>procent</w:t>
            </w:r>
          </w:p>
        </w:tc>
        <w:tc>
          <w:tcPr>
            <w:tcW w:w="0" w:type="auto"/>
            <w:tcBorders>
              <w:top w:val="nil"/>
              <w:left w:val="nil"/>
              <w:bottom w:val="single" w:sz="4" w:space="0" w:color="auto"/>
              <w:right w:val="single" w:sz="4" w:space="0" w:color="auto"/>
            </w:tcBorders>
            <w:shd w:val="clear" w:color="auto" w:fill="auto"/>
            <w:noWrap/>
            <w:vAlign w:val="center"/>
            <w:hideMark/>
          </w:tcPr>
          <w:p w14:paraId="70E33E07" w14:textId="77777777" w:rsidR="00AE5495" w:rsidRPr="004A72CD" w:rsidRDefault="00AE5495" w:rsidP="00D51F5A">
            <w:pPr>
              <w:spacing w:line="276" w:lineRule="auto"/>
              <w:ind w:right="-2"/>
              <w:jc w:val="both"/>
              <w:rPr>
                <w:rFonts w:asciiTheme="minorHAnsi" w:hAnsiTheme="minorHAnsi" w:cstheme="minorHAnsi"/>
                <w:b/>
                <w:bCs/>
                <w:color w:val="000000"/>
                <w:sz w:val="26"/>
                <w:szCs w:val="26"/>
                <w:lang w:eastAsia="ro-RO"/>
              </w:rPr>
            </w:pPr>
            <w:r w:rsidRPr="004A72CD">
              <w:rPr>
                <w:rFonts w:asciiTheme="minorHAnsi" w:hAnsiTheme="minorHAnsi" w:cstheme="minorHAnsi"/>
                <w:b/>
                <w:bCs/>
                <w:color w:val="000000"/>
                <w:sz w:val="26"/>
                <w:szCs w:val="26"/>
                <w:lang w:eastAsia="ro-RO"/>
              </w:rPr>
              <w:t xml:space="preserve"> Vacante</w:t>
            </w:r>
          </w:p>
        </w:tc>
        <w:tc>
          <w:tcPr>
            <w:tcW w:w="925" w:type="dxa"/>
            <w:tcBorders>
              <w:top w:val="nil"/>
              <w:left w:val="nil"/>
              <w:bottom w:val="single" w:sz="4" w:space="0" w:color="auto"/>
              <w:right w:val="single" w:sz="4" w:space="0" w:color="auto"/>
            </w:tcBorders>
            <w:shd w:val="clear" w:color="auto" w:fill="auto"/>
            <w:noWrap/>
            <w:vAlign w:val="center"/>
            <w:hideMark/>
          </w:tcPr>
          <w:p w14:paraId="58CF8F39" w14:textId="77777777" w:rsidR="00AE5495" w:rsidRPr="004A72CD" w:rsidRDefault="00AE5495" w:rsidP="00D51F5A">
            <w:pPr>
              <w:spacing w:line="276" w:lineRule="auto"/>
              <w:ind w:right="-2"/>
              <w:jc w:val="both"/>
              <w:rPr>
                <w:rFonts w:asciiTheme="minorHAnsi" w:hAnsiTheme="minorHAnsi" w:cstheme="minorHAnsi"/>
                <w:b/>
                <w:bCs/>
                <w:color w:val="000000"/>
                <w:sz w:val="26"/>
                <w:szCs w:val="26"/>
                <w:lang w:eastAsia="ro-RO"/>
              </w:rPr>
            </w:pPr>
            <w:r w:rsidRPr="004A72CD">
              <w:rPr>
                <w:rFonts w:asciiTheme="minorHAnsi" w:hAnsiTheme="minorHAnsi" w:cstheme="minorHAnsi"/>
                <w:b/>
                <w:bCs/>
                <w:color w:val="000000"/>
                <w:sz w:val="26"/>
                <w:szCs w:val="26"/>
                <w:lang w:eastAsia="ro-RO"/>
              </w:rPr>
              <w:t>procent</w:t>
            </w:r>
          </w:p>
        </w:tc>
      </w:tr>
      <w:tr w:rsidR="00AE5495" w:rsidRPr="004A72CD" w14:paraId="0DAE6B4B" w14:textId="77777777" w:rsidTr="00946E46">
        <w:trPr>
          <w:trHeight w:val="131"/>
          <w:jc w:val="center"/>
        </w:trPr>
        <w:tc>
          <w:tcPr>
            <w:tcW w:w="9209" w:type="dxa"/>
            <w:gridSpan w:val="6"/>
            <w:tcBorders>
              <w:left w:val="single" w:sz="4" w:space="0" w:color="auto"/>
              <w:bottom w:val="single" w:sz="4" w:space="0" w:color="auto"/>
              <w:right w:val="single" w:sz="4" w:space="0" w:color="auto"/>
            </w:tcBorders>
            <w:shd w:val="clear" w:color="auto" w:fill="auto"/>
            <w:noWrap/>
            <w:vAlign w:val="center"/>
          </w:tcPr>
          <w:p w14:paraId="48B956FA" w14:textId="77777777" w:rsidR="00AE5495" w:rsidRPr="004A72CD" w:rsidRDefault="00AE5495" w:rsidP="00D51F5A">
            <w:pPr>
              <w:spacing w:line="276" w:lineRule="auto"/>
              <w:ind w:right="-2"/>
              <w:jc w:val="center"/>
              <w:rPr>
                <w:rFonts w:asciiTheme="minorHAnsi" w:hAnsiTheme="minorHAnsi" w:cstheme="minorHAnsi"/>
                <w:color w:val="000000"/>
                <w:sz w:val="26"/>
                <w:szCs w:val="26"/>
                <w:lang w:eastAsia="ro-RO"/>
              </w:rPr>
            </w:pPr>
          </w:p>
          <w:p w14:paraId="094A97CE" w14:textId="77777777" w:rsidR="00AE5495" w:rsidRPr="004A72CD" w:rsidRDefault="00AE5495" w:rsidP="00D51F5A">
            <w:pPr>
              <w:spacing w:line="276" w:lineRule="auto"/>
              <w:ind w:right="-2"/>
              <w:jc w:val="center"/>
              <w:rPr>
                <w:rFonts w:asciiTheme="minorHAnsi" w:hAnsiTheme="minorHAnsi" w:cstheme="minorHAnsi"/>
                <w:b/>
                <w:bCs/>
                <w:color w:val="000000"/>
                <w:sz w:val="26"/>
                <w:szCs w:val="26"/>
                <w:lang w:eastAsia="ro-RO"/>
              </w:rPr>
            </w:pPr>
            <w:r w:rsidRPr="004A72CD">
              <w:rPr>
                <w:rFonts w:asciiTheme="minorHAnsi" w:hAnsiTheme="minorHAnsi" w:cstheme="minorHAnsi"/>
                <w:b/>
                <w:bCs/>
                <w:color w:val="000000"/>
                <w:sz w:val="26"/>
                <w:szCs w:val="26"/>
                <w:lang w:eastAsia="ro-RO"/>
              </w:rPr>
              <w:t>Instituții</w:t>
            </w:r>
          </w:p>
        </w:tc>
      </w:tr>
      <w:tr w:rsidR="00AE5495" w:rsidRPr="004A72CD" w14:paraId="16260755" w14:textId="77777777" w:rsidTr="00946E46">
        <w:trPr>
          <w:trHeight w:val="53"/>
          <w:jc w:val="center"/>
        </w:trPr>
        <w:tc>
          <w:tcPr>
            <w:tcW w:w="1555" w:type="dxa"/>
            <w:tcBorders>
              <w:left w:val="single" w:sz="4" w:space="0" w:color="auto"/>
              <w:bottom w:val="single" w:sz="4" w:space="0" w:color="auto"/>
              <w:right w:val="single" w:sz="4" w:space="0" w:color="auto"/>
            </w:tcBorders>
            <w:shd w:val="clear" w:color="auto" w:fill="auto"/>
            <w:noWrap/>
            <w:vAlign w:val="center"/>
          </w:tcPr>
          <w:p w14:paraId="7756CB39" w14:textId="0894C527" w:rsidR="00AE5495" w:rsidRPr="004A72CD" w:rsidRDefault="00AE5495" w:rsidP="00D51F5A">
            <w:pPr>
              <w:spacing w:line="276" w:lineRule="auto"/>
              <w:ind w:right="-2"/>
              <w:jc w:val="both"/>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I</w:t>
            </w:r>
            <w:r w:rsidR="001C3B8A"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J</w:t>
            </w:r>
            <w:r w:rsidR="001C3B8A" w:rsidRPr="004A72CD">
              <w:rPr>
                <w:rFonts w:asciiTheme="minorHAnsi" w:hAnsiTheme="minorHAnsi" w:cstheme="minorHAnsi"/>
                <w:color w:val="000000"/>
                <w:sz w:val="26"/>
                <w:szCs w:val="26"/>
                <w:lang w:eastAsia="ro-RO"/>
              </w:rPr>
              <w:t>.</w:t>
            </w:r>
          </w:p>
        </w:tc>
        <w:tc>
          <w:tcPr>
            <w:tcW w:w="984" w:type="dxa"/>
            <w:tcBorders>
              <w:top w:val="single" w:sz="4" w:space="0" w:color="auto"/>
              <w:left w:val="single" w:sz="4" w:space="0" w:color="auto"/>
              <w:bottom w:val="single" w:sz="4" w:space="0" w:color="000000"/>
              <w:right w:val="single" w:sz="4" w:space="0" w:color="auto"/>
            </w:tcBorders>
            <w:vAlign w:val="center"/>
          </w:tcPr>
          <w:p w14:paraId="5FDF68D6" w14:textId="0C59756D" w:rsidR="00AE5495" w:rsidRPr="004A72CD" w:rsidRDefault="00AE5495" w:rsidP="00F313A6">
            <w:pPr>
              <w:spacing w:line="276" w:lineRule="auto"/>
              <w:ind w:right="-2"/>
              <w:jc w:val="right"/>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1</w:t>
            </w:r>
          </w:p>
        </w:tc>
        <w:tc>
          <w:tcPr>
            <w:tcW w:w="0" w:type="auto"/>
            <w:tcBorders>
              <w:top w:val="nil"/>
              <w:left w:val="nil"/>
              <w:bottom w:val="single" w:sz="4" w:space="0" w:color="auto"/>
              <w:right w:val="single" w:sz="4" w:space="0" w:color="auto"/>
            </w:tcBorders>
            <w:shd w:val="clear" w:color="auto" w:fill="auto"/>
            <w:noWrap/>
            <w:vAlign w:val="center"/>
          </w:tcPr>
          <w:p w14:paraId="18C5C5CB" w14:textId="77777777" w:rsidR="00AE5495" w:rsidRPr="004A72CD" w:rsidRDefault="00AE5495" w:rsidP="00D51F5A">
            <w:pPr>
              <w:spacing w:line="276" w:lineRule="auto"/>
              <w:ind w:right="-2"/>
              <w:jc w:val="right"/>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1</w:t>
            </w:r>
          </w:p>
        </w:tc>
        <w:tc>
          <w:tcPr>
            <w:tcW w:w="0" w:type="auto"/>
            <w:tcBorders>
              <w:top w:val="nil"/>
              <w:left w:val="nil"/>
              <w:bottom w:val="single" w:sz="4" w:space="0" w:color="auto"/>
              <w:right w:val="single" w:sz="4" w:space="0" w:color="auto"/>
            </w:tcBorders>
            <w:shd w:val="clear" w:color="auto" w:fill="auto"/>
            <w:noWrap/>
            <w:vAlign w:val="center"/>
          </w:tcPr>
          <w:p w14:paraId="679546C8" w14:textId="45E26079" w:rsidR="00AE5495" w:rsidRPr="00F313A6" w:rsidRDefault="00AE5495" w:rsidP="00F313A6">
            <w:pPr>
              <w:spacing w:line="276" w:lineRule="auto"/>
              <w:ind w:right="-2"/>
              <w:jc w:val="right"/>
              <w:rPr>
                <w:rFonts w:asciiTheme="minorHAnsi" w:hAnsiTheme="minorHAnsi" w:cstheme="minorHAnsi"/>
                <w:color w:val="000000"/>
                <w:sz w:val="26"/>
                <w:szCs w:val="26"/>
              </w:rPr>
            </w:pPr>
            <w:r w:rsidRPr="004A72CD">
              <w:rPr>
                <w:rFonts w:asciiTheme="minorHAnsi" w:hAnsiTheme="minorHAnsi" w:cstheme="minorHAnsi"/>
                <w:color w:val="000000"/>
                <w:sz w:val="26"/>
                <w:szCs w:val="26"/>
              </w:rPr>
              <w:t>100,00%</w:t>
            </w:r>
          </w:p>
        </w:tc>
        <w:tc>
          <w:tcPr>
            <w:tcW w:w="0" w:type="auto"/>
            <w:tcBorders>
              <w:top w:val="nil"/>
              <w:left w:val="nil"/>
              <w:bottom w:val="single" w:sz="4" w:space="0" w:color="auto"/>
              <w:right w:val="single" w:sz="4" w:space="0" w:color="auto"/>
            </w:tcBorders>
            <w:shd w:val="clear" w:color="auto" w:fill="auto"/>
            <w:noWrap/>
            <w:vAlign w:val="center"/>
          </w:tcPr>
          <w:p w14:paraId="64C94D02" w14:textId="77777777" w:rsidR="00AE5495" w:rsidRPr="004A72CD" w:rsidRDefault="00AE5495" w:rsidP="00D51F5A">
            <w:pPr>
              <w:spacing w:line="276" w:lineRule="auto"/>
              <w:ind w:right="-2"/>
              <w:jc w:val="both"/>
              <w:rPr>
                <w:rFonts w:asciiTheme="minorHAnsi" w:hAnsiTheme="minorHAnsi" w:cstheme="minorHAnsi"/>
                <w:b/>
                <w:bCs/>
                <w:color w:val="000000"/>
                <w:sz w:val="26"/>
                <w:szCs w:val="26"/>
                <w:lang w:eastAsia="ro-RO"/>
              </w:rPr>
            </w:pPr>
          </w:p>
        </w:tc>
        <w:tc>
          <w:tcPr>
            <w:tcW w:w="925" w:type="dxa"/>
            <w:tcBorders>
              <w:top w:val="nil"/>
              <w:left w:val="nil"/>
              <w:bottom w:val="single" w:sz="4" w:space="0" w:color="auto"/>
              <w:right w:val="single" w:sz="4" w:space="0" w:color="auto"/>
            </w:tcBorders>
            <w:shd w:val="clear" w:color="auto" w:fill="auto"/>
            <w:noWrap/>
            <w:vAlign w:val="center"/>
          </w:tcPr>
          <w:p w14:paraId="199C2437" w14:textId="77777777" w:rsidR="00AE5495" w:rsidRPr="004A72CD" w:rsidRDefault="00AE5495" w:rsidP="00D51F5A">
            <w:pPr>
              <w:spacing w:line="276" w:lineRule="auto"/>
              <w:ind w:right="-2"/>
              <w:jc w:val="both"/>
              <w:rPr>
                <w:rFonts w:asciiTheme="minorHAnsi" w:hAnsiTheme="minorHAnsi" w:cstheme="minorHAnsi"/>
                <w:b/>
                <w:bCs/>
                <w:color w:val="000000"/>
                <w:sz w:val="26"/>
                <w:szCs w:val="26"/>
                <w:lang w:eastAsia="ro-RO"/>
              </w:rPr>
            </w:pPr>
          </w:p>
        </w:tc>
      </w:tr>
      <w:tr w:rsidR="00AE5495" w:rsidRPr="004A72CD" w14:paraId="38FA0822" w14:textId="77777777" w:rsidTr="00946E46">
        <w:trPr>
          <w:trHeight w:val="131"/>
          <w:jc w:val="center"/>
        </w:trPr>
        <w:tc>
          <w:tcPr>
            <w:tcW w:w="1555" w:type="dxa"/>
            <w:tcBorders>
              <w:left w:val="single" w:sz="4" w:space="0" w:color="auto"/>
              <w:bottom w:val="single" w:sz="4" w:space="0" w:color="auto"/>
              <w:right w:val="single" w:sz="4" w:space="0" w:color="auto"/>
            </w:tcBorders>
            <w:shd w:val="clear" w:color="auto" w:fill="auto"/>
            <w:noWrap/>
            <w:vAlign w:val="center"/>
          </w:tcPr>
          <w:p w14:paraId="4BF407F1" w14:textId="075FABC0" w:rsidR="00AE5495" w:rsidRPr="004A72CD" w:rsidRDefault="00AE5495" w:rsidP="00D51F5A">
            <w:pPr>
              <w:spacing w:line="276" w:lineRule="auto"/>
              <w:ind w:right="-2"/>
              <w:jc w:val="both"/>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I</w:t>
            </w:r>
            <w:r w:rsidR="001C3B8A"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N</w:t>
            </w:r>
            <w:r w:rsidR="001C3B8A"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M</w:t>
            </w:r>
            <w:r w:rsidR="001C3B8A" w:rsidRPr="004A72CD">
              <w:rPr>
                <w:rFonts w:asciiTheme="minorHAnsi" w:hAnsiTheme="minorHAnsi" w:cstheme="minorHAnsi"/>
                <w:color w:val="000000"/>
                <w:sz w:val="26"/>
                <w:szCs w:val="26"/>
                <w:lang w:eastAsia="ro-RO"/>
              </w:rPr>
              <w:t>.</w:t>
            </w:r>
          </w:p>
        </w:tc>
        <w:tc>
          <w:tcPr>
            <w:tcW w:w="984" w:type="dxa"/>
            <w:tcBorders>
              <w:top w:val="single" w:sz="4" w:space="0" w:color="auto"/>
              <w:left w:val="single" w:sz="4" w:space="0" w:color="auto"/>
              <w:bottom w:val="single" w:sz="4" w:space="0" w:color="000000"/>
              <w:right w:val="single" w:sz="4" w:space="0" w:color="auto"/>
            </w:tcBorders>
            <w:vAlign w:val="center"/>
          </w:tcPr>
          <w:p w14:paraId="471193F4" w14:textId="2F7F84F2" w:rsidR="00AE5495" w:rsidRPr="004A72CD" w:rsidRDefault="00AE5495" w:rsidP="00F313A6">
            <w:pPr>
              <w:spacing w:line="276" w:lineRule="auto"/>
              <w:ind w:right="-2"/>
              <w:jc w:val="right"/>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2</w:t>
            </w:r>
          </w:p>
        </w:tc>
        <w:tc>
          <w:tcPr>
            <w:tcW w:w="0" w:type="auto"/>
            <w:tcBorders>
              <w:top w:val="nil"/>
              <w:left w:val="nil"/>
              <w:bottom w:val="single" w:sz="4" w:space="0" w:color="auto"/>
              <w:right w:val="single" w:sz="4" w:space="0" w:color="auto"/>
            </w:tcBorders>
            <w:shd w:val="clear" w:color="auto" w:fill="auto"/>
            <w:noWrap/>
            <w:vAlign w:val="center"/>
          </w:tcPr>
          <w:p w14:paraId="0865DE85" w14:textId="77777777" w:rsidR="00AE5495" w:rsidRPr="004A72CD" w:rsidRDefault="00AE5495" w:rsidP="00D51F5A">
            <w:pPr>
              <w:spacing w:line="276" w:lineRule="auto"/>
              <w:ind w:right="-2"/>
              <w:jc w:val="right"/>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2</w:t>
            </w:r>
          </w:p>
        </w:tc>
        <w:tc>
          <w:tcPr>
            <w:tcW w:w="0" w:type="auto"/>
            <w:tcBorders>
              <w:top w:val="nil"/>
              <w:left w:val="nil"/>
              <w:bottom w:val="single" w:sz="4" w:space="0" w:color="auto"/>
              <w:right w:val="single" w:sz="4" w:space="0" w:color="auto"/>
            </w:tcBorders>
            <w:shd w:val="clear" w:color="auto" w:fill="auto"/>
            <w:noWrap/>
            <w:vAlign w:val="center"/>
          </w:tcPr>
          <w:p w14:paraId="3611EE49" w14:textId="189BE3D1" w:rsidR="00AE5495" w:rsidRPr="00F313A6" w:rsidRDefault="00AE5495" w:rsidP="00F313A6">
            <w:pPr>
              <w:spacing w:line="276" w:lineRule="auto"/>
              <w:ind w:right="-2"/>
              <w:jc w:val="right"/>
              <w:rPr>
                <w:rFonts w:asciiTheme="minorHAnsi" w:hAnsiTheme="minorHAnsi" w:cstheme="minorHAnsi"/>
                <w:color w:val="000000"/>
                <w:sz w:val="26"/>
                <w:szCs w:val="26"/>
              </w:rPr>
            </w:pPr>
            <w:r w:rsidRPr="004A72CD">
              <w:rPr>
                <w:rFonts w:asciiTheme="minorHAnsi" w:hAnsiTheme="minorHAnsi" w:cstheme="minorHAnsi"/>
                <w:color w:val="000000"/>
                <w:sz w:val="26"/>
                <w:szCs w:val="26"/>
              </w:rPr>
              <w:t>100,00%</w:t>
            </w:r>
          </w:p>
        </w:tc>
        <w:tc>
          <w:tcPr>
            <w:tcW w:w="0" w:type="auto"/>
            <w:tcBorders>
              <w:top w:val="nil"/>
              <w:left w:val="nil"/>
              <w:bottom w:val="single" w:sz="4" w:space="0" w:color="auto"/>
              <w:right w:val="single" w:sz="4" w:space="0" w:color="auto"/>
            </w:tcBorders>
            <w:shd w:val="clear" w:color="auto" w:fill="auto"/>
            <w:noWrap/>
            <w:vAlign w:val="center"/>
          </w:tcPr>
          <w:p w14:paraId="68EF3352" w14:textId="77777777" w:rsidR="00AE5495" w:rsidRPr="004A72CD" w:rsidRDefault="00AE5495" w:rsidP="00D51F5A">
            <w:pPr>
              <w:spacing w:line="276" w:lineRule="auto"/>
              <w:ind w:right="-2"/>
              <w:jc w:val="both"/>
              <w:rPr>
                <w:rFonts w:asciiTheme="minorHAnsi" w:hAnsiTheme="minorHAnsi" w:cstheme="minorHAnsi"/>
                <w:b/>
                <w:bCs/>
                <w:color w:val="000000"/>
                <w:sz w:val="26"/>
                <w:szCs w:val="26"/>
                <w:lang w:eastAsia="ro-RO"/>
              </w:rPr>
            </w:pPr>
          </w:p>
        </w:tc>
        <w:tc>
          <w:tcPr>
            <w:tcW w:w="925" w:type="dxa"/>
            <w:tcBorders>
              <w:top w:val="nil"/>
              <w:left w:val="nil"/>
              <w:bottom w:val="single" w:sz="4" w:space="0" w:color="auto"/>
              <w:right w:val="single" w:sz="4" w:space="0" w:color="auto"/>
            </w:tcBorders>
            <w:shd w:val="clear" w:color="auto" w:fill="auto"/>
            <w:noWrap/>
            <w:vAlign w:val="center"/>
          </w:tcPr>
          <w:p w14:paraId="3B90B199" w14:textId="77777777" w:rsidR="00AE5495" w:rsidRPr="004A72CD" w:rsidRDefault="00AE5495" w:rsidP="00D51F5A">
            <w:pPr>
              <w:spacing w:line="276" w:lineRule="auto"/>
              <w:ind w:right="-2"/>
              <w:jc w:val="both"/>
              <w:rPr>
                <w:rFonts w:asciiTheme="minorHAnsi" w:hAnsiTheme="minorHAnsi" w:cstheme="minorHAnsi"/>
                <w:b/>
                <w:bCs/>
                <w:color w:val="000000"/>
                <w:sz w:val="26"/>
                <w:szCs w:val="26"/>
                <w:lang w:eastAsia="ro-RO"/>
              </w:rPr>
            </w:pPr>
          </w:p>
        </w:tc>
      </w:tr>
      <w:tr w:rsidR="00AE5495" w:rsidRPr="004A72CD" w14:paraId="66BA7B9A" w14:textId="77777777" w:rsidTr="00946E46">
        <w:trPr>
          <w:trHeight w:val="276"/>
          <w:jc w:val="center"/>
        </w:trPr>
        <w:tc>
          <w:tcPr>
            <w:tcW w:w="9209" w:type="dxa"/>
            <w:gridSpan w:val="6"/>
            <w:tcBorders>
              <w:top w:val="nil"/>
              <w:left w:val="single" w:sz="4" w:space="0" w:color="auto"/>
              <w:bottom w:val="single" w:sz="4" w:space="0" w:color="auto"/>
              <w:right w:val="single" w:sz="4" w:space="0" w:color="auto"/>
            </w:tcBorders>
            <w:shd w:val="clear" w:color="auto" w:fill="auto"/>
            <w:noWrap/>
            <w:vAlign w:val="center"/>
          </w:tcPr>
          <w:p w14:paraId="6B16DA1D" w14:textId="77777777" w:rsidR="00AE5495" w:rsidRPr="004A72CD" w:rsidRDefault="00AE5495" w:rsidP="00D51F5A">
            <w:pPr>
              <w:spacing w:line="276" w:lineRule="auto"/>
              <w:ind w:right="-2"/>
              <w:jc w:val="center"/>
              <w:rPr>
                <w:rFonts w:asciiTheme="minorHAnsi" w:hAnsiTheme="minorHAnsi" w:cstheme="minorHAnsi"/>
                <w:b/>
                <w:bCs/>
                <w:color w:val="000000"/>
                <w:sz w:val="26"/>
                <w:szCs w:val="26"/>
              </w:rPr>
            </w:pPr>
            <w:r w:rsidRPr="004A72CD">
              <w:rPr>
                <w:rFonts w:asciiTheme="minorHAnsi" w:hAnsiTheme="minorHAnsi" w:cstheme="minorHAnsi"/>
                <w:b/>
                <w:bCs/>
                <w:color w:val="000000"/>
                <w:sz w:val="26"/>
                <w:szCs w:val="26"/>
              </w:rPr>
              <w:t>Instanțe judecătorești</w:t>
            </w:r>
          </w:p>
        </w:tc>
      </w:tr>
      <w:tr w:rsidR="00AE5495" w:rsidRPr="004A72CD" w14:paraId="7F60D8B9" w14:textId="77777777" w:rsidTr="00946E46">
        <w:trPr>
          <w:trHeight w:val="253"/>
          <w:jc w:val="center"/>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1B24A089" w14:textId="73A206BB" w:rsidR="00AE5495" w:rsidRPr="004A72CD" w:rsidRDefault="001C3B8A" w:rsidP="00D51F5A">
            <w:pPr>
              <w:spacing w:line="276" w:lineRule="auto"/>
              <w:ind w:right="-2"/>
              <w:jc w:val="both"/>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I.</w:t>
            </w:r>
            <w:r w:rsidR="00AE5495" w:rsidRPr="004A72CD">
              <w:rPr>
                <w:rFonts w:asciiTheme="minorHAnsi" w:hAnsiTheme="minorHAnsi" w:cstheme="minorHAnsi"/>
                <w:color w:val="000000"/>
                <w:sz w:val="26"/>
                <w:szCs w:val="26"/>
                <w:lang w:eastAsia="ro-RO"/>
              </w:rPr>
              <w:t>C</w:t>
            </w:r>
            <w:r w:rsidRPr="004A72CD">
              <w:rPr>
                <w:rFonts w:asciiTheme="minorHAnsi" w:hAnsiTheme="minorHAnsi" w:cstheme="minorHAnsi"/>
                <w:color w:val="000000"/>
                <w:sz w:val="26"/>
                <w:szCs w:val="26"/>
                <w:lang w:eastAsia="ro-RO"/>
              </w:rPr>
              <w:t>.</w:t>
            </w:r>
            <w:r w:rsidR="00AE5495" w:rsidRPr="004A72CD">
              <w:rPr>
                <w:rFonts w:asciiTheme="minorHAnsi" w:hAnsiTheme="minorHAnsi" w:cstheme="minorHAnsi"/>
                <w:color w:val="000000"/>
                <w:sz w:val="26"/>
                <w:szCs w:val="26"/>
                <w:lang w:eastAsia="ro-RO"/>
              </w:rPr>
              <w:t>C</w:t>
            </w:r>
            <w:r w:rsidRPr="004A72CD">
              <w:rPr>
                <w:rFonts w:asciiTheme="minorHAnsi" w:hAnsiTheme="minorHAnsi" w:cstheme="minorHAnsi"/>
                <w:color w:val="000000"/>
                <w:sz w:val="26"/>
                <w:szCs w:val="26"/>
                <w:lang w:eastAsia="ro-RO"/>
              </w:rPr>
              <w:t>.</w:t>
            </w:r>
            <w:r w:rsidR="00AE5495" w:rsidRPr="004A72CD">
              <w:rPr>
                <w:rFonts w:asciiTheme="minorHAnsi" w:hAnsiTheme="minorHAnsi" w:cstheme="minorHAnsi"/>
                <w:color w:val="000000"/>
                <w:sz w:val="26"/>
                <w:szCs w:val="26"/>
                <w:lang w:eastAsia="ro-RO"/>
              </w:rPr>
              <w:t>J</w:t>
            </w:r>
            <w:r w:rsidRPr="004A72CD">
              <w:rPr>
                <w:rFonts w:asciiTheme="minorHAnsi" w:hAnsiTheme="minorHAnsi" w:cstheme="minorHAnsi"/>
                <w:color w:val="000000"/>
                <w:sz w:val="26"/>
                <w:szCs w:val="26"/>
                <w:lang w:eastAsia="ro-RO"/>
              </w:rPr>
              <w:t>.</w:t>
            </w:r>
          </w:p>
        </w:tc>
        <w:tc>
          <w:tcPr>
            <w:tcW w:w="984" w:type="dxa"/>
            <w:tcBorders>
              <w:top w:val="nil"/>
              <w:left w:val="single" w:sz="4" w:space="0" w:color="auto"/>
              <w:bottom w:val="single" w:sz="4" w:space="0" w:color="auto"/>
              <w:right w:val="single" w:sz="4" w:space="0" w:color="auto"/>
            </w:tcBorders>
            <w:shd w:val="clear" w:color="auto" w:fill="auto"/>
            <w:noWrap/>
            <w:vAlign w:val="center"/>
          </w:tcPr>
          <w:p w14:paraId="672F5639" w14:textId="77777777" w:rsidR="00AE5495" w:rsidRPr="004A72CD" w:rsidRDefault="00AE5495" w:rsidP="00D51F5A">
            <w:pPr>
              <w:spacing w:line="276" w:lineRule="auto"/>
              <w:ind w:right="-2"/>
              <w:jc w:val="right"/>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1</w:t>
            </w:r>
          </w:p>
        </w:tc>
        <w:tc>
          <w:tcPr>
            <w:tcW w:w="0" w:type="auto"/>
            <w:tcBorders>
              <w:top w:val="nil"/>
              <w:left w:val="nil"/>
              <w:bottom w:val="single" w:sz="4" w:space="0" w:color="auto"/>
              <w:right w:val="single" w:sz="4" w:space="0" w:color="auto"/>
            </w:tcBorders>
            <w:shd w:val="clear" w:color="auto" w:fill="auto"/>
            <w:noWrap/>
            <w:vAlign w:val="center"/>
          </w:tcPr>
          <w:p w14:paraId="1E0BBA3A"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r w:rsidRPr="004A72CD">
              <w:rPr>
                <w:rFonts w:asciiTheme="minorHAnsi" w:hAnsiTheme="minorHAnsi" w:cstheme="minorHAnsi"/>
                <w:color w:val="000000"/>
                <w:sz w:val="26"/>
                <w:szCs w:val="26"/>
              </w:rPr>
              <w:t>1</w:t>
            </w:r>
          </w:p>
        </w:tc>
        <w:tc>
          <w:tcPr>
            <w:tcW w:w="0" w:type="auto"/>
            <w:tcBorders>
              <w:top w:val="nil"/>
              <w:left w:val="nil"/>
              <w:bottom w:val="single" w:sz="4" w:space="0" w:color="auto"/>
              <w:right w:val="single" w:sz="4" w:space="0" w:color="auto"/>
            </w:tcBorders>
            <w:shd w:val="clear" w:color="auto" w:fill="auto"/>
            <w:noWrap/>
            <w:vAlign w:val="center"/>
          </w:tcPr>
          <w:p w14:paraId="1EFBC869" w14:textId="4A1BFE59" w:rsidR="00AE5495" w:rsidRPr="004A72CD" w:rsidRDefault="00AE5495" w:rsidP="00F313A6">
            <w:pPr>
              <w:spacing w:line="276" w:lineRule="auto"/>
              <w:ind w:right="-2"/>
              <w:jc w:val="right"/>
              <w:rPr>
                <w:rFonts w:asciiTheme="minorHAnsi" w:hAnsiTheme="minorHAnsi" w:cstheme="minorHAnsi"/>
                <w:color w:val="000000"/>
                <w:sz w:val="26"/>
                <w:szCs w:val="26"/>
              </w:rPr>
            </w:pPr>
            <w:r w:rsidRPr="004A72CD">
              <w:rPr>
                <w:rFonts w:asciiTheme="minorHAnsi" w:hAnsiTheme="minorHAnsi" w:cstheme="minorHAnsi"/>
                <w:color w:val="000000"/>
                <w:sz w:val="26"/>
                <w:szCs w:val="26"/>
              </w:rPr>
              <w:t>100,00%</w:t>
            </w:r>
          </w:p>
        </w:tc>
        <w:tc>
          <w:tcPr>
            <w:tcW w:w="0" w:type="auto"/>
            <w:tcBorders>
              <w:top w:val="nil"/>
              <w:left w:val="nil"/>
              <w:bottom w:val="single" w:sz="4" w:space="0" w:color="auto"/>
              <w:right w:val="single" w:sz="4" w:space="0" w:color="auto"/>
            </w:tcBorders>
            <w:shd w:val="clear" w:color="auto" w:fill="auto"/>
            <w:noWrap/>
            <w:vAlign w:val="center"/>
          </w:tcPr>
          <w:p w14:paraId="3C442F99"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p>
        </w:tc>
        <w:tc>
          <w:tcPr>
            <w:tcW w:w="925" w:type="dxa"/>
            <w:tcBorders>
              <w:top w:val="nil"/>
              <w:left w:val="nil"/>
              <w:bottom w:val="single" w:sz="4" w:space="0" w:color="auto"/>
              <w:right w:val="single" w:sz="4" w:space="0" w:color="auto"/>
            </w:tcBorders>
            <w:shd w:val="clear" w:color="auto" w:fill="auto"/>
            <w:noWrap/>
            <w:vAlign w:val="center"/>
          </w:tcPr>
          <w:p w14:paraId="1EE2D70D"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p>
        </w:tc>
      </w:tr>
      <w:tr w:rsidR="00AE5495" w:rsidRPr="004A72CD" w14:paraId="66942A04" w14:textId="77777777" w:rsidTr="00946E46">
        <w:trPr>
          <w:trHeight w:val="232"/>
          <w:jc w:val="center"/>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2DD9C696" w14:textId="2EF96C48" w:rsidR="00AE5495" w:rsidRPr="004A72CD" w:rsidRDefault="00AE5495" w:rsidP="00D51F5A">
            <w:pPr>
              <w:spacing w:line="276" w:lineRule="auto"/>
              <w:ind w:right="-2"/>
              <w:jc w:val="both"/>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C</w:t>
            </w:r>
            <w:r w:rsidR="001C3B8A"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A</w:t>
            </w:r>
            <w:r w:rsidR="001C3B8A" w:rsidRPr="004A72CD">
              <w:rPr>
                <w:rFonts w:asciiTheme="minorHAnsi" w:hAnsiTheme="minorHAnsi" w:cstheme="minorHAnsi"/>
                <w:color w:val="000000"/>
                <w:sz w:val="26"/>
                <w:szCs w:val="26"/>
                <w:lang w:eastAsia="ro-RO"/>
              </w:rPr>
              <w:t>.</w:t>
            </w:r>
          </w:p>
        </w:tc>
        <w:tc>
          <w:tcPr>
            <w:tcW w:w="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43945" w14:textId="77777777" w:rsidR="00AE5495" w:rsidRPr="004A72CD" w:rsidRDefault="00AE5495" w:rsidP="00D51F5A">
            <w:pPr>
              <w:spacing w:line="276" w:lineRule="auto"/>
              <w:ind w:right="-2"/>
              <w:jc w:val="right"/>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rPr>
              <w:t>17</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535B833"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r w:rsidRPr="004A72CD">
              <w:rPr>
                <w:rFonts w:asciiTheme="minorHAnsi" w:hAnsiTheme="minorHAnsi" w:cstheme="minorHAnsi"/>
                <w:color w:val="000000"/>
                <w:sz w:val="26"/>
                <w:szCs w:val="26"/>
              </w:rPr>
              <w:t>15</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8E855D7"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r w:rsidRPr="004A72CD">
              <w:rPr>
                <w:rFonts w:asciiTheme="minorHAnsi" w:hAnsiTheme="minorHAnsi" w:cstheme="minorHAnsi"/>
                <w:color w:val="000000"/>
                <w:sz w:val="26"/>
                <w:szCs w:val="26"/>
              </w:rPr>
              <w:t>88,24%</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43206BA"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r w:rsidRPr="004A72CD">
              <w:rPr>
                <w:rFonts w:asciiTheme="minorHAnsi" w:hAnsiTheme="minorHAnsi" w:cstheme="minorHAnsi"/>
                <w:color w:val="000000"/>
                <w:sz w:val="26"/>
                <w:szCs w:val="26"/>
              </w:rPr>
              <w:t>2</w:t>
            </w:r>
          </w:p>
        </w:tc>
        <w:tc>
          <w:tcPr>
            <w:tcW w:w="925" w:type="dxa"/>
            <w:tcBorders>
              <w:top w:val="single" w:sz="4" w:space="0" w:color="auto"/>
              <w:left w:val="nil"/>
              <w:bottom w:val="single" w:sz="4" w:space="0" w:color="auto"/>
              <w:right w:val="single" w:sz="4" w:space="0" w:color="auto"/>
            </w:tcBorders>
            <w:shd w:val="clear" w:color="auto" w:fill="auto"/>
            <w:noWrap/>
            <w:vAlign w:val="center"/>
          </w:tcPr>
          <w:p w14:paraId="7E38DD71"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r w:rsidRPr="004A72CD">
              <w:rPr>
                <w:rFonts w:asciiTheme="minorHAnsi" w:hAnsiTheme="minorHAnsi" w:cstheme="minorHAnsi"/>
                <w:color w:val="000000"/>
                <w:sz w:val="26"/>
                <w:szCs w:val="26"/>
              </w:rPr>
              <w:t>11,76%</w:t>
            </w:r>
          </w:p>
        </w:tc>
      </w:tr>
      <w:tr w:rsidR="00AE5495" w:rsidRPr="004A72CD" w14:paraId="32FBFD8E" w14:textId="77777777" w:rsidTr="00946E46">
        <w:trPr>
          <w:trHeight w:val="237"/>
          <w:jc w:val="center"/>
        </w:trPr>
        <w:tc>
          <w:tcPr>
            <w:tcW w:w="9209" w:type="dxa"/>
            <w:gridSpan w:val="6"/>
            <w:tcBorders>
              <w:top w:val="nil"/>
              <w:left w:val="single" w:sz="4" w:space="0" w:color="auto"/>
              <w:bottom w:val="single" w:sz="4" w:space="0" w:color="auto"/>
              <w:right w:val="single" w:sz="4" w:space="0" w:color="auto"/>
            </w:tcBorders>
            <w:shd w:val="clear" w:color="auto" w:fill="auto"/>
            <w:noWrap/>
            <w:vAlign w:val="center"/>
          </w:tcPr>
          <w:p w14:paraId="5D1CBFEE" w14:textId="77777777" w:rsidR="00AE5495" w:rsidRPr="004A72CD" w:rsidRDefault="00AE5495" w:rsidP="00D51F5A">
            <w:pPr>
              <w:spacing w:line="276" w:lineRule="auto"/>
              <w:ind w:right="-2"/>
              <w:jc w:val="center"/>
              <w:rPr>
                <w:rFonts w:asciiTheme="minorHAnsi" w:hAnsiTheme="minorHAnsi" w:cstheme="minorHAnsi"/>
                <w:b/>
                <w:bCs/>
                <w:color w:val="000000"/>
                <w:sz w:val="26"/>
                <w:szCs w:val="26"/>
              </w:rPr>
            </w:pPr>
            <w:r w:rsidRPr="004A72CD">
              <w:rPr>
                <w:rFonts w:asciiTheme="minorHAnsi" w:hAnsiTheme="minorHAnsi" w:cstheme="minorHAnsi"/>
                <w:b/>
                <w:bCs/>
                <w:color w:val="000000"/>
                <w:sz w:val="26"/>
                <w:szCs w:val="26"/>
              </w:rPr>
              <w:t>Unități de parchet</w:t>
            </w:r>
          </w:p>
        </w:tc>
      </w:tr>
      <w:tr w:rsidR="00AE5495" w:rsidRPr="004A72CD" w14:paraId="4D833678" w14:textId="77777777" w:rsidTr="00946E46">
        <w:trPr>
          <w:trHeight w:val="296"/>
          <w:jc w:val="center"/>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083B003D" w14:textId="19B4E78E" w:rsidR="00AE5495" w:rsidRPr="004A72CD" w:rsidRDefault="00AE5495" w:rsidP="00D51F5A">
            <w:pPr>
              <w:spacing w:line="276" w:lineRule="auto"/>
              <w:ind w:right="-2"/>
              <w:jc w:val="both"/>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P</w:t>
            </w:r>
            <w:r w:rsidR="001C3B8A"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I</w:t>
            </w:r>
            <w:r w:rsidR="001C3B8A"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C</w:t>
            </w:r>
            <w:r w:rsidR="001C3B8A"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C</w:t>
            </w:r>
            <w:r w:rsidR="001C3B8A"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J</w:t>
            </w:r>
            <w:r w:rsidR="001C3B8A" w:rsidRPr="004A72CD">
              <w:rPr>
                <w:rFonts w:asciiTheme="minorHAnsi" w:hAnsiTheme="minorHAnsi" w:cstheme="minorHAnsi"/>
                <w:color w:val="000000"/>
                <w:sz w:val="26"/>
                <w:szCs w:val="26"/>
                <w:lang w:eastAsia="ro-RO"/>
              </w:rPr>
              <w:t>.</w:t>
            </w:r>
          </w:p>
        </w:tc>
        <w:tc>
          <w:tcPr>
            <w:tcW w:w="984" w:type="dxa"/>
            <w:tcBorders>
              <w:top w:val="nil"/>
              <w:left w:val="single" w:sz="4" w:space="0" w:color="auto"/>
              <w:bottom w:val="single" w:sz="4" w:space="0" w:color="auto"/>
              <w:right w:val="single" w:sz="4" w:space="0" w:color="auto"/>
            </w:tcBorders>
            <w:shd w:val="clear" w:color="auto" w:fill="auto"/>
            <w:noWrap/>
            <w:vAlign w:val="center"/>
          </w:tcPr>
          <w:p w14:paraId="5A84DADB" w14:textId="77777777" w:rsidR="00AE5495" w:rsidRPr="004A72CD" w:rsidRDefault="00AE5495" w:rsidP="00D51F5A">
            <w:pPr>
              <w:spacing w:line="276" w:lineRule="auto"/>
              <w:ind w:right="-2"/>
              <w:jc w:val="right"/>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1</w:t>
            </w:r>
          </w:p>
        </w:tc>
        <w:tc>
          <w:tcPr>
            <w:tcW w:w="0" w:type="auto"/>
            <w:tcBorders>
              <w:top w:val="nil"/>
              <w:left w:val="nil"/>
              <w:bottom w:val="single" w:sz="4" w:space="0" w:color="auto"/>
              <w:right w:val="single" w:sz="4" w:space="0" w:color="auto"/>
            </w:tcBorders>
            <w:shd w:val="clear" w:color="auto" w:fill="auto"/>
            <w:noWrap/>
            <w:vAlign w:val="center"/>
          </w:tcPr>
          <w:p w14:paraId="35CCF454"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r w:rsidRPr="004A72CD">
              <w:rPr>
                <w:rFonts w:asciiTheme="minorHAnsi" w:hAnsiTheme="minorHAnsi" w:cstheme="minorHAnsi"/>
                <w:color w:val="000000"/>
                <w:sz w:val="26"/>
                <w:szCs w:val="26"/>
              </w:rPr>
              <w:t>1</w:t>
            </w:r>
          </w:p>
        </w:tc>
        <w:tc>
          <w:tcPr>
            <w:tcW w:w="0" w:type="auto"/>
            <w:tcBorders>
              <w:top w:val="nil"/>
              <w:left w:val="nil"/>
              <w:bottom w:val="single" w:sz="4" w:space="0" w:color="auto"/>
              <w:right w:val="single" w:sz="4" w:space="0" w:color="auto"/>
            </w:tcBorders>
            <w:shd w:val="clear" w:color="auto" w:fill="auto"/>
            <w:noWrap/>
            <w:vAlign w:val="center"/>
          </w:tcPr>
          <w:p w14:paraId="246F1CA4" w14:textId="5C9503CF" w:rsidR="00AE5495" w:rsidRPr="004A72CD" w:rsidRDefault="00AE5495" w:rsidP="00F313A6">
            <w:pPr>
              <w:spacing w:line="276" w:lineRule="auto"/>
              <w:ind w:right="-2"/>
              <w:jc w:val="right"/>
              <w:rPr>
                <w:rFonts w:asciiTheme="minorHAnsi" w:hAnsiTheme="minorHAnsi" w:cstheme="minorHAnsi"/>
                <w:color w:val="000000"/>
                <w:sz w:val="26"/>
                <w:szCs w:val="26"/>
              </w:rPr>
            </w:pPr>
            <w:r w:rsidRPr="004A72CD">
              <w:rPr>
                <w:rFonts w:asciiTheme="minorHAnsi" w:hAnsiTheme="minorHAnsi" w:cstheme="minorHAnsi"/>
                <w:color w:val="000000"/>
                <w:sz w:val="26"/>
                <w:szCs w:val="26"/>
              </w:rPr>
              <w:t>100,00%</w:t>
            </w:r>
          </w:p>
        </w:tc>
        <w:tc>
          <w:tcPr>
            <w:tcW w:w="0" w:type="auto"/>
            <w:tcBorders>
              <w:top w:val="nil"/>
              <w:left w:val="nil"/>
              <w:bottom w:val="single" w:sz="4" w:space="0" w:color="auto"/>
              <w:right w:val="single" w:sz="4" w:space="0" w:color="auto"/>
            </w:tcBorders>
            <w:shd w:val="clear" w:color="auto" w:fill="auto"/>
            <w:noWrap/>
            <w:vAlign w:val="center"/>
          </w:tcPr>
          <w:p w14:paraId="55AA87E2"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p>
        </w:tc>
        <w:tc>
          <w:tcPr>
            <w:tcW w:w="925" w:type="dxa"/>
            <w:tcBorders>
              <w:top w:val="nil"/>
              <w:left w:val="nil"/>
              <w:bottom w:val="single" w:sz="4" w:space="0" w:color="auto"/>
              <w:right w:val="single" w:sz="4" w:space="0" w:color="auto"/>
            </w:tcBorders>
            <w:shd w:val="clear" w:color="auto" w:fill="auto"/>
            <w:noWrap/>
            <w:vAlign w:val="center"/>
          </w:tcPr>
          <w:p w14:paraId="0A2BCDCF"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p>
        </w:tc>
      </w:tr>
      <w:tr w:rsidR="00AE5495" w:rsidRPr="004A72CD" w14:paraId="2ED56D4A" w14:textId="77777777" w:rsidTr="00946E46">
        <w:trPr>
          <w:trHeight w:val="296"/>
          <w:jc w:val="center"/>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1030BFB6" w14:textId="5BC012F6" w:rsidR="00AE5495" w:rsidRPr="004A72CD" w:rsidRDefault="00AE5495" w:rsidP="00D51F5A">
            <w:pPr>
              <w:spacing w:line="276" w:lineRule="auto"/>
              <w:ind w:right="-2"/>
              <w:jc w:val="both"/>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D</w:t>
            </w:r>
            <w:r w:rsidR="001C3B8A"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N</w:t>
            </w:r>
            <w:r w:rsidR="001C3B8A"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A</w:t>
            </w:r>
            <w:r w:rsidR="001C3B8A" w:rsidRPr="004A72CD">
              <w:rPr>
                <w:rFonts w:asciiTheme="minorHAnsi" w:hAnsiTheme="minorHAnsi" w:cstheme="minorHAnsi"/>
                <w:color w:val="000000"/>
                <w:sz w:val="26"/>
                <w:szCs w:val="26"/>
                <w:lang w:eastAsia="ro-RO"/>
              </w:rPr>
              <w:t>.</w:t>
            </w:r>
          </w:p>
        </w:tc>
        <w:tc>
          <w:tcPr>
            <w:tcW w:w="984" w:type="dxa"/>
            <w:tcBorders>
              <w:top w:val="nil"/>
              <w:left w:val="single" w:sz="4" w:space="0" w:color="auto"/>
              <w:bottom w:val="single" w:sz="4" w:space="0" w:color="auto"/>
              <w:right w:val="single" w:sz="4" w:space="0" w:color="auto"/>
            </w:tcBorders>
            <w:shd w:val="clear" w:color="auto" w:fill="auto"/>
            <w:noWrap/>
            <w:vAlign w:val="center"/>
          </w:tcPr>
          <w:p w14:paraId="393768F5" w14:textId="77777777" w:rsidR="00AE5495" w:rsidRPr="004A72CD" w:rsidRDefault="00AE5495" w:rsidP="00D51F5A">
            <w:pPr>
              <w:spacing w:line="276" w:lineRule="auto"/>
              <w:ind w:right="-2"/>
              <w:jc w:val="right"/>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1</w:t>
            </w:r>
          </w:p>
        </w:tc>
        <w:tc>
          <w:tcPr>
            <w:tcW w:w="0" w:type="auto"/>
            <w:tcBorders>
              <w:top w:val="nil"/>
              <w:left w:val="nil"/>
              <w:bottom w:val="single" w:sz="4" w:space="0" w:color="auto"/>
              <w:right w:val="single" w:sz="4" w:space="0" w:color="auto"/>
            </w:tcBorders>
            <w:shd w:val="clear" w:color="auto" w:fill="auto"/>
            <w:noWrap/>
            <w:vAlign w:val="center"/>
          </w:tcPr>
          <w:p w14:paraId="1DC24F8E"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r w:rsidRPr="004A72CD">
              <w:rPr>
                <w:rFonts w:asciiTheme="minorHAnsi" w:hAnsiTheme="minorHAnsi" w:cstheme="minorHAnsi"/>
                <w:color w:val="000000"/>
                <w:sz w:val="26"/>
                <w:szCs w:val="26"/>
              </w:rPr>
              <w:t>1</w:t>
            </w:r>
          </w:p>
        </w:tc>
        <w:tc>
          <w:tcPr>
            <w:tcW w:w="0" w:type="auto"/>
            <w:tcBorders>
              <w:top w:val="nil"/>
              <w:left w:val="nil"/>
              <w:bottom w:val="single" w:sz="4" w:space="0" w:color="auto"/>
              <w:right w:val="single" w:sz="4" w:space="0" w:color="auto"/>
            </w:tcBorders>
            <w:shd w:val="clear" w:color="auto" w:fill="auto"/>
            <w:noWrap/>
            <w:vAlign w:val="center"/>
          </w:tcPr>
          <w:p w14:paraId="4272B82D"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r w:rsidRPr="004A72CD">
              <w:rPr>
                <w:rFonts w:asciiTheme="minorHAnsi" w:hAnsiTheme="minorHAnsi" w:cstheme="minorHAnsi"/>
                <w:sz w:val="26"/>
                <w:szCs w:val="26"/>
              </w:rPr>
              <w:t>100,00%</w:t>
            </w:r>
          </w:p>
        </w:tc>
        <w:tc>
          <w:tcPr>
            <w:tcW w:w="0" w:type="auto"/>
            <w:tcBorders>
              <w:top w:val="nil"/>
              <w:left w:val="nil"/>
              <w:bottom w:val="single" w:sz="4" w:space="0" w:color="auto"/>
              <w:right w:val="single" w:sz="4" w:space="0" w:color="auto"/>
            </w:tcBorders>
            <w:shd w:val="clear" w:color="auto" w:fill="auto"/>
            <w:noWrap/>
            <w:vAlign w:val="center"/>
          </w:tcPr>
          <w:p w14:paraId="46107C06"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p>
        </w:tc>
        <w:tc>
          <w:tcPr>
            <w:tcW w:w="925" w:type="dxa"/>
            <w:tcBorders>
              <w:top w:val="nil"/>
              <w:left w:val="nil"/>
              <w:bottom w:val="single" w:sz="4" w:space="0" w:color="auto"/>
              <w:right w:val="single" w:sz="4" w:space="0" w:color="auto"/>
            </w:tcBorders>
            <w:shd w:val="clear" w:color="auto" w:fill="auto"/>
            <w:noWrap/>
            <w:vAlign w:val="center"/>
          </w:tcPr>
          <w:p w14:paraId="0172DEAE"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p>
        </w:tc>
      </w:tr>
      <w:tr w:rsidR="00AE5495" w:rsidRPr="004A72CD" w14:paraId="34C6E0E7" w14:textId="77777777" w:rsidTr="00946E46">
        <w:trPr>
          <w:trHeight w:val="296"/>
          <w:jc w:val="center"/>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26282DB1" w14:textId="72A43D62" w:rsidR="00AE5495" w:rsidRPr="004A72CD" w:rsidRDefault="00AE5495" w:rsidP="00D51F5A">
            <w:pPr>
              <w:spacing w:line="276" w:lineRule="auto"/>
              <w:ind w:right="-2"/>
              <w:jc w:val="both"/>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D</w:t>
            </w:r>
            <w:r w:rsidR="001C3B8A"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I</w:t>
            </w:r>
            <w:r w:rsidR="001C3B8A"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I</w:t>
            </w:r>
            <w:r w:rsidR="001C3B8A"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C</w:t>
            </w:r>
            <w:r w:rsidR="001C3B8A"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O</w:t>
            </w:r>
            <w:r w:rsidR="001C3B8A"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T</w:t>
            </w:r>
            <w:r w:rsidR="001C3B8A" w:rsidRPr="004A72CD">
              <w:rPr>
                <w:rFonts w:asciiTheme="minorHAnsi" w:hAnsiTheme="minorHAnsi" w:cstheme="minorHAnsi"/>
                <w:color w:val="000000"/>
                <w:sz w:val="26"/>
                <w:szCs w:val="26"/>
                <w:lang w:eastAsia="ro-RO"/>
              </w:rPr>
              <w:t>.</w:t>
            </w:r>
          </w:p>
        </w:tc>
        <w:tc>
          <w:tcPr>
            <w:tcW w:w="984" w:type="dxa"/>
            <w:tcBorders>
              <w:top w:val="nil"/>
              <w:left w:val="single" w:sz="4" w:space="0" w:color="auto"/>
              <w:bottom w:val="single" w:sz="4" w:space="0" w:color="auto"/>
              <w:right w:val="single" w:sz="4" w:space="0" w:color="auto"/>
            </w:tcBorders>
            <w:shd w:val="clear" w:color="auto" w:fill="auto"/>
            <w:noWrap/>
            <w:vAlign w:val="center"/>
          </w:tcPr>
          <w:p w14:paraId="6E6D98D8" w14:textId="77777777" w:rsidR="00AE5495" w:rsidRPr="004A72CD" w:rsidRDefault="00AE5495" w:rsidP="00D51F5A">
            <w:pPr>
              <w:spacing w:line="276" w:lineRule="auto"/>
              <w:ind w:right="-2"/>
              <w:jc w:val="right"/>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1</w:t>
            </w:r>
          </w:p>
        </w:tc>
        <w:tc>
          <w:tcPr>
            <w:tcW w:w="0" w:type="auto"/>
            <w:tcBorders>
              <w:top w:val="nil"/>
              <w:left w:val="nil"/>
              <w:bottom w:val="single" w:sz="4" w:space="0" w:color="auto"/>
              <w:right w:val="single" w:sz="4" w:space="0" w:color="auto"/>
            </w:tcBorders>
            <w:shd w:val="clear" w:color="auto" w:fill="auto"/>
            <w:noWrap/>
            <w:vAlign w:val="center"/>
          </w:tcPr>
          <w:p w14:paraId="7D8D837C"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r w:rsidRPr="004A72CD">
              <w:rPr>
                <w:rFonts w:asciiTheme="minorHAnsi" w:hAnsiTheme="minorHAnsi" w:cstheme="minorHAnsi"/>
                <w:color w:val="000000"/>
                <w:sz w:val="26"/>
                <w:szCs w:val="26"/>
              </w:rPr>
              <w:t>1</w:t>
            </w:r>
          </w:p>
        </w:tc>
        <w:tc>
          <w:tcPr>
            <w:tcW w:w="0" w:type="auto"/>
            <w:tcBorders>
              <w:top w:val="nil"/>
              <w:left w:val="nil"/>
              <w:bottom w:val="single" w:sz="4" w:space="0" w:color="auto"/>
              <w:right w:val="single" w:sz="4" w:space="0" w:color="auto"/>
            </w:tcBorders>
            <w:shd w:val="clear" w:color="auto" w:fill="auto"/>
            <w:noWrap/>
            <w:vAlign w:val="center"/>
          </w:tcPr>
          <w:p w14:paraId="38FA3757"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r w:rsidRPr="004A72CD">
              <w:rPr>
                <w:rFonts w:asciiTheme="minorHAnsi" w:hAnsiTheme="minorHAnsi" w:cstheme="minorHAnsi"/>
                <w:sz w:val="26"/>
                <w:szCs w:val="26"/>
              </w:rPr>
              <w:t>100,00%</w:t>
            </w:r>
          </w:p>
        </w:tc>
        <w:tc>
          <w:tcPr>
            <w:tcW w:w="0" w:type="auto"/>
            <w:tcBorders>
              <w:top w:val="nil"/>
              <w:left w:val="nil"/>
              <w:bottom w:val="single" w:sz="4" w:space="0" w:color="auto"/>
              <w:right w:val="single" w:sz="4" w:space="0" w:color="auto"/>
            </w:tcBorders>
            <w:shd w:val="clear" w:color="auto" w:fill="auto"/>
            <w:noWrap/>
            <w:vAlign w:val="center"/>
          </w:tcPr>
          <w:p w14:paraId="7229D1DB"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p>
        </w:tc>
        <w:tc>
          <w:tcPr>
            <w:tcW w:w="925" w:type="dxa"/>
            <w:tcBorders>
              <w:top w:val="nil"/>
              <w:left w:val="nil"/>
              <w:bottom w:val="single" w:sz="4" w:space="0" w:color="auto"/>
              <w:right w:val="single" w:sz="4" w:space="0" w:color="auto"/>
            </w:tcBorders>
            <w:shd w:val="clear" w:color="auto" w:fill="auto"/>
            <w:noWrap/>
            <w:vAlign w:val="center"/>
          </w:tcPr>
          <w:p w14:paraId="4964A2D0"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p>
        </w:tc>
      </w:tr>
      <w:tr w:rsidR="00AE5495" w:rsidRPr="004A72CD" w14:paraId="1E1DFB59" w14:textId="77777777" w:rsidTr="00946E46">
        <w:trPr>
          <w:trHeight w:val="296"/>
          <w:jc w:val="center"/>
        </w:trPr>
        <w:tc>
          <w:tcPr>
            <w:tcW w:w="1555" w:type="dxa"/>
            <w:tcBorders>
              <w:top w:val="nil"/>
              <w:left w:val="single" w:sz="4" w:space="0" w:color="auto"/>
              <w:bottom w:val="nil"/>
              <w:right w:val="single" w:sz="4" w:space="0" w:color="auto"/>
            </w:tcBorders>
            <w:shd w:val="clear" w:color="auto" w:fill="auto"/>
            <w:noWrap/>
            <w:vAlign w:val="center"/>
          </w:tcPr>
          <w:p w14:paraId="4CAEC181" w14:textId="7514E78F" w:rsidR="00AE5495" w:rsidRPr="004A72CD" w:rsidRDefault="00AE5495" w:rsidP="00D51F5A">
            <w:pPr>
              <w:spacing w:line="276" w:lineRule="auto"/>
              <w:ind w:right="-2"/>
              <w:jc w:val="both"/>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P</w:t>
            </w:r>
            <w:r w:rsidR="00DF64CE"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C</w:t>
            </w:r>
            <w:r w:rsidR="00DF64CE" w:rsidRPr="004A72CD">
              <w:rPr>
                <w:rFonts w:asciiTheme="minorHAnsi" w:hAnsiTheme="minorHAnsi" w:cstheme="minorHAnsi"/>
                <w:color w:val="000000"/>
                <w:sz w:val="26"/>
                <w:szCs w:val="26"/>
                <w:lang w:eastAsia="ro-RO"/>
              </w:rPr>
              <w:t>.</w:t>
            </w:r>
            <w:r w:rsidRPr="004A72CD">
              <w:rPr>
                <w:rFonts w:asciiTheme="minorHAnsi" w:hAnsiTheme="minorHAnsi" w:cstheme="minorHAnsi"/>
                <w:color w:val="000000"/>
                <w:sz w:val="26"/>
                <w:szCs w:val="26"/>
                <w:lang w:eastAsia="ro-RO"/>
              </w:rPr>
              <w:t>A</w:t>
            </w:r>
            <w:r w:rsidR="00DF64CE" w:rsidRPr="004A72CD">
              <w:rPr>
                <w:rFonts w:asciiTheme="minorHAnsi" w:hAnsiTheme="minorHAnsi" w:cstheme="minorHAnsi"/>
                <w:color w:val="000000"/>
                <w:sz w:val="26"/>
                <w:szCs w:val="26"/>
                <w:lang w:eastAsia="ro-RO"/>
              </w:rPr>
              <w:t>.</w:t>
            </w:r>
          </w:p>
        </w:tc>
        <w:tc>
          <w:tcPr>
            <w:tcW w:w="984" w:type="dxa"/>
            <w:tcBorders>
              <w:top w:val="nil"/>
              <w:left w:val="single" w:sz="4" w:space="0" w:color="auto"/>
              <w:bottom w:val="nil"/>
              <w:right w:val="single" w:sz="4" w:space="0" w:color="auto"/>
            </w:tcBorders>
            <w:shd w:val="clear" w:color="auto" w:fill="auto"/>
            <w:noWrap/>
            <w:vAlign w:val="center"/>
          </w:tcPr>
          <w:p w14:paraId="6742458E" w14:textId="77777777" w:rsidR="00AE5495" w:rsidRPr="004A72CD" w:rsidRDefault="00AE5495" w:rsidP="00D51F5A">
            <w:pPr>
              <w:spacing w:line="276" w:lineRule="auto"/>
              <w:ind w:right="-2"/>
              <w:jc w:val="right"/>
              <w:rPr>
                <w:rFonts w:asciiTheme="minorHAnsi" w:hAnsiTheme="minorHAnsi" w:cstheme="minorHAnsi"/>
                <w:color w:val="000000"/>
                <w:sz w:val="26"/>
                <w:szCs w:val="26"/>
                <w:lang w:eastAsia="ro-RO"/>
              </w:rPr>
            </w:pPr>
            <w:r w:rsidRPr="004A72CD">
              <w:rPr>
                <w:rFonts w:asciiTheme="minorHAnsi" w:hAnsiTheme="minorHAnsi" w:cstheme="minorHAnsi"/>
                <w:color w:val="000000"/>
                <w:sz w:val="26"/>
                <w:szCs w:val="26"/>
                <w:lang w:eastAsia="ro-RO"/>
              </w:rPr>
              <w:t>15</w:t>
            </w:r>
          </w:p>
        </w:tc>
        <w:tc>
          <w:tcPr>
            <w:tcW w:w="0" w:type="auto"/>
            <w:tcBorders>
              <w:top w:val="nil"/>
              <w:left w:val="nil"/>
              <w:bottom w:val="nil"/>
              <w:right w:val="single" w:sz="4" w:space="0" w:color="auto"/>
            </w:tcBorders>
            <w:shd w:val="clear" w:color="auto" w:fill="auto"/>
            <w:noWrap/>
            <w:vAlign w:val="center"/>
          </w:tcPr>
          <w:p w14:paraId="0783F62C"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r w:rsidRPr="004A72CD">
              <w:rPr>
                <w:rFonts w:asciiTheme="minorHAnsi" w:hAnsiTheme="minorHAnsi" w:cstheme="minorHAnsi"/>
                <w:color w:val="000000"/>
                <w:sz w:val="26"/>
                <w:szCs w:val="26"/>
              </w:rPr>
              <w:t>8</w:t>
            </w:r>
          </w:p>
        </w:tc>
        <w:tc>
          <w:tcPr>
            <w:tcW w:w="0" w:type="auto"/>
            <w:tcBorders>
              <w:top w:val="nil"/>
              <w:left w:val="nil"/>
              <w:bottom w:val="nil"/>
              <w:right w:val="single" w:sz="4" w:space="0" w:color="auto"/>
            </w:tcBorders>
            <w:shd w:val="clear" w:color="auto" w:fill="auto"/>
            <w:noWrap/>
            <w:vAlign w:val="center"/>
          </w:tcPr>
          <w:p w14:paraId="2AE76C44" w14:textId="77777777" w:rsidR="00AE5495" w:rsidRPr="004A72CD" w:rsidRDefault="00AE5495" w:rsidP="00D51F5A">
            <w:pPr>
              <w:spacing w:line="276" w:lineRule="auto"/>
              <w:ind w:right="-2"/>
              <w:jc w:val="right"/>
              <w:rPr>
                <w:rFonts w:asciiTheme="minorHAnsi" w:hAnsiTheme="minorHAnsi" w:cstheme="minorHAnsi"/>
                <w:sz w:val="26"/>
                <w:szCs w:val="26"/>
              </w:rPr>
            </w:pPr>
            <w:r w:rsidRPr="004A72CD">
              <w:rPr>
                <w:rFonts w:asciiTheme="minorHAnsi" w:hAnsiTheme="minorHAnsi" w:cstheme="minorHAnsi"/>
                <w:sz w:val="26"/>
                <w:szCs w:val="26"/>
              </w:rPr>
              <w:t>53,33%</w:t>
            </w:r>
          </w:p>
        </w:tc>
        <w:tc>
          <w:tcPr>
            <w:tcW w:w="0" w:type="auto"/>
            <w:tcBorders>
              <w:top w:val="nil"/>
              <w:left w:val="nil"/>
              <w:bottom w:val="nil"/>
              <w:right w:val="single" w:sz="4" w:space="0" w:color="auto"/>
            </w:tcBorders>
            <w:shd w:val="clear" w:color="auto" w:fill="auto"/>
            <w:noWrap/>
            <w:vAlign w:val="center"/>
          </w:tcPr>
          <w:p w14:paraId="79FF3019"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r w:rsidRPr="004A72CD">
              <w:rPr>
                <w:rFonts w:asciiTheme="minorHAnsi" w:hAnsiTheme="minorHAnsi" w:cstheme="minorHAnsi"/>
                <w:color w:val="000000"/>
                <w:sz w:val="26"/>
                <w:szCs w:val="26"/>
              </w:rPr>
              <w:t>7</w:t>
            </w:r>
          </w:p>
        </w:tc>
        <w:tc>
          <w:tcPr>
            <w:tcW w:w="925" w:type="dxa"/>
            <w:tcBorders>
              <w:top w:val="nil"/>
              <w:left w:val="nil"/>
              <w:bottom w:val="nil"/>
              <w:right w:val="single" w:sz="4" w:space="0" w:color="auto"/>
            </w:tcBorders>
            <w:shd w:val="clear" w:color="auto" w:fill="auto"/>
            <w:noWrap/>
            <w:vAlign w:val="center"/>
          </w:tcPr>
          <w:p w14:paraId="6D6D8897" w14:textId="77777777" w:rsidR="00AE5495" w:rsidRPr="004A72CD" w:rsidRDefault="00AE5495" w:rsidP="00D51F5A">
            <w:pPr>
              <w:spacing w:line="276" w:lineRule="auto"/>
              <w:ind w:right="-2"/>
              <w:jc w:val="right"/>
              <w:rPr>
                <w:rFonts w:asciiTheme="minorHAnsi" w:hAnsiTheme="minorHAnsi" w:cstheme="minorHAnsi"/>
                <w:color w:val="000000"/>
                <w:sz w:val="26"/>
                <w:szCs w:val="26"/>
              </w:rPr>
            </w:pPr>
            <w:r w:rsidRPr="004A72CD">
              <w:rPr>
                <w:rFonts w:asciiTheme="minorHAnsi" w:hAnsiTheme="minorHAnsi" w:cstheme="minorHAnsi"/>
                <w:sz w:val="26"/>
                <w:szCs w:val="26"/>
              </w:rPr>
              <w:t>46,67%</w:t>
            </w:r>
          </w:p>
        </w:tc>
      </w:tr>
      <w:tr w:rsidR="00AE5495" w:rsidRPr="004A72CD" w14:paraId="6ABF9E72" w14:textId="77777777" w:rsidTr="00946E46">
        <w:trPr>
          <w:trHeight w:val="80"/>
          <w:jc w:val="center"/>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7F404DC9" w14:textId="77777777" w:rsidR="00AE5495" w:rsidRPr="004A72CD" w:rsidRDefault="00AE5495" w:rsidP="00D51F5A">
            <w:pPr>
              <w:spacing w:line="276" w:lineRule="auto"/>
              <w:ind w:right="-2"/>
              <w:jc w:val="both"/>
              <w:rPr>
                <w:rFonts w:asciiTheme="minorHAnsi" w:hAnsiTheme="minorHAnsi" w:cstheme="minorHAnsi"/>
                <w:color w:val="000000"/>
                <w:sz w:val="26"/>
                <w:szCs w:val="26"/>
                <w:lang w:eastAsia="ro-RO"/>
              </w:rPr>
            </w:pPr>
          </w:p>
        </w:tc>
        <w:tc>
          <w:tcPr>
            <w:tcW w:w="984" w:type="dxa"/>
            <w:tcBorders>
              <w:top w:val="nil"/>
              <w:left w:val="single" w:sz="4" w:space="0" w:color="auto"/>
              <w:bottom w:val="single" w:sz="4" w:space="0" w:color="auto"/>
              <w:right w:val="single" w:sz="4" w:space="0" w:color="auto"/>
            </w:tcBorders>
            <w:shd w:val="clear" w:color="auto" w:fill="auto"/>
            <w:noWrap/>
            <w:vAlign w:val="center"/>
          </w:tcPr>
          <w:p w14:paraId="60F50AA8" w14:textId="77777777" w:rsidR="00AE5495" w:rsidRPr="004A72CD" w:rsidRDefault="00AE5495" w:rsidP="00D51F5A">
            <w:pPr>
              <w:spacing w:line="276" w:lineRule="auto"/>
              <w:ind w:right="-2"/>
              <w:jc w:val="both"/>
              <w:rPr>
                <w:rFonts w:asciiTheme="minorHAnsi" w:hAnsiTheme="minorHAnsi" w:cstheme="minorHAnsi"/>
                <w:color w:val="000000"/>
                <w:sz w:val="26"/>
                <w:szCs w:val="26"/>
                <w:lang w:eastAsia="ro-RO"/>
              </w:rPr>
            </w:pPr>
          </w:p>
        </w:tc>
        <w:tc>
          <w:tcPr>
            <w:tcW w:w="0" w:type="auto"/>
            <w:tcBorders>
              <w:top w:val="nil"/>
              <w:left w:val="nil"/>
              <w:bottom w:val="single" w:sz="4" w:space="0" w:color="auto"/>
              <w:right w:val="single" w:sz="4" w:space="0" w:color="auto"/>
            </w:tcBorders>
            <w:shd w:val="clear" w:color="auto" w:fill="auto"/>
            <w:noWrap/>
            <w:vAlign w:val="center"/>
          </w:tcPr>
          <w:p w14:paraId="33A6CBF0" w14:textId="77777777" w:rsidR="00AE5495" w:rsidRPr="004A72CD" w:rsidRDefault="00AE5495" w:rsidP="00D51F5A">
            <w:pPr>
              <w:spacing w:line="276" w:lineRule="auto"/>
              <w:ind w:right="-2"/>
              <w:jc w:val="both"/>
              <w:rPr>
                <w:rFonts w:asciiTheme="minorHAnsi" w:hAnsiTheme="minorHAnsi" w:cstheme="minorHAnsi"/>
                <w:color w:val="000000"/>
                <w:sz w:val="26"/>
                <w:szCs w:val="26"/>
              </w:rPr>
            </w:pPr>
          </w:p>
        </w:tc>
        <w:tc>
          <w:tcPr>
            <w:tcW w:w="0" w:type="auto"/>
            <w:tcBorders>
              <w:top w:val="nil"/>
              <w:left w:val="nil"/>
              <w:bottom w:val="single" w:sz="4" w:space="0" w:color="auto"/>
              <w:right w:val="single" w:sz="4" w:space="0" w:color="auto"/>
            </w:tcBorders>
            <w:shd w:val="clear" w:color="auto" w:fill="auto"/>
            <w:noWrap/>
            <w:vAlign w:val="center"/>
          </w:tcPr>
          <w:p w14:paraId="20EA8829" w14:textId="77777777" w:rsidR="00AE5495" w:rsidRPr="004A72CD" w:rsidRDefault="00AE5495" w:rsidP="00D51F5A">
            <w:pPr>
              <w:spacing w:line="276" w:lineRule="auto"/>
              <w:ind w:right="-2"/>
              <w:jc w:val="both"/>
              <w:rPr>
                <w:rFonts w:asciiTheme="minorHAnsi" w:hAnsiTheme="minorHAnsi" w:cstheme="minorHAnsi"/>
                <w:sz w:val="26"/>
                <w:szCs w:val="26"/>
              </w:rPr>
            </w:pPr>
          </w:p>
        </w:tc>
        <w:tc>
          <w:tcPr>
            <w:tcW w:w="0" w:type="auto"/>
            <w:tcBorders>
              <w:top w:val="nil"/>
              <w:left w:val="nil"/>
              <w:bottom w:val="single" w:sz="4" w:space="0" w:color="auto"/>
              <w:right w:val="single" w:sz="4" w:space="0" w:color="auto"/>
            </w:tcBorders>
            <w:shd w:val="clear" w:color="auto" w:fill="auto"/>
            <w:noWrap/>
            <w:vAlign w:val="center"/>
          </w:tcPr>
          <w:p w14:paraId="60765BCB" w14:textId="77777777" w:rsidR="00AE5495" w:rsidRPr="004A72CD" w:rsidRDefault="00AE5495" w:rsidP="00D51F5A">
            <w:pPr>
              <w:spacing w:line="276" w:lineRule="auto"/>
              <w:ind w:right="-2"/>
              <w:jc w:val="both"/>
              <w:rPr>
                <w:rFonts w:asciiTheme="minorHAnsi" w:hAnsiTheme="minorHAnsi" w:cstheme="minorHAnsi"/>
                <w:color w:val="000000"/>
                <w:sz w:val="26"/>
                <w:szCs w:val="26"/>
              </w:rPr>
            </w:pPr>
          </w:p>
        </w:tc>
        <w:tc>
          <w:tcPr>
            <w:tcW w:w="925" w:type="dxa"/>
            <w:tcBorders>
              <w:top w:val="nil"/>
              <w:left w:val="nil"/>
              <w:bottom w:val="single" w:sz="4" w:space="0" w:color="auto"/>
              <w:right w:val="single" w:sz="4" w:space="0" w:color="auto"/>
            </w:tcBorders>
            <w:shd w:val="clear" w:color="auto" w:fill="auto"/>
            <w:noWrap/>
            <w:vAlign w:val="center"/>
          </w:tcPr>
          <w:p w14:paraId="37AC5EDA" w14:textId="77777777" w:rsidR="00AE5495" w:rsidRPr="004A72CD" w:rsidRDefault="00AE5495" w:rsidP="00D51F5A">
            <w:pPr>
              <w:spacing w:line="276" w:lineRule="auto"/>
              <w:ind w:right="-2"/>
              <w:jc w:val="both"/>
              <w:rPr>
                <w:rFonts w:asciiTheme="minorHAnsi" w:hAnsiTheme="minorHAnsi" w:cstheme="minorHAnsi"/>
                <w:color w:val="000000"/>
                <w:sz w:val="26"/>
                <w:szCs w:val="26"/>
              </w:rPr>
            </w:pPr>
          </w:p>
        </w:tc>
      </w:tr>
      <w:tr w:rsidR="00AE5495" w:rsidRPr="004A72CD" w14:paraId="1218FE50" w14:textId="77777777" w:rsidTr="00946E46">
        <w:trPr>
          <w:trHeight w:val="80"/>
          <w:jc w:val="center"/>
        </w:trPr>
        <w:tc>
          <w:tcPr>
            <w:tcW w:w="9209" w:type="dxa"/>
            <w:gridSpan w:val="6"/>
            <w:tcBorders>
              <w:top w:val="nil"/>
              <w:left w:val="single" w:sz="4" w:space="0" w:color="auto"/>
              <w:right w:val="single" w:sz="4" w:space="0" w:color="auto"/>
            </w:tcBorders>
            <w:shd w:val="clear" w:color="auto" w:fill="auto"/>
            <w:noWrap/>
            <w:vAlign w:val="center"/>
          </w:tcPr>
          <w:p w14:paraId="542E5FAB" w14:textId="77777777" w:rsidR="00AE5495" w:rsidRPr="004A72CD" w:rsidRDefault="00AE5495" w:rsidP="00D51F5A">
            <w:pPr>
              <w:spacing w:line="276" w:lineRule="auto"/>
              <w:ind w:right="-2"/>
              <w:jc w:val="center"/>
              <w:rPr>
                <w:rFonts w:asciiTheme="minorHAnsi" w:hAnsiTheme="minorHAnsi" w:cstheme="minorHAnsi"/>
                <w:color w:val="000000"/>
                <w:sz w:val="26"/>
                <w:szCs w:val="26"/>
              </w:rPr>
            </w:pPr>
            <w:r w:rsidRPr="004A72CD">
              <w:rPr>
                <w:rFonts w:asciiTheme="minorHAnsi" w:hAnsiTheme="minorHAnsi" w:cstheme="minorHAnsi"/>
                <w:b/>
                <w:bCs/>
                <w:color w:val="000000"/>
                <w:sz w:val="26"/>
                <w:szCs w:val="26"/>
                <w:lang w:eastAsia="ro-RO"/>
              </w:rPr>
              <w:t>Total</w:t>
            </w:r>
          </w:p>
        </w:tc>
      </w:tr>
      <w:tr w:rsidR="00AE5495" w:rsidRPr="004A72CD" w14:paraId="49FF366B" w14:textId="77777777" w:rsidTr="00946E46">
        <w:trPr>
          <w:trHeight w:val="321"/>
          <w:jc w:val="center"/>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63E0F8B6" w14:textId="77777777" w:rsidR="00AE5495" w:rsidRPr="004A72CD" w:rsidRDefault="00AE5495" w:rsidP="00D51F5A">
            <w:pPr>
              <w:spacing w:line="276" w:lineRule="auto"/>
              <w:ind w:right="-2"/>
              <w:jc w:val="both"/>
              <w:rPr>
                <w:rFonts w:asciiTheme="minorHAnsi" w:hAnsiTheme="minorHAnsi" w:cstheme="minorHAnsi"/>
                <w:b/>
                <w:bCs/>
                <w:color w:val="000000"/>
                <w:sz w:val="26"/>
                <w:szCs w:val="26"/>
                <w:lang w:eastAsia="ro-RO"/>
              </w:rPr>
            </w:pPr>
            <w:r w:rsidRPr="004A72CD">
              <w:rPr>
                <w:rFonts w:asciiTheme="minorHAnsi" w:hAnsiTheme="minorHAnsi" w:cstheme="minorHAnsi"/>
                <w:b/>
                <w:bCs/>
                <w:color w:val="000000"/>
                <w:sz w:val="26"/>
                <w:szCs w:val="26"/>
                <w:lang w:eastAsia="ro-RO"/>
              </w:rPr>
              <w:t>Situație posturi psiholog</w:t>
            </w:r>
          </w:p>
        </w:tc>
        <w:tc>
          <w:tcPr>
            <w:tcW w:w="984" w:type="dxa"/>
            <w:tcBorders>
              <w:top w:val="nil"/>
              <w:left w:val="single" w:sz="4" w:space="0" w:color="auto"/>
              <w:bottom w:val="single" w:sz="4" w:space="0" w:color="auto"/>
              <w:right w:val="single" w:sz="4" w:space="0" w:color="auto"/>
            </w:tcBorders>
            <w:shd w:val="clear" w:color="auto" w:fill="auto"/>
            <w:noWrap/>
            <w:vAlign w:val="center"/>
          </w:tcPr>
          <w:p w14:paraId="786A000D" w14:textId="77777777" w:rsidR="00AE5495" w:rsidRPr="004A72CD" w:rsidRDefault="00AE5495" w:rsidP="00D51F5A">
            <w:pPr>
              <w:spacing w:line="276" w:lineRule="auto"/>
              <w:ind w:right="-2"/>
              <w:jc w:val="right"/>
              <w:rPr>
                <w:rFonts w:asciiTheme="minorHAnsi" w:hAnsiTheme="minorHAnsi" w:cstheme="minorHAnsi"/>
                <w:b/>
                <w:bCs/>
                <w:color w:val="000000"/>
                <w:sz w:val="26"/>
                <w:szCs w:val="26"/>
                <w:lang w:eastAsia="ro-RO"/>
              </w:rPr>
            </w:pPr>
            <w:r w:rsidRPr="004A72CD">
              <w:rPr>
                <w:rFonts w:asciiTheme="minorHAnsi" w:hAnsiTheme="minorHAnsi" w:cstheme="minorHAnsi"/>
                <w:b/>
                <w:bCs/>
                <w:sz w:val="26"/>
                <w:szCs w:val="26"/>
              </w:rPr>
              <w:t>42</w:t>
            </w:r>
          </w:p>
        </w:tc>
        <w:tc>
          <w:tcPr>
            <w:tcW w:w="0" w:type="auto"/>
            <w:tcBorders>
              <w:top w:val="nil"/>
              <w:left w:val="nil"/>
              <w:bottom w:val="single" w:sz="4" w:space="0" w:color="auto"/>
              <w:right w:val="single" w:sz="4" w:space="0" w:color="auto"/>
            </w:tcBorders>
            <w:shd w:val="clear" w:color="auto" w:fill="auto"/>
            <w:noWrap/>
            <w:vAlign w:val="center"/>
          </w:tcPr>
          <w:p w14:paraId="74A78123" w14:textId="77777777" w:rsidR="00AE5495" w:rsidRPr="004A72CD" w:rsidRDefault="00AE5495" w:rsidP="00D51F5A">
            <w:pPr>
              <w:spacing w:line="276" w:lineRule="auto"/>
              <w:ind w:right="-2"/>
              <w:jc w:val="right"/>
              <w:rPr>
                <w:rFonts w:asciiTheme="minorHAnsi" w:hAnsiTheme="minorHAnsi" w:cstheme="minorHAnsi"/>
                <w:b/>
                <w:bCs/>
                <w:color w:val="000000"/>
                <w:sz w:val="26"/>
                <w:szCs w:val="26"/>
              </w:rPr>
            </w:pPr>
            <w:r w:rsidRPr="004A72CD">
              <w:rPr>
                <w:rFonts w:asciiTheme="minorHAnsi" w:hAnsiTheme="minorHAnsi" w:cstheme="minorHAnsi"/>
                <w:b/>
                <w:bCs/>
                <w:sz w:val="26"/>
                <w:szCs w:val="26"/>
              </w:rPr>
              <w:t>33</w:t>
            </w:r>
          </w:p>
        </w:tc>
        <w:tc>
          <w:tcPr>
            <w:tcW w:w="0" w:type="auto"/>
            <w:tcBorders>
              <w:top w:val="nil"/>
              <w:left w:val="nil"/>
              <w:bottom w:val="single" w:sz="4" w:space="0" w:color="auto"/>
              <w:right w:val="single" w:sz="4" w:space="0" w:color="auto"/>
            </w:tcBorders>
            <w:shd w:val="clear" w:color="auto" w:fill="auto"/>
            <w:noWrap/>
            <w:vAlign w:val="center"/>
          </w:tcPr>
          <w:p w14:paraId="226D6A18" w14:textId="77777777" w:rsidR="00AE5495" w:rsidRPr="004A72CD" w:rsidRDefault="00AE5495" w:rsidP="00D51F5A">
            <w:pPr>
              <w:spacing w:line="276" w:lineRule="auto"/>
              <w:ind w:right="-2"/>
              <w:jc w:val="right"/>
              <w:rPr>
                <w:rFonts w:asciiTheme="minorHAnsi" w:hAnsiTheme="minorHAnsi" w:cstheme="minorHAnsi"/>
                <w:b/>
                <w:bCs/>
                <w:color w:val="000000"/>
                <w:sz w:val="26"/>
                <w:szCs w:val="26"/>
              </w:rPr>
            </w:pPr>
            <w:bookmarkStart w:id="181" w:name="_Hlk150179517"/>
            <w:r w:rsidRPr="004A72CD">
              <w:rPr>
                <w:rFonts w:asciiTheme="minorHAnsi" w:hAnsiTheme="minorHAnsi" w:cstheme="minorHAnsi"/>
                <w:b/>
                <w:bCs/>
                <w:sz w:val="26"/>
                <w:szCs w:val="26"/>
              </w:rPr>
              <w:t>78,57%</w:t>
            </w:r>
            <w:bookmarkEnd w:id="181"/>
          </w:p>
        </w:tc>
        <w:tc>
          <w:tcPr>
            <w:tcW w:w="0" w:type="auto"/>
            <w:tcBorders>
              <w:top w:val="nil"/>
              <w:left w:val="nil"/>
              <w:bottom w:val="single" w:sz="4" w:space="0" w:color="auto"/>
              <w:right w:val="single" w:sz="4" w:space="0" w:color="auto"/>
            </w:tcBorders>
            <w:shd w:val="clear" w:color="auto" w:fill="auto"/>
            <w:noWrap/>
            <w:vAlign w:val="center"/>
          </w:tcPr>
          <w:p w14:paraId="43AB20B8" w14:textId="77777777" w:rsidR="00AE5495" w:rsidRPr="004A72CD" w:rsidRDefault="00AE5495" w:rsidP="00D51F5A">
            <w:pPr>
              <w:spacing w:line="276" w:lineRule="auto"/>
              <w:ind w:right="-2"/>
              <w:jc w:val="right"/>
              <w:rPr>
                <w:rFonts w:asciiTheme="minorHAnsi" w:hAnsiTheme="minorHAnsi" w:cstheme="minorHAnsi"/>
                <w:b/>
                <w:bCs/>
                <w:color w:val="000000"/>
                <w:sz w:val="26"/>
                <w:szCs w:val="26"/>
              </w:rPr>
            </w:pPr>
            <w:r w:rsidRPr="004A72CD">
              <w:rPr>
                <w:rFonts w:asciiTheme="minorHAnsi" w:hAnsiTheme="minorHAnsi" w:cstheme="minorHAnsi"/>
                <w:b/>
                <w:bCs/>
                <w:color w:val="000000"/>
                <w:sz w:val="26"/>
                <w:szCs w:val="26"/>
              </w:rPr>
              <w:t>9</w:t>
            </w:r>
          </w:p>
        </w:tc>
        <w:tc>
          <w:tcPr>
            <w:tcW w:w="925" w:type="dxa"/>
            <w:tcBorders>
              <w:top w:val="nil"/>
              <w:left w:val="nil"/>
              <w:bottom w:val="single" w:sz="4" w:space="0" w:color="auto"/>
              <w:right w:val="single" w:sz="4" w:space="0" w:color="auto"/>
            </w:tcBorders>
            <w:shd w:val="clear" w:color="auto" w:fill="auto"/>
            <w:noWrap/>
            <w:vAlign w:val="center"/>
          </w:tcPr>
          <w:p w14:paraId="51C33CC5" w14:textId="77777777" w:rsidR="00AE5495" w:rsidRPr="004A72CD" w:rsidRDefault="00AE5495" w:rsidP="00D51F5A">
            <w:pPr>
              <w:spacing w:line="276" w:lineRule="auto"/>
              <w:ind w:right="-2"/>
              <w:jc w:val="right"/>
              <w:rPr>
                <w:rFonts w:asciiTheme="minorHAnsi" w:hAnsiTheme="minorHAnsi" w:cstheme="minorHAnsi"/>
                <w:b/>
                <w:bCs/>
                <w:color w:val="000000"/>
                <w:sz w:val="26"/>
                <w:szCs w:val="26"/>
              </w:rPr>
            </w:pPr>
            <w:r w:rsidRPr="004A72CD">
              <w:rPr>
                <w:rFonts w:asciiTheme="minorHAnsi" w:hAnsiTheme="minorHAnsi" w:cstheme="minorHAnsi"/>
                <w:b/>
                <w:bCs/>
                <w:sz w:val="26"/>
                <w:szCs w:val="26"/>
              </w:rPr>
              <w:t>21,42%</w:t>
            </w:r>
          </w:p>
        </w:tc>
      </w:tr>
    </w:tbl>
    <w:p w14:paraId="206BA2F8" w14:textId="7C8395CA" w:rsidR="00AE5495" w:rsidRPr="004A72CD" w:rsidRDefault="00AE5495" w:rsidP="00946E46">
      <w:pPr>
        <w:tabs>
          <w:tab w:val="left" w:pos="3120"/>
        </w:tabs>
        <w:spacing w:line="276" w:lineRule="auto"/>
        <w:ind w:right="-2" w:firstLine="709"/>
        <w:jc w:val="both"/>
        <w:rPr>
          <w:rFonts w:asciiTheme="minorHAnsi" w:eastAsia="Calibri" w:hAnsiTheme="minorHAnsi" w:cstheme="minorHAnsi"/>
          <w:sz w:val="26"/>
          <w:szCs w:val="26"/>
        </w:rPr>
      </w:pPr>
      <w:r w:rsidRPr="004A72CD">
        <w:rPr>
          <w:rFonts w:asciiTheme="minorHAnsi" w:eastAsia="Calibri" w:hAnsiTheme="minorHAnsi" w:cstheme="minorHAnsi"/>
          <w:bCs/>
          <w:sz w:val="26"/>
          <w:szCs w:val="26"/>
        </w:rPr>
        <w:t>În ceea ce privește</w:t>
      </w:r>
      <w:r w:rsidRPr="004A72CD">
        <w:rPr>
          <w:rFonts w:asciiTheme="minorHAnsi" w:eastAsia="Calibri" w:hAnsiTheme="minorHAnsi" w:cstheme="minorHAnsi"/>
          <w:sz w:val="26"/>
          <w:szCs w:val="26"/>
        </w:rPr>
        <w:t xml:space="preserve"> situația posturilor de psiholog de la nivelul instituțiilor din sistemul judiciar</w:t>
      </w:r>
      <w:r w:rsidRPr="004A72CD">
        <w:rPr>
          <w:rFonts w:asciiTheme="minorHAnsi" w:eastAsia="Calibri" w:hAnsiTheme="minorHAnsi" w:cstheme="minorHAnsi"/>
          <w:bCs/>
          <w:sz w:val="26"/>
          <w:szCs w:val="26"/>
        </w:rPr>
        <w:t xml:space="preserve">, acestea sunt ocupate în proporție de 78,57%, </w:t>
      </w:r>
      <w:r w:rsidRPr="004A72CD">
        <w:rPr>
          <w:rFonts w:asciiTheme="minorHAnsi" w:eastAsia="Calibri" w:hAnsiTheme="minorHAnsi" w:cstheme="minorHAnsi"/>
          <w:sz w:val="26"/>
          <w:szCs w:val="26"/>
        </w:rPr>
        <w:t>procente mai mari fiind înregistrate la nivelul I</w:t>
      </w:r>
      <w:r w:rsidR="003B1C17" w:rsidRPr="004A72CD">
        <w:rPr>
          <w:rFonts w:asciiTheme="minorHAnsi" w:eastAsia="Calibri" w:hAnsiTheme="minorHAnsi" w:cstheme="minorHAnsi"/>
          <w:sz w:val="26"/>
          <w:szCs w:val="26"/>
        </w:rPr>
        <w:t xml:space="preserve">nspecției </w:t>
      </w:r>
      <w:r w:rsidRPr="004A72CD">
        <w:rPr>
          <w:rFonts w:asciiTheme="minorHAnsi" w:eastAsia="Calibri" w:hAnsiTheme="minorHAnsi" w:cstheme="minorHAnsi"/>
          <w:sz w:val="26"/>
          <w:szCs w:val="26"/>
        </w:rPr>
        <w:t>J</w:t>
      </w:r>
      <w:r w:rsidR="003B1C17" w:rsidRPr="004A72CD">
        <w:rPr>
          <w:rFonts w:asciiTheme="minorHAnsi" w:eastAsia="Calibri" w:hAnsiTheme="minorHAnsi" w:cstheme="minorHAnsi"/>
          <w:sz w:val="26"/>
          <w:szCs w:val="26"/>
        </w:rPr>
        <w:t>udiciare</w:t>
      </w:r>
      <w:r w:rsidRPr="004A72CD">
        <w:rPr>
          <w:rFonts w:asciiTheme="minorHAnsi" w:eastAsia="Calibri" w:hAnsiTheme="minorHAnsi" w:cstheme="minorHAnsi"/>
          <w:sz w:val="26"/>
          <w:szCs w:val="26"/>
        </w:rPr>
        <w:t xml:space="preserve"> și I</w:t>
      </w:r>
      <w:r w:rsidR="003B1C17" w:rsidRPr="004A72CD">
        <w:rPr>
          <w:rFonts w:asciiTheme="minorHAnsi" w:eastAsia="Calibri" w:hAnsiTheme="minorHAnsi" w:cstheme="minorHAnsi"/>
          <w:sz w:val="26"/>
          <w:szCs w:val="26"/>
        </w:rPr>
        <w:t xml:space="preserve">nstitutlui </w:t>
      </w:r>
      <w:r w:rsidRPr="004A72CD">
        <w:rPr>
          <w:rFonts w:asciiTheme="minorHAnsi" w:eastAsia="Calibri" w:hAnsiTheme="minorHAnsi" w:cstheme="minorHAnsi"/>
          <w:sz w:val="26"/>
          <w:szCs w:val="26"/>
        </w:rPr>
        <w:t>N</w:t>
      </w:r>
      <w:r w:rsidR="003B1C17" w:rsidRPr="004A72CD">
        <w:rPr>
          <w:rFonts w:asciiTheme="minorHAnsi" w:eastAsia="Calibri" w:hAnsiTheme="minorHAnsi" w:cstheme="minorHAnsi"/>
          <w:sz w:val="26"/>
          <w:szCs w:val="26"/>
        </w:rPr>
        <w:t xml:space="preserve">ațional al </w:t>
      </w:r>
      <w:r w:rsidRPr="004A72CD">
        <w:rPr>
          <w:rFonts w:asciiTheme="minorHAnsi" w:eastAsia="Calibri" w:hAnsiTheme="minorHAnsi" w:cstheme="minorHAnsi"/>
          <w:sz w:val="26"/>
          <w:szCs w:val="26"/>
        </w:rPr>
        <w:t>M</w:t>
      </w:r>
      <w:r w:rsidR="003B1C17" w:rsidRPr="004A72CD">
        <w:rPr>
          <w:rFonts w:asciiTheme="minorHAnsi" w:eastAsia="Calibri" w:hAnsiTheme="minorHAnsi" w:cstheme="minorHAnsi"/>
          <w:sz w:val="26"/>
          <w:szCs w:val="26"/>
        </w:rPr>
        <w:t>agistraturii</w:t>
      </w:r>
      <w:r w:rsidRPr="004A72CD">
        <w:rPr>
          <w:rFonts w:asciiTheme="minorHAnsi" w:eastAsia="Calibri" w:hAnsiTheme="minorHAnsi" w:cstheme="minorHAnsi"/>
          <w:sz w:val="26"/>
          <w:szCs w:val="26"/>
        </w:rPr>
        <w:t xml:space="preserve">, 100 % grad de ocupare, respectiv al instanțelor judecătorești, 88,89%  grad de ocupare. </w:t>
      </w:r>
    </w:p>
    <w:p w14:paraId="5C57C2BB" w14:textId="77777777" w:rsidR="00AE5495" w:rsidRPr="004A72CD" w:rsidRDefault="00AE5495" w:rsidP="00946E46">
      <w:pPr>
        <w:tabs>
          <w:tab w:val="left" w:pos="3120"/>
        </w:tabs>
        <w:spacing w:line="276" w:lineRule="auto"/>
        <w:ind w:right="-2" w:firstLine="709"/>
        <w:jc w:val="both"/>
        <w:rPr>
          <w:rFonts w:asciiTheme="minorHAnsi" w:eastAsia="Calibri" w:hAnsiTheme="minorHAnsi" w:cstheme="minorHAnsi"/>
          <w:sz w:val="26"/>
          <w:szCs w:val="26"/>
        </w:rPr>
      </w:pPr>
      <w:r w:rsidRPr="004A72CD">
        <w:rPr>
          <w:rFonts w:asciiTheme="minorHAnsi" w:eastAsia="Calibri" w:hAnsiTheme="minorHAnsi" w:cstheme="minorHAnsi"/>
          <w:sz w:val="26"/>
          <w:szCs w:val="26"/>
        </w:rPr>
        <w:t xml:space="preserve">Referitor la schema de personal de la nivelul unităților de parchet, aceasta este ocupată doar în proporție de 61,11%, fapt care poate afecta aplicarea dispozițiilor legale referitoare la evaluarea psihologică periodică a procurorilor, desfăşurarea programelor de consiliere psihologică și a sesiunilor de dezvoltare a abilităţilor psihologice specifice, precum și a analizelor </w:t>
      </w:r>
      <w:r w:rsidRPr="004A72CD">
        <w:rPr>
          <w:rFonts w:asciiTheme="minorHAnsi" w:eastAsia="Calibri" w:hAnsiTheme="minorHAnsi" w:cstheme="minorHAnsi"/>
          <w:sz w:val="26"/>
          <w:szCs w:val="26"/>
        </w:rPr>
        <w:lastRenderedPageBreak/>
        <w:t>pentru diagnosticarea eventualelor disfuncţionalităţi sistemice, în scopul eficientizării şi ameliorării condiţiilor de muncă de la nivelul unităților de parchet.</w:t>
      </w:r>
    </w:p>
    <w:p w14:paraId="2DD67A71" w14:textId="782B79AC" w:rsidR="00AE5495" w:rsidRPr="004A72CD" w:rsidRDefault="00AE5495" w:rsidP="00946E46">
      <w:pPr>
        <w:tabs>
          <w:tab w:val="left" w:pos="3120"/>
        </w:tabs>
        <w:spacing w:line="276" w:lineRule="auto"/>
        <w:ind w:right="-2" w:firstLine="709"/>
        <w:jc w:val="both"/>
        <w:rPr>
          <w:rFonts w:asciiTheme="minorHAnsi" w:eastAsia="Calibri" w:hAnsiTheme="minorHAnsi" w:cstheme="minorHAnsi"/>
          <w:bCs/>
          <w:sz w:val="26"/>
          <w:szCs w:val="26"/>
        </w:rPr>
      </w:pPr>
      <w:r w:rsidRPr="004A72CD">
        <w:rPr>
          <w:rFonts w:asciiTheme="minorHAnsi" w:eastAsia="Calibri" w:hAnsiTheme="minorHAnsi" w:cstheme="minorHAnsi"/>
          <w:sz w:val="26"/>
          <w:szCs w:val="26"/>
        </w:rPr>
        <w:t>Această situație este accentuată și de faptul că 28,57% dintre psihologii încadrați la nivelul unităților de parchet sunt în perioada de stagiu profesional, activitățile desfășurate de aceștia fiind limitate</w:t>
      </w:r>
      <w:bookmarkEnd w:id="180"/>
      <w:r w:rsidRPr="004A72CD">
        <w:rPr>
          <w:rFonts w:asciiTheme="minorHAnsi" w:eastAsia="Calibri" w:hAnsiTheme="minorHAnsi" w:cstheme="minorHAnsi"/>
          <w:sz w:val="26"/>
          <w:szCs w:val="26"/>
        </w:rPr>
        <w:t xml:space="preserve"> potrivit </w:t>
      </w:r>
      <w:r w:rsidRPr="004A72CD">
        <w:rPr>
          <w:rFonts w:asciiTheme="minorHAnsi" w:eastAsia="Calibri" w:hAnsiTheme="minorHAnsi" w:cstheme="minorHAnsi"/>
          <w:bCs/>
          <w:sz w:val="26"/>
          <w:szCs w:val="26"/>
        </w:rPr>
        <w:t xml:space="preserve">dispozițiilor art. 38 alin. </w:t>
      </w:r>
      <w:r w:rsidR="00DF64CE" w:rsidRPr="004A72CD">
        <w:rPr>
          <w:rFonts w:asciiTheme="minorHAnsi" w:eastAsia="Calibri" w:hAnsiTheme="minorHAnsi" w:cstheme="minorHAnsi"/>
          <w:bCs/>
          <w:sz w:val="26"/>
          <w:szCs w:val="26"/>
        </w:rPr>
        <w:t>(</w:t>
      </w:r>
      <w:r w:rsidRPr="004A72CD">
        <w:rPr>
          <w:rFonts w:asciiTheme="minorHAnsi" w:eastAsia="Calibri" w:hAnsiTheme="minorHAnsi" w:cstheme="minorHAnsi"/>
          <w:bCs/>
          <w:sz w:val="26"/>
          <w:szCs w:val="26"/>
        </w:rPr>
        <w:t>1</w:t>
      </w:r>
      <w:r w:rsidR="00DF64CE" w:rsidRPr="004A72CD">
        <w:rPr>
          <w:rFonts w:asciiTheme="minorHAnsi" w:eastAsia="Calibri" w:hAnsiTheme="minorHAnsi" w:cstheme="minorHAnsi"/>
          <w:bCs/>
          <w:sz w:val="26"/>
          <w:szCs w:val="26"/>
        </w:rPr>
        <w:t>)</w:t>
      </w:r>
      <w:r w:rsidRPr="004A72CD">
        <w:rPr>
          <w:rFonts w:asciiTheme="minorHAnsi" w:eastAsia="Calibri" w:hAnsiTheme="minorHAnsi" w:cstheme="minorHAnsi"/>
          <w:bCs/>
          <w:sz w:val="26"/>
          <w:szCs w:val="26"/>
        </w:rPr>
        <w:t xml:space="preserve"> din Normele metodologice de aplicare a Legii nr. 213/2004 privind exercitarea profesiei de psiholog cu drept de liberă practică, înființarea, organizarea și funcționarea Colegiului Psihologilor din România, aprobate prin Hotărârea Guvernului nr. 788/2005, cu modificările și completările ulterioare, potrivit cărora supervizarea profesională este activitatea formativă specifică profesiei de psiholog prin care se asigură managementul calității actului psihologic. </w:t>
      </w:r>
    </w:p>
    <w:p w14:paraId="2FB2F791" w14:textId="77777777" w:rsidR="001D51D4" w:rsidRDefault="00AE5495" w:rsidP="001D51D4">
      <w:pPr>
        <w:tabs>
          <w:tab w:val="left" w:pos="3120"/>
        </w:tabs>
        <w:spacing w:line="276" w:lineRule="auto"/>
        <w:ind w:right="-2" w:firstLine="709"/>
        <w:jc w:val="both"/>
        <w:rPr>
          <w:rFonts w:asciiTheme="minorHAnsi" w:eastAsia="Calibri" w:hAnsiTheme="minorHAnsi" w:cstheme="minorHAnsi"/>
          <w:sz w:val="26"/>
          <w:szCs w:val="26"/>
        </w:rPr>
      </w:pPr>
      <w:r w:rsidRPr="004A72CD">
        <w:rPr>
          <w:rFonts w:asciiTheme="minorHAnsi" w:eastAsia="Calibri" w:hAnsiTheme="minorHAnsi" w:cstheme="minorHAnsi"/>
          <w:bCs/>
          <w:sz w:val="26"/>
          <w:szCs w:val="26"/>
        </w:rPr>
        <w:t xml:space="preserve">De precizat este faptul că o situație similară este identificată și în cazul a </w:t>
      </w:r>
      <w:r w:rsidRPr="004A72CD">
        <w:rPr>
          <w:rFonts w:asciiTheme="minorHAnsi" w:eastAsia="Calibri" w:hAnsiTheme="minorHAnsi" w:cstheme="minorHAnsi"/>
          <w:sz w:val="26"/>
          <w:szCs w:val="26"/>
        </w:rPr>
        <w:t>50% dintre psihologii încadrați la nivelul C</w:t>
      </w:r>
      <w:r w:rsidR="00E94F22" w:rsidRPr="004A72CD">
        <w:rPr>
          <w:rFonts w:asciiTheme="minorHAnsi" w:eastAsia="Calibri" w:hAnsiTheme="minorHAnsi" w:cstheme="minorHAnsi"/>
          <w:sz w:val="26"/>
          <w:szCs w:val="26"/>
        </w:rPr>
        <w:t>onsiliului Superior al Magistraturii</w:t>
      </w:r>
      <w:r w:rsidR="0007587C">
        <w:rPr>
          <w:rFonts w:asciiTheme="minorHAnsi" w:eastAsia="Calibri" w:hAnsiTheme="minorHAnsi" w:cstheme="minorHAnsi"/>
          <w:sz w:val="26"/>
          <w:szCs w:val="26"/>
        </w:rPr>
        <w:t>,</w:t>
      </w:r>
      <w:r w:rsidRPr="004A72CD">
        <w:rPr>
          <w:rFonts w:asciiTheme="minorHAnsi" w:eastAsia="Calibri" w:hAnsiTheme="minorHAnsi" w:cstheme="minorHAnsi"/>
          <w:sz w:val="26"/>
          <w:szCs w:val="26"/>
        </w:rPr>
        <w:t xml:space="preserve"> 100% dintre psihologii încadrați la nivelul I</w:t>
      </w:r>
      <w:r w:rsidR="00E94F22" w:rsidRPr="004A72CD">
        <w:rPr>
          <w:rFonts w:asciiTheme="minorHAnsi" w:eastAsia="Calibri" w:hAnsiTheme="minorHAnsi" w:cstheme="minorHAnsi"/>
          <w:sz w:val="26"/>
          <w:szCs w:val="26"/>
        </w:rPr>
        <w:t>nspecției Judiciare</w:t>
      </w:r>
      <w:r w:rsidRPr="004A72CD">
        <w:rPr>
          <w:rFonts w:asciiTheme="minorHAnsi" w:eastAsia="Calibri" w:hAnsiTheme="minorHAnsi" w:cstheme="minorHAnsi"/>
          <w:sz w:val="26"/>
          <w:szCs w:val="26"/>
        </w:rPr>
        <w:t xml:space="preserve"> și 6,25% dintre psihologii încadrați la nivelul instanțelor judecătorești.</w:t>
      </w:r>
    </w:p>
    <w:p w14:paraId="1C96F760" w14:textId="4D757FC1" w:rsidR="00732A37" w:rsidRPr="001D51D4" w:rsidRDefault="00732A37"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 xml:space="preserve">Referitor la atribuția privind dezvoltarea organizațională, în cursul anului 2024, personalul C.P.P. a participat în calitate de coordonator al compartimentului la ședințele echipei de management, echipei de experți interni  etc., pentru optimizarea funcționalităților tehnice ale aplicației Mindapp, dezvoltată în cadrul proiectului </w:t>
      </w:r>
      <w:r w:rsidR="00AF4A57" w:rsidRPr="001D51D4">
        <w:rPr>
          <w:rFonts w:asciiTheme="minorHAnsi" w:eastAsia="Calibri" w:hAnsiTheme="minorHAnsi" w:cstheme="minorHAnsi"/>
          <w:sz w:val="26"/>
          <w:szCs w:val="26"/>
        </w:rPr>
        <w:t>„</w:t>
      </w:r>
      <w:r w:rsidRPr="001D51D4">
        <w:rPr>
          <w:rFonts w:asciiTheme="minorHAnsi" w:eastAsia="Calibri" w:hAnsiTheme="minorHAnsi" w:cstheme="minorHAnsi"/>
          <w:sz w:val="26"/>
          <w:szCs w:val="26"/>
        </w:rPr>
        <w:t>C</w:t>
      </w:r>
      <w:r w:rsidR="00AF4A57" w:rsidRPr="001D51D4">
        <w:rPr>
          <w:rFonts w:asciiTheme="minorHAnsi" w:eastAsia="Calibri" w:hAnsiTheme="minorHAnsi" w:cstheme="minorHAnsi"/>
          <w:sz w:val="26"/>
          <w:szCs w:val="26"/>
        </w:rPr>
        <w:t>.</w:t>
      </w:r>
      <w:r w:rsidRPr="001D51D4">
        <w:rPr>
          <w:rFonts w:asciiTheme="minorHAnsi" w:eastAsia="Calibri" w:hAnsiTheme="minorHAnsi" w:cstheme="minorHAnsi"/>
          <w:sz w:val="26"/>
          <w:szCs w:val="26"/>
        </w:rPr>
        <w:t>P</w:t>
      </w:r>
      <w:r w:rsidR="00AF4A57" w:rsidRPr="001D51D4">
        <w:rPr>
          <w:rFonts w:asciiTheme="minorHAnsi" w:eastAsia="Calibri" w:hAnsiTheme="minorHAnsi" w:cstheme="minorHAnsi"/>
          <w:sz w:val="26"/>
          <w:szCs w:val="26"/>
        </w:rPr>
        <w:t>.</w:t>
      </w:r>
      <w:r w:rsidRPr="001D51D4">
        <w:rPr>
          <w:rFonts w:asciiTheme="minorHAnsi" w:eastAsia="Calibri" w:hAnsiTheme="minorHAnsi" w:cstheme="minorHAnsi"/>
          <w:sz w:val="26"/>
          <w:szCs w:val="26"/>
        </w:rPr>
        <w:t>C</w:t>
      </w:r>
      <w:r w:rsidR="00AF4A57" w:rsidRPr="001D51D4">
        <w:rPr>
          <w:rFonts w:asciiTheme="minorHAnsi" w:eastAsia="Calibri" w:hAnsiTheme="minorHAnsi" w:cstheme="minorHAnsi"/>
          <w:sz w:val="26"/>
          <w:szCs w:val="26"/>
        </w:rPr>
        <w:t>.</w:t>
      </w:r>
      <w:r w:rsidRPr="001D51D4">
        <w:rPr>
          <w:rFonts w:asciiTheme="minorHAnsi" w:eastAsia="Calibri" w:hAnsiTheme="minorHAnsi" w:cstheme="minorHAnsi"/>
          <w:sz w:val="26"/>
          <w:szCs w:val="26"/>
        </w:rPr>
        <w:t>I</w:t>
      </w:r>
      <w:r w:rsidR="00AF4A57" w:rsidRPr="001D51D4">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 Creșterea performanței și calității instituționale prin îmbunătățirea sistemului de evaluare și asistență psihologică la nivelul sistemului judiciar",  la ședințele, respectiv în calitate de membru la activitățile  grupului de lucru pentru efectuarea analizei posturilor aferente funcțiilor publice din cadrul aparatului propriu al Consiliului.</w:t>
      </w:r>
    </w:p>
    <w:p w14:paraId="669CE1C2" w14:textId="6754F956" w:rsidR="00732A37" w:rsidRPr="001D51D4" w:rsidRDefault="00732A37" w:rsidP="001D51D4">
      <w:pPr>
        <w:tabs>
          <w:tab w:val="left" w:pos="851"/>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De asemenea, suplimentar</w:t>
      </w:r>
      <w:r w:rsidR="000303A1">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personalul C</w:t>
      </w:r>
      <w:r w:rsidR="00AF4A57" w:rsidRPr="001D51D4">
        <w:rPr>
          <w:rFonts w:asciiTheme="minorHAnsi" w:eastAsia="Calibri" w:hAnsiTheme="minorHAnsi" w:cstheme="minorHAnsi"/>
          <w:sz w:val="26"/>
          <w:szCs w:val="26"/>
        </w:rPr>
        <w:t>.</w:t>
      </w:r>
      <w:r w:rsidRPr="001D51D4">
        <w:rPr>
          <w:rFonts w:asciiTheme="minorHAnsi" w:eastAsia="Calibri" w:hAnsiTheme="minorHAnsi" w:cstheme="minorHAnsi"/>
          <w:sz w:val="26"/>
          <w:szCs w:val="26"/>
        </w:rPr>
        <w:t>P</w:t>
      </w:r>
      <w:r w:rsidR="00AF4A57" w:rsidRPr="001D51D4">
        <w:rPr>
          <w:rFonts w:asciiTheme="minorHAnsi" w:eastAsia="Calibri" w:hAnsiTheme="minorHAnsi" w:cstheme="minorHAnsi"/>
          <w:sz w:val="26"/>
          <w:szCs w:val="26"/>
        </w:rPr>
        <w:t>.</w:t>
      </w:r>
      <w:r w:rsidRPr="001D51D4">
        <w:rPr>
          <w:rFonts w:asciiTheme="minorHAnsi" w:eastAsia="Calibri" w:hAnsiTheme="minorHAnsi" w:cstheme="minorHAnsi"/>
          <w:sz w:val="26"/>
          <w:szCs w:val="26"/>
        </w:rPr>
        <w:t>P</w:t>
      </w:r>
      <w:r w:rsidR="00AF4A57" w:rsidRPr="001D51D4">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a participat în calitate de formator la                                17 activități de  formare profesională continuă a judecătorilor și procurorilor, în format online, cu tema Aplicația Mindapp – instrument pentru asistență, evaluare și testare psihologică în sistemul judiciar, organizate de Institutul Național al Magistraturii. </w:t>
      </w:r>
    </w:p>
    <w:p w14:paraId="43CB8393" w14:textId="1C9C422D" w:rsidR="00732A37" w:rsidRPr="001D51D4" w:rsidRDefault="00732A37" w:rsidP="001D51D4">
      <w:pPr>
        <w:tabs>
          <w:tab w:val="left" w:pos="851"/>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În ceea ce privește competența C</w:t>
      </w:r>
      <w:r w:rsidR="001B286E" w:rsidRPr="001D51D4">
        <w:rPr>
          <w:rFonts w:asciiTheme="minorHAnsi" w:eastAsia="Calibri" w:hAnsiTheme="minorHAnsi" w:cstheme="minorHAnsi"/>
          <w:sz w:val="26"/>
          <w:szCs w:val="26"/>
        </w:rPr>
        <w:t>.</w:t>
      </w:r>
      <w:r w:rsidRPr="001D51D4">
        <w:rPr>
          <w:rFonts w:asciiTheme="minorHAnsi" w:eastAsia="Calibri" w:hAnsiTheme="minorHAnsi" w:cstheme="minorHAnsi"/>
          <w:sz w:val="26"/>
          <w:szCs w:val="26"/>
        </w:rPr>
        <w:t>P</w:t>
      </w:r>
      <w:r w:rsidR="001B286E" w:rsidRPr="001D51D4">
        <w:rPr>
          <w:rFonts w:asciiTheme="minorHAnsi" w:eastAsia="Calibri" w:hAnsiTheme="minorHAnsi" w:cstheme="minorHAnsi"/>
          <w:sz w:val="26"/>
          <w:szCs w:val="26"/>
        </w:rPr>
        <w:t>.</w:t>
      </w:r>
      <w:r w:rsidRPr="001D51D4">
        <w:rPr>
          <w:rFonts w:asciiTheme="minorHAnsi" w:eastAsia="Calibri" w:hAnsiTheme="minorHAnsi" w:cstheme="minorHAnsi"/>
          <w:sz w:val="26"/>
          <w:szCs w:val="26"/>
        </w:rPr>
        <w:t>P</w:t>
      </w:r>
      <w:r w:rsidR="001B286E" w:rsidRPr="001D51D4">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în elaborarea metodologiilor privind organizarea și desfășurarea testări</w:t>
      </w:r>
      <w:r w:rsidR="001B286E" w:rsidRPr="001D51D4">
        <w:rPr>
          <w:rFonts w:asciiTheme="minorHAnsi" w:eastAsia="Calibri" w:hAnsiTheme="minorHAnsi" w:cstheme="minorHAnsi"/>
          <w:sz w:val="26"/>
          <w:szCs w:val="26"/>
        </w:rPr>
        <w:t>i</w:t>
      </w:r>
      <w:r w:rsidRPr="001D51D4">
        <w:rPr>
          <w:rFonts w:asciiTheme="minorHAnsi" w:eastAsia="Calibri" w:hAnsiTheme="minorHAnsi" w:cstheme="minorHAnsi"/>
          <w:sz w:val="26"/>
          <w:szCs w:val="26"/>
        </w:rPr>
        <w:t xml:space="preserve"> psihologice din cadrul concursurilor organizate de către Consiliu, potrivit legii și regulamentelor, în cursul anului 2024 au fost elaborate metodologia privind organizarea și desfășurarea testări</w:t>
      </w:r>
      <w:r w:rsidR="001B286E" w:rsidRPr="001D51D4">
        <w:rPr>
          <w:rFonts w:asciiTheme="minorHAnsi" w:eastAsia="Calibri" w:hAnsiTheme="minorHAnsi" w:cstheme="minorHAnsi"/>
          <w:sz w:val="26"/>
          <w:szCs w:val="26"/>
        </w:rPr>
        <w:t>i</w:t>
      </w:r>
      <w:r w:rsidRPr="001D51D4">
        <w:rPr>
          <w:rFonts w:asciiTheme="minorHAnsi" w:eastAsia="Calibri" w:hAnsiTheme="minorHAnsi" w:cstheme="minorHAnsi"/>
          <w:sz w:val="26"/>
          <w:szCs w:val="26"/>
        </w:rPr>
        <w:t xml:space="preserve"> psihologice din cadrul concursului de admitere la I</w:t>
      </w:r>
      <w:r w:rsidR="001B286E" w:rsidRPr="001D51D4">
        <w:rPr>
          <w:rFonts w:asciiTheme="minorHAnsi" w:eastAsia="Calibri" w:hAnsiTheme="minorHAnsi" w:cstheme="minorHAnsi"/>
          <w:sz w:val="26"/>
          <w:szCs w:val="26"/>
        </w:rPr>
        <w:t>.</w:t>
      </w:r>
      <w:r w:rsidRPr="001D51D4">
        <w:rPr>
          <w:rFonts w:asciiTheme="minorHAnsi" w:eastAsia="Calibri" w:hAnsiTheme="minorHAnsi" w:cstheme="minorHAnsi"/>
          <w:sz w:val="26"/>
          <w:szCs w:val="26"/>
        </w:rPr>
        <w:t>N</w:t>
      </w:r>
      <w:r w:rsidR="001B286E" w:rsidRPr="001D51D4">
        <w:rPr>
          <w:rFonts w:asciiTheme="minorHAnsi" w:eastAsia="Calibri" w:hAnsiTheme="minorHAnsi" w:cstheme="minorHAnsi"/>
          <w:sz w:val="26"/>
          <w:szCs w:val="26"/>
        </w:rPr>
        <w:t>.</w:t>
      </w:r>
      <w:r w:rsidRPr="001D51D4">
        <w:rPr>
          <w:rFonts w:asciiTheme="minorHAnsi" w:eastAsia="Calibri" w:hAnsiTheme="minorHAnsi" w:cstheme="minorHAnsi"/>
          <w:sz w:val="26"/>
          <w:szCs w:val="26"/>
        </w:rPr>
        <w:t>M</w:t>
      </w:r>
      <w:r w:rsidR="001B286E" w:rsidRPr="001D51D4">
        <w:rPr>
          <w:rFonts w:asciiTheme="minorHAnsi" w:eastAsia="Calibri" w:hAnsiTheme="minorHAnsi" w:cstheme="minorHAnsi"/>
          <w:sz w:val="26"/>
          <w:szCs w:val="26"/>
        </w:rPr>
        <w:t>.</w:t>
      </w:r>
      <w:r w:rsidR="008E4ECB" w:rsidRPr="001D51D4">
        <w:rPr>
          <w:rFonts w:asciiTheme="minorHAnsi" w:eastAsia="Calibri" w:hAnsiTheme="minorHAnsi" w:cstheme="minorHAnsi"/>
          <w:sz w:val="26"/>
          <w:szCs w:val="26"/>
        </w:rPr>
        <w:t xml:space="preserve"> și</w:t>
      </w:r>
      <w:r w:rsidRPr="001D51D4">
        <w:rPr>
          <w:rFonts w:asciiTheme="minorHAnsi" w:eastAsia="Calibri" w:hAnsiTheme="minorHAnsi" w:cstheme="minorHAnsi"/>
          <w:sz w:val="26"/>
          <w:szCs w:val="26"/>
        </w:rPr>
        <w:t xml:space="preserve"> metodologia privind organizarea și desfășurarea testări</w:t>
      </w:r>
      <w:r w:rsidR="008E4ECB" w:rsidRPr="001D51D4">
        <w:rPr>
          <w:rFonts w:asciiTheme="minorHAnsi" w:eastAsia="Calibri" w:hAnsiTheme="minorHAnsi" w:cstheme="minorHAnsi"/>
          <w:sz w:val="26"/>
          <w:szCs w:val="26"/>
        </w:rPr>
        <w:t>i</w:t>
      </w:r>
      <w:r w:rsidRPr="001D51D4">
        <w:rPr>
          <w:rFonts w:asciiTheme="minorHAnsi" w:eastAsia="Calibri" w:hAnsiTheme="minorHAnsi" w:cstheme="minorHAnsi"/>
          <w:sz w:val="26"/>
          <w:szCs w:val="26"/>
        </w:rPr>
        <w:t xml:space="preserve"> psihologice din cadrul concursului de admitere în magistratură.</w:t>
      </w:r>
    </w:p>
    <w:p w14:paraId="042C2B56" w14:textId="48233318"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Referitor la atribuția de asigurare a testării psihologice a candidaților la concursurile organizate de  Consiliu, aceasta este îndeplinită în condițiile legii, regulamentelor, precum și a metodologiei de organizare și desfășurare a testării psihologice.</w:t>
      </w:r>
    </w:p>
    <w:p w14:paraId="2D8739EA" w14:textId="096C02B4"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Prestarea serviciilor psihologice de către psihologii desemnaţi să realizeze testarea, respectiv reexaminarea psihologică este condiţionată  de deţinerea atestatului de liberă practică în specialitatea „</w:t>
      </w:r>
      <w:r w:rsidRPr="001D51D4">
        <w:rPr>
          <w:rFonts w:asciiTheme="minorHAnsi" w:eastAsia="Calibri" w:hAnsiTheme="minorHAnsi" w:cstheme="minorHAnsi"/>
          <w:iCs/>
          <w:sz w:val="26"/>
          <w:szCs w:val="26"/>
        </w:rPr>
        <w:t>psihologia muncii şi organizaţională</w:t>
      </w:r>
      <w:r w:rsidRPr="001D51D4">
        <w:rPr>
          <w:rFonts w:asciiTheme="minorHAnsi" w:eastAsia="Calibri" w:hAnsiTheme="minorHAnsi" w:cstheme="minorHAnsi"/>
          <w:sz w:val="26"/>
          <w:szCs w:val="26"/>
        </w:rPr>
        <w:t>”, treapta de specializare cel puțin „</w:t>
      </w:r>
      <w:r w:rsidRPr="001D51D4">
        <w:rPr>
          <w:rFonts w:asciiTheme="minorHAnsi" w:eastAsia="Calibri" w:hAnsiTheme="minorHAnsi" w:cstheme="minorHAnsi"/>
          <w:iCs/>
          <w:sz w:val="26"/>
          <w:szCs w:val="26"/>
        </w:rPr>
        <w:t>autonom</w:t>
      </w:r>
      <w:r w:rsidRPr="001D51D4">
        <w:rPr>
          <w:rFonts w:asciiTheme="minorHAnsi" w:eastAsia="Calibri" w:hAnsiTheme="minorHAnsi" w:cstheme="minorHAnsi"/>
          <w:sz w:val="26"/>
          <w:szCs w:val="26"/>
        </w:rPr>
        <w:t>”, eliberat în conformitate cu dispoziţiile legale în vigoare, precum şi de dreptul de a desfășura activitățile prevăzute de dispoziţiile art. 5 din Legea nr. 213/2004, cu modificările ulterioare.</w:t>
      </w:r>
    </w:p>
    <w:p w14:paraId="37C59E46" w14:textId="1AD29B5E" w:rsidR="001D51D4" w:rsidRPr="001D51D4" w:rsidRDefault="00EC5E5B" w:rsidP="00EC5E5B">
      <w:pPr>
        <w:tabs>
          <w:tab w:val="left" w:pos="709"/>
          <w:tab w:val="left" w:pos="3120"/>
        </w:tabs>
        <w:spacing w:line="276" w:lineRule="auto"/>
        <w:ind w:right="-2"/>
        <w:jc w:val="both"/>
        <w:rPr>
          <w:rFonts w:asciiTheme="minorHAnsi" w:eastAsia="Calibri" w:hAnsiTheme="minorHAnsi" w:cstheme="minorHAnsi"/>
          <w:sz w:val="26"/>
          <w:szCs w:val="26"/>
        </w:rPr>
      </w:pPr>
      <w:r>
        <w:rPr>
          <w:rFonts w:asciiTheme="minorHAnsi" w:eastAsia="Calibri" w:hAnsiTheme="minorHAnsi" w:cstheme="minorHAnsi"/>
          <w:sz w:val="26"/>
          <w:szCs w:val="26"/>
        </w:rPr>
        <w:tab/>
      </w:r>
      <w:r w:rsidR="001D51D4" w:rsidRPr="001D51D4">
        <w:rPr>
          <w:rFonts w:asciiTheme="minorHAnsi" w:eastAsia="Calibri" w:hAnsiTheme="minorHAnsi" w:cstheme="minorHAnsi"/>
          <w:sz w:val="26"/>
          <w:szCs w:val="26"/>
        </w:rPr>
        <w:t>În cursul anului 2024, testarea psihologică a fost asigurată de psihologi din cadrul Consiliului, I</w:t>
      </w:r>
      <w:r w:rsidR="00DD6C5E">
        <w:rPr>
          <w:rFonts w:asciiTheme="minorHAnsi" w:eastAsia="Calibri" w:hAnsiTheme="minorHAnsi" w:cstheme="minorHAnsi"/>
          <w:sz w:val="26"/>
          <w:szCs w:val="26"/>
        </w:rPr>
        <w:t>.</w:t>
      </w:r>
      <w:r w:rsidR="001D51D4" w:rsidRPr="001D51D4">
        <w:rPr>
          <w:rFonts w:asciiTheme="minorHAnsi" w:eastAsia="Calibri" w:hAnsiTheme="minorHAnsi" w:cstheme="minorHAnsi"/>
          <w:sz w:val="26"/>
          <w:szCs w:val="26"/>
        </w:rPr>
        <w:t>C</w:t>
      </w:r>
      <w:r w:rsidR="00DD6C5E">
        <w:rPr>
          <w:rFonts w:asciiTheme="minorHAnsi" w:eastAsia="Calibri" w:hAnsiTheme="minorHAnsi" w:cstheme="minorHAnsi"/>
          <w:sz w:val="26"/>
          <w:szCs w:val="26"/>
        </w:rPr>
        <w:t>.</w:t>
      </w:r>
      <w:r w:rsidR="001D51D4" w:rsidRPr="001D51D4">
        <w:rPr>
          <w:rFonts w:asciiTheme="minorHAnsi" w:eastAsia="Calibri" w:hAnsiTheme="minorHAnsi" w:cstheme="minorHAnsi"/>
          <w:sz w:val="26"/>
          <w:szCs w:val="26"/>
        </w:rPr>
        <w:t>C</w:t>
      </w:r>
      <w:r w:rsidR="00DD6C5E">
        <w:rPr>
          <w:rFonts w:asciiTheme="minorHAnsi" w:eastAsia="Calibri" w:hAnsiTheme="minorHAnsi" w:cstheme="minorHAnsi"/>
          <w:sz w:val="26"/>
          <w:szCs w:val="26"/>
        </w:rPr>
        <w:t>.</w:t>
      </w:r>
      <w:r w:rsidR="001D51D4" w:rsidRPr="001D51D4">
        <w:rPr>
          <w:rFonts w:asciiTheme="minorHAnsi" w:eastAsia="Calibri" w:hAnsiTheme="minorHAnsi" w:cstheme="minorHAnsi"/>
          <w:sz w:val="26"/>
          <w:szCs w:val="26"/>
        </w:rPr>
        <w:t>J</w:t>
      </w:r>
      <w:r w:rsidR="00DD6C5E">
        <w:rPr>
          <w:rFonts w:asciiTheme="minorHAnsi" w:eastAsia="Calibri" w:hAnsiTheme="minorHAnsi" w:cstheme="minorHAnsi"/>
          <w:sz w:val="26"/>
          <w:szCs w:val="26"/>
        </w:rPr>
        <w:t>.</w:t>
      </w:r>
      <w:r w:rsidR="001D51D4" w:rsidRPr="001D51D4">
        <w:rPr>
          <w:rFonts w:asciiTheme="minorHAnsi" w:eastAsia="Calibri" w:hAnsiTheme="minorHAnsi" w:cstheme="minorHAnsi"/>
          <w:sz w:val="26"/>
          <w:szCs w:val="26"/>
        </w:rPr>
        <w:t>, I</w:t>
      </w:r>
      <w:r w:rsidR="00DD6C5E">
        <w:rPr>
          <w:rFonts w:asciiTheme="minorHAnsi" w:eastAsia="Calibri" w:hAnsiTheme="minorHAnsi" w:cstheme="minorHAnsi"/>
          <w:sz w:val="26"/>
          <w:szCs w:val="26"/>
        </w:rPr>
        <w:t>.</w:t>
      </w:r>
      <w:r w:rsidR="001D51D4" w:rsidRPr="001D51D4">
        <w:rPr>
          <w:rFonts w:asciiTheme="minorHAnsi" w:eastAsia="Calibri" w:hAnsiTheme="minorHAnsi" w:cstheme="minorHAnsi"/>
          <w:sz w:val="26"/>
          <w:szCs w:val="26"/>
        </w:rPr>
        <w:t>N</w:t>
      </w:r>
      <w:r w:rsidR="00DD6C5E">
        <w:rPr>
          <w:rFonts w:asciiTheme="minorHAnsi" w:eastAsia="Calibri" w:hAnsiTheme="minorHAnsi" w:cstheme="minorHAnsi"/>
          <w:sz w:val="26"/>
          <w:szCs w:val="26"/>
        </w:rPr>
        <w:t>.</w:t>
      </w:r>
      <w:r w:rsidR="001D51D4" w:rsidRPr="001D51D4">
        <w:rPr>
          <w:rFonts w:asciiTheme="minorHAnsi" w:eastAsia="Calibri" w:hAnsiTheme="minorHAnsi" w:cstheme="minorHAnsi"/>
          <w:sz w:val="26"/>
          <w:szCs w:val="26"/>
        </w:rPr>
        <w:t>M</w:t>
      </w:r>
      <w:r w:rsidR="00DD6C5E">
        <w:rPr>
          <w:rFonts w:asciiTheme="minorHAnsi" w:eastAsia="Calibri" w:hAnsiTheme="minorHAnsi" w:cstheme="minorHAnsi"/>
          <w:sz w:val="26"/>
          <w:szCs w:val="26"/>
        </w:rPr>
        <w:t>.</w:t>
      </w:r>
      <w:r w:rsidR="001D51D4" w:rsidRPr="001D51D4">
        <w:rPr>
          <w:rFonts w:asciiTheme="minorHAnsi" w:eastAsia="Calibri" w:hAnsiTheme="minorHAnsi" w:cstheme="minorHAnsi"/>
          <w:sz w:val="26"/>
          <w:szCs w:val="26"/>
        </w:rPr>
        <w:t>, curților de apel, P</w:t>
      </w:r>
      <w:r w:rsidR="00DD6C5E">
        <w:rPr>
          <w:rFonts w:asciiTheme="minorHAnsi" w:eastAsia="Calibri" w:hAnsiTheme="minorHAnsi" w:cstheme="minorHAnsi"/>
          <w:sz w:val="26"/>
          <w:szCs w:val="26"/>
        </w:rPr>
        <w:t>.</w:t>
      </w:r>
      <w:r w:rsidR="001D51D4" w:rsidRPr="001D51D4">
        <w:rPr>
          <w:rFonts w:asciiTheme="minorHAnsi" w:eastAsia="Calibri" w:hAnsiTheme="minorHAnsi" w:cstheme="minorHAnsi"/>
          <w:sz w:val="26"/>
          <w:szCs w:val="26"/>
        </w:rPr>
        <w:t>I</w:t>
      </w:r>
      <w:r w:rsidR="00DD6C5E">
        <w:rPr>
          <w:rFonts w:asciiTheme="minorHAnsi" w:eastAsia="Calibri" w:hAnsiTheme="minorHAnsi" w:cstheme="minorHAnsi"/>
          <w:sz w:val="26"/>
          <w:szCs w:val="26"/>
        </w:rPr>
        <w:t>.</w:t>
      </w:r>
      <w:r w:rsidR="001D51D4" w:rsidRPr="001D51D4">
        <w:rPr>
          <w:rFonts w:asciiTheme="minorHAnsi" w:eastAsia="Calibri" w:hAnsiTheme="minorHAnsi" w:cstheme="minorHAnsi"/>
          <w:sz w:val="26"/>
          <w:szCs w:val="26"/>
        </w:rPr>
        <w:t>C</w:t>
      </w:r>
      <w:r w:rsidR="00DD6C5E">
        <w:rPr>
          <w:rFonts w:asciiTheme="minorHAnsi" w:eastAsia="Calibri" w:hAnsiTheme="minorHAnsi" w:cstheme="minorHAnsi"/>
          <w:sz w:val="26"/>
          <w:szCs w:val="26"/>
        </w:rPr>
        <w:t>.</w:t>
      </w:r>
      <w:r w:rsidR="001D51D4" w:rsidRPr="001D51D4">
        <w:rPr>
          <w:rFonts w:asciiTheme="minorHAnsi" w:eastAsia="Calibri" w:hAnsiTheme="minorHAnsi" w:cstheme="minorHAnsi"/>
          <w:sz w:val="26"/>
          <w:szCs w:val="26"/>
        </w:rPr>
        <w:t>C</w:t>
      </w:r>
      <w:r w:rsidR="00DD6C5E">
        <w:rPr>
          <w:rFonts w:asciiTheme="minorHAnsi" w:eastAsia="Calibri" w:hAnsiTheme="minorHAnsi" w:cstheme="minorHAnsi"/>
          <w:sz w:val="26"/>
          <w:szCs w:val="26"/>
        </w:rPr>
        <w:t>.</w:t>
      </w:r>
      <w:r w:rsidR="001D51D4" w:rsidRPr="001D51D4">
        <w:rPr>
          <w:rFonts w:asciiTheme="minorHAnsi" w:eastAsia="Calibri" w:hAnsiTheme="minorHAnsi" w:cstheme="minorHAnsi"/>
          <w:sz w:val="26"/>
          <w:szCs w:val="26"/>
        </w:rPr>
        <w:t>J</w:t>
      </w:r>
      <w:r w:rsidR="00DD6C5E">
        <w:rPr>
          <w:rFonts w:asciiTheme="minorHAnsi" w:eastAsia="Calibri" w:hAnsiTheme="minorHAnsi" w:cstheme="minorHAnsi"/>
          <w:sz w:val="26"/>
          <w:szCs w:val="26"/>
        </w:rPr>
        <w:t>.</w:t>
      </w:r>
      <w:r w:rsidR="001D51D4" w:rsidRPr="001D51D4">
        <w:rPr>
          <w:rFonts w:asciiTheme="minorHAnsi" w:eastAsia="Calibri" w:hAnsiTheme="minorHAnsi" w:cstheme="minorHAnsi"/>
          <w:sz w:val="26"/>
          <w:szCs w:val="26"/>
        </w:rPr>
        <w:t xml:space="preserve"> și parchetelor de pe lângă curțile de apel, </w:t>
      </w:r>
      <w:r w:rsidR="001D51D4" w:rsidRPr="001D51D4">
        <w:rPr>
          <w:rFonts w:asciiTheme="minorHAnsi" w:eastAsia="Calibri" w:hAnsiTheme="minorHAnsi" w:cstheme="minorHAnsi"/>
          <w:sz w:val="26"/>
          <w:szCs w:val="26"/>
        </w:rPr>
        <w:lastRenderedPageBreak/>
        <w:t xml:space="preserve">compartimentul asigurând coordonarea metodologică a comisiilor de testare psihologică/soluţionare a contestaţiilor pentru  evaluarea unui număr total de 1540 candidați, distribuiți astfel: </w:t>
      </w:r>
    </w:p>
    <w:p w14:paraId="3355BC39" w14:textId="6CBB62A8" w:rsidR="001D51D4" w:rsidRPr="001D51D4" w:rsidRDefault="001D51D4">
      <w:pPr>
        <w:numPr>
          <w:ilvl w:val="0"/>
          <w:numId w:val="48"/>
        </w:numPr>
        <w:tabs>
          <w:tab w:val="left" w:pos="3120"/>
        </w:tabs>
        <w:spacing w:line="276" w:lineRule="auto"/>
        <w:ind w:right="-2"/>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 xml:space="preserve">32 </w:t>
      </w:r>
      <w:r w:rsidR="005C6B7F">
        <w:rPr>
          <w:rFonts w:asciiTheme="minorHAnsi" w:eastAsia="Calibri" w:hAnsiTheme="minorHAnsi" w:cstheme="minorHAnsi"/>
          <w:sz w:val="26"/>
          <w:szCs w:val="26"/>
        </w:rPr>
        <w:t xml:space="preserve">de </w:t>
      </w:r>
      <w:r w:rsidRPr="001D51D4">
        <w:rPr>
          <w:rFonts w:asciiTheme="minorHAnsi" w:eastAsia="Calibri" w:hAnsiTheme="minorHAnsi" w:cstheme="minorHAnsi"/>
          <w:sz w:val="26"/>
          <w:szCs w:val="26"/>
        </w:rPr>
        <w:t>candidați în cadrul concursului/examenului pentru numirea în funcţii de conducere a judecătorilor, sesiunea  februarie – iunie 2024</w:t>
      </w:r>
      <w:r w:rsidR="005C6B7F" w:rsidRPr="00E45208">
        <w:rPr>
          <w:rFonts w:asciiTheme="minorHAnsi" w:eastAsia="Calibri" w:hAnsiTheme="minorHAnsi" w:cstheme="minorHAnsi"/>
          <w:sz w:val="26"/>
          <w:szCs w:val="26"/>
          <w:lang w:val="fr-FR"/>
        </w:rPr>
        <w:t>;</w:t>
      </w:r>
    </w:p>
    <w:p w14:paraId="7B22938C" w14:textId="4F6DB437" w:rsidR="001D51D4" w:rsidRPr="001D51D4" w:rsidRDefault="001D51D4">
      <w:pPr>
        <w:numPr>
          <w:ilvl w:val="0"/>
          <w:numId w:val="48"/>
        </w:numPr>
        <w:tabs>
          <w:tab w:val="left" w:pos="3120"/>
        </w:tabs>
        <w:spacing w:line="276" w:lineRule="auto"/>
        <w:ind w:right="-2"/>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35</w:t>
      </w:r>
      <w:r w:rsidR="005C6B7F">
        <w:rPr>
          <w:rFonts w:asciiTheme="minorHAnsi" w:eastAsia="Calibri" w:hAnsiTheme="minorHAnsi" w:cstheme="minorHAnsi"/>
          <w:sz w:val="26"/>
          <w:szCs w:val="26"/>
        </w:rPr>
        <w:t xml:space="preserve"> de</w:t>
      </w:r>
      <w:r w:rsidRPr="001D51D4">
        <w:rPr>
          <w:rFonts w:asciiTheme="minorHAnsi" w:eastAsia="Calibri" w:hAnsiTheme="minorHAnsi" w:cstheme="minorHAnsi"/>
          <w:sz w:val="26"/>
          <w:szCs w:val="26"/>
        </w:rPr>
        <w:t xml:space="preserve"> candidați în cadrul concursului/examenului pentru numirea în funcţii de conducere a judecătorilor, sesiunea august – decembrie 2024</w:t>
      </w:r>
      <w:r w:rsidR="005C6B7F">
        <w:rPr>
          <w:rFonts w:asciiTheme="minorHAnsi" w:eastAsia="Calibri" w:hAnsiTheme="minorHAnsi" w:cstheme="minorHAnsi"/>
          <w:sz w:val="26"/>
          <w:szCs w:val="26"/>
        </w:rPr>
        <w:t>;</w:t>
      </w:r>
    </w:p>
    <w:p w14:paraId="78834E94" w14:textId="121E65C2" w:rsidR="001D51D4" w:rsidRPr="001D51D4" w:rsidRDefault="001D51D4">
      <w:pPr>
        <w:numPr>
          <w:ilvl w:val="0"/>
          <w:numId w:val="48"/>
        </w:numPr>
        <w:tabs>
          <w:tab w:val="left" w:pos="3120"/>
        </w:tabs>
        <w:spacing w:line="276" w:lineRule="auto"/>
        <w:ind w:right="-2"/>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 xml:space="preserve">67 </w:t>
      </w:r>
      <w:r w:rsidR="005C6B7F">
        <w:rPr>
          <w:rFonts w:asciiTheme="minorHAnsi" w:eastAsia="Calibri" w:hAnsiTheme="minorHAnsi" w:cstheme="minorHAnsi"/>
          <w:sz w:val="26"/>
          <w:szCs w:val="26"/>
        </w:rPr>
        <w:t xml:space="preserve">de </w:t>
      </w:r>
      <w:r w:rsidRPr="001D51D4">
        <w:rPr>
          <w:rFonts w:asciiTheme="minorHAnsi" w:eastAsia="Calibri" w:hAnsiTheme="minorHAnsi" w:cstheme="minorHAnsi"/>
          <w:sz w:val="26"/>
          <w:szCs w:val="26"/>
        </w:rPr>
        <w:t>candidați în cadrul concursului/examenului pentru numirea în funcţii de conducere a procurorilor, sesiunea august  – noiembrie 2024</w:t>
      </w:r>
      <w:r w:rsidR="005C6B7F">
        <w:rPr>
          <w:rFonts w:asciiTheme="minorHAnsi" w:eastAsia="Calibri" w:hAnsiTheme="minorHAnsi" w:cstheme="minorHAnsi"/>
          <w:sz w:val="26"/>
          <w:szCs w:val="26"/>
        </w:rPr>
        <w:t>;</w:t>
      </w:r>
    </w:p>
    <w:p w14:paraId="606A732F" w14:textId="609DEE14" w:rsidR="001D51D4" w:rsidRPr="001D51D4" w:rsidRDefault="001D51D4">
      <w:pPr>
        <w:numPr>
          <w:ilvl w:val="0"/>
          <w:numId w:val="48"/>
        </w:numPr>
        <w:tabs>
          <w:tab w:val="left" w:pos="3120"/>
        </w:tabs>
        <w:spacing w:line="276" w:lineRule="auto"/>
        <w:ind w:right="-2"/>
        <w:jc w:val="both"/>
        <w:rPr>
          <w:rFonts w:asciiTheme="minorHAnsi" w:eastAsia="Calibri" w:hAnsiTheme="minorHAnsi" w:cstheme="minorHAnsi"/>
          <w:sz w:val="26"/>
          <w:szCs w:val="26"/>
        </w:rPr>
      </w:pPr>
      <w:bookmarkStart w:id="182" w:name="_Hlk150192412"/>
      <w:r w:rsidRPr="001D51D4">
        <w:rPr>
          <w:rFonts w:asciiTheme="minorHAnsi" w:eastAsia="Calibri" w:hAnsiTheme="minorHAnsi" w:cstheme="minorHAnsi"/>
          <w:sz w:val="26"/>
          <w:szCs w:val="26"/>
        </w:rPr>
        <w:t xml:space="preserve">1162 </w:t>
      </w:r>
      <w:r w:rsidR="005C6B7F">
        <w:rPr>
          <w:rFonts w:asciiTheme="minorHAnsi" w:eastAsia="Calibri" w:hAnsiTheme="minorHAnsi" w:cstheme="minorHAnsi"/>
          <w:sz w:val="26"/>
          <w:szCs w:val="26"/>
        </w:rPr>
        <w:t xml:space="preserve">de </w:t>
      </w:r>
      <w:r w:rsidRPr="001D51D4">
        <w:rPr>
          <w:rFonts w:asciiTheme="minorHAnsi" w:eastAsia="Calibri" w:hAnsiTheme="minorHAnsi" w:cstheme="minorHAnsi"/>
          <w:sz w:val="26"/>
          <w:szCs w:val="26"/>
        </w:rPr>
        <w:t xml:space="preserve">candidați în cadrul concursului de admitere </w:t>
      </w:r>
      <w:r w:rsidR="00EC78EA">
        <w:rPr>
          <w:rFonts w:asciiTheme="minorHAnsi" w:eastAsia="Calibri" w:hAnsiTheme="minorHAnsi" w:cstheme="minorHAnsi"/>
          <w:sz w:val="26"/>
          <w:szCs w:val="26"/>
        </w:rPr>
        <w:t>î</w:t>
      </w:r>
      <w:r w:rsidRPr="001D51D4">
        <w:rPr>
          <w:rFonts w:asciiTheme="minorHAnsi" w:eastAsia="Calibri" w:hAnsiTheme="minorHAnsi" w:cstheme="minorHAnsi"/>
          <w:sz w:val="26"/>
          <w:szCs w:val="26"/>
        </w:rPr>
        <w:t>n magistratur</w:t>
      </w:r>
      <w:r w:rsidR="00EC78EA">
        <w:rPr>
          <w:rFonts w:asciiTheme="minorHAnsi" w:eastAsia="Calibri" w:hAnsiTheme="minorHAnsi" w:cstheme="minorHAnsi"/>
          <w:sz w:val="26"/>
          <w:szCs w:val="26"/>
        </w:rPr>
        <w:t>ă</w:t>
      </w:r>
      <w:r w:rsidRPr="001D51D4">
        <w:rPr>
          <w:rFonts w:asciiTheme="minorHAnsi" w:eastAsia="Calibri" w:hAnsiTheme="minorHAnsi" w:cstheme="minorHAnsi"/>
          <w:sz w:val="26"/>
          <w:szCs w:val="26"/>
        </w:rPr>
        <w:t>/admitere la Institutul Național al Magistraturii, sesiunea iulie 2023</w:t>
      </w:r>
      <w:r w:rsidR="00EC78EA">
        <w:rPr>
          <w:rFonts w:asciiTheme="minorHAnsi" w:eastAsia="Calibri" w:hAnsiTheme="minorHAnsi" w:cstheme="minorHAnsi"/>
          <w:sz w:val="26"/>
          <w:szCs w:val="26"/>
        </w:rPr>
        <w:t xml:space="preserve"> </w:t>
      </w:r>
      <w:r w:rsidRPr="001D51D4">
        <w:rPr>
          <w:rFonts w:asciiTheme="minorHAnsi" w:eastAsia="Calibri" w:hAnsiTheme="minorHAnsi" w:cstheme="minorHAnsi"/>
          <w:sz w:val="26"/>
          <w:szCs w:val="26"/>
        </w:rPr>
        <w:t>– martie 2024</w:t>
      </w:r>
      <w:r w:rsidR="005C6B7F">
        <w:rPr>
          <w:rFonts w:asciiTheme="minorHAnsi" w:eastAsia="Calibri" w:hAnsiTheme="minorHAnsi" w:cstheme="minorHAnsi"/>
          <w:sz w:val="26"/>
          <w:szCs w:val="26"/>
        </w:rPr>
        <w:t>;</w:t>
      </w:r>
    </w:p>
    <w:bookmarkEnd w:id="182"/>
    <w:p w14:paraId="6ED1AFCF" w14:textId="1F216EA2" w:rsidR="001D51D4" w:rsidRPr="001D51D4" w:rsidRDefault="001D51D4">
      <w:pPr>
        <w:numPr>
          <w:ilvl w:val="0"/>
          <w:numId w:val="48"/>
        </w:numPr>
        <w:tabs>
          <w:tab w:val="left" w:pos="3120"/>
        </w:tabs>
        <w:spacing w:line="276" w:lineRule="auto"/>
        <w:ind w:right="-2"/>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238</w:t>
      </w:r>
      <w:r w:rsidR="005C6B7F">
        <w:rPr>
          <w:rFonts w:asciiTheme="minorHAnsi" w:eastAsia="Calibri" w:hAnsiTheme="minorHAnsi" w:cstheme="minorHAnsi"/>
          <w:sz w:val="26"/>
          <w:szCs w:val="26"/>
        </w:rPr>
        <w:t xml:space="preserve"> de </w:t>
      </w:r>
      <w:r w:rsidRPr="001D51D4">
        <w:rPr>
          <w:rFonts w:asciiTheme="minorHAnsi" w:eastAsia="Calibri" w:hAnsiTheme="minorHAnsi" w:cstheme="minorHAnsi"/>
          <w:sz w:val="26"/>
          <w:szCs w:val="26"/>
        </w:rPr>
        <w:t xml:space="preserve">candidați în cadrul concursului de admitere </w:t>
      </w:r>
      <w:r w:rsidR="00EC78EA">
        <w:rPr>
          <w:rFonts w:asciiTheme="minorHAnsi" w:eastAsia="Calibri" w:hAnsiTheme="minorHAnsi" w:cstheme="minorHAnsi"/>
          <w:sz w:val="26"/>
          <w:szCs w:val="26"/>
        </w:rPr>
        <w:t>î</w:t>
      </w:r>
      <w:r w:rsidRPr="001D51D4">
        <w:rPr>
          <w:rFonts w:asciiTheme="minorHAnsi" w:eastAsia="Calibri" w:hAnsiTheme="minorHAnsi" w:cstheme="minorHAnsi"/>
          <w:sz w:val="26"/>
          <w:szCs w:val="26"/>
        </w:rPr>
        <w:t>n magistratur</w:t>
      </w:r>
      <w:r w:rsidR="00EC78EA">
        <w:rPr>
          <w:rFonts w:asciiTheme="minorHAnsi" w:eastAsia="Calibri" w:hAnsiTheme="minorHAnsi" w:cstheme="minorHAnsi"/>
          <w:sz w:val="26"/>
          <w:szCs w:val="26"/>
        </w:rPr>
        <w:t>ă</w:t>
      </w:r>
      <w:r w:rsidRPr="001D51D4">
        <w:rPr>
          <w:rFonts w:asciiTheme="minorHAnsi" w:eastAsia="Calibri" w:hAnsiTheme="minorHAnsi" w:cstheme="minorHAnsi"/>
          <w:sz w:val="26"/>
          <w:szCs w:val="26"/>
        </w:rPr>
        <w:t>, sesiunea                     februarie</w:t>
      </w:r>
      <w:r w:rsidR="00EC78EA">
        <w:rPr>
          <w:rFonts w:asciiTheme="minorHAnsi" w:eastAsia="Calibri" w:hAnsiTheme="minorHAnsi" w:cstheme="minorHAnsi"/>
          <w:sz w:val="26"/>
          <w:szCs w:val="26"/>
        </w:rPr>
        <w:t xml:space="preserve"> </w:t>
      </w:r>
      <w:r w:rsidRPr="001D51D4">
        <w:rPr>
          <w:rFonts w:asciiTheme="minorHAnsi" w:eastAsia="Calibri" w:hAnsiTheme="minorHAnsi" w:cstheme="minorHAnsi"/>
          <w:sz w:val="26"/>
          <w:szCs w:val="26"/>
        </w:rPr>
        <w:t>–  iulie 2024</w:t>
      </w:r>
      <w:r w:rsidR="005C6B7F">
        <w:rPr>
          <w:rFonts w:asciiTheme="minorHAnsi" w:eastAsia="Calibri" w:hAnsiTheme="minorHAnsi" w:cstheme="minorHAnsi"/>
          <w:sz w:val="26"/>
          <w:szCs w:val="26"/>
        </w:rPr>
        <w:t>;</w:t>
      </w:r>
    </w:p>
    <w:p w14:paraId="7D527AF4" w14:textId="0AD45DF2" w:rsidR="001D51D4" w:rsidRPr="001D51D4" w:rsidRDefault="001D51D4">
      <w:pPr>
        <w:numPr>
          <w:ilvl w:val="0"/>
          <w:numId w:val="48"/>
        </w:numPr>
        <w:tabs>
          <w:tab w:val="left" w:pos="3120"/>
        </w:tabs>
        <w:spacing w:line="276" w:lineRule="auto"/>
        <w:ind w:right="-2"/>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 xml:space="preserve">15 </w:t>
      </w:r>
      <w:bookmarkStart w:id="183" w:name="_Hlk150192756"/>
      <w:r w:rsidRPr="001D51D4">
        <w:rPr>
          <w:rFonts w:asciiTheme="minorHAnsi" w:eastAsia="Calibri" w:hAnsiTheme="minorHAnsi" w:cstheme="minorHAnsi"/>
          <w:sz w:val="26"/>
          <w:szCs w:val="26"/>
        </w:rPr>
        <w:t>candidați în cadrul procedurii de reîncadrare în funcția de judecător, sesiunea mai</w:t>
      </w:r>
      <w:r w:rsidR="00EC78EA">
        <w:rPr>
          <w:rFonts w:asciiTheme="minorHAnsi" w:eastAsia="Calibri" w:hAnsiTheme="minorHAnsi" w:cstheme="minorHAnsi"/>
          <w:sz w:val="26"/>
          <w:szCs w:val="26"/>
        </w:rPr>
        <w:t xml:space="preserve"> </w:t>
      </w:r>
      <w:r w:rsidRPr="001D51D4">
        <w:rPr>
          <w:rFonts w:asciiTheme="minorHAnsi" w:eastAsia="Calibri" w:hAnsiTheme="minorHAnsi" w:cstheme="minorHAnsi"/>
          <w:sz w:val="26"/>
          <w:szCs w:val="26"/>
        </w:rPr>
        <w:t>-</w:t>
      </w:r>
      <w:r w:rsidR="00EC78EA">
        <w:rPr>
          <w:rFonts w:asciiTheme="minorHAnsi" w:eastAsia="Calibri" w:hAnsiTheme="minorHAnsi" w:cstheme="minorHAnsi"/>
          <w:sz w:val="26"/>
          <w:szCs w:val="26"/>
        </w:rPr>
        <w:t xml:space="preserve"> </w:t>
      </w:r>
      <w:r w:rsidRPr="001D51D4">
        <w:rPr>
          <w:rFonts w:asciiTheme="minorHAnsi" w:eastAsia="Calibri" w:hAnsiTheme="minorHAnsi" w:cstheme="minorHAnsi"/>
          <w:sz w:val="26"/>
          <w:szCs w:val="26"/>
        </w:rPr>
        <w:t>septembrie 2024.</w:t>
      </w:r>
      <w:bookmarkEnd w:id="183"/>
    </w:p>
    <w:p w14:paraId="6043CC10" w14:textId="7C24CB03"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Activitățile desfășurate în cadrul comisiilor de examinare/soluţionare a contestaţiilor din cadrul concursurilor/examenelor enumerate au fost consemnate în rapoartele de activitate întocmite la nivelul C</w:t>
      </w:r>
      <w:r w:rsidR="0014053A">
        <w:rPr>
          <w:rFonts w:asciiTheme="minorHAnsi" w:eastAsia="Calibri" w:hAnsiTheme="minorHAnsi" w:cstheme="minorHAnsi"/>
          <w:sz w:val="26"/>
          <w:szCs w:val="26"/>
        </w:rPr>
        <w:t>.</w:t>
      </w:r>
      <w:r w:rsidRPr="001D51D4">
        <w:rPr>
          <w:rFonts w:asciiTheme="minorHAnsi" w:eastAsia="Calibri" w:hAnsiTheme="minorHAnsi" w:cstheme="minorHAnsi"/>
          <w:sz w:val="26"/>
          <w:szCs w:val="26"/>
        </w:rPr>
        <w:t>P</w:t>
      </w:r>
      <w:r w:rsidR="0014053A">
        <w:rPr>
          <w:rFonts w:asciiTheme="minorHAnsi" w:eastAsia="Calibri" w:hAnsiTheme="minorHAnsi" w:cstheme="minorHAnsi"/>
          <w:sz w:val="26"/>
          <w:szCs w:val="26"/>
        </w:rPr>
        <w:t>.</w:t>
      </w:r>
      <w:r w:rsidRPr="001D51D4">
        <w:rPr>
          <w:rFonts w:asciiTheme="minorHAnsi" w:eastAsia="Calibri" w:hAnsiTheme="minorHAnsi" w:cstheme="minorHAnsi"/>
          <w:sz w:val="26"/>
          <w:szCs w:val="26"/>
        </w:rPr>
        <w:t>P</w:t>
      </w:r>
      <w:r w:rsidR="0014053A">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acestea fiind comunicate Comisiei de organizare a concursului/examenului.  </w:t>
      </w:r>
    </w:p>
    <w:p w14:paraId="23F87188" w14:textId="2A8D38E3"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Cu privire la situaţia calificativelor acordate în cadrul comisiilor de testare psihologică, aceasta se prezintă astfel:</w:t>
      </w:r>
    </w:p>
    <w:tbl>
      <w:tblPr>
        <w:tblW w:w="10194" w:type="dxa"/>
        <w:tblLook w:val="04A0" w:firstRow="1" w:lastRow="0" w:firstColumn="1" w:lastColumn="0" w:noHBand="0" w:noVBand="1"/>
      </w:tblPr>
      <w:tblGrid>
        <w:gridCol w:w="2917"/>
        <w:gridCol w:w="1473"/>
        <w:gridCol w:w="1202"/>
        <w:gridCol w:w="1544"/>
        <w:gridCol w:w="1514"/>
        <w:gridCol w:w="1544"/>
      </w:tblGrid>
      <w:tr w:rsidR="001D51D4" w:rsidRPr="001D51D4" w14:paraId="0EF9D8CF" w14:textId="77777777" w:rsidTr="00F872AD">
        <w:trPr>
          <w:trHeight w:val="288"/>
        </w:trPr>
        <w:tc>
          <w:tcPr>
            <w:tcW w:w="2917" w:type="dxa"/>
            <w:vMerge w:val="restart"/>
            <w:tcBorders>
              <w:top w:val="single" w:sz="4" w:space="0" w:color="auto"/>
              <w:left w:val="single" w:sz="4" w:space="0" w:color="auto"/>
              <w:bottom w:val="single" w:sz="4" w:space="0" w:color="auto"/>
              <w:right w:val="single" w:sz="4" w:space="0" w:color="auto"/>
            </w:tcBorders>
            <w:noWrap/>
            <w:vAlign w:val="bottom"/>
            <w:hideMark/>
          </w:tcPr>
          <w:p w14:paraId="5C689611" w14:textId="77777777" w:rsidR="001D51D4" w:rsidRPr="001D51D4" w:rsidRDefault="001D51D4" w:rsidP="001D51D4">
            <w:pPr>
              <w:tabs>
                <w:tab w:val="left" w:pos="3120"/>
              </w:tabs>
              <w:spacing w:line="276" w:lineRule="auto"/>
              <w:ind w:right="-2" w:firstLine="709"/>
              <w:jc w:val="both"/>
              <w:rPr>
                <w:rFonts w:asciiTheme="minorHAnsi" w:eastAsia="Calibri" w:hAnsiTheme="minorHAnsi" w:cstheme="minorHAnsi"/>
                <w:b/>
                <w:bCs/>
                <w:sz w:val="26"/>
                <w:szCs w:val="26"/>
              </w:rPr>
            </w:pPr>
            <w:bookmarkStart w:id="184" w:name="_Hlk149810770"/>
            <w:r w:rsidRPr="001D51D4">
              <w:rPr>
                <w:rFonts w:asciiTheme="minorHAnsi" w:eastAsia="Calibri" w:hAnsiTheme="minorHAnsi" w:cstheme="minorHAnsi"/>
                <w:b/>
                <w:bCs/>
                <w:sz w:val="26"/>
                <w:szCs w:val="26"/>
              </w:rPr>
              <w:t>Concurs</w:t>
            </w:r>
          </w:p>
          <w:p w14:paraId="3351F912" w14:textId="77777777" w:rsidR="001D51D4" w:rsidRPr="001D51D4" w:rsidRDefault="001D51D4" w:rsidP="001D51D4">
            <w:pPr>
              <w:tabs>
                <w:tab w:val="left" w:pos="3120"/>
              </w:tabs>
              <w:spacing w:line="276" w:lineRule="auto"/>
              <w:ind w:right="-2" w:firstLine="709"/>
              <w:jc w:val="both"/>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 </w:t>
            </w:r>
          </w:p>
        </w:tc>
        <w:tc>
          <w:tcPr>
            <w:tcW w:w="1473" w:type="dxa"/>
            <w:vMerge w:val="restart"/>
            <w:tcBorders>
              <w:top w:val="single" w:sz="4" w:space="0" w:color="auto"/>
              <w:left w:val="single" w:sz="4" w:space="0" w:color="auto"/>
              <w:bottom w:val="single" w:sz="4" w:space="0" w:color="000000"/>
              <w:right w:val="single" w:sz="4" w:space="0" w:color="auto"/>
            </w:tcBorders>
            <w:noWrap/>
            <w:vAlign w:val="bottom"/>
            <w:hideMark/>
          </w:tcPr>
          <w:p w14:paraId="6ACCFAC8" w14:textId="77777777" w:rsidR="001D51D4" w:rsidRPr="001D51D4" w:rsidRDefault="001D51D4" w:rsidP="0014053A">
            <w:pPr>
              <w:tabs>
                <w:tab w:val="left" w:pos="3120"/>
              </w:tabs>
              <w:spacing w:line="276" w:lineRule="auto"/>
              <w:ind w:right="-2"/>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Persoane examinate</w:t>
            </w:r>
          </w:p>
        </w:tc>
        <w:tc>
          <w:tcPr>
            <w:tcW w:w="5804" w:type="dxa"/>
            <w:gridSpan w:val="4"/>
            <w:tcBorders>
              <w:top w:val="single" w:sz="4" w:space="0" w:color="auto"/>
              <w:left w:val="nil"/>
              <w:bottom w:val="single" w:sz="4" w:space="0" w:color="auto"/>
              <w:right w:val="single" w:sz="4" w:space="0" w:color="auto"/>
            </w:tcBorders>
            <w:noWrap/>
            <w:vAlign w:val="bottom"/>
            <w:hideMark/>
          </w:tcPr>
          <w:p w14:paraId="54BDC34A" w14:textId="77777777" w:rsidR="001D51D4" w:rsidRPr="001D51D4" w:rsidRDefault="001D51D4" w:rsidP="006B3D5B">
            <w:pPr>
              <w:tabs>
                <w:tab w:val="left" w:pos="3120"/>
              </w:tabs>
              <w:spacing w:line="276" w:lineRule="auto"/>
              <w:ind w:right="-2" w:firstLine="709"/>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Calificative acordate</w:t>
            </w:r>
          </w:p>
        </w:tc>
      </w:tr>
      <w:tr w:rsidR="00A767BD" w:rsidRPr="001D51D4" w14:paraId="6ECEF2CF" w14:textId="77777777" w:rsidTr="00F872AD">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FF3865" w14:textId="77777777" w:rsidR="001D51D4" w:rsidRPr="001D51D4" w:rsidRDefault="001D51D4" w:rsidP="001D51D4">
            <w:pPr>
              <w:tabs>
                <w:tab w:val="left" w:pos="3120"/>
              </w:tabs>
              <w:spacing w:line="276" w:lineRule="auto"/>
              <w:ind w:right="-2" w:firstLine="709"/>
              <w:jc w:val="both"/>
              <w:rPr>
                <w:rFonts w:asciiTheme="minorHAnsi" w:eastAsia="Calibri" w:hAnsiTheme="minorHAnsi" w:cstheme="minorHAnsi"/>
                <w:b/>
                <w:bCs/>
                <w:sz w:val="26"/>
                <w:szCs w:val="26"/>
              </w:rPr>
            </w:pPr>
          </w:p>
        </w:tc>
        <w:tc>
          <w:tcPr>
            <w:tcW w:w="1473" w:type="dxa"/>
            <w:vMerge/>
            <w:tcBorders>
              <w:top w:val="single" w:sz="4" w:space="0" w:color="auto"/>
              <w:left w:val="single" w:sz="4" w:space="0" w:color="auto"/>
              <w:bottom w:val="single" w:sz="4" w:space="0" w:color="000000"/>
              <w:right w:val="single" w:sz="4" w:space="0" w:color="auto"/>
            </w:tcBorders>
            <w:vAlign w:val="center"/>
            <w:hideMark/>
          </w:tcPr>
          <w:p w14:paraId="57234133" w14:textId="77777777" w:rsidR="001D51D4" w:rsidRPr="001D51D4" w:rsidRDefault="001D51D4" w:rsidP="0014053A">
            <w:pPr>
              <w:tabs>
                <w:tab w:val="left" w:pos="3120"/>
              </w:tabs>
              <w:spacing w:line="276" w:lineRule="auto"/>
              <w:ind w:right="-2" w:firstLine="709"/>
              <w:rPr>
                <w:rFonts w:asciiTheme="minorHAnsi" w:eastAsia="Calibri" w:hAnsiTheme="minorHAnsi" w:cstheme="minorHAnsi"/>
                <w:b/>
                <w:bCs/>
                <w:sz w:val="26"/>
                <w:szCs w:val="26"/>
              </w:rPr>
            </w:pPr>
          </w:p>
        </w:tc>
        <w:tc>
          <w:tcPr>
            <w:tcW w:w="1202" w:type="dxa"/>
            <w:tcBorders>
              <w:top w:val="nil"/>
              <w:left w:val="nil"/>
              <w:bottom w:val="single" w:sz="4" w:space="0" w:color="auto"/>
              <w:right w:val="single" w:sz="4" w:space="0" w:color="auto"/>
            </w:tcBorders>
            <w:noWrap/>
            <w:vAlign w:val="bottom"/>
            <w:hideMark/>
          </w:tcPr>
          <w:p w14:paraId="7E891871" w14:textId="77777777" w:rsidR="001D51D4" w:rsidRPr="001D51D4" w:rsidRDefault="001D51D4" w:rsidP="006B3D5B">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apt</w:t>
            </w:r>
          </w:p>
        </w:tc>
        <w:tc>
          <w:tcPr>
            <w:tcW w:w="1544" w:type="dxa"/>
            <w:tcBorders>
              <w:top w:val="nil"/>
              <w:left w:val="nil"/>
              <w:bottom w:val="single" w:sz="4" w:space="0" w:color="auto"/>
              <w:right w:val="single" w:sz="4" w:space="0" w:color="auto"/>
            </w:tcBorders>
            <w:noWrap/>
            <w:vAlign w:val="bottom"/>
            <w:hideMark/>
          </w:tcPr>
          <w:p w14:paraId="6C7B9BDD" w14:textId="77777777" w:rsidR="001D51D4" w:rsidRPr="001D51D4" w:rsidRDefault="001D51D4" w:rsidP="006B3D5B">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procent</w:t>
            </w:r>
          </w:p>
        </w:tc>
        <w:tc>
          <w:tcPr>
            <w:tcW w:w="1514" w:type="dxa"/>
            <w:tcBorders>
              <w:top w:val="nil"/>
              <w:left w:val="nil"/>
              <w:bottom w:val="single" w:sz="4" w:space="0" w:color="auto"/>
              <w:right w:val="single" w:sz="4" w:space="0" w:color="auto"/>
            </w:tcBorders>
            <w:noWrap/>
            <w:vAlign w:val="bottom"/>
            <w:hideMark/>
          </w:tcPr>
          <w:p w14:paraId="5D174E04" w14:textId="77777777" w:rsidR="001D51D4" w:rsidRPr="001D51D4" w:rsidRDefault="001D51D4" w:rsidP="006B3D5B">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inapt</w:t>
            </w:r>
          </w:p>
        </w:tc>
        <w:tc>
          <w:tcPr>
            <w:tcW w:w="1544" w:type="dxa"/>
            <w:tcBorders>
              <w:top w:val="nil"/>
              <w:left w:val="nil"/>
              <w:bottom w:val="single" w:sz="4" w:space="0" w:color="auto"/>
              <w:right w:val="single" w:sz="4" w:space="0" w:color="auto"/>
            </w:tcBorders>
            <w:noWrap/>
            <w:vAlign w:val="bottom"/>
            <w:hideMark/>
          </w:tcPr>
          <w:p w14:paraId="6218DC79" w14:textId="77777777" w:rsidR="001D51D4" w:rsidRPr="001D51D4" w:rsidRDefault="001D51D4" w:rsidP="006B3D5B">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procent</w:t>
            </w:r>
          </w:p>
        </w:tc>
      </w:tr>
      <w:tr w:rsidR="00A767BD" w:rsidRPr="001D51D4" w14:paraId="3ED7B3BE" w14:textId="77777777" w:rsidTr="00F872AD">
        <w:trPr>
          <w:trHeight w:val="948"/>
        </w:trPr>
        <w:tc>
          <w:tcPr>
            <w:tcW w:w="2917" w:type="dxa"/>
            <w:tcBorders>
              <w:top w:val="nil"/>
              <w:left w:val="single" w:sz="4" w:space="0" w:color="auto"/>
              <w:bottom w:val="single" w:sz="4" w:space="0" w:color="auto"/>
              <w:right w:val="single" w:sz="4" w:space="0" w:color="auto"/>
            </w:tcBorders>
            <w:noWrap/>
            <w:vAlign w:val="bottom"/>
            <w:hideMark/>
          </w:tcPr>
          <w:p w14:paraId="1445DBC6" w14:textId="77777777" w:rsidR="001D51D4" w:rsidRPr="001D51D4" w:rsidRDefault="001D51D4" w:rsidP="00A767BD">
            <w:pPr>
              <w:tabs>
                <w:tab w:val="left" w:pos="3120"/>
              </w:tabs>
              <w:spacing w:line="276" w:lineRule="auto"/>
              <w:ind w:right="-2"/>
              <w:rPr>
                <w:rFonts w:asciiTheme="minorHAnsi" w:eastAsia="Calibri" w:hAnsiTheme="minorHAnsi" w:cstheme="minorHAnsi"/>
                <w:sz w:val="26"/>
                <w:szCs w:val="26"/>
              </w:rPr>
            </w:pPr>
            <w:r w:rsidRPr="001D51D4">
              <w:rPr>
                <w:rFonts w:asciiTheme="minorHAnsi" w:eastAsia="Calibri" w:hAnsiTheme="minorHAnsi" w:cstheme="minorHAnsi"/>
                <w:sz w:val="26"/>
                <w:szCs w:val="26"/>
              </w:rPr>
              <w:t>numirea  în funcții de conducere a judecătorilor</w:t>
            </w:r>
          </w:p>
        </w:tc>
        <w:tc>
          <w:tcPr>
            <w:tcW w:w="1473" w:type="dxa"/>
            <w:tcBorders>
              <w:top w:val="single" w:sz="4" w:space="0" w:color="auto"/>
              <w:left w:val="single" w:sz="4" w:space="0" w:color="auto"/>
              <w:bottom w:val="single" w:sz="4" w:space="0" w:color="auto"/>
              <w:right w:val="single" w:sz="4" w:space="0" w:color="auto"/>
            </w:tcBorders>
            <w:noWrap/>
            <w:vAlign w:val="bottom"/>
            <w:hideMark/>
          </w:tcPr>
          <w:p w14:paraId="570CF60C" w14:textId="77777777" w:rsidR="001D51D4" w:rsidRPr="001D51D4" w:rsidRDefault="001D51D4" w:rsidP="006B3D5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67</w:t>
            </w:r>
          </w:p>
        </w:tc>
        <w:tc>
          <w:tcPr>
            <w:tcW w:w="1202" w:type="dxa"/>
            <w:tcBorders>
              <w:top w:val="single" w:sz="4" w:space="0" w:color="auto"/>
              <w:left w:val="nil"/>
              <w:bottom w:val="single" w:sz="4" w:space="0" w:color="auto"/>
              <w:right w:val="single" w:sz="4" w:space="0" w:color="auto"/>
            </w:tcBorders>
            <w:noWrap/>
            <w:vAlign w:val="bottom"/>
            <w:hideMark/>
          </w:tcPr>
          <w:p w14:paraId="27481044" w14:textId="77777777" w:rsidR="001D51D4" w:rsidRPr="001D51D4" w:rsidRDefault="001D51D4" w:rsidP="006B3D5B">
            <w:pPr>
              <w:tabs>
                <w:tab w:val="left" w:pos="3120"/>
              </w:tabs>
              <w:spacing w:line="276" w:lineRule="auto"/>
              <w:ind w:right="-2" w:hanging="126"/>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59</w:t>
            </w:r>
          </w:p>
        </w:tc>
        <w:tc>
          <w:tcPr>
            <w:tcW w:w="1544" w:type="dxa"/>
            <w:tcBorders>
              <w:top w:val="single" w:sz="4" w:space="0" w:color="auto"/>
              <w:left w:val="nil"/>
              <w:bottom w:val="single" w:sz="4" w:space="0" w:color="auto"/>
              <w:right w:val="single" w:sz="4" w:space="0" w:color="auto"/>
            </w:tcBorders>
            <w:noWrap/>
            <w:vAlign w:val="bottom"/>
            <w:hideMark/>
          </w:tcPr>
          <w:p w14:paraId="12A4B561" w14:textId="77777777" w:rsidR="001D51D4" w:rsidRPr="001D51D4" w:rsidRDefault="001D51D4" w:rsidP="006B3D5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88,06%</w:t>
            </w:r>
          </w:p>
        </w:tc>
        <w:tc>
          <w:tcPr>
            <w:tcW w:w="1514" w:type="dxa"/>
            <w:tcBorders>
              <w:top w:val="single" w:sz="4" w:space="0" w:color="auto"/>
              <w:left w:val="nil"/>
              <w:bottom w:val="single" w:sz="4" w:space="0" w:color="auto"/>
              <w:right w:val="single" w:sz="4" w:space="0" w:color="auto"/>
            </w:tcBorders>
            <w:noWrap/>
            <w:vAlign w:val="bottom"/>
            <w:hideMark/>
          </w:tcPr>
          <w:p w14:paraId="53CF1850" w14:textId="77777777" w:rsidR="001D51D4" w:rsidRPr="001D51D4" w:rsidRDefault="001D51D4" w:rsidP="006B3D5B">
            <w:pPr>
              <w:tabs>
                <w:tab w:val="left" w:pos="3120"/>
              </w:tabs>
              <w:spacing w:line="276" w:lineRule="auto"/>
              <w:ind w:right="-2" w:hanging="156"/>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8</w:t>
            </w:r>
          </w:p>
        </w:tc>
        <w:tc>
          <w:tcPr>
            <w:tcW w:w="1544" w:type="dxa"/>
            <w:tcBorders>
              <w:top w:val="single" w:sz="4" w:space="0" w:color="auto"/>
              <w:left w:val="nil"/>
              <w:bottom w:val="single" w:sz="4" w:space="0" w:color="auto"/>
              <w:right w:val="single" w:sz="4" w:space="0" w:color="auto"/>
            </w:tcBorders>
            <w:noWrap/>
            <w:vAlign w:val="bottom"/>
            <w:hideMark/>
          </w:tcPr>
          <w:p w14:paraId="4AE4993E" w14:textId="77777777" w:rsidR="001D51D4" w:rsidRPr="001D51D4" w:rsidRDefault="001D51D4" w:rsidP="006B3D5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11,94%</w:t>
            </w:r>
          </w:p>
        </w:tc>
      </w:tr>
      <w:tr w:rsidR="00A767BD" w:rsidRPr="001D51D4" w14:paraId="37001A8A" w14:textId="77777777" w:rsidTr="00F872AD">
        <w:trPr>
          <w:trHeight w:val="960"/>
        </w:trPr>
        <w:tc>
          <w:tcPr>
            <w:tcW w:w="2917" w:type="dxa"/>
            <w:tcBorders>
              <w:top w:val="nil"/>
              <w:left w:val="single" w:sz="4" w:space="0" w:color="auto"/>
              <w:bottom w:val="single" w:sz="4" w:space="0" w:color="auto"/>
              <w:right w:val="single" w:sz="4" w:space="0" w:color="auto"/>
            </w:tcBorders>
            <w:noWrap/>
            <w:vAlign w:val="bottom"/>
            <w:hideMark/>
          </w:tcPr>
          <w:p w14:paraId="74176027" w14:textId="6BA81D00" w:rsidR="001D51D4" w:rsidRPr="001D51D4" w:rsidRDefault="001D51D4" w:rsidP="00A767BD">
            <w:pPr>
              <w:tabs>
                <w:tab w:val="left" w:pos="3120"/>
              </w:tabs>
              <w:spacing w:line="276" w:lineRule="auto"/>
              <w:ind w:right="-2"/>
              <w:rPr>
                <w:rFonts w:asciiTheme="minorHAnsi" w:eastAsia="Calibri" w:hAnsiTheme="minorHAnsi" w:cstheme="minorHAnsi"/>
                <w:sz w:val="26"/>
                <w:szCs w:val="26"/>
              </w:rPr>
            </w:pPr>
            <w:r w:rsidRPr="001D51D4">
              <w:rPr>
                <w:rFonts w:asciiTheme="minorHAnsi" w:eastAsia="Calibri" w:hAnsiTheme="minorHAnsi" w:cstheme="minorHAnsi"/>
                <w:sz w:val="26"/>
                <w:szCs w:val="26"/>
              </w:rPr>
              <w:t>numirea  în func</w:t>
            </w:r>
            <w:r w:rsidR="00EC78EA">
              <w:rPr>
                <w:rFonts w:asciiTheme="minorHAnsi" w:eastAsia="Calibri" w:hAnsiTheme="minorHAnsi" w:cstheme="minorHAnsi"/>
                <w:sz w:val="26"/>
                <w:szCs w:val="26"/>
              </w:rPr>
              <w:t>ț</w:t>
            </w:r>
            <w:r w:rsidRPr="001D51D4">
              <w:rPr>
                <w:rFonts w:asciiTheme="minorHAnsi" w:eastAsia="Calibri" w:hAnsiTheme="minorHAnsi" w:cstheme="minorHAnsi"/>
                <w:sz w:val="26"/>
                <w:szCs w:val="26"/>
              </w:rPr>
              <w:t>ii de conducere a procurorilor</w:t>
            </w:r>
          </w:p>
        </w:tc>
        <w:tc>
          <w:tcPr>
            <w:tcW w:w="1473" w:type="dxa"/>
            <w:tcBorders>
              <w:top w:val="nil"/>
              <w:left w:val="single" w:sz="4" w:space="0" w:color="auto"/>
              <w:bottom w:val="single" w:sz="4" w:space="0" w:color="auto"/>
              <w:right w:val="single" w:sz="4" w:space="0" w:color="auto"/>
            </w:tcBorders>
            <w:noWrap/>
            <w:vAlign w:val="bottom"/>
            <w:hideMark/>
          </w:tcPr>
          <w:p w14:paraId="3FD0BA18" w14:textId="77777777" w:rsidR="001D51D4" w:rsidRPr="001D51D4" w:rsidRDefault="001D51D4" w:rsidP="006B3D5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67</w:t>
            </w:r>
          </w:p>
        </w:tc>
        <w:tc>
          <w:tcPr>
            <w:tcW w:w="1202" w:type="dxa"/>
            <w:tcBorders>
              <w:top w:val="nil"/>
              <w:left w:val="nil"/>
              <w:bottom w:val="single" w:sz="4" w:space="0" w:color="auto"/>
              <w:right w:val="single" w:sz="4" w:space="0" w:color="auto"/>
            </w:tcBorders>
            <w:noWrap/>
            <w:vAlign w:val="bottom"/>
            <w:hideMark/>
          </w:tcPr>
          <w:p w14:paraId="4580035C" w14:textId="77777777" w:rsidR="001D51D4" w:rsidRPr="001D51D4" w:rsidRDefault="001D51D4" w:rsidP="006B3D5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62</w:t>
            </w:r>
          </w:p>
        </w:tc>
        <w:tc>
          <w:tcPr>
            <w:tcW w:w="1544" w:type="dxa"/>
            <w:tcBorders>
              <w:top w:val="nil"/>
              <w:left w:val="nil"/>
              <w:bottom w:val="single" w:sz="4" w:space="0" w:color="auto"/>
              <w:right w:val="single" w:sz="4" w:space="0" w:color="auto"/>
            </w:tcBorders>
            <w:noWrap/>
            <w:vAlign w:val="bottom"/>
            <w:hideMark/>
          </w:tcPr>
          <w:p w14:paraId="5B0DB5B0" w14:textId="77777777" w:rsidR="001D51D4" w:rsidRPr="001D51D4" w:rsidRDefault="001D51D4" w:rsidP="006B3D5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92,54%</w:t>
            </w:r>
          </w:p>
        </w:tc>
        <w:tc>
          <w:tcPr>
            <w:tcW w:w="1514" w:type="dxa"/>
            <w:tcBorders>
              <w:top w:val="nil"/>
              <w:left w:val="nil"/>
              <w:bottom w:val="single" w:sz="4" w:space="0" w:color="auto"/>
              <w:right w:val="single" w:sz="4" w:space="0" w:color="auto"/>
            </w:tcBorders>
            <w:noWrap/>
            <w:vAlign w:val="bottom"/>
            <w:hideMark/>
          </w:tcPr>
          <w:p w14:paraId="380015E7" w14:textId="77777777" w:rsidR="001D51D4" w:rsidRPr="001D51D4" w:rsidRDefault="001D51D4" w:rsidP="006B3D5B">
            <w:pPr>
              <w:tabs>
                <w:tab w:val="left" w:pos="3120"/>
              </w:tabs>
              <w:spacing w:line="276" w:lineRule="auto"/>
              <w:ind w:right="-2" w:hanging="156"/>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5</w:t>
            </w:r>
          </w:p>
        </w:tc>
        <w:tc>
          <w:tcPr>
            <w:tcW w:w="1544" w:type="dxa"/>
            <w:tcBorders>
              <w:top w:val="nil"/>
              <w:left w:val="nil"/>
              <w:bottom w:val="single" w:sz="4" w:space="0" w:color="auto"/>
              <w:right w:val="single" w:sz="4" w:space="0" w:color="auto"/>
            </w:tcBorders>
            <w:noWrap/>
            <w:vAlign w:val="bottom"/>
            <w:hideMark/>
          </w:tcPr>
          <w:p w14:paraId="76550725" w14:textId="77777777" w:rsidR="001D51D4" w:rsidRPr="001D51D4" w:rsidRDefault="001D51D4" w:rsidP="006B3D5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7,46%</w:t>
            </w:r>
          </w:p>
        </w:tc>
      </w:tr>
      <w:tr w:rsidR="00A767BD" w:rsidRPr="001D51D4" w14:paraId="5DB2D418" w14:textId="77777777" w:rsidTr="00F872AD">
        <w:trPr>
          <w:trHeight w:val="468"/>
        </w:trPr>
        <w:tc>
          <w:tcPr>
            <w:tcW w:w="2917" w:type="dxa"/>
            <w:tcBorders>
              <w:top w:val="nil"/>
              <w:left w:val="single" w:sz="4" w:space="0" w:color="auto"/>
              <w:bottom w:val="single" w:sz="4" w:space="0" w:color="auto"/>
              <w:right w:val="single" w:sz="4" w:space="0" w:color="auto"/>
            </w:tcBorders>
            <w:noWrap/>
            <w:vAlign w:val="bottom"/>
            <w:hideMark/>
          </w:tcPr>
          <w:p w14:paraId="1A0702F7" w14:textId="77777777" w:rsidR="001D51D4" w:rsidRPr="001D51D4" w:rsidRDefault="001D51D4" w:rsidP="001D51D4">
            <w:pPr>
              <w:tabs>
                <w:tab w:val="left" w:pos="3120"/>
              </w:tabs>
              <w:spacing w:line="276" w:lineRule="auto"/>
              <w:ind w:right="-2" w:firstLine="709"/>
              <w:jc w:val="both"/>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Total</w:t>
            </w:r>
          </w:p>
        </w:tc>
        <w:tc>
          <w:tcPr>
            <w:tcW w:w="1473" w:type="dxa"/>
            <w:tcBorders>
              <w:top w:val="nil"/>
              <w:left w:val="single" w:sz="4" w:space="0" w:color="auto"/>
              <w:bottom w:val="single" w:sz="4" w:space="0" w:color="auto"/>
              <w:right w:val="single" w:sz="4" w:space="0" w:color="auto"/>
            </w:tcBorders>
            <w:noWrap/>
            <w:vAlign w:val="bottom"/>
            <w:hideMark/>
          </w:tcPr>
          <w:p w14:paraId="1A09879D" w14:textId="77777777" w:rsidR="001D51D4" w:rsidRPr="001D51D4" w:rsidRDefault="001D51D4" w:rsidP="006B3D5B">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134</w:t>
            </w:r>
          </w:p>
        </w:tc>
        <w:tc>
          <w:tcPr>
            <w:tcW w:w="1202" w:type="dxa"/>
            <w:tcBorders>
              <w:top w:val="nil"/>
              <w:left w:val="nil"/>
              <w:bottom w:val="single" w:sz="4" w:space="0" w:color="auto"/>
              <w:right w:val="single" w:sz="4" w:space="0" w:color="auto"/>
            </w:tcBorders>
            <w:noWrap/>
            <w:vAlign w:val="bottom"/>
            <w:hideMark/>
          </w:tcPr>
          <w:p w14:paraId="7AA44941" w14:textId="77777777" w:rsidR="001D51D4" w:rsidRPr="001D51D4" w:rsidRDefault="001D51D4" w:rsidP="006B3D5B">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121</w:t>
            </w:r>
          </w:p>
        </w:tc>
        <w:tc>
          <w:tcPr>
            <w:tcW w:w="1544" w:type="dxa"/>
            <w:tcBorders>
              <w:top w:val="nil"/>
              <w:left w:val="nil"/>
              <w:bottom w:val="single" w:sz="4" w:space="0" w:color="auto"/>
              <w:right w:val="single" w:sz="4" w:space="0" w:color="auto"/>
            </w:tcBorders>
            <w:noWrap/>
            <w:vAlign w:val="bottom"/>
            <w:hideMark/>
          </w:tcPr>
          <w:p w14:paraId="0B9B3DCD" w14:textId="77777777" w:rsidR="001D51D4" w:rsidRPr="001D51D4" w:rsidRDefault="001D51D4" w:rsidP="006B3D5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90,30%</w:t>
            </w:r>
          </w:p>
        </w:tc>
        <w:tc>
          <w:tcPr>
            <w:tcW w:w="1514" w:type="dxa"/>
            <w:tcBorders>
              <w:top w:val="nil"/>
              <w:left w:val="nil"/>
              <w:bottom w:val="single" w:sz="4" w:space="0" w:color="auto"/>
              <w:right w:val="single" w:sz="4" w:space="0" w:color="auto"/>
            </w:tcBorders>
            <w:noWrap/>
            <w:vAlign w:val="bottom"/>
            <w:hideMark/>
          </w:tcPr>
          <w:p w14:paraId="5D9E8643" w14:textId="77777777" w:rsidR="001D51D4" w:rsidRPr="001D51D4" w:rsidRDefault="001D51D4" w:rsidP="006B3D5B">
            <w:pPr>
              <w:tabs>
                <w:tab w:val="left" w:pos="3120"/>
              </w:tabs>
              <w:spacing w:line="276" w:lineRule="auto"/>
              <w:ind w:right="-2" w:hanging="156"/>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13</w:t>
            </w:r>
          </w:p>
        </w:tc>
        <w:tc>
          <w:tcPr>
            <w:tcW w:w="1544" w:type="dxa"/>
            <w:tcBorders>
              <w:top w:val="nil"/>
              <w:left w:val="nil"/>
              <w:bottom w:val="single" w:sz="4" w:space="0" w:color="auto"/>
              <w:right w:val="single" w:sz="4" w:space="0" w:color="auto"/>
            </w:tcBorders>
            <w:noWrap/>
            <w:vAlign w:val="bottom"/>
            <w:hideMark/>
          </w:tcPr>
          <w:p w14:paraId="2591994D" w14:textId="77777777" w:rsidR="001D51D4" w:rsidRPr="001D51D4" w:rsidRDefault="001D51D4" w:rsidP="006B3D5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9,70%</w:t>
            </w:r>
          </w:p>
        </w:tc>
      </w:tr>
      <w:bookmarkEnd w:id="184"/>
    </w:tbl>
    <w:p w14:paraId="2974C9C3" w14:textId="77777777"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p>
    <w:tbl>
      <w:tblPr>
        <w:tblW w:w="10053" w:type="dxa"/>
        <w:tblLook w:val="04A0" w:firstRow="1" w:lastRow="0" w:firstColumn="1" w:lastColumn="0" w:noHBand="0" w:noVBand="1"/>
      </w:tblPr>
      <w:tblGrid>
        <w:gridCol w:w="3369"/>
        <w:gridCol w:w="1446"/>
        <w:gridCol w:w="1559"/>
        <w:gridCol w:w="1058"/>
        <w:gridCol w:w="1615"/>
        <w:gridCol w:w="1078"/>
      </w:tblGrid>
      <w:tr w:rsidR="001D51D4" w:rsidRPr="001D51D4" w14:paraId="5220763B" w14:textId="77777777" w:rsidTr="001D51D4">
        <w:trPr>
          <w:trHeight w:val="288"/>
        </w:trPr>
        <w:tc>
          <w:tcPr>
            <w:tcW w:w="3369" w:type="dxa"/>
            <w:vMerge w:val="restart"/>
            <w:tcBorders>
              <w:top w:val="single" w:sz="4" w:space="0" w:color="auto"/>
              <w:left w:val="single" w:sz="4" w:space="0" w:color="auto"/>
              <w:bottom w:val="single" w:sz="4" w:space="0" w:color="auto"/>
              <w:right w:val="single" w:sz="4" w:space="0" w:color="auto"/>
            </w:tcBorders>
            <w:noWrap/>
            <w:vAlign w:val="bottom"/>
            <w:hideMark/>
          </w:tcPr>
          <w:p w14:paraId="006D1450" w14:textId="210AC61C" w:rsidR="001D51D4" w:rsidRPr="001D51D4" w:rsidRDefault="001D51D4" w:rsidP="00CB2F4B">
            <w:pPr>
              <w:tabs>
                <w:tab w:val="left" w:pos="3120"/>
              </w:tabs>
              <w:spacing w:line="276" w:lineRule="auto"/>
              <w:ind w:right="-2"/>
              <w:jc w:val="both"/>
              <w:rPr>
                <w:rFonts w:asciiTheme="minorHAnsi" w:eastAsia="Calibri" w:hAnsiTheme="minorHAnsi" w:cstheme="minorHAnsi"/>
                <w:b/>
                <w:bCs/>
                <w:sz w:val="26"/>
                <w:szCs w:val="26"/>
              </w:rPr>
            </w:pPr>
            <w:bookmarkStart w:id="185" w:name="_Hlk117955971"/>
            <w:r w:rsidRPr="001D51D4">
              <w:rPr>
                <w:rFonts w:asciiTheme="minorHAnsi" w:eastAsia="Calibri" w:hAnsiTheme="minorHAnsi" w:cstheme="minorHAnsi"/>
                <w:b/>
                <w:bCs/>
                <w:sz w:val="26"/>
                <w:szCs w:val="26"/>
              </w:rPr>
              <w:t>Concurs/procedur</w:t>
            </w:r>
            <w:r w:rsidR="00EC78EA">
              <w:rPr>
                <w:rFonts w:asciiTheme="minorHAnsi" w:eastAsia="Calibri" w:hAnsiTheme="minorHAnsi" w:cstheme="minorHAnsi"/>
                <w:b/>
                <w:bCs/>
                <w:sz w:val="26"/>
                <w:szCs w:val="26"/>
              </w:rPr>
              <w:t>ă</w:t>
            </w:r>
          </w:p>
          <w:p w14:paraId="73B0E5B3" w14:textId="77777777" w:rsidR="001D51D4" w:rsidRPr="001D51D4" w:rsidRDefault="001D51D4" w:rsidP="001D51D4">
            <w:pPr>
              <w:tabs>
                <w:tab w:val="left" w:pos="3120"/>
              </w:tabs>
              <w:spacing w:line="276" w:lineRule="auto"/>
              <w:ind w:right="-2" w:firstLine="709"/>
              <w:jc w:val="both"/>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 </w:t>
            </w:r>
          </w:p>
        </w:tc>
        <w:tc>
          <w:tcPr>
            <w:tcW w:w="1446" w:type="dxa"/>
            <w:vMerge w:val="restart"/>
            <w:tcBorders>
              <w:top w:val="single" w:sz="4" w:space="0" w:color="auto"/>
              <w:left w:val="single" w:sz="4" w:space="0" w:color="auto"/>
              <w:bottom w:val="single" w:sz="4" w:space="0" w:color="000000"/>
              <w:right w:val="single" w:sz="4" w:space="0" w:color="auto"/>
            </w:tcBorders>
            <w:noWrap/>
            <w:vAlign w:val="bottom"/>
            <w:hideMark/>
          </w:tcPr>
          <w:p w14:paraId="6468FD69" w14:textId="77777777" w:rsidR="001D51D4" w:rsidRPr="001D51D4" w:rsidRDefault="001D51D4" w:rsidP="00CB2F4B">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Persoane examinate</w:t>
            </w:r>
          </w:p>
        </w:tc>
        <w:tc>
          <w:tcPr>
            <w:tcW w:w="5238" w:type="dxa"/>
            <w:gridSpan w:val="4"/>
            <w:tcBorders>
              <w:top w:val="single" w:sz="4" w:space="0" w:color="auto"/>
              <w:left w:val="nil"/>
              <w:bottom w:val="single" w:sz="4" w:space="0" w:color="auto"/>
              <w:right w:val="single" w:sz="4" w:space="0" w:color="auto"/>
            </w:tcBorders>
            <w:noWrap/>
            <w:vAlign w:val="bottom"/>
            <w:hideMark/>
          </w:tcPr>
          <w:p w14:paraId="2ACE946A" w14:textId="77777777" w:rsidR="001D51D4" w:rsidRPr="001D51D4" w:rsidRDefault="001D51D4" w:rsidP="00CB2F4B">
            <w:pPr>
              <w:tabs>
                <w:tab w:val="left" w:pos="3120"/>
              </w:tabs>
              <w:spacing w:line="276" w:lineRule="auto"/>
              <w:ind w:right="-2" w:firstLine="709"/>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Calificative acordate</w:t>
            </w:r>
          </w:p>
        </w:tc>
      </w:tr>
      <w:tr w:rsidR="00CB2F4B" w:rsidRPr="001D51D4" w14:paraId="7671FB3C" w14:textId="77777777" w:rsidTr="001D51D4">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649977" w14:textId="77777777" w:rsidR="001D51D4" w:rsidRPr="001D51D4" w:rsidRDefault="001D51D4" w:rsidP="001D51D4">
            <w:pPr>
              <w:tabs>
                <w:tab w:val="left" w:pos="3120"/>
              </w:tabs>
              <w:spacing w:line="276" w:lineRule="auto"/>
              <w:ind w:right="-2" w:firstLine="709"/>
              <w:jc w:val="both"/>
              <w:rPr>
                <w:rFonts w:asciiTheme="minorHAnsi" w:eastAsia="Calibri" w:hAnsiTheme="minorHAnsi" w:cstheme="minorHAnsi"/>
                <w:b/>
                <w:bCs/>
                <w:sz w:val="26"/>
                <w:szCs w:val="2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8603084" w14:textId="77777777" w:rsidR="001D51D4" w:rsidRPr="001D51D4" w:rsidRDefault="001D51D4" w:rsidP="00CB2F4B">
            <w:pPr>
              <w:tabs>
                <w:tab w:val="left" w:pos="3120"/>
              </w:tabs>
              <w:spacing w:line="276" w:lineRule="auto"/>
              <w:ind w:right="-2" w:firstLine="709"/>
              <w:jc w:val="center"/>
              <w:rPr>
                <w:rFonts w:asciiTheme="minorHAnsi" w:eastAsia="Calibri" w:hAnsiTheme="minorHAnsi" w:cstheme="minorHAnsi"/>
                <w:b/>
                <w:bCs/>
                <w:sz w:val="26"/>
                <w:szCs w:val="26"/>
              </w:rPr>
            </w:pPr>
          </w:p>
        </w:tc>
        <w:tc>
          <w:tcPr>
            <w:tcW w:w="1559" w:type="dxa"/>
            <w:tcBorders>
              <w:top w:val="nil"/>
              <w:left w:val="nil"/>
              <w:bottom w:val="single" w:sz="4" w:space="0" w:color="auto"/>
              <w:right w:val="single" w:sz="4" w:space="0" w:color="auto"/>
            </w:tcBorders>
            <w:noWrap/>
            <w:vAlign w:val="bottom"/>
            <w:hideMark/>
          </w:tcPr>
          <w:p w14:paraId="0D31F9F8" w14:textId="77777777" w:rsidR="001D51D4" w:rsidRPr="001D51D4" w:rsidRDefault="001D51D4" w:rsidP="00CB2F4B">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admis</w:t>
            </w:r>
          </w:p>
        </w:tc>
        <w:tc>
          <w:tcPr>
            <w:tcW w:w="986" w:type="dxa"/>
            <w:tcBorders>
              <w:top w:val="nil"/>
              <w:left w:val="nil"/>
              <w:bottom w:val="single" w:sz="4" w:space="0" w:color="auto"/>
              <w:right w:val="single" w:sz="4" w:space="0" w:color="auto"/>
            </w:tcBorders>
            <w:noWrap/>
            <w:vAlign w:val="bottom"/>
            <w:hideMark/>
          </w:tcPr>
          <w:p w14:paraId="514F538B" w14:textId="77777777" w:rsidR="001D51D4" w:rsidRPr="001D51D4" w:rsidRDefault="001D51D4" w:rsidP="00CB2F4B">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procent</w:t>
            </w:r>
          </w:p>
        </w:tc>
        <w:tc>
          <w:tcPr>
            <w:tcW w:w="1615" w:type="dxa"/>
            <w:tcBorders>
              <w:top w:val="nil"/>
              <w:left w:val="nil"/>
              <w:bottom w:val="single" w:sz="4" w:space="0" w:color="auto"/>
              <w:right w:val="single" w:sz="4" w:space="0" w:color="auto"/>
            </w:tcBorders>
            <w:noWrap/>
            <w:vAlign w:val="bottom"/>
            <w:hideMark/>
          </w:tcPr>
          <w:p w14:paraId="6B44DB07" w14:textId="77777777" w:rsidR="001D51D4" w:rsidRPr="001D51D4" w:rsidRDefault="001D51D4" w:rsidP="00CB2F4B">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respins</w:t>
            </w:r>
          </w:p>
        </w:tc>
        <w:tc>
          <w:tcPr>
            <w:tcW w:w="1078" w:type="dxa"/>
            <w:tcBorders>
              <w:top w:val="nil"/>
              <w:left w:val="nil"/>
              <w:bottom w:val="single" w:sz="4" w:space="0" w:color="auto"/>
              <w:right w:val="single" w:sz="4" w:space="0" w:color="auto"/>
            </w:tcBorders>
            <w:noWrap/>
            <w:vAlign w:val="bottom"/>
            <w:hideMark/>
          </w:tcPr>
          <w:p w14:paraId="4B938C16" w14:textId="77777777" w:rsidR="001D51D4" w:rsidRPr="001D51D4" w:rsidRDefault="001D51D4" w:rsidP="00CB2F4B">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procent</w:t>
            </w:r>
          </w:p>
        </w:tc>
      </w:tr>
      <w:tr w:rsidR="00CB2F4B" w:rsidRPr="001D51D4" w14:paraId="2191257C" w14:textId="77777777" w:rsidTr="001D51D4">
        <w:trPr>
          <w:trHeight w:val="444"/>
        </w:trPr>
        <w:tc>
          <w:tcPr>
            <w:tcW w:w="3369" w:type="dxa"/>
            <w:tcBorders>
              <w:top w:val="nil"/>
              <w:left w:val="single" w:sz="4" w:space="0" w:color="auto"/>
              <w:bottom w:val="single" w:sz="4" w:space="0" w:color="auto"/>
              <w:right w:val="single" w:sz="4" w:space="0" w:color="auto"/>
            </w:tcBorders>
            <w:noWrap/>
            <w:vAlign w:val="bottom"/>
          </w:tcPr>
          <w:p w14:paraId="0DC0256F" w14:textId="77777777" w:rsidR="001D51D4" w:rsidRPr="001D51D4" w:rsidRDefault="001D51D4" w:rsidP="00CB2F4B">
            <w:pPr>
              <w:tabs>
                <w:tab w:val="left" w:pos="3120"/>
              </w:tabs>
              <w:spacing w:line="276" w:lineRule="auto"/>
              <w:ind w:right="-2"/>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admitere magistratură</w:t>
            </w:r>
          </w:p>
          <w:p w14:paraId="1F68D7E3" w14:textId="77777777"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p>
        </w:tc>
        <w:tc>
          <w:tcPr>
            <w:tcW w:w="1446" w:type="dxa"/>
            <w:tcBorders>
              <w:top w:val="single" w:sz="4" w:space="0" w:color="auto"/>
              <w:left w:val="single" w:sz="4" w:space="0" w:color="auto"/>
              <w:bottom w:val="single" w:sz="4" w:space="0" w:color="auto"/>
              <w:right w:val="single" w:sz="4" w:space="0" w:color="auto"/>
            </w:tcBorders>
            <w:noWrap/>
            <w:vAlign w:val="bottom"/>
            <w:hideMark/>
          </w:tcPr>
          <w:p w14:paraId="142EDAA9" w14:textId="77777777" w:rsidR="001D51D4" w:rsidRPr="001D51D4" w:rsidRDefault="001D51D4" w:rsidP="00CB2F4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854</w:t>
            </w:r>
          </w:p>
        </w:tc>
        <w:tc>
          <w:tcPr>
            <w:tcW w:w="1559" w:type="dxa"/>
            <w:tcBorders>
              <w:top w:val="single" w:sz="4" w:space="0" w:color="auto"/>
              <w:left w:val="nil"/>
              <w:bottom w:val="single" w:sz="4" w:space="0" w:color="auto"/>
              <w:right w:val="single" w:sz="4" w:space="0" w:color="auto"/>
            </w:tcBorders>
            <w:noWrap/>
            <w:vAlign w:val="bottom"/>
            <w:hideMark/>
          </w:tcPr>
          <w:p w14:paraId="64874BE6" w14:textId="77777777" w:rsidR="001D51D4" w:rsidRPr="001D51D4" w:rsidRDefault="001D51D4" w:rsidP="009B764B">
            <w:pPr>
              <w:tabs>
                <w:tab w:val="left" w:pos="3120"/>
              </w:tabs>
              <w:spacing w:line="276" w:lineRule="auto"/>
              <w:ind w:right="-2" w:firstLine="28"/>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522</w:t>
            </w:r>
          </w:p>
        </w:tc>
        <w:tc>
          <w:tcPr>
            <w:tcW w:w="986" w:type="dxa"/>
            <w:tcBorders>
              <w:top w:val="single" w:sz="4" w:space="0" w:color="auto"/>
              <w:left w:val="nil"/>
              <w:bottom w:val="single" w:sz="4" w:space="0" w:color="auto"/>
              <w:right w:val="single" w:sz="4" w:space="0" w:color="auto"/>
            </w:tcBorders>
            <w:noWrap/>
            <w:vAlign w:val="bottom"/>
            <w:hideMark/>
          </w:tcPr>
          <w:p w14:paraId="3577B3D6" w14:textId="77777777" w:rsidR="001D51D4" w:rsidRPr="001D51D4" w:rsidRDefault="001D51D4" w:rsidP="00CB2F4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61,12%</w:t>
            </w:r>
          </w:p>
        </w:tc>
        <w:tc>
          <w:tcPr>
            <w:tcW w:w="1615" w:type="dxa"/>
            <w:tcBorders>
              <w:top w:val="single" w:sz="4" w:space="0" w:color="auto"/>
              <w:left w:val="nil"/>
              <w:bottom w:val="single" w:sz="4" w:space="0" w:color="auto"/>
              <w:right w:val="single" w:sz="4" w:space="0" w:color="auto"/>
            </w:tcBorders>
            <w:noWrap/>
            <w:vAlign w:val="bottom"/>
            <w:hideMark/>
          </w:tcPr>
          <w:p w14:paraId="4C3AE731" w14:textId="77777777" w:rsidR="001D51D4" w:rsidRPr="001D51D4" w:rsidRDefault="001D51D4" w:rsidP="009B764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332</w:t>
            </w:r>
          </w:p>
        </w:tc>
        <w:tc>
          <w:tcPr>
            <w:tcW w:w="1078" w:type="dxa"/>
            <w:tcBorders>
              <w:top w:val="single" w:sz="4" w:space="0" w:color="auto"/>
              <w:left w:val="nil"/>
              <w:bottom w:val="single" w:sz="4" w:space="0" w:color="auto"/>
              <w:right w:val="single" w:sz="4" w:space="0" w:color="auto"/>
            </w:tcBorders>
            <w:noWrap/>
            <w:vAlign w:val="bottom"/>
            <w:hideMark/>
          </w:tcPr>
          <w:p w14:paraId="0AC42376" w14:textId="77777777" w:rsidR="001D51D4" w:rsidRPr="001D51D4" w:rsidRDefault="001D51D4" w:rsidP="00CB2F4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38,88%</w:t>
            </w:r>
          </w:p>
        </w:tc>
      </w:tr>
      <w:tr w:rsidR="00CB2F4B" w:rsidRPr="001D51D4" w14:paraId="5D5BB038" w14:textId="77777777" w:rsidTr="001D51D4">
        <w:trPr>
          <w:trHeight w:val="444"/>
        </w:trPr>
        <w:tc>
          <w:tcPr>
            <w:tcW w:w="3369" w:type="dxa"/>
            <w:tcBorders>
              <w:top w:val="nil"/>
              <w:left w:val="single" w:sz="4" w:space="0" w:color="auto"/>
              <w:bottom w:val="single" w:sz="4" w:space="0" w:color="auto"/>
              <w:right w:val="single" w:sz="4" w:space="0" w:color="auto"/>
            </w:tcBorders>
            <w:noWrap/>
            <w:vAlign w:val="bottom"/>
          </w:tcPr>
          <w:p w14:paraId="5857C1B0" w14:textId="7D94504B" w:rsidR="001D51D4" w:rsidRPr="001D51D4" w:rsidRDefault="001D51D4" w:rsidP="00CB2F4B">
            <w:pPr>
              <w:tabs>
                <w:tab w:val="left" w:pos="3120"/>
              </w:tabs>
              <w:spacing w:line="276" w:lineRule="auto"/>
              <w:ind w:right="-2"/>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admitere I</w:t>
            </w:r>
            <w:r w:rsidR="00EC78EA">
              <w:rPr>
                <w:rFonts w:asciiTheme="minorHAnsi" w:eastAsia="Calibri" w:hAnsiTheme="minorHAnsi" w:cstheme="minorHAnsi"/>
                <w:sz w:val="26"/>
                <w:szCs w:val="26"/>
              </w:rPr>
              <w:t>.</w:t>
            </w:r>
            <w:r w:rsidRPr="001D51D4">
              <w:rPr>
                <w:rFonts w:asciiTheme="minorHAnsi" w:eastAsia="Calibri" w:hAnsiTheme="minorHAnsi" w:cstheme="minorHAnsi"/>
                <w:sz w:val="26"/>
                <w:szCs w:val="26"/>
              </w:rPr>
              <w:t>N</w:t>
            </w:r>
            <w:r w:rsidR="00EC78EA">
              <w:rPr>
                <w:rFonts w:asciiTheme="minorHAnsi" w:eastAsia="Calibri" w:hAnsiTheme="minorHAnsi" w:cstheme="minorHAnsi"/>
                <w:sz w:val="26"/>
                <w:szCs w:val="26"/>
              </w:rPr>
              <w:t>.</w:t>
            </w:r>
            <w:r w:rsidRPr="001D51D4">
              <w:rPr>
                <w:rFonts w:asciiTheme="minorHAnsi" w:eastAsia="Calibri" w:hAnsiTheme="minorHAnsi" w:cstheme="minorHAnsi"/>
                <w:sz w:val="26"/>
                <w:szCs w:val="26"/>
              </w:rPr>
              <w:t>M</w:t>
            </w:r>
            <w:r w:rsidR="00EC78EA">
              <w:rPr>
                <w:rFonts w:asciiTheme="minorHAnsi" w:eastAsia="Calibri" w:hAnsiTheme="minorHAnsi" w:cstheme="minorHAnsi"/>
                <w:sz w:val="26"/>
                <w:szCs w:val="26"/>
              </w:rPr>
              <w:t>.</w:t>
            </w:r>
          </w:p>
          <w:p w14:paraId="39AE6D41" w14:textId="77777777"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p>
        </w:tc>
        <w:tc>
          <w:tcPr>
            <w:tcW w:w="1446" w:type="dxa"/>
            <w:tcBorders>
              <w:top w:val="single" w:sz="8" w:space="0" w:color="auto"/>
              <w:left w:val="single" w:sz="8" w:space="0" w:color="auto"/>
              <w:bottom w:val="nil"/>
              <w:right w:val="single" w:sz="8" w:space="0" w:color="auto"/>
            </w:tcBorders>
            <w:noWrap/>
            <w:vAlign w:val="center"/>
            <w:hideMark/>
          </w:tcPr>
          <w:p w14:paraId="73A23B2A" w14:textId="77777777" w:rsidR="001D51D4" w:rsidRPr="001D51D4" w:rsidRDefault="001D51D4" w:rsidP="00CB2F4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537</w:t>
            </w:r>
          </w:p>
        </w:tc>
        <w:tc>
          <w:tcPr>
            <w:tcW w:w="1559" w:type="dxa"/>
            <w:tcBorders>
              <w:top w:val="single" w:sz="8" w:space="0" w:color="auto"/>
              <w:left w:val="nil"/>
              <w:bottom w:val="nil"/>
              <w:right w:val="single" w:sz="8" w:space="0" w:color="auto"/>
            </w:tcBorders>
            <w:noWrap/>
            <w:vAlign w:val="center"/>
            <w:hideMark/>
          </w:tcPr>
          <w:p w14:paraId="31C4B152" w14:textId="77777777" w:rsidR="001D51D4" w:rsidRPr="001D51D4" w:rsidRDefault="001D51D4" w:rsidP="009B764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407</w:t>
            </w:r>
          </w:p>
        </w:tc>
        <w:tc>
          <w:tcPr>
            <w:tcW w:w="986" w:type="dxa"/>
            <w:tcBorders>
              <w:top w:val="nil"/>
              <w:left w:val="single" w:sz="4" w:space="0" w:color="auto"/>
              <w:bottom w:val="single" w:sz="4" w:space="0" w:color="auto"/>
              <w:right w:val="single" w:sz="4" w:space="0" w:color="auto"/>
            </w:tcBorders>
            <w:noWrap/>
            <w:vAlign w:val="bottom"/>
            <w:hideMark/>
          </w:tcPr>
          <w:p w14:paraId="61D36264" w14:textId="77777777" w:rsidR="001D51D4" w:rsidRPr="001D51D4" w:rsidRDefault="001D51D4" w:rsidP="00CB2F4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75,79%</w:t>
            </w:r>
          </w:p>
        </w:tc>
        <w:tc>
          <w:tcPr>
            <w:tcW w:w="1615" w:type="dxa"/>
            <w:tcBorders>
              <w:top w:val="nil"/>
              <w:left w:val="nil"/>
              <w:bottom w:val="single" w:sz="4" w:space="0" w:color="auto"/>
              <w:right w:val="single" w:sz="4" w:space="0" w:color="auto"/>
            </w:tcBorders>
            <w:noWrap/>
            <w:vAlign w:val="bottom"/>
            <w:hideMark/>
          </w:tcPr>
          <w:p w14:paraId="05727ABC" w14:textId="77777777" w:rsidR="001D51D4" w:rsidRPr="001D51D4" w:rsidRDefault="001D51D4" w:rsidP="009B764B">
            <w:pPr>
              <w:tabs>
                <w:tab w:val="left" w:pos="3120"/>
              </w:tabs>
              <w:spacing w:line="276" w:lineRule="auto"/>
              <w:ind w:right="-2" w:hanging="31"/>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130</w:t>
            </w:r>
          </w:p>
        </w:tc>
        <w:tc>
          <w:tcPr>
            <w:tcW w:w="1078" w:type="dxa"/>
            <w:tcBorders>
              <w:top w:val="nil"/>
              <w:left w:val="nil"/>
              <w:bottom w:val="single" w:sz="4" w:space="0" w:color="auto"/>
              <w:right w:val="single" w:sz="4" w:space="0" w:color="auto"/>
            </w:tcBorders>
            <w:noWrap/>
            <w:vAlign w:val="bottom"/>
            <w:hideMark/>
          </w:tcPr>
          <w:p w14:paraId="13DB4110" w14:textId="77777777" w:rsidR="001D51D4" w:rsidRPr="001D51D4" w:rsidRDefault="001D51D4" w:rsidP="00CB2F4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24,21%</w:t>
            </w:r>
          </w:p>
        </w:tc>
      </w:tr>
      <w:tr w:rsidR="00CB2F4B" w:rsidRPr="001D51D4" w14:paraId="6B4E14A2" w14:textId="77777777" w:rsidTr="001D51D4">
        <w:trPr>
          <w:trHeight w:val="444"/>
        </w:trPr>
        <w:tc>
          <w:tcPr>
            <w:tcW w:w="3369" w:type="dxa"/>
            <w:tcBorders>
              <w:top w:val="nil"/>
              <w:left w:val="single" w:sz="4" w:space="0" w:color="auto"/>
              <w:bottom w:val="single" w:sz="4" w:space="0" w:color="auto"/>
              <w:right w:val="single" w:sz="4" w:space="0" w:color="auto"/>
            </w:tcBorders>
            <w:noWrap/>
            <w:vAlign w:val="bottom"/>
            <w:hideMark/>
          </w:tcPr>
          <w:p w14:paraId="21843108" w14:textId="77777777" w:rsidR="001D51D4" w:rsidRPr="001D51D4" w:rsidRDefault="001D51D4" w:rsidP="00CB2F4B">
            <w:pPr>
              <w:tabs>
                <w:tab w:val="left" w:pos="3120"/>
              </w:tabs>
              <w:spacing w:line="276" w:lineRule="auto"/>
              <w:ind w:right="-2"/>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reîncadrare în funcția de judecător</w:t>
            </w:r>
          </w:p>
        </w:tc>
        <w:tc>
          <w:tcPr>
            <w:tcW w:w="1446" w:type="dxa"/>
            <w:tcBorders>
              <w:top w:val="single" w:sz="4" w:space="0" w:color="auto"/>
              <w:left w:val="single" w:sz="4" w:space="0" w:color="auto"/>
              <w:bottom w:val="single" w:sz="4" w:space="0" w:color="auto"/>
              <w:right w:val="single" w:sz="4" w:space="0" w:color="auto"/>
            </w:tcBorders>
            <w:noWrap/>
            <w:vAlign w:val="center"/>
            <w:hideMark/>
          </w:tcPr>
          <w:p w14:paraId="6759CDD4" w14:textId="77777777" w:rsidR="001D51D4" w:rsidRPr="001D51D4" w:rsidRDefault="001D51D4" w:rsidP="00CB2F4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15</w:t>
            </w:r>
          </w:p>
        </w:tc>
        <w:tc>
          <w:tcPr>
            <w:tcW w:w="1559" w:type="dxa"/>
            <w:tcBorders>
              <w:top w:val="single" w:sz="4" w:space="0" w:color="auto"/>
              <w:left w:val="nil"/>
              <w:bottom w:val="single" w:sz="4" w:space="0" w:color="auto"/>
              <w:right w:val="single" w:sz="4" w:space="0" w:color="auto"/>
            </w:tcBorders>
            <w:noWrap/>
            <w:vAlign w:val="center"/>
            <w:hideMark/>
          </w:tcPr>
          <w:p w14:paraId="7B3A3A9E" w14:textId="77777777" w:rsidR="001D51D4" w:rsidRPr="001D51D4" w:rsidRDefault="001D51D4" w:rsidP="009B764B">
            <w:pPr>
              <w:tabs>
                <w:tab w:val="left" w:pos="3120"/>
              </w:tabs>
              <w:spacing w:line="276" w:lineRule="auto"/>
              <w:ind w:right="-2" w:firstLine="28"/>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11</w:t>
            </w:r>
          </w:p>
        </w:tc>
        <w:tc>
          <w:tcPr>
            <w:tcW w:w="986" w:type="dxa"/>
            <w:tcBorders>
              <w:top w:val="nil"/>
              <w:left w:val="nil"/>
              <w:bottom w:val="single" w:sz="4" w:space="0" w:color="auto"/>
              <w:right w:val="single" w:sz="4" w:space="0" w:color="auto"/>
            </w:tcBorders>
            <w:noWrap/>
            <w:vAlign w:val="bottom"/>
            <w:hideMark/>
          </w:tcPr>
          <w:p w14:paraId="03E7C23A" w14:textId="77777777" w:rsidR="001D51D4" w:rsidRPr="001D51D4" w:rsidRDefault="001D51D4" w:rsidP="00CB2F4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73,33%</w:t>
            </w:r>
          </w:p>
        </w:tc>
        <w:tc>
          <w:tcPr>
            <w:tcW w:w="1615" w:type="dxa"/>
            <w:tcBorders>
              <w:top w:val="nil"/>
              <w:left w:val="nil"/>
              <w:bottom w:val="single" w:sz="4" w:space="0" w:color="auto"/>
              <w:right w:val="single" w:sz="4" w:space="0" w:color="auto"/>
            </w:tcBorders>
            <w:noWrap/>
            <w:vAlign w:val="bottom"/>
            <w:hideMark/>
          </w:tcPr>
          <w:p w14:paraId="6D12E43D" w14:textId="77777777" w:rsidR="001D51D4" w:rsidRPr="001D51D4" w:rsidRDefault="001D51D4" w:rsidP="009B764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4</w:t>
            </w:r>
          </w:p>
        </w:tc>
        <w:tc>
          <w:tcPr>
            <w:tcW w:w="1078" w:type="dxa"/>
            <w:tcBorders>
              <w:top w:val="nil"/>
              <w:left w:val="nil"/>
              <w:bottom w:val="single" w:sz="4" w:space="0" w:color="auto"/>
              <w:right w:val="single" w:sz="4" w:space="0" w:color="auto"/>
            </w:tcBorders>
            <w:noWrap/>
            <w:vAlign w:val="bottom"/>
            <w:hideMark/>
          </w:tcPr>
          <w:p w14:paraId="08CAE8B5" w14:textId="77777777" w:rsidR="001D51D4" w:rsidRPr="001D51D4" w:rsidRDefault="001D51D4" w:rsidP="00CB2F4B">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26,67%</w:t>
            </w:r>
          </w:p>
        </w:tc>
      </w:tr>
      <w:tr w:rsidR="00CB2F4B" w:rsidRPr="001D51D4" w14:paraId="03E12EA2" w14:textId="77777777" w:rsidTr="001D51D4">
        <w:trPr>
          <w:trHeight w:val="288"/>
        </w:trPr>
        <w:tc>
          <w:tcPr>
            <w:tcW w:w="3369" w:type="dxa"/>
            <w:tcBorders>
              <w:top w:val="nil"/>
              <w:left w:val="single" w:sz="4" w:space="0" w:color="auto"/>
              <w:bottom w:val="single" w:sz="4" w:space="0" w:color="auto"/>
              <w:right w:val="single" w:sz="4" w:space="0" w:color="auto"/>
            </w:tcBorders>
            <w:noWrap/>
            <w:vAlign w:val="bottom"/>
          </w:tcPr>
          <w:p w14:paraId="501316F8" w14:textId="77777777" w:rsidR="001D51D4" w:rsidRPr="001D51D4" w:rsidRDefault="001D51D4" w:rsidP="009B764B">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Total</w:t>
            </w:r>
          </w:p>
        </w:tc>
        <w:tc>
          <w:tcPr>
            <w:tcW w:w="1446" w:type="dxa"/>
            <w:tcBorders>
              <w:top w:val="single" w:sz="4" w:space="0" w:color="auto"/>
              <w:left w:val="single" w:sz="4" w:space="0" w:color="auto"/>
              <w:bottom w:val="single" w:sz="4" w:space="0" w:color="auto"/>
              <w:right w:val="single" w:sz="4" w:space="0" w:color="auto"/>
            </w:tcBorders>
            <w:noWrap/>
            <w:vAlign w:val="bottom"/>
            <w:hideMark/>
          </w:tcPr>
          <w:p w14:paraId="076509A7" w14:textId="77777777" w:rsidR="001D51D4" w:rsidRPr="001D51D4" w:rsidRDefault="001D51D4" w:rsidP="009B764B">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1406</w:t>
            </w:r>
          </w:p>
        </w:tc>
        <w:tc>
          <w:tcPr>
            <w:tcW w:w="1559" w:type="dxa"/>
            <w:tcBorders>
              <w:top w:val="single" w:sz="4" w:space="0" w:color="auto"/>
              <w:left w:val="nil"/>
              <w:bottom w:val="single" w:sz="4" w:space="0" w:color="auto"/>
              <w:right w:val="single" w:sz="4" w:space="0" w:color="auto"/>
            </w:tcBorders>
            <w:noWrap/>
            <w:vAlign w:val="bottom"/>
            <w:hideMark/>
          </w:tcPr>
          <w:p w14:paraId="4A30122D" w14:textId="77777777" w:rsidR="001D51D4" w:rsidRPr="001D51D4" w:rsidRDefault="001D51D4" w:rsidP="009B764B">
            <w:pPr>
              <w:tabs>
                <w:tab w:val="left" w:pos="3120"/>
              </w:tabs>
              <w:spacing w:line="276" w:lineRule="auto"/>
              <w:ind w:right="-2" w:firstLine="28"/>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940</w:t>
            </w:r>
          </w:p>
        </w:tc>
        <w:tc>
          <w:tcPr>
            <w:tcW w:w="986" w:type="dxa"/>
            <w:tcBorders>
              <w:top w:val="single" w:sz="4" w:space="0" w:color="auto"/>
              <w:left w:val="nil"/>
              <w:bottom w:val="single" w:sz="4" w:space="0" w:color="auto"/>
              <w:right w:val="single" w:sz="4" w:space="0" w:color="auto"/>
            </w:tcBorders>
            <w:noWrap/>
            <w:vAlign w:val="bottom"/>
            <w:hideMark/>
          </w:tcPr>
          <w:p w14:paraId="31361F44" w14:textId="77777777" w:rsidR="001D51D4" w:rsidRPr="001D51D4" w:rsidRDefault="001D51D4" w:rsidP="00CB2F4B">
            <w:pPr>
              <w:tabs>
                <w:tab w:val="left" w:pos="3120"/>
              </w:tabs>
              <w:spacing w:line="276" w:lineRule="auto"/>
              <w:ind w:right="-2"/>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66,86%</w:t>
            </w:r>
          </w:p>
        </w:tc>
        <w:tc>
          <w:tcPr>
            <w:tcW w:w="1615" w:type="dxa"/>
            <w:tcBorders>
              <w:top w:val="single" w:sz="4" w:space="0" w:color="auto"/>
              <w:left w:val="nil"/>
              <w:bottom w:val="single" w:sz="4" w:space="0" w:color="auto"/>
              <w:right w:val="single" w:sz="4" w:space="0" w:color="auto"/>
            </w:tcBorders>
            <w:noWrap/>
            <w:vAlign w:val="bottom"/>
            <w:hideMark/>
          </w:tcPr>
          <w:p w14:paraId="045A4228" w14:textId="77777777" w:rsidR="001D51D4" w:rsidRPr="001D51D4" w:rsidRDefault="001D51D4" w:rsidP="009B764B">
            <w:pPr>
              <w:tabs>
                <w:tab w:val="left" w:pos="3120"/>
              </w:tabs>
              <w:spacing w:line="276" w:lineRule="auto"/>
              <w:ind w:right="-2" w:firstLine="394"/>
              <w:jc w:val="both"/>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466</w:t>
            </w:r>
          </w:p>
        </w:tc>
        <w:tc>
          <w:tcPr>
            <w:tcW w:w="1078" w:type="dxa"/>
            <w:tcBorders>
              <w:top w:val="single" w:sz="4" w:space="0" w:color="auto"/>
              <w:left w:val="nil"/>
              <w:bottom w:val="single" w:sz="4" w:space="0" w:color="auto"/>
              <w:right w:val="single" w:sz="4" w:space="0" w:color="auto"/>
            </w:tcBorders>
            <w:noWrap/>
            <w:vAlign w:val="bottom"/>
            <w:hideMark/>
          </w:tcPr>
          <w:p w14:paraId="15A8B2D4" w14:textId="77777777" w:rsidR="001D51D4" w:rsidRPr="001D51D4" w:rsidRDefault="001D51D4" w:rsidP="00CB2F4B">
            <w:pPr>
              <w:tabs>
                <w:tab w:val="left" w:pos="3120"/>
              </w:tabs>
              <w:spacing w:line="276" w:lineRule="auto"/>
              <w:ind w:right="-2"/>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33,14%</w:t>
            </w:r>
          </w:p>
        </w:tc>
      </w:tr>
    </w:tbl>
    <w:bookmarkEnd w:id="185"/>
    <w:p w14:paraId="70C6B87E" w14:textId="77777777"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 xml:space="preserve">   </w:t>
      </w:r>
    </w:p>
    <w:p w14:paraId="0DA23F09" w14:textId="24AB0F4C"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lastRenderedPageBreak/>
        <w:t>Referitor la situaţia calificativelor acordate în cadrul comisiilor de soluţionare a contestaţiilor, aceasta se prezintă astfel:</w:t>
      </w:r>
    </w:p>
    <w:tbl>
      <w:tblPr>
        <w:tblW w:w="10194" w:type="dxa"/>
        <w:tblLook w:val="04A0" w:firstRow="1" w:lastRow="0" w:firstColumn="1" w:lastColumn="0" w:noHBand="0" w:noVBand="1"/>
      </w:tblPr>
      <w:tblGrid>
        <w:gridCol w:w="3296"/>
        <w:gridCol w:w="1659"/>
        <w:gridCol w:w="1418"/>
        <w:gridCol w:w="1130"/>
        <w:gridCol w:w="1633"/>
        <w:gridCol w:w="1058"/>
      </w:tblGrid>
      <w:tr w:rsidR="001D51D4" w:rsidRPr="001D51D4" w14:paraId="7449784B" w14:textId="77777777" w:rsidTr="0088043D">
        <w:trPr>
          <w:trHeight w:val="288"/>
        </w:trPr>
        <w:tc>
          <w:tcPr>
            <w:tcW w:w="3296" w:type="dxa"/>
            <w:vMerge w:val="restart"/>
            <w:tcBorders>
              <w:top w:val="single" w:sz="4" w:space="0" w:color="auto"/>
              <w:left w:val="single" w:sz="4" w:space="0" w:color="auto"/>
              <w:bottom w:val="single" w:sz="4" w:space="0" w:color="auto"/>
              <w:right w:val="single" w:sz="4" w:space="0" w:color="auto"/>
            </w:tcBorders>
            <w:noWrap/>
            <w:vAlign w:val="bottom"/>
            <w:hideMark/>
          </w:tcPr>
          <w:p w14:paraId="0493114F" w14:textId="77777777" w:rsidR="001D51D4" w:rsidRPr="001D51D4" w:rsidRDefault="001D51D4" w:rsidP="001D51D4">
            <w:pPr>
              <w:tabs>
                <w:tab w:val="left" w:pos="3120"/>
              </w:tabs>
              <w:spacing w:line="276" w:lineRule="auto"/>
              <w:ind w:right="-2" w:firstLine="709"/>
              <w:jc w:val="both"/>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Concurs</w:t>
            </w:r>
          </w:p>
          <w:p w14:paraId="190BC6FD" w14:textId="77777777" w:rsidR="001D51D4" w:rsidRPr="001D51D4" w:rsidRDefault="001D51D4" w:rsidP="001D51D4">
            <w:pPr>
              <w:tabs>
                <w:tab w:val="left" w:pos="3120"/>
              </w:tabs>
              <w:spacing w:line="276" w:lineRule="auto"/>
              <w:ind w:right="-2" w:firstLine="709"/>
              <w:jc w:val="both"/>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 </w:t>
            </w:r>
          </w:p>
        </w:tc>
        <w:tc>
          <w:tcPr>
            <w:tcW w:w="1659" w:type="dxa"/>
            <w:vMerge w:val="restart"/>
            <w:tcBorders>
              <w:top w:val="single" w:sz="4" w:space="0" w:color="auto"/>
              <w:left w:val="single" w:sz="4" w:space="0" w:color="auto"/>
              <w:bottom w:val="single" w:sz="4" w:space="0" w:color="000000"/>
              <w:right w:val="single" w:sz="4" w:space="0" w:color="auto"/>
            </w:tcBorders>
            <w:noWrap/>
            <w:vAlign w:val="bottom"/>
            <w:hideMark/>
          </w:tcPr>
          <w:p w14:paraId="73DD8FBB" w14:textId="77777777" w:rsidR="001D51D4" w:rsidRPr="001D51D4" w:rsidRDefault="001D51D4" w:rsidP="00477ADA">
            <w:pPr>
              <w:tabs>
                <w:tab w:val="left" w:pos="3120"/>
              </w:tabs>
              <w:spacing w:line="276" w:lineRule="auto"/>
              <w:ind w:right="-2"/>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Persoane</w:t>
            </w:r>
          </w:p>
          <w:p w14:paraId="15DFDF24" w14:textId="77777777" w:rsidR="001D51D4" w:rsidRPr="001D51D4" w:rsidRDefault="001D51D4" w:rsidP="00477ADA">
            <w:pPr>
              <w:tabs>
                <w:tab w:val="left" w:pos="3120"/>
              </w:tabs>
              <w:spacing w:line="276" w:lineRule="auto"/>
              <w:ind w:right="-2"/>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reexaminate</w:t>
            </w:r>
          </w:p>
        </w:tc>
        <w:tc>
          <w:tcPr>
            <w:tcW w:w="5239" w:type="dxa"/>
            <w:gridSpan w:val="4"/>
            <w:tcBorders>
              <w:top w:val="single" w:sz="4" w:space="0" w:color="auto"/>
              <w:left w:val="nil"/>
              <w:bottom w:val="single" w:sz="4" w:space="0" w:color="auto"/>
              <w:right w:val="single" w:sz="4" w:space="0" w:color="auto"/>
            </w:tcBorders>
            <w:noWrap/>
            <w:vAlign w:val="bottom"/>
            <w:hideMark/>
          </w:tcPr>
          <w:p w14:paraId="48801243" w14:textId="77777777" w:rsidR="001D51D4" w:rsidRPr="001D51D4" w:rsidRDefault="001D51D4" w:rsidP="00477ADA">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Calificative acordate</w:t>
            </w:r>
          </w:p>
        </w:tc>
      </w:tr>
      <w:tr w:rsidR="006C33B9" w:rsidRPr="001D51D4" w14:paraId="5FA0DCB4" w14:textId="77777777" w:rsidTr="0088043D">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98BAED" w14:textId="77777777" w:rsidR="001D51D4" w:rsidRPr="001D51D4" w:rsidRDefault="001D51D4" w:rsidP="001D51D4">
            <w:pPr>
              <w:tabs>
                <w:tab w:val="left" w:pos="3120"/>
              </w:tabs>
              <w:spacing w:line="276" w:lineRule="auto"/>
              <w:ind w:right="-2" w:firstLine="709"/>
              <w:jc w:val="both"/>
              <w:rPr>
                <w:rFonts w:asciiTheme="minorHAnsi" w:eastAsia="Calibri" w:hAnsiTheme="minorHAnsi" w:cstheme="minorHAnsi"/>
                <w:b/>
                <w:bCs/>
                <w:sz w:val="26"/>
                <w:szCs w:val="26"/>
              </w:rPr>
            </w:pPr>
          </w:p>
        </w:tc>
        <w:tc>
          <w:tcPr>
            <w:tcW w:w="1659" w:type="dxa"/>
            <w:vMerge/>
            <w:tcBorders>
              <w:top w:val="single" w:sz="4" w:space="0" w:color="auto"/>
              <w:left w:val="single" w:sz="4" w:space="0" w:color="auto"/>
              <w:bottom w:val="single" w:sz="4" w:space="0" w:color="000000"/>
              <w:right w:val="single" w:sz="4" w:space="0" w:color="auto"/>
            </w:tcBorders>
            <w:vAlign w:val="center"/>
            <w:hideMark/>
          </w:tcPr>
          <w:p w14:paraId="1B47DC4F" w14:textId="77777777" w:rsidR="001D51D4" w:rsidRPr="001D51D4" w:rsidRDefault="001D51D4" w:rsidP="00477ADA">
            <w:pPr>
              <w:tabs>
                <w:tab w:val="left" w:pos="3120"/>
              </w:tabs>
              <w:spacing w:line="276" w:lineRule="auto"/>
              <w:ind w:right="-2" w:firstLine="709"/>
              <w:rPr>
                <w:rFonts w:asciiTheme="minorHAnsi" w:eastAsia="Calibri" w:hAnsiTheme="minorHAnsi" w:cstheme="minorHAnsi"/>
                <w:b/>
                <w:bCs/>
                <w:sz w:val="26"/>
                <w:szCs w:val="26"/>
              </w:rPr>
            </w:pPr>
          </w:p>
        </w:tc>
        <w:tc>
          <w:tcPr>
            <w:tcW w:w="1418" w:type="dxa"/>
            <w:tcBorders>
              <w:top w:val="nil"/>
              <w:left w:val="nil"/>
              <w:bottom w:val="single" w:sz="4" w:space="0" w:color="auto"/>
              <w:right w:val="single" w:sz="4" w:space="0" w:color="auto"/>
            </w:tcBorders>
            <w:noWrap/>
            <w:vAlign w:val="bottom"/>
            <w:hideMark/>
          </w:tcPr>
          <w:p w14:paraId="2EDB7DBE" w14:textId="77777777" w:rsidR="001D51D4" w:rsidRPr="001D51D4" w:rsidRDefault="001D51D4" w:rsidP="00477ADA">
            <w:pPr>
              <w:tabs>
                <w:tab w:val="left" w:pos="3120"/>
              </w:tabs>
              <w:spacing w:line="276" w:lineRule="auto"/>
              <w:ind w:right="-2" w:firstLine="34"/>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apt</w:t>
            </w:r>
          </w:p>
        </w:tc>
        <w:tc>
          <w:tcPr>
            <w:tcW w:w="1130" w:type="dxa"/>
            <w:tcBorders>
              <w:top w:val="nil"/>
              <w:left w:val="nil"/>
              <w:bottom w:val="single" w:sz="4" w:space="0" w:color="auto"/>
              <w:right w:val="single" w:sz="4" w:space="0" w:color="auto"/>
            </w:tcBorders>
            <w:noWrap/>
            <w:vAlign w:val="bottom"/>
            <w:hideMark/>
          </w:tcPr>
          <w:p w14:paraId="3573C0F5" w14:textId="77777777" w:rsidR="001D51D4" w:rsidRPr="001D51D4" w:rsidRDefault="001D51D4" w:rsidP="00477ADA">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procent</w:t>
            </w:r>
          </w:p>
        </w:tc>
        <w:tc>
          <w:tcPr>
            <w:tcW w:w="1633" w:type="dxa"/>
            <w:tcBorders>
              <w:top w:val="nil"/>
              <w:left w:val="nil"/>
              <w:bottom w:val="single" w:sz="4" w:space="0" w:color="auto"/>
              <w:right w:val="single" w:sz="4" w:space="0" w:color="auto"/>
            </w:tcBorders>
            <w:noWrap/>
            <w:vAlign w:val="bottom"/>
            <w:hideMark/>
          </w:tcPr>
          <w:p w14:paraId="34BE562A" w14:textId="77777777" w:rsidR="001D51D4" w:rsidRPr="001D51D4" w:rsidRDefault="001D51D4" w:rsidP="00477ADA">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inapt</w:t>
            </w:r>
          </w:p>
        </w:tc>
        <w:tc>
          <w:tcPr>
            <w:tcW w:w="1058" w:type="dxa"/>
            <w:tcBorders>
              <w:top w:val="nil"/>
              <w:left w:val="nil"/>
              <w:bottom w:val="single" w:sz="4" w:space="0" w:color="auto"/>
              <w:right w:val="single" w:sz="4" w:space="0" w:color="auto"/>
            </w:tcBorders>
            <w:noWrap/>
            <w:vAlign w:val="bottom"/>
            <w:hideMark/>
          </w:tcPr>
          <w:p w14:paraId="04FC56F6" w14:textId="77777777" w:rsidR="001D51D4" w:rsidRPr="001D51D4" w:rsidRDefault="001D51D4" w:rsidP="00477ADA">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procent</w:t>
            </w:r>
          </w:p>
        </w:tc>
      </w:tr>
      <w:tr w:rsidR="006C33B9" w:rsidRPr="001D51D4" w14:paraId="1449C3E7" w14:textId="77777777" w:rsidTr="0088043D">
        <w:trPr>
          <w:trHeight w:val="948"/>
        </w:trPr>
        <w:tc>
          <w:tcPr>
            <w:tcW w:w="3296" w:type="dxa"/>
            <w:tcBorders>
              <w:top w:val="nil"/>
              <w:left w:val="single" w:sz="4" w:space="0" w:color="auto"/>
              <w:bottom w:val="single" w:sz="4" w:space="0" w:color="auto"/>
              <w:right w:val="single" w:sz="4" w:space="0" w:color="auto"/>
            </w:tcBorders>
            <w:noWrap/>
            <w:vAlign w:val="bottom"/>
            <w:hideMark/>
          </w:tcPr>
          <w:p w14:paraId="393FCE37" w14:textId="77777777" w:rsidR="001D51D4" w:rsidRPr="001D51D4" w:rsidRDefault="001D51D4" w:rsidP="006C33B9">
            <w:pPr>
              <w:tabs>
                <w:tab w:val="left" w:pos="3120"/>
              </w:tabs>
              <w:spacing w:line="276" w:lineRule="auto"/>
              <w:ind w:right="-2"/>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numirea  în funcții de conducere a judecătorilor</w:t>
            </w:r>
          </w:p>
        </w:tc>
        <w:tc>
          <w:tcPr>
            <w:tcW w:w="1659" w:type="dxa"/>
            <w:tcBorders>
              <w:top w:val="single" w:sz="4" w:space="0" w:color="auto"/>
              <w:left w:val="single" w:sz="4" w:space="0" w:color="auto"/>
              <w:bottom w:val="single" w:sz="4" w:space="0" w:color="auto"/>
              <w:right w:val="single" w:sz="4" w:space="0" w:color="auto"/>
            </w:tcBorders>
            <w:noWrap/>
            <w:vAlign w:val="bottom"/>
            <w:hideMark/>
          </w:tcPr>
          <w:p w14:paraId="5FD6F23D" w14:textId="77777777" w:rsidR="001D51D4" w:rsidRPr="001D51D4" w:rsidRDefault="001D51D4" w:rsidP="00477ADA">
            <w:pPr>
              <w:tabs>
                <w:tab w:val="left" w:pos="3120"/>
              </w:tabs>
              <w:spacing w:line="276" w:lineRule="auto"/>
              <w:ind w:right="-2" w:firstLine="709"/>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8</w:t>
            </w:r>
          </w:p>
        </w:tc>
        <w:tc>
          <w:tcPr>
            <w:tcW w:w="1418" w:type="dxa"/>
            <w:tcBorders>
              <w:top w:val="single" w:sz="4" w:space="0" w:color="auto"/>
              <w:left w:val="nil"/>
              <w:bottom w:val="single" w:sz="4" w:space="0" w:color="auto"/>
              <w:right w:val="single" w:sz="4" w:space="0" w:color="auto"/>
            </w:tcBorders>
            <w:noWrap/>
            <w:vAlign w:val="bottom"/>
            <w:hideMark/>
          </w:tcPr>
          <w:p w14:paraId="5417FB54" w14:textId="77777777" w:rsidR="001D51D4" w:rsidRPr="001D51D4" w:rsidRDefault="001D51D4" w:rsidP="00477ADA">
            <w:pPr>
              <w:tabs>
                <w:tab w:val="left" w:pos="3120"/>
              </w:tabs>
              <w:spacing w:line="276" w:lineRule="auto"/>
              <w:ind w:right="-2" w:firstLine="709"/>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2</w:t>
            </w:r>
          </w:p>
        </w:tc>
        <w:tc>
          <w:tcPr>
            <w:tcW w:w="1130" w:type="dxa"/>
            <w:tcBorders>
              <w:top w:val="single" w:sz="4" w:space="0" w:color="auto"/>
              <w:left w:val="nil"/>
              <w:bottom w:val="single" w:sz="4" w:space="0" w:color="auto"/>
              <w:right w:val="single" w:sz="4" w:space="0" w:color="auto"/>
            </w:tcBorders>
            <w:noWrap/>
            <w:vAlign w:val="bottom"/>
            <w:hideMark/>
          </w:tcPr>
          <w:p w14:paraId="3711B84E" w14:textId="77777777" w:rsidR="001D51D4" w:rsidRPr="001D51D4" w:rsidRDefault="001D51D4" w:rsidP="00477ADA">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25,00%</w:t>
            </w:r>
          </w:p>
        </w:tc>
        <w:tc>
          <w:tcPr>
            <w:tcW w:w="1633" w:type="dxa"/>
            <w:tcBorders>
              <w:top w:val="single" w:sz="4" w:space="0" w:color="auto"/>
              <w:left w:val="nil"/>
              <w:bottom w:val="single" w:sz="4" w:space="0" w:color="auto"/>
              <w:right w:val="single" w:sz="4" w:space="0" w:color="auto"/>
            </w:tcBorders>
            <w:noWrap/>
            <w:vAlign w:val="bottom"/>
            <w:hideMark/>
          </w:tcPr>
          <w:p w14:paraId="3DD86CAA" w14:textId="77777777" w:rsidR="001D51D4" w:rsidRPr="001D51D4" w:rsidRDefault="001D51D4" w:rsidP="00477ADA">
            <w:pPr>
              <w:tabs>
                <w:tab w:val="left" w:pos="3120"/>
              </w:tabs>
              <w:spacing w:line="276" w:lineRule="auto"/>
              <w:ind w:right="-2" w:firstLine="709"/>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6</w:t>
            </w:r>
          </w:p>
        </w:tc>
        <w:tc>
          <w:tcPr>
            <w:tcW w:w="1058" w:type="dxa"/>
            <w:tcBorders>
              <w:top w:val="single" w:sz="4" w:space="0" w:color="auto"/>
              <w:left w:val="nil"/>
              <w:bottom w:val="single" w:sz="4" w:space="0" w:color="auto"/>
              <w:right w:val="single" w:sz="4" w:space="0" w:color="auto"/>
            </w:tcBorders>
            <w:noWrap/>
            <w:vAlign w:val="bottom"/>
            <w:hideMark/>
          </w:tcPr>
          <w:p w14:paraId="32CD97EA" w14:textId="77777777" w:rsidR="001D51D4" w:rsidRPr="001D51D4" w:rsidRDefault="001D51D4" w:rsidP="00477ADA">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75,00%</w:t>
            </w:r>
          </w:p>
        </w:tc>
      </w:tr>
      <w:tr w:rsidR="006C33B9" w:rsidRPr="001D51D4" w14:paraId="5C94A693" w14:textId="77777777" w:rsidTr="0088043D">
        <w:trPr>
          <w:trHeight w:val="960"/>
        </w:trPr>
        <w:tc>
          <w:tcPr>
            <w:tcW w:w="3296" w:type="dxa"/>
            <w:tcBorders>
              <w:top w:val="nil"/>
              <w:left w:val="single" w:sz="4" w:space="0" w:color="auto"/>
              <w:bottom w:val="single" w:sz="4" w:space="0" w:color="auto"/>
              <w:right w:val="single" w:sz="4" w:space="0" w:color="auto"/>
            </w:tcBorders>
            <w:noWrap/>
            <w:vAlign w:val="bottom"/>
            <w:hideMark/>
          </w:tcPr>
          <w:p w14:paraId="6CED2ADD" w14:textId="6AE668D3" w:rsidR="001D51D4" w:rsidRPr="001D51D4" w:rsidRDefault="001D51D4" w:rsidP="006C33B9">
            <w:pPr>
              <w:tabs>
                <w:tab w:val="left" w:pos="3120"/>
              </w:tabs>
              <w:spacing w:line="276" w:lineRule="auto"/>
              <w:ind w:right="-2"/>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numirea  în func</w:t>
            </w:r>
            <w:r w:rsidR="009B3EE0">
              <w:rPr>
                <w:rFonts w:asciiTheme="minorHAnsi" w:eastAsia="Calibri" w:hAnsiTheme="minorHAnsi" w:cstheme="minorHAnsi"/>
                <w:sz w:val="26"/>
                <w:szCs w:val="26"/>
              </w:rPr>
              <w:t>ț</w:t>
            </w:r>
            <w:r w:rsidRPr="001D51D4">
              <w:rPr>
                <w:rFonts w:asciiTheme="minorHAnsi" w:eastAsia="Calibri" w:hAnsiTheme="minorHAnsi" w:cstheme="minorHAnsi"/>
                <w:sz w:val="26"/>
                <w:szCs w:val="26"/>
              </w:rPr>
              <w:t>ii de conducere a procurorilor</w:t>
            </w:r>
          </w:p>
        </w:tc>
        <w:tc>
          <w:tcPr>
            <w:tcW w:w="1659" w:type="dxa"/>
            <w:tcBorders>
              <w:top w:val="nil"/>
              <w:left w:val="single" w:sz="4" w:space="0" w:color="auto"/>
              <w:bottom w:val="single" w:sz="4" w:space="0" w:color="auto"/>
              <w:right w:val="single" w:sz="4" w:space="0" w:color="auto"/>
            </w:tcBorders>
            <w:noWrap/>
            <w:vAlign w:val="bottom"/>
            <w:hideMark/>
          </w:tcPr>
          <w:p w14:paraId="61925818" w14:textId="77777777" w:rsidR="001D51D4" w:rsidRPr="001D51D4" w:rsidRDefault="001D51D4" w:rsidP="00477ADA">
            <w:pPr>
              <w:tabs>
                <w:tab w:val="left" w:pos="3120"/>
              </w:tabs>
              <w:spacing w:line="276" w:lineRule="auto"/>
              <w:ind w:right="-2" w:firstLine="709"/>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5</w:t>
            </w:r>
          </w:p>
        </w:tc>
        <w:tc>
          <w:tcPr>
            <w:tcW w:w="1418" w:type="dxa"/>
            <w:tcBorders>
              <w:top w:val="nil"/>
              <w:left w:val="nil"/>
              <w:bottom w:val="single" w:sz="4" w:space="0" w:color="auto"/>
              <w:right w:val="single" w:sz="4" w:space="0" w:color="auto"/>
            </w:tcBorders>
            <w:noWrap/>
            <w:vAlign w:val="bottom"/>
            <w:hideMark/>
          </w:tcPr>
          <w:p w14:paraId="464A7BA4" w14:textId="77777777" w:rsidR="001D51D4" w:rsidRPr="001D51D4" w:rsidRDefault="001D51D4" w:rsidP="00477ADA">
            <w:pPr>
              <w:tabs>
                <w:tab w:val="left" w:pos="3120"/>
              </w:tabs>
              <w:spacing w:line="276" w:lineRule="auto"/>
              <w:ind w:right="-2" w:firstLine="709"/>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2</w:t>
            </w:r>
          </w:p>
        </w:tc>
        <w:tc>
          <w:tcPr>
            <w:tcW w:w="1130" w:type="dxa"/>
            <w:tcBorders>
              <w:top w:val="nil"/>
              <w:left w:val="nil"/>
              <w:bottom w:val="single" w:sz="4" w:space="0" w:color="auto"/>
              <w:right w:val="single" w:sz="4" w:space="0" w:color="auto"/>
            </w:tcBorders>
            <w:noWrap/>
            <w:vAlign w:val="bottom"/>
            <w:hideMark/>
          </w:tcPr>
          <w:p w14:paraId="32762423" w14:textId="77777777" w:rsidR="001D51D4" w:rsidRPr="001D51D4" w:rsidRDefault="001D51D4" w:rsidP="00477ADA">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40,00%</w:t>
            </w:r>
          </w:p>
        </w:tc>
        <w:tc>
          <w:tcPr>
            <w:tcW w:w="1633" w:type="dxa"/>
            <w:tcBorders>
              <w:top w:val="nil"/>
              <w:left w:val="nil"/>
              <w:bottom w:val="single" w:sz="4" w:space="0" w:color="auto"/>
              <w:right w:val="single" w:sz="4" w:space="0" w:color="auto"/>
            </w:tcBorders>
            <w:noWrap/>
            <w:vAlign w:val="bottom"/>
            <w:hideMark/>
          </w:tcPr>
          <w:p w14:paraId="79551938" w14:textId="77777777" w:rsidR="001D51D4" w:rsidRPr="001D51D4" w:rsidRDefault="001D51D4" w:rsidP="00477ADA">
            <w:pPr>
              <w:tabs>
                <w:tab w:val="left" w:pos="3120"/>
              </w:tabs>
              <w:spacing w:line="276" w:lineRule="auto"/>
              <w:ind w:right="-2" w:firstLine="709"/>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3</w:t>
            </w:r>
          </w:p>
        </w:tc>
        <w:tc>
          <w:tcPr>
            <w:tcW w:w="1058" w:type="dxa"/>
            <w:tcBorders>
              <w:top w:val="nil"/>
              <w:left w:val="nil"/>
              <w:bottom w:val="single" w:sz="4" w:space="0" w:color="auto"/>
              <w:right w:val="single" w:sz="4" w:space="0" w:color="auto"/>
            </w:tcBorders>
            <w:noWrap/>
            <w:vAlign w:val="bottom"/>
            <w:hideMark/>
          </w:tcPr>
          <w:p w14:paraId="50B576A0" w14:textId="77777777" w:rsidR="001D51D4" w:rsidRPr="001D51D4" w:rsidRDefault="001D51D4" w:rsidP="00477ADA">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60,00%</w:t>
            </w:r>
          </w:p>
        </w:tc>
      </w:tr>
      <w:tr w:rsidR="006C33B9" w:rsidRPr="001D51D4" w14:paraId="4E45132C" w14:textId="77777777" w:rsidTr="0088043D">
        <w:trPr>
          <w:trHeight w:val="468"/>
        </w:trPr>
        <w:tc>
          <w:tcPr>
            <w:tcW w:w="3296" w:type="dxa"/>
            <w:tcBorders>
              <w:top w:val="nil"/>
              <w:left w:val="single" w:sz="4" w:space="0" w:color="auto"/>
              <w:bottom w:val="single" w:sz="4" w:space="0" w:color="auto"/>
              <w:right w:val="single" w:sz="4" w:space="0" w:color="auto"/>
            </w:tcBorders>
            <w:noWrap/>
            <w:vAlign w:val="bottom"/>
            <w:hideMark/>
          </w:tcPr>
          <w:p w14:paraId="4DC7360F" w14:textId="77777777" w:rsidR="001D51D4" w:rsidRPr="001D51D4" w:rsidRDefault="001D51D4" w:rsidP="001D51D4">
            <w:pPr>
              <w:tabs>
                <w:tab w:val="left" w:pos="3120"/>
              </w:tabs>
              <w:spacing w:line="276" w:lineRule="auto"/>
              <w:ind w:right="-2" w:firstLine="709"/>
              <w:jc w:val="both"/>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Total</w:t>
            </w:r>
          </w:p>
        </w:tc>
        <w:tc>
          <w:tcPr>
            <w:tcW w:w="1659" w:type="dxa"/>
            <w:tcBorders>
              <w:top w:val="nil"/>
              <w:left w:val="single" w:sz="4" w:space="0" w:color="auto"/>
              <w:bottom w:val="single" w:sz="4" w:space="0" w:color="auto"/>
              <w:right w:val="single" w:sz="4" w:space="0" w:color="auto"/>
            </w:tcBorders>
            <w:noWrap/>
            <w:vAlign w:val="bottom"/>
            <w:hideMark/>
          </w:tcPr>
          <w:p w14:paraId="6E71C36D" w14:textId="77777777" w:rsidR="001D51D4" w:rsidRPr="001D51D4" w:rsidRDefault="001D51D4" w:rsidP="00477ADA">
            <w:pPr>
              <w:tabs>
                <w:tab w:val="left" w:pos="3120"/>
              </w:tabs>
              <w:spacing w:line="276" w:lineRule="auto"/>
              <w:ind w:right="-2" w:firstLine="709"/>
              <w:jc w:val="center"/>
              <w:rPr>
                <w:rFonts w:asciiTheme="minorHAnsi" w:eastAsia="Calibri" w:hAnsiTheme="minorHAnsi" w:cstheme="minorHAnsi"/>
                <w:b/>
                <w:bCs/>
                <w:sz w:val="26"/>
                <w:szCs w:val="26"/>
              </w:rPr>
            </w:pPr>
            <w:r w:rsidRPr="001D51D4">
              <w:rPr>
                <w:rFonts w:asciiTheme="minorHAnsi" w:eastAsia="Calibri" w:hAnsiTheme="minorHAnsi" w:cstheme="minorHAnsi"/>
                <w:sz w:val="26"/>
                <w:szCs w:val="26"/>
              </w:rPr>
              <w:t>13</w:t>
            </w:r>
          </w:p>
        </w:tc>
        <w:tc>
          <w:tcPr>
            <w:tcW w:w="1418" w:type="dxa"/>
            <w:tcBorders>
              <w:top w:val="nil"/>
              <w:left w:val="nil"/>
              <w:bottom w:val="single" w:sz="4" w:space="0" w:color="auto"/>
              <w:right w:val="single" w:sz="4" w:space="0" w:color="auto"/>
            </w:tcBorders>
            <w:noWrap/>
            <w:vAlign w:val="bottom"/>
            <w:hideMark/>
          </w:tcPr>
          <w:p w14:paraId="1D630E9B" w14:textId="77777777" w:rsidR="001D51D4" w:rsidRPr="001D51D4" w:rsidRDefault="001D51D4" w:rsidP="00477ADA">
            <w:pPr>
              <w:tabs>
                <w:tab w:val="left" w:pos="3120"/>
              </w:tabs>
              <w:spacing w:line="276" w:lineRule="auto"/>
              <w:ind w:right="-2" w:firstLine="709"/>
              <w:jc w:val="center"/>
              <w:rPr>
                <w:rFonts w:asciiTheme="minorHAnsi" w:eastAsia="Calibri" w:hAnsiTheme="minorHAnsi" w:cstheme="minorHAnsi"/>
                <w:b/>
                <w:bCs/>
                <w:sz w:val="26"/>
                <w:szCs w:val="26"/>
              </w:rPr>
            </w:pPr>
            <w:r w:rsidRPr="001D51D4">
              <w:rPr>
                <w:rFonts w:asciiTheme="minorHAnsi" w:eastAsia="Calibri" w:hAnsiTheme="minorHAnsi" w:cstheme="minorHAnsi"/>
                <w:sz w:val="26"/>
                <w:szCs w:val="26"/>
              </w:rPr>
              <w:t>4</w:t>
            </w:r>
          </w:p>
        </w:tc>
        <w:tc>
          <w:tcPr>
            <w:tcW w:w="1130" w:type="dxa"/>
            <w:tcBorders>
              <w:top w:val="nil"/>
              <w:left w:val="nil"/>
              <w:bottom w:val="single" w:sz="4" w:space="0" w:color="auto"/>
              <w:right w:val="single" w:sz="4" w:space="0" w:color="auto"/>
            </w:tcBorders>
            <w:noWrap/>
            <w:vAlign w:val="bottom"/>
            <w:hideMark/>
          </w:tcPr>
          <w:p w14:paraId="7C341A42" w14:textId="77777777" w:rsidR="001D51D4" w:rsidRPr="001D51D4" w:rsidRDefault="001D51D4" w:rsidP="00477ADA">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30,77%</w:t>
            </w:r>
          </w:p>
        </w:tc>
        <w:tc>
          <w:tcPr>
            <w:tcW w:w="1633" w:type="dxa"/>
            <w:tcBorders>
              <w:top w:val="nil"/>
              <w:left w:val="nil"/>
              <w:bottom w:val="single" w:sz="4" w:space="0" w:color="auto"/>
              <w:right w:val="single" w:sz="4" w:space="0" w:color="auto"/>
            </w:tcBorders>
            <w:noWrap/>
            <w:vAlign w:val="bottom"/>
            <w:hideMark/>
          </w:tcPr>
          <w:p w14:paraId="75E060E4" w14:textId="77777777" w:rsidR="001D51D4" w:rsidRPr="001D51D4" w:rsidRDefault="001D51D4" w:rsidP="00477ADA">
            <w:pPr>
              <w:tabs>
                <w:tab w:val="left" w:pos="3120"/>
              </w:tabs>
              <w:spacing w:line="276" w:lineRule="auto"/>
              <w:ind w:right="-2" w:firstLine="709"/>
              <w:jc w:val="center"/>
              <w:rPr>
                <w:rFonts w:asciiTheme="minorHAnsi" w:eastAsia="Calibri" w:hAnsiTheme="minorHAnsi" w:cstheme="minorHAnsi"/>
                <w:b/>
                <w:bCs/>
                <w:sz w:val="26"/>
                <w:szCs w:val="26"/>
              </w:rPr>
            </w:pPr>
            <w:r w:rsidRPr="001D51D4">
              <w:rPr>
                <w:rFonts w:asciiTheme="minorHAnsi" w:eastAsia="Calibri" w:hAnsiTheme="minorHAnsi" w:cstheme="minorHAnsi"/>
                <w:sz w:val="26"/>
                <w:szCs w:val="26"/>
              </w:rPr>
              <w:t>9</w:t>
            </w:r>
          </w:p>
        </w:tc>
        <w:tc>
          <w:tcPr>
            <w:tcW w:w="1058" w:type="dxa"/>
            <w:tcBorders>
              <w:top w:val="nil"/>
              <w:left w:val="nil"/>
              <w:bottom w:val="single" w:sz="4" w:space="0" w:color="auto"/>
              <w:right w:val="single" w:sz="4" w:space="0" w:color="auto"/>
            </w:tcBorders>
            <w:noWrap/>
            <w:vAlign w:val="bottom"/>
            <w:hideMark/>
          </w:tcPr>
          <w:p w14:paraId="3BF2020A" w14:textId="77777777" w:rsidR="001D51D4" w:rsidRPr="001D51D4" w:rsidRDefault="001D51D4" w:rsidP="00477ADA">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69,23%</w:t>
            </w:r>
          </w:p>
        </w:tc>
      </w:tr>
    </w:tbl>
    <w:p w14:paraId="749E8450" w14:textId="77777777"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p>
    <w:tbl>
      <w:tblPr>
        <w:tblW w:w="10194" w:type="dxa"/>
        <w:tblLook w:val="04A0" w:firstRow="1" w:lastRow="0" w:firstColumn="1" w:lastColumn="0" w:noHBand="0" w:noVBand="1"/>
      </w:tblPr>
      <w:tblGrid>
        <w:gridCol w:w="3260"/>
        <w:gridCol w:w="1575"/>
        <w:gridCol w:w="1527"/>
        <w:gridCol w:w="1139"/>
        <w:gridCol w:w="1572"/>
        <w:gridCol w:w="1121"/>
      </w:tblGrid>
      <w:tr w:rsidR="001D51D4" w:rsidRPr="001D51D4" w14:paraId="0A0650D0" w14:textId="77777777" w:rsidTr="00AB4A78">
        <w:trPr>
          <w:trHeight w:val="288"/>
        </w:trPr>
        <w:tc>
          <w:tcPr>
            <w:tcW w:w="3277" w:type="dxa"/>
            <w:vMerge w:val="restart"/>
            <w:tcBorders>
              <w:top w:val="single" w:sz="4" w:space="0" w:color="auto"/>
              <w:left w:val="single" w:sz="4" w:space="0" w:color="auto"/>
              <w:bottom w:val="single" w:sz="4" w:space="0" w:color="auto"/>
              <w:right w:val="single" w:sz="4" w:space="0" w:color="auto"/>
            </w:tcBorders>
            <w:noWrap/>
            <w:vAlign w:val="bottom"/>
            <w:hideMark/>
          </w:tcPr>
          <w:p w14:paraId="0046E428" w14:textId="77777777" w:rsidR="001D51D4" w:rsidRPr="001D51D4" w:rsidRDefault="001D51D4" w:rsidP="00477ADA">
            <w:pPr>
              <w:tabs>
                <w:tab w:val="left" w:pos="3120"/>
              </w:tabs>
              <w:spacing w:line="276" w:lineRule="auto"/>
              <w:ind w:right="-2"/>
              <w:jc w:val="both"/>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Concurs/procedură</w:t>
            </w:r>
          </w:p>
          <w:p w14:paraId="3AAB8602" w14:textId="77777777" w:rsidR="001D51D4" w:rsidRPr="001D51D4" w:rsidRDefault="001D51D4" w:rsidP="001D51D4">
            <w:pPr>
              <w:tabs>
                <w:tab w:val="left" w:pos="3120"/>
              </w:tabs>
              <w:spacing w:line="276" w:lineRule="auto"/>
              <w:ind w:right="-2" w:firstLine="709"/>
              <w:jc w:val="both"/>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 </w:t>
            </w:r>
          </w:p>
        </w:tc>
        <w:tc>
          <w:tcPr>
            <w:tcW w:w="1553" w:type="dxa"/>
            <w:vMerge w:val="restart"/>
            <w:tcBorders>
              <w:top w:val="single" w:sz="4" w:space="0" w:color="auto"/>
              <w:left w:val="single" w:sz="4" w:space="0" w:color="auto"/>
              <w:bottom w:val="single" w:sz="4" w:space="0" w:color="000000"/>
              <w:right w:val="single" w:sz="4" w:space="0" w:color="auto"/>
            </w:tcBorders>
            <w:noWrap/>
            <w:vAlign w:val="bottom"/>
            <w:hideMark/>
          </w:tcPr>
          <w:p w14:paraId="6140CC66" w14:textId="77777777" w:rsidR="001D51D4" w:rsidRPr="001D51D4" w:rsidRDefault="001D51D4" w:rsidP="00AB4A78">
            <w:pPr>
              <w:tabs>
                <w:tab w:val="left" w:pos="3120"/>
              </w:tabs>
              <w:spacing w:line="276" w:lineRule="auto"/>
              <w:ind w:right="-128"/>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Persoane reexaminate</w:t>
            </w:r>
          </w:p>
        </w:tc>
        <w:tc>
          <w:tcPr>
            <w:tcW w:w="5364" w:type="dxa"/>
            <w:gridSpan w:val="4"/>
            <w:tcBorders>
              <w:top w:val="single" w:sz="4" w:space="0" w:color="auto"/>
              <w:left w:val="nil"/>
              <w:bottom w:val="single" w:sz="4" w:space="0" w:color="auto"/>
              <w:right w:val="single" w:sz="4" w:space="0" w:color="auto"/>
            </w:tcBorders>
            <w:noWrap/>
            <w:vAlign w:val="bottom"/>
            <w:hideMark/>
          </w:tcPr>
          <w:p w14:paraId="0DEE4CD5" w14:textId="77777777" w:rsidR="001D51D4" w:rsidRPr="001D51D4" w:rsidRDefault="001D51D4" w:rsidP="00AB4A78">
            <w:pPr>
              <w:tabs>
                <w:tab w:val="left" w:pos="3120"/>
              </w:tabs>
              <w:spacing w:line="276" w:lineRule="auto"/>
              <w:ind w:right="-2" w:firstLine="709"/>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Calificative acordate</w:t>
            </w:r>
          </w:p>
        </w:tc>
      </w:tr>
      <w:tr w:rsidR="00AB4A78" w:rsidRPr="001D51D4" w14:paraId="020D80D8" w14:textId="77777777" w:rsidTr="00AB4A78">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56EF57" w14:textId="77777777" w:rsidR="001D51D4" w:rsidRPr="001D51D4" w:rsidRDefault="001D51D4" w:rsidP="001D51D4">
            <w:pPr>
              <w:tabs>
                <w:tab w:val="left" w:pos="3120"/>
              </w:tabs>
              <w:spacing w:line="276" w:lineRule="auto"/>
              <w:ind w:right="-2" w:firstLine="709"/>
              <w:jc w:val="both"/>
              <w:rPr>
                <w:rFonts w:asciiTheme="minorHAnsi" w:eastAsia="Calibri" w:hAnsiTheme="minorHAnsi" w:cstheme="minorHAnsi"/>
                <w:b/>
                <w:bCs/>
                <w:sz w:val="26"/>
                <w:szCs w:val="2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528A3CA" w14:textId="77777777" w:rsidR="001D51D4" w:rsidRPr="001D51D4" w:rsidRDefault="001D51D4" w:rsidP="00AB4A78">
            <w:pPr>
              <w:tabs>
                <w:tab w:val="left" w:pos="3120"/>
              </w:tabs>
              <w:spacing w:line="276" w:lineRule="auto"/>
              <w:ind w:right="-2" w:firstLine="709"/>
              <w:jc w:val="center"/>
              <w:rPr>
                <w:rFonts w:asciiTheme="minorHAnsi" w:eastAsia="Calibri" w:hAnsiTheme="minorHAnsi" w:cstheme="minorHAnsi"/>
                <w:b/>
                <w:bCs/>
                <w:sz w:val="26"/>
                <w:szCs w:val="26"/>
              </w:rPr>
            </w:pPr>
          </w:p>
        </w:tc>
        <w:tc>
          <w:tcPr>
            <w:tcW w:w="1534" w:type="dxa"/>
            <w:tcBorders>
              <w:top w:val="nil"/>
              <w:left w:val="nil"/>
              <w:bottom w:val="single" w:sz="4" w:space="0" w:color="auto"/>
              <w:right w:val="single" w:sz="4" w:space="0" w:color="auto"/>
            </w:tcBorders>
            <w:noWrap/>
            <w:vAlign w:val="bottom"/>
            <w:hideMark/>
          </w:tcPr>
          <w:p w14:paraId="73204549"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admis</w:t>
            </w:r>
          </w:p>
        </w:tc>
        <w:tc>
          <w:tcPr>
            <w:tcW w:w="1144" w:type="dxa"/>
            <w:tcBorders>
              <w:top w:val="nil"/>
              <w:left w:val="nil"/>
              <w:bottom w:val="single" w:sz="4" w:space="0" w:color="auto"/>
              <w:right w:val="single" w:sz="4" w:space="0" w:color="auto"/>
            </w:tcBorders>
            <w:noWrap/>
            <w:vAlign w:val="bottom"/>
            <w:hideMark/>
          </w:tcPr>
          <w:p w14:paraId="380EF79B"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procent</w:t>
            </w:r>
          </w:p>
        </w:tc>
        <w:tc>
          <w:tcPr>
            <w:tcW w:w="1580" w:type="dxa"/>
            <w:tcBorders>
              <w:top w:val="nil"/>
              <w:left w:val="nil"/>
              <w:bottom w:val="single" w:sz="4" w:space="0" w:color="auto"/>
              <w:right w:val="single" w:sz="4" w:space="0" w:color="auto"/>
            </w:tcBorders>
            <w:noWrap/>
            <w:vAlign w:val="bottom"/>
            <w:hideMark/>
          </w:tcPr>
          <w:p w14:paraId="313DD957"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respins</w:t>
            </w:r>
          </w:p>
        </w:tc>
        <w:tc>
          <w:tcPr>
            <w:tcW w:w="1106" w:type="dxa"/>
            <w:tcBorders>
              <w:top w:val="nil"/>
              <w:left w:val="nil"/>
              <w:bottom w:val="single" w:sz="4" w:space="0" w:color="auto"/>
              <w:right w:val="single" w:sz="4" w:space="0" w:color="auto"/>
            </w:tcBorders>
            <w:noWrap/>
            <w:vAlign w:val="bottom"/>
            <w:hideMark/>
          </w:tcPr>
          <w:p w14:paraId="2CC7A4E4"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procent</w:t>
            </w:r>
          </w:p>
        </w:tc>
      </w:tr>
      <w:tr w:rsidR="00AB4A78" w:rsidRPr="001D51D4" w14:paraId="2513FF8E" w14:textId="77777777" w:rsidTr="00AB4A78">
        <w:trPr>
          <w:trHeight w:val="444"/>
        </w:trPr>
        <w:tc>
          <w:tcPr>
            <w:tcW w:w="3277" w:type="dxa"/>
            <w:tcBorders>
              <w:top w:val="nil"/>
              <w:left w:val="single" w:sz="4" w:space="0" w:color="auto"/>
              <w:bottom w:val="single" w:sz="4" w:space="0" w:color="auto"/>
              <w:right w:val="single" w:sz="4" w:space="0" w:color="auto"/>
            </w:tcBorders>
            <w:noWrap/>
            <w:vAlign w:val="bottom"/>
            <w:hideMark/>
          </w:tcPr>
          <w:p w14:paraId="5B1492EB" w14:textId="77777777" w:rsidR="001D51D4" w:rsidRPr="001D51D4" w:rsidRDefault="001D51D4" w:rsidP="00477ADA">
            <w:pPr>
              <w:tabs>
                <w:tab w:val="left" w:pos="3120"/>
              </w:tabs>
              <w:spacing w:line="276" w:lineRule="auto"/>
              <w:ind w:right="-2"/>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admitere magistratură</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3F5520E8" w14:textId="77777777" w:rsidR="001D51D4" w:rsidRPr="001D51D4" w:rsidRDefault="001D51D4" w:rsidP="00AB4A78">
            <w:pPr>
              <w:tabs>
                <w:tab w:val="left" w:pos="3120"/>
              </w:tabs>
              <w:spacing w:line="276" w:lineRule="auto"/>
              <w:ind w:right="-2" w:firstLine="28"/>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332</w:t>
            </w:r>
          </w:p>
        </w:tc>
        <w:tc>
          <w:tcPr>
            <w:tcW w:w="1534" w:type="dxa"/>
            <w:tcBorders>
              <w:top w:val="single" w:sz="4" w:space="0" w:color="auto"/>
              <w:left w:val="nil"/>
              <w:bottom w:val="single" w:sz="4" w:space="0" w:color="auto"/>
              <w:right w:val="single" w:sz="4" w:space="0" w:color="auto"/>
            </w:tcBorders>
            <w:noWrap/>
            <w:vAlign w:val="bottom"/>
            <w:hideMark/>
          </w:tcPr>
          <w:p w14:paraId="3FDC4577" w14:textId="77777777" w:rsidR="001D51D4" w:rsidRPr="001D51D4" w:rsidRDefault="001D51D4" w:rsidP="00AB4A78">
            <w:pPr>
              <w:tabs>
                <w:tab w:val="left" w:pos="3120"/>
              </w:tabs>
              <w:spacing w:line="276" w:lineRule="auto"/>
              <w:ind w:right="-2" w:firstLine="13"/>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125</w:t>
            </w:r>
          </w:p>
        </w:tc>
        <w:tc>
          <w:tcPr>
            <w:tcW w:w="1144" w:type="dxa"/>
            <w:tcBorders>
              <w:top w:val="single" w:sz="4" w:space="0" w:color="auto"/>
              <w:left w:val="nil"/>
              <w:bottom w:val="single" w:sz="4" w:space="0" w:color="auto"/>
              <w:right w:val="single" w:sz="4" w:space="0" w:color="auto"/>
            </w:tcBorders>
            <w:noWrap/>
            <w:vAlign w:val="bottom"/>
            <w:hideMark/>
          </w:tcPr>
          <w:p w14:paraId="0061B044"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37,65%</w:t>
            </w:r>
          </w:p>
        </w:tc>
        <w:tc>
          <w:tcPr>
            <w:tcW w:w="1580" w:type="dxa"/>
            <w:tcBorders>
              <w:top w:val="single" w:sz="4" w:space="0" w:color="auto"/>
              <w:left w:val="nil"/>
              <w:bottom w:val="single" w:sz="4" w:space="0" w:color="auto"/>
              <w:right w:val="single" w:sz="4" w:space="0" w:color="auto"/>
            </w:tcBorders>
            <w:noWrap/>
            <w:vAlign w:val="bottom"/>
            <w:hideMark/>
          </w:tcPr>
          <w:p w14:paraId="3EB3BF80"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195</w:t>
            </w:r>
          </w:p>
        </w:tc>
        <w:tc>
          <w:tcPr>
            <w:tcW w:w="1106" w:type="dxa"/>
            <w:tcBorders>
              <w:top w:val="single" w:sz="4" w:space="0" w:color="auto"/>
              <w:left w:val="nil"/>
              <w:bottom w:val="single" w:sz="4" w:space="0" w:color="auto"/>
              <w:right w:val="single" w:sz="4" w:space="0" w:color="auto"/>
            </w:tcBorders>
            <w:noWrap/>
            <w:vAlign w:val="bottom"/>
            <w:hideMark/>
          </w:tcPr>
          <w:p w14:paraId="10C65E15"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58,73%</w:t>
            </w:r>
          </w:p>
        </w:tc>
      </w:tr>
      <w:tr w:rsidR="00AB4A78" w:rsidRPr="001D51D4" w14:paraId="332B7D29" w14:textId="77777777" w:rsidTr="00AB4A78">
        <w:trPr>
          <w:trHeight w:val="444"/>
        </w:trPr>
        <w:tc>
          <w:tcPr>
            <w:tcW w:w="3277" w:type="dxa"/>
            <w:tcBorders>
              <w:top w:val="nil"/>
              <w:left w:val="single" w:sz="4" w:space="0" w:color="auto"/>
              <w:bottom w:val="single" w:sz="4" w:space="0" w:color="auto"/>
              <w:right w:val="single" w:sz="4" w:space="0" w:color="auto"/>
            </w:tcBorders>
            <w:noWrap/>
            <w:vAlign w:val="bottom"/>
            <w:hideMark/>
          </w:tcPr>
          <w:p w14:paraId="0B3FBFB5" w14:textId="473B8B8C" w:rsidR="001D51D4" w:rsidRPr="001D51D4" w:rsidRDefault="001D51D4" w:rsidP="00477ADA">
            <w:pPr>
              <w:tabs>
                <w:tab w:val="left" w:pos="3120"/>
              </w:tabs>
              <w:spacing w:line="276" w:lineRule="auto"/>
              <w:ind w:right="-2"/>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admitere I</w:t>
            </w:r>
            <w:r w:rsidR="009B3EE0">
              <w:rPr>
                <w:rFonts w:asciiTheme="minorHAnsi" w:eastAsia="Calibri" w:hAnsiTheme="minorHAnsi" w:cstheme="minorHAnsi"/>
                <w:sz w:val="26"/>
                <w:szCs w:val="26"/>
              </w:rPr>
              <w:t>.</w:t>
            </w:r>
            <w:r w:rsidRPr="001D51D4">
              <w:rPr>
                <w:rFonts w:asciiTheme="minorHAnsi" w:eastAsia="Calibri" w:hAnsiTheme="minorHAnsi" w:cstheme="minorHAnsi"/>
                <w:sz w:val="26"/>
                <w:szCs w:val="26"/>
              </w:rPr>
              <w:t>N</w:t>
            </w:r>
            <w:r w:rsidR="009B3EE0">
              <w:rPr>
                <w:rFonts w:asciiTheme="minorHAnsi" w:eastAsia="Calibri" w:hAnsiTheme="minorHAnsi" w:cstheme="minorHAnsi"/>
                <w:sz w:val="26"/>
                <w:szCs w:val="26"/>
              </w:rPr>
              <w:t>.</w:t>
            </w:r>
            <w:r w:rsidRPr="001D51D4">
              <w:rPr>
                <w:rFonts w:asciiTheme="minorHAnsi" w:eastAsia="Calibri" w:hAnsiTheme="minorHAnsi" w:cstheme="minorHAnsi"/>
                <w:sz w:val="26"/>
                <w:szCs w:val="26"/>
              </w:rPr>
              <w:t>M</w:t>
            </w:r>
            <w:r w:rsidR="009B3EE0">
              <w:rPr>
                <w:rFonts w:asciiTheme="minorHAnsi" w:eastAsia="Calibri" w:hAnsiTheme="minorHAnsi" w:cstheme="minorHAnsi"/>
                <w:sz w:val="26"/>
                <w:szCs w:val="26"/>
              </w:rPr>
              <w:t>.</w:t>
            </w:r>
          </w:p>
        </w:tc>
        <w:tc>
          <w:tcPr>
            <w:tcW w:w="1553" w:type="dxa"/>
            <w:tcBorders>
              <w:top w:val="single" w:sz="8" w:space="0" w:color="auto"/>
              <w:left w:val="single" w:sz="8" w:space="0" w:color="auto"/>
              <w:bottom w:val="nil"/>
              <w:right w:val="single" w:sz="8" w:space="0" w:color="auto"/>
            </w:tcBorders>
            <w:noWrap/>
            <w:vAlign w:val="center"/>
            <w:hideMark/>
          </w:tcPr>
          <w:p w14:paraId="27AA436B"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130</w:t>
            </w:r>
          </w:p>
        </w:tc>
        <w:tc>
          <w:tcPr>
            <w:tcW w:w="1534" w:type="dxa"/>
            <w:tcBorders>
              <w:top w:val="single" w:sz="8" w:space="0" w:color="auto"/>
              <w:left w:val="nil"/>
              <w:bottom w:val="nil"/>
              <w:right w:val="single" w:sz="8" w:space="0" w:color="auto"/>
            </w:tcBorders>
            <w:noWrap/>
            <w:vAlign w:val="center"/>
            <w:hideMark/>
          </w:tcPr>
          <w:p w14:paraId="49E93058" w14:textId="77777777" w:rsidR="001D51D4" w:rsidRPr="001D51D4" w:rsidRDefault="001D51D4" w:rsidP="00AB4A78">
            <w:pPr>
              <w:tabs>
                <w:tab w:val="left" w:pos="3120"/>
              </w:tabs>
              <w:spacing w:line="276" w:lineRule="auto"/>
              <w:ind w:right="-2" w:firstLine="13"/>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28</w:t>
            </w:r>
          </w:p>
        </w:tc>
        <w:tc>
          <w:tcPr>
            <w:tcW w:w="1144" w:type="dxa"/>
            <w:tcBorders>
              <w:top w:val="nil"/>
              <w:left w:val="single" w:sz="4" w:space="0" w:color="auto"/>
              <w:bottom w:val="single" w:sz="4" w:space="0" w:color="auto"/>
              <w:right w:val="single" w:sz="4" w:space="0" w:color="auto"/>
            </w:tcBorders>
            <w:noWrap/>
            <w:vAlign w:val="bottom"/>
            <w:hideMark/>
          </w:tcPr>
          <w:p w14:paraId="11F07CF5"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21,54%</w:t>
            </w:r>
          </w:p>
        </w:tc>
        <w:tc>
          <w:tcPr>
            <w:tcW w:w="1580" w:type="dxa"/>
            <w:tcBorders>
              <w:top w:val="nil"/>
              <w:left w:val="nil"/>
              <w:bottom w:val="single" w:sz="4" w:space="0" w:color="auto"/>
              <w:right w:val="single" w:sz="4" w:space="0" w:color="auto"/>
            </w:tcBorders>
            <w:noWrap/>
            <w:vAlign w:val="bottom"/>
            <w:hideMark/>
          </w:tcPr>
          <w:p w14:paraId="51F68670"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93</w:t>
            </w:r>
          </w:p>
        </w:tc>
        <w:tc>
          <w:tcPr>
            <w:tcW w:w="1106" w:type="dxa"/>
            <w:tcBorders>
              <w:top w:val="nil"/>
              <w:left w:val="nil"/>
              <w:bottom w:val="single" w:sz="4" w:space="0" w:color="auto"/>
              <w:right w:val="single" w:sz="4" w:space="0" w:color="auto"/>
            </w:tcBorders>
            <w:noWrap/>
            <w:vAlign w:val="bottom"/>
            <w:hideMark/>
          </w:tcPr>
          <w:p w14:paraId="799062CE"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71,54%</w:t>
            </w:r>
          </w:p>
        </w:tc>
      </w:tr>
      <w:tr w:rsidR="00AB4A78" w:rsidRPr="001D51D4" w14:paraId="2C65B82E" w14:textId="77777777" w:rsidTr="00AB4A78">
        <w:trPr>
          <w:trHeight w:val="444"/>
        </w:trPr>
        <w:tc>
          <w:tcPr>
            <w:tcW w:w="3277" w:type="dxa"/>
            <w:tcBorders>
              <w:top w:val="nil"/>
              <w:left w:val="single" w:sz="4" w:space="0" w:color="auto"/>
              <w:bottom w:val="single" w:sz="4" w:space="0" w:color="auto"/>
              <w:right w:val="single" w:sz="4" w:space="0" w:color="auto"/>
            </w:tcBorders>
            <w:noWrap/>
            <w:vAlign w:val="bottom"/>
            <w:hideMark/>
          </w:tcPr>
          <w:p w14:paraId="266D5F58" w14:textId="77777777" w:rsidR="001D51D4" w:rsidRPr="001D51D4" w:rsidRDefault="001D51D4" w:rsidP="00477ADA">
            <w:pPr>
              <w:tabs>
                <w:tab w:val="left" w:pos="3120"/>
              </w:tabs>
              <w:spacing w:line="276" w:lineRule="auto"/>
              <w:ind w:right="-2"/>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reîncadrare în funcția de judecător</w:t>
            </w:r>
          </w:p>
        </w:tc>
        <w:tc>
          <w:tcPr>
            <w:tcW w:w="1553" w:type="dxa"/>
            <w:tcBorders>
              <w:top w:val="single" w:sz="4" w:space="0" w:color="auto"/>
              <w:left w:val="single" w:sz="4" w:space="0" w:color="auto"/>
              <w:bottom w:val="single" w:sz="4" w:space="0" w:color="auto"/>
              <w:right w:val="single" w:sz="4" w:space="0" w:color="auto"/>
            </w:tcBorders>
            <w:noWrap/>
            <w:vAlign w:val="center"/>
            <w:hideMark/>
          </w:tcPr>
          <w:p w14:paraId="4CEF7774"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3</w:t>
            </w:r>
          </w:p>
        </w:tc>
        <w:tc>
          <w:tcPr>
            <w:tcW w:w="1534" w:type="dxa"/>
            <w:tcBorders>
              <w:top w:val="single" w:sz="4" w:space="0" w:color="auto"/>
              <w:left w:val="nil"/>
              <w:bottom w:val="single" w:sz="4" w:space="0" w:color="auto"/>
              <w:right w:val="single" w:sz="4" w:space="0" w:color="auto"/>
            </w:tcBorders>
            <w:noWrap/>
            <w:vAlign w:val="center"/>
            <w:hideMark/>
          </w:tcPr>
          <w:p w14:paraId="19C677BB"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0</w:t>
            </w:r>
          </w:p>
        </w:tc>
        <w:tc>
          <w:tcPr>
            <w:tcW w:w="1144" w:type="dxa"/>
            <w:tcBorders>
              <w:top w:val="nil"/>
              <w:left w:val="nil"/>
              <w:bottom w:val="single" w:sz="4" w:space="0" w:color="auto"/>
              <w:right w:val="single" w:sz="4" w:space="0" w:color="auto"/>
            </w:tcBorders>
            <w:noWrap/>
            <w:vAlign w:val="bottom"/>
            <w:hideMark/>
          </w:tcPr>
          <w:p w14:paraId="6DEC0B8F"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0,00%</w:t>
            </w:r>
          </w:p>
        </w:tc>
        <w:tc>
          <w:tcPr>
            <w:tcW w:w="1580" w:type="dxa"/>
            <w:tcBorders>
              <w:top w:val="nil"/>
              <w:left w:val="nil"/>
              <w:bottom w:val="single" w:sz="4" w:space="0" w:color="auto"/>
              <w:right w:val="single" w:sz="4" w:space="0" w:color="auto"/>
            </w:tcBorders>
            <w:noWrap/>
            <w:vAlign w:val="bottom"/>
            <w:hideMark/>
          </w:tcPr>
          <w:p w14:paraId="138469DC"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3</w:t>
            </w:r>
          </w:p>
        </w:tc>
        <w:tc>
          <w:tcPr>
            <w:tcW w:w="1106" w:type="dxa"/>
            <w:tcBorders>
              <w:top w:val="nil"/>
              <w:left w:val="nil"/>
              <w:bottom w:val="single" w:sz="4" w:space="0" w:color="auto"/>
              <w:right w:val="single" w:sz="4" w:space="0" w:color="auto"/>
            </w:tcBorders>
            <w:noWrap/>
            <w:vAlign w:val="bottom"/>
            <w:hideMark/>
          </w:tcPr>
          <w:p w14:paraId="59DDC89B"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100,00%</w:t>
            </w:r>
          </w:p>
        </w:tc>
      </w:tr>
      <w:tr w:rsidR="00AB4A78" w:rsidRPr="001D51D4" w14:paraId="28C0950A" w14:textId="77777777" w:rsidTr="00AB4A78">
        <w:trPr>
          <w:trHeight w:val="288"/>
        </w:trPr>
        <w:tc>
          <w:tcPr>
            <w:tcW w:w="3277" w:type="dxa"/>
            <w:tcBorders>
              <w:top w:val="nil"/>
              <w:left w:val="single" w:sz="4" w:space="0" w:color="auto"/>
              <w:bottom w:val="single" w:sz="4" w:space="0" w:color="auto"/>
              <w:right w:val="single" w:sz="4" w:space="0" w:color="auto"/>
            </w:tcBorders>
            <w:noWrap/>
            <w:vAlign w:val="bottom"/>
          </w:tcPr>
          <w:p w14:paraId="55577654" w14:textId="77777777" w:rsidR="001D51D4" w:rsidRPr="001D51D4" w:rsidRDefault="001D51D4" w:rsidP="001D51D4">
            <w:pPr>
              <w:tabs>
                <w:tab w:val="left" w:pos="3120"/>
              </w:tabs>
              <w:spacing w:line="276" w:lineRule="auto"/>
              <w:ind w:right="-2" w:firstLine="709"/>
              <w:jc w:val="both"/>
              <w:rPr>
                <w:rFonts w:asciiTheme="minorHAnsi" w:eastAsia="Calibri" w:hAnsiTheme="minorHAnsi" w:cstheme="minorHAnsi"/>
                <w:b/>
                <w:bCs/>
                <w:sz w:val="26"/>
                <w:szCs w:val="26"/>
              </w:rPr>
            </w:pPr>
          </w:p>
          <w:p w14:paraId="17636882" w14:textId="77777777" w:rsidR="001D51D4" w:rsidRPr="001D51D4" w:rsidRDefault="001D51D4" w:rsidP="001D51D4">
            <w:pPr>
              <w:tabs>
                <w:tab w:val="left" w:pos="3120"/>
              </w:tabs>
              <w:spacing w:line="276" w:lineRule="auto"/>
              <w:ind w:right="-2" w:firstLine="709"/>
              <w:jc w:val="both"/>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Total</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5BACFD98"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462</w:t>
            </w:r>
          </w:p>
        </w:tc>
        <w:tc>
          <w:tcPr>
            <w:tcW w:w="1534" w:type="dxa"/>
            <w:tcBorders>
              <w:top w:val="single" w:sz="4" w:space="0" w:color="auto"/>
              <w:left w:val="nil"/>
              <w:bottom w:val="single" w:sz="4" w:space="0" w:color="auto"/>
              <w:right w:val="single" w:sz="4" w:space="0" w:color="auto"/>
            </w:tcBorders>
            <w:noWrap/>
            <w:vAlign w:val="bottom"/>
            <w:hideMark/>
          </w:tcPr>
          <w:p w14:paraId="16899D2B"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153</w:t>
            </w:r>
          </w:p>
        </w:tc>
        <w:tc>
          <w:tcPr>
            <w:tcW w:w="1144" w:type="dxa"/>
            <w:tcBorders>
              <w:top w:val="single" w:sz="4" w:space="0" w:color="auto"/>
              <w:left w:val="nil"/>
              <w:bottom w:val="single" w:sz="4" w:space="0" w:color="auto"/>
              <w:right w:val="single" w:sz="4" w:space="0" w:color="auto"/>
            </w:tcBorders>
            <w:noWrap/>
            <w:vAlign w:val="bottom"/>
            <w:hideMark/>
          </w:tcPr>
          <w:p w14:paraId="385F3225"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33,12%</w:t>
            </w:r>
          </w:p>
        </w:tc>
        <w:tc>
          <w:tcPr>
            <w:tcW w:w="1580" w:type="dxa"/>
            <w:tcBorders>
              <w:top w:val="single" w:sz="4" w:space="0" w:color="auto"/>
              <w:left w:val="nil"/>
              <w:bottom w:val="single" w:sz="4" w:space="0" w:color="auto"/>
              <w:right w:val="single" w:sz="4" w:space="0" w:color="auto"/>
            </w:tcBorders>
            <w:noWrap/>
            <w:vAlign w:val="bottom"/>
            <w:hideMark/>
          </w:tcPr>
          <w:p w14:paraId="37137FC5"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b/>
                <w:bCs/>
                <w:sz w:val="26"/>
                <w:szCs w:val="26"/>
              </w:rPr>
            </w:pPr>
            <w:r w:rsidRPr="001D51D4">
              <w:rPr>
                <w:rFonts w:asciiTheme="minorHAnsi" w:eastAsia="Calibri" w:hAnsiTheme="minorHAnsi" w:cstheme="minorHAnsi"/>
                <w:b/>
                <w:bCs/>
                <w:sz w:val="26"/>
                <w:szCs w:val="26"/>
              </w:rPr>
              <w:t>291</w:t>
            </w:r>
          </w:p>
        </w:tc>
        <w:tc>
          <w:tcPr>
            <w:tcW w:w="1106" w:type="dxa"/>
            <w:tcBorders>
              <w:top w:val="single" w:sz="4" w:space="0" w:color="auto"/>
              <w:left w:val="nil"/>
              <w:bottom w:val="single" w:sz="4" w:space="0" w:color="auto"/>
              <w:right w:val="single" w:sz="4" w:space="0" w:color="auto"/>
            </w:tcBorders>
            <w:noWrap/>
            <w:vAlign w:val="bottom"/>
            <w:hideMark/>
          </w:tcPr>
          <w:p w14:paraId="0219899A" w14:textId="77777777" w:rsidR="001D51D4" w:rsidRPr="001D51D4" w:rsidRDefault="001D51D4" w:rsidP="00AB4A78">
            <w:pPr>
              <w:tabs>
                <w:tab w:val="left" w:pos="3120"/>
              </w:tabs>
              <w:spacing w:line="276" w:lineRule="auto"/>
              <w:ind w:right="-2"/>
              <w:jc w:val="center"/>
              <w:rPr>
                <w:rFonts w:asciiTheme="minorHAnsi" w:eastAsia="Calibri" w:hAnsiTheme="minorHAnsi" w:cstheme="minorHAnsi"/>
                <w:sz w:val="26"/>
                <w:szCs w:val="26"/>
              </w:rPr>
            </w:pPr>
            <w:r w:rsidRPr="001D51D4">
              <w:rPr>
                <w:rFonts w:asciiTheme="minorHAnsi" w:eastAsia="Calibri" w:hAnsiTheme="minorHAnsi" w:cstheme="minorHAnsi"/>
                <w:sz w:val="26"/>
                <w:szCs w:val="26"/>
              </w:rPr>
              <w:t>62,99%</w:t>
            </w:r>
          </w:p>
        </w:tc>
      </w:tr>
    </w:tbl>
    <w:p w14:paraId="66E43219" w14:textId="6AC4B8A6"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Suplimentar faţă de concursurile menţionate, personalul din cadrul C</w:t>
      </w:r>
      <w:r w:rsidR="00C8609A">
        <w:rPr>
          <w:rFonts w:asciiTheme="minorHAnsi" w:eastAsia="Calibri" w:hAnsiTheme="minorHAnsi" w:cstheme="minorHAnsi"/>
          <w:sz w:val="26"/>
          <w:szCs w:val="26"/>
        </w:rPr>
        <w:t>.</w:t>
      </w:r>
      <w:r w:rsidRPr="001D51D4">
        <w:rPr>
          <w:rFonts w:asciiTheme="minorHAnsi" w:eastAsia="Calibri" w:hAnsiTheme="minorHAnsi" w:cstheme="minorHAnsi"/>
          <w:sz w:val="26"/>
          <w:szCs w:val="26"/>
        </w:rPr>
        <w:t>P</w:t>
      </w:r>
      <w:r w:rsidR="00C8609A">
        <w:rPr>
          <w:rFonts w:asciiTheme="minorHAnsi" w:eastAsia="Calibri" w:hAnsiTheme="minorHAnsi" w:cstheme="minorHAnsi"/>
          <w:sz w:val="26"/>
          <w:szCs w:val="26"/>
        </w:rPr>
        <w:t>.</w:t>
      </w:r>
      <w:r w:rsidRPr="001D51D4">
        <w:rPr>
          <w:rFonts w:asciiTheme="minorHAnsi" w:eastAsia="Calibri" w:hAnsiTheme="minorHAnsi" w:cstheme="minorHAnsi"/>
          <w:sz w:val="26"/>
          <w:szCs w:val="26"/>
        </w:rPr>
        <w:t>P</w:t>
      </w:r>
      <w:r w:rsidR="00C8609A">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a fost desemnat de conducerea Consiliului, respectiv I</w:t>
      </w:r>
      <w:r w:rsidR="00C8609A">
        <w:rPr>
          <w:rFonts w:asciiTheme="minorHAnsi" w:eastAsia="Calibri" w:hAnsiTheme="minorHAnsi" w:cstheme="minorHAnsi"/>
          <w:sz w:val="26"/>
          <w:szCs w:val="26"/>
        </w:rPr>
        <w:t>.</w:t>
      </w:r>
      <w:r w:rsidRPr="001D51D4">
        <w:rPr>
          <w:rFonts w:asciiTheme="minorHAnsi" w:eastAsia="Calibri" w:hAnsiTheme="minorHAnsi" w:cstheme="minorHAnsi"/>
          <w:sz w:val="26"/>
          <w:szCs w:val="26"/>
        </w:rPr>
        <w:t>C</w:t>
      </w:r>
      <w:r w:rsidR="00C8609A">
        <w:rPr>
          <w:rFonts w:asciiTheme="minorHAnsi" w:eastAsia="Calibri" w:hAnsiTheme="minorHAnsi" w:cstheme="minorHAnsi"/>
          <w:sz w:val="26"/>
          <w:szCs w:val="26"/>
        </w:rPr>
        <w:t>.</w:t>
      </w:r>
      <w:r w:rsidRPr="001D51D4">
        <w:rPr>
          <w:rFonts w:asciiTheme="minorHAnsi" w:eastAsia="Calibri" w:hAnsiTheme="minorHAnsi" w:cstheme="minorHAnsi"/>
          <w:sz w:val="26"/>
          <w:szCs w:val="26"/>
        </w:rPr>
        <w:t>C</w:t>
      </w:r>
      <w:r w:rsidR="00C8609A">
        <w:rPr>
          <w:rFonts w:asciiTheme="minorHAnsi" w:eastAsia="Calibri" w:hAnsiTheme="minorHAnsi" w:cstheme="minorHAnsi"/>
          <w:sz w:val="26"/>
          <w:szCs w:val="26"/>
        </w:rPr>
        <w:t>.</w:t>
      </w:r>
      <w:r w:rsidRPr="001D51D4">
        <w:rPr>
          <w:rFonts w:asciiTheme="minorHAnsi" w:eastAsia="Calibri" w:hAnsiTheme="minorHAnsi" w:cstheme="minorHAnsi"/>
          <w:sz w:val="26"/>
          <w:szCs w:val="26"/>
        </w:rPr>
        <w:t>J</w:t>
      </w:r>
      <w:r w:rsidR="00C8609A">
        <w:rPr>
          <w:rFonts w:asciiTheme="minorHAnsi" w:eastAsia="Calibri" w:hAnsiTheme="minorHAnsi" w:cstheme="minorHAnsi"/>
          <w:sz w:val="26"/>
          <w:szCs w:val="26"/>
        </w:rPr>
        <w:t>.</w:t>
      </w:r>
      <w:r w:rsidR="001E2740">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în calitate de membru în comisia de interviu/testare psihologică din cadrul </w:t>
      </w:r>
      <w:bookmarkStart w:id="186" w:name="_Hlk150193727"/>
      <w:r w:rsidRPr="001D51D4">
        <w:rPr>
          <w:rFonts w:asciiTheme="minorHAnsi" w:eastAsia="Calibri" w:hAnsiTheme="minorHAnsi" w:cstheme="minorHAnsi"/>
          <w:sz w:val="26"/>
          <w:szCs w:val="26"/>
        </w:rPr>
        <w:t>concursului de promovare în funcţia de judecător la Înalta Curte de Casaţie şi Justiţie, sesiunea noiembrie 2023 - martie 202</w:t>
      </w:r>
      <w:bookmarkEnd w:id="186"/>
      <w:r w:rsidRPr="001D51D4">
        <w:rPr>
          <w:rFonts w:asciiTheme="minorHAnsi" w:eastAsia="Calibri" w:hAnsiTheme="minorHAnsi" w:cstheme="minorHAnsi"/>
          <w:sz w:val="26"/>
          <w:szCs w:val="26"/>
        </w:rPr>
        <w:t xml:space="preserve">4, concursului pentru numirea în funcția de inspector judiciar în cadrul Direcției de inspecție pentru judecători a Inspecției Judiciare, sesiunea februarie - iulie 2024, </w:t>
      </w:r>
      <w:bookmarkStart w:id="187" w:name="_Hlk150193908"/>
      <w:r w:rsidRPr="001D51D4">
        <w:rPr>
          <w:rFonts w:asciiTheme="minorHAnsi" w:eastAsia="Calibri" w:hAnsiTheme="minorHAnsi" w:cstheme="minorHAnsi"/>
          <w:sz w:val="26"/>
          <w:szCs w:val="26"/>
        </w:rPr>
        <w:t xml:space="preserve">procedurii pentru selecţia procurorilor de rang înalt în vederea efectuării de către Ministrul Justiţiei a propunerilor de numire în funcţia de conducere vacantă de </w:t>
      </w:r>
      <w:bookmarkEnd w:id="187"/>
      <w:r w:rsidRPr="001D51D4">
        <w:rPr>
          <w:rFonts w:asciiTheme="minorHAnsi" w:eastAsia="Calibri" w:hAnsiTheme="minorHAnsi" w:cstheme="minorHAnsi"/>
          <w:sz w:val="26"/>
          <w:szCs w:val="26"/>
        </w:rPr>
        <w:t>prim adjunct al procurorului general al Parchetului de pe lângă Înalta Curte de Casaţie şi Justiţie, concursului pentru ocuparea posturilor vacante de magistrat – asistent la I</w:t>
      </w:r>
      <w:r w:rsidR="001B78BF">
        <w:rPr>
          <w:rFonts w:asciiTheme="minorHAnsi" w:eastAsia="Calibri" w:hAnsiTheme="minorHAnsi" w:cstheme="minorHAnsi"/>
          <w:sz w:val="26"/>
          <w:szCs w:val="26"/>
        </w:rPr>
        <w:t>.</w:t>
      </w:r>
      <w:r w:rsidRPr="001D51D4">
        <w:rPr>
          <w:rFonts w:asciiTheme="minorHAnsi" w:eastAsia="Calibri" w:hAnsiTheme="minorHAnsi" w:cstheme="minorHAnsi"/>
          <w:sz w:val="26"/>
          <w:szCs w:val="26"/>
        </w:rPr>
        <w:t>C</w:t>
      </w:r>
      <w:r w:rsidR="001B78BF">
        <w:rPr>
          <w:rFonts w:asciiTheme="minorHAnsi" w:eastAsia="Calibri" w:hAnsiTheme="minorHAnsi" w:cstheme="minorHAnsi"/>
          <w:sz w:val="26"/>
          <w:szCs w:val="26"/>
        </w:rPr>
        <w:t>.</w:t>
      </w:r>
      <w:r w:rsidRPr="001D51D4">
        <w:rPr>
          <w:rFonts w:asciiTheme="minorHAnsi" w:eastAsia="Calibri" w:hAnsiTheme="minorHAnsi" w:cstheme="minorHAnsi"/>
          <w:sz w:val="26"/>
          <w:szCs w:val="26"/>
        </w:rPr>
        <w:t>C</w:t>
      </w:r>
      <w:r w:rsidR="001B78BF">
        <w:rPr>
          <w:rFonts w:asciiTheme="minorHAnsi" w:eastAsia="Calibri" w:hAnsiTheme="minorHAnsi" w:cstheme="minorHAnsi"/>
          <w:sz w:val="26"/>
          <w:szCs w:val="26"/>
        </w:rPr>
        <w:t>.</w:t>
      </w:r>
      <w:r w:rsidRPr="001D51D4">
        <w:rPr>
          <w:rFonts w:asciiTheme="minorHAnsi" w:eastAsia="Calibri" w:hAnsiTheme="minorHAnsi" w:cstheme="minorHAnsi"/>
          <w:sz w:val="26"/>
          <w:szCs w:val="26"/>
        </w:rPr>
        <w:t>J</w:t>
      </w:r>
      <w:r w:rsidR="001B78BF">
        <w:rPr>
          <w:rFonts w:asciiTheme="minorHAnsi" w:eastAsia="Calibri" w:hAnsiTheme="minorHAnsi" w:cstheme="minorHAnsi"/>
          <w:sz w:val="26"/>
          <w:szCs w:val="26"/>
        </w:rPr>
        <w:t>.</w:t>
      </w:r>
      <w:r w:rsidRPr="001D51D4">
        <w:rPr>
          <w:rFonts w:asciiTheme="minorHAnsi" w:eastAsia="Calibri" w:hAnsiTheme="minorHAnsi" w:cstheme="minorHAnsi"/>
          <w:sz w:val="26"/>
          <w:szCs w:val="26"/>
        </w:rPr>
        <w:t>, sesiunea decembrie 2023 – aprilie 2024</w:t>
      </w:r>
      <w:r w:rsidR="009B3EE0">
        <w:rPr>
          <w:rFonts w:asciiTheme="minorHAnsi" w:eastAsia="Calibri" w:hAnsiTheme="minorHAnsi" w:cstheme="minorHAnsi"/>
          <w:sz w:val="26"/>
          <w:szCs w:val="26"/>
        </w:rPr>
        <w:t xml:space="preserve"> și </w:t>
      </w:r>
      <w:r w:rsidRPr="001D51D4">
        <w:rPr>
          <w:rFonts w:asciiTheme="minorHAnsi" w:eastAsia="Calibri" w:hAnsiTheme="minorHAnsi" w:cstheme="minorHAnsi"/>
          <w:sz w:val="26"/>
          <w:szCs w:val="26"/>
        </w:rPr>
        <w:t>concursului pentru ocuparea unui post de asistent al judecătorului la Tribunalul Vâlcea.</w:t>
      </w:r>
    </w:p>
    <w:p w14:paraId="5B62D966" w14:textId="3B89E28D"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Raportat la numărul total de candidați examinați în cursul anului 2024, volumul de activitate al C</w:t>
      </w:r>
      <w:r w:rsidR="008B2FBD">
        <w:rPr>
          <w:rFonts w:asciiTheme="minorHAnsi" w:eastAsia="Calibri" w:hAnsiTheme="minorHAnsi" w:cstheme="minorHAnsi"/>
          <w:sz w:val="26"/>
          <w:szCs w:val="26"/>
        </w:rPr>
        <w:t>.</w:t>
      </w:r>
      <w:r w:rsidRPr="001D51D4">
        <w:rPr>
          <w:rFonts w:asciiTheme="minorHAnsi" w:eastAsia="Calibri" w:hAnsiTheme="minorHAnsi" w:cstheme="minorHAnsi"/>
          <w:sz w:val="26"/>
          <w:szCs w:val="26"/>
        </w:rPr>
        <w:t>P</w:t>
      </w:r>
      <w:r w:rsidR="008B2FBD">
        <w:rPr>
          <w:rFonts w:asciiTheme="minorHAnsi" w:eastAsia="Calibri" w:hAnsiTheme="minorHAnsi" w:cstheme="minorHAnsi"/>
          <w:sz w:val="26"/>
          <w:szCs w:val="26"/>
        </w:rPr>
        <w:t>.</w:t>
      </w:r>
      <w:r w:rsidRPr="001D51D4">
        <w:rPr>
          <w:rFonts w:asciiTheme="minorHAnsi" w:eastAsia="Calibri" w:hAnsiTheme="minorHAnsi" w:cstheme="minorHAnsi"/>
          <w:sz w:val="26"/>
          <w:szCs w:val="26"/>
        </w:rPr>
        <w:t>P</w:t>
      </w:r>
      <w:r w:rsidR="008B2FBD">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a înregistrat o creștere de 50,06%, comparativ cu anul 2023.</w:t>
      </w:r>
    </w:p>
    <w:p w14:paraId="3061A7F1" w14:textId="4E2CCEA9" w:rsidR="001D51D4" w:rsidRPr="001D51D4" w:rsidRDefault="001D51D4" w:rsidP="00E45208">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 xml:space="preserve">În contextul publicării în Monitorul Oficial </w:t>
      </w:r>
      <w:r w:rsidR="009B3EE0">
        <w:rPr>
          <w:rFonts w:asciiTheme="minorHAnsi" w:eastAsia="Calibri" w:hAnsiTheme="minorHAnsi" w:cstheme="minorHAnsi"/>
          <w:sz w:val="26"/>
          <w:szCs w:val="26"/>
        </w:rPr>
        <w:t xml:space="preserve">al României </w:t>
      </w:r>
      <w:r w:rsidRPr="001D51D4">
        <w:rPr>
          <w:rFonts w:asciiTheme="minorHAnsi" w:eastAsia="Calibri" w:hAnsiTheme="minorHAnsi" w:cstheme="minorHAnsi"/>
          <w:sz w:val="26"/>
          <w:szCs w:val="26"/>
        </w:rPr>
        <w:t>a noului Statut al profesiei de grefier, adoptat prin Legea nr. 11/2024, Școala Națională de Grefieri a solicitat C</w:t>
      </w:r>
      <w:r w:rsidR="00D81C3A">
        <w:rPr>
          <w:rFonts w:asciiTheme="minorHAnsi" w:eastAsia="Calibri" w:hAnsiTheme="minorHAnsi" w:cstheme="minorHAnsi"/>
          <w:sz w:val="26"/>
          <w:szCs w:val="26"/>
        </w:rPr>
        <w:t>.</w:t>
      </w:r>
      <w:r w:rsidRPr="001D51D4">
        <w:rPr>
          <w:rFonts w:asciiTheme="minorHAnsi" w:eastAsia="Calibri" w:hAnsiTheme="minorHAnsi" w:cstheme="minorHAnsi"/>
          <w:sz w:val="26"/>
          <w:szCs w:val="26"/>
        </w:rPr>
        <w:t>P</w:t>
      </w:r>
      <w:r w:rsidR="00D81C3A">
        <w:rPr>
          <w:rFonts w:asciiTheme="minorHAnsi" w:eastAsia="Calibri" w:hAnsiTheme="minorHAnsi" w:cstheme="minorHAnsi"/>
          <w:sz w:val="26"/>
          <w:szCs w:val="26"/>
        </w:rPr>
        <w:t>.</w:t>
      </w:r>
      <w:r w:rsidRPr="001D51D4">
        <w:rPr>
          <w:rFonts w:asciiTheme="minorHAnsi" w:eastAsia="Calibri" w:hAnsiTheme="minorHAnsi" w:cstheme="minorHAnsi"/>
          <w:sz w:val="26"/>
          <w:szCs w:val="26"/>
        </w:rPr>
        <w:t>P</w:t>
      </w:r>
      <w:r w:rsidR="00D81C3A">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sprijinul în procesul de elaborare a metodologiilor privind testările psihologice, introduse în procesul de recrutare a grefierilor și a celorlalte categorii de personal care ocupă funcţii de specialitate în cadrul instanţelor judecătoreşti și al parchetelor de pe lângă acestea.</w:t>
      </w:r>
    </w:p>
    <w:p w14:paraId="2D748B50" w14:textId="2DA24FAD"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În concret, metodologiile pentru elaborarea cărora a fost solicitat sprijinul, conform dispozițiilor din noul Statut, sunt următoarele:</w:t>
      </w:r>
    </w:p>
    <w:p w14:paraId="6B114FD4" w14:textId="37B5FD3B" w:rsidR="001D51D4" w:rsidRPr="00E45208"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 Metodologia privind organizarea și desfășurarea testării psihologice pentru recrutarea grefierilor judiciari</w:t>
      </w:r>
      <w:r w:rsidR="007604EB" w:rsidRPr="00E45208">
        <w:rPr>
          <w:rFonts w:asciiTheme="minorHAnsi" w:eastAsia="Calibri" w:hAnsiTheme="minorHAnsi" w:cstheme="minorHAnsi"/>
          <w:sz w:val="26"/>
          <w:szCs w:val="26"/>
        </w:rPr>
        <w:t>;</w:t>
      </w:r>
    </w:p>
    <w:p w14:paraId="12307B11" w14:textId="57B03BED"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lastRenderedPageBreak/>
        <w:t>- Metodologia privind organizarea și desfășurarea testării psihologice pentru recrutarea grefierilor de ședință și a grefierilor principali</w:t>
      </w:r>
      <w:r w:rsidR="007604EB">
        <w:rPr>
          <w:rFonts w:asciiTheme="minorHAnsi" w:eastAsia="Calibri" w:hAnsiTheme="minorHAnsi" w:cstheme="minorHAnsi"/>
          <w:sz w:val="26"/>
          <w:szCs w:val="26"/>
        </w:rPr>
        <w:t>;</w:t>
      </w:r>
    </w:p>
    <w:p w14:paraId="68EE092D" w14:textId="4523BEDC"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 Metodologia privind organizarea și desfășurarea testării psihologice pentru recrutarea grefierilor, a specialiștilor IT, a specialiștilor criminaliști, a tehnicienilor criminaliști, a agenților procedurali și a șoferilor.</w:t>
      </w:r>
    </w:p>
    <w:p w14:paraId="0EE2E090" w14:textId="5396D04D"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Baza științifică a selecției psihologice a personalului o constituie asocierea metodelor de măsurare a diferențelor individuale prin testarea psihologică a candidaților cu stabilirea solicitărilor profesionale prin metode de analiza muncii.</w:t>
      </w:r>
    </w:p>
    <w:p w14:paraId="30CDA64A" w14:textId="11991984"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Astfel</w:t>
      </w:r>
      <w:r w:rsidR="006D3F41">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pentru cunoașterea solicitărilor profesionale specifice ale grefierilor și ale celorlalte categorii de personal care ocupă funcţii de specialitate în cadrul instanţelor judecătoreşti și al parchetelor de pe lângă acestea</w:t>
      </w:r>
      <w:r w:rsidR="009534B5">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a fost identificată necesitatea realizării unui  sondaj cantitativ și calitativ prin metode specifice de analiza muncii prin care să fie colectate informații referitoare la:</w:t>
      </w:r>
    </w:p>
    <w:p w14:paraId="5C7144A4" w14:textId="5B82F981"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 aptitudinile/abilitățile de bază care prezintă valoare predictivă din perspectiva capacității persoanei de a performa în realizarea sarcinilor, respectiv a potențialului de a învăța/dezvolta noi deprinderi care să asigure adaptarea optimă la solicitările specifice profesiei;</w:t>
      </w:r>
    </w:p>
    <w:p w14:paraId="006326AB" w14:textId="6047C146"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 deprinderile care nu pot fi îmbunătățite/dezvoltate ca urmare a formării inițiale și continue, precum și a acelor aptitudini/abilități de bază a căror prevalență poate interfera negativ cu performanța în activitate, respectiv cu asigurarea unui climat optim/constructiv la nivelul colectivelor de lucru.</w:t>
      </w:r>
    </w:p>
    <w:p w14:paraId="76CF0E7D" w14:textId="129E5C4D"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Referitor la rezultatele și concluziile studiilor de analiza muncii efectuate pentru cunoașterea profesiilor, acestea se concretizează într-o serie de documente sintetice, mai dezvoltate, psihoprofesiograma/profilul psiho-profesional, sau mai restrânse, psihograma.</w:t>
      </w:r>
    </w:p>
    <w:p w14:paraId="006BBD3D" w14:textId="6062679C"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Având în vedere că sondajul cantitativ și calitativ</w:t>
      </w:r>
      <w:r w:rsidR="00E45208">
        <w:rPr>
          <w:rFonts w:asciiTheme="minorHAnsi" w:eastAsia="Calibri" w:hAnsiTheme="minorHAnsi" w:cstheme="minorHAnsi"/>
          <w:sz w:val="26"/>
          <w:szCs w:val="26"/>
        </w:rPr>
        <w:t xml:space="preserve"> </w:t>
      </w:r>
      <w:r w:rsidRPr="001D51D4">
        <w:rPr>
          <w:rFonts w:asciiTheme="minorHAnsi" w:eastAsia="Calibri" w:hAnsiTheme="minorHAnsi" w:cstheme="minorHAnsi"/>
          <w:sz w:val="26"/>
          <w:szCs w:val="26"/>
        </w:rPr>
        <w:t>de analiza muncii s-a realizat în scopul elaborării Metodologiilor privind organizarea și desfășurarea testării psihologice, utilizate în procedurile de selecție a grefierilor și ale celorlalte categorii de personal care ocupă funcţii de specialitate în cadrul instanţelor judecătoreşti și al parchetelor de pe lângă acestea, precum și timpul foarte scurt alocat pentru întregul demers, rezultatele și concluziile sondajului au fost concretizate într-o psihogramă, întocmită pentru fiecare funcție analizată, care cuprinde lista atributelor psihice, respectiv acele variabile criteriu, considerate obligatorii pentru practicarea profesiilor de grefier judiciar, grefier de ședință, grefier, specialist IT, agent procedural și șofer, la standarde de performanță.</w:t>
      </w:r>
    </w:p>
    <w:p w14:paraId="40477758" w14:textId="60F15C33"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Menționăm faptul că</w:t>
      </w:r>
      <w:r w:rsidR="008D0C50">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în procesul de proiectare al studiului</w:t>
      </w:r>
      <w:r w:rsidR="008D0C50">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au fost solicitate date statistice, raportate la schemele de personal actuale de la nivelul instanţelor judecătoreşti și al parchetelor de pe lângă acestea privind:</w:t>
      </w:r>
    </w:p>
    <w:p w14:paraId="10BA4EED" w14:textId="7C324BD6" w:rsidR="001D51D4" w:rsidRPr="0088043D" w:rsidRDefault="001D51D4">
      <w:pPr>
        <w:pStyle w:val="ListParagraph"/>
        <w:numPr>
          <w:ilvl w:val="0"/>
          <w:numId w:val="51"/>
        </w:numPr>
        <w:tabs>
          <w:tab w:val="left" w:pos="851"/>
          <w:tab w:val="left" w:pos="3120"/>
        </w:tabs>
        <w:spacing w:line="276" w:lineRule="auto"/>
        <w:ind w:left="0" w:right="-2" w:firstLine="709"/>
        <w:jc w:val="both"/>
        <w:rPr>
          <w:rFonts w:asciiTheme="minorHAnsi" w:eastAsia="Calibri" w:hAnsiTheme="minorHAnsi" w:cstheme="minorHAnsi"/>
          <w:sz w:val="26"/>
          <w:szCs w:val="26"/>
        </w:rPr>
      </w:pPr>
      <w:r w:rsidRPr="0088043D">
        <w:rPr>
          <w:rFonts w:asciiTheme="minorHAnsi" w:eastAsia="Calibri" w:hAnsiTheme="minorHAnsi" w:cstheme="minorHAnsi"/>
          <w:sz w:val="26"/>
          <w:szCs w:val="26"/>
        </w:rPr>
        <w:t xml:space="preserve">numărul total de </w:t>
      </w:r>
      <w:r w:rsidR="00FF36D1" w:rsidRPr="0088043D">
        <w:rPr>
          <w:rFonts w:asciiTheme="minorHAnsi" w:eastAsia="Calibri" w:hAnsiTheme="minorHAnsi" w:cstheme="minorHAnsi"/>
          <w:sz w:val="26"/>
          <w:szCs w:val="26"/>
        </w:rPr>
        <w:t>grefieri</w:t>
      </w:r>
      <w:r w:rsidRPr="0088043D">
        <w:rPr>
          <w:rFonts w:asciiTheme="minorHAnsi" w:eastAsia="Calibri" w:hAnsiTheme="minorHAnsi" w:cstheme="minorHAnsi"/>
          <w:sz w:val="26"/>
          <w:szCs w:val="26"/>
        </w:rPr>
        <w:t xml:space="preserve"> (alții decât grefierii statisticieni, documentarişti, arhivari și registratori) din cadrul instanțe</w:t>
      </w:r>
      <w:r w:rsidR="005353D2" w:rsidRPr="0088043D">
        <w:rPr>
          <w:rFonts w:asciiTheme="minorHAnsi" w:eastAsia="Calibri" w:hAnsiTheme="minorHAnsi" w:cstheme="minorHAnsi"/>
          <w:sz w:val="26"/>
          <w:szCs w:val="26"/>
        </w:rPr>
        <w:t xml:space="preserve">lor, </w:t>
      </w:r>
      <w:r w:rsidRPr="0088043D">
        <w:rPr>
          <w:rFonts w:asciiTheme="minorHAnsi" w:eastAsia="Calibri" w:hAnsiTheme="minorHAnsi" w:cstheme="minorHAnsi"/>
          <w:sz w:val="26"/>
          <w:szCs w:val="26"/>
        </w:rPr>
        <w:t>indiferent de nivelul studiilor;</w:t>
      </w:r>
    </w:p>
    <w:p w14:paraId="5672A4E0" w14:textId="46EE42D7" w:rsidR="001D51D4" w:rsidRPr="0088043D" w:rsidRDefault="001D51D4">
      <w:pPr>
        <w:pStyle w:val="ListParagraph"/>
        <w:numPr>
          <w:ilvl w:val="0"/>
          <w:numId w:val="51"/>
        </w:numPr>
        <w:tabs>
          <w:tab w:val="left" w:pos="851"/>
          <w:tab w:val="left" w:pos="3120"/>
        </w:tabs>
        <w:spacing w:line="276" w:lineRule="auto"/>
        <w:ind w:left="0" w:right="-2" w:firstLine="709"/>
        <w:jc w:val="both"/>
        <w:rPr>
          <w:rFonts w:asciiTheme="minorHAnsi" w:eastAsia="Calibri" w:hAnsiTheme="minorHAnsi" w:cstheme="minorHAnsi"/>
          <w:sz w:val="26"/>
          <w:szCs w:val="26"/>
        </w:rPr>
      </w:pPr>
      <w:r w:rsidRPr="0088043D">
        <w:rPr>
          <w:rFonts w:asciiTheme="minorHAnsi" w:eastAsia="Calibri" w:hAnsiTheme="minorHAnsi" w:cstheme="minorHAnsi"/>
          <w:sz w:val="26"/>
          <w:szCs w:val="26"/>
        </w:rPr>
        <w:t xml:space="preserve">numărul total de </w:t>
      </w:r>
      <w:r w:rsidR="00FF36D1" w:rsidRPr="0088043D">
        <w:rPr>
          <w:rFonts w:asciiTheme="minorHAnsi" w:eastAsia="Calibri" w:hAnsiTheme="minorHAnsi" w:cstheme="minorHAnsi"/>
          <w:sz w:val="26"/>
          <w:szCs w:val="26"/>
        </w:rPr>
        <w:t xml:space="preserve">grefieri statisticieni, documentarişti, arhivari și registratori </w:t>
      </w:r>
      <w:r w:rsidRPr="0088043D">
        <w:rPr>
          <w:rFonts w:asciiTheme="minorHAnsi" w:eastAsia="Calibri" w:hAnsiTheme="minorHAnsi" w:cstheme="minorHAnsi"/>
          <w:sz w:val="26"/>
          <w:szCs w:val="26"/>
        </w:rPr>
        <w:t>din cadrul instanței, indiferent de nivelul studiilor;</w:t>
      </w:r>
    </w:p>
    <w:p w14:paraId="072C09DC" w14:textId="1FBED01D" w:rsidR="001D51D4" w:rsidRPr="0088043D" w:rsidRDefault="001D51D4">
      <w:pPr>
        <w:pStyle w:val="ListParagraph"/>
        <w:numPr>
          <w:ilvl w:val="0"/>
          <w:numId w:val="51"/>
        </w:numPr>
        <w:tabs>
          <w:tab w:val="left" w:pos="851"/>
          <w:tab w:val="left" w:pos="3120"/>
        </w:tabs>
        <w:spacing w:line="276" w:lineRule="auto"/>
        <w:ind w:left="0" w:right="-2" w:firstLine="709"/>
        <w:jc w:val="both"/>
        <w:rPr>
          <w:rFonts w:asciiTheme="minorHAnsi" w:eastAsia="Calibri" w:hAnsiTheme="minorHAnsi" w:cstheme="minorHAnsi"/>
          <w:sz w:val="26"/>
          <w:szCs w:val="26"/>
        </w:rPr>
      </w:pPr>
      <w:r w:rsidRPr="0088043D">
        <w:rPr>
          <w:rFonts w:asciiTheme="minorHAnsi" w:eastAsia="Calibri" w:hAnsiTheme="minorHAnsi" w:cstheme="minorHAnsi"/>
          <w:sz w:val="26"/>
          <w:szCs w:val="26"/>
        </w:rPr>
        <w:t xml:space="preserve">numărul total de </w:t>
      </w:r>
      <w:r w:rsidR="00FF36D1" w:rsidRPr="0088043D">
        <w:rPr>
          <w:rFonts w:asciiTheme="minorHAnsi" w:eastAsia="Calibri" w:hAnsiTheme="minorHAnsi" w:cstheme="minorHAnsi"/>
          <w:sz w:val="26"/>
          <w:szCs w:val="26"/>
        </w:rPr>
        <w:t>specialiști</w:t>
      </w:r>
      <w:r w:rsidRPr="0088043D">
        <w:rPr>
          <w:rFonts w:asciiTheme="minorHAnsi" w:eastAsia="Calibri" w:hAnsiTheme="minorHAnsi" w:cstheme="minorHAnsi"/>
          <w:sz w:val="26"/>
          <w:szCs w:val="26"/>
        </w:rPr>
        <w:t xml:space="preserve"> IT din cadrul instanței;</w:t>
      </w:r>
    </w:p>
    <w:p w14:paraId="3F82E04A" w14:textId="684A88C2" w:rsidR="001D51D4" w:rsidRPr="0088043D" w:rsidRDefault="001D51D4">
      <w:pPr>
        <w:pStyle w:val="ListParagraph"/>
        <w:numPr>
          <w:ilvl w:val="0"/>
          <w:numId w:val="51"/>
        </w:numPr>
        <w:tabs>
          <w:tab w:val="left" w:pos="851"/>
          <w:tab w:val="left" w:pos="3120"/>
        </w:tabs>
        <w:spacing w:line="276" w:lineRule="auto"/>
        <w:ind w:left="0" w:right="-2" w:firstLine="709"/>
        <w:jc w:val="both"/>
        <w:rPr>
          <w:rFonts w:asciiTheme="minorHAnsi" w:eastAsia="Calibri" w:hAnsiTheme="minorHAnsi" w:cstheme="minorHAnsi"/>
          <w:sz w:val="26"/>
          <w:szCs w:val="26"/>
        </w:rPr>
      </w:pPr>
      <w:r w:rsidRPr="0088043D">
        <w:rPr>
          <w:rFonts w:asciiTheme="minorHAnsi" w:eastAsia="Calibri" w:hAnsiTheme="minorHAnsi" w:cstheme="minorHAnsi"/>
          <w:sz w:val="26"/>
          <w:szCs w:val="26"/>
        </w:rPr>
        <w:t xml:space="preserve">numărul total de </w:t>
      </w:r>
      <w:r w:rsidR="001A4D1C" w:rsidRPr="0088043D">
        <w:rPr>
          <w:rFonts w:asciiTheme="minorHAnsi" w:eastAsia="Calibri" w:hAnsiTheme="minorHAnsi" w:cstheme="minorHAnsi"/>
          <w:sz w:val="26"/>
          <w:szCs w:val="26"/>
        </w:rPr>
        <w:t xml:space="preserve">agenți procedurali </w:t>
      </w:r>
      <w:r w:rsidRPr="0088043D">
        <w:rPr>
          <w:rFonts w:asciiTheme="minorHAnsi" w:eastAsia="Calibri" w:hAnsiTheme="minorHAnsi" w:cstheme="minorHAnsi"/>
          <w:sz w:val="26"/>
          <w:szCs w:val="26"/>
        </w:rPr>
        <w:t xml:space="preserve">și de </w:t>
      </w:r>
      <w:r w:rsidR="001A4D1C" w:rsidRPr="0088043D">
        <w:rPr>
          <w:rFonts w:asciiTheme="minorHAnsi" w:eastAsia="Calibri" w:hAnsiTheme="minorHAnsi" w:cstheme="minorHAnsi"/>
          <w:sz w:val="26"/>
          <w:szCs w:val="26"/>
        </w:rPr>
        <w:t xml:space="preserve">aprozi </w:t>
      </w:r>
      <w:r w:rsidRPr="0088043D">
        <w:rPr>
          <w:rFonts w:asciiTheme="minorHAnsi" w:eastAsia="Calibri" w:hAnsiTheme="minorHAnsi" w:cstheme="minorHAnsi"/>
          <w:sz w:val="26"/>
          <w:szCs w:val="26"/>
        </w:rPr>
        <w:t>din cadrul instanței;</w:t>
      </w:r>
    </w:p>
    <w:p w14:paraId="1AE34689" w14:textId="5B636536" w:rsidR="001D51D4" w:rsidRPr="0088043D" w:rsidRDefault="001D51D4">
      <w:pPr>
        <w:pStyle w:val="ListParagraph"/>
        <w:numPr>
          <w:ilvl w:val="0"/>
          <w:numId w:val="51"/>
        </w:numPr>
        <w:tabs>
          <w:tab w:val="left" w:pos="851"/>
          <w:tab w:val="left" w:pos="3120"/>
        </w:tabs>
        <w:spacing w:line="276" w:lineRule="auto"/>
        <w:ind w:left="0" w:right="-2" w:firstLine="709"/>
        <w:jc w:val="both"/>
        <w:rPr>
          <w:rFonts w:asciiTheme="minorHAnsi" w:eastAsia="Calibri" w:hAnsiTheme="minorHAnsi" w:cstheme="minorHAnsi"/>
          <w:sz w:val="26"/>
          <w:szCs w:val="26"/>
        </w:rPr>
      </w:pPr>
      <w:r w:rsidRPr="0088043D">
        <w:rPr>
          <w:rFonts w:asciiTheme="minorHAnsi" w:eastAsia="Calibri" w:hAnsiTheme="minorHAnsi" w:cstheme="minorHAnsi"/>
          <w:sz w:val="26"/>
          <w:szCs w:val="26"/>
        </w:rPr>
        <w:t xml:space="preserve">numărul total de </w:t>
      </w:r>
      <w:r w:rsidR="001A4D1C" w:rsidRPr="0088043D">
        <w:rPr>
          <w:rFonts w:asciiTheme="minorHAnsi" w:eastAsia="Calibri" w:hAnsiTheme="minorHAnsi" w:cstheme="minorHAnsi"/>
          <w:sz w:val="26"/>
          <w:szCs w:val="26"/>
        </w:rPr>
        <w:t>șoferi</w:t>
      </w:r>
      <w:r w:rsidRPr="0088043D">
        <w:rPr>
          <w:rFonts w:asciiTheme="minorHAnsi" w:eastAsia="Calibri" w:hAnsiTheme="minorHAnsi" w:cstheme="minorHAnsi"/>
          <w:sz w:val="26"/>
          <w:szCs w:val="26"/>
        </w:rPr>
        <w:t xml:space="preserve"> din cadrul instanței.</w:t>
      </w:r>
    </w:p>
    <w:p w14:paraId="1C15AC78" w14:textId="6B374444"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lastRenderedPageBreak/>
        <w:t>De asemenea, suplimentar conducerea instanțelor și parchetelor de pe lângă acestea a fost solicitată să desemneze nominal 10% din persoanele care  au avut rezultate deosebite în funcțiile de grefier judiciar, grefier de ședință, grefier, specialist IT, agent procedural și șofer, pentru a participa în calitate de experți la sondajul cantitativ și calitativ în vederea identificării  solicitărilor profesionale specifice, respectiv a variabilelor criteriu, considerate obligatorii pentru practicarea profesiilor.</w:t>
      </w:r>
    </w:p>
    <w:p w14:paraId="06864200" w14:textId="54D1DF76"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Având în vedere faptul că funcția de grefier judiciar nu există la momentul acesta în statul de funcții și personal al instanțelor judecătorești, conducerea instanțelor a fost solicitată să desemneze  persoane care prezintă vocația ocupării acestor posturi la momentul intrării în vigoare a noilor dispoziții legale.</w:t>
      </w:r>
    </w:p>
    <w:p w14:paraId="679EBBA3" w14:textId="6527292B"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Datele comunicate</w:t>
      </w:r>
      <w:r w:rsidR="00E45208">
        <w:rPr>
          <w:rFonts w:asciiTheme="minorHAnsi" w:eastAsia="Calibri" w:hAnsiTheme="minorHAnsi" w:cstheme="minorHAnsi"/>
          <w:sz w:val="26"/>
          <w:szCs w:val="26"/>
        </w:rPr>
        <w:t xml:space="preserve"> </w:t>
      </w:r>
      <w:r w:rsidRPr="001D51D4">
        <w:rPr>
          <w:rFonts w:asciiTheme="minorHAnsi" w:eastAsia="Calibri" w:hAnsiTheme="minorHAnsi" w:cstheme="minorHAnsi"/>
          <w:sz w:val="26"/>
          <w:szCs w:val="26"/>
        </w:rPr>
        <w:t>au</w:t>
      </w:r>
      <w:r w:rsidR="00E45208">
        <w:rPr>
          <w:rFonts w:asciiTheme="minorHAnsi" w:eastAsia="Calibri" w:hAnsiTheme="minorHAnsi" w:cstheme="minorHAnsi"/>
          <w:sz w:val="26"/>
          <w:szCs w:val="26"/>
        </w:rPr>
        <w:t xml:space="preserve"> </w:t>
      </w:r>
      <w:r w:rsidRPr="001D51D4">
        <w:rPr>
          <w:rFonts w:asciiTheme="minorHAnsi" w:eastAsia="Calibri" w:hAnsiTheme="minorHAnsi" w:cstheme="minorHAnsi"/>
          <w:sz w:val="26"/>
          <w:szCs w:val="26"/>
        </w:rPr>
        <w:t>fost centralizate la nivelul Școlii Naționale de Grefieri.                        Pentru realizarea sondajului cantitativ și calitativ de analiza muncii a fost selectat un eșantion de 1395 de experți, reprezentând 16</w:t>
      </w:r>
      <w:r w:rsidR="00AA7483">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16% din totalul posturilor de grefier și a celorlalte categorii de personal care ocupă funcţii de specialitate în cadrul instanţelor judecătoreşti și al parchetelor de pe lângă acestea. </w:t>
      </w:r>
    </w:p>
    <w:p w14:paraId="4F913A8D" w14:textId="1BE20C91"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Având în vedere psihogramele generate ca urmare a centralizării rezultatelor la chestionarul de analiza muncii FJAS pentru fiecare funcție analizată,  precum și concluziile rezultate ca urmare a sondajului calitativ desfășurat la nivelul experților/psihologilor din sistemul judiciar, la nivelul C</w:t>
      </w:r>
      <w:r w:rsidR="00E05306">
        <w:rPr>
          <w:rFonts w:asciiTheme="minorHAnsi" w:eastAsia="Calibri" w:hAnsiTheme="minorHAnsi" w:cstheme="minorHAnsi"/>
          <w:sz w:val="26"/>
          <w:szCs w:val="26"/>
        </w:rPr>
        <w:t>.</w:t>
      </w:r>
      <w:r w:rsidRPr="001D51D4">
        <w:rPr>
          <w:rFonts w:asciiTheme="minorHAnsi" w:eastAsia="Calibri" w:hAnsiTheme="minorHAnsi" w:cstheme="minorHAnsi"/>
          <w:sz w:val="26"/>
          <w:szCs w:val="26"/>
        </w:rPr>
        <w:t>P</w:t>
      </w:r>
      <w:r w:rsidR="00E05306">
        <w:rPr>
          <w:rFonts w:asciiTheme="minorHAnsi" w:eastAsia="Calibri" w:hAnsiTheme="minorHAnsi" w:cstheme="minorHAnsi"/>
          <w:sz w:val="26"/>
          <w:szCs w:val="26"/>
        </w:rPr>
        <w:t>.</w:t>
      </w:r>
      <w:r w:rsidRPr="001D51D4">
        <w:rPr>
          <w:rFonts w:asciiTheme="minorHAnsi" w:eastAsia="Calibri" w:hAnsiTheme="minorHAnsi" w:cstheme="minorHAnsi"/>
          <w:sz w:val="26"/>
          <w:szCs w:val="26"/>
        </w:rPr>
        <w:t>P</w:t>
      </w:r>
      <w:r w:rsidR="00E05306">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au fost identificate criterii de evaluare psihologică corespunzătoare trunchiului comun, pentru fiecare post analizat.</w:t>
      </w:r>
    </w:p>
    <w:p w14:paraId="76B3254E" w14:textId="17A1449B" w:rsidR="001D51D4" w:rsidRPr="001D51D4" w:rsidRDefault="001D51D4" w:rsidP="00051F2D">
      <w:pPr>
        <w:tabs>
          <w:tab w:val="left" w:pos="3120"/>
        </w:tabs>
        <w:spacing w:line="276" w:lineRule="auto"/>
        <w:ind w:right="-2" w:firstLine="709"/>
        <w:jc w:val="both"/>
        <w:rPr>
          <w:rFonts w:asciiTheme="minorHAnsi" w:eastAsia="Calibri" w:hAnsiTheme="minorHAnsi" w:cstheme="minorHAnsi"/>
          <w:bCs/>
          <w:sz w:val="26"/>
          <w:szCs w:val="26"/>
        </w:rPr>
      </w:pPr>
      <w:r w:rsidRPr="001D51D4">
        <w:rPr>
          <w:rFonts w:asciiTheme="minorHAnsi" w:eastAsia="Calibri" w:hAnsiTheme="minorHAnsi" w:cstheme="minorHAnsi"/>
          <w:bCs/>
          <w:sz w:val="26"/>
          <w:szCs w:val="26"/>
        </w:rPr>
        <w:t>Suplimentar, menționăm faptul că</w:t>
      </w:r>
      <w:r w:rsidR="006E2BE0">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 xml:space="preserve"> la nivelul S</w:t>
      </w:r>
      <w:r w:rsidR="00E05306">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N</w:t>
      </w:r>
      <w:r w:rsidR="00E05306">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G</w:t>
      </w:r>
      <w:r w:rsidR="00E05306">
        <w:rPr>
          <w:rFonts w:asciiTheme="minorHAnsi" w:eastAsia="Calibri" w:hAnsiTheme="minorHAnsi" w:cstheme="minorHAnsi"/>
          <w:bCs/>
          <w:sz w:val="26"/>
          <w:szCs w:val="26"/>
        </w:rPr>
        <w:t>.</w:t>
      </w:r>
      <w:r w:rsidR="006E2BE0">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 xml:space="preserve"> activitatea de psihologie desfășurată de C</w:t>
      </w:r>
      <w:r w:rsidR="00051F2D">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P</w:t>
      </w:r>
      <w:r w:rsidR="00051F2D">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P</w:t>
      </w:r>
      <w:r w:rsidR="00051F2D">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 xml:space="preserve"> a presupus organizarea unei sesiuni cu tema</w:t>
      </w:r>
      <w:r w:rsidR="00051F2D">
        <w:rPr>
          <w:rFonts w:asciiTheme="minorHAnsi" w:eastAsia="Calibri" w:hAnsiTheme="minorHAnsi" w:cstheme="minorHAnsi"/>
          <w:bCs/>
          <w:sz w:val="26"/>
          <w:szCs w:val="26"/>
        </w:rPr>
        <w:t xml:space="preserve"> „</w:t>
      </w:r>
      <w:r w:rsidRPr="001D51D4">
        <w:rPr>
          <w:rFonts w:asciiTheme="minorHAnsi" w:eastAsia="Calibri" w:hAnsiTheme="minorHAnsi" w:cstheme="minorHAnsi"/>
          <w:bCs/>
          <w:sz w:val="26"/>
          <w:szCs w:val="26"/>
        </w:rPr>
        <w:t>Pregătirea psihologică și controlul stresului profesional pentru dezvoltarea rezilienței psihologice și adaptarea eficientă la solicitările profesiei de grefier</w:t>
      </w:r>
      <w:r w:rsidRPr="00E45208">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 precum și asigurarea serviciilor de asistență psihologică pe tot parcursul anului pentru personalul propriu, dar și pentru cursanții S</w:t>
      </w:r>
      <w:r w:rsidR="00051F2D">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N</w:t>
      </w:r>
      <w:r w:rsidR="00051F2D">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G</w:t>
      </w:r>
      <w:r w:rsidR="00051F2D">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w:t>
      </w:r>
    </w:p>
    <w:p w14:paraId="51AB060A" w14:textId="6A05628B" w:rsidR="001D51D4" w:rsidRPr="001D51D4" w:rsidRDefault="001D51D4" w:rsidP="001D51D4">
      <w:pPr>
        <w:tabs>
          <w:tab w:val="left" w:pos="3120"/>
        </w:tabs>
        <w:spacing w:line="276" w:lineRule="auto"/>
        <w:ind w:right="-2" w:firstLine="709"/>
        <w:jc w:val="both"/>
        <w:rPr>
          <w:rFonts w:asciiTheme="minorHAnsi" w:eastAsia="Calibri" w:hAnsiTheme="minorHAnsi" w:cstheme="minorHAnsi"/>
          <w:bCs/>
          <w:sz w:val="26"/>
          <w:szCs w:val="26"/>
        </w:rPr>
      </w:pPr>
      <w:r w:rsidRPr="001D51D4">
        <w:rPr>
          <w:rFonts w:asciiTheme="minorHAnsi" w:eastAsia="Calibri" w:hAnsiTheme="minorHAnsi" w:cstheme="minorHAnsi"/>
          <w:sz w:val="26"/>
          <w:szCs w:val="26"/>
        </w:rPr>
        <w:t>Referitor la atribuția C</w:t>
      </w:r>
      <w:r w:rsidR="00051F2D">
        <w:rPr>
          <w:rFonts w:asciiTheme="minorHAnsi" w:eastAsia="Calibri" w:hAnsiTheme="minorHAnsi" w:cstheme="minorHAnsi"/>
          <w:sz w:val="26"/>
          <w:szCs w:val="26"/>
        </w:rPr>
        <w:t>.</w:t>
      </w:r>
      <w:r w:rsidRPr="001D51D4">
        <w:rPr>
          <w:rFonts w:asciiTheme="minorHAnsi" w:eastAsia="Calibri" w:hAnsiTheme="minorHAnsi" w:cstheme="minorHAnsi"/>
          <w:sz w:val="26"/>
          <w:szCs w:val="26"/>
        </w:rPr>
        <w:t>P</w:t>
      </w:r>
      <w:r w:rsidR="00051F2D">
        <w:rPr>
          <w:rFonts w:asciiTheme="minorHAnsi" w:eastAsia="Calibri" w:hAnsiTheme="minorHAnsi" w:cstheme="minorHAnsi"/>
          <w:sz w:val="26"/>
          <w:szCs w:val="26"/>
        </w:rPr>
        <w:t>.</w:t>
      </w:r>
      <w:r w:rsidRPr="001D51D4">
        <w:rPr>
          <w:rFonts w:asciiTheme="minorHAnsi" w:eastAsia="Calibri" w:hAnsiTheme="minorHAnsi" w:cstheme="minorHAnsi"/>
          <w:sz w:val="26"/>
          <w:szCs w:val="26"/>
        </w:rPr>
        <w:t>P</w:t>
      </w:r>
      <w:r w:rsidR="00051F2D">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privind  organizarea  trimestrială a </w:t>
      </w:r>
      <w:bookmarkStart w:id="188" w:name="_Hlk150195572"/>
      <w:r w:rsidRPr="001D51D4">
        <w:rPr>
          <w:rFonts w:asciiTheme="minorHAnsi" w:eastAsia="Calibri" w:hAnsiTheme="minorHAnsi" w:cstheme="minorHAnsi"/>
          <w:sz w:val="26"/>
          <w:szCs w:val="26"/>
        </w:rPr>
        <w:t>sesiunilor de dezvoltare a abilităţilor psihologice</w:t>
      </w:r>
      <w:bookmarkEnd w:id="188"/>
      <w:r w:rsidRPr="001D51D4">
        <w:rPr>
          <w:rFonts w:asciiTheme="minorHAnsi" w:eastAsia="Calibri" w:hAnsiTheme="minorHAnsi" w:cstheme="minorHAnsi"/>
          <w:sz w:val="26"/>
          <w:szCs w:val="26"/>
        </w:rPr>
        <w:t xml:space="preserve"> specifice, în cursul anului 2024 au fost organizate 4 sesiuni la nivelul Consiliului și S</w:t>
      </w:r>
      <w:r w:rsidR="00051F2D">
        <w:rPr>
          <w:rFonts w:asciiTheme="minorHAnsi" w:eastAsia="Calibri" w:hAnsiTheme="minorHAnsi" w:cstheme="minorHAnsi"/>
          <w:sz w:val="26"/>
          <w:szCs w:val="26"/>
        </w:rPr>
        <w:t>.</w:t>
      </w:r>
      <w:r w:rsidRPr="001D51D4">
        <w:rPr>
          <w:rFonts w:asciiTheme="minorHAnsi" w:eastAsia="Calibri" w:hAnsiTheme="minorHAnsi" w:cstheme="minorHAnsi"/>
          <w:sz w:val="26"/>
          <w:szCs w:val="26"/>
        </w:rPr>
        <w:t>N</w:t>
      </w:r>
      <w:r w:rsidR="00051F2D">
        <w:rPr>
          <w:rFonts w:asciiTheme="minorHAnsi" w:eastAsia="Calibri" w:hAnsiTheme="minorHAnsi" w:cstheme="minorHAnsi"/>
          <w:sz w:val="26"/>
          <w:szCs w:val="26"/>
        </w:rPr>
        <w:t>.</w:t>
      </w:r>
      <w:r w:rsidRPr="001D51D4">
        <w:rPr>
          <w:rFonts w:asciiTheme="minorHAnsi" w:eastAsia="Calibri" w:hAnsiTheme="minorHAnsi" w:cstheme="minorHAnsi"/>
          <w:sz w:val="26"/>
          <w:szCs w:val="26"/>
        </w:rPr>
        <w:t>G</w:t>
      </w:r>
      <w:r w:rsidR="00051F2D">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w:t>
      </w:r>
      <w:r w:rsidRPr="001D51D4">
        <w:rPr>
          <w:rFonts w:asciiTheme="minorHAnsi" w:eastAsia="Calibri" w:hAnsiTheme="minorHAnsi" w:cstheme="minorHAnsi"/>
          <w:bCs/>
          <w:sz w:val="26"/>
          <w:szCs w:val="26"/>
        </w:rPr>
        <w:t>În cadrul ambelor instituții a fost prezentată tema „Amânarea repetat</w:t>
      </w:r>
      <w:r w:rsidR="0057578C">
        <w:rPr>
          <w:rFonts w:asciiTheme="minorHAnsi" w:eastAsia="Calibri" w:hAnsiTheme="minorHAnsi" w:cstheme="minorHAnsi"/>
          <w:bCs/>
          <w:sz w:val="26"/>
          <w:szCs w:val="26"/>
        </w:rPr>
        <w:t>ă</w:t>
      </w:r>
      <w:r w:rsidRPr="001D51D4">
        <w:rPr>
          <w:rFonts w:asciiTheme="minorHAnsi" w:eastAsia="Calibri" w:hAnsiTheme="minorHAnsi" w:cstheme="minorHAnsi"/>
          <w:bCs/>
          <w:sz w:val="26"/>
          <w:szCs w:val="26"/>
        </w:rPr>
        <w:t xml:space="preserve"> a sarcinilor (procrastinarea)” și au fost oferite sugestii și strategii pentru a gestiona acest fenomen.</w:t>
      </w:r>
    </w:p>
    <w:p w14:paraId="29138C45" w14:textId="20D1B3FE" w:rsidR="001D51D4" w:rsidRPr="001D51D4" w:rsidRDefault="001D51D4" w:rsidP="001D51D4">
      <w:pPr>
        <w:tabs>
          <w:tab w:val="left" w:pos="3120"/>
        </w:tabs>
        <w:spacing w:line="276" w:lineRule="auto"/>
        <w:ind w:right="-2" w:firstLine="709"/>
        <w:jc w:val="both"/>
        <w:rPr>
          <w:rFonts w:asciiTheme="minorHAnsi" w:eastAsia="Calibri" w:hAnsiTheme="minorHAnsi" w:cstheme="minorHAnsi"/>
          <w:bCs/>
          <w:sz w:val="26"/>
          <w:szCs w:val="26"/>
        </w:rPr>
      </w:pPr>
      <w:r w:rsidRPr="001D51D4">
        <w:rPr>
          <w:rFonts w:asciiTheme="minorHAnsi" w:eastAsia="Calibri" w:hAnsiTheme="minorHAnsi" w:cstheme="minorHAnsi"/>
          <w:bCs/>
          <w:sz w:val="26"/>
          <w:szCs w:val="26"/>
        </w:rPr>
        <w:t>De asemenea, menționăm că</w:t>
      </w:r>
      <w:r w:rsidR="006E2BE0">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 xml:space="preserve"> în contextul pregătirii implementării bateriei de teste psihologice dezvoltată în cadrul proiectului </w:t>
      </w:r>
      <w:r w:rsidR="00051F2D">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C</w:t>
      </w:r>
      <w:r w:rsidR="0019365B">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P</w:t>
      </w:r>
      <w:r w:rsidR="0019365B">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C</w:t>
      </w:r>
      <w:r w:rsidR="0019365B">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I</w:t>
      </w:r>
      <w:r w:rsidR="0019365B">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 xml:space="preserve"> – Creșterea performanței și calității instituționale prin îmbunătățirea sistemului de evaluare și asistență psihologică la nivelul sistemului judiciar", precum și a optimizării procedurii și funcționalităților tehnice ale aplicației Mindapp, la nivelul Consiliului și Institutului Național al Magistraturii au fost organizate mai multe sesiuni de simulare creion-hârtie și online la care au participat 48 de magistrați cu funcții de conducere și execuție din cadrul Consiliului, precum și 337 de auditori de justiție din anul I și II, rezultatele obținute fiind prezentate individual, la cerere, persoanelor evaluate, în cadrul unor ședințe de consiliere/orientare vocațională.</w:t>
      </w:r>
    </w:p>
    <w:p w14:paraId="6DF8F659" w14:textId="57F06CFA"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De menționat este faptul că</w:t>
      </w:r>
      <w:r w:rsidR="00082559">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în cursul activităţilor specifice de operaţionalizare şi punere în producţie a instrumentelor</w:t>
      </w:r>
      <w:r w:rsidR="0057578C">
        <w:rPr>
          <w:rFonts w:asciiTheme="minorHAnsi" w:eastAsia="Calibri" w:hAnsiTheme="minorHAnsi" w:cstheme="minorHAnsi"/>
          <w:sz w:val="26"/>
          <w:szCs w:val="26"/>
        </w:rPr>
        <w:t xml:space="preserve"> </w:t>
      </w:r>
      <w:r w:rsidRPr="001D51D4">
        <w:rPr>
          <w:rFonts w:asciiTheme="minorHAnsi" w:eastAsia="Calibri" w:hAnsiTheme="minorHAnsi" w:cstheme="minorHAnsi"/>
          <w:sz w:val="26"/>
          <w:szCs w:val="26"/>
        </w:rPr>
        <w:t xml:space="preserve">de evaluare şi asistenţă psihologică şi a platformei informatice Mindapp desfășurate la nivelul Consiliului, s-a constatat că derularea procedurilor de concursuri – concursul de admitere la Institutul Naţional al Magistraturii, de admitere în magistratură şi promovări în funcţii de conducere  – precum şi demararea procedurilor de evaluare psihologică </w:t>
      </w:r>
      <w:r w:rsidRPr="001D51D4">
        <w:rPr>
          <w:rFonts w:asciiTheme="minorHAnsi" w:eastAsia="Calibri" w:hAnsiTheme="minorHAnsi" w:cstheme="minorHAnsi"/>
          <w:sz w:val="26"/>
          <w:szCs w:val="26"/>
        </w:rPr>
        <w:lastRenderedPageBreak/>
        <w:t xml:space="preserve">periodică, activităţi care, progresiv, se vor derula aproape exclusiv prin intermediul aplicaţiei informatice Mindapp, necesită o coordonare unică a psihologilor ce funcţionează în cadrul sistemului judiciar. </w:t>
      </w:r>
    </w:p>
    <w:p w14:paraId="030FB8E2" w14:textId="6EDF2163"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În acest context, în urma analizei mai multor opţiuni şi posibilităţi de organizare, pentru a asigura această coordonare şi având în vedere provocările utilizării unor instrumente noi, moderne şi aproape exclusiv digitale, a fost propusă</w:t>
      </w:r>
      <w:r w:rsidR="005D2B34">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ca variantă optimă</w:t>
      </w:r>
      <w:r w:rsidR="005D2B34">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înfiinţarea unei </w:t>
      </w:r>
      <w:r w:rsidRPr="001D51D4">
        <w:rPr>
          <w:rFonts w:asciiTheme="minorHAnsi" w:eastAsia="Calibri" w:hAnsiTheme="minorHAnsi" w:cstheme="minorHAnsi"/>
          <w:b/>
          <w:sz w:val="26"/>
          <w:szCs w:val="26"/>
        </w:rPr>
        <w:t>Structuri unice de psihologie</w:t>
      </w:r>
      <w:r w:rsidRPr="001D51D4">
        <w:rPr>
          <w:rFonts w:asciiTheme="minorHAnsi" w:eastAsia="Calibri" w:hAnsiTheme="minorHAnsi" w:cstheme="minorHAnsi"/>
          <w:sz w:val="26"/>
          <w:szCs w:val="26"/>
        </w:rPr>
        <w:t>, în conformitate cu cerințele Colegiului Psihologilor din România, structură din care vor face parte toţi psihologii angajaţi în cadrul sistemului judiciar la acest moment</w:t>
      </w:r>
      <w:r w:rsidR="0057578C">
        <w:rPr>
          <w:rFonts w:asciiTheme="minorHAnsi" w:eastAsia="Calibri" w:hAnsiTheme="minorHAnsi" w:cstheme="minorHAnsi"/>
          <w:sz w:val="26"/>
          <w:szCs w:val="26"/>
        </w:rPr>
        <w:t xml:space="preserve">, </w:t>
      </w:r>
      <w:r w:rsidRPr="001D51D4">
        <w:rPr>
          <w:rFonts w:asciiTheme="minorHAnsi" w:eastAsia="Calibri" w:hAnsiTheme="minorHAnsi" w:cstheme="minorHAnsi"/>
          <w:sz w:val="26"/>
          <w:szCs w:val="26"/>
        </w:rPr>
        <w:t>dar şi cei care vor fi angajaţi  ulterior, sub coordonarea Compartimentului de psihologie a personalului</w:t>
      </w:r>
      <w:r w:rsidR="0057578C">
        <w:rPr>
          <w:rFonts w:asciiTheme="minorHAnsi" w:eastAsia="Calibri" w:hAnsiTheme="minorHAnsi" w:cstheme="minorHAnsi"/>
          <w:sz w:val="26"/>
          <w:szCs w:val="26"/>
        </w:rPr>
        <w:t xml:space="preserve"> </w:t>
      </w:r>
      <w:r w:rsidRPr="001D51D4">
        <w:rPr>
          <w:rFonts w:asciiTheme="minorHAnsi" w:eastAsia="Calibri" w:hAnsiTheme="minorHAnsi" w:cstheme="minorHAnsi"/>
          <w:sz w:val="26"/>
          <w:szCs w:val="26"/>
        </w:rPr>
        <w:t>din cadrul Consiliului Superior al Magistraturii.</w:t>
      </w:r>
    </w:p>
    <w:p w14:paraId="0D347605" w14:textId="0110D472"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 xml:space="preserve"> În susţinerea acestei propuneri, s-a arătat că, în conceperea şi dezvoltarea aplicaţiei Mindapp, s-a avut în vedere ca</w:t>
      </w:r>
      <w:r w:rsidR="005D2B34">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atât activităţile de asistenţă psihologică, cât şi cele de evaluare psihologică periodică, să poată fi realizate de oricare din psihologii angajaţi în cadrul sistemului judiciar, independent de instanţa (Î</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C</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C</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J</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şi curţile de apel), parchetul (P</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I</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C</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C</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J</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 D</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I</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I</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C</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O</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T</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 D</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N</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A</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şi parchetele de pe lângă curţile de apel) sau instituţiile (I</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N</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M</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 I</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J</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 C</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S</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M</w:t>
      </w:r>
      <w:r w:rsidR="007C78B1">
        <w:rPr>
          <w:rFonts w:asciiTheme="minorHAnsi" w:eastAsia="Calibri" w:hAnsiTheme="minorHAnsi" w:cstheme="minorHAnsi"/>
          <w:sz w:val="26"/>
          <w:szCs w:val="26"/>
        </w:rPr>
        <w:t>.</w:t>
      </w:r>
      <w:r w:rsidRPr="001D51D4">
        <w:rPr>
          <w:rFonts w:asciiTheme="minorHAnsi" w:eastAsia="Calibri" w:hAnsiTheme="minorHAnsi" w:cstheme="minorHAnsi"/>
          <w:sz w:val="26"/>
          <w:szCs w:val="26"/>
        </w:rPr>
        <w:t>) în care funcţionează.</w:t>
      </w:r>
    </w:p>
    <w:p w14:paraId="30A04EF9" w14:textId="3372BD59"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Această soluţie a fost considerată ca necesară având în vedere dificultăţile întâmpinate, în cursul perioadei de implementare a proiectului, în finalizarea procedurilor de selecţie şi ocupare a posturilor de psihologi înfiinţate în cadrul ent</w:t>
      </w:r>
      <w:r w:rsidR="007C78B1">
        <w:rPr>
          <w:rFonts w:asciiTheme="minorHAnsi" w:eastAsia="Calibri" w:hAnsiTheme="minorHAnsi" w:cstheme="minorHAnsi"/>
          <w:sz w:val="26"/>
          <w:szCs w:val="26"/>
        </w:rPr>
        <w:t>it</w:t>
      </w:r>
      <w:r w:rsidRPr="001D51D4">
        <w:rPr>
          <w:rFonts w:asciiTheme="minorHAnsi" w:eastAsia="Calibri" w:hAnsiTheme="minorHAnsi" w:cstheme="minorHAnsi"/>
          <w:sz w:val="26"/>
          <w:szCs w:val="26"/>
        </w:rPr>
        <w:t>ăţilor menţionate mai sus. Astfel, deşi un număr de instanţe şi parchete au derulat în mai multe rânduri proceduri de selecţie, acestea nu s-au finalizat cu succes, astfel încât</w:t>
      </w:r>
      <w:r w:rsidR="00ED5F76">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la acest moment</w:t>
      </w:r>
      <w:r w:rsidR="00ED5F76">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singura soluţie posibilă este ca serviciile de asistenţă psihologică şi procedurile de evaluare psihologică să fie realizate de către oricare din psihologii angajaţi în cadrul sistemului judiciar, indiferent de locaţia fizică în care funcţionează. </w:t>
      </w:r>
    </w:p>
    <w:p w14:paraId="110276ED" w14:textId="2EAF79BB"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De asemenea, această soluţie a fost considerată şi utilă, întrucât, în vederea implementării eficiente a activităţilor de asistenţă psihologică, este imperativ necesar ca magistraţii din cadrul sistemului judiciar să poată opta pentru oricare dintre psihologii care funcţionează în cadrul sistemului judiciar. În acest mod, se garantează accesul la o gamă substanţială de servicii de asistenţă psihologică de calitate, având în vedere că în acest mod oricare dintre magistraţi va avea libertatea de a opta pentru un psiholog cu specializarea necesară şi, mai ales, cu care poate stabili o relaţie terapeutică adecvată. În plus, posibilitatea de a opta pentru oricare din psihologii din cadrul sistemului este o garanţie suplimentară a confidenţialităţii activităţii de asistenţă psihologică, care constituie o parte substanţială a sistemului de servicii de psihologie dezvoltat în cadrul proiectului.</w:t>
      </w:r>
    </w:p>
    <w:p w14:paraId="26990979" w14:textId="788C99C3" w:rsidR="001D51D4" w:rsidRPr="001D51D4" w:rsidRDefault="001D51D4" w:rsidP="001D51D4">
      <w:pPr>
        <w:tabs>
          <w:tab w:val="left" w:pos="3120"/>
        </w:tabs>
        <w:spacing w:line="276" w:lineRule="auto"/>
        <w:ind w:right="-2" w:firstLine="709"/>
        <w:jc w:val="both"/>
        <w:rPr>
          <w:rFonts w:asciiTheme="minorHAnsi" w:eastAsia="Calibri" w:hAnsiTheme="minorHAnsi" w:cstheme="minorHAnsi"/>
          <w:i/>
          <w:sz w:val="26"/>
          <w:szCs w:val="26"/>
        </w:rPr>
      </w:pPr>
      <w:r w:rsidRPr="001D51D4">
        <w:rPr>
          <w:rFonts w:asciiTheme="minorHAnsi" w:eastAsia="Calibri" w:hAnsiTheme="minorHAnsi" w:cstheme="minorHAnsi"/>
          <w:sz w:val="26"/>
          <w:szCs w:val="26"/>
        </w:rPr>
        <w:t>Trebuie menţionat că posibilitatea de a opta pentru oricare din psihologii din cadrul sistemului judiciar este o soluţie fundamentată şi pe baza opiniilor exprimate unanim de magistraţii care au participat la activităţile de analiză de nevoi derulate în cursul anului 2021</w:t>
      </w:r>
      <w:r w:rsidR="00D641FA">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în contextul implementării proiectului, astfel cum reiese din livrabilul </w:t>
      </w:r>
      <w:r w:rsidR="00D641FA">
        <w:rPr>
          <w:rFonts w:asciiTheme="minorHAnsi" w:eastAsia="Calibri" w:hAnsiTheme="minorHAnsi" w:cstheme="minorHAnsi"/>
          <w:sz w:val="26"/>
          <w:szCs w:val="26"/>
        </w:rPr>
        <w:t>„</w:t>
      </w:r>
      <w:r w:rsidRPr="001D51D4">
        <w:rPr>
          <w:rFonts w:asciiTheme="minorHAnsi" w:eastAsia="Calibri" w:hAnsiTheme="minorHAnsi" w:cstheme="minorHAnsi"/>
          <w:iCs/>
          <w:sz w:val="26"/>
          <w:szCs w:val="26"/>
        </w:rPr>
        <w:t>Analiza de nevoi care vizează ambele componente (instanţe şi parchete)</w:t>
      </w:r>
      <w:r w:rsidR="00D641FA">
        <w:rPr>
          <w:rFonts w:asciiTheme="minorHAnsi" w:eastAsia="Calibri" w:hAnsiTheme="minorHAnsi" w:cstheme="minorHAnsi"/>
          <w:iCs/>
          <w:sz w:val="26"/>
          <w:szCs w:val="26"/>
        </w:rPr>
        <w:t>”</w:t>
      </w:r>
      <w:r w:rsidRPr="001D51D4">
        <w:rPr>
          <w:rFonts w:asciiTheme="minorHAnsi" w:eastAsia="Calibri" w:hAnsiTheme="minorHAnsi" w:cstheme="minorHAnsi"/>
          <w:i/>
          <w:sz w:val="26"/>
          <w:szCs w:val="26"/>
        </w:rPr>
        <w:t>.</w:t>
      </w:r>
    </w:p>
    <w:p w14:paraId="580D3EF6" w14:textId="2E8ECD79"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De asemenea, având în vedere provocările ridicate de susţinerea următoarelor proceduri de concursuri prin intermediul aplicaţiei Mindapp, este necesară o coordonare unitară şi eficientă a psihologilor angajaţi în cadrul sistemului judiciar, astfel încât activităţile specifice derulării acestor proceduri să fie distribuite echitabil şi conform competenţelor către to</w:t>
      </w:r>
      <w:r w:rsidR="00D641FA">
        <w:rPr>
          <w:rFonts w:asciiTheme="minorHAnsi" w:eastAsia="Calibri" w:hAnsiTheme="minorHAnsi" w:cstheme="minorHAnsi"/>
          <w:sz w:val="26"/>
          <w:szCs w:val="26"/>
        </w:rPr>
        <w:t>ți</w:t>
      </w:r>
      <w:r w:rsidRPr="001D51D4">
        <w:rPr>
          <w:rFonts w:asciiTheme="minorHAnsi" w:eastAsia="Calibri" w:hAnsiTheme="minorHAnsi" w:cstheme="minorHAnsi"/>
          <w:sz w:val="26"/>
          <w:szCs w:val="26"/>
        </w:rPr>
        <w:t xml:space="preserve"> psihologii ce funcţionează în cadrul sistemului judiciar.</w:t>
      </w:r>
    </w:p>
    <w:p w14:paraId="0F3536F4" w14:textId="0BC305FC"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lastRenderedPageBreak/>
        <w:t xml:space="preserve">Propunerea privind înfiinţarea unei Structuri unice de psihologie la nivelul Compartimentului de psihologie a personalului din cadrul Consiliului Superior al Magistraturii a fost discutată în şedinţa din data de </w:t>
      </w:r>
      <w:r w:rsidR="0030689B">
        <w:rPr>
          <w:rFonts w:asciiTheme="minorHAnsi" w:eastAsia="Calibri" w:hAnsiTheme="minorHAnsi" w:cstheme="minorHAnsi"/>
          <w:sz w:val="26"/>
          <w:szCs w:val="26"/>
        </w:rPr>
        <w:t>0</w:t>
      </w:r>
      <w:r w:rsidRPr="001D51D4">
        <w:rPr>
          <w:rFonts w:asciiTheme="minorHAnsi" w:eastAsia="Calibri" w:hAnsiTheme="minorHAnsi" w:cstheme="minorHAnsi"/>
          <w:sz w:val="26"/>
          <w:szCs w:val="26"/>
        </w:rPr>
        <w:t>6</w:t>
      </w:r>
      <w:r w:rsidR="0030689B">
        <w:rPr>
          <w:rFonts w:asciiTheme="minorHAnsi" w:eastAsia="Calibri" w:hAnsiTheme="minorHAnsi" w:cstheme="minorHAnsi"/>
          <w:sz w:val="26"/>
          <w:szCs w:val="26"/>
        </w:rPr>
        <w:t xml:space="preserve"> iunie </w:t>
      </w:r>
      <w:r w:rsidRPr="001D51D4">
        <w:rPr>
          <w:rFonts w:asciiTheme="minorHAnsi" w:eastAsia="Calibri" w:hAnsiTheme="minorHAnsi" w:cstheme="minorHAnsi"/>
          <w:sz w:val="26"/>
          <w:szCs w:val="26"/>
        </w:rPr>
        <w:t xml:space="preserve">2024 a Comisiei nr. 2 reunită </w:t>
      </w:r>
      <w:r w:rsidR="0030689B">
        <w:rPr>
          <w:rFonts w:asciiTheme="minorHAnsi" w:eastAsia="Calibri" w:hAnsiTheme="minorHAnsi" w:cstheme="minorHAnsi"/>
          <w:sz w:val="26"/>
          <w:szCs w:val="26"/>
        </w:rPr>
        <w:t>„</w:t>
      </w:r>
      <w:r w:rsidRPr="001D51D4">
        <w:rPr>
          <w:rFonts w:asciiTheme="minorHAnsi" w:eastAsia="Calibri" w:hAnsiTheme="minorHAnsi" w:cstheme="minorHAnsi"/>
          <w:sz w:val="26"/>
          <w:szCs w:val="26"/>
        </w:rPr>
        <w:t>Resurse umane, organizare şi relaţii cu societatea civilă</w:t>
      </w:r>
      <w:r w:rsidR="0030689B">
        <w:rPr>
          <w:rFonts w:asciiTheme="minorHAnsi" w:eastAsia="Calibri" w:hAnsiTheme="minorHAnsi" w:cstheme="minorHAnsi"/>
          <w:sz w:val="26"/>
          <w:szCs w:val="26"/>
        </w:rPr>
        <w:t>”</w:t>
      </w:r>
      <w:r w:rsidRPr="001D51D4">
        <w:rPr>
          <w:rFonts w:asciiTheme="minorHAnsi" w:eastAsia="Calibri" w:hAnsiTheme="minorHAnsi" w:cstheme="minorHAnsi"/>
          <w:sz w:val="26"/>
          <w:szCs w:val="26"/>
        </w:rPr>
        <w:t>, care</w:t>
      </w:r>
      <w:r w:rsidR="001739A7">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prin minuta din aceeaşi dată</w:t>
      </w:r>
      <w:r w:rsidR="001739A7">
        <w:rPr>
          <w:rFonts w:asciiTheme="minorHAnsi" w:eastAsia="Calibri" w:hAnsiTheme="minorHAnsi" w:cstheme="minorHAnsi"/>
          <w:sz w:val="26"/>
          <w:szCs w:val="26"/>
        </w:rPr>
        <w:t>,</w:t>
      </w:r>
      <w:r w:rsidRPr="001D51D4">
        <w:rPr>
          <w:rFonts w:asciiTheme="minorHAnsi" w:eastAsia="Calibri" w:hAnsiTheme="minorHAnsi" w:cstheme="minorHAnsi"/>
          <w:sz w:val="26"/>
          <w:szCs w:val="26"/>
        </w:rPr>
        <w:t xml:space="preserve"> şi-a însuşit                                         Nota nr. 8671/2024 a Compartimentului de psihologie a personalului şi a decis transmiterea unor adrese către instanţele, parchetele şi instituţiile în cadrul cărora îşi desfăşoară activitatea psihologii, pentru solicitarea documentelor şi informaţiilor menţionate în cuprinsul notei, necesare pentru a aprecia asupra posibilităţii înfiinţării Structurii unice de psihologie în forma prezentată în nota menţionată.</w:t>
      </w:r>
    </w:p>
    <w:p w14:paraId="0789E6B1" w14:textId="476D1325"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 xml:space="preserve">În urma discuţiilor purtate cu reprezentanţii Colegiului Psihologilor din România cu privire la posibilitatea înfiinţării Structurii unice de psihologie la nivelul Consiliului Superior al Magistraturii, a fost semnalată problema necesităţii de a clarifica cadrul normativ secundar cu privire la raporturile dintre cabinetele de psihologie de la nivelul curţilor de apel şi parchetelor de pe lângă acestea şi Compartimentul de psihologie din cadrul Consiliului Superior al Magistraturii, având în vedere şi faptul că o parte din aceste compartimente au solicitat şi obţinut avizarea ca structuri de psihologie individuale. </w:t>
      </w:r>
    </w:p>
    <w:p w14:paraId="5063C2AE" w14:textId="3E8450A0" w:rsidR="001D51D4" w:rsidRPr="001D51D4" w:rsidRDefault="001D51D4" w:rsidP="001D51D4">
      <w:pPr>
        <w:tabs>
          <w:tab w:val="left" w:pos="3120"/>
        </w:tabs>
        <w:spacing w:line="276" w:lineRule="auto"/>
        <w:ind w:right="-2" w:firstLine="709"/>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t xml:space="preserve">Sub acest aspect, a fost înaintată conducerii Consiliului propunerea de modificare a Regulamentelor de ordine interioară a instanţelor şi parchetelor, în sensul de a se statua expres asupra faptului că, în vederea optimizării cadrului de realizare a activităţilor de asistenţă şi evaluare psihologică, cabinetele de psihologie de la nivelul instanţelor şi parchetelor funcţionează ca puncte de lucru ale Compartimentului de psihologie a personalului din cadrul Consiliului Superior al Magistraturii, care asigură coordonarea profesională a activităţii de psihologie desfăşurată la instanţe şi parchete. </w:t>
      </w:r>
    </w:p>
    <w:p w14:paraId="1E3077C3" w14:textId="2E1A4A16" w:rsidR="001D51D4" w:rsidRPr="001D51D4" w:rsidRDefault="001D51D4" w:rsidP="001D51D4">
      <w:pPr>
        <w:tabs>
          <w:tab w:val="left" w:pos="3120"/>
        </w:tabs>
        <w:spacing w:line="276" w:lineRule="auto"/>
        <w:ind w:right="-2" w:firstLine="709"/>
        <w:jc w:val="both"/>
        <w:rPr>
          <w:rFonts w:asciiTheme="minorHAnsi" w:eastAsia="Calibri" w:hAnsiTheme="minorHAnsi" w:cstheme="minorHAnsi"/>
          <w:bCs/>
          <w:sz w:val="26"/>
          <w:szCs w:val="26"/>
        </w:rPr>
      </w:pPr>
      <w:r w:rsidRPr="001D51D4">
        <w:rPr>
          <w:rFonts w:asciiTheme="minorHAnsi" w:eastAsia="Calibri" w:hAnsiTheme="minorHAnsi" w:cstheme="minorHAnsi"/>
          <w:bCs/>
          <w:sz w:val="26"/>
          <w:szCs w:val="26"/>
        </w:rPr>
        <w:t>Referitor la structura rapoartelor de activitate întocmite de psihologii de la nivelul instanțelor și unităților de parchet, aceasta este una nesistematizată, modalitatea de raportare a datelor cantitative și calitative fiind foarte diferită, chiar deficitară, fapt care conduce la dificultăți în prelucrarea ulterioară a acestora în scopuri statistice.</w:t>
      </w:r>
    </w:p>
    <w:p w14:paraId="446F328E" w14:textId="4B77DB6E" w:rsidR="001D51D4" w:rsidRPr="001D51D4" w:rsidRDefault="001D51D4" w:rsidP="000464E2">
      <w:pPr>
        <w:tabs>
          <w:tab w:val="left" w:pos="3120"/>
        </w:tabs>
        <w:spacing w:line="276" w:lineRule="auto"/>
        <w:ind w:right="-2" w:firstLine="567"/>
        <w:jc w:val="both"/>
        <w:rPr>
          <w:rFonts w:asciiTheme="minorHAnsi" w:eastAsia="Calibri" w:hAnsiTheme="minorHAnsi" w:cstheme="minorHAnsi"/>
          <w:bCs/>
          <w:sz w:val="26"/>
          <w:szCs w:val="26"/>
        </w:rPr>
      </w:pPr>
      <w:r w:rsidRPr="001D51D4">
        <w:rPr>
          <w:rFonts w:asciiTheme="minorHAnsi" w:eastAsia="Calibri" w:hAnsiTheme="minorHAnsi" w:cstheme="minorHAnsi"/>
          <w:bCs/>
          <w:sz w:val="26"/>
          <w:szCs w:val="26"/>
        </w:rPr>
        <w:t>De asemenea, referitor la studiile de climat organizațional, din analiza datelor</w:t>
      </w:r>
      <w:r w:rsidR="0057578C">
        <w:rPr>
          <w:rFonts w:asciiTheme="minorHAnsi" w:eastAsia="Calibri" w:hAnsiTheme="minorHAnsi" w:cstheme="minorHAnsi"/>
          <w:bCs/>
          <w:sz w:val="26"/>
          <w:szCs w:val="26"/>
        </w:rPr>
        <w:t xml:space="preserve"> </w:t>
      </w:r>
      <w:r w:rsidRPr="001D51D4">
        <w:rPr>
          <w:rFonts w:asciiTheme="minorHAnsi" w:eastAsia="Calibri" w:hAnsiTheme="minorHAnsi" w:cstheme="minorHAnsi"/>
          <w:bCs/>
          <w:sz w:val="26"/>
          <w:szCs w:val="26"/>
        </w:rPr>
        <w:t>se</w:t>
      </w:r>
      <w:r w:rsidR="0057578C">
        <w:rPr>
          <w:rFonts w:asciiTheme="minorHAnsi" w:eastAsia="Calibri" w:hAnsiTheme="minorHAnsi" w:cstheme="minorHAnsi"/>
          <w:bCs/>
          <w:sz w:val="26"/>
          <w:szCs w:val="26"/>
        </w:rPr>
        <w:t xml:space="preserve"> </w:t>
      </w:r>
      <w:r w:rsidRPr="001D51D4">
        <w:rPr>
          <w:rFonts w:asciiTheme="minorHAnsi" w:eastAsia="Calibri" w:hAnsiTheme="minorHAnsi" w:cstheme="minorHAnsi"/>
          <w:bCs/>
          <w:sz w:val="26"/>
          <w:szCs w:val="26"/>
        </w:rPr>
        <w:t>observă lipsa</w:t>
      </w:r>
      <w:r w:rsidR="0057578C">
        <w:rPr>
          <w:rFonts w:asciiTheme="minorHAnsi" w:eastAsia="Calibri" w:hAnsiTheme="minorHAnsi" w:cstheme="minorHAnsi"/>
          <w:bCs/>
          <w:sz w:val="26"/>
          <w:szCs w:val="26"/>
        </w:rPr>
        <w:t xml:space="preserve"> </w:t>
      </w:r>
      <w:r w:rsidRPr="001D51D4">
        <w:rPr>
          <w:rFonts w:asciiTheme="minorHAnsi" w:eastAsia="Calibri" w:hAnsiTheme="minorHAnsi" w:cstheme="minorHAnsi"/>
          <w:bCs/>
          <w:sz w:val="26"/>
          <w:szCs w:val="26"/>
        </w:rPr>
        <w:t>unei metodologii unitare de lucru, fapt care afectează eficiența demersului pentru diagnosticarea eventualelor disfuncţionalităţi sistemice, în scopul eficientizării şi ameliorării condiţiilor de muncă de la nivelul instanțelor și parchetelor.</w:t>
      </w:r>
    </w:p>
    <w:p w14:paraId="28D24413" w14:textId="53ED7C3B" w:rsidR="001D51D4" w:rsidRPr="001D51D4" w:rsidRDefault="001D51D4" w:rsidP="000464E2">
      <w:pPr>
        <w:tabs>
          <w:tab w:val="left" w:pos="3120"/>
        </w:tabs>
        <w:spacing w:line="276" w:lineRule="auto"/>
        <w:ind w:right="-2" w:firstLine="567"/>
        <w:jc w:val="both"/>
        <w:rPr>
          <w:rFonts w:asciiTheme="minorHAnsi" w:eastAsia="Calibri" w:hAnsiTheme="minorHAnsi" w:cstheme="minorHAnsi"/>
          <w:bCs/>
          <w:sz w:val="26"/>
          <w:szCs w:val="26"/>
        </w:rPr>
      </w:pPr>
      <w:r w:rsidRPr="001D51D4">
        <w:rPr>
          <w:rFonts w:asciiTheme="minorHAnsi" w:eastAsia="Calibri" w:hAnsiTheme="minorHAnsi" w:cstheme="minorHAnsi"/>
          <w:bCs/>
          <w:sz w:val="26"/>
          <w:szCs w:val="26"/>
        </w:rPr>
        <w:t>Raportat la situația prezentată, C</w:t>
      </w:r>
      <w:r w:rsidR="00200282">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P</w:t>
      </w:r>
      <w:r w:rsidR="00200282">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P</w:t>
      </w:r>
      <w:r w:rsidR="00200282">
        <w:rPr>
          <w:rFonts w:asciiTheme="minorHAnsi" w:eastAsia="Calibri" w:hAnsiTheme="minorHAnsi" w:cstheme="minorHAnsi"/>
          <w:bCs/>
          <w:sz w:val="26"/>
          <w:szCs w:val="26"/>
        </w:rPr>
        <w:t>.</w:t>
      </w:r>
      <w:r w:rsidRPr="001D51D4">
        <w:rPr>
          <w:rFonts w:asciiTheme="minorHAnsi" w:eastAsia="Calibri" w:hAnsiTheme="minorHAnsi" w:cstheme="minorHAnsi"/>
          <w:bCs/>
          <w:sz w:val="26"/>
          <w:szCs w:val="26"/>
        </w:rPr>
        <w:t xml:space="preserve"> a întreprins demersuri pentru standardizarea               structurii rapoartelor de activitate ale psihologilor din sistemul judiciar, planului de activitate, fișei postului psihologului</w:t>
      </w:r>
      <w:r w:rsidR="00E26D57">
        <w:rPr>
          <w:rFonts w:asciiTheme="minorHAnsi" w:eastAsia="Calibri" w:hAnsiTheme="minorHAnsi" w:cstheme="minorHAnsi"/>
          <w:bCs/>
          <w:sz w:val="26"/>
          <w:szCs w:val="26"/>
        </w:rPr>
        <w:t xml:space="preserve"> și </w:t>
      </w:r>
      <w:r w:rsidRPr="001D51D4">
        <w:rPr>
          <w:rFonts w:asciiTheme="minorHAnsi" w:eastAsia="Calibri" w:hAnsiTheme="minorHAnsi" w:cstheme="minorHAnsi"/>
          <w:bCs/>
          <w:sz w:val="26"/>
          <w:szCs w:val="26"/>
        </w:rPr>
        <w:t>fișei de evaluare a activității profesionale individuale, acestea urmând a fi înaintate conducerii Consiliului pentru aprobare.</w:t>
      </w:r>
    </w:p>
    <w:p w14:paraId="17F384E6" w14:textId="72047BB4" w:rsidR="00D3518A" w:rsidRDefault="00D3518A" w:rsidP="00D3518A">
      <w:pPr>
        <w:tabs>
          <w:tab w:val="left" w:pos="567"/>
          <w:tab w:val="left" w:pos="3120"/>
        </w:tabs>
        <w:spacing w:line="276" w:lineRule="auto"/>
        <w:ind w:right="-2"/>
        <w:jc w:val="both"/>
        <w:rPr>
          <w:rFonts w:asciiTheme="minorHAnsi" w:eastAsia="Calibri" w:hAnsiTheme="minorHAnsi" w:cstheme="minorHAnsi"/>
          <w:bCs/>
          <w:sz w:val="26"/>
          <w:szCs w:val="26"/>
        </w:rPr>
      </w:pPr>
      <w:r>
        <w:rPr>
          <w:rFonts w:asciiTheme="minorHAnsi" w:eastAsia="Calibri" w:hAnsiTheme="minorHAnsi" w:cstheme="minorHAnsi"/>
          <w:bCs/>
          <w:sz w:val="26"/>
          <w:szCs w:val="26"/>
        </w:rPr>
        <w:tab/>
      </w:r>
      <w:r w:rsidR="001D51D4" w:rsidRPr="001D51D4">
        <w:rPr>
          <w:rFonts w:asciiTheme="minorHAnsi" w:eastAsia="Calibri" w:hAnsiTheme="minorHAnsi" w:cstheme="minorHAnsi"/>
          <w:bCs/>
          <w:sz w:val="26"/>
          <w:szCs w:val="26"/>
        </w:rPr>
        <w:t>De asemenea, precizăm faptul că</w:t>
      </w:r>
      <w:r w:rsidR="00122659">
        <w:rPr>
          <w:rFonts w:asciiTheme="minorHAnsi" w:eastAsia="Calibri" w:hAnsiTheme="minorHAnsi" w:cstheme="minorHAnsi"/>
          <w:bCs/>
          <w:sz w:val="26"/>
          <w:szCs w:val="26"/>
        </w:rPr>
        <w:t>,</w:t>
      </w:r>
      <w:r w:rsidR="001D51D4" w:rsidRPr="001D51D4">
        <w:rPr>
          <w:rFonts w:asciiTheme="minorHAnsi" w:eastAsia="Calibri" w:hAnsiTheme="minorHAnsi" w:cstheme="minorHAnsi"/>
          <w:bCs/>
          <w:sz w:val="26"/>
          <w:szCs w:val="26"/>
        </w:rPr>
        <w:t xml:space="preserve"> în cursul anului 2024</w:t>
      </w:r>
      <w:r w:rsidR="00277737">
        <w:rPr>
          <w:rFonts w:asciiTheme="minorHAnsi" w:eastAsia="Calibri" w:hAnsiTheme="minorHAnsi" w:cstheme="minorHAnsi"/>
          <w:bCs/>
          <w:sz w:val="26"/>
          <w:szCs w:val="26"/>
        </w:rPr>
        <w:t>,</w:t>
      </w:r>
      <w:r w:rsidR="001D51D4" w:rsidRPr="001D51D4">
        <w:rPr>
          <w:rFonts w:asciiTheme="minorHAnsi" w:eastAsia="Calibri" w:hAnsiTheme="minorHAnsi" w:cstheme="minorHAnsi"/>
          <w:bCs/>
          <w:sz w:val="26"/>
          <w:szCs w:val="26"/>
        </w:rPr>
        <w:t xml:space="preserve">  la nivelul compartimentului</w:t>
      </w:r>
      <w:r w:rsidR="00122659">
        <w:rPr>
          <w:rFonts w:asciiTheme="minorHAnsi" w:eastAsia="Calibri" w:hAnsiTheme="minorHAnsi" w:cstheme="minorHAnsi"/>
          <w:bCs/>
          <w:sz w:val="26"/>
          <w:szCs w:val="26"/>
        </w:rPr>
        <w:t>,</w:t>
      </w:r>
      <w:r w:rsidR="001D51D4" w:rsidRPr="001D51D4">
        <w:rPr>
          <w:rFonts w:asciiTheme="minorHAnsi" w:eastAsia="Calibri" w:hAnsiTheme="minorHAnsi" w:cstheme="minorHAnsi"/>
          <w:bCs/>
          <w:sz w:val="26"/>
          <w:szCs w:val="26"/>
        </w:rPr>
        <w:t xml:space="preserve"> au fost organizate stagii de practică la care au participat 35 </w:t>
      </w:r>
      <w:r w:rsidR="002C6E98">
        <w:rPr>
          <w:rFonts w:asciiTheme="minorHAnsi" w:eastAsia="Calibri" w:hAnsiTheme="minorHAnsi" w:cstheme="minorHAnsi"/>
          <w:bCs/>
          <w:sz w:val="26"/>
          <w:szCs w:val="26"/>
        </w:rPr>
        <w:t xml:space="preserve">de </w:t>
      </w:r>
      <w:r w:rsidR="001D51D4" w:rsidRPr="001D51D4">
        <w:rPr>
          <w:rFonts w:asciiTheme="minorHAnsi" w:eastAsia="Calibri" w:hAnsiTheme="minorHAnsi" w:cstheme="minorHAnsi"/>
          <w:bCs/>
          <w:sz w:val="26"/>
          <w:szCs w:val="26"/>
        </w:rPr>
        <w:t>studenți</w:t>
      </w:r>
      <w:r w:rsidR="002C6E98">
        <w:rPr>
          <w:rFonts w:asciiTheme="minorHAnsi" w:eastAsia="Calibri" w:hAnsiTheme="minorHAnsi" w:cstheme="minorHAnsi"/>
          <w:bCs/>
          <w:sz w:val="26"/>
          <w:szCs w:val="26"/>
        </w:rPr>
        <w:t xml:space="preserve"> de</w:t>
      </w:r>
      <w:r w:rsidR="001D51D4" w:rsidRPr="001D51D4">
        <w:rPr>
          <w:rFonts w:asciiTheme="minorHAnsi" w:eastAsia="Calibri" w:hAnsiTheme="minorHAnsi" w:cstheme="minorHAnsi"/>
          <w:bCs/>
          <w:sz w:val="26"/>
          <w:szCs w:val="26"/>
        </w:rPr>
        <w:t xml:space="preserve"> la Facultatea de Drept din cadrul Universității </w:t>
      </w:r>
      <w:r w:rsidR="002C6E98">
        <w:rPr>
          <w:rFonts w:asciiTheme="minorHAnsi" w:eastAsia="Calibri" w:hAnsiTheme="minorHAnsi" w:cstheme="minorHAnsi"/>
          <w:bCs/>
          <w:sz w:val="26"/>
          <w:szCs w:val="26"/>
        </w:rPr>
        <w:t>„</w:t>
      </w:r>
      <w:r w:rsidR="001D51D4" w:rsidRPr="001D51D4">
        <w:rPr>
          <w:rFonts w:asciiTheme="minorHAnsi" w:eastAsia="Calibri" w:hAnsiTheme="minorHAnsi" w:cstheme="minorHAnsi"/>
          <w:bCs/>
          <w:sz w:val="26"/>
          <w:szCs w:val="26"/>
        </w:rPr>
        <w:t>Titu Maiorescu</w:t>
      </w:r>
      <w:r w:rsidR="002C6E98">
        <w:rPr>
          <w:rFonts w:asciiTheme="minorHAnsi" w:eastAsia="Calibri" w:hAnsiTheme="minorHAnsi" w:cstheme="minorHAnsi"/>
          <w:bCs/>
          <w:sz w:val="26"/>
          <w:szCs w:val="26"/>
        </w:rPr>
        <w:t>”,</w:t>
      </w:r>
      <w:r w:rsidR="001D51D4" w:rsidRPr="001D51D4">
        <w:rPr>
          <w:rFonts w:asciiTheme="minorHAnsi" w:eastAsia="Calibri" w:hAnsiTheme="minorHAnsi" w:cstheme="minorHAnsi"/>
          <w:bCs/>
          <w:sz w:val="26"/>
          <w:szCs w:val="26"/>
        </w:rPr>
        <w:t xml:space="preserve"> Universității</w:t>
      </w:r>
      <w:r w:rsidR="002C6E98">
        <w:rPr>
          <w:rFonts w:asciiTheme="minorHAnsi" w:eastAsia="Calibri" w:hAnsiTheme="minorHAnsi" w:cstheme="minorHAnsi"/>
          <w:bCs/>
          <w:sz w:val="26"/>
          <w:szCs w:val="26"/>
        </w:rPr>
        <w:t xml:space="preserve"> din</w:t>
      </w:r>
      <w:r w:rsidR="001D51D4" w:rsidRPr="001D51D4">
        <w:rPr>
          <w:rFonts w:asciiTheme="minorHAnsi" w:eastAsia="Calibri" w:hAnsiTheme="minorHAnsi" w:cstheme="minorHAnsi"/>
          <w:bCs/>
          <w:sz w:val="26"/>
          <w:szCs w:val="26"/>
        </w:rPr>
        <w:t xml:space="preserve"> București</w:t>
      </w:r>
      <w:r w:rsidR="002C6E98">
        <w:rPr>
          <w:rFonts w:asciiTheme="minorHAnsi" w:eastAsia="Calibri" w:hAnsiTheme="minorHAnsi" w:cstheme="minorHAnsi"/>
          <w:bCs/>
          <w:sz w:val="26"/>
          <w:szCs w:val="26"/>
        </w:rPr>
        <w:t xml:space="preserve"> și</w:t>
      </w:r>
      <w:r w:rsidR="001D51D4" w:rsidRPr="001D51D4">
        <w:rPr>
          <w:rFonts w:asciiTheme="minorHAnsi" w:eastAsia="Calibri" w:hAnsiTheme="minorHAnsi" w:cstheme="minorHAnsi"/>
          <w:bCs/>
          <w:sz w:val="26"/>
          <w:szCs w:val="26"/>
        </w:rPr>
        <w:t xml:space="preserve"> Academiei de Studii Economice. </w:t>
      </w:r>
      <w:r w:rsidR="002C6E98">
        <w:rPr>
          <w:rFonts w:asciiTheme="minorHAnsi" w:eastAsia="Calibri" w:hAnsiTheme="minorHAnsi" w:cstheme="minorHAnsi"/>
          <w:bCs/>
          <w:sz w:val="26"/>
          <w:szCs w:val="26"/>
        </w:rPr>
        <w:t xml:space="preserve"> </w:t>
      </w:r>
    </w:p>
    <w:p w14:paraId="44C6100C" w14:textId="504A6447" w:rsidR="001D51D4" w:rsidRPr="001D51D4" w:rsidRDefault="00D3518A" w:rsidP="000464E2">
      <w:pPr>
        <w:tabs>
          <w:tab w:val="left" w:pos="567"/>
          <w:tab w:val="left" w:pos="3120"/>
        </w:tabs>
        <w:spacing w:line="276" w:lineRule="auto"/>
        <w:ind w:right="-2"/>
        <w:jc w:val="both"/>
        <w:rPr>
          <w:rFonts w:asciiTheme="minorHAnsi" w:eastAsia="Calibri" w:hAnsiTheme="minorHAnsi" w:cstheme="minorHAnsi"/>
          <w:bCs/>
          <w:sz w:val="26"/>
          <w:szCs w:val="26"/>
        </w:rPr>
      </w:pPr>
      <w:r>
        <w:rPr>
          <w:rFonts w:asciiTheme="minorHAnsi" w:eastAsia="Calibri" w:hAnsiTheme="minorHAnsi" w:cstheme="minorHAnsi"/>
          <w:bCs/>
          <w:sz w:val="26"/>
          <w:szCs w:val="26"/>
        </w:rPr>
        <w:tab/>
        <w:t>Î</w:t>
      </w:r>
      <w:r w:rsidR="001D51D4" w:rsidRPr="001D51D4">
        <w:rPr>
          <w:rFonts w:asciiTheme="minorHAnsi" w:eastAsia="Calibri" w:hAnsiTheme="minorHAnsi" w:cstheme="minorHAnsi"/>
          <w:bCs/>
          <w:sz w:val="26"/>
          <w:szCs w:val="26"/>
        </w:rPr>
        <w:t>n cadrul stagiului de practică studenții au beneficiat de servicii de orientare profesională,</w:t>
      </w:r>
      <w:r>
        <w:rPr>
          <w:rFonts w:asciiTheme="minorHAnsi" w:eastAsia="Calibri" w:hAnsiTheme="minorHAnsi" w:cstheme="minorHAnsi"/>
          <w:bCs/>
          <w:sz w:val="26"/>
          <w:szCs w:val="26"/>
        </w:rPr>
        <w:t xml:space="preserve"> </w:t>
      </w:r>
      <w:r w:rsidR="001D51D4" w:rsidRPr="001D51D4">
        <w:rPr>
          <w:rFonts w:asciiTheme="minorHAnsi" w:eastAsia="Calibri" w:hAnsiTheme="minorHAnsi" w:cstheme="minorHAnsi"/>
          <w:bCs/>
          <w:sz w:val="26"/>
          <w:szCs w:val="26"/>
        </w:rPr>
        <w:t>respectiv familiarizarea cu profesiile de judecător și procuror, structura organizatorică a Consiliului, organizarea sistemului judiciar</w:t>
      </w:r>
      <w:r w:rsidR="000464E2">
        <w:rPr>
          <w:rFonts w:asciiTheme="minorHAnsi" w:eastAsia="Calibri" w:hAnsiTheme="minorHAnsi" w:cstheme="minorHAnsi"/>
          <w:bCs/>
          <w:sz w:val="26"/>
          <w:szCs w:val="26"/>
        </w:rPr>
        <w:t xml:space="preserve"> și </w:t>
      </w:r>
      <w:r w:rsidR="001D51D4" w:rsidRPr="001D51D4">
        <w:rPr>
          <w:rFonts w:asciiTheme="minorHAnsi" w:eastAsia="Calibri" w:hAnsiTheme="minorHAnsi" w:cstheme="minorHAnsi"/>
          <w:bCs/>
          <w:sz w:val="26"/>
          <w:szCs w:val="26"/>
        </w:rPr>
        <w:t>evaluarea intereselor, aptitudinilor și trăsăturilor de personalitate.</w:t>
      </w:r>
    </w:p>
    <w:p w14:paraId="7D6274D9" w14:textId="28CD4346" w:rsidR="001D51D4" w:rsidRPr="001D51D4" w:rsidRDefault="001D51D4" w:rsidP="000464E2">
      <w:pPr>
        <w:tabs>
          <w:tab w:val="left" w:pos="3120"/>
        </w:tabs>
        <w:spacing w:line="276" w:lineRule="auto"/>
        <w:ind w:right="-2" w:firstLine="567"/>
        <w:jc w:val="both"/>
        <w:rPr>
          <w:rFonts w:asciiTheme="minorHAnsi" w:eastAsia="Calibri" w:hAnsiTheme="minorHAnsi" w:cstheme="minorHAnsi"/>
          <w:sz w:val="26"/>
          <w:szCs w:val="26"/>
        </w:rPr>
      </w:pPr>
      <w:r w:rsidRPr="001D51D4">
        <w:rPr>
          <w:rFonts w:asciiTheme="minorHAnsi" w:eastAsia="Calibri" w:hAnsiTheme="minorHAnsi" w:cstheme="minorHAnsi"/>
          <w:sz w:val="26"/>
          <w:szCs w:val="26"/>
        </w:rPr>
        <w:lastRenderedPageBreak/>
        <w:t>Referitor la organizarea internă a structurii, în anul 2024 s-a procedat la implementarea măsurilor stabilite de Comisia de monitorizare a Sistemului de control intern managerial din cadrul Consilului, sens în care au fost comunicate rapoartele privind</w:t>
      </w:r>
      <w:r w:rsidR="00471BF6">
        <w:rPr>
          <w:rFonts w:asciiTheme="minorHAnsi" w:eastAsia="Calibri" w:hAnsiTheme="minorHAnsi" w:cstheme="minorHAnsi"/>
          <w:sz w:val="26"/>
          <w:szCs w:val="26"/>
        </w:rPr>
        <w:t xml:space="preserve"> </w:t>
      </w:r>
      <w:r w:rsidRPr="001D51D4">
        <w:rPr>
          <w:rFonts w:asciiTheme="minorHAnsi" w:eastAsia="Calibri" w:hAnsiTheme="minorHAnsi" w:cstheme="minorHAnsi"/>
          <w:sz w:val="26"/>
          <w:szCs w:val="26"/>
        </w:rPr>
        <w:t xml:space="preserve">monitorizarea performanţelor compartimentului, inventarul obiectivelor specifice, activităţilor şi a procedurilor documentate, </w:t>
      </w:r>
      <w:r w:rsidR="0057578C">
        <w:rPr>
          <w:rFonts w:asciiTheme="minorHAnsi" w:eastAsia="Calibri" w:hAnsiTheme="minorHAnsi" w:cstheme="minorHAnsi"/>
          <w:sz w:val="26"/>
          <w:szCs w:val="26"/>
        </w:rPr>
        <w:t xml:space="preserve">precum şi </w:t>
      </w:r>
      <w:r w:rsidRPr="001D51D4">
        <w:rPr>
          <w:rFonts w:asciiTheme="minorHAnsi" w:eastAsia="Calibri" w:hAnsiTheme="minorHAnsi" w:cstheme="minorHAnsi"/>
          <w:sz w:val="26"/>
          <w:szCs w:val="26"/>
        </w:rPr>
        <w:t xml:space="preserve">inventarul documentelor gestionate la nivelul structurii. </w:t>
      </w:r>
    </w:p>
    <w:p w14:paraId="45299687" w14:textId="52466525" w:rsidR="001D51D4" w:rsidRPr="001D51D4" w:rsidRDefault="000464E2" w:rsidP="000464E2">
      <w:pPr>
        <w:tabs>
          <w:tab w:val="left" w:pos="567"/>
          <w:tab w:val="left" w:pos="3120"/>
        </w:tabs>
        <w:spacing w:line="276" w:lineRule="auto"/>
        <w:ind w:right="-2"/>
        <w:jc w:val="both"/>
        <w:rPr>
          <w:rFonts w:asciiTheme="minorHAnsi" w:eastAsia="Calibri" w:hAnsiTheme="minorHAnsi" w:cstheme="minorHAnsi"/>
          <w:sz w:val="26"/>
          <w:szCs w:val="26"/>
        </w:rPr>
      </w:pPr>
      <w:r>
        <w:rPr>
          <w:rFonts w:asciiTheme="minorHAnsi" w:eastAsia="Calibri" w:hAnsiTheme="minorHAnsi" w:cstheme="minorHAnsi"/>
          <w:sz w:val="26"/>
          <w:szCs w:val="26"/>
        </w:rPr>
        <w:tab/>
      </w:r>
      <w:r w:rsidR="001D51D4" w:rsidRPr="001D51D4">
        <w:rPr>
          <w:rFonts w:asciiTheme="minorHAnsi" w:eastAsia="Calibri" w:hAnsiTheme="minorHAnsi" w:cstheme="minorHAnsi"/>
          <w:sz w:val="26"/>
          <w:szCs w:val="26"/>
        </w:rPr>
        <w:t xml:space="preserve">Suplimentar, personalul încadrat la nivelul compartimentului a procedat la predarea către </w:t>
      </w:r>
      <w:r w:rsidR="0061190F">
        <w:rPr>
          <w:rFonts w:asciiTheme="minorHAnsi" w:eastAsia="Calibri" w:hAnsiTheme="minorHAnsi" w:cstheme="minorHAnsi"/>
          <w:sz w:val="26"/>
          <w:szCs w:val="26"/>
        </w:rPr>
        <w:t>S</w:t>
      </w:r>
      <w:r w:rsidR="0061190F" w:rsidRPr="0061190F">
        <w:rPr>
          <w:rFonts w:asciiTheme="minorHAnsi" w:eastAsia="Calibri" w:hAnsiTheme="minorHAnsi" w:cstheme="minorHAnsi"/>
          <w:sz w:val="26"/>
          <w:szCs w:val="26"/>
        </w:rPr>
        <w:t>erviciul de relaţii cu publicul, registratură şi arhivă</w:t>
      </w:r>
      <w:r w:rsidR="0061190F">
        <w:rPr>
          <w:rFonts w:asciiTheme="minorHAnsi" w:eastAsia="Calibri" w:hAnsiTheme="minorHAnsi" w:cstheme="minorHAnsi"/>
          <w:sz w:val="26"/>
          <w:szCs w:val="26"/>
        </w:rPr>
        <w:t xml:space="preserve"> </w:t>
      </w:r>
      <w:r w:rsidR="001D51D4" w:rsidRPr="001D51D4">
        <w:rPr>
          <w:rFonts w:asciiTheme="minorHAnsi" w:eastAsia="Calibri" w:hAnsiTheme="minorHAnsi" w:cstheme="minorHAnsi"/>
          <w:sz w:val="26"/>
          <w:szCs w:val="26"/>
        </w:rPr>
        <w:t>a documentelor arhivate la nivelul compartimentului.</w:t>
      </w:r>
    </w:p>
    <w:p w14:paraId="7B635D5E" w14:textId="6A88C140" w:rsidR="008A19E0" w:rsidRDefault="000464E2" w:rsidP="008A19E0">
      <w:pPr>
        <w:tabs>
          <w:tab w:val="left" w:pos="567"/>
          <w:tab w:val="left" w:pos="3120"/>
        </w:tabs>
        <w:spacing w:line="276" w:lineRule="auto"/>
        <w:ind w:right="-2"/>
        <w:jc w:val="both"/>
        <w:rPr>
          <w:rFonts w:asciiTheme="minorHAnsi" w:eastAsia="Calibri" w:hAnsiTheme="minorHAnsi" w:cstheme="minorHAnsi"/>
          <w:sz w:val="26"/>
          <w:szCs w:val="26"/>
        </w:rPr>
      </w:pPr>
      <w:r>
        <w:rPr>
          <w:rFonts w:asciiTheme="minorHAnsi" w:eastAsia="Calibri" w:hAnsiTheme="minorHAnsi" w:cstheme="minorHAnsi"/>
          <w:sz w:val="26"/>
          <w:szCs w:val="26"/>
        </w:rPr>
        <w:tab/>
      </w:r>
      <w:r w:rsidR="001D51D4" w:rsidRPr="001D51D4">
        <w:rPr>
          <w:rFonts w:asciiTheme="minorHAnsi" w:eastAsia="Calibri" w:hAnsiTheme="minorHAnsi" w:cstheme="minorHAnsi"/>
          <w:sz w:val="26"/>
          <w:szCs w:val="26"/>
        </w:rPr>
        <w:t>De asemenea,</w:t>
      </w:r>
      <w:r w:rsidR="0057578C">
        <w:rPr>
          <w:rFonts w:asciiTheme="minorHAnsi" w:eastAsia="Calibri" w:hAnsiTheme="minorHAnsi" w:cstheme="minorHAnsi"/>
          <w:sz w:val="26"/>
          <w:szCs w:val="26"/>
        </w:rPr>
        <w:t xml:space="preserve"> </w:t>
      </w:r>
      <w:r w:rsidR="001D51D4" w:rsidRPr="001D51D4">
        <w:rPr>
          <w:rFonts w:asciiTheme="minorHAnsi" w:eastAsia="Calibri" w:hAnsiTheme="minorHAnsi" w:cstheme="minorHAnsi"/>
          <w:sz w:val="26"/>
          <w:szCs w:val="26"/>
        </w:rPr>
        <w:t>în</w:t>
      </w:r>
      <w:r w:rsidR="0057578C">
        <w:rPr>
          <w:rFonts w:asciiTheme="minorHAnsi" w:eastAsia="Calibri" w:hAnsiTheme="minorHAnsi" w:cstheme="minorHAnsi"/>
          <w:sz w:val="26"/>
          <w:szCs w:val="26"/>
        </w:rPr>
        <w:t xml:space="preserve"> </w:t>
      </w:r>
      <w:r w:rsidR="001D51D4" w:rsidRPr="001D51D4">
        <w:rPr>
          <w:rFonts w:asciiTheme="minorHAnsi" w:eastAsia="Calibri" w:hAnsiTheme="minorHAnsi" w:cstheme="minorHAnsi"/>
          <w:sz w:val="26"/>
          <w:szCs w:val="26"/>
        </w:rPr>
        <w:t>ceea ce privește actele profesionale emise în cadrul comisiilor de examinare/reexaminare psihologică, acestea au fost înregistrate în Registrul de evidenţă a actelor profesionale, gestionat potrivit dispoziţiilor emise de Colegiul Psihologilor din România.</w:t>
      </w:r>
      <w:bookmarkStart w:id="189" w:name="_Toc403552677"/>
      <w:bookmarkStart w:id="190" w:name="_Toc430867142"/>
    </w:p>
    <w:p w14:paraId="1B6A95E2" w14:textId="77777777" w:rsidR="008A19E0" w:rsidRDefault="008A19E0">
      <w:pPr>
        <w:spacing w:after="160" w:line="259" w:lineRule="auto"/>
        <w:rPr>
          <w:rFonts w:asciiTheme="minorHAnsi" w:eastAsia="Calibri" w:hAnsiTheme="minorHAnsi" w:cstheme="minorHAnsi"/>
          <w:sz w:val="26"/>
          <w:szCs w:val="26"/>
        </w:rPr>
      </w:pPr>
      <w:r>
        <w:rPr>
          <w:rFonts w:asciiTheme="minorHAnsi" w:eastAsia="Calibri" w:hAnsiTheme="minorHAnsi" w:cstheme="minorHAnsi"/>
          <w:sz w:val="26"/>
          <w:szCs w:val="26"/>
        </w:rPr>
        <w:br w:type="page"/>
      </w:r>
    </w:p>
    <w:p w14:paraId="2FF08F49" w14:textId="52860B11" w:rsidR="0016242F" w:rsidRPr="0016242F" w:rsidRDefault="0016242F" w:rsidP="00C304F2">
      <w:pPr>
        <w:suppressLineNumbers/>
        <w:suppressAutoHyphens/>
        <w:spacing w:before="240" w:after="240" w:line="276" w:lineRule="auto"/>
        <w:ind w:right="-2"/>
        <w:jc w:val="center"/>
        <w:outlineLvl w:val="0"/>
        <w:rPr>
          <w:rFonts w:asciiTheme="minorHAnsi" w:eastAsiaTheme="majorEastAsia" w:hAnsiTheme="minorHAnsi" w:cstheme="minorHAnsi"/>
          <w:b/>
          <w:sz w:val="26"/>
          <w:szCs w:val="26"/>
        </w:rPr>
      </w:pPr>
      <w:bookmarkStart w:id="191" w:name="_Toc187824406"/>
      <w:r w:rsidRPr="0016242F">
        <w:rPr>
          <w:rFonts w:asciiTheme="minorHAnsi" w:eastAsiaTheme="majorEastAsia" w:hAnsiTheme="minorHAnsi" w:cstheme="minorHAnsi"/>
          <w:b/>
          <w:sz w:val="26"/>
          <w:szCs w:val="26"/>
        </w:rPr>
        <w:lastRenderedPageBreak/>
        <w:t>CAPITOLUL VII</w:t>
      </w:r>
      <w:bookmarkEnd w:id="189"/>
      <w:bookmarkEnd w:id="191"/>
    </w:p>
    <w:p w14:paraId="3AB5B39E" w14:textId="77777777" w:rsidR="0016242F" w:rsidRPr="0016242F" w:rsidRDefault="0016242F" w:rsidP="00C304F2">
      <w:pPr>
        <w:suppressLineNumbers/>
        <w:suppressAutoHyphens/>
        <w:spacing w:line="276" w:lineRule="auto"/>
        <w:ind w:right="-2"/>
        <w:jc w:val="center"/>
        <w:outlineLvl w:val="0"/>
        <w:rPr>
          <w:rFonts w:asciiTheme="minorHAnsi" w:eastAsiaTheme="majorEastAsia" w:hAnsiTheme="minorHAnsi" w:cstheme="minorHAnsi"/>
          <w:b/>
          <w:sz w:val="26"/>
          <w:szCs w:val="26"/>
        </w:rPr>
      </w:pPr>
      <w:bookmarkStart w:id="192" w:name="_Toc187824407"/>
      <w:r w:rsidRPr="0016242F">
        <w:rPr>
          <w:rFonts w:asciiTheme="minorHAnsi" w:eastAsiaTheme="majorEastAsia" w:hAnsiTheme="minorHAnsi" w:cstheme="minorHAnsi"/>
          <w:b/>
          <w:sz w:val="26"/>
          <w:szCs w:val="26"/>
        </w:rPr>
        <w:t>Concluzii</w:t>
      </w:r>
      <w:bookmarkEnd w:id="192"/>
      <w:r w:rsidRPr="0016242F">
        <w:rPr>
          <w:rFonts w:asciiTheme="minorHAnsi" w:eastAsiaTheme="majorEastAsia" w:hAnsiTheme="minorHAnsi" w:cstheme="minorHAnsi"/>
          <w:b/>
          <w:sz w:val="26"/>
          <w:szCs w:val="26"/>
        </w:rPr>
        <w:t xml:space="preserve"> </w:t>
      </w:r>
      <w:bookmarkEnd w:id="190"/>
    </w:p>
    <w:p w14:paraId="67B894E7" w14:textId="77777777" w:rsidR="0016242F" w:rsidRPr="0016242F" w:rsidRDefault="0016242F" w:rsidP="00C304F2">
      <w:pPr>
        <w:spacing w:line="276" w:lineRule="auto"/>
        <w:ind w:firstLine="720"/>
        <w:jc w:val="both"/>
        <w:rPr>
          <w:rFonts w:asciiTheme="minorHAnsi" w:hAnsiTheme="minorHAnsi" w:cstheme="minorHAnsi"/>
          <w:sz w:val="26"/>
          <w:szCs w:val="26"/>
        </w:rPr>
      </w:pPr>
    </w:p>
    <w:p w14:paraId="2F356053" w14:textId="2ED8CB2B"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În limita prerogativelor conferite de Constituția României și de prevederile legii organice care stabileşte atribuţiile instituţiei, Consiliul Superior al Magistraturii a urmărit</w:t>
      </w:r>
      <w:r w:rsidR="004F0F70">
        <w:rPr>
          <w:rFonts w:asciiTheme="minorHAnsi" w:hAnsiTheme="minorHAnsi" w:cstheme="minorHAnsi"/>
          <w:sz w:val="26"/>
          <w:szCs w:val="26"/>
        </w:rPr>
        <w:t>,</w:t>
      </w:r>
      <w:r w:rsidRPr="00A0030D">
        <w:rPr>
          <w:rFonts w:asciiTheme="minorHAnsi" w:hAnsiTheme="minorHAnsi" w:cstheme="minorHAnsi"/>
          <w:sz w:val="26"/>
          <w:szCs w:val="26"/>
        </w:rPr>
        <w:t xml:space="preserve"> în cursul anului 2024</w:t>
      </w:r>
      <w:r w:rsidR="004F0F70">
        <w:rPr>
          <w:rFonts w:asciiTheme="minorHAnsi" w:hAnsiTheme="minorHAnsi" w:cstheme="minorHAnsi"/>
          <w:sz w:val="26"/>
          <w:szCs w:val="26"/>
        </w:rPr>
        <w:t>,</w:t>
      </w:r>
      <w:r w:rsidRPr="00A0030D">
        <w:rPr>
          <w:rFonts w:asciiTheme="minorHAnsi" w:hAnsiTheme="minorHAnsi" w:cstheme="minorHAnsi"/>
          <w:sz w:val="26"/>
          <w:szCs w:val="26"/>
        </w:rPr>
        <w:t xml:space="preserve"> ca activitatea derulată să asigure coordonatele legale şi resursele umane necesare realizării unui act de justiţie de calitate de către sistemul judiciar.</w:t>
      </w:r>
    </w:p>
    <w:p w14:paraId="2DBD140A"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Luând în considerare în activitatea decizională aceste repere esenţiale pentru calitatea justiţiei, una dintre marile provocări ale anului de referință, cu impact pentru sistemul judiciar, a reprezentat-o asigurarea necesarului de resurse umane pentru buna desfășurare a activității la nivelul instanțelor şi parchetelor de pe lângă acestea.</w:t>
      </w:r>
    </w:p>
    <w:p w14:paraId="49B68CD6" w14:textId="4F4D04C5"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 xml:space="preserve">Fiind necesar a se asigura desfăşurarea în bune condiții a activității Înaltei Curți de Casație şi Justiție, în anul 2024, s-a dispus numirea în funcţia de preşedinte al Secţiei I civile a instanţei supreme şi în funcţia de preşedinte al Secţiei de contencios administrativ şi fiscal, pe o perioadă de 3 ani, începând cu data de 01 aprilie 2024, precum și în funcția de </w:t>
      </w:r>
      <w:r w:rsidRPr="00A0030D">
        <w:rPr>
          <w:rFonts w:asciiTheme="minorHAnsi" w:hAnsiTheme="minorHAnsi" w:cstheme="minorHAnsi"/>
          <w:bCs/>
          <w:iCs/>
          <w:sz w:val="26"/>
          <w:szCs w:val="26"/>
        </w:rPr>
        <w:t xml:space="preserve">preşedinte al Secției a II-a civile a Înaltei Curţi de Casaţie şi Justiţie, începând cu data de 11 ianuarie 2025. </w:t>
      </w:r>
      <w:r w:rsidRPr="00A0030D">
        <w:rPr>
          <w:rFonts w:asciiTheme="minorHAnsi" w:hAnsiTheme="minorHAnsi" w:cstheme="minorHAnsi"/>
          <w:sz w:val="26"/>
          <w:szCs w:val="26"/>
        </w:rPr>
        <w:t>De asemenea, 6 judecători au promovat la instanţa supremă, începând cu data de 15 aprilie 2024, ca urmare a finalizării concursului desfăşurat în perioada noiembrie 2023 – martie 2024, iar</w:t>
      </w:r>
      <w:r w:rsidR="0055608D">
        <w:rPr>
          <w:rFonts w:asciiTheme="minorHAnsi" w:hAnsiTheme="minorHAnsi" w:cstheme="minorHAnsi"/>
          <w:sz w:val="26"/>
          <w:szCs w:val="26"/>
        </w:rPr>
        <w:t>,</w:t>
      </w:r>
      <w:r w:rsidRPr="00A0030D">
        <w:rPr>
          <w:rFonts w:asciiTheme="minorHAnsi" w:hAnsiTheme="minorHAnsi" w:cstheme="minorHAnsi"/>
          <w:sz w:val="26"/>
          <w:szCs w:val="26"/>
        </w:rPr>
        <w:t xml:space="preserve"> în prezent</w:t>
      </w:r>
      <w:r w:rsidR="0055608D">
        <w:rPr>
          <w:rFonts w:asciiTheme="minorHAnsi" w:hAnsiTheme="minorHAnsi" w:cstheme="minorHAnsi"/>
          <w:sz w:val="26"/>
          <w:szCs w:val="26"/>
        </w:rPr>
        <w:t>,</w:t>
      </w:r>
      <w:r w:rsidRPr="00A0030D">
        <w:rPr>
          <w:rFonts w:asciiTheme="minorHAnsi" w:hAnsiTheme="minorHAnsi" w:cstheme="minorHAnsi"/>
          <w:sz w:val="26"/>
          <w:szCs w:val="26"/>
        </w:rPr>
        <w:t xml:space="preserve"> este în desfăşurare un nou concurs de promovare în funcţia de judecător la Înalta Curte de Casaţie şi Justiţie, în perioada septembrie 2024 – ianuarie 2025, fiind alocate 21 de posturi în cadrul procedurii de concurs.</w:t>
      </w:r>
    </w:p>
    <w:p w14:paraId="7B45D956" w14:textId="29657545"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Tot în cursul acestui an, în vederea organizării în bune condiții a activității marilor parchete din România, la data de 16 septembrie 2024, a fost declanşată procedura vizând selecţia procurorilor în vederea formulării către Preşedintele României a propunerii de numire pentru ocuparea funcţiei de prim-adjunct al procurorului general al Parchetului de pe lângă Înalta Curte de Casaţie şi Justiţie, iar</w:t>
      </w:r>
      <w:r w:rsidR="00607389">
        <w:rPr>
          <w:rFonts w:asciiTheme="minorHAnsi" w:hAnsiTheme="minorHAnsi" w:cstheme="minorHAnsi"/>
          <w:sz w:val="26"/>
          <w:szCs w:val="26"/>
        </w:rPr>
        <w:t>,</w:t>
      </w:r>
      <w:r w:rsidRPr="00A0030D">
        <w:rPr>
          <w:rFonts w:asciiTheme="minorHAnsi" w:hAnsiTheme="minorHAnsi" w:cstheme="minorHAnsi"/>
          <w:sz w:val="26"/>
          <w:szCs w:val="26"/>
        </w:rPr>
        <w:t xml:space="preserve"> </w:t>
      </w:r>
      <w:r w:rsidRPr="00A0030D">
        <w:rPr>
          <w:rFonts w:ascii="Calibri" w:hAnsi="Calibri" w:cs="Calibri"/>
          <w:bCs/>
          <w:sz w:val="26"/>
          <w:szCs w:val="26"/>
        </w:rPr>
        <w:t>prin Decretul Președintelui României nr. 1359/2024, acesta a fost numit în funcție începând cu data de 26 noiembrie 2024.</w:t>
      </w:r>
    </w:p>
    <w:p w14:paraId="41AFB227"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În cursul anului 2024 au fost finalizate două concursuri de admitere în magistratură, fiind ocupate 369 de posturi de judecător la judecătorii şi 200 de posturi de procuror la parchetele de pe lângă judecătorii. Totodată, este în derulare concursul de admitere în magistratură pentru ocuparea a 118 posturi de judecător la judecătorii şi 21 de posturi de procuror la parchetele de pe lângă judecătorii, concurs care se va finaliza în cursul lunii martie 2025, precum şi concursul de admitere la Institutul Naţional al Magistraturii, organizat în perioada 25 iulie 2024 – 16 aprilie 2025.</w:t>
      </w:r>
    </w:p>
    <w:p w14:paraId="0C524A07" w14:textId="77777777" w:rsidR="0016242F" w:rsidRPr="00A0030D" w:rsidRDefault="0016242F" w:rsidP="00C304F2">
      <w:pPr>
        <w:spacing w:line="276" w:lineRule="auto"/>
        <w:ind w:firstLine="720"/>
        <w:jc w:val="both"/>
        <w:rPr>
          <w:rFonts w:asciiTheme="minorHAnsi" w:hAnsiTheme="minorHAnsi" w:cstheme="minorHAnsi"/>
          <w:bCs/>
          <w:sz w:val="26"/>
          <w:szCs w:val="26"/>
        </w:rPr>
      </w:pPr>
      <w:r w:rsidRPr="00A0030D">
        <w:rPr>
          <w:rFonts w:asciiTheme="minorHAnsi" w:hAnsiTheme="minorHAnsi" w:cstheme="minorHAnsi"/>
          <w:sz w:val="26"/>
          <w:szCs w:val="26"/>
        </w:rPr>
        <w:t>De asemenea, în cadrul procedurii de numire</w:t>
      </w:r>
      <w:r w:rsidRPr="00A0030D">
        <w:rPr>
          <w:rFonts w:asciiTheme="minorHAnsi" w:hAnsiTheme="minorHAnsi" w:cstheme="minorHAnsi"/>
          <w:b/>
          <w:sz w:val="26"/>
          <w:szCs w:val="26"/>
        </w:rPr>
        <w:t xml:space="preserve"> </w:t>
      </w:r>
      <w:r w:rsidRPr="00A0030D">
        <w:rPr>
          <w:rFonts w:asciiTheme="minorHAnsi" w:hAnsiTheme="minorHAnsi" w:cstheme="minorHAnsi"/>
          <w:bCs/>
          <w:sz w:val="26"/>
          <w:szCs w:val="26"/>
        </w:rPr>
        <w:t>și reîncadrare în funcția de judecător organizată în temeiul art. 216 alin. (2) - (3) din Legea nr. 303/2022, au fost numiți în funcție 7 judecători, dintre care 4 la nivel de judecătorie şi 3 la nivel de tribunal.</w:t>
      </w:r>
    </w:p>
    <w:p w14:paraId="4BEEA970" w14:textId="723C4EED" w:rsidR="0016242F" w:rsidRPr="00A0030D" w:rsidRDefault="0016242F" w:rsidP="00C304F2">
      <w:pPr>
        <w:spacing w:line="276" w:lineRule="auto"/>
        <w:ind w:firstLine="720"/>
        <w:jc w:val="both"/>
        <w:rPr>
          <w:rFonts w:asciiTheme="minorHAnsi" w:hAnsiTheme="minorHAnsi" w:cstheme="minorHAnsi"/>
          <w:bCs/>
          <w:sz w:val="26"/>
          <w:szCs w:val="26"/>
        </w:rPr>
      </w:pPr>
      <w:r w:rsidRPr="00A0030D">
        <w:rPr>
          <w:rFonts w:asciiTheme="minorHAnsi" w:hAnsiTheme="minorHAnsi" w:cstheme="minorHAnsi"/>
          <w:bCs/>
          <w:sz w:val="26"/>
          <w:szCs w:val="26"/>
        </w:rPr>
        <w:t>Tot în cursul anului de referință a fost organizat concursul pentru ocuparea funcțiilor de conducere în cadrul instanțelor judecătorești pentru ocuparea unui număr de 129 de funcţii de conducere vacante sau care urm</w:t>
      </w:r>
      <w:r w:rsidR="00DA3EDD" w:rsidRPr="00A0030D">
        <w:rPr>
          <w:rFonts w:asciiTheme="minorHAnsi" w:hAnsiTheme="minorHAnsi" w:cstheme="minorHAnsi"/>
          <w:bCs/>
          <w:sz w:val="26"/>
          <w:szCs w:val="26"/>
        </w:rPr>
        <w:t>au</w:t>
      </w:r>
      <w:r w:rsidRPr="00A0030D">
        <w:rPr>
          <w:rFonts w:asciiTheme="minorHAnsi" w:hAnsiTheme="minorHAnsi" w:cstheme="minorHAnsi"/>
          <w:bCs/>
          <w:sz w:val="26"/>
          <w:szCs w:val="26"/>
        </w:rPr>
        <w:t xml:space="preserve"> a se vacanta până la data de 17 iulie 2024 la curţile de apel, tribunale, tribunale specializate, judecătorii şi instanţe militare, fiind numiţi în funcţii de conducere 24 de judecători pentru un mandat de 3 ani.</w:t>
      </w:r>
    </w:p>
    <w:p w14:paraId="1DE6FEB0" w14:textId="36BF96C3" w:rsidR="0016242F" w:rsidRPr="00A0030D" w:rsidRDefault="0016242F" w:rsidP="00C304F2">
      <w:pPr>
        <w:tabs>
          <w:tab w:val="right" w:pos="8640"/>
        </w:tabs>
        <w:spacing w:line="276" w:lineRule="auto"/>
        <w:ind w:firstLine="709"/>
        <w:jc w:val="both"/>
        <w:rPr>
          <w:rFonts w:asciiTheme="minorHAnsi" w:hAnsiTheme="minorHAnsi" w:cstheme="minorHAnsi"/>
          <w:sz w:val="26"/>
          <w:szCs w:val="26"/>
        </w:rPr>
      </w:pPr>
      <w:r w:rsidRPr="00A0030D">
        <w:rPr>
          <w:rFonts w:asciiTheme="minorHAnsi" w:hAnsiTheme="minorHAnsi" w:cstheme="minorHAnsi"/>
          <w:bCs/>
          <w:sz w:val="26"/>
          <w:szCs w:val="26"/>
        </w:rPr>
        <w:lastRenderedPageBreak/>
        <w:t>De asemenea, în perioada august – decembrie 2024</w:t>
      </w:r>
      <w:r w:rsidR="00ED6B68">
        <w:rPr>
          <w:rFonts w:asciiTheme="minorHAnsi" w:hAnsiTheme="minorHAnsi" w:cstheme="minorHAnsi"/>
          <w:bCs/>
          <w:sz w:val="26"/>
          <w:szCs w:val="26"/>
        </w:rPr>
        <w:t>,</w:t>
      </w:r>
      <w:r w:rsidRPr="00A0030D">
        <w:rPr>
          <w:rFonts w:asciiTheme="minorHAnsi" w:hAnsiTheme="minorHAnsi" w:cstheme="minorHAnsi"/>
          <w:bCs/>
          <w:sz w:val="26"/>
          <w:szCs w:val="26"/>
        </w:rPr>
        <w:t xml:space="preserve"> s-a derulat un nou concurs pentru ocuparea unui număr de 127 de funcţii de preşedinte vacante sau care </w:t>
      </w:r>
      <w:r w:rsidR="00DA3EDD" w:rsidRPr="00A0030D">
        <w:rPr>
          <w:rFonts w:asciiTheme="minorHAnsi" w:hAnsiTheme="minorHAnsi" w:cstheme="minorHAnsi"/>
          <w:bCs/>
          <w:sz w:val="26"/>
          <w:szCs w:val="26"/>
        </w:rPr>
        <w:t>urmau a se vacanta</w:t>
      </w:r>
      <w:r w:rsidRPr="00A0030D">
        <w:rPr>
          <w:rFonts w:asciiTheme="minorHAnsi" w:hAnsiTheme="minorHAnsi" w:cstheme="minorHAnsi"/>
          <w:bCs/>
          <w:sz w:val="26"/>
          <w:szCs w:val="26"/>
        </w:rPr>
        <w:t xml:space="preserve"> până la data de 09 ianuarie 2025 la curţi de apel, tribunale, tribunale specializate şi judecătorii, în urma acestui concurs </w:t>
      </w:r>
      <w:r w:rsidRPr="00A0030D">
        <w:rPr>
          <w:rFonts w:asciiTheme="minorHAnsi" w:hAnsiTheme="minorHAnsi" w:cstheme="minorHAnsi"/>
          <w:sz w:val="26"/>
          <w:szCs w:val="26"/>
        </w:rPr>
        <w:t>fiind numiţi în funcţia de preşedinte 24 de candidaţi.</w:t>
      </w:r>
    </w:p>
    <w:p w14:paraId="41C566FA" w14:textId="77777777" w:rsidR="0016242F" w:rsidRPr="00A0030D" w:rsidRDefault="0016242F" w:rsidP="00C304F2">
      <w:pPr>
        <w:spacing w:line="276" w:lineRule="auto"/>
        <w:ind w:firstLine="720"/>
        <w:jc w:val="both"/>
        <w:rPr>
          <w:rFonts w:asciiTheme="minorHAnsi" w:hAnsiTheme="minorHAnsi" w:cstheme="minorHAnsi"/>
          <w:bCs/>
          <w:sz w:val="26"/>
          <w:szCs w:val="26"/>
        </w:rPr>
      </w:pPr>
      <w:r w:rsidRPr="00A0030D">
        <w:rPr>
          <w:rFonts w:asciiTheme="minorHAnsi" w:hAnsiTheme="minorHAnsi" w:cstheme="minorHAnsi"/>
          <w:bCs/>
          <w:sz w:val="26"/>
          <w:szCs w:val="26"/>
        </w:rPr>
        <w:t>În cursul anului, raportat la necesarul ocupării funcţiilor de conducere din instanţele judecătoreşti, au fost numiţi 60 de judecători în funcţiile de vicepreşedinte şi preşedinte de secţie.</w:t>
      </w:r>
    </w:p>
    <w:p w14:paraId="4D0C51C5" w14:textId="5D93FC6E" w:rsidR="0016242F" w:rsidRPr="00A0030D" w:rsidRDefault="0016242F" w:rsidP="00C304F2">
      <w:pPr>
        <w:spacing w:line="276" w:lineRule="auto"/>
        <w:ind w:firstLine="720"/>
        <w:jc w:val="both"/>
        <w:rPr>
          <w:rFonts w:ascii="Calibri" w:hAnsi="Calibri" w:cs="Calibri"/>
          <w:noProof w:val="0"/>
          <w:sz w:val="26"/>
          <w:szCs w:val="26"/>
        </w:rPr>
      </w:pPr>
      <w:r w:rsidRPr="00A0030D">
        <w:rPr>
          <w:rFonts w:asciiTheme="minorHAnsi" w:hAnsiTheme="minorHAnsi" w:cstheme="minorHAnsi"/>
          <w:bCs/>
          <w:sz w:val="26"/>
          <w:szCs w:val="26"/>
        </w:rPr>
        <w:t>În perioada 01 august 2024 – 27 noiembrie 2024</w:t>
      </w:r>
      <w:r w:rsidR="002F0992">
        <w:rPr>
          <w:rFonts w:asciiTheme="minorHAnsi" w:hAnsiTheme="minorHAnsi" w:cstheme="minorHAnsi"/>
          <w:bCs/>
          <w:sz w:val="26"/>
          <w:szCs w:val="26"/>
        </w:rPr>
        <w:t>,</w:t>
      </w:r>
      <w:r w:rsidRPr="00A0030D">
        <w:rPr>
          <w:rFonts w:asciiTheme="minorHAnsi" w:hAnsiTheme="minorHAnsi" w:cstheme="minorHAnsi"/>
          <w:bCs/>
          <w:sz w:val="26"/>
          <w:szCs w:val="26"/>
        </w:rPr>
        <w:t xml:space="preserve"> a fost aprobată organizarea concursului pentru numirea în funcţii de conducere a procurorilor la parchetele de pe lângă curţi de apel, tribunale, tribunale specializate şi judecătorii, fiind scoase la concurs 156 de funcţii vacante de procuror general şi prim procuror de la parchetele de pe lângă curţile de apel, tribunale şi judecătorii, </w:t>
      </w:r>
      <w:r w:rsidRPr="00A0030D">
        <w:rPr>
          <w:rFonts w:ascii="Calibri" w:hAnsi="Calibri" w:cs="Calibri"/>
          <w:noProof w:val="0"/>
          <w:sz w:val="26"/>
          <w:szCs w:val="26"/>
        </w:rPr>
        <w:t>în urma finalizării acestui concurs fiind ocupate 52 de funcții de conducere, începând cu data de 01 ianuarie 2025.</w:t>
      </w:r>
    </w:p>
    <w:p w14:paraId="6CA9E14F" w14:textId="1E37091E" w:rsidR="0016242F" w:rsidRPr="00A0030D" w:rsidRDefault="0016242F" w:rsidP="00C304F2">
      <w:pPr>
        <w:spacing w:line="276" w:lineRule="auto"/>
        <w:ind w:firstLine="720"/>
        <w:jc w:val="both"/>
        <w:rPr>
          <w:rFonts w:asciiTheme="minorHAnsi" w:hAnsiTheme="minorHAnsi" w:cstheme="minorHAnsi"/>
          <w:bCs/>
          <w:sz w:val="26"/>
          <w:szCs w:val="26"/>
        </w:rPr>
      </w:pPr>
      <w:r w:rsidRPr="00A0030D">
        <w:rPr>
          <w:rFonts w:asciiTheme="minorHAnsi" w:hAnsiTheme="minorHAnsi" w:cstheme="minorHAnsi"/>
          <w:bCs/>
          <w:sz w:val="26"/>
          <w:szCs w:val="26"/>
        </w:rPr>
        <w:t>În perioada ianuarie – decembrie 2024, în temeiul dispoziţiilor art. 149 şi art. 150 alin. (2) şi alin. (3) din Legea nr. 303/2022</w:t>
      </w:r>
      <w:r w:rsidR="00376B74">
        <w:rPr>
          <w:rFonts w:asciiTheme="minorHAnsi" w:hAnsiTheme="minorHAnsi" w:cstheme="minorHAnsi"/>
          <w:bCs/>
          <w:sz w:val="26"/>
          <w:szCs w:val="26"/>
        </w:rPr>
        <w:t>,</w:t>
      </w:r>
      <w:r w:rsidRPr="00A0030D">
        <w:rPr>
          <w:rFonts w:asciiTheme="minorHAnsi" w:hAnsiTheme="minorHAnsi" w:cstheme="minorHAnsi"/>
          <w:bCs/>
          <w:sz w:val="26"/>
          <w:szCs w:val="26"/>
        </w:rPr>
        <w:t xml:space="preserve"> au fost numiţi 89 de procurori în funcţii de conducere.</w:t>
      </w:r>
    </w:p>
    <w:p w14:paraId="4C357F5F" w14:textId="77777777" w:rsidR="0016242F" w:rsidRPr="00A0030D" w:rsidRDefault="0016242F" w:rsidP="00C304F2">
      <w:pPr>
        <w:spacing w:line="276" w:lineRule="auto"/>
        <w:jc w:val="both"/>
        <w:rPr>
          <w:rFonts w:asciiTheme="minorHAnsi" w:hAnsiTheme="minorHAnsi" w:cstheme="minorHAnsi"/>
          <w:sz w:val="26"/>
          <w:szCs w:val="26"/>
        </w:rPr>
      </w:pPr>
      <w:r w:rsidRPr="00A0030D">
        <w:rPr>
          <w:rFonts w:asciiTheme="minorHAnsi" w:hAnsiTheme="minorHAnsi" w:cstheme="minorHAnsi"/>
          <w:sz w:val="26"/>
          <w:szCs w:val="26"/>
        </w:rPr>
        <w:tab/>
        <w:t>A fost organizat un concurs de promovare efectivă a judecătorilor în funcţii de execuţie, pentru 30 de posturi la curţile de apel şi 408 posturi la tribunale, ce urmează a se finaliza în luna februarie 2025, precum şi un concurs de promovare în funcţii de execuţie efectivă a procurorilor pentru un număr de 139 de posturi, la finalul căruia au promovat efectiv la unităţile de parchet superioare 61 de procurori, iar încă 13 procurori au fost promovaţi ca efect al admiterii cererilor de valorificare a rezultatului obţinut la concurs.</w:t>
      </w:r>
    </w:p>
    <w:p w14:paraId="3B643A1A"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În ceea ce privește activitățile derulate în raport de atribuțiile în materie legislativă, în anul 2024, în exercitarea prerogativelor conferite de art. 39 alin. (3) din Legea nr. 305/2022, au fost înaintate Consiliului Superior al Magistraturii spre avizare proiectele mai multor acte normative care privesc activitatea autorității judecătorești.</w:t>
      </w:r>
    </w:p>
    <w:p w14:paraId="0F15C214" w14:textId="40658769"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În exercitarea acestei atribuții, Consiliul Superior al Magistraturii a avizat favorabil</w:t>
      </w:r>
      <w:r w:rsidR="00376B74">
        <w:rPr>
          <w:rFonts w:asciiTheme="minorHAnsi" w:hAnsiTheme="minorHAnsi" w:cstheme="minorHAnsi"/>
          <w:sz w:val="26"/>
          <w:szCs w:val="26"/>
        </w:rPr>
        <w:t>,</w:t>
      </w:r>
      <w:r w:rsidRPr="00A0030D">
        <w:rPr>
          <w:rFonts w:asciiTheme="minorHAnsi" w:hAnsiTheme="minorHAnsi" w:cstheme="minorHAnsi"/>
          <w:sz w:val="26"/>
          <w:szCs w:val="26"/>
        </w:rPr>
        <w:t xml:space="preserve"> cu observații sau fără observații, mai multe proiecte de acte normative, activitate amplu detaliată în secțiunea dedicată din prezentul raport. Totodată, cu privire la unele dintre proiectele de acte normative supuse analizei și avizării, Consiliul a emis avize negative.</w:t>
      </w:r>
    </w:p>
    <w:p w14:paraId="50C32972"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În anul de referință, în exercitarea atribuțiilor Consiliului Superior al Magistraturii prevăzute de art. 39 alin. (1) din Legea nr. 305/2022, dar și, punctual, de alte dispoziții legale, au fost adoptate, modificate și completate mai multe regulamente ce intră în competența de reglementare a Consiliului, în special în ceea ce priveşte gestionarea carierei magistraţilor.</w:t>
      </w:r>
    </w:p>
    <w:p w14:paraId="6A19CC62"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bCs/>
          <w:sz w:val="26"/>
          <w:szCs w:val="26"/>
        </w:rPr>
        <w:t>Raporturile Consiliului Superior al Magistraturii cu Parlamentul României</w:t>
      </w:r>
      <w:r w:rsidRPr="00A0030D">
        <w:rPr>
          <w:rFonts w:asciiTheme="minorHAnsi" w:hAnsiTheme="minorHAnsi" w:cstheme="minorHAnsi"/>
          <w:b/>
          <w:sz w:val="26"/>
          <w:szCs w:val="26"/>
        </w:rPr>
        <w:t xml:space="preserve"> </w:t>
      </w:r>
      <w:r w:rsidRPr="00A0030D">
        <w:rPr>
          <w:rFonts w:asciiTheme="minorHAnsi" w:hAnsiTheme="minorHAnsi" w:cstheme="minorHAnsi"/>
          <w:sz w:val="26"/>
          <w:szCs w:val="26"/>
        </w:rPr>
        <w:t xml:space="preserve">s-au concretizat, în principal, în avizarea propunerilor legislative aflate în dezbatere parlamentară și în exprimarea unor puncte de vedere față de o serie de propuneri legislative, atât de către Plen, cât şi prin intermediul comisiilor de specialitate. </w:t>
      </w:r>
    </w:p>
    <w:p w14:paraId="7AC2C0DC"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 xml:space="preserve">De asemenea, în </w:t>
      </w:r>
      <w:r w:rsidRPr="00A0030D">
        <w:rPr>
          <w:rFonts w:asciiTheme="minorHAnsi" w:hAnsiTheme="minorHAnsi" w:cstheme="minorHAnsi"/>
          <w:bCs/>
          <w:sz w:val="26"/>
          <w:szCs w:val="26"/>
        </w:rPr>
        <w:t>raporturile Consiliului Superior al Magistraturii cu puterea executivă,</w:t>
      </w:r>
      <w:r w:rsidRPr="00A0030D">
        <w:rPr>
          <w:rFonts w:asciiTheme="minorHAnsi" w:hAnsiTheme="minorHAnsi" w:cstheme="minorHAnsi"/>
          <w:sz w:val="26"/>
          <w:szCs w:val="26"/>
        </w:rPr>
        <w:t xml:space="preserve"> în cadrul procesului legislativ, Consiliul şi-a exercitat atribuțiile referitoare la avizarea actelor normative care privesc activitatea autorității judecătorești, prevăzute de art. 39 alin. (3) din Legea nr. 305/2004, prezentate anterior. O altă componentă importantă a acestor raporturi se referă la sesizările transmise Ministerului Justiției de către Plenul Consiliului Superior al Magistraturii,</w:t>
      </w:r>
      <w:r w:rsidRPr="00A0030D">
        <w:rPr>
          <w:rFonts w:asciiTheme="minorHAnsi" w:hAnsiTheme="minorHAnsi" w:cstheme="minorHAnsi"/>
          <w:b/>
          <w:sz w:val="26"/>
          <w:szCs w:val="26"/>
        </w:rPr>
        <w:t xml:space="preserve"> </w:t>
      </w:r>
      <w:r w:rsidRPr="00A0030D">
        <w:rPr>
          <w:rFonts w:asciiTheme="minorHAnsi" w:hAnsiTheme="minorHAnsi" w:cstheme="minorHAnsi"/>
          <w:sz w:val="26"/>
          <w:szCs w:val="26"/>
        </w:rPr>
        <w:t xml:space="preserve">în temeiul art. 39 alin. (5) din Legea nr. 305/2022, pentru inițierea sau modificarea unor acte normative. </w:t>
      </w:r>
    </w:p>
    <w:p w14:paraId="1C6DC264"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lastRenderedPageBreak/>
        <w:t xml:space="preserve">În ceea ce privește </w:t>
      </w:r>
      <w:r w:rsidRPr="00A0030D">
        <w:rPr>
          <w:rFonts w:asciiTheme="minorHAnsi" w:hAnsiTheme="minorHAnsi" w:cstheme="minorHAnsi"/>
          <w:bCs/>
          <w:sz w:val="26"/>
          <w:szCs w:val="26"/>
        </w:rPr>
        <w:t>relația Consiliului cu Președintele României,</w:t>
      </w:r>
      <w:r w:rsidRPr="00A0030D">
        <w:rPr>
          <w:rFonts w:asciiTheme="minorHAnsi" w:hAnsiTheme="minorHAnsi" w:cstheme="minorHAnsi"/>
          <w:b/>
          <w:sz w:val="26"/>
          <w:szCs w:val="26"/>
        </w:rPr>
        <w:t xml:space="preserve"> </w:t>
      </w:r>
      <w:r w:rsidRPr="00A0030D">
        <w:rPr>
          <w:rFonts w:asciiTheme="minorHAnsi" w:hAnsiTheme="minorHAnsi" w:cstheme="minorHAnsi"/>
          <w:sz w:val="26"/>
          <w:szCs w:val="26"/>
        </w:rPr>
        <w:t xml:space="preserve">aceasta s-a circumscris prevederilor art. 134 din Constituția României şi celor din legile organice privind justiția, în temeiul cărora au fost înaintate Președintelui României hotărârile Secţiilor Consiliului Superior al Magistraturii privind propunerile de numire şi de eliberare din funcțiile de judecător şi procuror. </w:t>
      </w:r>
    </w:p>
    <w:p w14:paraId="39C74394"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În cursul anului 2024, activitatea Consiliului Superior al Magistraturii a urmărit, de asemenea, consolidarea</w:t>
      </w:r>
      <w:r w:rsidRPr="00A0030D">
        <w:rPr>
          <w:rFonts w:asciiTheme="minorHAnsi" w:hAnsiTheme="minorHAnsi" w:cstheme="minorHAnsi"/>
          <w:bCs/>
          <w:sz w:val="26"/>
          <w:szCs w:val="26"/>
        </w:rPr>
        <w:t xml:space="preserve"> capacității instituționale a Institutului Național al Magistraturii și Școlii Naționale de Grefieri,</w:t>
      </w:r>
      <w:r w:rsidRPr="00A0030D">
        <w:rPr>
          <w:rFonts w:asciiTheme="minorHAnsi" w:hAnsiTheme="minorHAnsi" w:cstheme="minorHAnsi"/>
          <w:sz w:val="26"/>
          <w:szCs w:val="26"/>
        </w:rPr>
        <w:t xml:space="preserve"> asigurând participarea celor două instituții în cadrul proiectelor cu finanțare externă ce asigură formarea judecătorilor, procurorilor și grefierilor, dar şi ocuparea funcţiilor de conducere vacante în cadrul celor două instituţii şi completarea echipelor de formatori.</w:t>
      </w:r>
    </w:p>
    <w:p w14:paraId="2C786905"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 xml:space="preserve">În ceea ce privește </w:t>
      </w:r>
      <w:r w:rsidRPr="00A0030D">
        <w:rPr>
          <w:rFonts w:asciiTheme="minorHAnsi" w:hAnsiTheme="minorHAnsi" w:cstheme="minorHAnsi"/>
          <w:bCs/>
          <w:sz w:val="26"/>
          <w:szCs w:val="26"/>
        </w:rPr>
        <w:t>atribuțiile jurisdicționale în materie disciplinară</w:t>
      </w:r>
      <w:r w:rsidRPr="00A0030D">
        <w:rPr>
          <w:rFonts w:asciiTheme="minorHAnsi" w:hAnsiTheme="minorHAnsi" w:cstheme="minorHAnsi"/>
          <w:sz w:val="26"/>
          <w:szCs w:val="26"/>
        </w:rPr>
        <w:t xml:space="preserve"> ale Consiliului, datele statistice indică un număr de 12 sancțiuni disciplinare aplicate judecătorilor, dintre care 4 sancțiuni disciplinare nu sunt definitive, și 5 sancțiuni disciplinare aplicate procurorilor, dintre care 2 sancţiuni disciplinare nu sunt definitive. </w:t>
      </w:r>
    </w:p>
    <w:p w14:paraId="2261C002"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bCs/>
          <w:sz w:val="26"/>
          <w:szCs w:val="26"/>
        </w:rPr>
        <w:t>Subsumat rolului principal al Consiliului Superior al Magistraturii,</w:t>
      </w:r>
      <w:r w:rsidRPr="00A0030D">
        <w:rPr>
          <w:rFonts w:asciiTheme="minorHAnsi" w:hAnsiTheme="minorHAnsi" w:cstheme="minorHAnsi"/>
          <w:sz w:val="26"/>
          <w:szCs w:val="26"/>
        </w:rPr>
        <w:t xml:space="preserve"> acela de </w:t>
      </w:r>
      <w:r w:rsidRPr="00A0030D">
        <w:rPr>
          <w:rFonts w:asciiTheme="minorHAnsi" w:hAnsiTheme="minorHAnsi" w:cstheme="minorHAnsi"/>
          <w:iCs/>
          <w:sz w:val="26"/>
          <w:szCs w:val="26"/>
        </w:rPr>
        <w:t>garant al independenței justiției</w:t>
      </w:r>
      <w:r w:rsidRPr="00A0030D">
        <w:rPr>
          <w:rFonts w:asciiTheme="minorHAnsi" w:hAnsiTheme="minorHAnsi" w:cstheme="minorHAnsi"/>
          <w:sz w:val="26"/>
          <w:szCs w:val="26"/>
        </w:rPr>
        <w:t xml:space="preserve">, în anul 2024, </w:t>
      </w:r>
      <w:r w:rsidRPr="00A0030D">
        <w:rPr>
          <w:rFonts w:asciiTheme="minorHAnsi" w:hAnsiTheme="minorHAnsi" w:cstheme="minorHAnsi"/>
          <w:bCs/>
          <w:sz w:val="26"/>
          <w:szCs w:val="26"/>
        </w:rPr>
        <w:t>Consiliul a adoptat 16 hotărâri</w:t>
      </w:r>
      <w:r w:rsidRPr="00A0030D">
        <w:rPr>
          <w:rFonts w:asciiTheme="minorHAnsi" w:hAnsiTheme="minorHAnsi" w:cstheme="minorHAnsi"/>
          <w:sz w:val="26"/>
          <w:szCs w:val="26"/>
        </w:rPr>
        <w:t xml:space="preserve"> având ca obiect apărarea reputației profesionale şi a independenței şi imparțialității judecătorilor și procurorilor.</w:t>
      </w:r>
    </w:p>
    <w:p w14:paraId="1B0FC261"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bCs/>
          <w:sz w:val="26"/>
          <w:szCs w:val="26"/>
        </w:rPr>
        <w:t>Secția pentru judecători a Consiliului Superior al Magistraturii, în perioada de referință, a soluționat 8</w:t>
      </w:r>
      <w:r w:rsidRPr="00A0030D">
        <w:rPr>
          <w:rFonts w:asciiTheme="minorHAnsi" w:hAnsiTheme="minorHAnsi" w:cstheme="minorHAnsi"/>
          <w:sz w:val="26"/>
          <w:szCs w:val="26"/>
        </w:rPr>
        <w:t xml:space="preserve"> sesizări având ca obiect apărarea reputației profesionale şi a independenței şi imparțialității judecătorilor, fiind pronunțate 4 hotărâri de admitere şi 4 hotărâri de respingere.</w:t>
      </w:r>
    </w:p>
    <w:p w14:paraId="46A0B8D0" w14:textId="77777777" w:rsidR="0016242F" w:rsidRPr="00A0030D" w:rsidRDefault="0016242F" w:rsidP="00C304F2">
      <w:pPr>
        <w:spacing w:line="276" w:lineRule="auto"/>
        <w:ind w:firstLine="720"/>
        <w:jc w:val="both"/>
        <w:rPr>
          <w:rFonts w:asciiTheme="minorHAnsi" w:hAnsiTheme="minorHAnsi" w:cstheme="minorHAnsi"/>
          <w:bCs/>
          <w:sz w:val="26"/>
          <w:szCs w:val="26"/>
        </w:rPr>
      </w:pPr>
      <w:r w:rsidRPr="00A0030D">
        <w:rPr>
          <w:rFonts w:asciiTheme="minorHAnsi" w:hAnsiTheme="minorHAnsi" w:cstheme="minorHAnsi"/>
          <w:bCs/>
          <w:sz w:val="26"/>
          <w:szCs w:val="26"/>
        </w:rPr>
        <w:t xml:space="preserve">Totodată, </w:t>
      </w:r>
      <w:r w:rsidRPr="00A0030D">
        <w:rPr>
          <w:rFonts w:asciiTheme="minorHAnsi" w:hAnsiTheme="minorHAnsi" w:cstheme="minorHAnsi"/>
          <w:sz w:val="26"/>
          <w:szCs w:val="26"/>
        </w:rPr>
        <w:t>Secția pentru procurori a pronunțat 8 hotărâri</w:t>
      </w:r>
      <w:r w:rsidRPr="00A0030D">
        <w:rPr>
          <w:rFonts w:asciiTheme="minorHAnsi" w:hAnsiTheme="minorHAnsi" w:cstheme="minorHAnsi"/>
          <w:b/>
          <w:bCs/>
          <w:sz w:val="26"/>
          <w:szCs w:val="26"/>
        </w:rPr>
        <w:t xml:space="preserve"> </w:t>
      </w:r>
      <w:r w:rsidRPr="00A0030D">
        <w:rPr>
          <w:rFonts w:asciiTheme="minorHAnsi" w:hAnsiTheme="minorHAnsi" w:cstheme="minorHAnsi"/>
          <w:sz w:val="26"/>
          <w:szCs w:val="26"/>
        </w:rPr>
        <w:t xml:space="preserve">având ca obiect cereri privind apărarea reputației profesionale şi a independenței şi imparțialității procurorilor, </w:t>
      </w:r>
      <w:r w:rsidRPr="00A0030D">
        <w:rPr>
          <w:rFonts w:asciiTheme="minorHAnsi" w:hAnsiTheme="minorHAnsi" w:cstheme="minorHAnsi"/>
          <w:bCs/>
          <w:sz w:val="26"/>
          <w:szCs w:val="26"/>
        </w:rPr>
        <w:t>dintre care 4 hotărâri de admitere și 4 hotărâri de respingere.</w:t>
      </w:r>
    </w:p>
    <w:p w14:paraId="1EDED889" w14:textId="77777777" w:rsidR="0016242F" w:rsidRPr="00A0030D" w:rsidRDefault="0016242F" w:rsidP="00C304F2">
      <w:pPr>
        <w:spacing w:line="276" w:lineRule="auto"/>
        <w:ind w:firstLine="720"/>
        <w:jc w:val="both"/>
        <w:rPr>
          <w:rFonts w:asciiTheme="minorHAnsi" w:hAnsiTheme="minorHAnsi" w:cstheme="minorHAnsi"/>
          <w:bCs/>
          <w:sz w:val="26"/>
          <w:szCs w:val="26"/>
        </w:rPr>
      </w:pPr>
      <w:r w:rsidRPr="00A0030D">
        <w:rPr>
          <w:rFonts w:asciiTheme="minorHAnsi" w:hAnsiTheme="minorHAnsi" w:cstheme="minorHAnsi"/>
          <w:bCs/>
          <w:sz w:val="26"/>
          <w:szCs w:val="26"/>
        </w:rPr>
        <w:t xml:space="preserve">Se impune menţionată, de asemenea, relaţionarea şi implicarea Consiliului în contextul evaluărilor Comisiei Europene în cadrul noului mecanism al Statului de drept introdus începând cu anul 2020 sau al Tabloului de bord privind justiţia în Uniunea Europeană. </w:t>
      </w:r>
    </w:p>
    <w:p w14:paraId="6625B27E"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bCs/>
          <w:sz w:val="26"/>
          <w:szCs w:val="26"/>
        </w:rPr>
        <w:t xml:space="preserve">În ceea ce privește mecanismul Statului de drept, Consiliul </w:t>
      </w:r>
      <w:r w:rsidRPr="00A0030D">
        <w:rPr>
          <w:rFonts w:asciiTheme="minorHAnsi" w:hAnsiTheme="minorHAnsi" w:cstheme="minorHAnsi"/>
          <w:sz w:val="26"/>
          <w:szCs w:val="26"/>
        </w:rPr>
        <w:t>a transmis contribuția sa anuală la chestionarul Comisiei Europene și a participat la reuniunile de dialog organizate. Comisia Europeană a publicat al cincilea Raport privind Statul de Drept, acesta fiind cel mai bun Raport privind capitolul justiţie în succesiunea evaluărilor realizate de Comisia Europeană, aspect pe care Consiliul l-a subliniat în mod public, iar Tabloul de bord privind justiţia în Uniunea Europeană 2024 a remarcat că percepţia asupra independenţei sistemului judiciar s-a îmbunătăţit, în România aceasta fiind la nivelul procentului mediu european de 52%.</w:t>
      </w:r>
    </w:p>
    <w:p w14:paraId="4F3D8ADA"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Tot în cursul anului 2024, Consiliul Europei a publicat Raportul G.R.E.C.O. privind România, care a evidenţiat, cu referire la sistemul judiciar și la aspectele privind integritatea judecătorilor și procurorilor, eforturile depuse pentru creşterea rolului Consiliului Superior al Magistraturii şi al Inspecţiei Judiciare ca urmare a implementării noilor legi ale justiției adoptate în anul 2022.</w:t>
      </w:r>
    </w:p>
    <w:p w14:paraId="0704A970"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Consiliul a transmis public în cursul anului 2024 că G.R.E.C.O. a concluzionat îndeplinirea ultimelor două recomandări din Raportul follow-up la Raportul ad-hoc, dat fiind rolul noilor acte normative privind sistemul judiciar în asigurarea independenței procurorilor în activitatea specifică, reținând, totodată, demersurile întreprinse pentru introducerea de garanţii suplimentare în această materie, ca urmare a recomandărilor Comisiei de la Veneţia. De asemenea, s-a apreciat că noua reglementare în domeniul justiției asigură cerințele de claritate şi predictibilitate în ceea ce priveşte răspunderea judecătorilor şi procurorilor pentru erori judiciare.</w:t>
      </w:r>
    </w:p>
    <w:p w14:paraId="58E4D1CD"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lastRenderedPageBreak/>
        <w:t xml:space="preserve">În cursul anului 2024, a continuat dialogul de cooperare cu reprezentanți ai sistemelor judiciare sau reprezentanți ai altor state atât din spațiul european, cât şi la nivel internațional, precum Rețeaua Europeană a Consiliilor Judiciare, Consiliul Superior al Magistraturii manifestând deschidere spre dialog și colaborare în domenii de interes comun. </w:t>
      </w:r>
    </w:p>
    <w:p w14:paraId="5D519471" w14:textId="12DB178B"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Consiliul Superior al Magistraturii a fost desemnat ca membru în Comitetul Executiv al Reţelei Europene a Consiliilor Judiciare pentru un mandat de 2 ani, alături de alţi patru reprezentanţi din Irlanda, Grecia, Portugalia şi Lituania. România a dev</w:t>
      </w:r>
      <w:r w:rsidR="002223E7">
        <w:rPr>
          <w:rFonts w:asciiTheme="minorHAnsi" w:hAnsiTheme="minorHAnsi" w:cstheme="minorHAnsi"/>
          <w:sz w:val="26"/>
          <w:szCs w:val="26"/>
        </w:rPr>
        <w:t>e</w:t>
      </w:r>
      <w:r w:rsidRPr="00A0030D">
        <w:rPr>
          <w:rFonts w:asciiTheme="minorHAnsi" w:hAnsiTheme="minorHAnsi" w:cstheme="minorHAnsi"/>
          <w:sz w:val="26"/>
          <w:szCs w:val="26"/>
        </w:rPr>
        <w:t>nit, astfel, reprezentant în cadrul Comitetului Executiv al Reţelei Europene a Consiliilor Judiciare, format din 7 membri, şi care funcționează ca un organ colegial ce are atribuţia de a lua toate măsurile necesare pentru implementarea programului de activități.</w:t>
      </w:r>
    </w:p>
    <w:p w14:paraId="1DB88D44"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În ceea ce privește activitatea în domeniul programelor cu finanțare externă, trebuie menționată preocuparea Consiliul Superior al Magistraturii pentru implementarea proiectelor cu finanţare externă, pentru susţinerea diferitelor măsuri incluse în planurile naţionale de reformă sau în direcţiile de acţiune ale instituţiei. Au fost accesate, astfel, alocări financiare aferente unor mecanisme diferite de finanţare, precum Fondul Social European, prin Programul Operaţional Capacitate Adminsitrativă pentru perioada 2014 - 2020, Mecanismul Financiar Norvegian 2014 - 2021 sau cele alocate prin Planul Naţional de Redresare şi Rezilienţă.</w:t>
      </w:r>
    </w:p>
    <w:p w14:paraId="4C1037DA"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Consiliul Superior al Magistraturii a continuat demersurile și în sfera digitalizării justiției, în cursul anului 2024. A fost finalizat proiectul TJENI, în cadrul căruia a fost dezvoltat portalul HUDOC, ce cuprinde jurisprudenţa Curții Europene a Drepturilor Omului, fiind tradus în limba română care a devenit, astfel, a 9-a limbă disponibilă în cadrul platformei prin care sunt puse la dispoziția publicului hotărârile Curții Europene a Drepturilor Omului.</w:t>
      </w:r>
    </w:p>
    <w:p w14:paraId="253B9158"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De asemenea, Consiliul Superior al Magistraturii a găzduit, la data de 22 martie 2024, prima sesiune din acest an a Digital Justice Forum, proiect al Rețelei Europene a Consiliilor Judiciare, care își propune să aducă împreună profesioniști din domenii vizând dezvoltarea tehnologiilor IT și a strategiilor privind administrarea și funcționarea justiției.</w:t>
      </w:r>
    </w:p>
    <w:p w14:paraId="7943AD10"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Consiliul a consolidat, de asemenea, bunele practici în ceea ce privește publicarea jurisprudenței prin intermediul portalului ReJust, instrument creat pentru creșterea transparenţei sistemului judiciar şi a încrederii publice în sistemul de justiție, acesta fiind actualizat constant în vederea creşterii standardului de calitate în beneficiul magistraţilor şi al populaţiei care îl utilizează. Tabloul de bord privind justiţia în U.E. a acordat României un scor aproape maxim de 9 puncte în ceea ce priveşte accesul online al publicului la hotărârile judecătoreşti publicate, fiind astfel în fruntea clasamentului în privinţa acestui segment al transparenţei judiciare.</w:t>
      </w:r>
    </w:p>
    <w:p w14:paraId="345345AF"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Tot în ceea ce priveşte procesul de digitalizare, în cursul anului 2024, Consiliul a luat toate măsurile necesare pentru garantarea independenţei justiţiei în raport de vulnerabilităţile constatate în procesul de centralizare a infrastructurii IT la nivelul instanţelor judecătoreşti şi a informat constant instanţele cu privire la situaţia creată.</w:t>
      </w:r>
    </w:p>
    <w:p w14:paraId="79A5229D" w14:textId="77777777" w:rsidR="0016242F" w:rsidRPr="00A0030D" w:rsidRDefault="0016242F" w:rsidP="00C304F2">
      <w:pPr>
        <w:spacing w:line="276" w:lineRule="auto"/>
        <w:ind w:firstLine="708"/>
        <w:jc w:val="both"/>
        <w:rPr>
          <w:rFonts w:asciiTheme="minorHAnsi" w:hAnsiTheme="minorHAnsi" w:cstheme="minorHAnsi"/>
          <w:bCs/>
          <w:sz w:val="26"/>
          <w:szCs w:val="26"/>
        </w:rPr>
      </w:pPr>
      <w:r w:rsidRPr="00A0030D">
        <w:rPr>
          <w:rFonts w:asciiTheme="minorHAnsi" w:hAnsiTheme="minorHAnsi" w:cstheme="minorHAnsi"/>
          <w:bCs/>
          <w:sz w:val="26"/>
          <w:szCs w:val="26"/>
        </w:rPr>
        <w:t xml:space="preserve">În contextul demersului inițiat de Ministerul Justiției vizând centralizarea întregii infrastructuri IT din instanțe la nivelul acestui minister, Consiliul Superior al Magistraturii a semnalat vulnerabilitățile inacceptabile pe care un astfel de demers le creează pentru activitatea independentă a instanțelor judecătorești. </w:t>
      </w:r>
    </w:p>
    <w:p w14:paraId="4F2DCB48" w14:textId="77777777" w:rsidR="0016242F" w:rsidRPr="00A0030D" w:rsidRDefault="0016242F" w:rsidP="00C304F2">
      <w:pPr>
        <w:widowControl w:val="0"/>
        <w:spacing w:line="276" w:lineRule="auto"/>
        <w:ind w:firstLine="708"/>
        <w:jc w:val="both"/>
        <w:rPr>
          <w:rFonts w:asciiTheme="minorHAnsi" w:hAnsiTheme="minorHAnsi" w:cstheme="minorHAnsi"/>
          <w:bCs/>
          <w:sz w:val="26"/>
          <w:szCs w:val="26"/>
          <w:lang w:eastAsia="ro-RO"/>
        </w:rPr>
      </w:pPr>
      <w:r w:rsidRPr="00A0030D">
        <w:rPr>
          <w:rFonts w:asciiTheme="minorHAnsi" w:hAnsiTheme="minorHAnsi" w:cstheme="minorHAnsi"/>
          <w:bCs/>
          <w:sz w:val="26"/>
          <w:szCs w:val="26"/>
        </w:rPr>
        <w:t xml:space="preserve">Mai mult, pentru a preveni asemenea consecințe negative, Consiliul Superior al Magistraturii a intervenit ferm, hotărând </w:t>
      </w:r>
      <w:r w:rsidRPr="00A0030D">
        <w:rPr>
          <w:rFonts w:asciiTheme="minorHAnsi" w:hAnsiTheme="minorHAnsi" w:cstheme="minorHAnsi"/>
          <w:bCs/>
          <w:sz w:val="26"/>
          <w:szCs w:val="26"/>
          <w:lang w:eastAsia="ro-RO"/>
        </w:rPr>
        <w:t xml:space="preserve">suspendarea procesului de înrolare în domeniul just.ro </w:t>
      </w:r>
      <w:r w:rsidRPr="00A0030D">
        <w:rPr>
          <w:rFonts w:asciiTheme="minorHAnsi" w:hAnsiTheme="minorHAnsi" w:cstheme="minorHAnsi"/>
          <w:bCs/>
          <w:sz w:val="26"/>
          <w:szCs w:val="26"/>
          <w:lang w:eastAsia="ro-RO"/>
        </w:rPr>
        <w:lastRenderedPageBreak/>
        <w:t>a calculatoarelor și serverelor din instanțele de judecată, precum și a conturilor judecătorilor și revenirea la situația anterioară înrolării, pentru situațiile în care acest demers a fost deja început sau finalizat.</w:t>
      </w:r>
    </w:p>
    <w:p w14:paraId="2ADC78E0" w14:textId="5DE926B3" w:rsidR="0016242F" w:rsidRPr="00A0030D" w:rsidRDefault="0016242F" w:rsidP="00C304F2">
      <w:pPr>
        <w:widowControl w:val="0"/>
        <w:spacing w:line="276" w:lineRule="auto"/>
        <w:ind w:firstLine="708"/>
        <w:jc w:val="both"/>
        <w:rPr>
          <w:rFonts w:asciiTheme="minorHAnsi" w:hAnsiTheme="minorHAnsi" w:cstheme="minorHAnsi"/>
          <w:bCs/>
          <w:sz w:val="26"/>
          <w:szCs w:val="26"/>
          <w:lang w:eastAsia="ro-RO"/>
        </w:rPr>
      </w:pPr>
      <w:r w:rsidRPr="00A0030D">
        <w:rPr>
          <w:rFonts w:asciiTheme="minorHAnsi" w:hAnsiTheme="minorHAnsi" w:cstheme="minorHAnsi"/>
          <w:bCs/>
          <w:sz w:val="26"/>
          <w:szCs w:val="26"/>
          <w:lang w:eastAsia="ro-RO"/>
        </w:rPr>
        <w:t>De asemenea, prin Hotărârea nr. 1519/05.09.2024, Secția pentru judecători a Consiliului Superior al Magistraturii, în exercitarea atribuției constituționale de a veghea la respectarea independenței justiției, a constatat că</w:t>
      </w:r>
      <w:r w:rsidR="00B171B1">
        <w:rPr>
          <w:rFonts w:asciiTheme="minorHAnsi" w:hAnsiTheme="minorHAnsi" w:cstheme="minorHAnsi"/>
          <w:bCs/>
          <w:sz w:val="26"/>
          <w:szCs w:val="26"/>
          <w:lang w:eastAsia="ro-RO"/>
        </w:rPr>
        <w:t>,</w:t>
      </w:r>
      <w:r w:rsidRPr="00A0030D">
        <w:rPr>
          <w:rFonts w:asciiTheme="minorHAnsi" w:hAnsiTheme="minorHAnsi" w:cstheme="minorHAnsi"/>
          <w:bCs/>
          <w:sz w:val="26"/>
          <w:szCs w:val="26"/>
          <w:lang w:eastAsia="ro-RO"/>
        </w:rPr>
        <w:t xml:space="preserve"> prin înrolarea calculatoarelor și serverelor din instanțele judecătorești în domeniul just.ro, gestionat de către Ministerul Justiției, se creează o vulnerabilitate de natură să afecteze independența justiției.</w:t>
      </w:r>
    </w:p>
    <w:p w14:paraId="6715FC8B" w14:textId="1CD91320" w:rsidR="0016242F" w:rsidRPr="00A0030D" w:rsidRDefault="0016242F" w:rsidP="00C304F2">
      <w:pPr>
        <w:widowControl w:val="0"/>
        <w:spacing w:line="276" w:lineRule="auto"/>
        <w:ind w:firstLine="708"/>
        <w:jc w:val="both"/>
        <w:rPr>
          <w:rFonts w:asciiTheme="minorHAnsi" w:hAnsiTheme="minorHAnsi" w:cstheme="minorHAnsi"/>
          <w:bCs/>
          <w:sz w:val="26"/>
          <w:szCs w:val="26"/>
          <w:lang w:eastAsia="ro-RO"/>
        </w:rPr>
      </w:pPr>
      <w:r w:rsidRPr="00A0030D">
        <w:rPr>
          <w:rFonts w:asciiTheme="minorHAnsi" w:hAnsiTheme="minorHAnsi" w:cstheme="minorHAnsi"/>
          <w:bCs/>
          <w:sz w:val="26"/>
          <w:szCs w:val="26"/>
          <w:lang w:eastAsia="ro-RO"/>
        </w:rPr>
        <w:t>În cuprinsul acestei hotărâri a fost evidențiată și necesitatea luării unor măsuri de natură tehnică apte să înlăture o astfel de vulnerabilitate, respectiv încetarea procesului de înrolare a calculatoarelor și serverelor din instanțele judecătorești în domeniul administrat de Ministerul Justiției – just.ro, iar</w:t>
      </w:r>
      <w:r w:rsidR="002D2928">
        <w:rPr>
          <w:rFonts w:asciiTheme="minorHAnsi" w:hAnsiTheme="minorHAnsi" w:cstheme="minorHAnsi"/>
          <w:bCs/>
          <w:sz w:val="26"/>
          <w:szCs w:val="26"/>
          <w:lang w:eastAsia="ro-RO"/>
        </w:rPr>
        <w:t>,</w:t>
      </w:r>
      <w:r w:rsidRPr="00A0030D">
        <w:rPr>
          <w:rFonts w:asciiTheme="minorHAnsi" w:hAnsiTheme="minorHAnsi" w:cstheme="minorHAnsi"/>
          <w:bCs/>
          <w:sz w:val="26"/>
          <w:szCs w:val="26"/>
          <w:lang w:eastAsia="ro-RO"/>
        </w:rPr>
        <w:t xml:space="preserve"> în cazul în care demersul a fost deja început sau finalizat, revenirea la situația anterioară înrolării, precum și reconfigurarea serverelor ECRIS fără a fi în relație de dependență cu domeniul just.ro.</w:t>
      </w:r>
    </w:p>
    <w:p w14:paraId="51865229" w14:textId="77777777" w:rsidR="0016242F" w:rsidRPr="00A0030D" w:rsidRDefault="0016242F" w:rsidP="00C304F2">
      <w:pPr>
        <w:widowControl w:val="0"/>
        <w:spacing w:line="276" w:lineRule="auto"/>
        <w:ind w:firstLine="708"/>
        <w:jc w:val="both"/>
        <w:rPr>
          <w:rFonts w:asciiTheme="minorHAnsi" w:hAnsiTheme="minorHAnsi" w:cstheme="minorHAnsi"/>
          <w:bCs/>
          <w:sz w:val="26"/>
          <w:szCs w:val="26"/>
          <w:lang w:eastAsia="ro-RO"/>
        </w:rPr>
      </w:pPr>
      <w:r w:rsidRPr="00A0030D">
        <w:rPr>
          <w:rFonts w:asciiTheme="minorHAnsi" w:hAnsiTheme="minorHAnsi" w:cstheme="minorHAnsi"/>
          <w:bCs/>
          <w:sz w:val="26"/>
          <w:szCs w:val="26"/>
          <w:lang w:eastAsia="ro-RO"/>
        </w:rPr>
        <w:t>Totodată, în baza principiului cooperării loiale, Secția pentru judecători a solicitat Ministerului Justiției să demareze procesul de transfer către Consiliul Superior al Magistraturii al tuturor atribuțiilor ce îi revin în domeniul IT vizând instanțele judecătorești, apreciind că acest proces reprezintă nu doar o măsură de conformare cu standardele europene, ci și un pas necesar pentru asigurarea unei justiții independente și eficiente.</w:t>
      </w:r>
    </w:p>
    <w:p w14:paraId="290ADDCA" w14:textId="45D0585D" w:rsidR="0016242F" w:rsidRPr="00A0030D" w:rsidRDefault="0016242F" w:rsidP="00C304F2">
      <w:pPr>
        <w:widowControl w:val="0"/>
        <w:spacing w:line="276" w:lineRule="auto"/>
        <w:ind w:firstLine="708"/>
        <w:jc w:val="both"/>
        <w:rPr>
          <w:rFonts w:asciiTheme="minorHAnsi" w:hAnsiTheme="minorHAnsi" w:cstheme="minorHAnsi"/>
          <w:bCs/>
          <w:sz w:val="26"/>
          <w:szCs w:val="26"/>
          <w:lang w:eastAsia="ro-RO"/>
        </w:rPr>
      </w:pPr>
      <w:r w:rsidRPr="00A0030D">
        <w:rPr>
          <w:rFonts w:asciiTheme="minorHAnsi" w:hAnsiTheme="minorHAnsi" w:cstheme="minorHAnsi"/>
          <w:bCs/>
          <w:sz w:val="26"/>
          <w:szCs w:val="26"/>
          <w:lang w:eastAsia="ro-RO"/>
        </w:rPr>
        <w:t>Reţeaua Europeană a Consiliilor Judiciare a susţinut poziţia Consiliului Superior al Magistraturii printr-un comunicat emis la data de 15 noiembrie 2024, prin intermediul căruia s-a subliniat potenţialul risc reprezentat de accesul la bazele de date ale instanţelor judecătoreşti, precum şi la conturile judecătorilor şi ale grefierilor, de către instituţii din afara autorităţii judecătoreşti. R.E.C.J., în acord cu poziţile sale anterioare, a arătat că</w:t>
      </w:r>
      <w:r w:rsidR="00E62CF6" w:rsidRPr="00A0030D">
        <w:rPr>
          <w:rFonts w:asciiTheme="minorHAnsi" w:hAnsiTheme="minorHAnsi" w:cstheme="minorHAnsi"/>
          <w:bCs/>
          <w:sz w:val="26"/>
          <w:szCs w:val="26"/>
          <w:lang w:eastAsia="ro-RO"/>
        </w:rPr>
        <w:t>, în exercitarea mandatelor cu care sunt învestite,</w:t>
      </w:r>
      <w:r w:rsidRPr="00A0030D">
        <w:rPr>
          <w:rFonts w:asciiTheme="minorHAnsi" w:hAnsiTheme="minorHAnsi" w:cstheme="minorHAnsi"/>
          <w:bCs/>
          <w:sz w:val="26"/>
          <w:szCs w:val="26"/>
          <w:lang w:eastAsia="ro-RO"/>
        </w:rPr>
        <w:t xml:space="preserve"> consiliile judiciare trebuie să aibă putere de decizie atât în ceea ce priveşte gestionarea bazelor de date ale instanţelor judecătoreşti, din perspectiva accesului la date din dosare şi al protecţiei datelor cu caracter personal, cât şi cu privire la aplicaţiile informatice care sunt utilizate în cadrul autorităţii judecătoreşti.</w:t>
      </w:r>
    </w:p>
    <w:p w14:paraId="20EB61A1" w14:textId="77777777" w:rsidR="0016242F" w:rsidRPr="00A0030D" w:rsidRDefault="0016242F" w:rsidP="00C304F2">
      <w:pPr>
        <w:widowControl w:val="0"/>
        <w:spacing w:line="276" w:lineRule="auto"/>
        <w:ind w:firstLine="708"/>
        <w:jc w:val="both"/>
        <w:rPr>
          <w:rFonts w:asciiTheme="minorHAnsi" w:hAnsiTheme="minorHAnsi" w:cstheme="minorHAnsi"/>
          <w:bCs/>
          <w:sz w:val="26"/>
          <w:szCs w:val="26"/>
          <w:lang w:eastAsia="ro-RO"/>
        </w:rPr>
      </w:pPr>
      <w:r w:rsidRPr="00A0030D">
        <w:rPr>
          <w:rFonts w:asciiTheme="minorHAnsi" w:hAnsiTheme="minorHAnsi" w:cstheme="minorHAnsi"/>
          <w:bCs/>
          <w:sz w:val="26"/>
          <w:szCs w:val="26"/>
          <w:lang w:eastAsia="ro-RO"/>
        </w:rPr>
        <w:t>A concluzionat R.E.C.J. că reforma IT în cadrul autorităţii judecătoreşti trebuie realizată cu aprobarea consiliilor judiciare, în timpul mandatului acestora, în acord cu rolul acestora de gardieni ai independenţei justiţiei. În acord cu Declaraţia de la Roma adoptată la 14 iunie 2024, R.E.C.J. a reamintit că, de principiu, consiliile judiciare trebuie să aibă un rol activ şi de o importanţă majoră în evaluarea soluţiilor AI propuse a fi utlizate, precum şi posibilitatea de a stabili standarde în utilizarea tehnologiilor digitale în cadrul autorităţii judecătoreşti.</w:t>
      </w:r>
    </w:p>
    <w:p w14:paraId="010D2FC4" w14:textId="77777777"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În concluzie, activitatea Consiliului în anul 2024 a fost orientată spre asigurarea necesarului de personal la nivelul instanțelor judecătorești şi parchetelor de pe lângă acestea, pentru garantarea accesului la justiție al cetățenilor ca drept fundamental, precum şi spre monitorizarea constantă a procesului de digitalizare care să respecte principiul constituţional al independenţei justiţiei.</w:t>
      </w:r>
    </w:p>
    <w:p w14:paraId="71EE103F" w14:textId="550CE0F0" w:rsidR="0016242F" w:rsidRPr="00A0030D" w:rsidRDefault="0016242F" w:rsidP="00C304F2">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 xml:space="preserve">Fiind repere indispensabile într-o societate democratică pentru ocrotirea drepturilor și libertăților fundamentale ale cetățenilor, dar şi a independenței sistemului judiciar, în ansamblul său, necesitatea asigurării unui înalt nivel de performanță profesională în cadrul autorității </w:t>
      </w:r>
      <w:r w:rsidRPr="00A0030D">
        <w:rPr>
          <w:rFonts w:asciiTheme="minorHAnsi" w:hAnsiTheme="minorHAnsi" w:cstheme="minorHAnsi"/>
          <w:sz w:val="26"/>
          <w:szCs w:val="26"/>
        </w:rPr>
        <w:lastRenderedPageBreak/>
        <w:t>judecătorești, precum şi a independenței și imparțialității corpului magistraților</w:t>
      </w:r>
      <w:r w:rsidR="002123A6">
        <w:rPr>
          <w:rFonts w:asciiTheme="minorHAnsi" w:hAnsiTheme="minorHAnsi" w:cstheme="minorHAnsi"/>
          <w:sz w:val="26"/>
          <w:szCs w:val="26"/>
        </w:rPr>
        <w:t>,</w:t>
      </w:r>
      <w:r w:rsidRPr="00A0030D">
        <w:rPr>
          <w:rFonts w:asciiTheme="minorHAnsi" w:hAnsiTheme="minorHAnsi" w:cstheme="minorHAnsi"/>
          <w:sz w:val="26"/>
          <w:szCs w:val="26"/>
        </w:rPr>
        <w:t xml:space="preserve"> au caracterizat activitatea de ansamblu în anul 2024 a Consiliului Superior al Magistraturii.</w:t>
      </w:r>
    </w:p>
    <w:p w14:paraId="14A397D5" w14:textId="53879291" w:rsidR="00BF4320" w:rsidRPr="00A0030D" w:rsidRDefault="0016242F" w:rsidP="008A19E0">
      <w:pPr>
        <w:spacing w:line="276" w:lineRule="auto"/>
        <w:ind w:firstLine="720"/>
        <w:jc w:val="both"/>
        <w:rPr>
          <w:rFonts w:asciiTheme="minorHAnsi" w:hAnsiTheme="minorHAnsi" w:cstheme="minorHAnsi"/>
          <w:sz w:val="26"/>
          <w:szCs w:val="26"/>
        </w:rPr>
      </w:pPr>
      <w:r w:rsidRPr="00A0030D">
        <w:rPr>
          <w:rFonts w:asciiTheme="minorHAnsi" w:hAnsiTheme="minorHAnsi" w:cstheme="minorHAnsi"/>
          <w:sz w:val="26"/>
          <w:szCs w:val="26"/>
        </w:rPr>
        <w:t>În consecință, și în anul 2024, misiunea Consiliului Superior al Magistraturii a fost aceea de a asigura un sistem judiciar imparțial, independent, responsabil şi credibil, condiții esențiale pentru calitatea actului de justiție într-o societate democratică.</w:t>
      </w:r>
    </w:p>
    <w:p w14:paraId="34652E4C" w14:textId="77777777" w:rsidR="008A19E0" w:rsidRPr="008A19E0" w:rsidRDefault="008A19E0" w:rsidP="008A19E0">
      <w:pPr>
        <w:spacing w:line="276" w:lineRule="auto"/>
        <w:ind w:firstLine="720"/>
        <w:jc w:val="both"/>
        <w:rPr>
          <w:rFonts w:asciiTheme="minorHAnsi" w:hAnsiTheme="minorHAnsi" w:cstheme="minorHAnsi"/>
          <w:sz w:val="26"/>
          <w:szCs w:val="26"/>
        </w:rPr>
      </w:pPr>
    </w:p>
    <w:sectPr w:rsidR="008A19E0" w:rsidRPr="008A19E0" w:rsidSect="00EC1936">
      <w:footerReference w:type="default" r:id="rId35"/>
      <w:pgSz w:w="11906" w:h="16838" w:code="9"/>
      <w:pgMar w:top="567" w:right="851" w:bottom="567" w:left="851" w:header="567" w:footer="28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F0135" w14:textId="77777777" w:rsidR="002300CB" w:rsidRPr="004A72CD" w:rsidRDefault="002300CB" w:rsidP="003C4716">
      <w:r w:rsidRPr="004A72CD">
        <w:separator/>
      </w:r>
    </w:p>
  </w:endnote>
  <w:endnote w:type="continuationSeparator" w:id="0">
    <w:p w14:paraId="7E0EFBBF" w14:textId="77777777" w:rsidR="002300CB" w:rsidRPr="004A72CD" w:rsidRDefault="002300CB" w:rsidP="003C4716">
      <w:r w:rsidRPr="004A72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1)">
    <w:altName w:val="Times New Roman"/>
    <w:panose1 w:val="00000000000000000000"/>
    <w:charset w:val="00"/>
    <w:family w:val="roman"/>
    <w:notTrueType/>
    <w:pitch w:val="variable"/>
    <w:sig w:usb0="00000003" w:usb1="00000000" w:usb2="00000000" w:usb3="00000000" w:csb0="00000001" w:csb1="00000000"/>
  </w:font>
  <w:font w:name="Arabic Typesetting">
    <w:charset w:val="B2"/>
    <w:family w:val="script"/>
    <w:pitch w:val="variable"/>
    <w:sig w:usb0="80002007"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3084168"/>
      <w:docPartObj>
        <w:docPartGallery w:val="Page Numbers (Bottom of Page)"/>
        <w:docPartUnique/>
      </w:docPartObj>
    </w:sdtPr>
    <w:sdtEndPr>
      <w:rPr>
        <w:rFonts w:asciiTheme="minorHAnsi" w:hAnsiTheme="minorHAnsi" w:cstheme="minorHAnsi"/>
        <w:sz w:val="24"/>
        <w:szCs w:val="24"/>
      </w:rPr>
    </w:sdtEndPr>
    <w:sdtContent>
      <w:p w14:paraId="45077922" w14:textId="2F4D074D" w:rsidR="00D55F73" w:rsidRPr="004A72CD" w:rsidRDefault="00DB4492">
        <w:pPr>
          <w:pStyle w:val="Footer"/>
          <w:jc w:val="center"/>
          <w:rPr>
            <w:rFonts w:asciiTheme="minorHAnsi" w:hAnsiTheme="minorHAnsi" w:cstheme="minorHAnsi"/>
            <w:sz w:val="24"/>
            <w:szCs w:val="24"/>
          </w:rPr>
        </w:pPr>
      </w:p>
    </w:sdtContent>
  </w:sdt>
  <w:p w14:paraId="2A093BFE" w14:textId="34451739" w:rsidR="00D55F73" w:rsidRPr="004A72CD" w:rsidRDefault="00D55F73">
    <w:pPr>
      <w:pStyle w:val="Footer"/>
      <w:rPr>
        <w:rFonts w:asciiTheme="minorHAnsi" w:hAnsiTheme="minorHAnsi" w:cstheme="minorHAnsi"/>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6DE3E" w14:textId="6E4AAE47" w:rsidR="00D55F73" w:rsidRPr="004A72CD" w:rsidRDefault="00D55F73">
    <w:pPr>
      <w:pStyle w:val="Footer"/>
      <w:jc w:val="center"/>
      <w:rPr>
        <w:rFonts w:asciiTheme="minorHAnsi" w:hAnsiTheme="minorHAnsi" w:cstheme="minorHAnsi"/>
        <w:sz w:val="24"/>
        <w:szCs w:val="24"/>
      </w:rPr>
    </w:pPr>
  </w:p>
  <w:p w14:paraId="5F789084" w14:textId="420CC53E" w:rsidR="00D55F73" w:rsidRPr="004A72CD" w:rsidRDefault="00DB4492">
    <w:pPr>
      <w:pStyle w:val="Footer"/>
      <w:rPr>
        <w:rFonts w:asciiTheme="minorHAnsi" w:hAnsiTheme="minorHAnsi" w:cstheme="minorHAnsi"/>
        <w:sz w:val="2"/>
        <w:szCs w:val="2"/>
      </w:rPr>
    </w:pPr>
    <w:sdt>
      <w:sdtPr>
        <w:rPr>
          <w:rFonts w:asciiTheme="minorHAnsi" w:hAnsiTheme="minorHAnsi" w:cstheme="minorHAnsi"/>
        </w:rPr>
        <w:id w:val="2074076205"/>
        <w:docPartObj>
          <w:docPartGallery w:val="Page Numbers (Top of Page)"/>
          <w:docPartUnique/>
        </w:docPartObj>
      </w:sdtPr>
      <w:sdtEndPr>
        <w:rPr>
          <w:sz w:val="20"/>
        </w:r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C2A58" w14:textId="77777777" w:rsidR="00D55F73" w:rsidRPr="004A72CD" w:rsidRDefault="00D55F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287652"/>
      <w:docPartObj>
        <w:docPartGallery w:val="Page Numbers (Bottom of Page)"/>
        <w:docPartUnique/>
      </w:docPartObj>
    </w:sdtPr>
    <w:sdtEndPr>
      <w:rPr>
        <w:rFonts w:asciiTheme="minorHAnsi" w:hAnsiTheme="minorHAnsi" w:cstheme="minorHAnsi"/>
        <w:sz w:val="24"/>
        <w:szCs w:val="24"/>
      </w:rPr>
    </w:sdtEndPr>
    <w:sdtContent>
      <w:p w14:paraId="44C55C83" w14:textId="77777777" w:rsidR="00E157CE" w:rsidRPr="004A72CD" w:rsidRDefault="00E157CE">
        <w:pPr>
          <w:pStyle w:val="Footer"/>
          <w:jc w:val="center"/>
          <w:rPr>
            <w:rFonts w:asciiTheme="minorHAnsi" w:hAnsiTheme="minorHAnsi" w:cstheme="minorHAnsi"/>
            <w:sz w:val="24"/>
            <w:szCs w:val="24"/>
          </w:rPr>
        </w:pPr>
        <w:r w:rsidRPr="004A72CD">
          <w:rPr>
            <w:rFonts w:asciiTheme="minorHAnsi" w:hAnsiTheme="minorHAnsi" w:cstheme="minorHAnsi"/>
            <w:sz w:val="24"/>
            <w:szCs w:val="24"/>
          </w:rPr>
          <w:fldChar w:fldCharType="begin"/>
        </w:r>
        <w:r w:rsidRPr="004A72CD">
          <w:rPr>
            <w:rFonts w:asciiTheme="minorHAnsi" w:hAnsiTheme="minorHAnsi" w:cstheme="minorHAnsi"/>
            <w:sz w:val="24"/>
            <w:szCs w:val="24"/>
          </w:rPr>
          <w:instrText xml:space="preserve"> PAGE   \* MERGEFORMAT </w:instrText>
        </w:r>
        <w:r w:rsidRPr="004A72CD">
          <w:rPr>
            <w:rFonts w:asciiTheme="minorHAnsi" w:hAnsiTheme="minorHAnsi" w:cstheme="minorHAnsi"/>
            <w:sz w:val="24"/>
            <w:szCs w:val="24"/>
          </w:rPr>
          <w:fldChar w:fldCharType="separate"/>
        </w:r>
        <w:r w:rsidRPr="004A72CD">
          <w:rPr>
            <w:rFonts w:asciiTheme="minorHAnsi" w:hAnsiTheme="minorHAnsi" w:cstheme="minorHAnsi"/>
            <w:sz w:val="24"/>
            <w:szCs w:val="24"/>
          </w:rPr>
          <w:t>1</w:t>
        </w:r>
        <w:r w:rsidRPr="004A72CD">
          <w:rPr>
            <w:rFonts w:asciiTheme="minorHAnsi" w:hAnsiTheme="minorHAnsi" w:cstheme="minorHAnsi"/>
            <w:sz w:val="24"/>
            <w:szCs w:val="24"/>
          </w:rPr>
          <w:fldChar w:fldCharType="end"/>
        </w:r>
      </w:p>
    </w:sdtContent>
  </w:sdt>
  <w:p w14:paraId="627AEB19" w14:textId="77777777" w:rsidR="00E157CE" w:rsidRPr="004A72CD" w:rsidRDefault="00E157CE">
    <w:pPr>
      <w:pStyle w:val="Footer"/>
      <w:rPr>
        <w:rFonts w:asciiTheme="minorHAnsi" w:hAnsiTheme="minorHAnsi" w:cstheme="minorHAnsi"/>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1616574"/>
      <w:docPartObj>
        <w:docPartGallery w:val="Page Numbers (Bottom of Page)"/>
        <w:docPartUnique/>
      </w:docPartObj>
    </w:sdtPr>
    <w:sdtEndPr>
      <w:rPr>
        <w:rFonts w:asciiTheme="minorHAnsi" w:hAnsiTheme="minorHAnsi" w:cstheme="minorHAnsi"/>
        <w:sz w:val="24"/>
        <w:szCs w:val="24"/>
      </w:rPr>
    </w:sdtEndPr>
    <w:sdtContent>
      <w:p w14:paraId="74CA52E8" w14:textId="77777777" w:rsidR="00D55F73" w:rsidRPr="004A72CD" w:rsidRDefault="00D55F73">
        <w:pPr>
          <w:pStyle w:val="Footer"/>
          <w:jc w:val="center"/>
          <w:rPr>
            <w:rFonts w:asciiTheme="minorHAnsi" w:hAnsiTheme="minorHAnsi" w:cstheme="minorHAnsi"/>
            <w:sz w:val="24"/>
            <w:szCs w:val="24"/>
          </w:rPr>
        </w:pPr>
        <w:r w:rsidRPr="004A72CD">
          <w:rPr>
            <w:rFonts w:asciiTheme="minorHAnsi" w:hAnsiTheme="minorHAnsi" w:cstheme="minorHAnsi"/>
            <w:sz w:val="24"/>
            <w:szCs w:val="24"/>
          </w:rPr>
          <w:fldChar w:fldCharType="begin"/>
        </w:r>
        <w:r w:rsidRPr="004A72CD">
          <w:rPr>
            <w:rFonts w:asciiTheme="minorHAnsi" w:hAnsiTheme="minorHAnsi" w:cstheme="minorHAnsi"/>
            <w:sz w:val="24"/>
            <w:szCs w:val="24"/>
          </w:rPr>
          <w:instrText xml:space="preserve"> PAGE   \* MERGEFORMAT </w:instrText>
        </w:r>
        <w:r w:rsidRPr="004A72CD">
          <w:rPr>
            <w:rFonts w:asciiTheme="minorHAnsi" w:hAnsiTheme="minorHAnsi" w:cstheme="minorHAnsi"/>
            <w:sz w:val="24"/>
            <w:szCs w:val="24"/>
          </w:rPr>
          <w:fldChar w:fldCharType="separate"/>
        </w:r>
        <w:r w:rsidR="007D7B00" w:rsidRPr="004A72CD">
          <w:rPr>
            <w:rFonts w:asciiTheme="minorHAnsi" w:hAnsiTheme="minorHAnsi" w:cstheme="minorHAnsi"/>
            <w:sz w:val="24"/>
            <w:szCs w:val="24"/>
          </w:rPr>
          <w:t>5</w:t>
        </w:r>
        <w:r w:rsidR="007D7B00" w:rsidRPr="004A72CD">
          <w:rPr>
            <w:rFonts w:asciiTheme="minorHAnsi" w:hAnsiTheme="minorHAnsi" w:cstheme="minorHAnsi"/>
            <w:sz w:val="24"/>
            <w:szCs w:val="24"/>
          </w:rPr>
          <w:t>2</w:t>
        </w:r>
        <w:r w:rsidRPr="004A72CD">
          <w:rPr>
            <w:rFonts w:asciiTheme="minorHAnsi" w:hAnsiTheme="minorHAnsi" w:cstheme="minorHAnsi"/>
            <w:sz w:val="24"/>
            <w:szCs w:val="24"/>
          </w:rPr>
          <w:fldChar w:fldCharType="end"/>
        </w:r>
      </w:p>
    </w:sdtContent>
  </w:sdt>
  <w:p w14:paraId="10DB8DF6" w14:textId="77777777" w:rsidR="00D55F73" w:rsidRPr="004A72CD" w:rsidRDefault="00D55F73">
    <w:pPr>
      <w:pStyle w:val="Footer"/>
      <w:rPr>
        <w:rFonts w:asciiTheme="minorHAnsi" w:hAnsiTheme="minorHAnsi" w:cstheme="minorHAnsi"/>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C3783" w14:textId="77777777" w:rsidR="002300CB" w:rsidRPr="004A72CD" w:rsidRDefault="002300CB" w:rsidP="003C4716">
      <w:r w:rsidRPr="004A72CD">
        <w:separator/>
      </w:r>
    </w:p>
  </w:footnote>
  <w:footnote w:type="continuationSeparator" w:id="0">
    <w:p w14:paraId="0A4C7122" w14:textId="77777777" w:rsidR="002300CB" w:rsidRPr="004A72CD" w:rsidRDefault="002300CB" w:rsidP="003C4716">
      <w:r w:rsidRPr="004A72CD">
        <w:continuationSeparator/>
      </w:r>
    </w:p>
  </w:footnote>
  <w:footnote w:id="1">
    <w:p w14:paraId="398302D4" w14:textId="77777777" w:rsidR="00AE5495" w:rsidRPr="002D2D6C" w:rsidRDefault="00AE5495" w:rsidP="00AE5495">
      <w:pPr>
        <w:pStyle w:val="Textnotdesubsol1"/>
        <w:jc w:val="both"/>
        <w:rPr>
          <w:lang w:val="it-IT"/>
        </w:rPr>
      </w:pPr>
      <w:r w:rsidRPr="004A72CD">
        <w:rPr>
          <w:rStyle w:val="FootnoteReference"/>
          <w:color w:val="000000"/>
          <w:lang w:val="ro-RO"/>
        </w:rPr>
        <w:footnoteRef/>
      </w:r>
      <w:r w:rsidRPr="004A72CD">
        <w:rPr>
          <w:color w:val="000000"/>
          <w:lang w:val="ro-RO"/>
        </w:rPr>
        <w:t xml:space="preserve"> Direcții de acțiune și obiective ale Consiliului Superior al Magistraturii pentru mandatul 2023 - 2029, adoptate prin Hotărârea nr. 55/30 martie 2023 a Plenului Consiliului Superior al Magistraturii.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7031"/>
    <w:multiLevelType w:val="hybridMultilevel"/>
    <w:tmpl w:val="C8CE35A0"/>
    <w:lvl w:ilvl="0" w:tplc="7FC8B250">
      <w:start w:val="1"/>
      <w:numFmt w:val="upperLetter"/>
      <w:lvlText w:val="%1."/>
      <w:lvlJc w:val="left"/>
      <w:pPr>
        <w:ind w:left="1066"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7B14B10"/>
    <w:multiLevelType w:val="hybridMultilevel"/>
    <w:tmpl w:val="E104F7E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 w15:restartNumberingAfterBreak="0">
    <w:nsid w:val="0A470740"/>
    <w:multiLevelType w:val="hybridMultilevel"/>
    <w:tmpl w:val="9C96C4D8"/>
    <w:lvl w:ilvl="0" w:tplc="08AE545A">
      <w:start w:val="1"/>
      <w:numFmt w:val="upperLetter"/>
      <w:lvlText w:val="%1."/>
      <w:lvlJc w:val="left"/>
      <w:pPr>
        <w:ind w:left="1406" w:hanging="696"/>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A9C32DF"/>
    <w:multiLevelType w:val="hybridMultilevel"/>
    <w:tmpl w:val="D3EA67D2"/>
    <w:lvl w:ilvl="0" w:tplc="E7AEAC0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6C5A10"/>
    <w:multiLevelType w:val="hybridMultilevel"/>
    <w:tmpl w:val="D8222C5C"/>
    <w:lvl w:ilvl="0" w:tplc="08090015">
      <w:start w:val="1"/>
      <w:numFmt w:val="upp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5" w15:restartNumberingAfterBreak="0">
    <w:nsid w:val="0D871650"/>
    <w:multiLevelType w:val="hybridMultilevel"/>
    <w:tmpl w:val="9E2A307E"/>
    <w:lvl w:ilvl="0" w:tplc="5A247DB2">
      <w:start w:val="2"/>
      <w:numFmt w:val="bullet"/>
      <w:lvlText w:val="-"/>
      <w:lvlJc w:val="left"/>
      <w:pPr>
        <w:ind w:left="1069" w:hanging="360"/>
      </w:pPr>
      <w:rPr>
        <w:rFonts w:ascii="Times New Roman" w:eastAsia="Times New Roman"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6" w15:restartNumberingAfterBreak="0">
    <w:nsid w:val="121E4439"/>
    <w:multiLevelType w:val="hybridMultilevel"/>
    <w:tmpl w:val="9380FA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33C10D9"/>
    <w:multiLevelType w:val="hybridMultilevel"/>
    <w:tmpl w:val="C9E4A9B8"/>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6F2F04"/>
    <w:multiLevelType w:val="hybridMultilevel"/>
    <w:tmpl w:val="FE4A0D44"/>
    <w:lvl w:ilvl="0" w:tplc="BBA6544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0646A3"/>
    <w:multiLevelType w:val="hybridMultilevel"/>
    <w:tmpl w:val="914457C8"/>
    <w:lvl w:ilvl="0" w:tplc="B440AFE0">
      <w:numFmt w:val="bullet"/>
      <w:lvlText w:val="-"/>
      <w:lvlJc w:val="left"/>
      <w:pPr>
        <w:ind w:left="780" w:hanging="360"/>
      </w:pPr>
      <w:rPr>
        <w:rFonts w:ascii="Times New Roman" w:eastAsia="Times New Roman" w:hAnsi="Times New Roman" w:cs="Times New Roman" w:hint="default"/>
      </w:rPr>
    </w:lvl>
    <w:lvl w:ilvl="1" w:tplc="04180003">
      <w:start w:val="1"/>
      <w:numFmt w:val="bullet"/>
      <w:lvlText w:val="o"/>
      <w:lvlJc w:val="left"/>
      <w:pPr>
        <w:ind w:left="1500" w:hanging="360"/>
      </w:pPr>
      <w:rPr>
        <w:rFonts w:ascii="Courier New" w:hAnsi="Courier New" w:cs="Courier New" w:hint="default"/>
      </w:rPr>
    </w:lvl>
    <w:lvl w:ilvl="2" w:tplc="04180005">
      <w:start w:val="1"/>
      <w:numFmt w:val="bullet"/>
      <w:lvlText w:val=""/>
      <w:lvlJc w:val="left"/>
      <w:pPr>
        <w:ind w:left="2220" w:hanging="360"/>
      </w:pPr>
      <w:rPr>
        <w:rFonts w:ascii="Wingdings" w:hAnsi="Wingdings" w:hint="default"/>
      </w:rPr>
    </w:lvl>
    <w:lvl w:ilvl="3" w:tplc="04180001">
      <w:start w:val="1"/>
      <w:numFmt w:val="bullet"/>
      <w:lvlText w:val=""/>
      <w:lvlJc w:val="left"/>
      <w:pPr>
        <w:ind w:left="2940" w:hanging="360"/>
      </w:pPr>
      <w:rPr>
        <w:rFonts w:ascii="Symbol" w:hAnsi="Symbol" w:hint="default"/>
      </w:rPr>
    </w:lvl>
    <w:lvl w:ilvl="4" w:tplc="04180003">
      <w:start w:val="1"/>
      <w:numFmt w:val="bullet"/>
      <w:lvlText w:val="o"/>
      <w:lvlJc w:val="left"/>
      <w:pPr>
        <w:ind w:left="3660" w:hanging="360"/>
      </w:pPr>
      <w:rPr>
        <w:rFonts w:ascii="Courier New" w:hAnsi="Courier New" w:cs="Courier New" w:hint="default"/>
      </w:rPr>
    </w:lvl>
    <w:lvl w:ilvl="5" w:tplc="04180005">
      <w:start w:val="1"/>
      <w:numFmt w:val="bullet"/>
      <w:lvlText w:val=""/>
      <w:lvlJc w:val="left"/>
      <w:pPr>
        <w:ind w:left="4380" w:hanging="360"/>
      </w:pPr>
      <w:rPr>
        <w:rFonts w:ascii="Wingdings" w:hAnsi="Wingdings" w:hint="default"/>
      </w:rPr>
    </w:lvl>
    <w:lvl w:ilvl="6" w:tplc="04180001">
      <w:start w:val="1"/>
      <w:numFmt w:val="bullet"/>
      <w:lvlText w:val=""/>
      <w:lvlJc w:val="left"/>
      <w:pPr>
        <w:ind w:left="5100" w:hanging="360"/>
      </w:pPr>
      <w:rPr>
        <w:rFonts w:ascii="Symbol" w:hAnsi="Symbol" w:hint="default"/>
      </w:rPr>
    </w:lvl>
    <w:lvl w:ilvl="7" w:tplc="04180003">
      <w:start w:val="1"/>
      <w:numFmt w:val="bullet"/>
      <w:lvlText w:val="o"/>
      <w:lvlJc w:val="left"/>
      <w:pPr>
        <w:ind w:left="5820" w:hanging="360"/>
      </w:pPr>
      <w:rPr>
        <w:rFonts w:ascii="Courier New" w:hAnsi="Courier New" w:cs="Courier New" w:hint="default"/>
      </w:rPr>
    </w:lvl>
    <w:lvl w:ilvl="8" w:tplc="04180005">
      <w:start w:val="1"/>
      <w:numFmt w:val="bullet"/>
      <w:lvlText w:val=""/>
      <w:lvlJc w:val="left"/>
      <w:pPr>
        <w:ind w:left="6540" w:hanging="360"/>
      </w:pPr>
      <w:rPr>
        <w:rFonts w:ascii="Wingdings" w:hAnsi="Wingdings" w:hint="default"/>
      </w:rPr>
    </w:lvl>
  </w:abstractNum>
  <w:abstractNum w:abstractNumId="10" w15:restartNumberingAfterBreak="0">
    <w:nsid w:val="1699167B"/>
    <w:multiLevelType w:val="hybridMultilevel"/>
    <w:tmpl w:val="F25657D6"/>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B907B6"/>
    <w:multiLevelType w:val="hybridMultilevel"/>
    <w:tmpl w:val="EBCECF40"/>
    <w:lvl w:ilvl="0" w:tplc="4874ED82">
      <w:start w:val="4"/>
      <w:numFmt w:val="bullet"/>
      <w:lvlText w:val="-"/>
      <w:lvlJc w:val="left"/>
      <w:pPr>
        <w:ind w:left="720" w:hanging="360"/>
      </w:pPr>
      <w:rPr>
        <w:rFonts w:ascii="Garamond (W1)" w:eastAsia="Times New Roman" w:hAnsi="Garamond (W1)" w:cs="Arabic Typesetting"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21090FD0"/>
    <w:multiLevelType w:val="hybridMultilevel"/>
    <w:tmpl w:val="DFF2DC90"/>
    <w:lvl w:ilvl="0" w:tplc="0409000B">
      <w:start w:val="1"/>
      <w:numFmt w:val="bullet"/>
      <w:lvlText w:val=""/>
      <w:lvlJc w:val="left"/>
      <w:pPr>
        <w:ind w:left="1429" w:hanging="360"/>
      </w:pPr>
      <w:rPr>
        <w:rFonts w:ascii="Wingdings" w:hAnsi="Wingdings"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3" w15:restartNumberingAfterBreak="0">
    <w:nsid w:val="36330553"/>
    <w:multiLevelType w:val="hybridMultilevel"/>
    <w:tmpl w:val="025005F0"/>
    <w:lvl w:ilvl="0" w:tplc="1B46CCD8">
      <w:start w:val="1"/>
      <w:numFmt w:val="upperLetter"/>
      <w:lvlText w:val="%1."/>
      <w:lvlJc w:val="left"/>
      <w:pPr>
        <w:ind w:left="108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38194EC8"/>
    <w:multiLevelType w:val="hybridMultilevel"/>
    <w:tmpl w:val="FC341856"/>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8C5141D"/>
    <w:multiLevelType w:val="hybridMultilevel"/>
    <w:tmpl w:val="858CE7DE"/>
    <w:lvl w:ilvl="0" w:tplc="04090001">
      <w:start w:val="1"/>
      <w:numFmt w:val="bullet"/>
      <w:lvlText w:val=""/>
      <w:lvlJc w:val="left"/>
      <w:pPr>
        <w:ind w:left="1425" w:hanging="360"/>
      </w:pPr>
      <w:rPr>
        <w:rFonts w:ascii="Symbol" w:hAnsi="Symbol" w:hint="default"/>
      </w:rPr>
    </w:lvl>
    <w:lvl w:ilvl="1" w:tplc="04180003" w:tentative="1">
      <w:start w:val="1"/>
      <w:numFmt w:val="bullet"/>
      <w:lvlText w:val="o"/>
      <w:lvlJc w:val="left"/>
      <w:pPr>
        <w:ind w:left="2145" w:hanging="360"/>
      </w:pPr>
      <w:rPr>
        <w:rFonts w:ascii="Courier New" w:hAnsi="Courier New" w:cs="Courier New" w:hint="default"/>
      </w:rPr>
    </w:lvl>
    <w:lvl w:ilvl="2" w:tplc="04180005" w:tentative="1">
      <w:start w:val="1"/>
      <w:numFmt w:val="bullet"/>
      <w:lvlText w:val=""/>
      <w:lvlJc w:val="left"/>
      <w:pPr>
        <w:ind w:left="2865" w:hanging="360"/>
      </w:pPr>
      <w:rPr>
        <w:rFonts w:ascii="Wingdings" w:hAnsi="Wingdings" w:hint="default"/>
      </w:rPr>
    </w:lvl>
    <w:lvl w:ilvl="3" w:tplc="04180001" w:tentative="1">
      <w:start w:val="1"/>
      <w:numFmt w:val="bullet"/>
      <w:lvlText w:val=""/>
      <w:lvlJc w:val="left"/>
      <w:pPr>
        <w:ind w:left="3585" w:hanging="360"/>
      </w:pPr>
      <w:rPr>
        <w:rFonts w:ascii="Symbol" w:hAnsi="Symbol" w:hint="default"/>
      </w:rPr>
    </w:lvl>
    <w:lvl w:ilvl="4" w:tplc="04180003" w:tentative="1">
      <w:start w:val="1"/>
      <w:numFmt w:val="bullet"/>
      <w:lvlText w:val="o"/>
      <w:lvlJc w:val="left"/>
      <w:pPr>
        <w:ind w:left="4305" w:hanging="360"/>
      </w:pPr>
      <w:rPr>
        <w:rFonts w:ascii="Courier New" w:hAnsi="Courier New" w:cs="Courier New" w:hint="default"/>
      </w:rPr>
    </w:lvl>
    <w:lvl w:ilvl="5" w:tplc="04180005" w:tentative="1">
      <w:start w:val="1"/>
      <w:numFmt w:val="bullet"/>
      <w:lvlText w:val=""/>
      <w:lvlJc w:val="left"/>
      <w:pPr>
        <w:ind w:left="5025" w:hanging="360"/>
      </w:pPr>
      <w:rPr>
        <w:rFonts w:ascii="Wingdings" w:hAnsi="Wingdings" w:hint="default"/>
      </w:rPr>
    </w:lvl>
    <w:lvl w:ilvl="6" w:tplc="04180001" w:tentative="1">
      <w:start w:val="1"/>
      <w:numFmt w:val="bullet"/>
      <w:lvlText w:val=""/>
      <w:lvlJc w:val="left"/>
      <w:pPr>
        <w:ind w:left="5745" w:hanging="360"/>
      </w:pPr>
      <w:rPr>
        <w:rFonts w:ascii="Symbol" w:hAnsi="Symbol" w:hint="default"/>
      </w:rPr>
    </w:lvl>
    <w:lvl w:ilvl="7" w:tplc="04180003" w:tentative="1">
      <w:start w:val="1"/>
      <w:numFmt w:val="bullet"/>
      <w:lvlText w:val="o"/>
      <w:lvlJc w:val="left"/>
      <w:pPr>
        <w:ind w:left="6465" w:hanging="360"/>
      </w:pPr>
      <w:rPr>
        <w:rFonts w:ascii="Courier New" w:hAnsi="Courier New" w:cs="Courier New" w:hint="default"/>
      </w:rPr>
    </w:lvl>
    <w:lvl w:ilvl="8" w:tplc="04180005" w:tentative="1">
      <w:start w:val="1"/>
      <w:numFmt w:val="bullet"/>
      <w:lvlText w:val=""/>
      <w:lvlJc w:val="left"/>
      <w:pPr>
        <w:ind w:left="7185" w:hanging="360"/>
      </w:pPr>
      <w:rPr>
        <w:rFonts w:ascii="Wingdings" w:hAnsi="Wingdings" w:hint="default"/>
      </w:rPr>
    </w:lvl>
  </w:abstractNum>
  <w:abstractNum w:abstractNumId="16" w15:restartNumberingAfterBreak="0">
    <w:nsid w:val="397D2345"/>
    <w:multiLevelType w:val="hybridMultilevel"/>
    <w:tmpl w:val="2BDE6366"/>
    <w:lvl w:ilvl="0" w:tplc="0409000B">
      <w:start w:val="1"/>
      <w:numFmt w:val="bullet"/>
      <w:lvlText w:val=""/>
      <w:lvlJc w:val="left"/>
      <w:pPr>
        <w:ind w:left="900" w:hanging="360"/>
      </w:pPr>
      <w:rPr>
        <w:rFonts w:ascii="Wingdings" w:hAnsi="Wingdings" w:hint="default"/>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7" w15:restartNumberingAfterBreak="0">
    <w:nsid w:val="3A127DDF"/>
    <w:multiLevelType w:val="hybridMultilevel"/>
    <w:tmpl w:val="304EA11C"/>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3F2075C4"/>
    <w:multiLevelType w:val="hybridMultilevel"/>
    <w:tmpl w:val="85405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46661A"/>
    <w:multiLevelType w:val="multilevel"/>
    <w:tmpl w:val="5DEA3B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A65E12"/>
    <w:multiLevelType w:val="hybridMultilevel"/>
    <w:tmpl w:val="62D03E00"/>
    <w:lvl w:ilvl="0" w:tplc="BD9481F6">
      <w:start w:val="1"/>
      <w:numFmt w:val="bullet"/>
      <w:lvlText w:val=""/>
      <w:lvlJc w:val="left"/>
      <w:pPr>
        <w:ind w:left="990"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15:restartNumberingAfterBreak="0">
    <w:nsid w:val="457F6036"/>
    <w:multiLevelType w:val="hybridMultilevel"/>
    <w:tmpl w:val="67CC6EB4"/>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47D27FC6"/>
    <w:multiLevelType w:val="hybridMultilevel"/>
    <w:tmpl w:val="6D2EE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231A24"/>
    <w:multiLevelType w:val="hybridMultilevel"/>
    <w:tmpl w:val="F9805A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8F11572"/>
    <w:multiLevelType w:val="hybridMultilevel"/>
    <w:tmpl w:val="BFAC9EFE"/>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ACE0678"/>
    <w:multiLevelType w:val="hybridMultilevel"/>
    <w:tmpl w:val="8EE0D366"/>
    <w:lvl w:ilvl="0" w:tplc="0409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6" w15:restartNumberingAfterBreak="0">
    <w:nsid w:val="4CF93A0E"/>
    <w:multiLevelType w:val="hybridMultilevel"/>
    <w:tmpl w:val="A406E2EE"/>
    <w:lvl w:ilvl="0" w:tplc="28FA55A8">
      <w:start w:val="12"/>
      <w:numFmt w:val="bullet"/>
      <w:lvlText w:val="-"/>
      <w:lvlJc w:val="left"/>
      <w:pPr>
        <w:ind w:left="3822" w:hanging="360"/>
      </w:pPr>
      <w:rPr>
        <w:rFonts w:ascii="Times New Roman" w:eastAsia="Times New Roman" w:hAnsi="Times New Roman" w:cs="Times New Roman" w:hint="default"/>
      </w:rPr>
    </w:lvl>
    <w:lvl w:ilvl="1" w:tplc="04180003">
      <w:start w:val="1"/>
      <w:numFmt w:val="bullet"/>
      <w:lvlText w:val="o"/>
      <w:lvlJc w:val="left"/>
      <w:pPr>
        <w:ind w:left="4272" w:hanging="360"/>
      </w:pPr>
      <w:rPr>
        <w:rFonts w:ascii="Courier New" w:hAnsi="Courier New" w:cs="Courier New" w:hint="default"/>
      </w:rPr>
    </w:lvl>
    <w:lvl w:ilvl="2" w:tplc="04180005">
      <w:start w:val="1"/>
      <w:numFmt w:val="bullet"/>
      <w:lvlText w:val=""/>
      <w:lvlJc w:val="left"/>
      <w:pPr>
        <w:ind w:left="4992" w:hanging="360"/>
      </w:pPr>
      <w:rPr>
        <w:rFonts w:ascii="Wingdings" w:hAnsi="Wingdings" w:hint="default"/>
      </w:rPr>
    </w:lvl>
    <w:lvl w:ilvl="3" w:tplc="04180001">
      <w:start w:val="1"/>
      <w:numFmt w:val="bullet"/>
      <w:lvlText w:val=""/>
      <w:lvlJc w:val="left"/>
      <w:pPr>
        <w:ind w:left="5712" w:hanging="360"/>
      </w:pPr>
      <w:rPr>
        <w:rFonts w:ascii="Symbol" w:hAnsi="Symbol" w:hint="default"/>
      </w:rPr>
    </w:lvl>
    <w:lvl w:ilvl="4" w:tplc="04180003">
      <w:start w:val="1"/>
      <w:numFmt w:val="bullet"/>
      <w:lvlText w:val="o"/>
      <w:lvlJc w:val="left"/>
      <w:pPr>
        <w:ind w:left="6432" w:hanging="360"/>
      </w:pPr>
      <w:rPr>
        <w:rFonts w:ascii="Courier New" w:hAnsi="Courier New" w:cs="Courier New" w:hint="default"/>
      </w:rPr>
    </w:lvl>
    <w:lvl w:ilvl="5" w:tplc="04180005">
      <w:start w:val="1"/>
      <w:numFmt w:val="bullet"/>
      <w:lvlText w:val=""/>
      <w:lvlJc w:val="left"/>
      <w:pPr>
        <w:ind w:left="7152" w:hanging="360"/>
      </w:pPr>
      <w:rPr>
        <w:rFonts w:ascii="Wingdings" w:hAnsi="Wingdings" w:hint="default"/>
      </w:rPr>
    </w:lvl>
    <w:lvl w:ilvl="6" w:tplc="04180001">
      <w:start w:val="1"/>
      <w:numFmt w:val="bullet"/>
      <w:lvlText w:val=""/>
      <w:lvlJc w:val="left"/>
      <w:pPr>
        <w:ind w:left="7872" w:hanging="360"/>
      </w:pPr>
      <w:rPr>
        <w:rFonts w:ascii="Symbol" w:hAnsi="Symbol" w:hint="default"/>
      </w:rPr>
    </w:lvl>
    <w:lvl w:ilvl="7" w:tplc="04180003">
      <w:start w:val="1"/>
      <w:numFmt w:val="bullet"/>
      <w:lvlText w:val="o"/>
      <w:lvlJc w:val="left"/>
      <w:pPr>
        <w:ind w:left="8592" w:hanging="360"/>
      </w:pPr>
      <w:rPr>
        <w:rFonts w:ascii="Courier New" w:hAnsi="Courier New" w:cs="Courier New" w:hint="default"/>
      </w:rPr>
    </w:lvl>
    <w:lvl w:ilvl="8" w:tplc="04180005">
      <w:start w:val="1"/>
      <w:numFmt w:val="bullet"/>
      <w:lvlText w:val=""/>
      <w:lvlJc w:val="left"/>
      <w:pPr>
        <w:ind w:left="9312" w:hanging="360"/>
      </w:pPr>
      <w:rPr>
        <w:rFonts w:ascii="Wingdings" w:hAnsi="Wingdings" w:hint="default"/>
      </w:rPr>
    </w:lvl>
  </w:abstractNum>
  <w:abstractNum w:abstractNumId="27" w15:restartNumberingAfterBreak="0">
    <w:nsid w:val="4F06636F"/>
    <w:multiLevelType w:val="hybridMultilevel"/>
    <w:tmpl w:val="D35E55FC"/>
    <w:lvl w:ilvl="0" w:tplc="A89E2A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5A5A53"/>
    <w:multiLevelType w:val="hybridMultilevel"/>
    <w:tmpl w:val="86143C80"/>
    <w:lvl w:ilvl="0" w:tplc="08090001">
      <w:start w:val="1"/>
      <w:numFmt w:val="bullet"/>
      <w:lvlText w:val=""/>
      <w:lvlJc w:val="left"/>
      <w:pPr>
        <w:ind w:left="1426" w:hanging="360"/>
      </w:pPr>
      <w:rPr>
        <w:rFonts w:ascii="Symbol" w:hAnsi="Symbol" w:hint="default"/>
      </w:rPr>
    </w:lvl>
    <w:lvl w:ilvl="1" w:tplc="6A56F620">
      <w:start w:val="30"/>
      <w:numFmt w:val="bullet"/>
      <w:lvlText w:val="-"/>
      <w:lvlJc w:val="left"/>
      <w:pPr>
        <w:ind w:left="2521" w:hanging="735"/>
      </w:pPr>
      <w:rPr>
        <w:rFonts w:ascii="Calibri" w:eastAsia="Times New Roman" w:hAnsi="Calibri" w:cs="Calibri"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29" w15:restartNumberingAfterBreak="0">
    <w:nsid w:val="535528AA"/>
    <w:multiLevelType w:val="hybridMultilevel"/>
    <w:tmpl w:val="D92E62B0"/>
    <w:lvl w:ilvl="0" w:tplc="7692545E">
      <w:start w:val="1"/>
      <w:numFmt w:val="upperLetter"/>
      <w:lvlText w:val="%1."/>
      <w:lvlJc w:val="left"/>
      <w:pPr>
        <w:ind w:left="720" w:hanging="360"/>
      </w:pPr>
      <w:rPr>
        <w:rFonts w:asciiTheme="minorHAnsi" w:hAnsiTheme="minorHAnsi" w:cstheme="minorHAnsi" w:hint="default"/>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30" w15:restartNumberingAfterBreak="0">
    <w:nsid w:val="540D4E01"/>
    <w:multiLevelType w:val="singleLevel"/>
    <w:tmpl w:val="7486C8C8"/>
    <w:lvl w:ilvl="0">
      <w:numFmt w:val="bullet"/>
      <w:lvlText w:val="-"/>
      <w:lvlJc w:val="left"/>
    </w:lvl>
  </w:abstractNum>
  <w:abstractNum w:abstractNumId="31" w15:restartNumberingAfterBreak="0">
    <w:nsid w:val="545222FC"/>
    <w:multiLevelType w:val="hybridMultilevel"/>
    <w:tmpl w:val="904E644A"/>
    <w:lvl w:ilvl="0" w:tplc="A89E2A2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A2A550F"/>
    <w:multiLevelType w:val="hybridMultilevel"/>
    <w:tmpl w:val="C42E8DE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5F434EBB"/>
    <w:multiLevelType w:val="hybridMultilevel"/>
    <w:tmpl w:val="4E883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AB01B0"/>
    <w:multiLevelType w:val="hybridMultilevel"/>
    <w:tmpl w:val="D00A981E"/>
    <w:lvl w:ilvl="0" w:tplc="4874ED82">
      <w:start w:val="4"/>
      <w:numFmt w:val="bullet"/>
      <w:lvlText w:val="-"/>
      <w:lvlJc w:val="left"/>
      <w:pPr>
        <w:ind w:left="720" w:hanging="360"/>
      </w:pPr>
      <w:rPr>
        <w:rFonts w:ascii="Garamond (W1)" w:eastAsia="Times New Roman" w:hAnsi="Garamond (W1)" w:cs="Arabic Typesetting"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2B92819"/>
    <w:multiLevelType w:val="hybridMultilevel"/>
    <w:tmpl w:val="143CC4B4"/>
    <w:lvl w:ilvl="0" w:tplc="A89E2A22">
      <w:numFmt w:val="bullet"/>
      <w:lvlText w:val="-"/>
      <w:lvlJc w:val="left"/>
      <w:pPr>
        <w:ind w:left="1426" w:hanging="360"/>
      </w:pPr>
      <w:rPr>
        <w:rFonts w:ascii="Times New Roman" w:eastAsia="Times New Roman" w:hAnsi="Times New Roman" w:cs="Times New Roman"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36" w15:restartNumberingAfterBreak="0">
    <w:nsid w:val="64D63DF2"/>
    <w:multiLevelType w:val="hybridMultilevel"/>
    <w:tmpl w:val="608C64C8"/>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15:restartNumberingAfterBreak="0">
    <w:nsid w:val="6C28027B"/>
    <w:multiLevelType w:val="singleLevel"/>
    <w:tmpl w:val="980A45F8"/>
    <w:lvl w:ilvl="0">
      <w:numFmt w:val="bullet"/>
      <w:lvlText w:val="-"/>
      <w:lvlJc w:val="left"/>
    </w:lvl>
  </w:abstractNum>
  <w:abstractNum w:abstractNumId="38" w15:restartNumberingAfterBreak="0">
    <w:nsid w:val="6C524CBC"/>
    <w:multiLevelType w:val="hybridMultilevel"/>
    <w:tmpl w:val="BE068880"/>
    <w:lvl w:ilvl="0" w:tplc="0A547C28">
      <w:start w:val="1"/>
      <w:numFmt w:val="upperLetter"/>
      <w:lvlText w:val="%1."/>
      <w:lvlJc w:val="left"/>
      <w:pPr>
        <w:ind w:left="1080" w:hanging="360"/>
      </w:pPr>
      <w:rPr>
        <w:rFonts w:hint="default"/>
        <w:b/>
        <w:bCs/>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9" w15:restartNumberingAfterBreak="0">
    <w:nsid w:val="6EE214DB"/>
    <w:multiLevelType w:val="hybridMultilevel"/>
    <w:tmpl w:val="760E6D72"/>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70972D63"/>
    <w:multiLevelType w:val="hybridMultilevel"/>
    <w:tmpl w:val="10724B9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1F042B5"/>
    <w:multiLevelType w:val="hybridMultilevel"/>
    <w:tmpl w:val="ABA43D1C"/>
    <w:lvl w:ilvl="0" w:tplc="67D027EA">
      <w:start w:val="1"/>
      <w:numFmt w:val="bullet"/>
      <w:lvlText w:val=""/>
      <w:lvlJc w:val="left"/>
      <w:pPr>
        <w:ind w:left="1776" w:hanging="360"/>
      </w:pPr>
      <w:rPr>
        <w:rFonts w:ascii="Symbol" w:hAnsi="Symbol" w:hint="default"/>
        <w:color w:val="auto"/>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42" w15:restartNumberingAfterBreak="0">
    <w:nsid w:val="73BB163E"/>
    <w:multiLevelType w:val="hybridMultilevel"/>
    <w:tmpl w:val="223E2196"/>
    <w:lvl w:ilvl="0" w:tplc="04180015">
      <w:start w:val="1"/>
      <w:numFmt w:val="upp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3" w15:restartNumberingAfterBreak="0">
    <w:nsid w:val="744553A1"/>
    <w:multiLevelType w:val="hybridMultilevel"/>
    <w:tmpl w:val="FAAE9B5E"/>
    <w:lvl w:ilvl="0" w:tplc="D19AC00A">
      <w:start w:val="1"/>
      <w:numFmt w:val="upp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4" w15:restartNumberingAfterBreak="0">
    <w:nsid w:val="74622D33"/>
    <w:multiLevelType w:val="hybridMultilevel"/>
    <w:tmpl w:val="78281010"/>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5" w15:restartNumberingAfterBreak="0">
    <w:nsid w:val="755F7E1F"/>
    <w:multiLevelType w:val="hybridMultilevel"/>
    <w:tmpl w:val="D6FC3C0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82A424A"/>
    <w:multiLevelType w:val="hybridMultilevel"/>
    <w:tmpl w:val="982679B4"/>
    <w:lvl w:ilvl="0" w:tplc="04180001">
      <w:start w:val="1"/>
      <w:numFmt w:val="bullet"/>
      <w:lvlText w:val=""/>
      <w:lvlJc w:val="left"/>
      <w:pPr>
        <w:ind w:left="1078" w:hanging="360"/>
      </w:pPr>
      <w:rPr>
        <w:rFonts w:ascii="Symbol" w:hAnsi="Symbol" w:hint="default"/>
      </w:rPr>
    </w:lvl>
    <w:lvl w:ilvl="1" w:tplc="04180003" w:tentative="1">
      <w:start w:val="1"/>
      <w:numFmt w:val="bullet"/>
      <w:lvlText w:val="o"/>
      <w:lvlJc w:val="left"/>
      <w:pPr>
        <w:ind w:left="1798" w:hanging="360"/>
      </w:pPr>
      <w:rPr>
        <w:rFonts w:ascii="Courier New" w:hAnsi="Courier New" w:cs="Courier New" w:hint="default"/>
      </w:rPr>
    </w:lvl>
    <w:lvl w:ilvl="2" w:tplc="04180005" w:tentative="1">
      <w:start w:val="1"/>
      <w:numFmt w:val="bullet"/>
      <w:lvlText w:val=""/>
      <w:lvlJc w:val="left"/>
      <w:pPr>
        <w:ind w:left="2518" w:hanging="360"/>
      </w:pPr>
      <w:rPr>
        <w:rFonts w:ascii="Wingdings" w:hAnsi="Wingdings" w:hint="default"/>
      </w:rPr>
    </w:lvl>
    <w:lvl w:ilvl="3" w:tplc="04180001" w:tentative="1">
      <w:start w:val="1"/>
      <w:numFmt w:val="bullet"/>
      <w:lvlText w:val=""/>
      <w:lvlJc w:val="left"/>
      <w:pPr>
        <w:ind w:left="3238" w:hanging="360"/>
      </w:pPr>
      <w:rPr>
        <w:rFonts w:ascii="Symbol" w:hAnsi="Symbol" w:hint="default"/>
      </w:rPr>
    </w:lvl>
    <w:lvl w:ilvl="4" w:tplc="04180003" w:tentative="1">
      <w:start w:val="1"/>
      <w:numFmt w:val="bullet"/>
      <w:lvlText w:val="o"/>
      <w:lvlJc w:val="left"/>
      <w:pPr>
        <w:ind w:left="3958" w:hanging="360"/>
      </w:pPr>
      <w:rPr>
        <w:rFonts w:ascii="Courier New" w:hAnsi="Courier New" w:cs="Courier New" w:hint="default"/>
      </w:rPr>
    </w:lvl>
    <w:lvl w:ilvl="5" w:tplc="04180005" w:tentative="1">
      <w:start w:val="1"/>
      <w:numFmt w:val="bullet"/>
      <w:lvlText w:val=""/>
      <w:lvlJc w:val="left"/>
      <w:pPr>
        <w:ind w:left="4678" w:hanging="360"/>
      </w:pPr>
      <w:rPr>
        <w:rFonts w:ascii="Wingdings" w:hAnsi="Wingdings" w:hint="default"/>
      </w:rPr>
    </w:lvl>
    <w:lvl w:ilvl="6" w:tplc="04180001" w:tentative="1">
      <w:start w:val="1"/>
      <w:numFmt w:val="bullet"/>
      <w:lvlText w:val=""/>
      <w:lvlJc w:val="left"/>
      <w:pPr>
        <w:ind w:left="5398" w:hanging="360"/>
      </w:pPr>
      <w:rPr>
        <w:rFonts w:ascii="Symbol" w:hAnsi="Symbol" w:hint="default"/>
      </w:rPr>
    </w:lvl>
    <w:lvl w:ilvl="7" w:tplc="04180003" w:tentative="1">
      <w:start w:val="1"/>
      <w:numFmt w:val="bullet"/>
      <w:lvlText w:val="o"/>
      <w:lvlJc w:val="left"/>
      <w:pPr>
        <w:ind w:left="6118" w:hanging="360"/>
      </w:pPr>
      <w:rPr>
        <w:rFonts w:ascii="Courier New" w:hAnsi="Courier New" w:cs="Courier New" w:hint="default"/>
      </w:rPr>
    </w:lvl>
    <w:lvl w:ilvl="8" w:tplc="04180005" w:tentative="1">
      <w:start w:val="1"/>
      <w:numFmt w:val="bullet"/>
      <w:lvlText w:val=""/>
      <w:lvlJc w:val="left"/>
      <w:pPr>
        <w:ind w:left="6838" w:hanging="360"/>
      </w:pPr>
      <w:rPr>
        <w:rFonts w:ascii="Wingdings" w:hAnsi="Wingdings" w:hint="default"/>
      </w:rPr>
    </w:lvl>
  </w:abstractNum>
  <w:abstractNum w:abstractNumId="47" w15:restartNumberingAfterBreak="0">
    <w:nsid w:val="78D96703"/>
    <w:multiLevelType w:val="hybridMultilevel"/>
    <w:tmpl w:val="6A467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7F16A2"/>
    <w:multiLevelType w:val="hybridMultilevel"/>
    <w:tmpl w:val="21FAEB12"/>
    <w:lvl w:ilvl="0" w:tplc="4874ED82">
      <w:start w:val="4"/>
      <w:numFmt w:val="bullet"/>
      <w:lvlText w:val="-"/>
      <w:lvlJc w:val="left"/>
      <w:pPr>
        <w:tabs>
          <w:tab w:val="num" w:pos="1680"/>
        </w:tabs>
        <w:ind w:left="1680" w:hanging="960"/>
      </w:pPr>
      <w:rPr>
        <w:rFonts w:ascii="Garamond (W1)" w:eastAsia="Times New Roman" w:hAnsi="Garamond (W1)" w:cs="Arabic Typesetting"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16cid:durableId="792596445">
    <w:abstractNumId w:val="43"/>
  </w:num>
  <w:num w:numId="2" w16cid:durableId="1637759772">
    <w:abstractNumId w:val="23"/>
  </w:num>
  <w:num w:numId="3" w16cid:durableId="872117065">
    <w:abstractNumId w:val="38"/>
  </w:num>
  <w:num w:numId="4" w16cid:durableId="450826949">
    <w:abstractNumId w:val="32"/>
  </w:num>
  <w:num w:numId="5" w16cid:durableId="18991247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2119307">
    <w:abstractNumId w:val="29"/>
  </w:num>
  <w:num w:numId="7" w16cid:durableId="1197893698">
    <w:abstractNumId w:val="20"/>
  </w:num>
  <w:num w:numId="8" w16cid:durableId="1771854568">
    <w:abstractNumId w:val="1"/>
  </w:num>
  <w:num w:numId="9" w16cid:durableId="794448134">
    <w:abstractNumId w:val="22"/>
  </w:num>
  <w:num w:numId="10" w16cid:durableId="716709054">
    <w:abstractNumId w:val="48"/>
  </w:num>
  <w:num w:numId="11" w16cid:durableId="1575433817">
    <w:abstractNumId w:val="26"/>
  </w:num>
  <w:num w:numId="12" w16cid:durableId="1746763443">
    <w:abstractNumId w:val="6"/>
  </w:num>
  <w:num w:numId="13" w16cid:durableId="9657393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0060760">
    <w:abstractNumId w:val="31"/>
  </w:num>
  <w:num w:numId="15" w16cid:durableId="1062482198">
    <w:abstractNumId w:val="46"/>
  </w:num>
  <w:num w:numId="16" w16cid:durableId="581380868">
    <w:abstractNumId w:val="19"/>
  </w:num>
  <w:num w:numId="17" w16cid:durableId="399328397">
    <w:abstractNumId w:val="5"/>
  </w:num>
  <w:num w:numId="18" w16cid:durableId="1487698900">
    <w:abstractNumId w:val="12"/>
  </w:num>
  <w:num w:numId="19" w16cid:durableId="742798981">
    <w:abstractNumId w:val="17"/>
  </w:num>
  <w:num w:numId="20" w16cid:durableId="1038241536">
    <w:abstractNumId w:val="47"/>
  </w:num>
  <w:num w:numId="21" w16cid:durableId="584845332">
    <w:abstractNumId w:val="28"/>
  </w:num>
  <w:num w:numId="22" w16cid:durableId="1014766774">
    <w:abstractNumId w:val="33"/>
  </w:num>
  <w:num w:numId="23" w16cid:durableId="1095175039">
    <w:abstractNumId w:val="18"/>
  </w:num>
  <w:num w:numId="24" w16cid:durableId="2016228853">
    <w:abstractNumId w:val="42"/>
  </w:num>
  <w:num w:numId="25" w16cid:durableId="1409377952">
    <w:abstractNumId w:val="3"/>
  </w:num>
  <w:num w:numId="26" w16cid:durableId="1920600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6830390">
    <w:abstractNumId w:val="27"/>
  </w:num>
  <w:num w:numId="28" w16cid:durableId="484054515">
    <w:abstractNumId w:val="39"/>
  </w:num>
  <w:num w:numId="29" w16cid:durableId="1952281537">
    <w:abstractNumId w:val="24"/>
  </w:num>
  <w:num w:numId="30" w16cid:durableId="1712337771">
    <w:abstractNumId w:val="44"/>
  </w:num>
  <w:num w:numId="31" w16cid:durableId="55471150">
    <w:abstractNumId w:val="21"/>
  </w:num>
  <w:num w:numId="32" w16cid:durableId="697660053">
    <w:abstractNumId w:val="36"/>
  </w:num>
  <w:num w:numId="33" w16cid:durableId="1046567314">
    <w:abstractNumId w:val="35"/>
  </w:num>
  <w:num w:numId="34" w16cid:durableId="172109616">
    <w:abstractNumId w:val="41"/>
  </w:num>
  <w:num w:numId="35" w16cid:durableId="2092972135">
    <w:abstractNumId w:val="40"/>
  </w:num>
  <w:num w:numId="36" w16cid:durableId="1490098864">
    <w:abstractNumId w:val="16"/>
  </w:num>
  <w:num w:numId="37" w16cid:durableId="315964395">
    <w:abstractNumId w:val="7"/>
  </w:num>
  <w:num w:numId="38" w16cid:durableId="618923891">
    <w:abstractNumId w:val="10"/>
  </w:num>
  <w:num w:numId="39" w16cid:durableId="295255800">
    <w:abstractNumId w:val="14"/>
  </w:num>
  <w:num w:numId="40" w16cid:durableId="1031805749">
    <w:abstractNumId w:val="45"/>
  </w:num>
  <w:num w:numId="41" w16cid:durableId="2081171840">
    <w:abstractNumId w:val="25"/>
  </w:num>
  <w:num w:numId="42" w16cid:durableId="164710095">
    <w:abstractNumId w:val="15"/>
  </w:num>
  <w:num w:numId="43" w16cid:durableId="1428380224">
    <w:abstractNumId w:val="37"/>
  </w:num>
  <w:num w:numId="44" w16cid:durableId="1727990557">
    <w:abstractNumId w:val="30"/>
  </w:num>
  <w:num w:numId="45" w16cid:durableId="637102404">
    <w:abstractNumId w:val="11"/>
  </w:num>
  <w:num w:numId="46" w16cid:durableId="2105033633">
    <w:abstractNumId w:val="13"/>
  </w:num>
  <w:num w:numId="47" w16cid:durableId="594283570">
    <w:abstractNumId w:val="0"/>
  </w:num>
  <w:num w:numId="48" w16cid:durableId="1244679344">
    <w:abstractNumId w:val="9"/>
  </w:num>
  <w:num w:numId="49" w16cid:durableId="555362273">
    <w:abstractNumId w:val="20"/>
  </w:num>
  <w:num w:numId="50" w16cid:durableId="1588805286">
    <w:abstractNumId w:val="45"/>
  </w:num>
  <w:num w:numId="51" w16cid:durableId="1909269158">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E0B"/>
    <w:rsid w:val="00001A14"/>
    <w:rsid w:val="0000256D"/>
    <w:rsid w:val="0000355D"/>
    <w:rsid w:val="00003FDB"/>
    <w:rsid w:val="000045A9"/>
    <w:rsid w:val="00007BB3"/>
    <w:rsid w:val="00007C15"/>
    <w:rsid w:val="00010002"/>
    <w:rsid w:val="00010458"/>
    <w:rsid w:val="0001200A"/>
    <w:rsid w:val="0001258A"/>
    <w:rsid w:val="0001268D"/>
    <w:rsid w:val="00012EC5"/>
    <w:rsid w:val="0001595E"/>
    <w:rsid w:val="000161BC"/>
    <w:rsid w:val="00016C07"/>
    <w:rsid w:val="00016E66"/>
    <w:rsid w:val="00020488"/>
    <w:rsid w:val="000208A2"/>
    <w:rsid w:val="000211C3"/>
    <w:rsid w:val="00021A77"/>
    <w:rsid w:val="00021ABC"/>
    <w:rsid w:val="00022376"/>
    <w:rsid w:val="00025E9B"/>
    <w:rsid w:val="00026F23"/>
    <w:rsid w:val="000303A1"/>
    <w:rsid w:val="0003082F"/>
    <w:rsid w:val="000308D9"/>
    <w:rsid w:val="00030AEB"/>
    <w:rsid w:val="00031984"/>
    <w:rsid w:val="00034A77"/>
    <w:rsid w:val="00035B1B"/>
    <w:rsid w:val="0003637E"/>
    <w:rsid w:val="000363DB"/>
    <w:rsid w:val="00036BE0"/>
    <w:rsid w:val="00040CE8"/>
    <w:rsid w:val="000410D1"/>
    <w:rsid w:val="00042A22"/>
    <w:rsid w:val="000433CD"/>
    <w:rsid w:val="0004471F"/>
    <w:rsid w:val="00045F5D"/>
    <w:rsid w:val="000464E2"/>
    <w:rsid w:val="00046B61"/>
    <w:rsid w:val="00046CC4"/>
    <w:rsid w:val="0004735A"/>
    <w:rsid w:val="00047C98"/>
    <w:rsid w:val="00047F4D"/>
    <w:rsid w:val="000513A9"/>
    <w:rsid w:val="000513D5"/>
    <w:rsid w:val="000514B8"/>
    <w:rsid w:val="00051F2D"/>
    <w:rsid w:val="000522AF"/>
    <w:rsid w:val="0005376E"/>
    <w:rsid w:val="000546E1"/>
    <w:rsid w:val="0005685B"/>
    <w:rsid w:val="00056C92"/>
    <w:rsid w:val="00056F45"/>
    <w:rsid w:val="000572CA"/>
    <w:rsid w:val="0005789A"/>
    <w:rsid w:val="000600A5"/>
    <w:rsid w:val="00060B02"/>
    <w:rsid w:val="00062368"/>
    <w:rsid w:val="0006282E"/>
    <w:rsid w:val="00063374"/>
    <w:rsid w:val="00064A98"/>
    <w:rsid w:val="000667D7"/>
    <w:rsid w:val="000672DA"/>
    <w:rsid w:val="00070CBD"/>
    <w:rsid w:val="00071471"/>
    <w:rsid w:val="00073AA6"/>
    <w:rsid w:val="0007472A"/>
    <w:rsid w:val="0007587C"/>
    <w:rsid w:val="00080B02"/>
    <w:rsid w:val="00080DFC"/>
    <w:rsid w:val="000814F4"/>
    <w:rsid w:val="00082559"/>
    <w:rsid w:val="00082C9F"/>
    <w:rsid w:val="000852CC"/>
    <w:rsid w:val="00085C84"/>
    <w:rsid w:val="00085F5B"/>
    <w:rsid w:val="00086FFA"/>
    <w:rsid w:val="00090793"/>
    <w:rsid w:val="000917EC"/>
    <w:rsid w:val="00093AC6"/>
    <w:rsid w:val="00094323"/>
    <w:rsid w:val="0009482D"/>
    <w:rsid w:val="00095A56"/>
    <w:rsid w:val="00095BA5"/>
    <w:rsid w:val="00095E32"/>
    <w:rsid w:val="000964CD"/>
    <w:rsid w:val="00097EFD"/>
    <w:rsid w:val="000A01B7"/>
    <w:rsid w:val="000A052D"/>
    <w:rsid w:val="000A08F1"/>
    <w:rsid w:val="000A0BF0"/>
    <w:rsid w:val="000A2C72"/>
    <w:rsid w:val="000A3D59"/>
    <w:rsid w:val="000A52EA"/>
    <w:rsid w:val="000A5385"/>
    <w:rsid w:val="000A6A12"/>
    <w:rsid w:val="000A7E28"/>
    <w:rsid w:val="000B1B35"/>
    <w:rsid w:val="000B1C72"/>
    <w:rsid w:val="000B1DB7"/>
    <w:rsid w:val="000B2079"/>
    <w:rsid w:val="000B2127"/>
    <w:rsid w:val="000B2BB7"/>
    <w:rsid w:val="000B3441"/>
    <w:rsid w:val="000B452A"/>
    <w:rsid w:val="000B4D86"/>
    <w:rsid w:val="000B56FB"/>
    <w:rsid w:val="000B5794"/>
    <w:rsid w:val="000B5B0E"/>
    <w:rsid w:val="000B5F54"/>
    <w:rsid w:val="000B639A"/>
    <w:rsid w:val="000B720B"/>
    <w:rsid w:val="000C070E"/>
    <w:rsid w:val="000C0BD8"/>
    <w:rsid w:val="000C154C"/>
    <w:rsid w:val="000C23C6"/>
    <w:rsid w:val="000C431F"/>
    <w:rsid w:val="000C4718"/>
    <w:rsid w:val="000C4995"/>
    <w:rsid w:val="000C530E"/>
    <w:rsid w:val="000C5356"/>
    <w:rsid w:val="000C536E"/>
    <w:rsid w:val="000C635C"/>
    <w:rsid w:val="000C7BEC"/>
    <w:rsid w:val="000D0A90"/>
    <w:rsid w:val="000D2D63"/>
    <w:rsid w:val="000D42FB"/>
    <w:rsid w:val="000D44E1"/>
    <w:rsid w:val="000D474C"/>
    <w:rsid w:val="000D4B86"/>
    <w:rsid w:val="000D5536"/>
    <w:rsid w:val="000D7E8B"/>
    <w:rsid w:val="000E0036"/>
    <w:rsid w:val="000E06DB"/>
    <w:rsid w:val="000E105B"/>
    <w:rsid w:val="000E19C5"/>
    <w:rsid w:val="000E1D4E"/>
    <w:rsid w:val="000E1EA9"/>
    <w:rsid w:val="000E26C0"/>
    <w:rsid w:val="000E2E7B"/>
    <w:rsid w:val="000E2E85"/>
    <w:rsid w:val="000E34D7"/>
    <w:rsid w:val="000E4AA9"/>
    <w:rsid w:val="000E4AF4"/>
    <w:rsid w:val="000E64BC"/>
    <w:rsid w:val="000E64E9"/>
    <w:rsid w:val="000F1325"/>
    <w:rsid w:val="000F317A"/>
    <w:rsid w:val="000F37DE"/>
    <w:rsid w:val="000F5476"/>
    <w:rsid w:val="000F7F7F"/>
    <w:rsid w:val="00101190"/>
    <w:rsid w:val="001016CD"/>
    <w:rsid w:val="00102A80"/>
    <w:rsid w:val="00102D04"/>
    <w:rsid w:val="00106DDE"/>
    <w:rsid w:val="00113059"/>
    <w:rsid w:val="00113498"/>
    <w:rsid w:val="001141A5"/>
    <w:rsid w:val="00120E2B"/>
    <w:rsid w:val="00121236"/>
    <w:rsid w:val="00122659"/>
    <w:rsid w:val="0012437C"/>
    <w:rsid w:val="001245D1"/>
    <w:rsid w:val="00125222"/>
    <w:rsid w:val="0012767B"/>
    <w:rsid w:val="00131039"/>
    <w:rsid w:val="0013179E"/>
    <w:rsid w:val="00131A1B"/>
    <w:rsid w:val="00132BE0"/>
    <w:rsid w:val="00133F3C"/>
    <w:rsid w:val="00134A38"/>
    <w:rsid w:val="001363AE"/>
    <w:rsid w:val="00136EAA"/>
    <w:rsid w:val="0013757A"/>
    <w:rsid w:val="0014053A"/>
    <w:rsid w:val="001409C4"/>
    <w:rsid w:val="00140BF7"/>
    <w:rsid w:val="001429B9"/>
    <w:rsid w:val="00142D59"/>
    <w:rsid w:val="00143852"/>
    <w:rsid w:val="00150131"/>
    <w:rsid w:val="001525AC"/>
    <w:rsid w:val="00153AB9"/>
    <w:rsid w:val="001546AE"/>
    <w:rsid w:val="00155445"/>
    <w:rsid w:val="00155A3C"/>
    <w:rsid w:val="001562C6"/>
    <w:rsid w:val="001573D7"/>
    <w:rsid w:val="0016242F"/>
    <w:rsid w:val="00165B7E"/>
    <w:rsid w:val="001671DE"/>
    <w:rsid w:val="001677FC"/>
    <w:rsid w:val="00172836"/>
    <w:rsid w:val="00172C69"/>
    <w:rsid w:val="001739A7"/>
    <w:rsid w:val="00173F17"/>
    <w:rsid w:val="00173FFC"/>
    <w:rsid w:val="0017447E"/>
    <w:rsid w:val="00174FE2"/>
    <w:rsid w:val="00175419"/>
    <w:rsid w:val="00175A22"/>
    <w:rsid w:val="00175A57"/>
    <w:rsid w:val="001776AC"/>
    <w:rsid w:val="00177938"/>
    <w:rsid w:val="001806E6"/>
    <w:rsid w:val="001819E7"/>
    <w:rsid w:val="00184126"/>
    <w:rsid w:val="00184440"/>
    <w:rsid w:val="00185958"/>
    <w:rsid w:val="0018646B"/>
    <w:rsid w:val="00187BE6"/>
    <w:rsid w:val="00191AE1"/>
    <w:rsid w:val="001921CD"/>
    <w:rsid w:val="001922EA"/>
    <w:rsid w:val="001932D8"/>
    <w:rsid w:val="001933D0"/>
    <w:rsid w:val="0019365B"/>
    <w:rsid w:val="00193D09"/>
    <w:rsid w:val="00194DD8"/>
    <w:rsid w:val="00195F7B"/>
    <w:rsid w:val="0019743C"/>
    <w:rsid w:val="00197787"/>
    <w:rsid w:val="00197B77"/>
    <w:rsid w:val="001A0E62"/>
    <w:rsid w:val="001A3FFE"/>
    <w:rsid w:val="001A4D1C"/>
    <w:rsid w:val="001A5B92"/>
    <w:rsid w:val="001B1F67"/>
    <w:rsid w:val="001B286E"/>
    <w:rsid w:val="001B2BD5"/>
    <w:rsid w:val="001B3240"/>
    <w:rsid w:val="001B3630"/>
    <w:rsid w:val="001B5B35"/>
    <w:rsid w:val="001B619A"/>
    <w:rsid w:val="001B6F75"/>
    <w:rsid w:val="001B72D5"/>
    <w:rsid w:val="001B78BF"/>
    <w:rsid w:val="001B7A11"/>
    <w:rsid w:val="001C066B"/>
    <w:rsid w:val="001C0E88"/>
    <w:rsid w:val="001C203B"/>
    <w:rsid w:val="001C3B8A"/>
    <w:rsid w:val="001C45AF"/>
    <w:rsid w:val="001C45FA"/>
    <w:rsid w:val="001C5CD5"/>
    <w:rsid w:val="001C6382"/>
    <w:rsid w:val="001C6C97"/>
    <w:rsid w:val="001D51D4"/>
    <w:rsid w:val="001D51E9"/>
    <w:rsid w:val="001D5936"/>
    <w:rsid w:val="001D59F3"/>
    <w:rsid w:val="001D5A82"/>
    <w:rsid w:val="001E012E"/>
    <w:rsid w:val="001E092E"/>
    <w:rsid w:val="001E1616"/>
    <w:rsid w:val="001E22D1"/>
    <w:rsid w:val="001E2740"/>
    <w:rsid w:val="001E3777"/>
    <w:rsid w:val="001E3F01"/>
    <w:rsid w:val="001E48D0"/>
    <w:rsid w:val="001E4A5F"/>
    <w:rsid w:val="001E500E"/>
    <w:rsid w:val="001E5B69"/>
    <w:rsid w:val="001E6AB2"/>
    <w:rsid w:val="001E6C28"/>
    <w:rsid w:val="001E6E83"/>
    <w:rsid w:val="001E7CF5"/>
    <w:rsid w:val="001F04B3"/>
    <w:rsid w:val="001F082A"/>
    <w:rsid w:val="001F0CBF"/>
    <w:rsid w:val="001F0ED8"/>
    <w:rsid w:val="001F1469"/>
    <w:rsid w:val="001F157D"/>
    <w:rsid w:val="001F1E8C"/>
    <w:rsid w:val="001F2B1E"/>
    <w:rsid w:val="001F2E0B"/>
    <w:rsid w:val="001F3B9B"/>
    <w:rsid w:val="001F7840"/>
    <w:rsid w:val="00200282"/>
    <w:rsid w:val="00200C42"/>
    <w:rsid w:val="0020167B"/>
    <w:rsid w:val="002019FA"/>
    <w:rsid w:val="00201FE2"/>
    <w:rsid w:val="00203486"/>
    <w:rsid w:val="0020464A"/>
    <w:rsid w:val="00205142"/>
    <w:rsid w:val="002055EE"/>
    <w:rsid w:val="002063C0"/>
    <w:rsid w:val="00206BDE"/>
    <w:rsid w:val="002078E3"/>
    <w:rsid w:val="00207BCD"/>
    <w:rsid w:val="00212079"/>
    <w:rsid w:val="002123A6"/>
    <w:rsid w:val="002139DA"/>
    <w:rsid w:val="00213BE5"/>
    <w:rsid w:val="00213E93"/>
    <w:rsid w:val="00215950"/>
    <w:rsid w:val="0021687A"/>
    <w:rsid w:val="00220312"/>
    <w:rsid w:val="002205BA"/>
    <w:rsid w:val="002213BE"/>
    <w:rsid w:val="0022191F"/>
    <w:rsid w:val="00221C63"/>
    <w:rsid w:val="00222184"/>
    <w:rsid w:val="002223E7"/>
    <w:rsid w:val="0022250C"/>
    <w:rsid w:val="00225DC5"/>
    <w:rsid w:val="002300CB"/>
    <w:rsid w:val="0023018B"/>
    <w:rsid w:val="00230923"/>
    <w:rsid w:val="00231B9F"/>
    <w:rsid w:val="002331D4"/>
    <w:rsid w:val="00233C7B"/>
    <w:rsid w:val="00233FBD"/>
    <w:rsid w:val="00234EE7"/>
    <w:rsid w:val="00236D53"/>
    <w:rsid w:val="00240072"/>
    <w:rsid w:val="00242876"/>
    <w:rsid w:val="00242B31"/>
    <w:rsid w:val="00245A69"/>
    <w:rsid w:val="00245C1B"/>
    <w:rsid w:val="002500CA"/>
    <w:rsid w:val="00250275"/>
    <w:rsid w:val="0025293F"/>
    <w:rsid w:val="00252CE9"/>
    <w:rsid w:val="00252E3D"/>
    <w:rsid w:val="00253738"/>
    <w:rsid w:val="00255AD3"/>
    <w:rsid w:val="00256E51"/>
    <w:rsid w:val="00260B76"/>
    <w:rsid w:val="00260DFF"/>
    <w:rsid w:val="00260E70"/>
    <w:rsid w:val="0026122A"/>
    <w:rsid w:val="002627B8"/>
    <w:rsid w:val="00262F8E"/>
    <w:rsid w:val="002637E8"/>
    <w:rsid w:val="00263ACE"/>
    <w:rsid w:val="00263F1E"/>
    <w:rsid w:val="0026466E"/>
    <w:rsid w:val="0026496D"/>
    <w:rsid w:val="00264EDE"/>
    <w:rsid w:val="00266D2F"/>
    <w:rsid w:val="00266DC9"/>
    <w:rsid w:val="00267859"/>
    <w:rsid w:val="00267C7F"/>
    <w:rsid w:val="00267F0E"/>
    <w:rsid w:val="00270423"/>
    <w:rsid w:val="002715FB"/>
    <w:rsid w:val="002724B2"/>
    <w:rsid w:val="00272993"/>
    <w:rsid w:val="002745E6"/>
    <w:rsid w:val="00274BD8"/>
    <w:rsid w:val="00274EC7"/>
    <w:rsid w:val="00275C19"/>
    <w:rsid w:val="00277097"/>
    <w:rsid w:val="002772D9"/>
    <w:rsid w:val="00277737"/>
    <w:rsid w:val="00280015"/>
    <w:rsid w:val="00280204"/>
    <w:rsid w:val="00281491"/>
    <w:rsid w:val="00281CDF"/>
    <w:rsid w:val="002822F5"/>
    <w:rsid w:val="002828B8"/>
    <w:rsid w:val="00282999"/>
    <w:rsid w:val="00283594"/>
    <w:rsid w:val="00283C53"/>
    <w:rsid w:val="0028586E"/>
    <w:rsid w:val="0028669F"/>
    <w:rsid w:val="00290322"/>
    <w:rsid w:val="00291D94"/>
    <w:rsid w:val="002925F9"/>
    <w:rsid w:val="002929B2"/>
    <w:rsid w:val="00293195"/>
    <w:rsid w:val="00294578"/>
    <w:rsid w:val="0029497E"/>
    <w:rsid w:val="0029518A"/>
    <w:rsid w:val="0029541E"/>
    <w:rsid w:val="00295716"/>
    <w:rsid w:val="00295AED"/>
    <w:rsid w:val="00295FA8"/>
    <w:rsid w:val="0029654B"/>
    <w:rsid w:val="002A197E"/>
    <w:rsid w:val="002A2289"/>
    <w:rsid w:val="002A267E"/>
    <w:rsid w:val="002A29FB"/>
    <w:rsid w:val="002A2D90"/>
    <w:rsid w:val="002A3555"/>
    <w:rsid w:val="002A3A3A"/>
    <w:rsid w:val="002A495B"/>
    <w:rsid w:val="002A540D"/>
    <w:rsid w:val="002A586F"/>
    <w:rsid w:val="002A7A0A"/>
    <w:rsid w:val="002A7CB7"/>
    <w:rsid w:val="002B0557"/>
    <w:rsid w:val="002B06EC"/>
    <w:rsid w:val="002B3312"/>
    <w:rsid w:val="002B38BC"/>
    <w:rsid w:val="002B5949"/>
    <w:rsid w:val="002B6BA8"/>
    <w:rsid w:val="002C070F"/>
    <w:rsid w:val="002C0F8B"/>
    <w:rsid w:val="002C1BFD"/>
    <w:rsid w:val="002C1E1E"/>
    <w:rsid w:val="002C206D"/>
    <w:rsid w:val="002C4F75"/>
    <w:rsid w:val="002C57B9"/>
    <w:rsid w:val="002C60C0"/>
    <w:rsid w:val="002C61CA"/>
    <w:rsid w:val="002C6E98"/>
    <w:rsid w:val="002C7D9A"/>
    <w:rsid w:val="002D02D1"/>
    <w:rsid w:val="002D10A2"/>
    <w:rsid w:val="002D161B"/>
    <w:rsid w:val="002D1E4D"/>
    <w:rsid w:val="002D2151"/>
    <w:rsid w:val="002D2740"/>
    <w:rsid w:val="002D2928"/>
    <w:rsid w:val="002D337B"/>
    <w:rsid w:val="002D3FC5"/>
    <w:rsid w:val="002D4D29"/>
    <w:rsid w:val="002D4EEB"/>
    <w:rsid w:val="002D6C40"/>
    <w:rsid w:val="002D6E7F"/>
    <w:rsid w:val="002D7CBA"/>
    <w:rsid w:val="002E1B4C"/>
    <w:rsid w:val="002E2594"/>
    <w:rsid w:val="002E2894"/>
    <w:rsid w:val="002E48BE"/>
    <w:rsid w:val="002E551E"/>
    <w:rsid w:val="002E7801"/>
    <w:rsid w:val="002F0992"/>
    <w:rsid w:val="002F0F68"/>
    <w:rsid w:val="002F25CA"/>
    <w:rsid w:val="002F5F34"/>
    <w:rsid w:val="002F7AAF"/>
    <w:rsid w:val="003005C3"/>
    <w:rsid w:val="003005D7"/>
    <w:rsid w:val="003013C3"/>
    <w:rsid w:val="0030317D"/>
    <w:rsid w:val="00303E82"/>
    <w:rsid w:val="003046E4"/>
    <w:rsid w:val="00304C36"/>
    <w:rsid w:val="00305514"/>
    <w:rsid w:val="00305607"/>
    <w:rsid w:val="0030689B"/>
    <w:rsid w:val="003108D0"/>
    <w:rsid w:val="00310955"/>
    <w:rsid w:val="00311761"/>
    <w:rsid w:val="003133FC"/>
    <w:rsid w:val="00315020"/>
    <w:rsid w:val="00315502"/>
    <w:rsid w:val="0031603A"/>
    <w:rsid w:val="003175C4"/>
    <w:rsid w:val="00321473"/>
    <w:rsid w:val="00322B22"/>
    <w:rsid w:val="003232D6"/>
    <w:rsid w:val="003249B7"/>
    <w:rsid w:val="00324A62"/>
    <w:rsid w:val="003253E3"/>
    <w:rsid w:val="00326100"/>
    <w:rsid w:val="00327123"/>
    <w:rsid w:val="00327676"/>
    <w:rsid w:val="00327FA5"/>
    <w:rsid w:val="003302EB"/>
    <w:rsid w:val="003323AC"/>
    <w:rsid w:val="003323E5"/>
    <w:rsid w:val="00332B75"/>
    <w:rsid w:val="003334E1"/>
    <w:rsid w:val="003342A4"/>
    <w:rsid w:val="003350CB"/>
    <w:rsid w:val="0033555D"/>
    <w:rsid w:val="0033659A"/>
    <w:rsid w:val="003402F8"/>
    <w:rsid w:val="00341548"/>
    <w:rsid w:val="00342EE2"/>
    <w:rsid w:val="00343791"/>
    <w:rsid w:val="003444E2"/>
    <w:rsid w:val="0034506F"/>
    <w:rsid w:val="00347B46"/>
    <w:rsid w:val="00350D4E"/>
    <w:rsid w:val="00350EEE"/>
    <w:rsid w:val="00352594"/>
    <w:rsid w:val="00352FA5"/>
    <w:rsid w:val="00353EBC"/>
    <w:rsid w:val="00353F0C"/>
    <w:rsid w:val="0035438F"/>
    <w:rsid w:val="00354C13"/>
    <w:rsid w:val="003567D5"/>
    <w:rsid w:val="0036063B"/>
    <w:rsid w:val="00360E52"/>
    <w:rsid w:val="00362A4F"/>
    <w:rsid w:val="00364532"/>
    <w:rsid w:val="00366FD8"/>
    <w:rsid w:val="00367830"/>
    <w:rsid w:val="003679FC"/>
    <w:rsid w:val="00370181"/>
    <w:rsid w:val="00370D08"/>
    <w:rsid w:val="00371DA2"/>
    <w:rsid w:val="0037354B"/>
    <w:rsid w:val="00374A5E"/>
    <w:rsid w:val="00374A61"/>
    <w:rsid w:val="00375253"/>
    <w:rsid w:val="00375547"/>
    <w:rsid w:val="00376B74"/>
    <w:rsid w:val="003778DE"/>
    <w:rsid w:val="00377B97"/>
    <w:rsid w:val="00380430"/>
    <w:rsid w:val="00381A80"/>
    <w:rsid w:val="00383CF7"/>
    <w:rsid w:val="00384167"/>
    <w:rsid w:val="00390BF2"/>
    <w:rsid w:val="00392E2D"/>
    <w:rsid w:val="00393768"/>
    <w:rsid w:val="0039394F"/>
    <w:rsid w:val="00394FE6"/>
    <w:rsid w:val="00395B7B"/>
    <w:rsid w:val="0039666C"/>
    <w:rsid w:val="00397879"/>
    <w:rsid w:val="00397FEF"/>
    <w:rsid w:val="003A167C"/>
    <w:rsid w:val="003A2BC2"/>
    <w:rsid w:val="003A4357"/>
    <w:rsid w:val="003A45BC"/>
    <w:rsid w:val="003A4F3F"/>
    <w:rsid w:val="003A5545"/>
    <w:rsid w:val="003A5D3F"/>
    <w:rsid w:val="003A6C35"/>
    <w:rsid w:val="003B14DB"/>
    <w:rsid w:val="003B160A"/>
    <w:rsid w:val="003B1C17"/>
    <w:rsid w:val="003B235F"/>
    <w:rsid w:val="003B2E77"/>
    <w:rsid w:val="003B35A6"/>
    <w:rsid w:val="003B3A32"/>
    <w:rsid w:val="003B6C3B"/>
    <w:rsid w:val="003B72DB"/>
    <w:rsid w:val="003B7989"/>
    <w:rsid w:val="003C1CCC"/>
    <w:rsid w:val="003C252B"/>
    <w:rsid w:val="003C289D"/>
    <w:rsid w:val="003C2B77"/>
    <w:rsid w:val="003C35C9"/>
    <w:rsid w:val="003C369C"/>
    <w:rsid w:val="003C3CBD"/>
    <w:rsid w:val="003C3D63"/>
    <w:rsid w:val="003C4716"/>
    <w:rsid w:val="003C4FC1"/>
    <w:rsid w:val="003C511E"/>
    <w:rsid w:val="003C6108"/>
    <w:rsid w:val="003C6A8D"/>
    <w:rsid w:val="003C6BBC"/>
    <w:rsid w:val="003C75E4"/>
    <w:rsid w:val="003D2593"/>
    <w:rsid w:val="003D26F0"/>
    <w:rsid w:val="003D2838"/>
    <w:rsid w:val="003D2A2A"/>
    <w:rsid w:val="003D2F75"/>
    <w:rsid w:val="003D3E61"/>
    <w:rsid w:val="003D4398"/>
    <w:rsid w:val="003D48D9"/>
    <w:rsid w:val="003D7549"/>
    <w:rsid w:val="003D7A7B"/>
    <w:rsid w:val="003E00F5"/>
    <w:rsid w:val="003E017D"/>
    <w:rsid w:val="003E0E83"/>
    <w:rsid w:val="003E1A21"/>
    <w:rsid w:val="003E1C14"/>
    <w:rsid w:val="003E1CD8"/>
    <w:rsid w:val="003E217D"/>
    <w:rsid w:val="003E2246"/>
    <w:rsid w:val="003E2264"/>
    <w:rsid w:val="003E29BA"/>
    <w:rsid w:val="003E34C6"/>
    <w:rsid w:val="003E45AD"/>
    <w:rsid w:val="003E530B"/>
    <w:rsid w:val="003E5A04"/>
    <w:rsid w:val="003E6530"/>
    <w:rsid w:val="003F1C37"/>
    <w:rsid w:val="003F2FD9"/>
    <w:rsid w:val="003F3275"/>
    <w:rsid w:val="003F42DF"/>
    <w:rsid w:val="003F4A05"/>
    <w:rsid w:val="003F4F22"/>
    <w:rsid w:val="003F56DF"/>
    <w:rsid w:val="003F6930"/>
    <w:rsid w:val="003F696F"/>
    <w:rsid w:val="00400349"/>
    <w:rsid w:val="0040226A"/>
    <w:rsid w:val="00402492"/>
    <w:rsid w:val="00402C31"/>
    <w:rsid w:val="00403F5C"/>
    <w:rsid w:val="00403F7B"/>
    <w:rsid w:val="004046AF"/>
    <w:rsid w:val="00404931"/>
    <w:rsid w:val="00405344"/>
    <w:rsid w:val="00406297"/>
    <w:rsid w:val="00407A96"/>
    <w:rsid w:val="00410D51"/>
    <w:rsid w:val="004114BA"/>
    <w:rsid w:val="00411DDF"/>
    <w:rsid w:val="004134F6"/>
    <w:rsid w:val="00413F0F"/>
    <w:rsid w:val="00414037"/>
    <w:rsid w:val="00414F7B"/>
    <w:rsid w:val="00415679"/>
    <w:rsid w:val="0041576D"/>
    <w:rsid w:val="004207EF"/>
    <w:rsid w:val="0042093D"/>
    <w:rsid w:val="00423504"/>
    <w:rsid w:val="004237AC"/>
    <w:rsid w:val="004277BD"/>
    <w:rsid w:val="0043072B"/>
    <w:rsid w:val="00430F0A"/>
    <w:rsid w:val="004333F6"/>
    <w:rsid w:val="00433491"/>
    <w:rsid w:val="0043423B"/>
    <w:rsid w:val="004354EE"/>
    <w:rsid w:val="00436C28"/>
    <w:rsid w:val="00437164"/>
    <w:rsid w:val="004402FF"/>
    <w:rsid w:val="004418F3"/>
    <w:rsid w:val="004431CA"/>
    <w:rsid w:val="00445138"/>
    <w:rsid w:val="00447438"/>
    <w:rsid w:val="00447B15"/>
    <w:rsid w:val="004509D4"/>
    <w:rsid w:val="00450D3F"/>
    <w:rsid w:val="00452041"/>
    <w:rsid w:val="0045212F"/>
    <w:rsid w:val="004529CA"/>
    <w:rsid w:val="00452E41"/>
    <w:rsid w:val="00454C20"/>
    <w:rsid w:val="00454E50"/>
    <w:rsid w:val="00454EFF"/>
    <w:rsid w:val="004554D5"/>
    <w:rsid w:val="00457482"/>
    <w:rsid w:val="00460616"/>
    <w:rsid w:val="004611CD"/>
    <w:rsid w:val="00461547"/>
    <w:rsid w:val="004643A1"/>
    <w:rsid w:val="00464661"/>
    <w:rsid w:val="00465367"/>
    <w:rsid w:val="00465E2A"/>
    <w:rsid w:val="0046633C"/>
    <w:rsid w:val="004668DF"/>
    <w:rsid w:val="00467CC1"/>
    <w:rsid w:val="00471233"/>
    <w:rsid w:val="00471BF6"/>
    <w:rsid w:val="00473279"/>
    <w:rsid w:val="004749A5"/>
    <w:rsid w:val="004751E8"/>
    <w:rsid w:val="00476324"/>
    <w:rsid w:val="004771CB"/>
    <w:rsid w:val="004772ED"/>
    <w:rsid w:val="00477ADA"/>
    <w:rsid w:val="00480227"/>
    <w:rsid w:val="00480987"/>
    <w:rsid w:val="00482A6F"/>
    <w:rsid w:val="004844D3"/>
    <w:rsid w:val="004852A0"/>
    <w:rsid w:val="00487B42"/>
    <w:rsid w:val="0049072D"/>
    <w:rsid w:val="00491E1E"/>
    <w:rsid w:val="00492B32"/>
    <w:rsid w:val="00493CDB"/>
    <w:rsid w:val="00494971"/>
    <w:rsid w:val="00497B14"/>
    <w:rsid w:val="00497CD9"/>
    <w:rsid w:val="004A047C"/>
    <w:rsid w:val="004A056E"/>
    <w:rsid w:val="004A11B5"/>
    <w:rsid w:val="004A1DAA"/>
    <w:rsid w:val="004A2B37"/>
    <w:rsid w:val="004A2E5B"/>
    <w:rsid w:val="004A3440"/>
    <w:rsid w:val="004A4D4A"/>
    <w:rsid w:val="004A4DA9"/>
    <w:rsid w:val="004A60F7"/>
    <w:rsid w:val="004A6DC4"/>
    <w:rsid w:val="004A72CD"/>
    <w:rsid w:val="004B05A4"/>
    <w:rsid w:val="004B0EA2"/>
    <w:rsid w:val="004B2D74"/>
    <w:rsid w:val="004B3E16"/>
    <w:rsid w:val="004B4830"/>
    <w:rsid w:val="004B4DCB"/>
    <w:rsid w:val="004B556D"/>
    <w:rsid w:val="004B5C1C"/>
    <w:rsid w:val="004B5E95"/>
    <w:rsid w:val="004B6128"/>
    <w:rsid w:val="004B6A6B"/>
    <w:rsid w:val="004B7911"/>
    <w:rsid w:val="004C1651"/>
    <w:rsid w:val="004C16C8"/>
    <w:rsid w:val="004C1A98"/>
    <w:rsid w:val="004C1C9E"/>
    <w:rsid w:val="004C2313"/>
    <w:rsid w:val="004C3815"/>
    <w:rsid w:val="004C406B"/>
    <w:rsid w:val="004C5150"/>
    <w:rsid w:val="004C5A82"/>
    <w:rsid w:val="004D0FEF"/>
    <w:rsid w:val="004D1A67"/>
    <w:rsid w:val="004D2CB6"/>
    <w:rsid w:val="004D3997"/>
    <w:rsid w:val="004D3C37"/>
    <w:rsid w:val="004D587C"/>
    <w:rsid w:val="004D5BA5"/>
    <w:rsid w:val="004D6C8F"/>
    <w:rsid w:val="004E177D"/>
    <w:rsid w:val="004E1847"/>
    <w:rsid w:val="004E1E22"/>
    <w:rsid w:val="004E310F"/>
    <w:rsid w:val="004E34F9"/>
    <w:rsid w:val="004E3AF4"/>
    <w:rsid w:val="004E3CAF"/>
    <w:rsid w:val="004E699D"/>
    <w:rsid w:val="004F0F70"/>
    <w:rsid w:val="004F1255"/>
    <w:rsid w:val="004F17DF"/>
    <w:rsid w:val="004F7651"/>
    <w:rsid w:val="00500978"/>
    <w:rsid w:val="005012A9"/>
    <w:rsid w:val="00501CEF"/>
    <w:rsid w:val="00501EC7"/>
    <w:rsid w:val="00503220"/>
    <w:rsid w:val="005038D4"/>
    <w:rsid w:val="00504C2E"/>
    <w:rsid w:val="00506B6C"/>
    <w:rsid w:val="00507ABF"/>
    <w:rsid w:val="00507D4B"/>
    <w:rsid w:val="00510B68"/>
    <w:rsid w:val="0051125A"/>
    <w:rsid w:val="00511266"/>
    <w:rsid w:val="005115A0"/>
    <w:rsid w:val="00514853"/>
    <w:rsid w:val="00514E47"/>
    <w:rsid w:val="00515280"/>
    <w:rsid w:val="00516EB6"/>
    <w:rsid w:val="00517E4E"/>
    <w:rsid w:val="00521915"/>
    <w:rsid w:val="00521A35"/>
    <w:rsid w:val="00521D07"/>
    <w:rsid w:val="00522495"/>
    <w:rsid w:val="0052301B"/>
    <w:rsid w:val="00523F2C"/>
    <w:rsid w:val="00524384"/>
    <w:rsid w:val="00525863"/>
    <w:rsid w:val="00526426"/>
    <w:rsid w:val="005277AC"/>
    <w:rsid w:val="00530784"/>
    <w:rsid w:val="005316B3"/>
    <w:rsid w:val="00533E9E"/>
    <w:rsid w:val="005353D2"/>
    <w:rsid w:val="00535DE5"/>
    <w:rsid w:val="00536124"/>
    <w:rsid w:val="0053728F"/>
    <w:rsid w:val="00537867"/>
    <w:rsid w:val="005403AD"/>
    <w:rsid w:val="005404F8"/>
    <w:rsid w:val="005418AF"/>
    <w:rsid w:val="005423B1"/>
    <w:rsid w:val="0054241C"/>
    <w:rsid w:val="005435A6"/>
    <w:rsid w:val="00544A5D"/>
    <w:rsid w:val="005477F0"/>
    <w:rsid w:val="00547817"/>
    <w:rsid w:val="00547A5A"/>
    <w:rsid w:val="00550673"/>
    <w:rsid w:val="00550FFC"/>
    <w:rsid w:val="00551BEA"/>
    <w:rsid w:val="00553491"/>
    <w:rsid w:val="00554C01"/>
    <w:rsid w:val="0055608D"/>
    <w:rsid w:val="0055614C"/>
    <w:rsid w:val="005562E3"/>
    <w:rsid w:val="005625CB"/>
    <w:rsid w:val="005626DC"/>
    <w:rsid w:val="00562F37"/>
    <w:rsid w:val="005633E5"/>
    <w:rsid w:val="00563509"/>
    <w:rsid w:val="00564269"/>
    <w:rsid w:val="005644D9"/>
    <w:rsid w:val="00564DC7"/>
    <w:rsid w:val="00565219"/>
    <w:rsid w:val="00565DFD"/>
    <w:rsid w:val="005663F0"/>
    <w:rsid w:val="005676CB"/>
    <w:rsid w:val="00571D36"/>
    <w:rsid w:val="00573EE1"/>
    <w:rsid w:val="0057578C"/>
    <w:rsid w:val="00576A01"/>
    <w:rsid w:val="00576CB9"/>
    <w:rsid w:val="00577E21"/>
    <w:rsid w:val="005814B4"/>
    <w:rsid w:val="005820DD"/>
    <w:rsid w:val="00582950"/>
    <w:rsid w:val="0058356D"/>
    <w:rsid w:val="005836DF"/>
    <w:rsid w:val="00586A66"/>
    <w:rsid w:val="005905C1"/>
    <w:rsid w:val="00591025"/>
    <w:rsid w:val="005929CE"/>
    <w:rsid w:val="00593D14"/>
    <w:rsid w:val="0059415E"/>
    <w:rsid w:val="0059633D"/>
    <w:rsid w:val="005976E2"/>
    <w:rsid w:val="005A020E"/>
    <w:rsid w:val="005A09A5"/>
    <w:rsid w:val="005A0C64"/>
    <w:rsid w:val="005A2984"/>
    <w:rsid w:val="005A29F3"/>
    <w:rsid w:val="005A3917"/>
    <w:rsid w:val="005A3A5C"/>
    <w:rsid w:val="005A4280"/>
    <w:rsid w:val="005A4316"/>
    <w:rsid w:val="005A52DC"/>
    <w:rsid w:val="005A5BAC"/>
    <w:rsid w:val="005A76F8"/>
    <w:rsid w:val="005A7F42"/>
    <w:rsid w:val="005A7F87"/>
    <w:rsid w:val="005B000A"/>
    <w:rsid w:val="005B0943"/>
    <w:rsid w:val="005B0CB1"/>
    <w:rsid w:val="005B17CF"/>
    <w:rsid w:val="005B1899"/>
    <w:rsid w:val="005B300C"/>
    <w:rsid w:val="005B3466"/>
    <w:rsid w:val="005B377D"/>
    <w:rsid w:val="005B3D23"/>
    <w:rsid w:val="005B412D"/>
    <w:rsid w:val="005B4FD1"/>
    <w:rsid w:val="005B7674"/>
    <w:rsid w:val="005C079F"/>
    <w:rsid w:val="005C0C89"/>
    <w:rsid w:val="005C27EE"/>
    <w:rsid w:val="005C35C5"/>
    <w:rsid w:val="005C3A3A"/>
    <w:rsid w:val="005C614B"/>
    <w:rsid w:val="005C6B7F"/>
    <w:rsid w:val="005D00B9"/>
    <w:rsid w:val="005D0C36"/>
    <w:rsid w:val="005D1468"/>
    <w:rsid w:val="005D1C71"/>
    <w:rsid w:val="005D2B34"/>
    <w:rsid w:val="005D3083"/>
    <w:rsid w:val="005D3736"/>
    <w:rsid w:val="005D4F12"/>
    <w:rsid w:val="005D5295"/>
    <w:rsid w:val="005E03DC"/>
    <w:rsid w:val="005E346D"/>
    <w:rsid w:val="005E394F"/>
    <w:rsid w:val="005E3D1F"/>
    <w:rsid w:val="005E4553"/>
    <w:rsid w:val="005E481F"/>
    <w:rsid w:val="005E4855"/>
    <w:rsid w:val="005E73F1"/>
    <w:rsid w:val="005F235B"/>
    <w:rsid w:val="005F37D7"/>
    <w:rsid w:val="005F4FE4"/>
    <w:rsid w:val="005F630C"/>
    <w:rsid w:val="005F7D54"/>
    <w:rsid w:val="00600104"/>
    <w:rsid w:val="006007DD"/>
    <w:rsid w:val="00602E94"/>
    <w:rsid w:val="00603A40"/>
    <w:rsid w:val="00603AC3"/>
    <w:rsid w:val="00604405"/>
    <w:rsid w:val="006045A8"/>
    <w:rsid w:val="00604B53"/>
    <w:rsid w:val="00605047"/>
    <w:rsid w:val="00605D13"/>
    <w:rsid w:val="006061E6"/>
    <w:rsid w:val="0060735D"/>
    <w:rsid w:val="00607389"/>
    <w:rsid w:val="006073D8"/>
    <w:rsid w:val="006075D4"/>
    <w:rsid w:val="00607C95"/>
    <w:rsid w:val="006105E3"/>
    <w:rsid w:val="006111CD"/>
    <w:rsid w:val="0061156F"/>
    <w:rsid w:val="0061190F"/>
    <w:rsid w:val="00611FBA"/>
    <w:rsid w:val="006121E7"/>
    <w:rsid w:val="00612404"/>
    <w:rsid w:val="006124A2"/>
    <w:rsid w:val="00613DCE"/>
    <w:rsid w:val="00614E9E"/>
    <w:rsid w:val="00614FA7"/>
    <w:rsid w:val="0061564F"/>
    <w:rsid w:val="0061596F"/>
    <w:rsid w:val="00616998"/>
    <w:rsid w:val="006209B8"/>
    <w:rsid w:val="006216F9"/>
    <w:rsid w:val="00621E22"/>
    <w:rsid w:val="00621EAF"/>
    <w:rsid w:val="00623137"/>
    <w:rsid w:val="00623212"/>
    <w:rsid w:val="0062396B"/>
    <w:rsid w:val="00623AEA"/>
    <w:rsid w:val="00624E0B"/>
    <w:rsid w:val="00625067"/>
    <w:rsid w:val="006260DA"/>
    <w:rsid w:val="00630A94"/>
    <w:rsid w:val="00631F0D"/>
    <w:rsid w:val="00632E78"/>
    <w:rsid w:val="0063348A"/>
    <w:rsid w:val="00633795"/>
    <w:rsid w:val="006342C4"/>
    <w:rsid w:val="00634AE0"/>
    <w:rsid w:val="006350C1"/>
    <w:rsid w:val="00637E8E"/>
    <w:rsid w:val="0064037F"/>
    <w:rsid w:val="0064053E"/>
    <w:rsid w:val="00640BC2"/>
    <w:rsid w:val="0064320B"/>
    <w:rsid w:val="006460A5"/>
    <w:rsid w:val="00646489"/>
    <w:rsid w:val="00646F06"/>
    <w:rsid w:val="00647B62"/>
    <w:rsid w:val="00653B81"/>
    <w:rsid w:val="00655067"/>
    <w:rsid w:val="0065783E"/>
    <w:rsid w:val="00657D9D"/>
    <w:rsid w:val="00660793"/>
    <w:rsid w:val="0066139A"/>
    <w:rsid w:val="0066465B"/>
    <w:rsid w:val="00664D32"/>
    <w:rsid w:val="00665115"/>
    <w:rsid w:val="006662CD"/>
    <w:rsid w:val="00666304"/>
    <w:rsid w:val="00666D2A"/>
    <w:rsid w:val="00670434"/>
    <w:rsid w:val="00671721"/>
    <w:rsid w:val="006721EB"/>
    <w:rsid w:val="00672D98"/>
    <w:rsid w:val="00672DD1"/>
    <w:rsid w:val="00672F8C"/>
    <w:rsid w:val="0067733E"/>
    <w:rsid w:val="0067766D"/>
    <w:rsid w:val="00680053"/>
    <w:rsid w:val="00680A25"/>
    <w:rsid w:val="006812AE"/>
    <w:rsid w:val="00682C16"/>
    <w:rsid w:val="00683ACD"/>
    <w:rsid w:val="00684E37"/>
    <w:rsid w:val="0069000C"/>
    <w:rsid w:val="00690186"/>
    <w:rsid w:val="006917C3"/>
    <w:rsid w:val="0069211C"/>
    <w:rsid w:val="00692367"/>
    <w:rsid w:val="00692982"/>
    <w:rsid w:val="006930F9"/>
    <w:rsid w:val="00693BB0"/>
    <w:rsid w:val="00696963"/>
    <w:rsid w:val="00697290"/>
    <w:rsid w:val="006A0F65"/>
    <w:rsid w:val="006A179B"/>
    <w:rsid w:val="006A2ED7"/>
    <w:rsid w:val="006A4D94"/>
    <w:rsid w:val="006A74D4"/>
    <w:rsid w:val="006B2B2B"/>
    <w:rsid w:val="006B3D5B"/>
    <w:rsid w:val="006B5C90"/>
    <w:rsid w:val="006B60E5"/>
    <w:rsid w:val="006B6F93"/>
    <w:rsid w:val="006B7D32"/>
    <w:rsid w:val="006C0E20"/>
    <w:rsid w:val="006C129F"/>
    <w:rsid w:val="006C1479"/>
    <w:rsid w:val="006C1588"/>
    <w:rsid w:val="006C30C1"/>
    <w:rsid w:val="006C33B9"/>
    <w:rsid w:val="006C4203"/>
    <w:rsid w:val="006C52E3"/>
    <w:rsid w:val="006C5F7E"/>
    <w:rsid w:val="006C69FC"/>
    <w:rsid w:val="006C7CA4"/>
    <w:rsid w:val="006D0900"/>
    <w:rsid w:val="006D09A2"/>
    <w:rsid w:val="006D2B12"/>
    <w:rsid w:val="006D2BEA"/>
    <w:rsid w:val="006D2D67"/>
    <w:rsid w:val="006D3862"/>
    <w:rsid w:val="006D3A48"/>
    <w:rsid w:val="006D3F41"/>
    <w:rsid w:val="006D4B09"/>
    <w:rsid w:val="006D63E2"/>
    <w:rsid w:val="006D7E97"/>
    <w:rsid w:val="006E1A61"/>
    <w:rsid w:val="006E1B2D"/>
    <w:rsid w:val="006E1C13"/>
    <w:rsid w:val="006E2552"/>
    <w:rsid w:val="006E2BE0"/>
    <w:rsid w:val="006E32DB"/>
    <w:rsid w:val="006E43CF"/>
    <w:rsid w:val="006E5944"/>
    <w:rsid w:val="006E59E3"/>
    <w:rsid w:val="006F08B7"/>
    <w:rsid w:val="006F0FB4"/>
    <w:rsid w:val="006F1110"/>
    <w:rsid w:val="006F113D"/>
    <w:rsid w:val="006F1BDC"/>
    <w:rsid w:val="006F2024"/>
    <w:rsid w:val="006F2B1B"/>
    <w:rsid w:val="006F36FF"/>
    <w:rsid w:val="006F68D4"/>
    <w:rsid w:val="006F73FC"/>
    <w:rsid w:val="0070034C"/>
    <w:rsid w:val="00700391"/>
    <w:rsid w:val="007004DC"/>
    <w:rsid w:val="00700C7C"/>
    <w:rsid w:val="00701351"/>
    <w:rsid w:val="00703085"/>
    <w:rsid w:val="007034B4"/>
    <w:rsid w:val="00703D85"/>
    <w:rsid w:val="0070404D"/>
    <w:rsid w:val="007051B8"/>
    <w:rsid w:val="00705A17"/>
    <w:rsid w:val="00706D54"/>
    <w:rsid w:val="00710258"/>
    <w:rsid w:val="00710439"/>
    <w:rsid w:val="00710921"/>
    <w:rsid w:val="00710B22"/>
    <w:rsid w:val="007124FC"/>
    <w:rsid w:val="00712A51"/>
    <w:rsid w:val="00712FF3"/>
    <w:rsid w:val="00713BFF"/>
    <w:rsid w:val="007158FD"/>
    <w:rsid w:val="00717A06"/>
    <w:rsid w:val="0072148E"/>
    <w:rsid w:val="007216EF"/>
    <w:rsid w:val="00723EDE"/>
    <w:rsid w:val="007247C5"/>
    <w:rsid w:val="0072484A"/>
    <w:rsid w:val="0072492F"/>
    <w:rsid w:val="0072701B"/>
    <w:rsid w:val="00730D0A"/>
    <w:rsid w:val="00730EF5"/>
    <w:rsid w:val="007310DC"/>
    <w:rsid w:val="007311F9"/>
    <w:rsid w:val="00731F6B"/>
    <w:rsid w:val="00732A37"/>
    <w:rsid w:val="007349ED"/>
    <w:rsid w:val="00734AE7"/>
    <w:rsid w:val="007358EF"/>
    <w:rsid w:val="00735A4D"/>
    <w:rsid w:val="00737D5B"/>
    <w:rsid w:val="00740D2E"/>
    <w:rsid w:val="00742DCB"/>
    <w:rsid w:val="007448A3"/>
    <w:rsid w:val="00745653"/>
    <w:rsid w:val="007476A7"/>
    <w:rsid w:val="00747B80"/>
    <w:rsid w:val="0075113C"/>
    <w:rsid w:val="00751388"/>
    <w:rsid w:val="00752304"/>
    <w:rsid w:val="007540E7"/>
    <w:rsid w:val="007543F6"/>
    <w:rsid w:val="007545B1"/>
    <w:rsid w:val="007553D1"/>
    <w:rsid w:val="007555C6"/>
    <w:rsid w:val="007556D5"/>
    <w:rsid w:val="00756A6C"/>
    <w:rsid w:val="007574BA"/>
    <w:rsid w:val="0075790C"/>
    <w:rsid w:val="007604EB"/>
    <w:rsid w:val="0076177A"/>
    <w:rsid w:val="007618E3"/>
    <w:rsid w:val="0076218E"/>
    <w:rsid w:val="0076378A"/>
    <w:rsid w:val="0076597C"/>
    <w:rsid w:val="00765F83"/>
    <w:rsid w:val="0076628D"/>
    <w:rsid w:val="00766643"/>
    <w:rsid w:val="00766FB0"/>
    <w:rsid w:val="00767C3C"/>
    <w:rsid w:val="0077063B"/>
    <w:rsid w:val="00771743"/>
    <w:rsid w:val="00772046"/>
    <w:rsid w:val="00773195"/>
    <w:rsid w:val="00775384"/>
    <w:rsid w:val="00780209"/>
    <w:rsid w:val="00781895"/>
    <w:rsid w:val="0078231A"/>
    <w:rsid w:val="00782699"/>
    <w:rsid w:val="0078463E"/>
    <w:rsid w:val="007860A9"/>
    <w:rsid w:val="00786614"/>
    <w:rsid w:val="00787016"/>
    <w:rsid w:val="00787721"/>
    <w:rsid w:val="00787AE7"/>
    <w:rsid w:val="00790A86"/>
    <w:rsid w:val="007911F2"/>
    <w:rsid w:val="00792D33"/>
    <w:rsid w:val="00792F2C"/>
    <w:rsid w:val="007935BD"/>
    <w:rsid w:val="00794181"/>
    <w:rsid w:val="00794630"/>
    <w:rsid w:val="00794D64"/>
    <w:rsid w:val="00795F36"/>
    <w:rsid w:val="00796FEB"/>
    <w:rsid w:val="00797021"/>
    <w:rsid w:val="0079754E"/>
    <w:rsid w:val="00797793"/>
    <w:rsid w:val="007A33A3"/>
    <w:rsid w:val="007A346C"/>
    <w:rsid w:val="007A42F9"/>
    <w:rsid w:val="007A4A5C"/>
    <w:rsid w:val="007A4AB0"/>
    <w:rsid w:val="007A4AD8"/>
    <w:rsid w:val="007A4C67"/>
    <w:rsid w:val="007A6324"/>
    <w:rsid w:val="007B0E95"/>
    <w:rsid w:val="007B0FB1"/>
    <w:rsid w:val="007B29F8"/>
    <w:rsid w:val="007B4275"/>
    <w:rsid w:val="007B434D"/>
    <w:rsid w:val="007B4B33"/>
    <w:rsid w:val="007B4E56"/>
    <w:rsid w:val="007B5759"/>
    <w:rsid w:val="007B5DE0"/>
    <w:rsid w:val="007B6C4D"/>
    <w:rsid w:val="007B6ECF"/>
    <w:rsid w:val="007B7D46"/>
    <w:rsid w:val="007C0DFD"/>
    <w:rsid w:val="007C1083"/>
    <w:rsid w:val="007C1634"/>
    <w:rsid w:val="007C2A1E"/>
    <w:rsid w:val="007C2E7A"/>
    <w:rsid w:val="007C3937"/>
    <w:rsid w:val="007C4664"/>
    <w:rsid w:val="007C515F"/>
    <w:rsid w:val="007C5736"/>
    <w:rsid w:val="007C6654"/>
    <w:rsid w:val="007C78B1"/>
    <w:rsid w:val="007D01C3"/>
    <w:rsid w:val="007D0D1C"/>
    <w:rsid w:val="007D14D9"/>
    <w:rsid w:val="007D2757"/>
    <w:rsid w:val="007D28CA"/>
    <w:rsid w:val="007D2F8F"/>
    <w:rsid w:val="007D7411"/>
    <w:rsid w:val="007D7B00"/>
    <w:rsid w:val="007D7DBE"/>
    <w:rsid w:val="007E07C4"/>
    <w:rsid w:val="007E16A2"/>
    <w:rsid w:val="007E16CB"/>
    <w:rsid w:val="007E1E3A"/>
    <w:rsid w:val="007E279F"/>
    <w:rsid w:val="007E39F7"/>
    <w:rsid w:val="007E3A56"/>
    <w:rsid w:val="007E3DE6"/>
    <w:rsid w:val="007E4C46"/>
    <w:rsid w:val="007E5A1A"/>
    <w:rsid w:val="007E6FE1"/>
    <w:rsid w:val="007E714F"/>
    <w:rsid w:val="007E716A"/>
    <w:rsid w:val="007E7337"/>
    <w:rsid w:val="007F0564"/>
    <w:rsid w:val="007F1238"/>
    <w:rsid w:val="007F1E65"/>
    <w:rsid w:val="007F1F21"/>
    <w:rsid w:val="007F24B9"/>
    <w:rsid w:val="007F42D5"/>
    <w:rsid w:val="007F4975"/>
    <w:rsid w:val="007F5477"/>
    <w:rsid w:val="007F6F53"/>
    <w:rsid w:val="00800E13"/>
    <w:rsid w:val="008026E3"/>
    <w:rsid w:val="00802FB0"/>
    <w:rsid w:val="008041D0"/>
    <w:rsid w:val="00806FE1"/>
    <w:rsid w:val="008071C7"/>
    <w:rsid w:val="00807B28"/>
    <w:rsid w:val="008113C1"/>
    <w:rsid w:val="008117CA"/>
    <w:rsid w:val="00812F08"/>
    <w:rsid w:val="00813691"/>
    <w:rsid w:val="0081394B"/>
    <w:rsid w:val="008149D8"/>
    <w:rsid w:val="0081585F"/>
    <w:rsid w:val="008165CB"/>
    <w:rsid w:val="008171EC"/>
    <w:rsid w:val="00817AEA"/>
    <w:rsid w:val="00824F19"/>
    <w:rsid w:val="00825412"/>
    <w:rsid w:val="00827657"/>
    <w:rsid w:val="008279CF"/>
    <w:rsid w:val="00831CDE"/>
    <w:rsid w:val="00831FD0"/>
    <w:rsid w:val="00832087"/>
    <w:rsid w:val="00833FB9"/>
    <w:rsid w:val="00834257"/>
    <w:rsid w:val="0083444D"/>
    <w:rsid w:val="00836D68"/>
    <w:rsid w:val="008407F7"/>
    <w:rsid w:val="00840ACB"/>
    <w:rsid w:val="008412DD"/>
    <w:rsid w:val="00843C62"/>
    <w:rsid w:val="00844128"/>
    <w:rsid w:val="008455C7"/>
    <w:rsid w:val="00845CFF"/>
    <w:rsid w:val="00846E39"/>
    <w:rsid w:val="00846EF9"/>
    <w:rsid w:val="008501A1"/>
    <w:rsid w:val="0085042F"/>
    <w:rsid w:val="0085149C"/>
    <w:rsid w:val="008518BC"/>
    <w:rsid w:val="00852D41"/>
    <w:rsid w:val="0085382A"/>
    <w:rsid w:val="00853ECA"/>
    <w:rsid w:val="0085409E"/>
    <w:rsid w:val="008541D0"/>
    <w:rsid w:val="00854EF3"/>
    <w:rsid w:val="00855A65"/>
    <w:rsid w:val="00855C89"/>
    <w:rsid w:val="008564CC"/>
    <w:rsid w:val="00856681"/>
    <w:rsid w:val="00861682"/>
    <w:rsid w:val="00862CC7"/>
    <w:rsid w:val="0086328B"/>
    <w:rsid w:val="00863F5D"/>
    <w:rsid w:val="008646C2"/>
    <w:rsid w:val="00866301"/>
    <w:rsid w:val="00866827"/>
    <w:rsid w:val="00866F49"/>
    <w:rsid w:val="0087084F"/>
    <w:rsid w:val="00871093"/>
    <w:rsid w:val="00871483"/>
    <w:rsid w:val="00872638"/>
    <w:rsid w:val="00872D9D"/>
    <w:rsid w:val="00874211"/>
    <w:rsid w:val="008749FB"/>
    <w:rsid w:val="00874D7C"/>
    <w:rsid w:val="00875F4D"/>
    <w:rsid w:val="0087625E"/>
    <w:rsid w:val="008765BD"/>
    <w:rsid w:val="00876DD7"/>
    <w:rsid w:val="0087711E"/>
    <w:rsid w:val="00877661"/>
    <w:rsid w:val="00877894"/>
    <w:rsid w:val="00877E30"/>
    <w:rsid w:val="008800ED"/>
    <w:rsid w:val="0088043D"/>
    <w:rsid w:val="00880C35"/>
    <w:rsid w:val="00882C34"/>
    <w:rsid w:val="0088378C"/>
    <w:rsid w:val="00883B6F"/>
    <w:rsid w:val="00885051"/>
    <w:rsid w:val="008874A8"/>
    <w:rsid w:val="0089039F"/>
    <w:rsid w:val="00890674"/>
    <w:rsid w:val="008935CB"/>
    <w:rsid w:val="00893C99"/>
    <w:rsid w:val="0089574C"/>
    <w:rsid w:val="00895FF8"/>
    <w:rsid w:val="008960CD"/>
    <w:rsid w:val="00896D1C"/>
    <w:rsid w:val="0089702D"/>
    <w:rsid w:val="008A19B5"/>
    <w:rsid w:val="008A19E0"/>
    <w:rsid w:val="008A2E14"/>
    <w:rsid w:val="008A38AA"/>
    <w:rsid w:val="008A3F63"/>
    <w:rsid w:val="008A76BD"/>
    <w:rsid w:val="008B097A"/>
    <w:rsid w:val="008B0A96"/>
    <w:rsid w:val="008B0CBE"/>
    <w:rsid w:val="008B0D1A"/>
    <w:rsid w:val="008B176F"/>
    <w:rsid w:val="008B26A6"/>
    <w:rsid w:val="008B2FBD"/>
    <w:rsid w:val="008B472A"/>
    <w:rsid w:val="008B4C29"/>
    <w:rsid w:val="008B587C"/>
    <w:rsid w:val="008C03E4"/>
    <w:rsid w:val="008C0572"/>
    <w:rsid w:val="008C059D"/>
    <w:rsid w:val="008C3778"/>
    <w:rsid w:val="008C3E9B"/>
    <w:rsid w:val="008C4647"/>
    <w:rsid w:val="008C59F8"/>
    <w:rsid w:val="008C793E"/>
    <w:rsid w:val="008D0C50"/>
    <w:rsid w:val="008D17DE"/>
    <w:rsid w:val="008D30CF"/>
    <w:rsid w:val="008D3212"/>
    <w:rsid w:val="008D3B06"/>
    <w:rsid w:val="008D4246"/>
    <w:rsid w:val="008D5ABC"/>
    <w:rsid w:val="008D5F14"/>
    <w:rsid w:val="008D649C"/>
    <w:rsid w:val="008D6E51"/>
    <w:rsid w:val="008D7A24"/>
    <w:rsid w:val="008D7D55"/>
    <w:rsid w:val="008E224E"/>
    <w:rsid w:val="008E49FF"/>
    <w:rsid w:val="008E4D52"/>
    <w:rsid w:val="008E4ECB"/>
    <w:rsid w:val="008E5D04"/>
    <w:rsid w:val="008E7EFC"/>
    <w:rsid w:val="008F2519"/>
    <w:rsid w:val="008F2651"/>
    <w:rsid w:val="008F290D"/>
    <w:rsid w:val="008F3E3D"/>
    <w:rsid w:val="008F4D36"/>
    <w:rsid w:val="008F4FBB"/>
    <w:rsid w:val="008F69B5"/>
    <w:rsid w:val="008F6EC8"/>
    <w:rsid w:val="008F7D60"/>
    <w:rsid w:val="0090007D"/>
    <w:rsid w:val="00900141"/>
    <w:rsid w:val="00901D4C"/>
    <w:rsid w:val="0090272D"/>
    <w:rsid w:val="00904061"/>
    <w:rsid w:val="0090461F"/>
    <w:rsid w:val="00904997"/>
    <w:rsid w:val="00905BDD"/>
    <w:rsid w:val="00905D55"/>
    <w:rsid w:val="00911AC5"/>
    <w:rsid w:val="009124F5"/>
    <w:rsid w:val="009132A7"/>
    <w:rsid w:val="009132F8"/>
    <w:rsid w:val="00913566"/>
    <w:rsid w:val="0091394F"/>
    <w:rsid w:val="00913CED"/>
    <w:rsid w:val="009149EE"/>
    <w:rsid w:val="00915523"/>
    <w:rsid w:val="00916559"/>
    <w:rsid w:val="00916805"/>
    <w:rsid w:val="00917A28"/>
    <w:rsid w:val="0092004D"/>
    <w:rsid w:val="009201C8"/>
    <w:rsid w:val="00920CA0"/>
    <w:rsid w:val="00921011"/>
    <w:rsid w:val="00923131"/>
    <w:rsid w:val="00923599"/>
    <w:rsid w:val="00923FDB"/>
    <w:rsid w:val="009245B2"/>
    <w:rsid w:val="0092462B"/>
    <w:rsid w:val="00925782"/>
    <w:rsid w:val="0092593D"/>
    <w:rsid w:val="00926062"/>
    <w:rsid w:val="00927320"/>
    <w:rsid w:val="00931EFD"/>
    <w:rsid w:val="00933129"/>
    <w:rsid w:val="00933E3B"/>
    <w:rsid w:val="00934006"/>
    <w:rsid w:val="009343D5"/>
    <w:rsid w:val="0093460C"/>
    <w:rsid w:val="00935470"/>
    <w:rsid w:val="00936805"/>
    <w:rsid w:val="0093715F"/>
    <w:rsid w:val="009434C0"/>
    <w:rsid w:val="00944D35"/>
    <w:rsid w:val="0094516E"/>
    <w:rsid w:val="00945DB1"/>
    <w:rsid w:val="00946E46"/>
    <w:rsid w:val="00947BE0"/>
    <w:rsid w:val="00951558"/>
    <w:rsid w:val="00951A53"/>
    <w:rsid w:val="009520D2"/>
    <w:rsid w:val="009524C8"/>
    <w:rsid w:val="009528F8"/>
    <w:rsid w:val="009534B5"/>
    <w:rsid w:val="0095423E"/>
    <w:rsid w:val="00954FE6"/>
    <w:rsid w:val="00955187"/>
    <w:rsid w:val="009572B9"/>
    <w:rsid w:val="009575D5"/>
    <w:rsid w:val="009576B4"/>
    <w:rsid w:val="009578B9"/>
    <w:rsid w:val="00960EB7"/>
    <w:rsid w:val="00962D24"/>
    <w:rsid w:val="00962D2B"/>
    <w:rsid w:val="00963A79"/>
    <w:rsid w:val="00963CB7"/>
    <w:rsid w:val="009659B6"/>
    <w:rsid w:val="00965B64"/>
    <w:rsid w:val="009713F6"/>
    <w:rsid w:val="009726E1"/>
    <w:rsid w:val="00972729"/>
    <w:rsid w:val="0097298F"/>
    <w:rsid w:val="009729A3"/>
    <w:rsid w:val="009741A5"/>
    <w:rsid w:val="00975ABB"/>
    <w:rsid w:val="009761D2"/>
    <w:rsid w:val="0097656B"/>
    <w:rsid w:val="00976590"/>
    <w:rsid w:val="009769CB"/>
    <w:rsid w:val="00977A0D"/>
    <w:rsid w:val="0098052D"/>
    <w:rsid w:val="009806B9"/>
    <w:rsid w:val="0098182B"/>
    <w:rsid w:val="0098252F"/>
    <w:rsid w:val="009825B3"/>
    <w:rsid w:val="00982777"/>
    <w:rsid w:val="009828C8"/>
    <w:rsid w:val="009847FC"/>
    <w:rsid w:val="009857F9"/>
    <w:rsid w:val="0098738D"/>
    <w:rsid w:val="009876A4"/>
    <w:rsid w:val="00991DEE"/>
    <w:rsid w:val="00991EEA"/>
    <w:rsid w:val="009936D6"/>
    <w:rsid w:val="00994155"/>
    <w:rsid w:val="00994350"/>
    <w:rsid w:val="00994973"/>
    <w:rsid w:val="00994E38"/>
    <w:rsid w:val="00995723"/>
    <w:rsid w:val="0099617D"/>
    <w:rsid w:val="00997916"/>
    <w:rsid w:val="009A198B"/>
    <w:rsid w:val="009A427F"/>
    <w:rsid w:val="009A5594"/>
    <w:rsid w:val="009A7803"/>
    <w:rsid w:val="009B0537"/>
    <w:rsid w:val="009B068F"/>
    <w:rsid w:val="009B0BAD"/>
    <w:rsid w:val="009B1560"/>
    <w:rsid w:val="009B2638"/>
    <w:rsid w:val="009B3992"/>
    <w:rsid w:val="009B3D4D"/>
    <w:rsid w:val="009B3EE0"/>
    <w:rsid w:val="009B4C74"/>
    <w:rsid w:val="009B4DE8"/>
    <w:rsid w:val="009B6366"/>
    <w:rsid w:val="009B764B"/>
    <w:rsid w:val="009C15E2"/>
    <w:rsid w:val="009C4248"/>
    <w:rsid w:val="009C4333"/>
    <w:rsid w:val="009C43E6"/>
    <w:rsid w:val="009C50A5"/>
    <w:rsid w:val="009C550B"/>
    <w:rsid w:val="009C61FF"/>
    <w:rsid w:val="009C6962"/>
    <w:rsid w:val="009D0128"/>
    <w:rsid w:val="009D0334"/>
    <w:rsid w:val="009D2374"/>
    <w:rsid w:val="009D38CF"/>
    <w:rsid w:val="009D3C00"/>
    <w:rsid w:val="009D51E7"/>
    <w:rsid w:val="009D5605"/>
    <w:rsid w:val="009D5854"/>
    <w:rsid w:val="009D7E11"/>
    <w:rsid w:val="009E2CA1"/>
    <w:rsid w:val="009E3229"/>
    <w:rsid w:val="009E3BCC"/>
    <w:rsid w:val="009E51AD"/>
    <w:rsid w:val="009E55A9"/>
    <w:rsid w:val="009E5B72"/>
    <w:rsid w:val="009E7DEA"/>
    <w:rsid w:val="009F166E"/>
    <w:rsid w:val="009F3A35"/>
    <w:rsid w:val="009F3C70"/>
    <w:rsid w:val="009F424D"/>
    <w:rsid w:val="009F6088"/>
    <w:rsid w:val="00A0030D"/>
    <w:rsid w:val="00A01159"/>
    <w:rsid w:val="00A016BA"/>
    <w:rsid w:val="00A01972"/>
    <w:rsid w:val="00A035B7"/>
    <w:rsid w:val="00A05036"/>
    <w:rsid w:val="00A059AF"/>
    <w:rsid w:val="00A05F24"/>
    <w:rsid w:val="00A068F6"/>
    <w:rsid w:val="00A0761A"/>
    <w:rsid w:val="00A07FB5"/>
    <w:rsid w:val="00A107B0"/>
    <w:rsid w:val="00A12A73"/>
    <w:rsid w:val="00A13F8F"/>
    <w:rsid w:val="00A14C6F"/>
    <w:rsid w:val="00A14FE8"/>
    <w:rsid w:val="00A152E0"/>
    <w:rsid w:val="00A17E4D"/>
    <w:rsid w:val="00A21C46"/>
    <w:rsid w:val="00A229B7"/>
    <w:rsid w:val="00A26AFE"/>
    <w:rsid w:val="00A303E9"/>
    <w:rsid w:val="00A30875"/>
    <w:rsid w:val="00A30879"/>
    <w:rsid w:val="00A31749"/>
    <w:rsid w:val="00A3558D"/>
    <w:rsid w:val="00A3618C"/>
    <w:rsid w:val="00A377DA"/>
    <w:rsid w:val="00A40F58"/>
    <w:rsid w:val="00A42F8A"/>
    <w:rsid w:val="00A453C3"/>
    <w:rsid w:val="00A45653"/>
    <w:rsid w:val="00A46F1B"/>
    <w:rsid w:val="00A507C9"/>
    <w:rsid w:val="00A51754"/>
    <w:rsid w:val="00A51BD8"/>
    <w:rsid w:val="00A52FAE"/>
    <w:rsid w:val="00A537AD"/>
    <w:rsid w:val="00A57AF3"/>
    <w:rsid w:val="00A60527"/>
    <w:rsid w:val="00A6144A"/>
    <w:rsid w:val="00A61DD6"/>
    <w:rsid w:val="00A62131"/>
    <w:rsid w:val="00A62694"/>
    <w:rsid w:val="00A62D1A"/>
    <w:rsid w:val="00A644B8"/>
    <w:rsid w:val="00A6459B"/>
    <w:rsid w:val="00A64E06"/>
    <w:rsid w:val="00A64FDD"/>
    <w:rsid w:val="00A65D9D"/>
    <w:rsid w:val="00A66673"/>
    <w:rsid w:val="00A66AD8"/>
    <w:rsid w:val="00A70DD7"/>
    <w:rsid w:val="00A7498C"/>
    <w:rsid w:val="00A74FB7"/>
    <w:rsid w:val="00A75F8A"/>
    <w:rsid w:val="00A76481"/>
    <w:rsid w:val="00A767BD"/>
    <w:rsid w:val="00A80C19"/>
    <w:rsid w:val="00A81508"/>
    <w:rsid w:val="00A82236"/>
    <w:rsid w:val="00A84BE2"/>
    <w:rsid w:val="00A84F98"/>
    <w:rsid w:val="00A86FF3"/>
    <w:rsid w:val="00A90502"/>
    <w:rsid w:val="00A90AEB"/>
    <w:rsid w:val="00A91944"/>
    <w:rsid w:val="00A939C1"/>
    <w:rsid w:val="00A944DA"/>
    <w:rsid w:val="00A9494D"/>
    <w:rsid w:val="00A94DB0"/>
    <w:rsid w:val="00A9778D"/>
    <w:rsid w:val="00AA0928"/>
    <w:rsid w:val="00AA0999"/>
    <w:rsid w:val="00AA0B49"/>
    <w:rsid w:val="00AA223F"/>
    <w:rsid w:val="00AA239B"/>
    <w:rsid w:val="00AA3313"/>
    <w:rsid w:val="00AA423B"/>
    <w:rsid w:val="00AA4335"/>
    <w:rsid w:val="00AA4633"/>
    <w:rsid w:val="00AA5D8A"/>
    <w:rsid w:val="00AA7483"/>
    <w:rsid w:val="00AB0ED6"/>
    <w:rsid w:val="00AB190E"/>
    <w:rsid w:val="00AB1CDE"/>
    <w:rsid w:val="00AB2903"/>
    <w:rsid w:val="00AB4A78"/>
    <w:rsid w:val="00AB4BE5"/>
    <w:rsid w:val="00AB5623"/>
    <w:rsid w:val="00AB60F9"/>
    <w:rsid w:val="00AB62A7"/>
    <w:rsid w:val="00AC08E5"/>
    <w:rsid w:val="00AC2204"/>
    <w:rsid w:val="00AC2D56"/>
    <w:rsid w:val="00AC4495"/>
    <w:rsid w:val="00AC503E"/>
    <w:rsid w:val="00AC564F"/>
    <w:rsid w:val="00AC6CF3"/>
    <w:rsid w:val="00AC6ECD"/>
    <w:rsid w:val="00AC6F8E"/>
    <w:rsid w:val="00AD33DB"/>
    <w:rsid w:val="00AD36E3"/>
    <w:rsid w:val="00AD426C"/>
    <w:rsid w:val="00AD614C"/>
    <w:rsid w:val="00AD79E7"/>
    <w:rsid w:val="00AD7C0C"/>
    <w:rsid w:val="00AE17B8"/>
    <w:rsid w:val="00AE34EC"/>
    <w:rsid w:val="00AE42B5"/>
    <w:rsid w:val="00AE5495"/>
    <w:rsid w:val="00AE667C"/>
    <w:rsid w:val="00AF0E0D"/>
    <w:rsid w:val="00AF3A29"/>
    <w:rsid w:val="00AF4228"/>
    <w:rsid w:val="00AF4A57"/>
    <w:rsid w:val="00AF5E66"/>
    <w:rsid w:val="00AF69F3"/>
    <w:rsid w:val="00AF6CF5"/>
    <w:rsid w:val="00B00003"/>
    <w:rsid w:val="00B01815"/>
    <w:rsid w:val="00B03CE6"/>
    <w:rsid w:val="00B04361"/>
    <w:rsid w:val="00B06DBB"/>
    <w:rsid w:val="00B0722A"/>
    <w:rsid w:val="00B0794F"/>
    <w:rsid w:val="00B10A94"/>
    <w:rsid w:val="00B11022"/>
    <w:rsid w:val="00B113EF"/>
    <w:rsid w:val="00B11F29"/>
    <w:rsid w:val="00B11FD4"/>
    <w:rsid w:val="00B12236"/>
    <w:rsid w:val="00B1247D"/>
    <w:rsid w:val="00B1402D"/>
    <w:rsid w:val="00B1514A"/>
    <w:rsid w:val="00B15CE7"/>
    <w:rsid w:val="00B171B1"/>
    <w:rsid w:val="00B2025C"/>
    <w:rsid w:val="00B20EE1"/>
    <w:rsid w:val="00B210A9"/>
    <w:rsid w:val="00B21FFF"/>
    <w:rsid w:val="00B2289A"/>
    <w:rsid w:val="00B22B22"/>
    <w:rsid w:val="00B22C76"/>
    <w:rsid w:val="00B23003"/>
    <w:rsid w:val="00B2450C"/>
    <w:rsid w:val="00B25E5B"/>
    <w:rsid w:val="00B26E70"/>
    <w:rsid w:val="00B277E4"/>
    <w:rsid w:val="00B30BCF"/>
    <w:rsid w:val="00B30E79"/>
    <w:rsid w:val="00B32AA8"/>
    <w:rsid w:val="00B330FD"/>
    <w:rsid w:val="00B34455"/>
    <w:rsid w:val="00B34A7C"/>
    <w:rsid w:val="00B3669C"/>
    <w:rsid w:val="00B3694F"/>
    <w:rsid w:val="00B37280"/>
    <w:rsid w:val="00B40103"/>
    <w:rsid w:val="00B4074E"/>
    <w:rsid w:val="00B40B06"/>
    <w:rsid w:val="00B41937"/>
    <w:rsid w:val="00B4194A"/>
    <w:rsid w:val="00B43E19"/>
    <w:rsid w:val="00B4598D"/>
    <w:rsid w:val="00B4656B"/>
    <w:rsid w:val="00B46D94"/>
    <w:rsid w:val="00B525D4"/>
    <w:rsid w:val="00B526C8"/>
    <w:rsid w:val="00B52FB0"/>
    <w:rsid w:val="00B53A4C"/>
    <w:rsid w:val="00B54E7C"/>
    <w:rsid w:val="00B60E96"/>
    <w:rsid w:val="00B62418"/>
    <w:rsid w:val="00B63266"/>
    <w:rsid w:val="00B63A05"/>
    <w:rsid w:val="00B643E8"/>
    <w:rsid w:val="00B658CC"/>
    <w:rsid w:val="00B66E27"/>
    <w:rsid w:val="00B70704"/>
    <w:rsid w:val="00B70E62"/>
    <w:rsid w:val="00B732F8"/>
    <w:rsid w:val="00B7362B"/>
    <w:rsid w:val="00B73947"/>
    <w:rsid w:val="00B73FEC"/>
    <w:rsid w:val="00B74403"/>
    <w:rsid w:val="00B75865"/>
    <w:rsid w:val="00B765DA"/>
    <w:rsid w:val="00B8120A"/>
    <w:rsid w:val="00B8312D"/>
    <w:rsid w:val="00B83ECD"/>
    <w:rsid w:val="00B85287"/>
    <w:rsid w:val="00B85F29"/>
    <w:rsid w:val="00B91C63"/>
    <w:rsid w:val="00B9260E"/>
    <w:rsid w:val="00B958AE"/>
    <w:rsid w:val="00B96717"/>
    <w:rsid w:val="00B96E3B"/>
    <w:rsid w:val="00BA0251"/>
    <w:rsid w:val="00BA04BE"/>
    <w:rsid w:val="00BA18C5"/>
    <w:rsid w:val="00BA1DFF"/>
    <w:rsid w:val="00BA2A56"/>
    <w:rsid w:val="00BA4628"/>
    <w:rsid w:val="00BA510E"/>
    <w:rsid w:val="00BB23C7"/>
    <w:rsid w:val="00BB3C80"/>
    <w:rsid w:val="00BB3F48"/>
    <w:rsid w:val="00BB408F"/>
    <w:rsid w:val="00BB4EED"/>
    <w:rsid w:val="00BB58A1"/>
    <w:rsid w:val="00BB65E5"/>
    <w:rsid w:val="00BB688E"/>
    <w:rsid w:val="00BB69C7"/>
    <w:rsid w:val="00BB77A7"/>
    <w:rsid w:val="00BC0059"/>
    <w:rsid w:val="00BC0A51"/>
    <w:rsid w:val="00BC103D"/>
    <w:rsid w:val="00BC1AEF"/>
    <w:rsid w:val="00BC25AF"/>
    <w:rsid w:val="00BC395D"/>
    <w:rsid w:val="00BC3983"/>
    <w:rsid w:val="00BC556C"/>
    <w:rsid w:val="00BC5D01"/>
    <w:rsid w:val="00BC5F49"/>
    <w:rsid w:val="00BC75DD"/>
    <w:rsid w:val="00BD01D5"/>
    <w:rsid w:val="00BD3E2A"/>
    <w:rsid w:val="00BD4524"/>
    <w:rsid w:val="00BD4F08"/>
    <w:rsid w:val="00BD685A"/>
    <w:rsid w:val="00BE0B4E"/>
    <w:rsid w:val="00BE0ED7"/>
    <w:rsid w:val="00BE3130"/>
    <w:rsid w:val="00BE3BBD"/>
    <w:rsid w:val="00BE43E0"/>
    <w:rsid w:val="00BE4949"/>
    <w:rsid w:val="00BF0C53"/>
    <w:rsid w:val="00BF117D"/>
    <w:rsid w:val="00BF1266"/>
    <w:rsid w:val="00BF2301"/>
    <w:rsid w:val="00BF2537"/>
    <w:rsid w:val="00BF262C"/>
    <w:rsid w:val="00BF4320"/>
    <w:rsid w:val="00BF51FC"/>
    <w:rsid w:val="00BF5273"/>
    <w:rsid w:val="00BF59A9"/>
    <w:rsid w:val="00BF7CB2"/>
    <w:rsid w:val="00C00613"/>
    <w:rsid w:val="00C03080"/>
    <w:rsid w:val="00C0437F"/>
    <w:rsid w:val="00C043E7"/>
    <w:rsid w:val="00C054E5"/>
    <w:rsid w:val="00C06491"/>
    <w:rsid w:val="00C10BE7"/>
    <w:rsid w:val="00C15A19"/>
    <w:rsid w:val="00C1716F"/>
    <w:rsid w:val="00C17481"/>
    <w:rsid w:val="00C203CB"/>
    <w:rsid w:val="00C20432"/>
    <w:rsid w:val="00C205E6"/>
    <w:rsid w:val="00C206B1"/>
    <w:rsid w:val="00C21157"/>
    <w:rsid w:val="00C2115A"/>
    <w:rsid w:val="00C22ADB"/>
    <w:rsid w:val="00C238EA"/>
    <w:rsid w:val="00C251F6"/>
    <w:rsid w:val="00C2597D"/>
    <w:rsid w:val="00C25CFC"/>
    <w:rsid w:val="00C2605B"/>
    <w:rsid w:val="00C26445"/>
    <w:rsid w:val="00C27F6D"/>
    <w:rsid w:val="00C301C7"/>
    <w:rsid w:val="00C30339"/>
    <w:rsid w:val="00C304F2"/>
    <w:rsid w:val="00C34078"/>
    <w:rsid w:val="00C3476D"/>
    <w:rsid w:val="00C36995"/>
    <w:rsid w:val="00C36A8A"/>
    <w:rsid w:val="00C36B40"/>
    <w:rsid w:val="00C37C79"/>
    <w:rsid w:val="00C40808"/>
    <w:rsid w:val="00C41A59"/>
    <w:rsid w:val="00C41C70"/>
    <w:rsid w:val="00C43AF7"/>
    <w:rsid w:val="00C45E2C"/>
    <w:rsid w:val="00C47030"/>
    <w:rsid w:val="00C4734C"/>
    <w:rsid w:val="00C5276A"/>
    <w:rsid w:val="00C527BD"/>
    <w:rsid w:val="00C52B31"/>
    <w:rsid w:val="00C53E4C"/>
    <w:rsid w:val="00C5517C"/>
    <w:rsid w:val="00C56629"/>
    <w:rsid w:val="00C576E0"/>
    <w:rsid w:val="00C57A93"/>
    <w:rsid w:val="00C57EE5"/>
    <w:rsid w:val="00C606AA"/>
    <w:rsid w:val="00C60E38"/>
    <w:rsid w:val="00C61CF5"/>
    <w:rsid w:val="00C635B1"/>
    <w:rsid w:val="00C638A4"/>
    <w:rsid w:val="00C643F2"/>
    <w:rsid w:val="00C64678"/>
    <w:rsid w:val="00C66848"/>
    <w:rsid w:val="00C66D48"/>
    <w:rsid w:val="00C673C3"/>
    <w:rsid w:val="00C707CD"/>
    <w:rsid w:val="00C70EA6"/>
    <w:rsid w:val="00C71D9D"/>
    <w:rsid w:val="00C72546"/>
    <w:rsid w:val="00C731D1"/>
    <w:rsid w:val="00C754BA"/>
    <w:rsid w:val="00C7584C"/>
    <w:rsid w:val="00C75860"/>
    <w:rsid w:val="00C75D53"/>
    <w:rsid w:val="00C76E01"/>
    <w:rsid w:val="00C7791B"/>
    <w:rsid w:val="00C77A7D"/>
    <w:rsid w:val="00C80609"/>
    <w:rsid w:val="00C81DAB"/>
    <w:rsid w:val="00C81EA3"/>
    <w:rsid w:val="00C82751"/>
    <w:rsid w:val="00C82EAE"/>
    <w:rsid w:val="00C83ACC"/>
    <w:rsid w:val="00C83DCD"/>
    <w:rsid w:val="00C84629"/>
    <w:rsid w:val="00C85BE7"/>
    <w:rsid w:val="00C8609A"/>
    <w:rsid w:val="00C877E8"/>
    <w:rsid w:val="00C878B9"/>
    <w:rsid w:val="00C878F1"/>
    <w:rsid w:val="00C879FB"/>
    <w:rsid w:val="00C909D9"/>
    <w:rsid w:val="00C92E94"/>
    <w:rsid w:val="00C931D2"/>
    <w:rsid w:val="00C93284"/>
    <w:rsid w:val="00C93390"/>
    <w:rsid w:val="00C934C5"/>
    <w:rsid w:val="00C935A7"/>
    <w:rsid w:val="00C93640"/>
    <w:rsid w:val="00C950B8"/>
    <w:rsid w:val="00C961D1"/>
    <w:rsid w:val="00C974FB"/>
    <w:rsid w:val="00C976D3"/>
    <w:rsid w:val="00CA141A"/>
    <w:rsid w:val="00CA26D7"/>
    <w:rsid w:val="00CA40A0"/>
    <w:rsid w:val="00CA44ED"/>
    <w:rsid w:val="00CA5002"/>
    <w:rsid w:val="00CA5B7B"/>
    <w:rsid w:val="00CA6336"/>
    <w:rsid w:val="00CA6C88"/>
    <w:rsid w:val="00CB1C63"/>
    <w:rsid w:val="00CB2AE1"/>
    <w:rsid w:val="00CB2F4B"/>
    <w:rsid w:val="00CB314C"/>
    <w:rsid w:val="00CB32D2"/>
    <w:rsid w:val="00CB3ADA"/>
    <w:rsid w:val="00CB3F9B"/>
    <w:rsid w:val="00CB486B"/>
    <w:rsid w:val="00CB5310"/>
    <w:rsid w:val="00CB56D1"/>
    <w:rsid w:val="00CB6137"/>
    <w:rsid w:val="00CC02F9"/>
    <w:rsid w:val="00CC3D9B"/>
    <w:rsid w:val="00CC5E3B"/>
    <w:rsid w:val="00CD0DCE"/>
    <w:rsid w:val="00CD2859"/>
    <w:rsid w:val="00CD2E9E"/>
    <w:rsid w:val="00CD31B1"/>
    <w:rsid w:val="00CD3492"/>
    <w:rsid w:val="00CD3633"/>
    <w:rsid w:val="00CD4D95"/>
    <w:rsid w:val="00CE05BD"/>
    <w:rsid w:val="00CE200F"/>
    <w:rsid w:val="00CE29DA"/>
    <w:rsid w:val="00CE38AF"/>
    <w:rsid w:val="00CE4D7B"/>
    <w:rsid w:val="00CE4F7D"/>
    <w:rsid w:val="00CE62B2"/>
    <w:rsid w:val="00CE660C"/>
    <w:rsid w:val="00CE6BE5"/>
    <w:rsid w:val="00CE705C"/>
    <w:rsid w:val="00CE72CE"/>
    <w:rsid w:val="00CE771B"/>
    <w:rsid w:val="00CF0D23"/>
    <w:rsid w:val="00CF2EFE"/>
    <w:rsid w:val="00CF3169"/>
    <w:rsid w:val="00CF3750"/>
    <w:rsid w:val="00CF5777"/>
    <w:rsid w:val="00CF64ED"/>
    <w:rsid w:val="00D019A8"/>
    <w:rsid w:val="00D0270E"/>
    <w:rsid w:val="00D02947"/>
    <w:rsid w:val="00D03656"/>
    <w:rsid w:val="00D03993"/>
    <w:rsid w:val="00D03DB8"/>
    <w:rsid w:val="00D03F5F"/>
    <w:rsid w:val="00D04575"/>
    <w:rsid w:val="00D04958"/>
    <w:rsid w:val="00D050E9"/>
    <w:rsid w:val="00D05BE2"/>
    <w:rsid w:val="00D06ABE"/>
    <w:rsid w:val="00D06F87"/>
    <w:rsid w:val="00D07975"/>
    <w:rsid w:val="00D10272"/>
    <w:rsid w:val="00D121B8"/>
    <w:rsid w:val="00D1258E"/>
    <w:rsid w:val="00D132B2"/>
    <w:rsid w:val="00D139DD"/>
    <w:rsid w:val="00D140D7"/>
    <w:rsid w:val="00D143B8"/>
    <w:rsid w:val="00D158D6"/>
    <w:rsid w:val="00D16702"/>
    <w:rsid w:val="00D17479"/>
    <w:rsid w:val="00D209B4"/>
    <w:rsid w:val="00D21721"/>
    <w:rsid w:val="00D218FE"/>
    <w:rsid w:val="00D2194D"/>
    <w:rsid w:val="00D228A3"/>
    <w:rsid w:val="00D24B4A"/>
    <w:rsid w:val="00D24C3F"/>
    <w:rsid w:val="00D2677E"/>
    <w:rsid w:val="00D30D28"/>
    <w:rsid w:val="00D33F49"/>
    <w:rsid w:val="00D3418A"/>
    <w:rsid w:val="00D345F7"/>
    <w:rsid w:val="00D347D8"/>
    <w:rsid w:val="00D3497A"/>
    <w:rsid w:val="00D34DBC"/>
    <w:rsid w:val="00D34EF3"/>
    <w:rsid w:val="00D3518A"/>
    <w:rsid w:val="00D358F4"/>
    <w:rsid w:val="00D35E09"/>
    <w:rsid w:val="00D41F68"/>
    <w:rsid w:val="00D43A6F"/>
    <w:rsid w:val="00D442AA"/>
    <w:rsid w:val="00D444CB"/>
    <w:rsid w:val="00D44534"/>
    <w:rsid w:val="00D450BC"/>
    <w:rsid w:val="00D46F45"/>
    <w:rsid w:val="00D47E6E"/>
    <w:rsid w:val="00D50068"/>
    <w:rsid w:val="00D508AB"/>
    <w:rsid w:val="00D50A4C"/>
    <w:rsid w:val="00D5160C"/>
    <w:rsid w:val="00D51DF6"/>
    <w:rsid w:val="00D51F5A"/>
    <w:rsid w:val="00D5348A"/>
    <w:rsid w:val="00D54743"/>
    <w:rsid w:val="00D547D7"/>
    <w:rsid w:val="00D55689"/>
    <w:rsid w:val="00D55F73"/>
    <w:rsid w:val="00D56F90"/>
    <w:rsid w:val="00D57F94"/>
    <w:rsid w:val="00D60054"/>
    <w:rsid w:val="00D6072F"/>
    <w:rsid w:val="00D60A94"/>
    <w:rsid w:val="00D61506"/>
    <w:rsid w:val="00D630DF"/>
    <w:rsid w:val="00D641FA"/>
    <w:rsid w:val="00D64BB5"/>
    <w:rsid w:val="00D65918"/>
    <w:rsid w:val="00D66D4A"/>
    <w:rsid w:val="00D67DD3"/>
    <w:rsid w:val="00D7327B"/>
    <w:rsid w:val="00D73C51"/>
    <w:rsid w:val="00D74092"/>
    <w:rsid w:val="00D76B5D"/>
    <w:rsid w:val="00D76C27"/>
    <w:rsid w:val="00D76F6F"/>
    <w:rsid w:val="00D7717E"/>
    <w:rsid w:val="00D77AB4"/>
    <w:rsid w:val="00D80239"/>
    <w:rsid w:val="00D80AEA"/>
    <w:rsid w:val="00D81C3A"/>
    <w:rsid w:val="00D82A9A"/>
    <w:rsid w:val="00D82BC8"/>
    <w:rsid w:val="00D83814"/>
    <w:rsid w:val="00D83BD9"/>
    <w:rsid w:val="00D84072"/>
    <w:rsid w:val="00D841BF"/>
    <w:rsid w:val="00D847B2"/>
    <w:rsid w:val="00D84ADE"/>
    <w:rsid w:val="00D851B6"/>
    <w:rsid w:val="00D86BFF"/>
    <w:rsid w:val="00D8753F"/>
    <w:rsid w:val="00D90B1C"/>
    <w:rsid w:val="00D9237D"/>
    <w:rsid w:val="00D92856"/>
    <w:rsid w:val="00D92C14"/>
    <w:rsid w:val="00D935EC"/>
    <w:rsid w:val="00D95C80"/>
    <w:rsid w:val="00D95ED9"/>
    <w:rsid w:val="00D96A77"/>
    <w:rsid w:val="00D972B8"/>
    <w:rsid w:val="00D97EA6"/>
    <w:rsid w:val="00DA0111"/>
    <w:rsid w:val="00DA13F2"/>
    <w:rsid w:val="00DA1C17"/>
    <w:rsid w:val="00DA3665"/>
    <w:rsid w:val="00DA3EDD"/>
    <w:rsid w:val="00DA4FAE"/>
    <w:rsid w:val="00DA7353"/>
    <w:rsid w:val="00DB07D0"/>
    <w:rsid w:val="00DB168C"/>
    <w:rsid w:val="00DB1B17"/>
    <w:rsid w:val="00DB2B47"/>
    <w:rsid w:val="00DB40AF"/>
    <w:rsid w:val="00DB4151"/>
    <w:rsid w:val="00DB4436"/>
    <w:rsid w:val="00DB4492"/>
    <w:rsid w:val="00DB44E7"/>
    <w:rsid w:val="00DB54F3"/>
    <w:rsid w:val="00DB553A"/>
    <w:rsid w:val="00DB57CC"/>
    <w:rsid w:val="00DB7472"/>
    <w:rsid w:val="00DB78B1"/>
    <w:rsid w:val="00DC0768"/>
    <w:rsid w:val="00DC07C1"/>
    <w:rsid w:val="00DC09B3"/>
    <w:rsid w:val="00DC0C82"/>
    <w:rsid w:val="00DC2052"/>
    <w:rsid w:val="00DC3B94"/>
    <w:rsid w:val="00DC7750"/>
    <w:rsid w:val="00DD0DAB"/>
    <w:rsid w:val="00DD1A94"/>
    <w:rsid w:val="00DD37D3"/>
    <w:rsid w:val="00DD5018"/>
    <w:rsid w:val="00DD582B"/>
    <w:rsid w:val="00DD587D"/>
    <w:rsid w:val="00DD595C"/>
    <w:rsid w:val="00DD6C5E"/>
    <w:rsid w:val="00DD7D9A"/>
    <w:rsid w:val="00DE0E9C"/>
    <w:rsid w:val="00DE1E1D"/>
    <w:rsid w:val="00DE251F"/>
    <w:rsid w:val="00DE4905"/>
    <w:rsid w:val="00DE5431"/>
    <w:rsid w:val="00DE664E"/>
    <w:rsid w:val="00DF04E0"/>
    <w:rsid w:val="00DF0668"/>
    <w:rsid w:val="00DF1F18"/>
    <w:rsid w:val="00DF2558"/>
    <w:rsid w:val="00DF2B47"/>
    <w:rsid w:val="00DF2E3E"/>
    <w:rsid w:val="00DF3467"/>
    <w:rsid w:val="00DF34D5"/>
    <w:rsid w:val="00DF48FA"/>
    <w:rsid w:val="00DF4B11"/>
    <w:rsid w:val="00DF5042"/>
    <w:rsid w:val="00DF5DF3"/>
    <w:rsid w:val="00DF5F2A"/>
    <w:rsid w:val="00DF64CE"/>
    <w:rsid w:val="00DF72CC"/>
    <w:rsid w:val="00E000EF"/>
    <w:rsid w:val="00E00921"/>
    <w:rsid w:val="00E03107"/>
    <w:rsid w:val="00E034B5"/>
    <w:rsid w:val="00E03764"/>
    <w:rsid w:val="00E05306"/>
    <w:rsid w:val="00E05AC7"/>
    <w:rsid w:val="00E07D83"/>
    <w:rsid w:val="00E1054D"/>
    <w:rsid w:val="00E11437"/>
    <w:rsid w:val="00E128D1"/>
    <w:rsid w:val="00E129CA"/>
    <w:rsid w:val="00E132B8"/>
    <w:rsid w:val="00E14168"/>
    <w:rsid w:val="00E155A6"/>
    <w:rsid w:val="00E157CE"/>
    <w:rsid w:val="00E15A2B"/>
    <w:rsid w:val="00E15E93"/>
    <w:rsid w:val="00E162C2"/>
    <w:rsid w:val="00E2145C"/>
    <w:rsid w:val="00E21776"/>
    <w:rsid w:val="00E21AD8"/>
    <w:rsid w:val="00E21C1C"/>
    <w:rsid w:val="00E22997"/>
    <w:rsid w:val="00E23B98"/>
    <w:rsid w:val="00E23BB7"/>
    <w:rsid w:val="00E23F2B"/>
    <w:rsid w:val="00E242DA"/>
    <w:rsid w:val="00E24508"/>
    <w:rsid w:val="00E2457C"/>
    <w:rsid w:val="00E24B95"/>
    <w:rsid w:val="00E24E90"/>
    <w:rsid w:val="00E25705"/>
    <w:rsid w:val="00E257AF"/>
    <w:rsid w:val="00E26029"/>
    <w:rsid w:val="00E269F9"/>
    <w:rsid w:val="00E26D57"/>
    <w:rsid w:val="00E27EC7"/>
    <w:rsid w:val="00E30432"/>
    <w:rsid w:val="00E34F50"/>
    <w:rsid w:val="00E351C3"/>
    <w:rsid w:val="00E358BE"/>
    <w:rsid w:val="00E36539"/>
    <w:rsid w:val="00E368FD"/>
    <w:rsid w:val="00E378CA"/>
    <w:rsid w:val="00E40403"/>
    <w:rsid w:val="00E4075E"/>
    <w:rsid w:val="00E4105A"/>
    <w:rsid w:val="00E41831"/>
    <w:rsid w:val="00E4222B"/>
    <w:rsid w:val="00E424C4"/>
    <w:rsid w:val="00E42848"/>
    <w:rsid w:val="00E428D0"/>
    <w:rsid w:val="00E4357F"/>
    <w:rsid w:val="00E444F5"/>
    <w:rsid w:val="00E4467A"/>
    <w:rsid w:val="00E45208"/>
    <w:rsid w:val="00E459AE"/>
    <w:rsid w:val="00E47EB7"/>
    <w:rsid w:val="00E51590"/>
    <w:rsid w:val="00E51AFD"/>
    <w:rsid w:val="00E52D31"/>
    <w:rsid w:val="00E531B9"/>
    <w:rsid w:val="00E551D2"/>
    <w:rsid w:val="00E55E18"/>
    <w:rsid w:val="00E56285"/>
    <w:rsid w:val="00E60858"/>
    <w:rsid w:val="00E60DC7"/>
    <w:rsid w:val="00E622F8"/>
    <w:rsid w:val="00E62560"/>
    <w:rsid w:val="00E62C0D"/>
    <w:rsid w:val="00E62CF6"/>
    <w:rsid w:val="00E63C8C"/>
    <w:rsid w:val="00E646C6"/>
    <w:rsid w:val="00E66BDA"/>
    <w:rsid w:val="00E66FAC"/>
    <w:rsid w:val="00E673BE"/>
    <w:rsid w:val="00E708BB"/>
    <w:rsid w:val="00E709E8"/>
    <w:rsid w:val="00E722F3"/>
    <w:rsid w:val="00E735BB"/>
    <w:rsid w:val="00E73912"/>
    <w:rsid w:val="00E756BA"/>
    <w:rsid w:val="00E75E6A"/>
    <w:rsid w:val="00E76040"/>
    <w:rsid w:val="00E77D8F"/>
    <w:rsid w:val="00E803F1"/>
    <w:rsid w:val="00E80C5A"/>
    <w:rsid w:val="00E83ADE"/>
    <w:rsid w:val="00E83F5B"/>
    <w:rsid w:val="00E8408E"/>
    <w:rsid w:val="00E84B3F"/>
    <w:rsid w:val="00E84FF0"/>
    <w:rsid w:val="00E859B1"/>
    <w:rsid w:val="00E86F7F"/>
    <w:rsid w:val="00E871EC"/>
    <w:rsid w:val="00E9154B"/>
    <w:rsid w:val="00E933A9"/>
    <w:rsid w:val="00E936DC"/>
    <w:rsid w:val="00E93AD0"/>
    <w:rsid w:val="00E94094"/>
    <w:rsid w:val="00E94F22"/>
    <w:rsid w:val="00E94F49"/>
    <w:rsid w:val="00E968C1"/>
    <w:rsid w:val="00E97133"/>
    <w:rsid w:val="00EA0549"/>
    <w:rsid w:val="00EA0916"/>
    <w:rsid w:val="00EA0CF4"/>
    <w:rsid w:val="00EA1A59"/>
    <w:rsid w:val="00EA393A"/>
    <w:rsid w:val="00EA3B19"/>
    <w:rsid w:val="00EA4A35"/>
    <w:rsid w:val="00EA53D2"/>
    <w:rsid w:val="00EA544A"/>
    <w:rsid w:val="00EA5899"/>
    <w:rsid w:val="00EA5CC2"/>
    <w:rsid w:val="00EA5DAE"/>
    <w:rsid w:val="00EA742E"/>
    <w:rsid w:val="00EA789F"/>
    <w:rsid w:val="00EA7C5A"/>
    <w:rsid w:val="00EB0149"/>
    <w:rsid w:val="00EB0756"/>
    <w:rsid w:val="00EB0AC9"/>
    <w:rsid w:val="00EB1372"/>
    <w:rsid w:val="00EB19E9"/>
    <w:rsid w:val="00EB1C2A"/>
    <w:rsid w:val="00EB2731"/>
    <w:rsid w:val="00EB298D"/>
    <w:rsid w:val="00EB2BE4"/>
    <w:rsid w:val="00EB346A"/>
    <w:rsid w:val="00EB358A"/>
    <w:rsid w:val="00EB3E57"/>
    <w:rsid w:val="00EB50FF"/>
    <w:rsid w:val="00EB5872"/>
    <w:rsid w:val="00EB7AAC"/>
    <w:rsid w:val="00EB7FA9"/>
    <w:rsid w:val="00EC0668"/>
    <w:rsid w:val="00EC0C6B"/>
    <w:rsid w:val="00EC14B8"/>
    <w:rsid w:val="00EC1936"/>
    <w:rsid w:val="00EC1E3F"/>
    <w:rsid w:val="00EC2614"/>
    <w:rsid w:val="00EC2A7E"/>
    <w:rsid w:val="00EC40D0"/>
    <w:rsid w:val="00EC425E"/>
    <w:rsid w:val="00EC4352"/>
    <w:rsid w:val="00EC4721"/>
    <w:rsid w:val="00EC4D87"/>
    <w:rsid w:val="00EC4FA4"/>
    <w:rsid w:val="00EC544B"/>
    <w:rsid w:val="00EC5E10"/>
    <w:rsid w:val="00EC5E5B"/>
    <w:rsid w:val="00EC62FC"/>
    <w:rsid w:val="00EC638D"/>
    <w:rsid w:val="00EC672B"/>
    <w:rsid w:val="00EC6B7B"/>
    <w:rsid w:val="00EC78EA"/>
    <w:rsid w:val="00EC7EDE"/>
    <w:rsid w:val="00ED0AEE"/>
    <w:rsid w:val="00ED0CAF"/>
    <w:rsid w:val="00ED0FB8"/>
    <w:rsid w:val="00ED1524"/>
    <w:rsid w:val="00ED32FA"/>
    <w:rsid w:val="00ED4C72"/>
    <w:rsid w:val="00ED5F76"/>
    <w:rsid w:val="00ED6021"/>
    <w:rsid w:val="00ED6B68"/>
    <w:rsid w:val="00ED7665"/>
    <w:rsid w:val="00ED7957"/>
    <w:rsid w:val="00ED7E56"/>
    <w:rsid w:val="00ED7FC4"/>
    <w:rsid w:val="00EE0223"/>
    <w:rsid w:val="00EE1C4D"/>
    <w:rsid w:val="00EE2533"/>
    <w:rsid w:val="00EE2C17"/>
    <w:rsid w:val="00EE466D"/>
    <w:rsid w:val="00EE5677"/>
    <w:rsid w:val="00EE5DA8"/>
    <w:rsid w:val="00EE6984"/>
    <w:rsid w:val="00EE70BE"/>
    <w:rsid w:val="00EF0EBC"/>
    <w:rsid w:val="00EF3FF8"/>
    <w:rsid w:val="00EF4FE7"/>
    <w:rsid w:val="00EF5BBD"/>
    <w:rsid w:val="00EF6145"/>
    <w:rsid w:val="00F016D9"/>
    <w:rsid w:val="00F02A68"/>
    <w:rsid w:val="00F03537"/>
    <w:rsid w:val="00F03F34"/>
    <w:rsid w:val="00F0551F"/>
    <w:rsid w:val="00F059A3"/>
    <w:rsid w:val="00F06B3E"/>
    <w:rsid w:val="00F10C01"/>
    <w:rsid w:val="00F127EF"/>
    <w:rsid w:val="00F13093"/>
    <w:rsid w:val="00F13555"/>
    <w:rsid w:val="00F1389E"/>
    <w:rsid w:val="00F138FF"/>
    <w:rsid w:val="00F13CE2"/>
    <w:rsid w:val="00F14651"/>
    <w:rsid w:val="00F147A4"/>
    <w:rsid w:val="00F15E9E"/>
    <w:rsid w:val="00F16E52"/>
    <w:rsid w:val="00F16EB1"/>
    <w:rsid w:val="00F176DA"/>
    <w:rsid w:val="00F17BC0"/>
    <w:rsid w:val="00F17D1B"/>
    <w:rsid w:val="00F17FEF"/>
    <w:rsid w:val="00F210F7"/>
    <w:rsid w:val="00F216EA"/>
    <w:rsid w:val="00F2261E"/>
    <w:rsid w:val="00F2303F"/>
    <w:rsid w:val="00F249ED"/>
    <w:rsid w:val="00F313A6"/>
    <w:rsid w:val="00F31B67"/>
    <w:rsid w:val="00F34902"/>
    <w:rsid w:val="00F37524"/>
    <w:rsid w:val="00F378CA"/>
    <w:rsid w:val="00F40281"/>
    <w:rsid w:val="00F40648"/>
    <w:rsid w:val="00F40B4B"/>
    <w:rsid w:val="00F40D28"/>
    <w:rsid w:val="00F41ABF"/>
    <w:rsid w:val="00F429E0"/>
    <w:rsid w:val="00F42DC0"/>
    <w:rsid w:val="00F4396F"/>
    <w:rsid w:val="00F43A38"/>
    <w:rsid w:val="00F43E95"/>
    <w:rsid w:val="00F451D5"/>
    <w:rsid w:val="00F46755"/>
    <w:rsid w:val="00F46B05"/>
    <w:rsid w:val="00F473EC"/>
    <w:rsid w:val="00F506B5"/>
    <w:rsid w:val="00F51171"/>
    <w:rsid w:val="00F51AAC"/>
    <w:rsid w:val="00F51F22"/>
    <w:rsid w:val="00F520A6"/>
    <w:rsid w:val="00F52173"/>
    <w:rsid w:val="00F52687"/>
    <w:rsid w:val="00F53714"/>
    <w:rsid w:val="00F537E2"/>
    <w:rsid w:val="00F53B6C"/>
    <w:rsid w:val="00F54057"/>
    <w:rsid w:val="00F54F87"/>
    <w:rsid w:val="00F55585"/>
    <w:rsid w:val="00F608F4"/>
    <w:rsid w:val="00F60E8E"/>
    <w:rsid w:val="00F61171"/>
    <w:rsid w:val="00F61A4B"/>
    <w:rsid w:val="00F62259"/>
    <w:rsid w:val="00F623B4"/>
    <w:rsid w:val="00F62ECA"/>
    <w:rsid w:val="00F65180"/>
    <w:rsid w:val="00F652E7"/>
    <w:rsid w:val="00F65BC6"/>
    <w:rsid w:val="00F65F12"/>
    <w:rsid w:val="00F66455"/>
    <w:rsid w:val="00F67FF3"/>
    <w:rsid w:val="00F7106C"/>
    <w:rsid w:val="00F71182"/>
    <w:rsid w:val="00F71667"/>
    <w:rsid w:val="00F7167B"/>
    <w:rsid w:val="00F717A9"/>
    <w:rsid w:val="00F71961"/>
    <w:rsid w:val="00F72621"/>
    <w:rsid w:val="00F729AA"/>
    <w:rsid w:val="00F72DE9"/>
    <w:rsid w:val="00F72F7D"/>
    <w:rsid w:val="00F7307B"/>
    <w:rsid w:val="00F74CD2"/>
    <w:rsid w:val="00F75B80"/>
    <w:rsid w:val="00F75DE3"/>
    <w:rsid w:val="00F771FC"/>
    <w:rsid w:val="00F77552"/>
    <w:rsid w:val="00F775C2"/>
    <w:rsid w:val="00F77690"/>
    <w:rsid w:val="00F7778E"/>
    <w:rsid w:val="00F77BE3"/>
    <w:rsid w:val="00F77CAC"/>
    <w:rsid w:val="00F77F37"/>
    <w:rsid w:val="00F8012F"/>
    <w:rsid w:val="00F80341"/>
    <w:rsid w:val="00F80376"/>
    <w:rsid w:val="00F80473"/>
    <w:rsid w:val="00F80811"/>
    <w:rsid w:val="00F82D9B"/>
    <w:rsid w:val="00F835E6"/>
    <w:rsid w:val="00F8391B"/>
    <w:rsid w:val="00F84829"/>
    <w:rsid w:val="00F8687F"/>
    <w:rsid w:val="00F868FE"/>
    <w:rsid w:val="00F872AD"/>
    <w:rsid w:val="00F87B28"/>
    <w:rsid w:val="00F87B4A"/>
    <w:rsid w:val="00F950DA"/>
    <w:rsid w:val="00F9542D"/>
    <w:rsid w:val="00F96780"/>
    <w:rsid w:val="00F97AF3"/>
    <w:rsid w:val="00F97E97"/>
    <w:rsid w:val="00FA3AD3"/>
    <w:rsid w:val="00FA3C8A"/>
    <w:rsid w:val="00FA3FC2"/>
    <w:rsid w:val="00FA4F92"/>
    <w:rsid w:val="00FA5889"/>
    <w:rsid w:val="00FA6677"/>
    <w:rsid w:val="00FA79B2"/>
    <w:rsid w:val="00FB013D"/>
    <w:rsid w:val="00FB04D7"/>
    <w:rsid w:val="00FB18C3"/>
    <w:rsid w:val="00FB1E67"/>
    <w:rsid w:val="00FB220B"/>
    <w:rsid w:val="00FB28D0"/>
    <w:rsid w:val="00FB35BB"/>
    <w:rsid w:val="00FB396E"/>
    <w:rsid w:val="00FB4643"/>
    <w:rsid w:val="00FB4C07"/>
    <w:rsid w:val="00FB4F34"/>
    <w:rsid w:val="00FB4F84"/>
    <w:rsid w:val="00FB5F46"/>
    <w:rsid w:val="00FB7087"/>
    <w:rsid w:val="00FB7918"/>
    <w:rsid w:val="00FC066F"/>
    <w:rsid w:val="00FC08C6"/>
    <w:rsid w:val="00FC0CFD"/>
    <w:rsid w:val="00FC113D"/>
    <w:rsid w:val="00FC6827"/>
    <w:rsid w:val="00FC6D2E"/>
    <w:rsid w:val="00FC779F"/>
    <w:rsid w:val="00FD18A0"/>
    <w:rsid w:val="00FD19D9"/>
    <w:rsid w:val="00FD4D93"/>
    <w:rsid w:val="00FD5575"/>
    <w:rsid w:val="00FD595D"/>
    <w:rsid w:val="00FD5B9C"/>
    <w:rsid w:val="00FD6353"/>
    <w:rsid w:val="00FE268D"/>
    <w:rsid w:val="00FE544B"/>
    <w:rsid w:val="00FE640C"/>
    <w:rsid w:val="00FE6ED1"/>
    <w:rsid w:val="00FF1034"/>
    <w:rsid w:val="00FF12EC"/>
    <w:rsid w:val="00FF1569"/>
    <w:rsid w:val="00FF1862"/>
    <w:rsid w:val="00FF1AB4"/>
    <w:rsid w:val="00FF20E8"/>
    <w:rsid w:val="00FF2D3B"/>
    <w:rsid w:val="00FF36D1"/>
    <w:rsid w:val="00FF44F9"/>
    <w:rsid w:val="00FF4A5E"/>
    <w:rsid w:val="00FF4C56"/>
    <w:rsid w:val="00FF531A"/>
    <w:rsid w:val="00FF74B7"/>
    <w:rsid w:val="00FF777F"/>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C41822"/>
  <w15:docId w15:val="{2AE10EB0-5723-4C23-A915-3C771F35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149"/>
    <w:pPr>
      <w:spacing w:after="0" w:line="240" w:lineRule="auto"/>
    </w:pPr>
    <w:rPr>
      <w:rFonts w:ascii="Arial" w:eastAsia="Times New Roman" w:hAnsi="Arial" w:cs="Times New Roman"/>
      <w:noProof/>
      <w:sz w:val="28"/>
      <w:szCs w:val="20"/>
    </w:rPr>
  </w:style>
  <w:style w:type="paragraph" w:styleId="Heading1">
    <w:name w:val="heading 1"/>
    <w:basedOn w:val="Normal"/>
    <w:next w:val="Normal"/>
    <w:link w:val="Heading1Char"/>
    <w:uiPriority w:val="9"/>
    <w:qFormat/>
    <w:rsid w:val="000B3441"/>
    <w:pPr>
      <w:keepNext/>
      <w:keepLines/>
      <w:spacing w:before="240" w:after="240" w:line="276" w:lineRule="auto"/>
      <w:ind w:firstLine="851"/>
      <w:jc w:val="center"/>
      <w:outlineLvl w:val="0"/>
    </w:pPr>
    <w:rPr>
      <w:rFonts w:asciiTheme="minorHAnsi" w:eastAsiaTheme="majorEastAsia" w:hAnsiTheme="minorHAnsi" w:cstheme="majorBidi"/>
      <w:b/>
      <w:color w:val="000000" w:themeColor="text1"/>
      <w:szCs w:val="32"/>
    </w:rPr>
  </w:style>
  <w:style w:type="paragraph" w:styleId="Heading2">
    <w:name w:val="heading 2"/>
    <w:basedOn w:val="Normal"/>
    <w:next w:val="Normal"/>
    <w:link w:val="Heading2Char"/>
    <w:uiPriority w:val="9"/>
    <w:unhideWhenUsed/>
    <w:qFormat/>
    <w:rsid w:val="008C059D"/>
    <w:pPr>
      <w:keepNext/>
      <w:keepLines/>
      <w:spacing w:before="120" w:after="120" w:line="276" w:lineRule="auto"/>
      <w:ind w:firstLine="709"/>
      <w:outlineLvl w:val="1"/>
    </w:pPr>
    <w:rPr>
      <w:rFonts w:asciiTheme="minorHAnsi" w:eastAsiaTheme="majorEastAsia" w:hAnsiTheme="minorHAnsi" w:cstheme="majorBidi"/>
      <w:b/>
      <w:color w:val="000000" w:themeColor="text1"/>
      <w:sz w:val="26"/>
      <w:szCs w:val="26"/>
      <w:lang w:val="en-US"/>
    </w:rPr>
  </w:style>
  <w:style w:type="paragraph" w:styleId="Heading3">
    <w:name w:val="heading 3"/>
    <w:basedOn w:val="Normal"/>
    <w:next w:val="Normal"/>
    <w:link w:val="Heading3Char"/>
    <w:unhideWhenUsed/>
    <w:qFormat/>
    <w:rsid w:val="008C059D"/>
    <w:pPr>
      <w:keepNext/>
      <w:keepLines/>
      <w:spacing w:before="120" w:after="120" w:line="276" w:lineRule="auto"/>
      <w:ind w:firstLine="709"/>
      <w:outlineLvl w:val="2"/>
    </w:pPr>
    <w:rPr>
      <w:rFonts w:asciiTheme="minorHAnsi" w:eastAsiaTheme="majorEastAsia" w:hAnsiTheme="minorHAnsi" w:cstheme="majorBidi"/>
      <w:b/>
      <w:color w:val="000000" w:themeColor="text1"/>
      <w:sz w:val="26"/>
      <w:szCs w:val="24"/>
    </w:rPr>
  </w:style>
  <w:style w:type="paragraph" w:styleId="Heading5">
    <w:name w:val="heading 5"/>
    <w:basedOn w:val="Normal"/>
    <w:next w:val="Normal"/>
    <w:link w:val="Heading5Char"/>
    <w:qFormat/>
    <w:rsid w:val="003F4F22"/>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4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Forth level,List Paragraph1,List1,Bullet list,1st level - Bullet List Paragraph,Lettre d'introduction,Paragrafo elenco,List Paragraph11,Normal bullet 21,List Paragraph111,Bullet list1,Bullet Points,Liste Paragraf,Paragraph"/>
    <w:basedOn w:val="Normal"/>
    <w:link w:val="ListParagraphChar"/>
    <w:uiPriority w:val="34"/>
    <w:qFormat/>
    <w:rsid w:val="0041576D"/>
    <w:pPr>
      <w:ind w:left="720"/>
      <w:contextualSpacing/>
    </w:pPr>
  </w:style>
  <w:style w:type="paragraph" w:styleId="BalloonText">
    <w:name w:val="Balloon Text"/>
    <w:basedOn w:val="Normal"/>
    <w:link w:val="BalloonTextChar"/>
    <w:uiPriority w:val="99"/>
    <w:semiHidden/>
    <w:unhideWhenUsed/>
    <w:rsid w:val="005D00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0B9"/>
    <w:rPr>
      <w:rFonts w:ascii="Segoe UI" w:eastAsia="Times New Roman" w:hAnsi="Segoe UI" w:cs="Segoe UI"/>
      <w:sz w:val="18"/>
      <w:szCs w:val="18"/>
      <w:lang w:val="en-US"/>
    </w:rPr>
  </w:style>
  <w:style w:type="paragraph" w:styleId="Header">
    <w:name w:val="header"/>
    <w:basedOn w:val="Normal"/>
    <w:link w:val="HeaderChar"/>
    <w:rsid w:val="00B958AE"/>
    <w:pPr>
      <w:tabs>
        <w:tab w:val="center" w:pos="4320"/>
        <w:tab w:val="right" w:pos="8640"/>
      </w:tabs>
    </w:pPr>
  </w:style>
  <w:style w:type="character" w:customStyle="1" w:styleId="HeaderChar">
    <w:name w:val="Header Char"/>
    <w:basedOn w:val="DefaultParagraphFont"/>
    <w:link w:val="Header"/>
    <w:rsid w:val="00B958AE"/>
    <w:rPr>
      <w:rFonts w:ascii="Arial" w:eastAsia="Times New Roman" w:hAnsi="Arial" w:cs="Times New Roman"/>
      <w:sz w:val="28"/>
      <w:szCs w:val="20"/>
      <w:lang w:val="en-US"/>
    </w:rPr>
  </w:style>
  <w:style w:type="character" w:styleId="Hyperlink">
    <w:name w:val="Hyperlink"/>
    <w:uiPriority w:val="99"/>
    <w:unhideWhenUsed/>
    <w:rsid w:val="00550673"/>
    <w:rPr>
      <w:color w:val="0000FF"/>
      <w:u w:val="single"/>
    </w:rPr>
  </w:style>
  <w:style w:type="paragraph" w:styleId="Footer">
    <w:name w:val="footer"/>
    <w:basedOn w:val="Normal"/>
    <w:link w:val="FooterChar"/>
    <w:uiPriority w:val="99"/>
    <w:unhideWhenUsed/>
    <w:rsid w:val="003C4716"/>
    <w:pPr>
      <w:tabs>
        <w:tab w:val="center" w:pos="4513"/>
        <w:tab w:val="right" w:pos="9026"/>
      </w:tabs>
    </w:pPr>
  </w:style>
  <w:style w:type="character" w:customStyle="1" w:styleId="FooterChar">
    <w:name w:val="Footer Char"/>
    <w:basedOn w:val="DefaultParagraphFont"/>
    <w:link w:val="Footer"/>
    <w:uiPriority w:val="99"/>
    <w:rsid w:val="003C4716"/>
    <w:rPr>
      <w:rFonts w:ascii="Arial" w:eastAsia="Times New Roman" w:hAnsi="Arial" w:cs="Times New Roman"/>
      <w:sz w:val="28"/>
      <w:szCs w:val="20"/>
      <w:lang w:val="en-US"/>
    </w:rPr>
  </w:style>
  <w:style w:type="character" w:customStyle="1" w:styleId="UnresolvedMention1">
    <w:name w:val="Unresolved Mention1"/>
    <w:basedOn w:val="DefaultParagraphFont"/>
    <w:uiPriority w:val="99"/>
    <w:semiHidden/>
    <w:unhideWhenUsed/>
    <w:rsid w:val="00D24B4A"/>
    <w:rPr>
      <w:color w:val="605E5C"/>
      <w:shd w:val="clear" w:color="auto" w:fill="E1DFDD"/>
    </w:rPr>
  </w:style>
  <w:style w:type="character" w:customStyle="1" w:styleId="Heading5Char">
    <w:name w:val="Heading 5 Char"/>
    <w:basedOn w:val="DefaultParagraphFont"/>
    <w:link w:val="Heading5"/>
    <w:rsid w:val="003F4F22"/>
    <w:rPr>
      <w:rFonts w:ascii="Arial" w:eastAsia="Times New Roman" w:hAnsi="Arial" w:cs="Times New Roman"/>
      <w:b/>
      <w:bCs/>
      <w:i/>
      <w:iCs/>
      <w:sz w:val="26"/>
      <w:szCs w:val="26"/>
    </w:rPr>
  </w:style>
  <w:style w:type="paragraph" w:styleId="NoSpacing">
    <w:name w:val="No Spacing"/>
    <w:link w:val="NoSpacingChar"/>
    <w:qFormat/>
    <w:rsid w:val="006C1588"/>
    <w:pPr>
      <w:spacing w:after="0" w:line="240" w:lineRule="auto"/>
    </w:pPr>
    <w:rPr>
      <w:rFonts w:ascii="Arial" w:eastAsia="Times New Roman" w:hAnsi="Arial" w:cs="Times New Roman"/>
      <w:sz w:val="28"/>
      <w:szCs w:val="20"/>
      <w:lang w:val="en-US"/>
    </w:rPr>
  </w:style>
  <w:style w:type="character" w:customStyle="1" w:styleId="Heading1Char">
    <w:name w:val="Heading 1 Char"/>
    <w:basedOn w:val="DefaultParagraphFont"/>
    <w:link w:val="Heading1"/>
    <w:uiPriority w:val="9"/>
    <w:rsid w:val="000B3441"/>
    <w:rPr>
      <w:rFonts w:eastAsiaTheme="majorEastAsia" w:cstheme="majorBidi"/>
      <w:b/>
      <w:color w:val="000000" w:themeColor="text1"/>
      <w:sz w:val="28"/>
      <w:szCs w:val="32"/>
    </w:rPr>
  </w:style>
  <w:style w:type="paragraph" w:styleId="TOCHeading">
    <w:name w:val="TOC Heading"/>
    <w:basedOn w:val="Heading1"/>
    <w:next w:val="Normal"/>
    <w:uiPriority w:val="39"/>
    <w:unhideWhenUsed/>
    <w:qFormat/>
    <w:rsid w:val="00712FF3"/>
    <w:pPr>
      <w:spacing w:line="259" w:lineRule="auto"/>
      <w:outlineLvl w:val="9"/>
    </w:pPr>
    <w:rPr>
      <w:lang w:val="en-US"/>
    </w:rPr>
  </w:style>
  <w:style w:type="paragraph" w:styleId="TOC1">
    <w:name w:val="toc 1"/>
    <w:basedOn w:val="Normal"/>
    <w:next w:val="Normal"/>
    <w:autoRedefine/>
    <w:uiPriority w:val="39"/>
    <w:unhideWhenUsed/>
    <w:rsid w:val="003C75E4"/>
    <w:pPr>
      <w:tabs>
        <w:tab w:val="right" w:leader="dot" w:pos="10194"/>
      </w:tabs>
      <w:spacing w:after="100"/>
    </w:pPr>
    <w:rPr>
      <w:rFonts w:asciiTheme="majorHAnsi" w:hAnsiTheme="majorHAnsi"/>
      <w:b/>
      <w:sz w:val="26"/>
    </w:rPr>
  </w:style>
  <w:style w:type="paragraph" w:styleId="TOC2">
    <w:name w:val="toc 2"/>
    <w:basedOn w:val="Normal"/>
    <w:next w:val="Normal"/>
    <w:autoRedefine/>
    <w:uiPriority w:val="39"/>
    <w:unhideWhenUsed/>
    <w:rsid w:val="008F2519"/>
    <w:pPr>
      <w:spacing w:after="100"/>
      <w:ind w:left="280"/>
    </w:pPr>
    <w:rPr>
      <w:rFonts w:asciiTheme="majorHAnsi" w:hAnsiTheme="majorHAnsi"/>
      <w:sz w:val="26"/>
    </w:rPr>
  </w:style>
  <w:style w:type="paragraph" w:styleId="TOC3">
    <w:name w:val="toc 3"/>
    <w:basedOn w:val="Normal"/>
    <w:next w:val="Normal"/>
    <w:autoRedefine/>
    <w:uiPriority w:val="39"/>
    <w:unhideWhenUsed/>
    <w:rsid w:val="008F2519"/>
    <w:pPr>
      <w:spacing w:after="100"/>
      <w:ind w:left="560"/>
    </w:pPr>
    <w:rPr>
      <w:rFonts w:asciiTheme="majorHAnsi" w:hAnsiTheme="majorHAnsi"/>
      <w:sz w:val="26"/>
    </w:rPr>
  </w:style>
  <w:style w:type="character" w:customStyle="1" w:styleId="Heading2Char">
    <w:name w:val="Heading 2 Char"/>
    <w:basedOn w:val="DefaultParagraphFont"/>
    <w:link w:val="Heading2"/>
    <w:uiPriority w:val="9"/>
    <w:rsid w:val="008C059D"/>
    <w:rPr>
      <w:rFonts w:eastAsiaTheme="majorEastAsia" w:cstheme="majorBidi"/>
      <w:b/>
      <w:color w:val="000000" w:themeColor="text1"/>
      <w:sz w:val="26"/>
      <w:szCs w:val="26"/>
      <w:lang w:val="en-US"/>
    </w:rPr>
  </w:style>
  <w:style w:type="paragraph" w:customStyle="1" w:styleId="AddParagraf">
    <w:name w:val="AddParagraf"/>
    <w:basedOn w:val="Normal"/>
    <w:link w:val="AddParagrafCaracter"/>
    <w:qFormat/>
    <w:rsid w:val="00621E22"/>
    <w:pPr>
      <w:numPr>
        <w:ilvl w:val="1"/>
      </w:numPr>
      <w:spacing w:after="180"/>
      <w:ind w:right="48" w:firstLine="709"/>
      <w:jc w:val="both"/>
    </w:pPr>
    <w:rPr>
      <w:rFonts w:ascii="Calibri" w:hAnsi="Calibri" w:cs="Arial"/>
      <w:sz w:val="24"/>
      <w:szCs w:val="24"/>
    </w:rPr>
  </w:style>
  <w:style w:type="character" w:customStyle="1" w:styleId="AddParagrafCaracter">
    <w:name w:val="AddParagraf Caracter"/>
    <w:link w:val="AddParagraf"/>
    <w:qFormat/>
    <w:locked/>
    <w:rsid w:val="00621E22"/>
    <w:rPr>
      <w:rFonts w:ascii="Calibri" w:eastAsia="Times New Roman" w:hAnsi="Calibri" w:cs="Arial"/>
      <w:sz w:val="24"/>
      <w:szCs w:val="24"/>
    </w:rPr>
  </w:style>
  <w:style w:type="paragraph" w:customStyle="1" w:styleId="Default">
    <w:name w:val="Default"/>
    <w:rsid w:val="00621E22"/>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character" w:customStyle="1" w:styleId="ListParagraphChar">
    <w:name w:val="List Paragraph Char"/>
    <w:aliases w:val="Normal bullet 2 Char,Forth level Char,List Paragraph1 Char,List1 Char,Bullet list Char,1st level - Bullet List Paragraph Char,Lettre d'introduction Char,Paragrafo elenco Char,List Paragraph11 Char,Normal bullet 21 Char,Paragraph Char"/>
    <w:link w:val="ListParagraph"/>
    <w:uiPriority w:val="34"/>
    <w:qFormat/>
    <w:rsid w:val="00621E22"/>
    <w:rPr>
      <w:rFonts w:ascii="Arial" w:eastAsia="Times New Roman" w:hAnsi="Arial" w:cs="Times New Roman"/>
      <w:sz w:val="28"/>
      <w:szCs w:val="20"/>
    </w:rPr>
  </w:style>
  <w:style w:type="character" w:customStyle="1" w:styleId="Heading3Char">
    <w:name w:val="Heading 3 Char"/>
    <w:basedOn w:val="DefaultParagraphFont"/>
    <w:link w:val="Heading3"/>
    <w:rsid w:val="008C059D"/>
    <w:rPr>
      <w:rFonts w:eastAsiaTheme="majorEastAsia" w:cstheme="majorBidi"/>
      <w:b/>
      <w:color w:val="000000" w:themeColor="text1"/>
      <w:sz w:val="26"/>
      <w:szCs w:val="24"/>
    </w:rPr>
  </w:style>
  <w:style w:type="character" w:styleId="Strong">
    <w:name w:val="Strong"/>
    <w:uiPriority w:val="22"/>
    <w:qFormat/>
    <w:rsid w:val="003A2BC2"/>
    <w:rPr>
      <w:b/>
      <w:bCs/>
    </w:rPr>
  </w:style>
  <w:style w:type="paragraph" w:styleId="NormalWeb">
    <w:name w:val="Normal (Web)"/>
    <w:basedOn w:val="Normal"/>
    <w:link w:val="NormalWebChar"/>
    <w:unhideWhenUsed/>
    <w:rsid w:val="003A2BC2"/>
    <w:pPr>
      <w:spacing w:before="100" w:beforeAutospacing="1" w:after="100" w:afterAutospacing="1"/>
    </w:pPr>
    <w:rPr>
      <w:rFonts w:ascii="Times New Roman" w:hAnsi="Times New Roman"/>
      <w:sz w:val="24"/>
      <w:szCs w:val="24"/>
      <w:lang w:eastAsia="ro-RO"/>
    </w:rPr>
  </w:style>
  <w:style w:type="character" w:customStyle="1" w:styleId="rvts5">
    <w:name w:val="rvts5"/>
    <w:rsid w:val="003A2BC2"/>
  </w:style>
  <w:style w:type="character" w:customStyle="1" w:styleId="NormalWebChar">
    <w:name w:val="Normal (Web) Char"/>
    <w:link w:val="NormalWeb"/>
    <w:locked/>
    <w:rsid w:val="003A2BC2"/>
    <w:rPr>
      <w:rFonts w:ascii="Times New Roman" w:eastAsia="Times New Roman" w:hAnsi="Times New Roman" w:cs="Times New Roman"/>
      <w:sz w:val="24"/>
      <w:szCs w:val="24"/>
      <w:lang w:eastAsia="ro-RO"/>
    </w:rPr>
  </w:style>
  <w:style w:type="character" w:customStyle="1" w:styleId="NoSpacingChar">
    <w:name w:val="No Spacing Char"/>
    <w:link w:val="NoSpacing"/>
    <w:rsid w:val="00683ACD"/>
    <w:rPr>
      <w:rFonts w:ascii="Arial" w:eastAsia="Times New Roman" w:hAnsi="Arial" w:cs="Times New Roman"/>
      <w:sz w:val="28"/>
      <w:szCs w:val="20"/>
      <w:lang w:val="en-US"/>
    </w:rPr>
  </w:style>
  <w:style w:type="character" w:customStyle="1" w:styleId="markedcontent">
    <w:name w:val="markedcontent"/>
    <w:basedOn w:val="DefaultParagraphFont"/>
    <w:rsid w:val="00AA0999"/>
  </w:style>
  <w:style w:type="character" w:customStyle="1" w:styleId="Bodytext2">
    <w:name w:val="Body text (2)_"/>
    <w:basedOn w:val="DefaultParagraphFont"/>
    <w:link w:val="Bodytext20"/>
    <w:rsid w:val="00AA0999"/>
    <w:rPr>
      <w:rFonts w:ascii="Trebuchet MS" w:eastAsia="Trebuchet MS" w:hAnsi="Trebuchet MS" w:cs="Trebuchet MS"/>
      <w:shd w:val="clear" w:color="auto" w:fill="FFFFFF"/>
    </w:rPr>
  </w:style>
  <w:style w:type="paragraph" w:customStyle="1" w:styleId="Bodytext20">
    <w:name w:val="Body text (2)"/>
    <w:basedOn w:val="Normal"/>
    <w:link w:val="Bodytext2"/>
    <w:rsid w:val="00AA0999"/>
    <w:pPr>
      <w:widowControl w:val="0"/>
      <w:shd w:val="clear" w:color="auto" w:fill="FFFFFF"/>
      <w:spacing w:line="0" w:lineRule="atLeast"/>
    </w:pPr>
    <w:rPr>
      <w:rFonts w:ascii="Trebuchet MS" w:eastAsia="Trebuchet MS" w:hAnsi="Trebuchet MS" w:cs="Trebuchet MS"/>
      <w:sz w:val="22"/>
      <w:szCs w:val="22"/>
    </w:rPr>
  </w:style>
  <w:style w:type="character" w:customStyle="1" w:styleId="Bodytext2Italic">
    <w:name w:val="Body text (2) + Italic"/>
    <w:basedOn w:val="Bodytext2"/>
    <w:rsid w:val="00AA0999"/>
    <w:rPr>
      <w:rFonts w:ascii="Trebuchet MS" w:eastAsia="Trebuchet MS" w:hAnsi="Trebuchet MS" w:cs="Trebuchet MS"/>
      <w:b w:val="0"/>
      <w:bCs w:val="0"/>
      <w:i/>
      <w:iCs/>
      <w:smallCaps w:val="0"/>
      <w:strike w:val="0"/>
      <w:color w:val="000000"/>
      <w:spacing w:val="0"/>
      <w:w w:val="100"/>
      <w:position w:val="0"/>
      <w:sz w:val="22"/>
      <w:szCs w:val="22"/>
      <w:u w:val="none"/>
      <w:shd w:val="clear" w:color="auto" w:fill="FFFFFF"/>
      <w:lang w:val="ro-RO" w:eastAsia="ro-RO" w:bidi="ro-RO"/>
    </w:rPr>
  </w:style>
  <w:style w:type="paragraph" w:customStyle="1" w:styleId="rvps1">
    <w:name w:val="rvps1"/>
    <w:basedOn w:val="Normal"/>
    <w:rsid w:val="00E2457C"/>
    <w:pPr>
      <w:jc w:val="center"/>
    </w:pPr>
    <w:rPr>
      <w:rFonts w:ascii="Times New Roman" w:hAnsi="Times New Roman"/>
      <w:sz w:val="24"/>
      <w:szCs w:val="24"/>
      <w:lang w:val="en-US"/>
    </w:rPr>
  </w:style>
  <w:style w:type="character" w:customStyle="1" w:styleId="Bodytext1">
    <w:name w:val="Body text|1_"/>
    <w:basedOn w:val="DefaultParagraphFont"/>
    <w:link w:val="Bodytext10"/>
    <w:rsid w:val="00A944DA"/>
    <w:rPr>
      <w:rFonts w:ascii="Calibri" w:eastAsia="Calibri" w:hAnsi="Calibri" w:cs="Calibri"/>
    </w:rPr>
  </w:style>
  <w:style w:type="paragraph" w:customStyle="1" w:styleId="Bodytext10">
    <w:name w:val="Body text|1"/>
    <w:basedOn w:val="Normal"/>
    <w:link w:val="Bodytext1"/>
    <w:rsid w:val="00A944DA"/>
    <w:pPr>
      <w:widowControl w:val="0"/>
    </w:pPr>
    <w:rPr>
      <w:rFonts w:ascii="Calibri" w:eastAsia="Calibri" w:hAnsi="Calibri" w:cs="Calibri"/>
      <w:sz w:val="22"/>
      <w:szCs w:val="22"/>
    </w:rPr>
  </w:style>
  <w:style w:type="character" w:customStyle="1" w:styleId="Heading11">
    <w:name w:val="Heading #1|1_"/>
    <w:basedOn w:val="DefaultParagraphFont"/>
    <w:link w:val="Heading110"/>
    <w:rsid w:val="00A944DA"/>
    <w:rPr>
      <w:rFonts w:ascii="Arial" w:eastAsia="Arial" w:hAnsi="Arial" w:cs="Arial"/>
      <w:b/>
      <w:sz w:val="28"/>
    </w:rPr>
  </w:style>
  <w:style w:type="paragraph" w:customStyle="1" w:styleId="Heading110">
    <w:name w:val="Heading #1|1"/>
    <w:basedOn w:val="Normal"/>
    <w:link w:val="Heading11"/>
    <w:rsid w:val="00A944DA"/>
    <w:pPr>
      <w:widowControl w:val="0"/>
      <w:spacing w:after="200"/>
      <w:outlineLvl w:val="0"/>
    </w:pPr>
    <w:rPr>
      <w:rFonts w:eastAsia="Arial" w:cs="Arial"/>
      <w:b/>
      <w:szCs w:val="22"/>
    </w:rPr>
  </w:style>
  <w:style w:type="table" w:customStyle="1" w:styleId="TableGrid1">
    <w:name w:val="Table Grid1"/>
    <w:basedOn w:val="TableNormal"/>
    <w:next w:val="TableGrid"/>
    <w:rsid w:val="006D090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7">
    <w:name w:val="rvts7"/>
    <w:rsid w:val="00030AEB"/>
  </w:style>
  <w:style w:type="character" w:customStyle="1" w:styleId="apple-converted-space">
    <w:name w:val="apple-converted-space"/>
    <w:rsid w:val="00600104"/>
  </w:style>
  <w:style w:type="character" w:customStyle="1" w:styleId="preformatatted">
    <w:name w:val="preformatatted"/>
    <w:basedOn w:val="DefaultParagraphFont"/>
    <w:rsid w:val="00B83ECD"/>
  </w:style>
  <w:style w:type="character" w:styleId="Emphasis">
    <w:name w:val="Emphasis"/>
    <w:basedOn w:val="DefaultParagraphFont"/>
    <w:uiPriority w:val="20"/>
    <w:qFormat/>
    <w:rsid w:val="007935BD"/>
    <w:rPr>
      <w:i/>
      <w:iCs/>
    </w:rPr>
  </w:style>
  <w:style w:type="paragraph" w:styleId="FootnoteText">
    <w:name w:val="footnote text"/>
    <w:basedOn w:val="Normal"/>
    <w:link w:val="FootnoteTextChar"/>
    <w:uiPriority w:val="99"/>
    <w:unhideWhenUsed/>
    <w:rsid w:val="003F56DF"/>
    <w:rPr>
      <w:rFonts w:asciiTheme="minorHAnsi" w:eastAsiaTheme="minorHAnsi" w:hAnsiTheme="minorHAnsi" w:cstheme="minorBidi"/>
      <w:sz w:val="20"/>
      <w:lang w:val="en-GB"/>
    </w:rPr>
  </w:style>
  <w:style w:type="character" w:customStyle="1" w:styleId="FootnoteTextChar">
    <w:name w:val="Footnote Text Char"/>
    <w:basedOn w:val="DefaultParagraphFont"/>
    <w:link w:val="FootnoteText"/>
    <w:uiPriority w:val="99"/>
    <w:rsid w:val="003F56DF"/>
    <w:rPr>
      <w:sz w:val="20"/>
      <w:szCs w:val="20"/>
      <w:lang w:val="en-GB"/>
    </w:rPr>
  </w:style>
  <w:style w:type="character" w:styleId="FootnoteReference">
    <w:name w:val="footnote reference"/>
    <w:basedOn w:val="DefaultParagraphFont"/>
    <w:uiPriority w:val="99"/>
    <w:unhideWhenUsed/>
    <w:rsid w:val="003F56DF"/>
    <w:rPr>
      <w:vertAlign w:val="superscript"/>
    </w:rPr>
  </w:style>
  <w:style w:type="paragraph" w:styleId="Revision">
    <w:name w:val="Revision"/>
    <w:hidden/>
    <w:uiPriority w:val="99"/>
    <w:semiHidden/>
    <w:rsid w:val="00F61A4B"/>
    <w:pPr>
      <w:spacing w:after="0" w:line="240" w:lineRule="auto"/>
    </w:pPr>
    <w:rPr>
      <w:rFonts w:ascii="Arial" w:eastAsia="Times New Roman" w:hAnsi="Arial" w:cs="Times New Roman"/>
      <w:sz w:val="28"/>
      <w:szCs w:val="20"/>
    </w:rPr>
  </w:style>
  <w:style w:type="character" w:customStyle="1" w:styleId="MeniuneNerezolvat1">
    <w:name w:val="Mențiune Nerezolvat1"/>
    <w:basedOn w:val="DefaultParagraphFont"/>
    <w:uiPriority w:val="99"/>
    <w:semiHidden/>
    <w:unhideWhenUsed/>
    <w:rsid w:val="00D450BC"/>
    <w:rPr>
      <w:color w:val="605E5C"/>
      <w:shd w:val="clear" w:color="auto" w:fill="E1DFDD"/>
    </w:rPr>
  </w:style>
  <w:style w:type="character" w:customStyle="1" w:styleId="Fontdeparagrafimplicit1">
    <w:name w:val="Font de paragraf implicit1"/>
    <w:rsid w:val="00EC0C6B"/>
  </w:style>
  <w:style w:type="character" w:customStyle="1" w:styleId="contentpasted0">
    <w:name w:val="contentpasted0"/>
    <w:basedOn w:val="DefaultParagraphFont"/>
    <w:rsid w:val="00CF0D23"/>
  </w:style>
  <w:style w:type="character" w:customStyle="1" w:styleId="normaltextrun">
    <w:name w:val="normaltextrun"/>
    <w:basedOn w:val="DefaultParagraphFont"/>
    <w:rsid w:val="00AC2D56"/>
  </w:style>
  <w:style w:type="character" w:customStyle="1" w:styleId="rvts11">
    <w:name w:val="rvts11"/>
    <w:rsid w:val="00150131"/>
  </w:style>
  <w:style w:type="character" w:customStyle="1" w:styleId="rvts4">
    <w:name w:val="rvts4"/>
    <w:basedOn w:val="DefaultParagraphFont"/>
    <w:rsid w:val="00150131"/>
  </w:style>
  <w:style w:type="paragraph" w:styleId="PlainText">
    <w:name w:val="Plain Text"/>
    <w:basedOn w:val="Normal"/>
    <w:link w:val="PlainTextChar"/>
    <w:uiPriority w:val="99"/>
    <w:semiHidden/>
    <w:unhideWhenUsed/>
    <w:rsid w:val="0034506F"/>
    <w:rPr>
      <w:rFonts w:ascii="Calibri" w:eastAsiaTheme="minorHAnsi" w:hAnsi="Calibri" w:cs="Calibri"/>
      <w:sz w:val="22"/>
      <w:szCs w:val="22"/>
      <w:lang w:val="en-US"/>
      <w14:ligatures w14:val="standardContextual"/>
    </w:rPr>
  </w:style>
  <w:style w:type="character" w:customStyle="1" w:styleId="PlainTextChar">
    <w:name w:val="Plain Text Char"/>
    <w:basedOn w:val="DefaultParagraphFont"/>
    <w:link w:val="PlainText"/>
    <w:uiPriority w:val="99"/>
    <w:semiHidden/>
    <w:rsid w:val="0034506F"/>
    <w:rPr>
      <w:rFonts w:ascii="Calibri" w:hAnsi="Calibri" w:cs="Calibri"/>
      <w:lang w:val="en-US"/>
      <w14:ligatures w14:val="standardContextual"/>
    </w:rPr>
  </w:style>
  <w:style w:type="character" w:styleId="CommentReference">
    <w:name w:val="annotation reference"/>
    <w:basedOn w:val="DefaultParagraphFont"/>
    <w:uiPriority w:val="99"/>
    <w:semiHidden/>
    <w:unhideWhenUsed/>
    <w:rsid w:val="007E7337"/>
    <w:rPr>
      <w:sz w:val="16"/>
      <w:szCs w:val="16"/>
    </w:rPr>
  </w:style>
  <w:style w:type="paragraph" w:styleId="CommentText">
    <w:name w:val="annotation text"/>
    <w:basedOn w:val="Normal"/>
    <w:link w:val="CommentTextChar"/>
    <w:uiPriority w:val="99"/>
    <w:semiHidden/>
    <w:unhideWhenUsed/>
    <w:rsid w:val="007E7337"/>
    <w:rPr>
      <w:sz w:val="20"/>
    </w:rPr>
  </w:style>
  <w:style w:type="character" w:customStyle="1" w:styleId="CommentTextChar">
    <w:name w:val="Comment Text Char"/>
    <w:basedOn w:val="DefaultParagraphFont"/>
    <w:link w:val="CommentText"/>
    <w:uiPriority w:val="99"/>
    <w:semiHidden/>
    <w:rsid w:val="007E7337"/>
    <w:rPr>
      <w:rFonts w:ascii="Arial" w:eastAsia="Times New Roman" w:hAnsi="Arial" w:cs="Times New Roman"/>
      <w:sz w:val="20"/>
      <w:szCs w:val="20"/>
    </w:rPr>
  </w:style>
  <w:style w:type="character" w:styleId="FollowedHyperlink">
    <w:name w:val="FollowedHyperlink"/>
    <w:basedOn w:val="DefaultParagraphFont"/>
    <w:uiPriority w:val="99"/>
    <w:semiHidden/>
    <w:unhideWhenUsed/>
    <w:rsid w:val="00500978"/>
    <w:rPr>
      <w:color w:val="954F72" w:themeColor="followedHyperlink"/>
      <w:u w:val="single"/>
    </w:rPr>
  </w:style>
  <w:style w:type="paragraph" w:customStyle="1" w:styleId="msonormal0">
    <w:name w:val="msonormal"/>
    <w:basedOn w:val="Normal"/>
    <w:rsid w:val="002C206D"/>
    <w:pPr>
      <w:spacing w:before="100" w:beforeAutospacing="1" w:after="100" w:afterAutospacing="1"/>
    </w:pPr>
    <w:rPr>
      <w:rFonts w:ascii="Times New Roman" w:hAnsi="Times New Roman"/>
      <w:sz w:val="24"/>
      <w:szCs w:val="24"/>
      <w:lang w:eastAsia="ro-RO"/>
    </w:rPr>
  </w:style>
  <w:style w:type="paragraph" w:customStyle="1" w:styleId="Titlu11">
    <w:name w:val="Titlu 11"/>
    <w:basedOn w:val="Normal"/>
    <w:next w:val="Normal"/>
    <w:uiPriority w:val="9"/>
    <w:qFormat/>
    <w:rsid w:val="00AE5495"/>
    <w:pPr>
      <w:keepNext/>
      <w:keepLines/>
      <w:spacing w:before="240" w:after="240" w:line="276" w:lineRule="auto"/>
      <w:ind w:firstLine="851"/>
      <w:jc w:val="center"/>
      <w:outlineLvl w:val="0"/>
    </w:pPr>
    <w:rPr>
      <w:rFonts w:asciiTheme="minorHAnsi" w:hAnsiTheme="minorHAnsi"/>
      <w:b/>
      <w:color w:val="000000"/>
      <w:szCs w:val="32"/>
    </w:rPr>
  </w:style>
  <w:style w:type="paragraph" w:customStyle="1" w:styleId="Titlu21">
    <w:name w:val="Titlu 21"/>
    <w:basedOn w:val="Normal"/>
    <w:next w:val="Normal"/>
    <w:uiPriority w:val="9"/>
    <w:unhideWhenUsed/>
    <w:qFormat/>
    <w:rsid w:val="00AE5495"/>
    <w:pPr>
      <w:keepNext/>
      <w:keepLines/>
      <w:spacing w:before="120" w:after="120" w:line="276" w:lineRule="auto"/>
      <w:ind w:firstLine="709"/>
      <w:outlineLvl w:val="1"/>
    </w:pPr>
    <w:rPr>
      <w:rFonts w:asciiTheme="minorHAnsi" w:hAnsiTheme="minorHAnsi"/>
      <w:b/>
      <w:color w:val="000000"/>
      <w:sz w:val="26"/>
      <w:szCs w:val="26"/>
      <w:lang w:val="en-US"/>
    </w:rPr>
  </w:style>
  <w:style w:type="paragraph" w:customStyle="1" w:styleId="Titlu31">
    <w:name w:val="Titlu 31"/>
    <w:basedOn w:val="Normal"/>
    <w:next w:val="Normal"/>
    <w:unhideWhenUsed/>
    <w:qFormat/>
    <w:rsid w:val="00AE5495"/>
    <w:pPr>
      <w:keepNext/>
      <w:keepLines/>
      <w:spacing w:before="120" w:after="120" w:line="276" w:lineRule="auto"/>
      <w:ind w:firstLine="709"/>
      <w:outlineLvl w:val="2"/>
    </w:pPr>
    <w:rPr>
      <w:rFonts w:asciiTheme="minorHAnsi" w:hAnsiTheme="minorHAnsi"/>
      <w:b/>
      <w:color w:val="000000"/>
      <w:sz w:val="26"/>
      <w:szCs w:val="24"/>
    </w:rPr>
  </w:style>
  <w:style w:type="numbering" w:customStyle="1" w:styleId="FrListare1">
    <w:name w:val="Fără Listare1"/>
    <w:next w:val="NoList"/>
    <w:uiPriority w:val="99"/>
    <w:semiHidden/>
    <w:unhideWhenUsed/>
    <w:rsid w:val="00AE5495"/>
  </w:style>
  <w:style w:type="character" w:customStyle="1" w:styleId="Titlu1Caracter1">
    <w:name w:val="Titlu 1 Caracter1"/>
    <w:basedOn w:val="DefaultParagraphFont"/>
    <w:uiPriority w:val="9"/>
    <w:rsid w:val="00AE5495"/>
    <w:rPr>
      <w:rFonts w:asciiTheme="majorHAnsi" w:eastAsiaTheme="majorEastAsia" w:hAnsiTheme="majorHAnsi" w:cstheme="majorBidi"/>
      <w:color w:val="2E74B5" w:themeColor="accent1" w:themeShade="BF"/>
      <w:sz w:val="32"/>
      <w:szCs w:val="32"/>
    </w:rPr>
  </w:style>
  <w:style w:type="paragraph" w:customStyle="1" w:styleId="Cuprins11">
    <w:name w:val="Cuprins 11"/>
    <w:basedOn w:val="Normal"/>
    <w:next w:val="Normal"/>
    <w:autoRedefine/>
    <w:uiPriority w:val="39"/>
    <w:unhideWhenUsed/>
    <w:rsid w:val="00AE5495"/>
    <w:pPr>
      <w:tabs>
        <w:tab w:val="right" w:leader="dot" w:pos="10194"/>
      </w:tabs>
      <w:spacing w:after="100"/>
    </w:pPr>
    <w:rPr>
      <w:rFonts w:ascii="Calibri Light" w:hAnsi="Calibri Light"/>
      <w:b/>
      <w:sz w:val="26"/>
    </w:rPr>
  </w:style>
  <w:style w:type="paragraph" w:customStyle="1" w:styleId="Cuprins21">
    <w:name w:val="Cuprins 21"/>
    <w:basedOn w:val="Normal"/>
    <w:next w:val="Normal"/>
    <w:autoRedefine/>
    <w:uiPriority w:val="39"/>
    <w:unhideWhenUsed/>
    <w:rsid w:val="00AE5495"/>
    <w:pPr>
      <w:spacing w:after="100"/>
      <w:ind w:left="280"/>
    </w:pPr>
    <w:rPr>
      <w:rFonts w:ascii="Calibri Light" w:hAnsi="Calibri Light"/>
      <w:sz w:val="26"/>
    </w:rPr>
  </w:style>
  <w:style w:type="paragraph" w:customStyle="1" w:styleId="Cuprins31">
    <w:name w:val="Cuprins 31"/>
    <w:basedOn w:val="Normal"/>
    <w:next w:val="Normal"/>
    <w:autoRedefine/>
    <w:uiPriority w:val="39"/>
    <w:unhideWhenUsed/>
    <w:rsid w:val="00AE5495"/>
    <w:pPr>
      <w:spacing w:after="100"/>
      <w:ind w:left="560"/>
    </w:pPr>
    <w:rPr>
      <w:rFonts w:ascii="Calibri Light" w:hAnsi="Calibri Light"/>
      <w:sz w:val="26"/>
    </w:rPr>
  </w:style>
  <w:style w:type="paragraph" w:customStyle="1" w:styleId="Textnotdesubsol1">
    <w:name w:val="Text notă de subsol1"/>
    <w:basedOn w:val="Normal"/>
    <w:next w:val="FootnoteText"/>
    <w:uiPriority w:val="99"/>
    <w:unhideWhenUsed/>
    <w:rsid w:val="00AE5495"/>
    <w:rPr>
      <w:rFonts w:asciiTheme="minorHAnsi" w:eastAsiaTheme="minorHAnsi" w:hAnsiTheme="minorHAnsi" w:cstheme="minorBidi"/>
      <w:sz w:val="20"/>
      <w:lang w:val="en-GB"/>
    </w:rPr>
  </w:style>
  <w:style w:type="paragraph" w:customStyle="1" w:styleId="Textsimplu1">
    <w:name w:val="Text simplu1"/>
    <w:basedOn w:val="Normal"/>
    <w:next w:val="PlainText"/>
    <w:uiPriority w:val="99"/>
    <w:semiHidden/>
    <w:unhideWhenUsed/>
    <w:rsid w:val="00AE5495"/>
    <w:rPr>
      <w:rFonts w:ascii="Calibri" w:eastAsiaTheme="minorHAnsi" w:hAnsi="Calibri" w:cs="Calibri"/>
      <w:sz w:val="22"/>
      <w:szCs w:val="22"/>
      <w:lang w:val="en-US"/>
      <w14:ligatures w14:val="standardContextual"/>
    </w:rPr>
  </w:style>
  <w:style w:type="character" w:customStyle="1" w:styleId="HyperlinkParcurs1">
    <w:name w:val="HyperlinkParcurs1"/>
    <w:basedOn w:val="DefaultParagraphFont"/>
    <w:uiPriority w:val="99"/>
    <w:semiHidden/>
    <w:unhideWhenUsed/>
    <w:rsid w:val="00AE5495"/>
    <w:rPr>
      <w:color w:val="954F72"/>
      <w:u w:val="single"/>
    </w:rPr>
  </w:style>
  <w:style w:type="character" w:customStyle="1" w:styleId="Titlu2Caracter1">
    <w:name w:val="Titlu 2 Caracter1"/>
    <w:basedOn w:val="DefaultParagraphFont"/>
    <w:uiPriority w:val="9"/>
    <w:semiHidden/>
    <w:rsid w:val="00AE5495"/>
    <w:rPr>
      <w:rFonts w:asciiTheme="majorHAnsi" w:eastAsiaTheme="majorEastAsia" w:hAnsiTheme="majorHAnsi" w:cstheme="majorBidi"/>
      <w:color w:val="2E74B5" w:themeColor="accent1" w:themeShade="BF"/>
      <w:sz w:val="26"/>
      <w:szCs w:val="26"/>
    </w:rPr>
  </w:style>
  <w:style w:type="character" w:customStyle="1" w:styleId="Titlu3Caracter1">
    <w:name w:val="Titlu 3 Caracter1"/>
    <w:basedOn w:val="DefaultParagraphFont"/>
    <w:uiPriority w:val="9"/>
    <w:semiHidden/>
    <w:rsid w:val="00AE5495"/>
    <w:rPr>
      <w:rFonts w:asciiTheme="majorHAnsi" w:eastAsiaTheme="majorEastAsia" w:hAnsiTheme="majorHAnsi" w:cstheme="majorBidi"/>
      <w:color w:val="1F4D78" w:themeColor="accent1" w:themeShade="7F"/>
      <w:sz w:val="24"/>
      <w:szCs w:val="24"/>
    </w:rPr>
  </w:style>
  <w:style w:type="character" w:customStyle="1" w:styleId="TextnotdesubsolCaracter1">
    <w:name w:val="Text notă de subsol Caracter1"/>
    <w:basedOn w:val="DefaultParagraphFont"/>
    <w:uiPriority w:val="99"/>
    <w:semiHidden/>
    <w:rsid w:val="00AE5495"/>
    <w:rPr>
      <w:sz w:val="20"/>
      <w:szCs w:val="20"/>
    </w:rPr>
  </w:style>
  <w:style w:type="character" w:customStyle="1" w:styleId="TextsimpluCaracter1">
    <w:name w:val="Text simplu Caracter1"/>
    <w:basedOn w:val="DefaultParagraphFont"/>
    <w:uiPriority w:val="99"/>
    <w:semiHidden/>
    <w:rsid w:val="00AE5495"/>
    <w:rPr>
      <w:rFonts w:ascii="Consolas" w:hAnsi="Consolas"/>
      <w:sz w:val="21"/>
      <w:szCs w:val="21"/>
    </w:rPr>
  </w:style>
  <w:style w:type="character" w:customStyle="1" w:styleId="CharStyle22">
    <w:name w:val="CharStyle22"/>
    <w:basedOn w:val="DefaultParagraphFont"/>
    <w:rsid w:val="00AE5495"/>
    <w:rPr>
      <w:rFonts w:ascii="Times New Roman" w:eastAsia="Times New Roman" w:hAnsi="Times New Roman" w:cs="Times New Roman"/>
      <w:b w:val="0"/>
      <w:bCs w:val="0"/>
      <w:i w:val="0"/>
      <w:iCs w:val="0"/>
      <w:smallCaps w:val="0"/>
      <w:sz w:val="24"/>
      <w:szCs w:val="24"/>
    </w:rPr>
  </w:style>
  <w:style w:type="character" w:customStyle="1" w:styleId="CharStyle31">
    <w:name w:val="CharStyle31"/>
    <w:basedOn w:val="DefaultParagraphFont"/>
    <w:rsid w:val="00AE5495"/>
    <w:rPr>
      <w:rFonts w:ascii="Times New Roman" w:eastAsia="Times New Roman" w:hAnsi="Times New Roman" w:cs="Times New Roman"/>
      <w:b w:val="0"/>
      <w:bCs w:val="0"/>
      <w:i w:val="0"/>
      <w:iCs w:val="0"/>
      <w:smallCaps w:val="0"/>
      <w:sz w:val="22"/>
      <w:szCs w:val="22"/>
    </w:rPr>
  </w:style>
  <w:style w:type="character" w:styleId="UnresolvedMention">
    <w:name w:val="Unresolved Mention"/>
    <w:basedOn w:val="DefaultParagraphFont"/>
    <w:uiPriority w:val="99"/>
    <w:semiHidden/>
    <w:unhideWhenUsed/>
    <w:rsid w:val="00C36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6423">
      <w:bodyDiv w:val="1"/>
      <w:marLeft w:val="0"/>
      <w:marRight w:val="0"/>
      <w:marTop w:val="0"/>
      <w:marBottom w:val="0"/>
      <w:divBdr>
        <w:top w:val="none" w:sz="0" w:space="0" w:color="auto"/>
        <w:left w:val="none" w:sz="0" w:space="0" w:color="auto"/>
        <w:bottom w:val="none" w:sz="0" w:space="0" w:color="auto"/>
        <w:right w:val="none" w:sz="0" w:space="0" w:color="auto"/>
      </w:divBdr>
    </w:div>
    <w:div w:id="38018028">
      <w:bodyDiv w:val="1"/>
      <w:marLeft w:val="0"/>
      <w:marRight w:val="0"/>
      <w:marTop w:val="0"/>
      <w:marBottom w:val="0"/>
      <w:divBdr>
        <w:top w:val="none" w:sz="0" w:space="0" w:color="auto"/>
        <w:left w:val="none" w:sz="0" w:space="0" w:color="auto"/>
        <w:bottom w:val="none" w:sz="0" w:space="0" w:color="auto"/>
        <w:right w:val="none" w:sz="0" w:space="0" w:color="auto"/>
      </w:divBdr>
    </w:div>
    <w:div w:id="43334978">
      <w:bodyDiv w:val="1"/>
      <w:marLeft w:val="0"/>
      <w:marRight w:val="0"/>
      <w:marTop w:val="0"/>
      <w:marBottom w:val="0"/>
      <w:divBdr>
        <w:top w:val="none" w:sz="0" w:space="0" w:color="auto"/>
        <w:left w:val="none" w:sz="0" w:space="0" w:color="auto"/>
        <w:bottom w:val="none" w:sz="0" w:space="0" w:color="auto"/>
        <w:right w:val="none" w:sz="0" w:space="0" w:color="auto"/>
      </w:divBdr>
    </w:div>
    <w:div w:id="51079125">
      <w:bodyDiv w:val="1"/>
      <w:marLeft w:val="0"/>
      <w:marRight w:val="0"/>
      <w:marTop w:val="0"/>
      <w:marBottom w:val="0"/>
      <w:divBdr>
        <w:top w:val="none" w:sz="0" w:space="0" w:color="auto"/>
        <w:left w:val="none" w:sz="0" w:space="0" w:color="auto"/>
        <w:bottom w:val="none" w:sz="0" w:space="0" w:color="auto"/>
        <w:right w:val="none" w:sz="0" w:space="0" w:color="auto"/>
      </w:divBdr>
    </w:div>
    <w:div w:id="88082451">
      <w:bodyDiv w:val="1"/>
      <w:marLeft w:val="0"/>
      <w:marRight w:val="0"/>
      <w:marTop w:val="0"/>
      <w:marBottom w:val="0"/>
      <w:divBdr>
        <w:top w:val="none" w:sz="0" w:space="0" w:color="auto"/>
        <w:left w:val="none" w:sz="0" w:space="0" w:color="auto"/>
        <w:bottom w:val="none" w:sz="0" w:space="0" w:color="auto"/>
        <w:right w:val="none" w:sz="0" w:space="0" w:color="auto"/>
      </w:divBdr>
    </w:div>
    <w:div w:id="116876046">
      <w:bodyDiv w:val="1"/>
      <w:marLeft w:val="0"/>
      <w:marRight w:val="0"/>
      <w:marTop w:val="0"/>
      <w:marBottom w:val="0"/>
      <w:divBdr>
        <w:top w:val="none" w:sz="0" w:space="0" w:color="auto"/>
        <w:left w:val="none" w:sz="0" w:space="0" w:color="auto"/>
        <w:bottom w:val="none" w:sz="0" w:space="0" w:color="auto"/>
        <w:right w:val="none" w:sz="0" w:space="0" w:color="auto"/>
      </w:divBdr>
    </w:div>
    <w:div w:id="126243939">
      <w:bodyDiv w:val="1"/>
      <w:marLeft w:val="0"/>
      <w:marRight w:val="0"/>
      <w:marTop w:val="0"/>
      <w:marBottom w:val="0"/>
      <w:divBdr>
        <w:top w:val="none" w:sz="0" w:space="0" w:color="auto"/>
        <w:left w:val="none" w:sz="0" w:space="0" w:color="auto"/>
        <w:bottom w:val="none" w:sz="0" w:space="0" w:color="auto"/>
        <w:right w:val="none" w:sz="0" w:space="0" w:color="auto"/>
      </w:divBdr>
    </w:div>
    <w:div w:id="138815687">
      <w:bodyDiv w:val="1"/>
      <w:marLeft w:val="0"/>
      <w:marRight w:val="0"/>
      <w:marTop w:val="0"/>
      <w:marBottom w:val="0"/>
      <w:divBdr>
        <w:top w:val="none" w:sz="0" w:space="0" w:color="auto"/>
        <w:left w:val="none" w:sz="0" w:space="0" w:color="auto"/>
        <w:bottom w:val="none" w:sz="0" w:space="0" w:color="auto"/>
        <w:right w:val="none" w:sz="0" w:space="0" w:color="auto"/>
      </w:divBdr>
    </w:div>
    <w:div w:id="171071054">
      <w:bodyDiv w:val="1"/>
      <w:marLeft w:val="0"/>
      <w:marRight w:val="0"/>
      <w:marTop w:val="0"/>
      <w:marBottom w:val="0"/>
      <w:divBdr>
        <w:top w:val="none" w:sz="0" w:space="0" w:color="auto"/>
        <w:left w:val="none" w:sz="0" w:space="0" w:color="auto"/>
        <w:bottom w:val="none" w:sz="0" w:space="0" w:color="auto"/>
        <w:right w:val="none" w:sz="0" w:space="0" w:color="auto"/>
      </w:divBdr>
    </w:div>
    <w:div w:id="200358933">
      <w:bodyDiv w:val="1"/>
      <w:marLeft w:val="0"/>
      <w:marRight w:val="0"/>
      <w:marTop w:val="0"/>
      <w:marBottom w:val="0"/>
      <w:divBdr>
        <w:top w:val="none" w:sz="0" w:space="0" w:color="auto"/>
        <w:left w:val="none" w:sz="0" w:space="0" w:color="auto"/>
        <w:bottom w:val="none" w:sz="0" w:space="0" w:color="auto"/>
        <w:right w:val="none" w:sz="0" w:space="0" w:color="auto"/>
      </w:divBdr>
    </w:div>
    <w:div w:id="246429999">
      <w:bodyDiv w:val="1"/>
      <w:marLeft w:val="0"/>
      <w:marRight w:val="0"/>
      <w:marTop w:val="0"/>
      <w:marBottom w:val="0"/>
      <w:divBdr>
        <w:top w:val="none" w:sz="0" w:space="0" w:color="auto"/>
        <w:left w:val="none" w:sz="0" w:space="0" w:color="auto"/>
        <w:bottom w:val="none" w:sz="0" w:space="0" w:color="auto"/>
        <w:right w:val="none" w:sz="0" w:space="0" w:color="auto"/>
      </w:divBdr>
    </w:div>
    <w:div w:id="300382165">
      <w:bodyDiv w:val="1"/>
      <w:marLeft w:val="0"/>
      <w:marRight w:val="0"/>
      <w:marTop w:val="0"/>
      <w:marBottom w:val="0"/>
      <w:divBdr>
        <w:top w:val="none" w:sz="0" w:space="0" w:color="auto"/>
        <w:left w:val="none" w:sz="0" w:space="0" w:color="auto"/>
        <w:bottom w:val="none" w:sz="0" w:space="0" w:color="auto"/>
        <w:right w:val="none" w:sz="0" w:space="0" w:color="auto"/>
      </w:divBdr>
    </w:div>
    <w:div w:id="304357934">
      <w:bodyDiv w:val="1"/>
      <w:marLeft w:val="0"/>
      <w:marRight w:val="0"/>
      <w:marTop w:val="0"/>
      <w:marBottom w:val="0"/>
      <w:divBdr>
        <w:top w:val="none" w:sz="0" w:space="0" w:color="auto"/>
        <w:left w:val="none" w:sz="0" w:space="0" w:color="auto"/>
        <w:bottom w:val="none" w:sz="0" w:space="0" w:color="auto"/>
        <w:right w:val="none" w:sz="0" w:space="0" w:color="auto"/>
      </w:divBdr>
    </w:div>
    <w:div w:id="328682339">
      <w:bodyDiv w:val="1"/>
      <w:marLeft w:val="0"/>
      <w:marRight w:val="0"/>
      <w:marTop w:val="0"/>
      <w:marBottom w:val="0"/>
      <w:divBdr>
        <w:top w:val="none" w:sz="0" w:space="0" w:color="auto"/>
        <w:left w:val="none" w:sz="0" w:space="0" w:color="auto"/>
        <w:bottom w:val="none" w:sz="0" w:space="0" w:color="auto"/>
        <w:right w:val="none" w:sz="0" w:space="0" w:color="auto"/>
      </w:divBdr>
    </w:div>
    <w:div w:id="334723204">
      <w:bodyDiv w:val="1"/>
      <w:marLeft w:val="0"/>
      <w:marRight w:val="0"/>
      <w:marTop w:val="0"/>
      <w:marBottom w:val="0"/>
      <w:divBdr>
        <w:top w:val="none" w:sz="0" w:space="0" w:color="auto"/>
        <w:left w:val="none" w:sz="0" w:space="0" w:color="auto"/>
        <w:bottom w:val="none" w:sz="0" w:space="0" w:color="auto"/>
        <w:right w:val="none" w:sz="0" w:space="0" w:color="auto"/>
      </w:divBdr>
    </w:div>
    <w:div w:id="356004987">
      <w:bodyDiv w:val="1"/>
      <w:marLeft w:val="0"/>
      <w:marRight w:val="0"/>
      <w:marTop w:val="0"/>
      <w:marBottom w:val="0"/>
      <w:divBdr>
        <w:top w:val="none" w:sz="0" w:space="0" w:color="auto"/>
        <w:left w:val="none" w:sz="0" w:space="0" w:color="auto"/>
        <w:bottom w:val="none" w:sz="0" w:space="0" w:color="auto"/>
        <w:right w:val="none" w:sz="0" w:space="0" w:color="auto"/>
      </w:divBdr>
    </w:div>
    <w:div w:id="356781486">
      <w:bodyDiv w:val="1"/>
      <w:marLeft w:val="0"/>
      <w:marRight w:val="0"/>
      <w:marTop w:val="0"/>
      <w:marBottom w:val="0"/>
      <w:divBdr>
        <w:top w:val="none" w:sz="0" w:space="0" w:color="auto"/>
        <w:left w:val="none" w:sz="0" w:space="0" w:color="auto"/>
        <w:bottom w:val="none" w:sz="0" w:space="0" w:color="auto"/>
        <w:right w:val="none" w:sz="0" w:space="0" w:color="auto"/>
      </w:divBdr>
    </w:div>
    <w:div w:id="372777067">
      <w:bodyDiv w:val="1"/>
      <w:marLeft w:val="0"/>
      <w:marRight w:val="0"/>
      <w:marTop w:val="0"/>
      <w:marBottom w:val="0"/>
      <w:divBdr>
        <w:top w:val="none" w:sz="0" w:space="0" w:color="auto"/>
        <w:left w:val="none" w:sz="0" w:space="0" w:color="auto"/>
        <w:bottom w:val="none" w:sz="0" w:space="0" w:color="auto"/>
        <w:right w:val="none" w:sz="0" w:space="0" w:color="auto"/>
      </w:divBdr>
    </w:div>
    <w:div w:id="373039976">
      <w:bodyDiv w:val="1"/>
      <w:marLeft w:val="0"/>
      <w:marRight w:val="0"/>
      <w:marTop w:val="0"/>
      <w:marBottom w:val="0"/>
      <w:divBdr>
        <w:top w:val="none" w:sz="0" w:space="0" w:color="auto"/>
        <w:left w:val="none" w:sz="0" w:space="0" w:color="auto"/>
        <w:bottom w:val="none" w:sz="0" w:space="0" w:color="auto"/>
        <w:right w:val="none" w:sz="0" w:space="0" w:color="auto"/>
      </w:divBdr>
    </w:div>
    <w:div w:id="381559743">
      <w:bodyDiv w:val="1"/>
      <w:marLeft w:val="0"/>
      <w:marRight w:val="0"/>
      <w:marTop w:val="0"/>
      <w:marBottom w:val="0"/>
      <w:divBdr>
        <w:top w:val="none" w:sz="0" w:space="0" w:color="auto"/>
        <w:left w:val="none" w:sz="0" w:space="0" w:color="auto"/>
        <w:bottom w:val="none" w:sz="0" w:space="0" w:color="auto"/>
        <w:right w:val="none" w:sz="0" w:space="0" w:color="auto"/>
      </w:divBdr>
    </w:div>
    <w:div w:id="398208392">
      <w:bodyDiv w:val="1"/>
      <w:marLeft w:val="0"/>
      <w:marRight w:val="0"/>
      <w:marTop w:val="0"/>
      <w:marBottom w:val="0"/>
      <w:divBdr>
        <w:top w:val="none" w:sz="0" w:space="0" w:color="auto"/>
        <w:left w:val="none" w:sz="0" w:space="0" w:color="auto"/>
        <w:bottom w:val="none" w:sz="0" w:space="0" w:color="auto"/>
        <w:right w:val="none" w:sz="0" w:space="0" w:color="auto"/>
      </w:divBdr>
    </w:div>
    <w:div w:id="399015419">
      <w:bodyDiv w:val="1"/>
      <w:marLeft w:val="0"/>
      <w:marRight w:val="0"/>
      <w:marTop w:val="0"/>
      <w:marBottom w:val="0"/>
      <w:divBdr>
        <w:top w:val="none" w:sz="0" w:space="0" w:color="auto"/>
        <w:left w:val="none" w:sz="0" w:space="0" w:color="auto"/>
        <w:bottom w:val="none" w:sz="0" w:space="0" w:color="auto"/>
        <w:right w:val="none" w:sz="0" w:space="0" w:color="auto"/>
      </w:divBdr>
    </w:div>
    <w:div w:id="407730346">
      <w:bodyDiv w:val="1"/>
      <w:marLeft w:val="0"/>
      <w:marRight w:val="0"/>
      <w:marTop w:val="0"/>
      <w:marBottom w:val="0"/>
      <w:divBdr>
        <w:top w:val="none" w:sz="0" w:space="0" w:color="auto"/>
        <w:left w:val="none" w:sz="0" w:space="0" w:color="auto"/>
        <w:bottom w:val="none" w:sz="0" w:space="0" w:color="auto"/>
        <w:right w:val="none" w:sz="0" w:space="0" w:color="auto"/>
      </w:divBdr>
    </w:div>
    <w:div w:id="433478156">
      <w:bodyDiv w:val="1"/>
      <w:marLeft w:val="0"/>
      <w:marRight w:val="0"/>
      <w:marTop w:val="0"/>
      <w:marBottom w:val="0"/>
      <w:divBdr>
        <w:top w:val="none" w:sz="0" w:space="0" w:color="auto"/>
        <w:left w:val="none" w:sz="0" w:space="0" w:color="auto"/>
        <w:bottom w:val="none" w:sz="0" w:space="0" w:color="auto"/>
        <w:right w:val="none" w:sz="0" w:space="0" w:color="auto"/>
      </w:divBdr>
    </w:div>
    <w:div w:id="447359214">
      <w:bodyDiv w:val="1"/>
      <w:marLeft w:val="0"/>
      <w:marRight w:val="0"/>
      <w:marTop w:val="0"/>
      <w:marBottom w:val="0"/>
      <w:divBdr>
        <w:top w:val="none" w:sz="0" w:space="0" w:color="auto"/>
        <w:left w:val="none" w:sz="0" w:space="0" w:color="auto"/>
        <w:bottom w:val="none" w:sz="0" w:space="0" w:color="auto"/>
        <w:right w:val="none" w:sz="0" w:space="0" w:color="auto"/>
      </w:divBdr>
    </w:div>
    <w:div w:id="456069550">
      <w:bodyDiv w:val="1"/>
      <w:marLeft w:val="0"/>
      <w:marRight w:val="0"/>
      <w:marTop w:val="0"/>
      <w:marBottom w:val="0"/>
      <w:divBdr>
        <w:top w:val="none" w:sz="0" w:space="0" w:color="auto"/>
        <w:left w:val="none" w:sz="0" w:space="0" w:color="auto"/>
        <w:bottom w:val="none" w:sz="0" w:space="0" w:color="auto"/>
        <w:right w:val="none" w:sz="0" w:space="0" w:color="auto"/>
      </w:divBdr>
    </w:div>
    <w:div w:id="456142961">
      <w:bodyDiv w:val="1"/>
      <w:marLeft w:val="0"/>
      <w:marRight w:val="0"/>
      <w:marTop w:val="0"/>
      <w:marBottom w:val="0"/>
      <w:divBdr>
        <w:top w:val="none" w:sz="0" w:space="0" w:color="auto"/>
        <w:left w:val="none" w:sz="0" w:space="0" w:color="auto"/>
        <w:bottom w:val="none" w:sz="0" w:space="0" w:color="auto"/>
        <w:right w:val="none" w:sz="0" w:space="0" w:color="auto"/>
      </w:divBdr>
    </w:div>
    <w:div w:id="498276274">
      <w:bodyDiv w:val="1"/>
      <w:marLeft w:val="0"/>
      <w:marRight w:val="0"/>
      <w:marTop w:val="0"/>
      <w:marBottom w:val="0"/>
      <w:divBdr>
        <w:top w:val="none" w:sz="0" w:space="0" w:color="auto"/>
        <w:left w:val="none" w:sz="0" w:space="0" w:color="auto"/>
        <w:bottom w:val="none" w:sz="0" w:space="0" w:color="auto"/>
        <w:right w:val="none" w:sz="0" w:space="0" w:color="auto"/>
      </w:divBdr>
    </w:div>
    <w:div w:id="510069949">
      <w:bodyDiv w:val="1"/>
      <w:marLeft w:val="0"/>
      <w:marRight w:val="0"/>
      <w:marTop w:val="0"/>
      <w:marBottom w:val="0"/>
      <w:divBdr>
        <w:top w:val="none" w:sz="0" w:space="0" w:color="auto"/>
        <w:left w:val="none" w:sz="0" w:space="0" w:color="auto"/>
        <w:bottom w:val="none" w:sz="0" w:space="0" w:color="auto"/>
        <w:right w:val="none" w:sz="0" w:space="0" w:color="auto"/>
      </w:divBdr>
    </w:div>
    <w:div w:id="542135535">
      <w:bodyDiv w:val="1"/>
      <w:marLeft w:val="0"/>
      <w:marRight w:val="0"/>
      <w:marTop w:val="0"/>
      <w:marBottom w:val="0"/>
      <w:divBdr>
        <w:top w:val="none" w:sz="0" w:space="0" w:color="auto"/>
        <w:left w:val="none" w:sz="0" w:space="0" w:color="auto"/>
        <w:bottom w:val="none" w:sz="0" w:space="0" w:color="auto"/>
        <w:right w:val="none" w:sz="0" w:space="0" w:color="auto"/>
      </w:divBdr>
    </w:div>
    <w:div w:id="550962454">
      <w:bodyDiv w:val="1"/>
      <w:marLeft w:val="0"/>
      <w:marRight w:val="0"/>
      <w:marTop w:val="0"/>
      <w:marBottom w:val="0"/>
      <w:divBdr>
        <w:top w:val="none" w:sz="0" w:space="0" w:color="auto"/>
        <w:left w:val="none" w:sz="0" w:space="0" w:color="auto"/>
        <w:bottom w:val="none" w:sz="0" w:space="0" w:color="auto"/>
        <w:right w:val="none" w:sz="0" w:space="0" w:color="auto"/>
      </w:divBdr>
    </w:div>
    <w:div w:id="554661756">
      <w:bodyDiv w:val="1"/>
      <w:marLeft w:val="0"/>
      <w:marRight w:val="0"/>
      <w:marTop w:val="0"/>
      <w:marBottom w:val="0"/>
      <w:divBdr>
        <w:top w:val="none" w:sz="0" w:space="0" w:color="auto"/>
        <w:left w:val="none" w:sz="0" w:space="0" w:color="auto"/>
        <w:bottom w:val="none" w:sz="0" w:space="0" w:color="auto"/>
        <w:right w:val="none" w:sz="0" w:space="0" w:color="auto"/>
      </w:divBdr>
    </w:div>
    <w:div w:id="627860326">
      <w:bodyDiv w:val="1"/>
      <w:marLeft w:val="0"/>
      <w:marRight w:val="0"/>
      <w:marTop w:val="0"/>
      <w:marBottom w:val="0"/>
      <w:divBdr>
        <w:top w:val="none" w:sz="0" w:space="0" w:color="auto"/>
        <w:left w:val="none" w:sz="0" w:space="0" w:color="auto"/>
        <w:bottom w:val="none" w:sz="0" w:space="0" w:color="auto"/>
        <w:right w:val="none" w:sz="0" w:space="0" w:color="auto"/>
      </w:divBdr>
    </w:div>
    <w:div w:id="658004603">
      <w:bodyDiv w:val="1"/>
      <w:marLeft w:val="0"/>
      <w:marRight w:val="0"/>
      <w:marTop w:val="0"/>
      <w:marBottom w:val="0"/>
      <w:divBdr>
        <w:top w:val="none" w:sz="0" w:space="0" w:color="auto"/>
        <w:left w:val="none" w:sz="0" w:space="0" w:color="auto"/>
        <w:bottom w:val="none" w:sz="0" w:space="0" w:color="auto"/>
        <w:right w:val="none" w:sz="0" w:space="0" w:color="auto"/>
      </w:divBdr>
    </w:div>
    <w:div w:id="679771075">
      <w:bodyDiv w:val="1"/>
      <w:marLeft w:val="0"/>
      <w:marRight w:val="0"/>
      <w:marTop w:val="0"/>
      <w:marBottom w:val="0"/>
      <w:divBdr>
        <w:top w:val="none" w:sz="0" w:space="0" w:color="auto"/>
        <w:left w:val="none" w:sz="0" w:space="0" w:color="auto"/>
        <w:bottom w:val="none" w:sz="0" w:space="0" w:color="auto"/>
        <w:right w:val="none" w:sz="0" w:space="0" w:color="auto"/>
      </w:divBdr>
    </w:div>
    <w:div w:id="712316641">
      <w:bodyDiv w:val="1"/>
      <w:marLeft w:val="0"/>
      <w:marRight w:val="0"/>
      <w:marTop w:val="0"/>
      <w:marBottom w:val="0"/>
      <w:divBdr>
        <w:top w:val="none" w:sz="0" w:space="0" w:color="auto"/>
        <w:left w:val="none" w:sz="0" w:space="0" w:color="auto"/>
        <w:bottom w:val="none" w:sz="0" w:space="0" w:color="auto"/>
        <w:right w:val="none" w:sz="0" w:space="0" w:color="auto"/>
      </w:divBdr>
    </w:div>
    <w:div w:id="734594543">
      <w:bodyDiv w:val="1"/>
      <w:marLeft w:val="0"/>
      <w:marRight w:val="0"/>
      <w:marTop w:val="0"/>
      <w:marBottom w:val="0"/>
      <w:divBdr>
        <w:top w:val="none" w:sz="0" w:space="0" w:color="auto"/>
        <w:left w:val="none" w:sz="0" w:space="0" w:color="auto"/>
        <w:bottom w:val="none" w:sz="0" w:space="0" w:color="auto"/>
        <w:right w:val="none" w:sz="0" w:space="0" w:color="auto"/>
      </w:divBdr>
    </w:div>
    <w:div w:id="782071468">
      <w:bodyDiv w:val="1"/>
      <w:marLeft w:val="0"/>
      <w:marRight w:val="0"/>
      <w:marTop w:val="0"/>
      <w:marBottom w:val="0"/>
      <w:divBdr>
        <w:top w:val="none" w:sz="0" w:space="0" w:color="auto"/>
        <w:left w:val="none" w:sz="0" w:space="0" w:color="auto"/>
        <w:bottom w:val="none" w:sz="0" w:space="0" w:color="auto"/>
        <w:right w:val="none" w:sz="0" w:space="0" w:color="auto"/>
      </w:divBdr>
    </w:div>
    <w:div w:id="797531311">
      <w:bodyDiv w:val="1"/>
      <w:marLeft w:val="0"/>
      <w:marRight w:val="0"/>
      <w:marTop w:val="0"/>
      <w:marBottom w:val="0"/>
      <w:divBdr>
        <w:top w:val="none" w:sz="0" w:space="0" w:color="auto"/>
        <w:left w:val="none" w:sz="0" w:space="0" w:color="auto"/>
        <w:bottom w:val="none" w:sz="0" w:space="0" w:color="auto"/>
        <w:right w:val="none" w:sz="0" w:space="0" w:color="auto"/>
      </w:divBdr>
    </w:div>
    <w:div w:id="800654298">
      <w:bodyDiv w:val="1"/>
      <w:marLeft w:val="0"/>
      <w:marRight w:val="0"/>
      <w:marTop w:val="0"/>
      <w:marBottom w:val="0"/>
      <w:divBdr>
        <w:top w:val="none" w:sz="0" w:space="0" w:color="auto"/>
        <w:left w:val="none" w:sz="0" w:space="0" w:color="auto"/>
        <w:bottom w:val="none" w:sz="0" w:space="0" w:color="auto"/>
        <w:right w:val="none" w:sz="0" w:space="0" w:color="auto"/>
      </w:divBdr>
    </w:div>
    <w:div w:id="843400552">
      <w:bodyDiv w:val="1"/>
      <w:marLeft w:val="0"/>
      <w:marRight w:val="0"/>
      <w:marTop w:val="0"/>
      <w:marBottom w:val="0"/>
      <w:divBdr>
        <w:top w:val="none" w:sz="0" w:space="0" w:color="auto"/>
        <w:left w:val="none" w:sz="0" w:space="0" w:color="auto"/>
        <w:bottom w:val="none" w:sz="0" w:space="0" w:color="auto"/>
        <w:right w:val="none" w:sz="0" w:space="0" w:color="auto"/>
      </w:divBdr>
    </w:div>
    <w:div w:id="862282474">
      <w:bodyDiv w:val="1"/>
      <w:marLeft w:val="0"/>
      <w:marRight w:val="0"/>
      <w:marTop w:val="0"/>
      <w:marBottom w:val="0"/>
      <w:divBdr>
        <w:top w:val="none" w:sz="0" w:space="0" w:color="auto"/>
        <w:left w:val="none" w:sz="0" w:space="0" w:color="auto"/>
        <w:bottom w:val="none" w:sz="0" w:space="0" w:color="auto"/>
        <w:right w:val="none" w:sz="0" w:space="0" w:color="auto"/>
      </w:divBdr>
    </w:div>
    <w:div w:id="864710587">
      <w:bodyDiv w:val="1"/>
      <w:marLeft w:val="0"/>
      <w:marRight w:val="0"/>
      <w:marTop w:val="0"/>
      <w:marBottom w:val="0"/>
      <w:divBdr>
        <w:top w:val="none" w:sz="0" w:space="0" w:color="auto"/>
        <w:left w:val="none" w:sz="0" w:space="0" w:color="auto"/>
        <w:bottom w:val="none" w:sz="0" w:space="0" w:color="auto"/>
        <w:right w:val="none" w:sz="0" w:space="0" w:color="auto"/>
      </w:divBdr>
    </w:div>
    <w:div w:id="886138242">
      <w:bodyDiv w:val="1"/>
      <w:marLeft w:val="0"/>
      <w:marRight w:val="0"/>
      <w:marTop w:val="0"/>
      <w:marBottom w:val="0"/>
      <w:divBdr>
        <w:top w:val="none" w:sz="0" w:space="0" w:color="auto"/>
        <w:left w:val="none" w:sz="0" w:space="0" w:color="auto"/>
        <w:bottom w:val="none" w:sz="0" w:space="0" w:color="auto"/>
        <w:right w:val="none" w:sz="0" w:space="0" w:color="auto"/>
      </w:divBdr>
    </w:div>
    <w:div w:id="893739389">
      <w:bodyDiv w:val="1"/>
      <w:marLeft w:val="0"/>
      <w:marRight w:val="0"/>
      <w:marTop w:val="0"/>
      <w:marBottom w:val="0"/>
      <w:divBdr>
        <w:top w:val="none" w:sz="0" w:space="0" w:color="auto"/>
        <w:left w:val="none" w:sz="0" w:space="0" w:color="auto"/>
        <w:bottom w:val="none" w:sz="0" w:space="0" w:color="auto"/>
        <w:right w:val="none" w:sz="0" w:space="0" w:color="auto"/>
      </w:divBdr>
    </w:div>
    <w:div w:id="905452674">
      <w:bodyDiv w:val="1"/>
      <w:marLeft w:val="0"/>
      <w:marRight w:val="0"/>
      <w:marTop w:val="0"/>
      <w:marBottom w:val="0"/>
      <w:divBdr>
        <w:top w:val="none" w:sz="0" w:space="0" w:color="auto"/>
        <w:left w:val="none" w:sz="0" w:space="0" w:color="auto"/>
        <w:bottom w:val="none" w:sz="0" w:space="0" w:color="auto"/>
        <w:right w:val="none" w:sz="0" w:space="0" w:color="auto"/>
      </w:divBdr>
    </w:div>
    <w:div w:id="910117222">
      <w:bodyDiv w:val="1"/>
      <w:marLeft w:val="0"/>
      <w:marRight w:val="0"/>
      <w:marTop w:val="0"/>
      <w:marBottom w:val="0"/>
      <w:divBdr>
        <w:top w:val="none" w:sz="0" w:space="0" w:color="auto"/>
        <w:left w:val="none" w:sz="0" w:space="0" w:color="auto"/>
        <w:bottom w:val="none" w:sz="0" w:space="0" w:color="auto"/>
        <w:right w:val="none" w:sz="0" w:space="0" w:color="auto"/>
      </w:divBdr>
    </w:div>
    <w:div w:id="929772582">
      <w:bodyDiv w:val="1"/>
      <w:marLeft w:val="0"/>
      <w:marRight w:val="0"/>
      <w:marTop w:val="0"/>
      <w:marBottom w:val="0"/>
      <w:divBdr>
        <w:top w:val="none" w:sz="0" w:space="0" w:color="auto"/>
        <w:left w:val="none" w:sz="0" w:space="0" w:color="auto"/>
        <w:bottom w:val="none" w:sz="0" w:space="0" w:color="auto"/>
        <w:right w:val="none" w:sz="0" w:space="0" w:color="auto"/>
      </w:divBdr>
    </w:div>
    <w:div w:id="935945481">
      <w:bodyDiv w:val="1"/>
      <w:marLeft w:val="0"/>
      <w:marRight w:val="0"/>
      <w:marTop w:val="0"/>
      <w:marBottom w:val="0"/>
      <w:divBdr>
        <w:top w:val="none" w:sz="0" w:space="0" w:color="auto"/>
        <w:left w:val="none" w:sz="0" w:space="0" w:color="auto"/>
        <w:bottom w:val="none" w:sz="0" w:space="0" w:color="auto"/>
        <w:right w:val="none" w:sz="0" w:space="0" w:color="auto"/>
      </w:divBdr>
    </w:div>
    <w:div w:id="942761595">
      <w:bodyDiv w:val="1"/>
      <w:marLeft w:val="0"/>
      <w:marRight w:val="0"/>
      <w:marTop w:val="0"/>
      <w:marBottom w:val="0"/>
      <w:divBdr>
        <w:top w:val="none" w:sz="0" w:space="0" w:color="auto"/>
        <w:left w:val="none" w:sz="0" w:space="0" w:color="auto"/>
        <w:bottom w:val="none" w:sz="0" w:space="0" w:color="auto"/>
        <w:right w:val="none" w:sz="0" w:space="0" w:color="auto"/>
      </w:divBdr>
    </w:div>
    <w:div w:id="952439354">
      <w:bodyDiv w:val="1"/>
      <w:marLeft w:val="0"/>
      <w:marRight w:val="0"/>
      <w:marTop w:val="0"/>
      <w:marBottom w:val="0"/>
      <w:divBdr>
        <w:top w:val="none" w:sz="0" w:space="0" w:color="auto"/>
        <w:left w:val="none" w:sz="0" w:space="0" w:color="auto"/>
        <w:bottom w:val="none" w:sz="0" w:space="0" w:color="auto"/>
        <w:right w:val="none" w:sz="0" w:space="0" w:color="auto"/>
      </w:divBdr>
    </w:div>
    <w:div w:id="952593094">
      <w:bodyDiv w:val="1"/>
      <w:marLeft w:val="0"/>
      <w:marRight w:val="0"/>
      <w:marTop w:val="0"/>
      <w:marBottom w:val="0"/>
      <w:divBdr>
        <w:top w:val="none" w:sz="0" w:space="0" w:color="auto"/>
        <w:left w:val="none" w:sz="0" w:space="0" w:color="auto"/>
        <w:bottom w:val="none" w:sz="0" w:space="0" w:color="auto"/>
        <w:right w:val="none" w:sz="0" w:space="0" w:color="auto"/>
      </w:divBdr>
    </w:div>
    <w:div w:id="977104376">
      <w:bodyDiv w:val="1"/>
      <w:marLeft w:val="0"/>
      <w:marRight w:val="0"/>
      <w:marTop w:val="0"/>
      <w:marBottom w:val="0"/>
      <w:divBdr>
        <w:top w:val="none" w:sz="0" w:space="0" w:color="auto"/>
        <w:left w:val="none" w:sz="0" w:space="0" w:color="auto"/>
        <w:bottom w:val="none" w:sz="0" w:space="0" w:color="auto"/>
        <w:right w:val="none" w:sz="0" w:space="0" w:color="auto"/>
      </w:divBdr>
    </w:div>
    <w:div w:id="996572314">
      <w:bodyDiv w:val="1"/>
      <w:marLeft w:val="0"/>
      <w:marRight w:val="0"/>
      <w:marTop w:val="0"/>
      <w:marBottom w:val="0"/>
      <w:divBdr>
        <w:top w:val="none" w:sz="0" w:space="0" w:color="auto"/>
        <w:left w:val="none" w:sz="0" w:space="0" w:color="auto"/>
        <w:bottom w:val="none" w:sz="0" w:space="0" w:color="auto"/>
        <w:right w:val="none" w:sz="0" w:space="0" w:color="auto"/>
      </w:divBdr>
    </w:div>
    <w:div w:id="1014921216">
      <w:bodyDiv w:val="1"/>
      <w:marLeft w:val="0"/>
      <w:marRight w:val="0"/>
      <w:marTop w:val="0"/>
      <w:marBottom w:val="0"/>
      <w:divBdr>
        <w:top w:val="none" w:sz="0" w:space="0" w:color="auto"/>
        <w:left w:val="none" w:sz="0" w:space="0" w:color="auto"/>
        <w:bottom w:val="none" w:sz="0" w:space="0" w:color="auto"/>
        <w:right w:val="none" w:sz="0" w:space="0" w:color="auto"/>
      </w:divBdr>
    </w:div>
    <w:div w:id="1022779625">
      <w:bodyDiv w:val="1"/>
      <w:marLeft w:val="0"/>
      <w:marRight w:val="0"/>
      <w:marTop w:val="0"/>
      <w:marBottom w:val="0"/>
      <w:divBdr>
        <w:top w:val="none" w:sz="0" w:space="0" w:color="auto"/>
        <w:left w:val="none" w:sz="0" w:space="0" w:color="auto"/>
        <w:bottom w:val="none" w:sz="0" w:space="0" w:color="auto"/>
        <w:right w:val="none" w:sz="0" w:space="0" w:color="auto"/>
      </w:divBdr>
    </w:div>
    <w:div w:id="1050957176">
      <w:bodyDiv w:val="1"/>
      <w:marLeft w:val="0"/>
      <w:marRight w:val="0"/>
      <w:marTop w:val="0"/>
      <w:marBottom w:val="0"/>
      <w:divBdr>
        <w:top w:val="none" w:sz="0" w:space="0" w:color="auto"/>
        <w:left w:val="none" w:sz="0" w:space="0" w:color="auto"/>
        <w:bottom w:val="none" w:sz="0" w:space="0" w:color="auto"/>
        <w:right w:val="none" w:sz="0" w:space="0" w:color="auto"/>
      </w:divBdr>
    </w:div>
    <w:div w:id="1051422736">
      <w:bodyDiv w:val="1"/>
      <w:marLeft w:val="0"/>
      <w:marRight w:val="0"/>
      <w:marTop w:val="0"/>
      <w:marBottom w:val="0"/>
      <w:divBdr>
        <w:top w:val="none" w:sz="0" w:space="0" w:color="auto"/>
        <w:left w:val="none" w:sz="0" w:space="0" w:color="auto"/>
        <w:bottom w:val="none" w:sz="0" w:space="0" w:color="auto"/>
        <w:right w:val="none" w:sz="0" w:space="0" w:color="auto"/>
      </w:divBdr>
    </w:div>
    <w:div w:id="1075400692">
      <w:bodyDiv w:val="1"/>
      <w:marLeft w:val="0"/>
      <w:marRight w:val="0"/>
      <w:marTop w:val="0"/>
      <w:marBottom w:val="0"/>
      <w:divBdr>
        <w:top w:val="none" w:sz="0" w:space="0" w:color="auto"/>
        <w:left w:val="none" w:sz="0" w:space="0" w:color="auto"/>
        <w:bottom w:val="none" w:sz="0" w:space="0" w:color="auto"/>
        <w:right w:val="none" w:sz="0" w:space="0" w:color="auto"/>
      </w:divBdr>
    </w:div>
    <w:div w:id="1094781780">
      <w:bodyDiv w:val="1"/>
      <w:marLeft w:val="0"/>
      <w:marRight w:val="0"/>
      <w:marTop w:val="0"/>
      <w:marBottom w:val="0"/>
      <w:divBdr>
        <w:top w:val="none" w:sz="0" w:space="0" w:color="auto"/>
        <w:left w:val="none" w:sz="0" w:space="0" w:color="auto"/>
        <w:bottom w:val="none" w:sz="0" w:space="0" w:color="auto"/>
        <w:right w:val="none" w:sz="0" w:space="0" w:color="auto"/>
      </w:divBdr>
    </w:div>
    <w:div w:id="1097873572">
      <w:bodyDiv w:val="1"/>
      <w:marLeft w:val="0"/>
      <w:marRight w:val="0"/>
      <w:marTop w:val="0"/>
      <w:marBottom w:val="0"/>
      <w:divBdr>
        <w:top w:val="none" w:sz="0" w:space="0" w:color="auto"/>
        <w:left w:val="none" w:sz="0" w:space="0" w:color="auto"/>
        <w:bottom w:val="none" w:sz="0" w:space="0" w:color="auto"/>
        <w:right w:val="none" w:sz="0" w:space="0" w:color="auto"/>
      </w:divBdr>
    </w:div>
    <w:div w:id="1107702082">
      <w:bodyDiv w:val="1"/>
      <w:marLeft w:val="0"/>
      <w:marRight w:val="0"/>
      <w:marTop w:val="0"/>
      <w:marBottom w:val="0"/>
      <w:divBdr>
        <w:top w:val="none" w:sz="0" w:space="0" w:color="auto"/>
        <w:left w:val="none" w:sz="0" w:space="0" w:color="auto"/>
        <w:bottom w:val="none" w:sz="0" w:space="0" w:color="auto"/>
        <w:right w:val="none" w:sz="0" w:space="0" w:color="auto"/>
      </w:divBdr>
    </w:div>
    <w:div w:id="1115292928">
      <w:bodyDiv w:val="1"/>
      <w:marLeft w:val="0"/>
      <w:marRight w:val="0"/>
      <w:marTop w:val="0"/>
      <w:marBottom w:val="0"/>
      <w:divBdr>
        <w:top w:val="none" w:sz="0" w:space="0" w:color="auto"/>
        <w:left w:val="none" w:sz="0" w:space="0" w:color="auto"/>
        <w:bottom w:val="none" w:sz="0" w:space="0" w:color="auto"/>
        <w:right w:val="none" w:sz="0" w:space="0" w:color="auto"/>
      </w:divBdr>
    </w:div>
    <w:div w:id="1126392885">
      <w:bodyDiv w:val="1"/>
      <w:marLeft w:val="0"/>
      <w:marRight w:val="0"/>
      <w:marTop w:val="0"/>
      <w:marBottom w:val="0"/>
      <w:divBdr>
        <w:top w:val="none" w:sz="0" w:space="0" w:color="auto"/>
        <w:left w:val="none" w:sz="0" w:space="0" w:color="auto"/>
        <w:bottom w:val="none" w:sz="0" w:space="0" w:color="auto"/>
        <w:right w:val="none" w:sz="0" w:space="0" w:color="auto"/>
      </w:divBdr>
    </w:div>
    <w:div w:id="1133056068">
      <w:bodyDiv w:val="1"/>
      <w:marLeft w:val="0"/>
      <w:marRight w:val="0"/>
      <w:marTop w:val="0"/>
      <w:marBottom w:val="0"/>
      <w:divBdr>
        <w:top w:val="none" w:sz="0" w:space="0" w:color="auto"/>
        <w:left w:val="none" w:sz="0" w:space="0" w:color="auto"/>
        <w:bottom w:val="none" w:sz="0" w:space="0" w:color="auto"/>
        <w:right w:val="none" w:sz="0" w:space="0" w:color="auto"/>
      </w:divBdr>
    </w:div>
    <w:div w:id="1147552612">
      <w:bodyDiv w:val="1"/>
      <w:marLeft w:val="0"/>
      <w:marRight w:val="0"/>
      <w:marTop w:val="0"/>
      <w:marBottom w:val="0"/>
      <w:divBdr>
        <w:top w:val="none" w:sz="0" w:space="0" w:color="auto"/>
        <w:left w:val="none" w:sz="0" w:space="0" w:color="auto"/>
        <w:bottom w:val="none" w:sz="0" w:space="0" w:color="auto"/>
        <w:right w:val="none" w:sz="0" w:space="0" w:color="auto"/>
      </w:divBdr>
    </w:div>
    <w:div w:id="1216116820">
      <w:bodyDiv w:val="1"/>
      <w:marLeft w:val="0"/>
      <w:marRight w:val="0"/>
      <w:marTop w:val="0"/>
      <w:marBottom w:val="0"/>
      <w:divBdr>
        <w:top w:val="none" w:sz="0" w:space="0" w:color="auto"/>
        <w:left w:val="none" w:sz="0" w:space="0" w:color="auto"/>
        <w:bottom w:val="none" w:sz="0" w:space="0" w:color="auto"/>
        <w:right w:val="none" w:sz="0" w:space="0" w:color="auto"/>
      </w:divBdr>
    </w:div>
    <w:div w:id="1235696918">
      <w:bodyDiv w:val="1"/>
      <w:marLeft w:val="0"/>
      <w:marRight w:val="0"/>
      <w:marTop w:val="0"/>
      <w:marBottom w:val="0"/>
      <w:divBdr>
        <w:top w:val="none" w:sz="0" w:space="0" w:color="auto"/>
        <w:left w:val="none" w:sz="0" w:space="0" w:color="auto"/>
        <w:bottom w:val="none" w:sz="0" w:space="0" w:color="auto"/>
        <w:right w:val="none" w:sz="0" w:space="0" w:color="auto"/>
      </w:divBdr>
    </w:div>
    <w:div w:id="1257591656">
      <w:bodyDiv w:val="1"/>
      <w:marLeft w:val="0"/>
      <w:marRight w:val="0"/>
      <w:marTop w:val="0"/>
      <w:marBottom w:val="0"/>
      <w:divBdr>
        <w:top w:val="none" w:sz="0" w:space="0" w:color="auto"/>
        <w:left w:val="none" w:sz="0" w:space="0" w:color="auto"/>
        <w:bottom w:val="none" w:sz="0" w:space="0" w:color="auto"/>
        <w:right w:val="none" w:sz="0" w:space="0" w:color="auto"/>
      </w:divBdr>
    </w:div>
    <w:div w:id="1260138488">
      <w:bodyDiv w:val="1"/>
      <w:marLeft w:val="0"/>
      <w:marRight w:val="0"/>
      <w:marTop w:val="0"/>
      <w:marBottom w:val="0"/>
      <w:divBdr>
        <w:top w:val="none" w:sz="0" w:space="0" w:color="auto"/>
        <w:left w:val="none" w:sz="0" w:space="0" w:color="auto"/>
        <w:bottom w:val="none" w:sz="0" w:space="0" w:color="auto"/>
        <w:right w:val="none" w:sz="0" w:space="0" w:color="auto"/>
      </w:divBdr>
    </w:div>
    <w:div w:id="1263681486">
      <w:bodyDiv w:val="1"/>
      <w:marLeft w:val="0"/>
      <w:marRight w:val="0"/>
      <w:marTop w:val="0"/>
      <w:marBottom w:val="0"/>
      <w:divBdr>
        <w:top w:val="none" w:sz="0" w:space="0" w:color="auto"/>
        <w:left w:val="none" w:sz="0" w:space="0" w:color="auto"/>
        <w:bottom w:val="none" w:sz="0" w:space="0" w:color="auto"/>
        <w:right w:val="none" w:sz="0" w:space="0" w:color="auto"/>
      </w:divBdr>
    </w:div>
    <w:div w:id="1289169626">
      <w:bodyDiv w:val="1"/>
      <w:marLeft w:val="0"/>
      <w:marRight w:val="0"/>
      <w:marTop w:val="0"/>
      <w:marBottom w:val="0"/>
      <w:divBdr>
        <w:top w:val="none" w:sz="0" w:space="0" w:color="auto"/>
        <w:left w:val="none" w:sz="0" w:space="0" w:color="auto"/>
        <w:bottom w:val="none" w:sz="0" w:space="0" w:color="auto"/>
        <w:right w:val="none" w:sz="0" w:space="0" w:color="auto"/>
      </w:divBdr>
    </w:div>
    <w:div w:id="1307978741">
      <w:bodyDiv w:val="1"/>
      <w:marLeft w:val="0"/>
      <w:marRight w:val="0"/>
      <w:marTop w:val="0"/>
      <w:marBottom w:val="0"/>
      <w:divBdr>
        <w:top w:val="none" w:sz="0" w:space="0" w:color="auto"/>
        <w:left w:val="none" w:sz="0" w:space="0" w:color="auto"/>
        <w:bottom w:val="none" w:sz="0" w:space="0" w:color="auto"/>
        <w:right w:val="none" w:sz="0" w:space="0" w:color="auto"/>
      </w:divBdr>
    </w:div>
    <w:div w:id="1318653409">
      <w:bodyDiv w:val="1"/>
      <w:marLeft w:val="0"/>
      <w:marRight w:val="0"/>
      <w:marTop w:val="0"/>
      <w:marBottom w:val="0"/>
      <w:divBdr>
        <w:top w:val="none" w:sz="0" w:space="0" w:color="auto"/>
        <w:left w:val="none" w:sz="0" w:space="0" w:color="auto"/>
        <w:bottom w:val="none" w:sz="0" w:space="0" w:color="auto"/>
        <w:right w:val="none" w:sz="0" w:space="0" w:color="auto"/>
      </w:divBdr>
    </w:div>
    <w:div w:id="1346905573">
      <w:bodyDiv w:val="1"/>
      <w:marLeft w:val="0"/>
      <w:marRight w:val="0"/>
      <w:marTop w:val="0"/>
      <w:marBottom w:val="0"/>
      <w:divBdr>
        <w:top w:val="none" w:sz="0" w:space="0" w:color="auto"/>
        <w:left w:val="none" w:sz="0" w:space="0" w:color="auto"/>
        <w:bottom w:val="none" w:sz="0" w:space="0" w:color="auto"/>
        <w:right w:val="none" w:sz="0" w:space="0" w:color="auto"/>
      </w:divBdr>
    </w:div>
    <w:div w:id="1353993289">
      <w:bodyDiv w:val="1"/>
      <w:marLeft w:val="0"/>
      <w:marRight w:val="0"/>
      <w:marTop w:val="0"/>
      <w:marBottom w:val="0"/>
      <w:divBdr>
        <w:top w:val="none" w:sz="0" w:space="0" w:color="auto"/>
        <w:left w:val="none" w:sz="0" w:space="0" w:color="auto"/>
        <w:bottom w:val="none" w:sz="0" w:space="0" w:color="auto"/>
        <w:right w:val="none" w:sz="0" w:space="0" w:color="auto"/>
      </w:divBdr>
    </w:div>
    <w:div w:id="1365062297">
      <w:bodyDiv w:val="1"/>
      <w:marLeft w:val="0"/>
      <w:marRight w:val="0"/>
      <w:marTop w:val="0"/>
      <w:marBottom w:val="0"/>
      <w:divBdr>
        <w:top w:val="none" w:sz="0" w:space="0" w:color="auto"/>
        <w:left w:val="none" w:sz="0" w:space="0" w:color="auto"/>
        <w:bottom w:val="none" w:sz="0" w:space="0" w:color="auto"/>
        <w:right w:val="none" w:sz="0" w:space="0" w:color="auto"/>
      </w:divBdr>
    </w:div>
    <w:div w:id="1370951011">
      <w:bodyDiv w:val="1"/>
      <w:marLeft w:val="0"/>
      <w:marRight w:val="0"/>
      <w:marTop w:val="0"/>
      <w:marBottom w:val="0"/>
      <w:divBdr>
        <w:top w:val="none" w:sz="0" w:space="0" w:color="auto"/>
        <w:left w:val="none" w:sz="0" w:space="0" w:color="auto"/>
        <w:bottom w:val="none" w:sz="0" w:space="0" w:color="auto"/>
        <w:right w:val="none" w:sz="0" w:space="0" w:color="auto"/>
      </w:divBdr>
    </w:div>
    <w:div w:id="1376076307">
      <w:bodyDiv w:val="1"/>
      <w:marLeft w:val="0"/>
      <w:marRight w:val="0"/>
      <w:marTop w:val="0"/>
      <w:marBottom w:val="0"/>
      <w:divBdr>
        <w:top w:val="none" w:sz="0" w:space="0" w:color="auto"/>
        <w:left w:val="none" w:sz="0" w:space="0" w:color="auto"/>
        <w:bottom w:val="none" w:sz="0" w:space="0" w:color="auto"/>
        <w:right w:val="none" w:sz="0" w:space="0" w:color="auto"/>
      </w:divBdr>
    </w:div>
    <w:div w:id="1390761991">
      <w:bodyDiv w:val="1"/>
      <w:marLeft w:val="0"/>
      <w:marRight w:val="0"/>
      <w:marTop w:val="0"/>
      <w:marBottom w:val="0"/>
      <w:divBdr>
        <w:top w:val="none" w:sz="0" w:space="0" w:color="auto"/>
        <w:left w:val="none" w:sz="0" w:space="0" w:color="auto"/>
        <w:bottom w:val="none" w:sz="0" w:space="0" w:color="auto"/>
        <w:right w:val="none" w:sz="0" w:space="0" w:color="auto"/>
      </w:divBdr>
    </w:div>
    <w:div w:id="1408529820">
      <w:bodyDiv w:val="1"/>
      <w:marLeft w:val="0"/>
      <w:marRight w:val="0"/>
      <w:marTop w:val="0"/>
      <w:marBottom w:val="0"/>
      <w:divBdr>
        <w:top w:val="none" w:sz="0" w:space="0" w:color="auto"/>
        <w:left w:val="none" w:sz="0" w:space="0" w:color="auto"/>
        <w:bottom w:val="none" w:sz="0" w:space="0" w:color="auto"/>
        <w:right w:val="none" w:sz="0" w:space="0" w:color="auto"/>
      </w:divBdr>
    </w:div>
    <w:div w:id="1447889809">
      <w:bodyDiv w:val="1"/>
      <w:marLeft w:val="0"/>
      <w:marRight w:val="0"/>
      <w:marTop w:val="0"/>
      <w:marBottom w:val="0"/>
      <w:divBdr>
        <w:top w:val="none" w:sz="0" w:space="0" w:color="auto"/>
        <w:left w:val="none" w:sz="0" w:space="0" w:color="auto"/>
        <w:bottom w:val="none" w:sz="0" w:space="0" w:color="auto"/>
        <w:right w:val="none" w:sz="0" w:space="0" w:color="auto"/>
      </w:divBdr>
    </w:div>
    <w:div w:id="1488470475">
      <w:bodyDiv w:val="1"/>
      <w:marLeft w:val="0"/>
      <w:marRight w:val="0"/>
      <w:marTop w:val="0"/>
      <w:marBottom w:val="0"/>
      <w:divBdr>
        <w:top w:val="none" w:sz="0" w:space="0" w:color="auto"/>
        <w:left w:val="none" w:sz="0" w:space="0" w:color="auto"/>
        <w:bottom w:val="none" w:sz="0" w:space="0" w:color="auto"/>
        <w:right w:val="none" w:sz="0" w:space="0" w:color="auto"/>
      </w:divBdr>
    </w:div>
    <w:div w:id="1498112622">
      <w:bodyDiv w:val="1"/>
      <w:marLeft w:val="0"/>
      <w:marRight w:val="0"/>
      <w:marTop w:val="0"/>
      <w:marBottom w:val="0"/>
      <w:divBdr>
        <w:top w:val="none" w:sz="0" w:space="0" w:color="auto"/>
        <w:left w:val="none" w:sz="0" w:space="0" w:color="auto"/>
        <w:bottom w:val="none" w:sz="0" w:space="0" w:color="auto"/>
        <w:right w:val="none" w:sz="0" w:space="0" w:color="auto"/>
      </w:divBdr>
    </w:div>
    <w:div w:id="1514302951">
      <w:bodyDiv w:val="1"/>
      <w:marLeft w:val="0"/>
      <w:marRight w:val="0"/>
      <w:marTop w:val="0"/>
      <w:marBottom w:val="0"/>
      <w:divBdr>
        <w:top w:val="none" w:sz="0" w:space="0" w:color="auto"/>
        <w:left w:val="none" w:sz="0" w:space="0" w:color="auto"/>
        <w:bottom w:val="none" w:sz="0" w:space="0" w:color="auto"/>
        <w:right w:val="none" w:sz="0" w:space="0" w:color="auto"/>
      </w:divBdr>
    </w:div>
    <w:div w:id="1539663980">
      <w:bodyDiv w:val="1"/>
      <w:marLeft w:val="0"/>
      <w:marRight w:val="0"/>
      <w:marTop w:val="0"/>
      <w:marBottom w:val="0"/>
      <w:divBdr>
        <w:top w:val="none" w:sz="0" w:space="0" w:color="auto"/>
        <w:left w:val="none" w:sz="0" w:space="0" w:color="auto"/>
        <w:bottom w:val="none" w:sz="0" w:space="0" w:color="auto"/>
        <w:right w:val="none" w:sz="0" w:space="0" w:color="auto"/>
      </w:divBdr>
    </w:div>
    <w:div w:id="1545755991">
      <w:bodyDiv w:val="1"/>
      <w:marLeft w:val="0"/>
      <w:marRight w:val="0"/>
      <w:marTop w:val="0"/>
      <w:marBottom w:val="0"/>
      <w:divBdr>
        <w:top w:val="none" w:sz="0" w:space="0" w:color="auto"/>
        <w:left w:val="none" w:sz="0" w:space="0" w:color="auto"/>
        <w:bottom w:val="none" w:sz="0" w:space="0" w:color="auto"/>
        <w:right w:val="none" w:sz="0" w:space="0" w:color="auto"/>
      </w:divBdr>
    </w:div>
    <w:div w:id="1553614076">
      <w:bodyDiv w:val="1"/>
      <w:marLeft w:val="0"/>
      <w:marRight w:val="0"/>
      <w:marTop w:val="0"/>
      <w:marBottom w:val="0"/>
      <w:divBdr>
        <w:top w:val="none" w:sz="0" w:space="0" w:color="auto"/>
        <w:left w:val="none" w:sz="0" w:space="0" w:color="auto"/>
        <w:bottom w:val="none" w:sz="0" w:space="0" w:color="auto"/>
        <w:right w:val="none" w:sz="0" w:space="0" w:color="auto"/>
      </w:divBdr>
    </w:div>
    <w:div w:id="1595477368">
      <w:bodyDiv w:val="1"/>
      <w:marLeft w:val="0"/>
      <w:marRight w:val="0"/>
      <w:marTop w:val="0"/>
      <w:marBottom w:val="0"/>
      <w:divBdr>
        <w:top w:val="none" w:sz="0" w:space="0" w:color="auto"/>
        <w:left w:val="none" w:sz="0" w:space="0" w:color="auto"/>
        <w:bottom w:val="none" w:sz="0" w:space="0" w:color="auto"/>
        <w:right w:val="none" w:sz="0" w:space="0" w:color="auto"/>
      </w:divBdr>
    </w:div>
    <w:div w:id="1605265777">
      <w:bodyDiv w:val="1"/>
      <w:marLeft w:val="0"/>
      <w:marRight w:val="0"/>
      <w:marTop w:val="0"/>
      <w:marBottom w:val="0"/>
      <w:divBdr>
        <w:top w:val="none" w:sz="0" w:space="0" w:color="auto"/>
        <w:left w:val="none" w:sz="0" w:space="0" w:color="auto"/>
        <w:bottom w:val="none" w:sz="0" w:space="0" w:color="auto"/>
        <w:right w:val="none" w:sz="0" w:space="0" w:color="auto"/>
      </w:divBdr>
    </w:div>
    <w:div w:id="1653026819">
      <w:bodyDiv w:val="1"/>
      <w:marLeft w:val="0"/>
      <w:marRight w:val="0"/>
      <w:marTop w:val="0"/>
      <w:marBottom w:val="0"/>
      <w:divBdr>
        <w:top w:val="none" w:sz="0" w:space="0" w:color="auto"/>
        <w:left w:val="none" w:sz="0" w:space="0" w:color="auto"/>
        <w:bottom w:val="none" w:sz="0" w:space="0" w:color="auto"/>
        <w:right w:val="none" w:sz="0" w:space="0" w:color="auto"/>
      </w:divBdr>
    </w:div>
    <w:div w:id="1659963215">
      <w:bodyDiv w:val="1"/>
      <w:marLeft w:val="0"/>
      <w:marRight w:val="0"/>
      <w:marTop w:val="0"/>
      <w:marBottom w:val="0"/>
      <w:divBdr>
        <w:top w:val="none" w:sz="0" w:space="0" w:color="auto"/>
        <w:left w:val="none" w:sz="0" w:space="0" w:color="auto"/>
        <w:bottom w:val="none" w:sz="0" w:space="0" w:color="auto"/>
        <w:right w:val="none" w:sz="0" w:space="0" w:color="auto"/>
      </w:divBdr>
    </w:div>
    <w:div w:id="1675956084">
      <w:bodyDiv w:val="1"/>
      <w:marLeft w:val="0"/>
      <w:marRight w:val="0"/>
      <w:marTop w:val="0"/>
      <w:marBottom w:val="0"/>
      <w:divBdr>
        <w:top w:val="none" w:sz="0" w:space="0" w:color="auto"/>
        <w:left w:val="none" w:sz="0" w:space="0" w:color="auto"/>
        <w:bottom w:val="none" w:sz="0" w:space="0" w:color="auto"/>
        <w:right w:val="none" w:sz="0" w:space="0" w:color="auto"/>
      </w:divBdr>
    </w:div>
    <w:div w:id="1677809934">
      <w:bodyDiv w:val="1"/>
      <w:marLeft w:val="0"/>
      <w:marRight w:val="0"/>
      <w:marTop w:val="0"/>
      <w:marBottom w:val="0"/>
      <w:divBdr>
        <w:top w:val="none" w:sz="0" w:space="0" w:color="auto"/>
        <w:left w:val="none" w:sz="0" w:space="0" w:color="auto"/>
        <w:bottom w:val="none" w:sz="0" w:space="0" w:color="auto"/>
        <w:right w:val="none" w:sz="0" w:space="0" w:color="auto"/>
      </w:divBdr>
    </w:div>
    <w:div w:id="1686324808">
      <w:bodyDiv w:val="1"/>
      <w:marLeft w:val="0"/>
      <w:marRight w:val="0"/>
      <w:marTop w:val="0"/>
      <w:marBottom w:val="0"/>
      <w:divBdr>
        <w:top w:val="none" w:sz="0" w:space="0" w:color="auto"/>
        <w:left w:val="none" w:sz="0" w:space="0" w:color="auto"/>
        <w:bottom w:val="none" w:sz="0" w:space="0" w:color="auto"/>
        <w:right w:val="none" w:sz="0" w:space="0" w:color="auto"/>
      </w:divBdr>
    </w:div>
    <w:div w:id="1698195782">
      <w:bodyDiv w:val="1"/>
      <w:marLeft w:val="0"/>
      <w:marRight w:val="0"/>
      <w:marTop w:val="0"/>
      <w:marBottom w:val="0"/>
      <w:divBdr>
        <w:top w:val="none" w:sz="0" w:space="0" w:color="auto"/>
        <w:left w:val="none" w:sz="0" w:space="0" w:color="auto"/>
        <w:bottom w:val="none" w:sz="0" w:space="0" w:color="auto"/>
        <w:right w:val="none" w:sz="0" w:space="0" w:color="auto"/>
      </w:divBdr>
    </w:div>
    <w:div w:id="1752964345">
      <w:bodyDiv w:val="1"/>
      <w:marLeft w:val="0"/>
      <w:marRight w:val="0"/>
      <w:marTop w:val="0"/>
      <w:marBottom w:val="0"/>
      <w:divBdr>
        <w:top w:val="none" w:sz="0" w:space="0" w:color="auto"/>
        <w:left w:val="none" w:sz="0" w:space="0" w:color="auto"/>
        <w:bottom w:val="none" w:sz="0" w:space="0" w:color="auto"/>
        <w:right w:val="none" w:sz="0" w:space="0" w:color="auto"/>
      </w:divBdr>
    </w:div>
    <w:div w:id="1764184747">
      <w:bodyDiv w:val="1"/>
      <w:marLeft w:val="0"/>
      <w:marRight w:val="0"/>
      <w:marTop w:val="0"/>
      <w:marBottom w:val="0"/>
      <w:divBdr>
        <w:top w:val="none" w:sz="0" w:space="0" w:color="auto"/>
        <w:left w:val="none" w:sz="0" w:space="0" w:color="auto"/>
        <w:bottom w:val="none" w:sz="0" w:space="0" w:color="auto"/>
        <w:right w:val="none" w:sz="0" w:space="0" w:color="auto"/>
      </w:divBdr>
    </w:div>
    <w:div w:id="1772044364">
      <w:bodyDiv w:val="1"/>
      <w:marLeft w:val="0"/>
      <w:marRight w:val="0"/>
      <w:marTop w:val="0"/>
      <w:marBottom w:val="0"/>
      <w:divBdr>
        <w:top w:val="none" w:sz="0" w:space="0" w:color="auto"/>
        <w:left w:val="none" w:sz="0" w:space="0" w:color="auto"/>
        <w:bottom w:val="none" w:sz="0" w:space="0" w:color="auto"/>
        <w:right w:val="none" w:sz="0" w:space="0" w:color="auto"/>
      </w:divBdr>
    </w:div>
    <w:div w:id="1844785006">
      <w:bodyDiv w:val="1"/>
      <w:marLeft w:val="0"/>
      <w:marRight w:val="0"/>
      <w:marTop w:val="0"/>
      <w:marBottom w:val="0"/>
      <w:divBdr>
        <w:top w:val="none" w:sz="0" w:space="0" w:color="auto"/>
        <w:left w:val="none" w:sz="0" w:space="0" w:color="auto"/>
        <w:bottom w:val="none" w:sz="0" w:space="0" w:color="auto"/>
        <w:right w:val="none" w:sz="0" w:space="0" w:color="auto"/>
      </w:divBdr>
    </w:div>
    <w:div w:id="1860466030">
      <w:bodyDiv w:val="1"/>
      <w:marLeft w:val="0"/>
      <w:marRight w:val="0"/>
      <w:marTop w:val="0"/>
      <w:marBottom w:val="0"/>
      <w:divBdr>
        <w:top w:val="none" w:sz="0" w:space="0" w:color="auto"/>
        <w:left w:val="none" w:sz="0" w:space="0" w:color="auto"/>
        <w:bottom w:val="none" w:sz="0" w:space="0" w:color="auto"/>
        <w:right w:val="none" w:sz="0" w:space="0" w:color="auto"/>
      </w:divBdr>
    </w:div>
    <w:div w:id="1894585701">
      <w:bodyDiv w:val="1"/>
      <w:marLeft w:val="0"/>
      <w:marRight w:val="0"/>
      <w:marTop w:val="0"/>
      <w:marBottom w:val="0"/>
      <w:divBdr>
        <w:top w:val="none" w:sz="0" w:space="0" w:color="auto"/>
        <w:left w:val="none" w:sz="0" w:space="0" w:color="auto"/>
        <w:bottom w:val="none" w:sz="0" w:space="0" w:color="auto"/>
        <w:right w:val="none" w:sz="0" w:space="0" w:color="auto"/>
      </w:divBdr>
    </w:div>
    <w:div w:id="1915972570">
      <w:bodyDiv w:val="1"/>
      <w:marLeft w:val="0"/>
      <w:marRight w:val="0"/>
      <w:marTop w:val="0"/>
      <w:marBottom w:val="0"/>
      <w:divBdr>
        <w:top w:val="none" w:sz="0" w:space="0" w:color="auto"/>
        <w:left w:val="none" w:sz="0" w:space="0" w:color="auto"/>
        <w:bottom w:val="none" w:sz="0" w:space="0" w:color="auto"/>
        <w:right w:val="none" w:sz="0" w:space="0" w:color="auto"/>
      </w:divBdr>
    </w:div>
    <w:div w:id="1969555326">
      <w:bodyDiv w:val="1"/>
      <w:marLeft w:val="0"/>
      <w:marRight w:val="0"/>
      <w:marTop w:val="0"/>
      <w:marBottom w:val="0"/>
      <w:divBdr>
        <w:top w:val="none" w:sz="0" w:space="0" w:color="auto"/>
        <w:left w:val="none" w:sz="0" w:space="0" w:color="auto"/>
        <w:bottom w:val="none" w:sz="0" w:space="0" w:color="auto"/>
        <w:right w:val="none" w:sz="0" w:space="0" w:color="auto"/>
      </w:divBdr>
    </w:div>
    <w:div w:id="1981811379">
      <w:bodyDiv w:val="1"/>
      <w:marLeft w:val="0"/>
      <w:marRight w:val="0"/>
      <w:marTop w:val="0"/>
      <w:marBottom w:val="0"/>
      <w:divBdr>
        <w:top w:val="none" w:sz="0" w:space="0" w:color="auto"/>
        <w:left w:val="none" w:sz="0" w:space="0" w:color="auto"/>
        <w:bottom w:val="none" w:sz="0" w:space="0" w:color="auto"/>
        <w:right w:val="none" w:sz="0" w:space="0" w:color="auto"/>
      </w:divBdr>
    </w:div>
    <w:div w:id="1989432736">
      <w:bodyDiv w:val="1"/>
      <w:marLeft w:val="0"/>
      <w:marRight w:val="0"/>
      <w:marTop w:val="0"/>
      <w:marBottom w:val="0"/>
      <w:divBdr>
        <w:top w:val="none" w:sz="0" w:space="0" w:color="auto"/>
        <w:left w:val="none" w:sz="0" w:space="0" w:color="auto"/>
        <w:bottom w:val="none" w:sz="0" w:space="0" w:color="auto"/>
        <w:right w:val="none" w:sz="0" w:space="0" w:color="auto"/>
      </w:divBdr>
    </w:div>
    <w:div w:id="2000617880">
      <w:bodyDiv w:val="1"/>
      <w:marLeft w:val="0"/>
      <w:marRight w:val="0"/>
      <w:marTop w:val="0"/>
      <w:marBottom w:val="0"/>
      <w:divBdr>
        <w:top w:val="none" w:sz="0" w:space="0" w:color="auto"/>
        <w:left w:val="none" w:sz="0" w:space="0" w:color="auto"/>
        <w:bottom w:val="none" w:sz="0" w:space="0" w:color="auto"/>
        <w:right w:val="none" w:sz="0" w:space="0" w:color="auto"/>
      </w:divBdr>
    </w:div>
    <w:div w:id="2093040710">
      <w:bodyDiv w:val="1"/>
      <w:marLeft w:val="0"/>
      <w:marRight w:val="0"/>
      <w:marTop w:val="0"/>
      <w:marBottom w:val="0"/>
      <w:divBdr>
        <w:top w:val="none" w:sz="0" w:space="0" w:color="auto"/>
        <w:left w:val="none" w:sz="0" w:space="0" w:color="auto"/>
        <w:bottom w:val="none" w:sz="0" w:space="0" w:color="auto"/>
        <w:right w:val="none" w:sz="0" w:space="0" w:color="auto"/>
      </w:divBdr>
    </w:div>
    <w:div w:id="2102602027">
      <w:bodyDiv w:val="1"/>
      <w:marLeft w:val="0"/>
      <w:marRight w:val="0"/>
      <w:marTop w:val="0"/>
      <w:marBottom w:val="0"/>
      <w:divBdr>
        <w:top w:val="none" w:sz="0" w:space="0" w:color="auto"/>
        <w:left w:val="none" w:sz="0" w:space="0" w:color="auto"/>
        <w:bottom w:val="none" w:sz="0" w:space="0" w:color="auto"/>
        <w:right w:val="none" w:sz="0" w:space="0" w:color="auto"/>
      </w:divBdr>
    </w:div>
    <w:div w:id="2106687022">
      <w:bodyDiv w:val="1"/>
      <w:marLeft w:val="0"/>
      <w:marRight w:val="0"/>
      <w:marTop w:val="0"/>
      <w:marBottom w:val="0"/>
      <w:divBdr>
        <w:top w:val="none" w:sz="0" w:space="0" w:color="auto"/>
        <w:left w:val="none" w:sz="0" w:space="0" w:color="auto"/>
        <w:bottom w:val="none" w:sz="0" w:space="0" w:color="auto"/>
        <w:right w:val="none" w:sz="0" w:space="0" w:color="auto"/>
      </w:divBdr>
    </w:div>
    <w:div w:id="213706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sm1909.ro" TargetMode="External"/><Relationship Id="rId18" Type="http://schemas.openxmlformats.org/officeDocument/2006/relationships/chart" Target="charts/chart4.xml"/><Relationship Id="rId26" Type="http://schemas.openxmlformats.org/officeDocument/2006/relationships/chart" Target="charts/chart9.xml"/><Relationship Id="rId21" Type="http://schemas.openxmlformats.org/officeDocument/2006/relationships/hyperlink" Target="https://www.facebook.com/Institutul-Na%C5%A3ional-pentru-Preg%C4%83tirea-%C5%9Fi-Perfec%C5%A3ionarea-Avoca%C5%A3ilor-1432273470430273/?__cft__%5b0%5d=AZXRswxVMzbaKauAWHB1ALIRJjf-kqT8sAaD-Po7pV7W3SOga5hkUka2hcVqoAr3n-8-u0x5PWWSwVg72wZ0Db879bDncC9ZmR7pZSv3BSaSCWbUGbYqBxZIdK5tMkZkjfwLOc017dvVECGg8DhnInlpBrY-bFRGsuxd9tFm-noMXtN8oPuugL0ZGQlwa-pvocIYDO8RiyWrq1LGyIrh5O4g&amp;__tn__=kK-R" TargetMode="External"/><Relationship Id="rId34" Type="http://schemas.openxmlformats.org/officeDocument/2006/relationships/hyperlink" Target="http://www.e-licitatie.ro"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3.xml"/><Relationship Id="rId25" Type="http://schemas.openxmlformats.org/officeDocument/2006/relationships/chart" Target="charts/chart8.xml"/><Relationship Id="rId33" Type="http://schemas.openxmlformats.org/officeDocument/2006/relationships/hyperlink" Target="http://www.rejust.ro"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s://www.facebook.com/UniuneaNationalaaBarourilordinRomania?__cft__%5b0%5d=AZXRswxVMzbaKauAWHB1ALIRJjf-kqT8sAaD-Po7pV7W3SOga5hkUka2hcVqoAr3n-8-u0x5PWWSwVg72wZ0Db879bDncC9ZmR7pZSv3BSaSCWbUGbYqBxZIdK5tMkZkjfwLOc017dvVECGg8DhnInlpBrY-bFRGsuxd9tFm-noMXtN8oPuugL0ZGQlwa-pvocIYDO8RiyWrq1LGyIrh5O4g&amp;__tn__=-%5dK-R" TargetMode="Externa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help.elearning.ext.coe.int/course/view.php?id=7335" TargetMode="Externa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5.xml"/><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hyperlink" Target="https://www.csm1909.ro/" TargetMode="External"/><Relationship Id="rId14" Type="http://schemas.openxmlformats.org/officeDocument/2006/relationships/chart" Target="charts/chart1.xml"/><Relationship Id="rId22" Type="http://schemas.openxmlformats.org/officeDocument/2006/relationships/footer" Target="footer4.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footer" Target="footer5.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NULL"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NULL"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solidFill>
                  <a:schemeClr val="accent6"/>
                </a:solidFill>
              </a:defRPr>
            </a:pPr>
            <a:r>
              <a:rPr lang="en-US" b="1">
                <a:solidFill>
                  <a:sysClr val="windowText" lastClr="000000"/>
                </a:solidFill>
              </a:rPr>
              <a:t>Situaţia posturilor din cadrul aparatului propriu al Consiliului Superior al Magistraturii</a:t>
            </a:r>
            <a:r>
              <a:rPr lang="ro-RO" b="1">
                <a:solidFill>
                  <a:sysClr val="windowText" lastClr="000000"/>
                </a:solidFill>
              </a:rPr>
              <a:t> la 31</a:t>
            </a:r>
            <a:r>
              <a:rPr lang="en-US" b="1">
                <a:solidFill>
                  <a:sysClr val="windowText" lastClr="000000"/>
                </a:solidFill>
              </a:rPr>
              <a:t> </a:t>
            </a:r>
            <a:r>
              <a:rPr lang="ro-RO" b="1">
                <a:solidFill>
                  <a:sysClr val="windowText" lastClr="000000"/>
                </a:solidFill>
              </a:rPr>
              <a:t>decembrie</a:t>
            </a:r>
            <a:r>
              <a:rPr lang="en-US" b="1">
                <a:solidFill>
                  <a:sysClr val="windowText" lastClr="000000"/>
                </a:solidFill>
              </a:rPr>
              <a:t> 2024</a:t>
            </a:r>
          </a:p>
        </c:rich>
      </c:tx>
      <c:layout>
        <c:manualLayout>
          <c:xMode val="edge"/>
          <c:yMode val="edge"/>
          <c:x val="0.11175326090207253"/>
          <c:y val="4.7893148870409893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8806057205884922"/>
          <c:y val="0.35743881373898595"/>
          <c:w val="0.42802220594055002"/>
          <c:h val="0.3679517200254267"/>
        </c:manualLayout>
      </c:layout>
      <c:pie3DChart>
        <c:varyColors val="1"/>
        <c:ser>
          <c:idx val="0"/>
          <c:order val="0"/>
          <c:spPr>
            <a:solidFill>
              <a:srgbClr val="9999FF"/>
            </a:solidFill>
            <a:ln w="12700">
              <a:solidFill>
                <a:srgbClr val="000000"/>
              </a:solidFill>
              <a:prstDash val="solid"/>
            </a:ln>
          </c:spPr>
          <c:dPt>
            <c:idx val="0"/>
            <c:bubble3D val="0"/>
            <c:extLst>
              <c:ext xmlns:c16="http://schemas.microsoft.com/office/drawing/2014/chart" uri="{C3380CC4-5D6E-409C-BE32-E72D297353CC}">
                <c16:uniqueId val="{00000000-18AB-4315-8F9C-E3237CA20078}"/>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2-18AB-4315-8F9C-E3237CA20078}"/>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4-18AB-4315-8F9C-E3237CA20078}"/>
              </c:ext>
            </c:extLst>
          </c:dPt>
          <c:dLbls>
            <c:dLbl>
              <c:idx val="0"/>
              <c:layout>
                <c:manualLayout>
                  <c:x val="-8.5275633275086415E-2"/>
                  <c:y val="2.8234969460593128E-2"/>
                </c:manualLayout>
              </c:layout>
              <c:tx>
                <c:rich>
                  <a:bodyPr/>
                  <a:lstStyle/>
                  <a:p>
                    <a:r>
                      <a:rPr lang="en-US"/>
                      <a:t>38%</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18AB-4315-8F9C-E3237CA20078}"/>
                </c:ext>
              </c:extLst>
            </c:dLbl>
            <c:dLbl>
              <c:idx val="1"/>
              <c:tx>
                <c:rich>
                  <a:bodyPr/>
                  <a:lstStyle/>
                  <a:p>
                    <a:r>
                      <a:rPr lang="en-US"/>
                      <a:t>22</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18AB-4315-8F9C-E3237CA20078}"/>
                </c:ext>
              </c:extLst>
            </c:dLbl>
            <c:dLbl>
              <c:idx val="2"/>
              <c:tx>
                <c:rich>
                  <a:bodyPr/>
                  <a:lstStyle/>
                  <a:p>
                    <a:r>
                      <a:rPr lang="en-US"/>
                      <a:t>40%</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4-18AB-4315-8F9C-E3237CA20078}"/>
                </c:ext>
              </c:extLst>
            </c:dLbl>
            <c:numFmt formatCode="0%" sourceLinked="0"/>
            <c:spPr>
              <a:noFill/>
              <a:ln w="25400">
                <a:noFill/>
              </a:ln>
            </c:spPr>
            <c:showLegendKey val="0"/>
            <c:showVal val="0"/>
            <c:showCatName val="0"/>
            <c:showSerName val="0"/>
            <c:showPercent val="1"/>
            <c:showBubbleSize val="0"/>
            <c:showLeaderLines val="1"/>
            <c:extLst>
              <c:ext xmlns:c15="http://schemas.microsoft.com/office/drawing/2012/chart" uri="{CE6537A1-D6FC-4f65-9D91-7224C49458BB}"/>
            </c:extLst>
          </c:dLbls>
          <c:cat>
            <c:strRef>
              <c:f>'[Chart in Microsoft Word]Foaie1'!$A$1:$C$1</c:f>
              <c:strCache>
                <c:ptCount val="3"/>
                <c:pt idx="0">
                  <c:v>Personal asimilat</c:v>
                </c:pt>
                <c:pt idx="1">
                  <c:v>Funcţii publice</c:v>
                </c:pt>
                <c:pt idx="2">
                  <c:v>Personal contractual</c:v>
                </c:pt>
              </c:strCache>
            </c:strRef>
          </c:cat>
          <c:val>
            <c:numRef>
              <c:f>'[Chart in Microsoft Word]Foaie1'!$A$2:$C$2</c:f>
              <c:numCache>
                <c:formatCode>General</c:formatCode>
                <c:ptCount val="3"/>
                <c:pt idx="0">
                  <c:v>83</c:v>
                </c:pt>
                <c:pt idx="1">
                  <c:v>55</c:v>
                </c:pt>
                <c:pt idx="2">
                  <c:v>132</c:v>
                </c:pt>
              </c:numCache>
            </c:numRef>
          </c:val>
          <c:extLst>
            <c:ext xmlns:c16="http://schemas.microsoft.com/office/drawing/2014/chart" uri="{C3380CC4-5D6E-409C-BE32-E72D297353CC}">
              <c16:uniqueId val="{00000005-18AB-4315-8F9C-E3237CA20078}"/>
            </c:ext>
          </c:extLst>
        </c:ser>
        <c:dLbls>
          <c:showLegendKey val="0"/>
          <c:showVal val="0"/>
          <c:showCatName val="0"/>
          <c:showSerName val="0"/>
          <c:showPercent val="0"/>
          <c:showBubbleSize val="0"/>
          <c:showLeaderLines val="1"/>
        </c:dLbls>
      </c:pie3DChart>
      <c:spPr>
        <a:noFill/>
        <a:ln w="25400">
          <a:noFill/>
        </a:ln>
      </c:spPr>
    </c:plotArea>
    <c:legend>
      <c:legendPos val="b"/>
      <c:layout>
        <c:manualLayout>
          <c:xMode val="edge"/>
          <c:yMode val="edge"/>
          <c:x val="0.20831502858259224"/>
          <c:y val="0.89009256405226922"/>
          <c:w val="0.5826309575380747"/>
          <c:h val="8.4103081420872194E-2"/>
        </c:manualLayout>
      </c:layout>
      <c:overlay val="0"/>
      <c:spPr>
        <a:solidFill>
          <a:srgbClr val="FFFFFF"/>
        </a:solidFill>
        <a:ln w="3175">
          <a:solidFill>
            <a:srgbClr val="000000"/>
          </a:solidFill>
          <a:prstDash val="solid"/>
        </a:ln>
      </c:spPr>
    </c:legend>
    <c:plotVisOnly val="1"/>
    <c:dispBlanksAs val="zero"/>
    <c:showDLblsOverMax val="0"/>
  </c:chart>
  <c:spPr>
    <a:solidFill>
      <a:srgbClr val="FFFFFF"/>
    </a:solidFill>
    <a:ln w="6350">
      <a:noFill/>
    </a:ln>
  </c:spPr>
  <c:txPr>
    <a:bodyPr/>
    <a:lstStyle/>
    <a:p>
      <a:pPr algn="just">
        <a:defRPr sz="1000" b="0" i="0" u="none" strike="noStrike" baseline="0">
          <a:solidFill>
            <a:srgbClr val="000000"/>
          </a:solidFill>
          <a:latin typeface="+mn-lt"/>
          <a:ea typeface="Arial"/>
          <a:cs typeface="Times New Roman" panose="02020603050405020304" pitchFamily="18" charset="0"/>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'Structura Ch_an'!$O$46:$P$46</c:f>
              <c:strCache>
                <c:ptCount val="2"/>
                <c:pt idx="0">
                  <c:v>2023</c:v>
                </c:pt>
                <c:pt idx="1">
                  <c:v>CA</c:v>
                </c:pt>
              </c:strCache>
            </c:strRef>
          </c:tx>
          <c:spPr>
            <a:solidFill>
              <a:schemeClr val="accent1"/>
            </a:solidFill>
            <a:ln>
              <a:noFill/>
            </a:ln>
            <a:effectLst/>
            <a:sp3d/>
          </c:spPr>
          <c:invertIfNegative val="0"/>
          <c:cat>
            <c:strRef>
              <c:f>'Structura Ch_an'!$Q$45:$X$45</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Ch_an'!$Q$46:$X$46</c:f>
              <c:numCache>
                <c:formatCode>#,##0</c:formatCode>
                <c:ptCount val="8"/>
                <c:pt idx="0">
                  <c:v>13300</c:v>
                </c:pt>
                <c:pt idx="1">
                  <c:v>10735</c:v>
                </c:pt>
                <c:pt idx="2">
                  <c:v>454</c:v>
                </c:pt>
                <c:pt idx="3">
                  <c:v>0</c:v>
                </c:pt>
                <c:pt idx="4">
                  <c:v>0</c:v>
                </c:pt>
                <c:pt idx="5">
                  <c:v>791</c:v>
                </c:pt>
                <c:pt idx="6">
                  <c:v>1275</c:v>
                </c:pt>
                <c:pt idx="7">
                  <c:v>45</c:v>
                </c:pt>
              </c:numCache>
            </c:numRef>
          </c:val>
          <c:extLst>
            <c:ext xmlns:c16="http://schemas.microsoft.com/office/drawing/2014/chart" uri="{C3380CC4-5D6E-409C-BE32-E72D297353CC}">
              <c16:uniqueId val="{00000000-0D15-49DA-86CA-DFCFDED0CAE9}"/>
            </c:ext>
          </c:extLst>
        </c:ser>
        <c:ser>
          <c:idx val="1"/>
          <c:order val="1"/>
          <c:tx>
            <c:strRef>
              <c:f>'Structura Ch_an'!$O$47:$P$47</c:f>
              <c:strCache>
                <c:ptCount val="2"/>
                <c:pt idx="0">
                  <c:v>2023</c:v>
                </c:pt>
                <c:pt idx="1">
                  <c:v>CB</c:v>
                </c:pt>
              </c:strCache>
            </c:strRef>
          </c:tx>
          <c:spPr>
            <a:solidFill>
              <a:schemeClr val="accent2"/>
            </a:solidFill>
            <a:ln>
              <a:noFill/>
            </a:ln>
            <a:effectLst/>
            <a:sp3d/>
          </c:spPr>
          <c:invertIfNegative val="0"/>
          <c:cat>
            <c:strRef>
              <c:f>'Structura Ch_an'!$Q$45:$X$45</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Ch_an'!$Q$47:$X$47</c:f>
              <c:numCache>
                <c:formatCode>#,##0</c:formatCode>
                <c:ptCount val="8"/>
                <c:pt idx="0">
                  <c:v>14993</c:v>
                </c:pt>
                <c:pt idx="1">
                  <c:v>10735</c:v>
                </c:pt>
                <c:pt idx="2">
                  <c:v>454</c:v>
                </c:pt>
                <c:pt idx="3">
                  <c:v>0</c:v>
                </c:pt>
                <c:pt idx="4">
                  <c:v>0</c:v>
                </c:pt>
                <c:pt idx="5">
                  <c:v>2484</c:v>
                </c:pt>
                <c:pt idx="6">
                  <c:v>1275</c:v>
                </c:pt>
                <c:pt idx="7">
                  <c:v>45</c:v>
                </c:pt>
              </c:numCache>
            </c:numRef>
          </c:val>
          <c:extLst>
            <c:ext xmlns:c16="http://schemas.microsoft.com/office/drawing/2014/chart" uri="{C3380CC4-5D6E-409C-BE32-E72D297353CC}">
              <c16:uniqueId val="{00000001-0D15-49DA-86CA-DFCFDED0CAE9}"/>
            </c:ext>
          </c:extLst>
        </c:ser>
        <c:ser>
          <c:idx val="2"/>
          <c:order val="2"/>
          <c:tx>
            <c:strRef>
              <c:f>'Structura Ch_an'!$O$48:$P$48</c:f>
              <c:strCache>
                <c:ptCount val="2"/>
                <c:pt idx="0">
                  <c:v>2024</c:v>
                </c:pt>
                <c:pt idx="1">
                  <c:v>CA</c:v>
                </c:pt>
              </c:strCache>
            </c:strRef>
          </c:tx>
          <c:spPr>
            <a:solidFill>
              <a:schemeClr val="accent3"/>
            </a:solidFill>
            <a:ln>
              <a:noFill/>
            </a:ln>
            <a:effectLst/>
            <a:sp3d/>
          </c:spPr>
          <c:invertIfNegative val="0"/>
          <c:cat>
            <c:strRef>
              <c:f>'Structura Ch_an'!$Q$45:$X$45</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Ch_an'!$Q$48:$X$48</c:f>
              <c:numCache>
                <c:formatCode>#,##0</c:formatCode>
                <c:ptCount val="8"/>
                <c:pt idx="0">
                  <c:v>20492</c:v>
                </c:pt>
                <c:pt idx="1">
                  <c:v>16021</c:v>
                </c:pt>
                <c:pt idx="2">
                  <c:v>1873</c:v>
                </c:pt>
                <c:pt idx="3">
                  <c:v>0</c:v>
                </c:pt>
                <c:pt idx="4">
                  <c:v>0</c:v>
                </c:pt>
                <c:pt idx="5">
                  <c:v>44</c:v>
                </c:pt>
                <c:pt idx="6">
                  <c:v>2530</c:v>
                </c:pt>
                <c:pt idx="7">
                  <c:v>24</c:v>
                </c:pt>
              </c:numCache>
            </c:numRef>
          </c:val>
          <c:extLst>
            <c:ext xmlns:c16="http://schemas.microsoft.com/office/drawing/2014/chart" uri="{C3380CC4-5D6E-409C-BE32-E72D297353CC}">
              <c16:uniqueId val="{00000002-0D15-49DA-86CA-DFCFDED0CAE9}"/>
            </c:ext>
          </c:extLst>
        </c:ser>
        <c:ser>
          <c:idx val="3"/>
          <c:order val="3"/>
          <c:tx>
            <c:strRef>
              <c:f>'Structura Ch_an'!$O$49:$P$49</c:f>
              <c:strCache>
                <c:ptCount val="2"/>
                <c:pt idx="0">
                  <c:v>2024</c:v>
                </c:pt>
                <c:pt idx="1">
                  <c:v>CB</c:v>
                </c:pt>
              </c:strCache>
            </c:strRef>
          </c:tx>
          <c:spPr>
            <a:solidFill>
              <a:schemeClr val="accent4"/>
            </a:solidFill>
            <a:ln>
              <a:noFill/>
            </a:ln>
            <a:effectLst/>
            <a:sp3d/>
          </c:spPr>
          <c:invertIfNegative val="0"/>
          <c:cat>
            <c:strRef>
              <c:f>'Structura Ch_an'!$Q$45:$X$45</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Ch_an'!$Q$49:$X$49</c:f>
              <c:numCache>
                <c:formatCode>#,##0</c:formatCode>
                <c:ptCount val="8"/>
                <c:pt idx="0">
                  <c:v>19934</c:v>
                </c:pt>
                <c:pt idx="1">
                  <c:v>16021</c:v>
                </c:pt>
                <c:pt idx="2">
                  <c:v>1315</c:v>
                </c:pt>
                <c:pt idx="3">
                  <c:v>0</c:v>
                </c:pt>
                <c:pt idx="4">
                  <c:v>0</c:v>
                </c:pt>
                <c:pt idx="5">
                  <c:v>44</c:v>
                </c:pt>
                <c:pt idx="6">
                  <c:v>2530</c:v>
                </c:pt>
                <c:pt idx="7">
                  <c:v>24</c:v>
                </c:pt>
              </c:numCache>
            </c:numRef>
          </c:val>
          <c:extLst>
            <c:ext xmlns:c16="http://schemas.microsoft.com/office/drawing/2014/chart" uri="{C3380CC4-5D6E-409C-BE32-E72D297353CC}">
              <c16:uniqueId val="{00000003-0D15-49DA-86CA-DFCFDED0CAE9}"/>
            </c:ext>
          </c:extLst>
        </c:ser>
        <c:ser>
          <c:idx val="4"/>
          <c:order val="4"/>
          <c:tx>
            <c:strRef>
              <c:f>'Structura Ch_an'!$O$50:$P$50</c:f>
              <c:strCache>
                <c:ptCount val="2"/>
                <c:pt idx="0">
                  <c:v>2025</c:v>
                </c:pt>
                <c:pt idx="1">
                  <c:v>CA</c:v>
                </c:pt>
              </c:strCache>
            </c:strRef>
          </c:tx>
          <c:spPr>
            <a:solidFill>
              <a:schemeClr val="accent5"/>
            </a:solidFill>
            <a:ln>
              <a:noFill/>
            </a:ln>
            <a:effectLst/>
            <a:sp3d/>
          </c:spPr>
          <c:invertIfNegative val="0"/>
          <c:cat>
            <c:strRef>
              <c:f>'Structura Ch_an'!$Q$45:$X$45</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Ch_an'!$Q$50:$X$50</c:f>
              <c:numCache>
                <c:formatCode>#,##0</c:formatCode>
                <c:ptCount val="8"/>
                <c:pt idx="0">
                  <c:v>57821</c:v>
                </c:pt>
                <c:pt idx="1">
                  <c:v>43901</c:v>
                </c:pt>
                <c:pt idx="2">
                  <c:v>6263</c:v>
                </c:pt>
                <c:pt idx="3">
                  <c:v>0</c:v>
                </c:pt>
                <c:pt idx="4">
                  <c:v>0</c:v>
                </c:pt>
                <c:pt idx="5">
                  <c:v>0</c:v>
                </c:pt>
                <c:pt idx="6">
                  <c:v>6850</c:v>
                </c:pt>
                <c:pt idx="7">
                  <c:v>807</c:v>
                </c:pt>
              </c:numCache>
            </c:numRef>
          </c:val>
          <c:extLst>
            <c:ext xmlns:c16="http://schemas.microsoft.com/office/drawing/2014/chart" uri="{C3380CC4-5D6E-409C-BE32-E72D297353CC}">
              <c16:uniqueId val="{00000004-0D15-49DA-86CA-DFCFDED0CAE9}"/>
            </c:ext>
          </c:extLst>
        </c:ser>
        <c:ser>
          <c:idx val="5"/>
          <c:order val="5"/>
          <c:tx>
            <c:strRef>
              <c:f>'Structura Ch_an'!$O$51:$P$51</c:f>
              <c:strCache>
                <c:ptCount val="2"/>
                <c:pt idx="0">
                  <c:v>2025</c:v>
                </c:pt>
                <c:pt idx="1">
                  <c:v>CB</c:v>
                </c:pt>
              </c:strCache>
            </c:strRef>
          </c:tx>
          <c:spPr>
            <a:solidFill>
              <a:schemeClr val="accent6"/>
            </a:solidFill>
            <a:ln>
              <a:noFill/>
            </a:ln>
            <a:effectLst/>
            <a:sp3d/>
          </c:spPr>
          <c:invertIfNegative val="0"/>
          <c:cat>
            <c:strRef>
              <c:f>'Structura Ch_an'!$Q$45:$X$45</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Ch_an'!$Q$51:$X$51</c:f>
              <c:numCache>
                <c:formatCode>#,##0</c:formatCode>
                <c:ptCount val="8"/>
                <c:pt idx="0">
                  <c:v>57821</c:v>
                </c:pt>
                <c:pt idx="1">
                  <c:v>43901</c:v>
                </c:pt>
                <c:pt idx="2">
                  <c:v>6263</c:v>
                </c:pt>
                <c:pt idx="3">
                  <c:v>0</c:v>
                </c:pt>
                <c:pt idx="4">
                  <c:v>0</c:v>
                </c:pt>
                <c:pt idx="5">
                  <c:v>0</c:v>
                </c:pt>
                <c:pt idx="6">
                  <c:v>6850</c:v>
                </c:pt>
                <c:pt idx="7">
                  <c:v>807</c:v>
                </c:pt>
              </c:numCache>
            </c:numRef>
          </c:val>
          <c:extLst>
            <c:ext xmlns:c16="http://schemas.microsoft.com/office/drawing/2014/chart" uri="{C3380CC4-5D6E-409C-BE32-E72D297353CC}">
              <c16:uniqueId val="{00000005-0D15-49DA-86CA-DFCFDED0CAE9}"/>
            </c:ext>
          </c:extLst>
        </c:ser>
        <c:dLbls>
          <c:showLegendKey val="0"/>
          <c:showVal val="0"/>
          <c:showCatName val="0"/>
          <c:showSerName val="0"/>
          <c:showPercent val="0"/>
          <c:showBubbleSize val="0"/>
        </c:dLbls>
        <c:gapWidth val="150"/>
        <c:shape val="box"/>
        <c:axId val="417793592"/>
        <c:axId val="417793984"/>
        <c:axId val="590003064"/>
      </c:bar3DChart>
      <c:catAx>
        <c:axId val="4177935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17793984"/>
        <c:crosses val="autoZero"/>
        <c:auto val="1"/>
        <c:lblAlgn val="ctr"/>
        <c:lblOffset val="100"/>
        <c:noMultiLvlLbl val="0"/>
      </c:catAx>
      <c:valAx>
        <c:axId val="417793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17793592"/>
        <c:crosses val="autoZero"/>
        <c:crossBetween val="between"/>
      </c:valAx>
      <c:serAx>
        <c:axId val="59000306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1779398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solidFill>
                  <a:schemeClr val="tx1"/>
                </a:solidFill>
              </a:rPr>
              <a:t>STRUCTURA BUGETULUI  C.S.M - CREDITE</a:t>
            </a:r>
            <a:r>
              <a:rPr lang="en-US" baseline="0">
                <a:solidFill>
                  <a:schemeClr val="tx1"/>
                </a:solidFill>
              </a:rPr>
              <a:t> DE ANGAJAMENT </a:t>
            </a:r>
            <a:r>
              <a:rPr lang="en-US">
                <a:solidFill>
                  <a:schemeClr val="tx1"/>
                </a:solidFill>
              </a:rPr>
              <a:t>PE ANUL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pieChart>
        <c:varyColors val="1"/>
        <c:ser>
          <c:idx val="0"/>
          <c:order val="0"/>
          <c:tx>
            <c:strRef>
              <c:f>Struct.buget!$B$1:$B$3</c:f>
              <c:strCache>
                <c:ptCount val="3"/>
                <c:pt idx="0">
                  <c:v>STRUCTURA BUGETULUI PE ANUL 2024</c:v>
                </c:pt>
                <c:pt idx="2">
                  <c:v>Credite de
angajament CA</c:v>
                </c:pt>
              </c:strCache>
            </c:strRef>
          </c:tx>
          <c:dPt>
            <c:idx val="0"/>
            <c:bubble3D val="0"/>
            <c:explosion val="1"/>
            <c:spPr>
              <a:solidFill>
                <a:schemeClr val="accent1"/>
              </a:solidFill>
              <a:ln w="19050">
                <a:solidFill>
                  <a:schemeClr val="lt1"/>
                </a:solidFill>
              </a:ln>
              <a:effectLst/>
            </c:spPr>
            <c:extLst>
              <c:ext xmlns:c16="http://schemas.microsoft.com/office/drawing/2014/chart" uri="{C3380CC4-5D6E-409C-BE32-E72D297353CC}">
                <c16:uniqueId val="{00000001-F274-4604-8872-C31CDD9BE42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274-4604-8872-C31CDD9BE42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274-4604-8872-C31CDD9BE42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274-4604-8872-C31CDD9BE42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274-4604-8872-C31CDD9BE42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274-4604-8872-C31CDD9BE42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F274-4604-8872-C31CDD9BE42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F274-4604-8872-C31CDD9BE421}"/>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F274-4604-8872-C31CDD9BE421}"/>
              </c:ext>
            </c:extLst>
          </c:dPt>
          <c:dLbls>
            <c:dLbl>
              <c:idx val="1"/>
              <c:layout>
                <c:manualLayout>
                  <c:x val="2.3262572178477658E-2"/>
                  <c:y val="0.1593639301675870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274-4604-8872-C31CDD9BE421}"/>
                </c:ext>
              </c:extLst>
            </c:dLbl>
            <c:dLbl>
              <c:idx val="2"/>
              <c:layout>
                <c:manualLayout>
                  <c:x val="-9.4573718285214353E-2"/>
                  <c:y val="0.1546547384358799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274-4604-8872-C31CDD9BE421}"/>
                </c:ext>
              </c:extLst>
            </c:dLbl>
            <c:dLbl>
              <c:idx val="3"/>
              <c:layout>
                <c:manualLayout>
                  <c:x val="-9.1033980752405971E-2"/>
                  <c:y val="6.545555158460239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274-4604-8872-C31CDD9BE421}"/>
                </c:ext>
              </c:extLst>
            </c:dLbl>
            <c:dLbl>
              <c:idx val="4"/>
              <c:layout>
                <c:manualLayout>
                  <c:x val="-8.2562239720034999E-2"/>
                  <c:y val="-1.579337039225387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274-4604-8872-C31CDD9BE421}"/>
                </c:ext>
              </c:extLst>
            </c:dLbl>
            <c:dLbl>
              <c:idx val="5"/>
              <c:layout>
                <c:manualLayout>
                  <c:x val="2.1333333333333333E-2"/>
                  <c:y val="-0.1093216203025866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274-4604-8872-C31CDD9BE421}"/>
                </c:ext>
              </c:extLst>
            </c:dLbl>
            <c:dLbl>
              <c:idx val="6"/>
              <c:layout>
                <c:manualLayout>
                  <c:x val="4.3730533683289587E-2"/>
                  <c:y val="-3.642629590774067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F274-4604-8872-C31CDD9BE421}"/>
                </c:ext>
              </c:extLst>
            </c:dLbl>
            <c:dLbl>
              <c:idx val="7"/>
              <c:layout>
                <c:manualLayout>
                  <c:x val="0.31644444444444442"/>
                  <c:y val="4.69627360898417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F274-4604-8872-C31CDD9BE421}"/>
                </c:ext>
              </c:extLst>
            </c:dLbl>
            <c:dLbl>
              <c:idx val="8"/>
              <c:layout>
                <c:manualLayout>
                  <c:x val="0.34335678040244971"/>
                  <c:y val="0.1106465214053450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F274-4604-8872-C31CDD9BE421}"/>
                </c:ext>
              </c:extLst>
            </c:dLbl>
            <c:numFmt formatCode="0.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Struct.buget!$A$4:$A$12</c:f>
              <c:strCache>
                <c:ptCount val="9"/>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Proiecte cu finanțate din sumele reprezentând asistență financiară PNRR</c:v>
                </c:pt>
                <c:pt idx="8">
                  <c:v>Cheltuieli de capital</c:v>
                </c:pt>
              </c:strCache>
            </c:strRef>
          </c:cat>
          <c:val>
            <c:numRef>
              <c:f>Struct.buget!$B$4:$B$12</c:f>
              <c:numCache>
                <c:formatCode>#,##0</c:formatCode>
                <c:ptCount val="9"/>
                <c:pt idx="0">
                  <c:v>237595</c:v>
                </c:pt>
                <c:pt idx="1">
                  <c:v>21364</c:v>
                </c:pt>
                <c:pt idx="2">
                  <c:v>16</c:v>
                </c:pt>
                <c:pt idx="3">
                  <c:v>93</c:v>
                </c:pt>
                <c:pt idx="4">
                  <c:v>35</c:v>
                </c:pt>
                <c:pt idx="5">
                  <c:v>3365</c:v>
                </c:pt>
                <c:pt idx="6">
                  <c:v>54947</c:v>
                </c:pt>
                <c:pt idx="7">
                  <c:v>658</c:v>
                </c:pt>
                <c:pt idx="8">
                  <c:v>1429</c:v>
                </c:pt>
              </c:numCache>
            </c:numRef>
          </c:val>
          <c:extLst>
            <c:ext xmlns:c16="http://schemas.microsoft.com/office/drawing/2014/chart" uri="{C3380CC4-5D6E-409C-BE32-E72D297353CC}">
              <c16:uniqueId val="{00000012-F274-4604-8872-C31CDD9BE421}"/>
            </c:ext>
          </c:extLst>
        </c:ser>
        <c:ser>
          <c:idx val="1"/>
          <c:order val="1"/>
          <c:tx>
            <c:strRef>
              <c:f>Struct.buget!$C$1:$C$3</c:f>
              <c:strCache>
                <c:ptCount val="3"/>
                <c:pt idx="0">
                  <c:v>STRUCTURA BUGETULUI PE ANUL 2024</c:v>
                </c:pt>
                <c:pt idx="2">
                  <c:v>% CA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14-F274-4604-8872-C31CDD9BE42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6-F274-4604-8872-C31CDD9BE42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8-F274-4604-8872-C31CDD9BE42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A-F274-4604-8872-C31CDD9BE42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C-F274-4604-8872-C31CDD9BE42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E-F274-4604-8872-C31CDD9BE42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20-F274-4604-8872-C31CDD9BE42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22-F274-4604-8872-C31CDD9BE421}"/>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24-F274-4604-8872-C31CDD9BE421}"/>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Struct.buget!$A$4:$A$12</c:f>
              <c:strCache>
                <c:ptCount val="9"/>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Proiecte cu finanțate din sumele reprezentând asistență financiară PNRR</c:v>
                </c:pt>
                <c:pt idx="8">
                  <c:v>Cheltuieli de capital</c:v>
                </c:pt>
              </c:strCache>
            </c:strRef>
          </c:cat>
          <c:val>
            <c:numRef>
              <c:f>Struct.buget!$C$4:$C$12</c:f>
              <c:numCache>
                <c:formatCode>#,##0.00</c:formatCode>
                <c:ptCount val="9"/>
                <c:pt idx="0">
                  <c:v>74.364166734480534</c:v>
                </c:pt>
                <c:pt idx="1">
                  <c:v>6.6866561085689602</c:v>
                </c:pt>
                <c:pt idx="2">
                  <c:v>5.0077933784452057E-3</c:v>
                </c:pt>
                <c:pt idx="3">
                  <c:v>2.9107799012212755E-2</c:v>
                </c:pt>
                <c:pt idx="4">
                  <c:v>1.0954548015348887E-2</c:v>
                </c:pt>
                <c:pt idx="5">
                  <c:v>1.0532015449042573</c:v>
                </c:pt>
                <c:pt idx="6">
                  <c:v>17.197701422839291</c:v>
                </c:pt>
                <c:pt idx="7">
                  <c:v>0.20594550268855905</c:v>
                </c:pt>
                <c:pt idx="8">
                  <c:v>0.44725854611238736</c:v>
                </c:pt>
              </c:numCache>
            </c:numRef>
          </c:val>
          <c:extLst>
            <c:ext xmlns:c16="http://schemas.microsoft.com/office/drawing/2014/chart" uri="{C3380CC4-5D6E-409C-BE32-E72D297353CC}">
              <c16:uniqueId val="{00000025-F274-4604-8872-C31CDD9BE421}"/>
            </c:ext>
          </c:extLst>
        </c:ser>
        <c:ser>
          <c:idx val="2"/>
          <c:order val="2"/>
          <c:tx>
            <c:strRef>
              <c:f>Struct.buget!$D$1:$D$3</c:f>
              <c:strCache>
                <c:ptCount val="3"/>
                <c:pt idx="0">
                  <c:v>STRUCTURA BUGETULUI PE ANUL 2024</c:v>
                </c:pt>
                <c:pt idx="2">
                  <c:v>Credite
 Bugetare CB</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27-F274-4604-8872-C31CDD9BE42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29-F274-4604-8872-C31CDD9BE42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2B-F274-4604-8872-C31CDD9BE42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2D-F274-4604-8872-C31CDD9BE42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2F-F274-4604-8872-C31CDD9BE42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31-F274-4604-8872-C31CDD9BE42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33-F274-4604-8872-C31CDD9BE42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35-F274-4604-8872-C31CDD9BE421}"/>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37-F274-4604-8872-C31CDD9BE421}"/>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Struct.buget!$A$4:$A$12</c:f>
              <c:strCache>
                <c:ptCount val="9"/>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Proiecte cu finanțate din sumele reprezentând asistență financiară PNRR</c:v>
                </c:pt>
                <c:pt idx="8">
                  <c:v>Cheltuieli de capital</c:v>
                </c:pt>
              </c:strCache>
            </c:strRef>
          </c:cat>
          <c:val>
            <c:numRef>
              <c:f>Struct.buget!$D$4:$D$12</c:f>
              <c:numCache>
                <c:formatCode>#,##0</c:formatCode>
                <c:ptCount val="9"/>
                <c:pt idx="0">
                  <c:v>237595</c:v>
                </c:pt>
                <c:pt idx="1">
                  <c:v>19556</c:v>
                </c:pt>
                <c:pt idx="2">
                  <c:v>16</c:v>
                </c:pt>
                <c:pt idx="3">
                  <c:v>93</c:v>
                </c:pt>
                <c:pt idx="4">
                  <c:v>35</c:v>
                </c:pt>
                <c:pt idx="5">
                  <c:v>3365</c:v>
                </c:pt>
                <c:pt idx="6">
                  <c:v>54947</c:v>
                </c:pt>
                <c:pt idx="7">
                  <c:v>658</c:v>
                </c:pt>
                <c:pt idx="8">
                  <c:v>1429</c:v>
                </c:pt>
              </c:numCache>
            </c:numRef>
          </c:val>
          <c:extLst>
            <c:ext xmlns:c16="http://schemas.microsoft.com/office/drawing/2014/chart" uri="{C3380CC4-5D6E-409C-BE32-E72D297353CC}">
              <c16:uniqueId val="{00000038-F274-4604-8872-C31CDD9BE421}"/>
            </c:ext>
          </c:extLst>
        </c:ser>
        <c:ser>
          <c:idx val="3"/>
          <c:order val="3"/>
          <c:tx>
            <c:strRef>
              <c:f>Struct.buget!$E$1:$E$3</c:f>
              <c:strCache>
                <c:ptCount val="3"/>
                <c:pt idx="0">
                  <c:v>STRUCTURA BUGETULUI PE ANUL 2024</c:v>
                </c:pt>
                <c:pt idx="2">
                  <c:v>% CB</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3A-F274-4604-8872-C31CDD9BE42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3C-F274-4604-8872-C31CDD9BE42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3E-F274-4604-8872-C31CDD9BE42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40-F274-4604-8872-C31CDD9BE42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42-F274-4604-8872-C31CDD9BE42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44-F274-4604-8872-C31CDD9BE42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46-F274-4604-8872-C31CDD9BE42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48-F274-4604-8872-C31CDD9BE421}"/>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4A-F274-4604-8872-C31CDD9BE421}"/>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Struct.buget!$A$4:$A$12</c:f>
              <c:strCache>
                <c:ptCount val="9"/>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Proiecte cu finanțate din sumele reprezentând asistență financiară PNRR</c:v>
                </c:pt>
                <c:pt idx="8">
                  <c:v>Cheltuieli de capital</c:v>
                </c:pt>
              </c:strCache>
            </c:strRef>
          </c:cat>
          <c:val>
            <c:numRef>
              <c:f>Struct.buget!$E$4:$E$12</c:f>
              <c:numCache>
                <c:formatCode>0.00</c:formatCode>
                <c:ptCount val="9"/>
                <c:pt idx="0">
                  <c:v>74.787374013988313</c:v>
                </c:pt>
                <c:pt idx="1">
                  <c:v>6.1556088563208622</c:v>
                </c:pt>
                <c:pt idx="2">
                  <c:v>5.0362927848810485E-3</c:v>
                </c:pt>
                <c:pt idx="3">
                  <c:v>2.9273451812121098E-2</c:v>
                </c:pt>
                <c:pt idx="4">
                  <c:v>1.1016890466927295E-2</c:v>
                </c:pt>
                <c:pt idx="5">
                  <c:v>1.0591953263202958</c:v>
                </c:pt>
                <c:pt idx="6">
                  <c:v>17.295573728178688</c:v>
                </c:pt>
                <c:pt idx="7">
                  <c:v>0.20711754077823316</c:v>
                </c:pt>
                <c:pt idx="8">
                  <c:v>0.44980389934968867</c:v>
                </c:pt>
              </c:numCache>
            </c:numRef>
          </c:val>
          <c:extLst>
            <c:ext xmlns:c16="http://schemas.microsoft.com/office/drawing/2014/chart" uri="{C3380CC4-5D6E-409C-BE32-E72D297353CC}">
              <c16:uniqueId val="{0000004B-F274-4604-8872-C31CDD9BE421}"/>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9.061193350831144E-2"/>
          <c:y val="0.76441459365818165"/>
          <c:w val="0.47922057742782154"/>
          <c:h val="0.221474862016615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300">
                <a:solidFill>
                  <a:schemeClr val="tx1"/>
                </a:solidFill>
              </a:rPr>
              <a:t>CHELTUIELI DE PERSONAL </a:t>
            </a:r>
          </a:p>
        </c:rich>
      </c:tx>
      <c:layout>
        <c:manualLayout>
          <c:xMode val="edge"/>
          <c:yMode val="edge"/>
          <c:x val="0.3233333785084093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'Sit finantarii_Ch pers'!$C$78</c:f>
              <c:strCache>
                <c:ptCount val="1"/>
                <c:pt idx="0">
                  <c:v>2023</c:v>
                </c:pt>
              </c:strCache>
            </c:strRef>
          </c:tx>
          <c:spPr>
            <a:solidFill>
              <a:schemeClr val="accent1"/>
            </a:solidFill>
            <a:ln>
              <a:noFill/>
            </a:ln>
            <a:effectLst/>
            <a:sp3d/>
          </c:spPr>
          <c:invertIfNegative val="0"/>
          <c:cat>
            <c:multiLvlStrRef>
              <c:f>'Sit finantarii_Ch pers'!$A$79:$B$82</c:f>
              <c:multiLvlStrCache>
                <c:ptCount val="4"/>
                <c:lvl>
                  <c:pt idx="0">
                    <c:v>CA</c:v>
                  </c:pt>
                  <c:pt idx="1">
                    <c:v>CB</c:v>
                  </c:pt>
                  <c:pt idx="2">
                    <c:v>CA</c:v>
                  </c:pt>
                  <c:pt idx="3">
                    <c:v>CB</c:v>
                  </c:pt>
                </c:lvl>
                <c:lvl>
                  <c:pt idx="0">
                    <c:v>Total</c:v>
                  </c:pt>
                  <c:pt idx="2">
                    <c:v>Cheltuieli de personal</c:v>
                  </c:pt>
                </c:lvl>
              </c:multiLvlStrCache>
            </c:multiLvlStrRef>
          </c:cat>
          <c:val>
            <c:numRef>
              <c:f>'Sit finantarii_Ch pers'!$C$79:$C$82</c:f>
              <c:numCache>
                <c:formatCode>#,##0</c:formatCode>
                <c:ptCount val="4"/>
                <c:pt idx="0">
                  <c:v>277425</c:v>
                </c:pt>
                <c:pt idx="1">
                  <c:v>299070</c:v>
                </c:pt>
                <c:pt idx="2">
                  <c:v>174732</c:v>
                </c:pt>
                <c:pt idx="3">
                  <c:v>174732</c:v>
                </c:pt>
              </c:numCache>
            </c:numRef>
          </c:val>
          <c:extLst>
            <c:ext xmlns:c16="http://schemas.microsoft.com/office/drawing/2014/chart" uri="{C3380CC4-5D6E-409C-BE32-E72D297353CC}">
              <c16:uniqueId val="{00000000-25AE-4C39-AAB5-F27EF3F8573C}"/>
            </c:ext>
          </c:extLst>
        </c:ser>
        <c:ser>
          <c:idx val="1"/>
          <c:order val="1"/>
          <c:tx>
            <c:strRef>
              <c:f>'Sit finantarii_Ch pers'!$D$78</c:f>
              <c:strCache>
                <c:ptCount val="1"/>
                <c:pt idx="0">
                  <c:v>2024</c:v>
                </c:pt>
              </c:strCache>
            </c:strRef>
          </c:tx>
          <c:spPr>
            <a:solidFill>
              <a:schemeClr val="accent2"/>
            </a:solidFill>
            <a:ln>
              <a:noFill/>
            </a:ln>
            <a:effectLst/>
            <a:sp3d/>
          </c:spPr>
          <c:invertIfNegative val="0"/>
          <c:cat>
            <c:multiLvlStrRef>
              <c:f>'Sit finantarii_Ch pers'!$A$79:$B$82</c:f>
              <c:multiLvlStrCache>
                <c:ptCount val="4"/>
                <c:lvl>
                  <c:pt idx="0">
                    <c:v>CA</c:v>
                  </c:pt>
                  <c:pt idx="1">
                    <c:v>CB</c:v>
                  </c:pt>
                  <c:pt idx="2">
                    <c:v>CA</c:v>
                  </c:pt>
                  <c:pt idx="3">
                    <c:v>CB</c:v>
                  </c:pt>
                </c:lvl>
                <c:lvl>
                  <c:pt idx="0">
                    <c:v>Total</c:v>
                  </c:pt>
                  <c:pt idx="2">
                    <c:v>Cheltuieli de personal</c:v>
                  </c:pt>
                </c:lvl>
              </c:multiLvlStrCache>
            </c:multiLvlStrRef>
          </c:cat>
          <c:val>
            <c:numRef>
              <c:f>'Sit finantarii_Ch pers'!$D$79:$D$82</c:f>
              <c:numCache>
                <c:formatCode>#,##0</c:formatCode>
                <c:ptCount val="4"/>
                <c:pt idx="0">
                  <c:v>308636</c:v>
                </c:pt>
                <c:pt idx="1">
                  <c:v>306828</c:v>
                </c:pt>
                <c:pt idx="2">
                  <c:v>228753</c:v>
                </c:pt>
                <c:pt idx="3">
                  <c:v>228753</c:v>
                </c:pt>
              </c:numCache>
            </c:numRef>
          </c:val>
          <c:extLst>
            <c:ext xmlns:c16="http://schemas.microsoft.com/office/drawing/2014/chart" uri="{C3380CC4-5D6E-409C-BE32-E72D297353CC}">
              <c16:uniqueId val="{00000001-25AE-4C39-AAB5-F27EF3F8573C}"/>
            </c:ext>
          </c:extLst>
        </c:ser>
        <c:ser>
          <c:idx val="2"/>
          <c:order val="2"/>
          <c:tx>
            <c:strRef>
              <c:f>'Sit finantarii_Ch pers'!$E$78</c:f>
              <c:strCache>
                <c:ptCount val="1"/>
                <c:pt idx="0">
                  <c:v>2025</c:v>
                </c:pt>
              </c:strCache>
            </c:strRef>
          </c:tx>
          <c:spPr>
            <a:solidFill>
              <a:schemeClr val="accent3"/>
            </a:solidFill>
            <a:ln>
              <a:noFill/>
            </a:ln>
            <a:effectLst/>
            <a:sp3d/>
          </c:spPr>
          <c:invertIfNegative val="0"/>
          <c:cat>
            <c:multiLvlStrRef>
              <c:f>'Sit finantarii_Ch pers'!$A$79:$B$82</c:f>
              <c:multiLvlStrCache>
                <c:ptCount val="4"/>
                <c:lvl>
                  <c:pt idx="0">
                    <c:v>CA</c:v>
                  </c:pt>
                  <c:pt idx="1">
                    <c:v>CB</c:v>
                  </c:pt>
                  <c:pt idx="2">
                    <c:v>CA</c:v>
                  </c:pt>
                  <c:pt idx="3">
                    <c:v>CB</c:v>
                  </c:pt>
                </c:lvl>
                <c:lvl>
                  <c:pt idx="0">
                    <c:v>Total</c:v>
                  </c:pt>
                  <c:pt idx="2">
                    <c:v>Cheltuieli de personal</c:v>
                  </c:pt>
                </c:lvl>
              </c:multiLvlStrCache>
            </c:multiLvlStrRef>
          </c:cat>
          <c:val>
            <c:numRef>
              <c:f>'Sit finantarii_Ch pers'!$E$79:$E$82</c:f>
              <c:numCache>
                <c:formatCode>#,##0</c:formatCode>
                <c:ptCount val="4"/>
                <c:pt idx="0">
                  <c:v>450093</c:v>
                </c:pt>
                <c:pt idx="1">
                  <c:v>443862</c:v>
                </c:pt>
                <c:pt idx="2">
                  <c:v>311038</c:v>
                </c:pt>
                <c:pt idx="3">
                  <c:v>311038</c:v>
                </c:pt>
              </c:numCache>
            </c:numRef>
          </c:val>
          <c:extLst>
            <c:ext xmlns:c16="http://schemas.microsoft.com/office/drawing/2014/chart" uri="{C3380CC4-5D6E-409C-BE32-E72D297353CC}">
              <c16:uniqueId val="{00000002-25AE-4C39-AAB5-F27EF3F8573C}"/>
            </c:ext>
          </c:extLst>
        </c:ser>
        <c:dLbls>
          <c:showLegendKey val="0"/>
          <c:showVal val="0"/>
          <c:showCatName val="0"/>
          <c:showSerName val="0"/>
          <c:showPercent val="0"/>
          <c:showBubbleSize val="0"/>
        </c:dLbls>
        <c:gapWidth val="150"/>
        <c:shape val="box"/>
        <c:axId val="518696568"/>
        <c:axId val="518698136"/>
        <c:axId val="590008576"/>
      </c:bar3DChart>
      <c:catAx>
        <c:axId val="5186965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18698136"/>
        <c:crosses val="autoZero"/>
        <c:auto val="1"/>
        <c:lblAlgn val="ctr"/>
        <c:lblOffset val="100"/>
        <c:noMultiLvlLbl val="0"/>
      </c:catAx>
      <c:valAx>
        <c:axId val="518698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18696568"/>
        <c:crosses val="autoZero"/>
        <c:crossBetween val="between"/>
      </c:valAx>
      <c:serAx>
        <c:axId val="59000857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1869813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r>
              <a:rPr lang="en-US" sz="1300">
                <a:solidFill>
                  <a:schemeClr val="tx1"/>
                </a:solidFill>
              </a:rPr>
              <a:t>BUNURI SI SERVICII	</a:t>
            </a:r>
          </a:p>
        </c:rich>
      </c:tx>
      <c:overlay val="0"/>
      <c:spPr>
        <a:noFill/>
        <a:ln>
          <a:noFill/>
        </a:ln>
        <a:effectLst/>
      </c:spPr>
      <c:txPr>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'Sit finantarii_Ch pers'!$C$86</c:f>
              <c:strCache>
                <c:ptCount val="1"/>
                <c:pt idx="0">
                  <c:v>2023</c:v>
                </c:pt>
              </c:strCache>
            </c:strRef>
          </c:tx>
          <c:spPr>
            <a:solidFill>
              <a:schemeClr val="accent1"/>
            </a:solidFill>
            <a:ln>
              <a:noFill/>
            </a:ln>
            <a:effectLst/>
            <a:sp3d/>
          </c:spPr>
          <c:invertIfNegative val="0"/>
          <c:cat>
            <c:multiLvlStrRef>
              <c:f>'Sit finantarii_Ch pers'!$A$87:$B$90</c:f>
              <c:multiLvlStrCache>
                <c:ptCount val="4"/>
                <c:lvl>
                  <c:pt idx="0">
                    <c:v>CA</c:v>
                  </c:pt>
                  <c:pt idx="1">
                    <c:v>CB</c:v>
                  </c:pt>
                  <c:pt idx="2">
                    <c:v>CA</c:v>
                  </c:pt>
                  <c:pt idx="3">
                    <c:v>CB</c:v>
                  </c:pt>
                </c:lvl>
                <c:lvl>
                  <c:pt idx="0">
                    <c:v>Total</c:v>
                  </c:pt>
                  <c:pt idx="2">
                    <c:v>Bunuri și servicii</c:v>
                  </c:pt>
                </c:lvl>
              </c:multiLvlStrCache>
            </c:multiLvlStrRef>
          </c:cat>
          <c:val>
            <c:numRef>
              <c:f>'Sit finantarii_Ch pers'!$C$87:$C$90</c:f>
              <c:numCache>
                <c:formatCode>#,##0</c:formatCode>
                <c:ptCount val="4"/>
                <c:pt idx="0">
                  <c:v>218178</c:v>
                </c:pt>
                <c:pt idx="1">
                  <c:v>182774</c:v>
                </c:pt>
                <c:pt idx="2">
                  <c:v>10647</c:v>
                </c:pt>
                <c:pt idx="3">
                  <c:v>10647</c:v>
                </c:pt>
              </c:numCache>
            </c:numRef>
          </c:val>
          <c:extLst>
            <c:ext xmlns:c16="http://schemas.microsoft.com/office/drawing/2014/chart" uri="{C3380CC4-5D6E-409C-BE32-E72D297353CC}">
              <c16:uniqueId val="{00000000-C116-43CC-818F-1AFC7AE49397}"/>
            </c:ext>
          </c:extLst>
        </c:ser>
        <c:ser>
          <c:idx val="1"/>
          <c:order val="1"/>
          <c:tx>
            <c:strRef>
              <c:f>'Sit finantarii_Ch pers'!$D$86</c:f>
              <c:strCache>
                <c:ptCount val="1"/>
                <c:pt idx="0">
                  <c:v>2024</c:v>
                </c:pt>
              </c:strCache>
            </c:strRef>
          </c:tx>
          <c:spPr>
            <a:solidFill>
              <a:schemeClr val="accent2"/>
            </a:solidFill>
            <a:ln>
              <a:noFill/>
            </a:ln>
            <a:effectLst/>
            <a:sp3d/>
          </c:spPr>
          <c:invertIfNegative val="0"/>
          <c:cat>
            <c:multiLvlStrRef>
              <c:f>'Sit finantarii_Ch pers'!$A$87:$B$90</c:f>
              <c:multiLvlStrCache>
                <c:ptCount val="4"/>
                <c:lvl>
                  <c:pt idx="0">
                    <c:v>CA</c:v>
                  </c:pt>
                  <c:pt idx="1">
                    <c:v>CB</c:v>
                  </c:pt>
                  <c:pt idx="2">
                    <c:v>CA</c:v>
                  </c:pt>
                  <c:pt idx="3">
                    <c:v>CB</c:v>
                  </c:pt>
                </c:lvl>
                <c:lvl>
                  <c:pt idx="0">
                    <c:v>Total</c:v>
                  </c:pt>
                  <c:pt idx="2">
                    <c:v>Bunuri și servicii</c:v>
                  </c:pt>
                </c:lvl>
              </c:multiLvlStrCache>
            </c:multiLvlStrRef>
          </c:cat>
          <c:val>
            <c:numRef>
              <c:f>'Sit finantarii_Ch pers'!$D$87:$D$90</c:f>
              <c:numCache>
                <c:formatCode>#,##0</c:formatCode>
                <c:ptCount val="4"/>
                <c:pt idx="0">
                  <c:v>308636</c:v>
                </c:pt>
                <c:pt idx="1">
                  <c:v>306828</c:v>
                </c:pt>
                <c:pt idx="2">
                  <c:v>21528</c:v>
                </c:pt>
                <c:pt idx="3">
                  <c:v>19720</c:v>
                </c:pt>
              </c:numCache>
            </c:numRef>
          </c:val>
          <c:extLst>
            <c:ext xmlns:c16="http://schemas.microsoft.com/office/drawing/2014/chart" uri="{C3380CC4-5D6E-409C-BE32-E72D297353CC}">
              <c16:uniqueId val="{00000001-C116-43CC-818F-1AFC7AE49397}"/>
            </c:ext>
          </c:extLst>
        </c:ser>
        <c:ser>
          <c:idx val="2"/>
          <c:order val="2"/>
          <c:tx>
            <c:strRef>
              <c:f>'Sit finantarii_Ch pers'!$E$86</c:f>
              <c:strCache>
                <c:ptCount val="1"/>
                <c:pt idx="0">
                  <c:v>2025</c:v>
                </c:pt>
              </c:strCache>
            </c:strRef>
          </c:tx>
          <c:spPr>
            <a:solidFill>
              <a:schemeClr val="accent3"/>
            </a:solidFill>
            <a:ln>
              <a:noFill/>
            </a:ln>
            <a:effectLst/>
            <a:sp3d/>
          </c:spPr>
          <c:invertIfNegative val="0"/>
          <c:cat>
            <c:multiLvlStrRef>
              <c:f>'Sit finantarii_Ch pers'!$A$87:$B$90</c:f>
              <c:multiLvlStrCache>
                <c:ptCount val="4"/>
                <c:lvl>
                  <c:pt idx="0">
                    <c:v>CA</c:v>
                  </c:pt>
                  <c:pt idx="1">
                    <c:v>CB</c:v>
                  </c:pt>
                  <c:pt idx="2">
                    <c:v>CA</c:v>
                  </c:pt>
                  <c:pt idx="3">
                    <c:v>CB</c:v>
                  </c:pt>
                </c:lvl>
                <c:lvl>
                  <c:pt idx="0">
                    <c:v>Total</c:v>
                  </c:pt>
                  <c:pt idx="2">
                    <c:v>Bunuri și servicii</c:v>
                  </c:pt>
                </c:lvl>
              </c:multiLvlStrCache>
            </c:multiLvlStrRef>
          </c:cat>
          <c:val>
            <c:numRef>
              <c:f>'Sit finantarii_Ch pers'!$E$87:$E$90</c:f>
              <c:numCache>
                <c:formatCode>#,##0</c:formatCode>
                <c:ptCount val="4"/>
                <c:pt idx="0">
                  <c:v>450093</c:v>
                </c:pt>
                <c:pt idx="1">
                  <c:v>443862</c:v>
                </c:pt>
                <c:pt idx="2">
                  <c:v>48350</c:v>
                </c:pt>
                <c:pt idx="3">
                  <c:v>48350</c:v>
                </c:pt>
              </c:numCache>
            </c:numRef>
          </c:val>
          <c:extLst>
            <c:ext xmlns:c16="http://schemas.microsoft.com/office/drawing/2014/chart" uri="{C3380CC4-5D6E-409C-BE32-E72D297353CC}">
              <c16:uniqueId val="{00000002-C116-43CC-818F-1AFC7AE49397}"/>
            </c:ext>
          </c:extLst>
        </c:ser>
        <c:dLbls>
          <c:showLegendKey val="0"/>
          <c:showVal val="0"/>
          <c:showCatName val="0"/>
          <c:showSerName val="0"/>
          <c:showPercent val="0"/>
          <c:showBubbleSize val="0"/>
        </c:dLbls>
        <c:gapWidth val="150"/>
        <c:shape val="box"/>
        <c:axId val="518696960"/>
        <c:axId val="518697352"/>
        <c:axId val="590020448"/>
      </c:bar3DChart>
      <c:catAx>
        <c:axId val="5186969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18697352"/>
        <c:crosses val="autoZero"/>
        <c:auto val="1"/>
        <c:lblAlgn val="ctr"/>
        <c:lblOffset val="100"/>
        <c:noMultiLvlLbl val="0"/>
      </c:catAx>
      <c:valAx>
        <c:axId val="518697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18696960"/>
        <c:crosses val="autoZero"/>
        <c:crossBetween val="between"/>
      </c:valAx>
      <c:serAx>
        <c:axId val="59002044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1869735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r>
              <a:rPr lang="ro-RO" sz="1300"/>
              <a:t>Proiecte cu finanțare din FEN aferente cadrului financiar 2014-2020</a:t>
            </a:r>
            <a:endParaRPr lang="en-US" sz="1300"/>
          </a:p>
        </c:rich>
      </c:tx>
      <c:layout>
        <c:manualLayout>
          <c:xMode val="edge"/>
          <c:yMode val="edge"/>
          <c:x val="0.12481734565787972"/>
          <c:y val="3.6133694670280034E-2"/>
        </c:manualLayout>
      </c:layout>
      <c:overlay val="0"/>
      <c:spPr>
        <a:noFill/>
        <a:ln>
          <a:noFill/>
        </a:ln>
        <a:effectLst/>
      </c:spPr>
      <c:txPr>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'Sit finantarii_Ch pers'!$C$94</c:f>
              <c:strCache>
                <c:ptCount val="1"/>
                <c:pt idx="0">
                  <c:v>2023</c:v>
                </c:pt>
              </c:strCache>
            </c:strRef>
          </c:tx>
          <c:spPr>
            <a:solidFill>
              <a:schemeClr val="accent1"/>
            </a:solidFill>
            <a:ln>
              <a:noFill/>
            </a:ln>
            <a:effectLst/>
            <a:sp3d/>
          </c:spPr>
          <c:invertIfNegative val="0"/>
          <c:cat>
            <c:multiLvlStrRef>
              <c:f>'Sit finantarii_Ch pers'!$A$95:$B$98</c:f>
              <c:multiLvlStrCache>
                <c:ptCount val="4"/>
                <c:lvl>
                  <c:pt idx="0">
                    <c:v>CA</c:v>
                  </c:pt>
                  <c:pt idx="1">
                    <c:v>CB</c:v>
                  </c:pt>
                  <c:pt idx="2">
                    <c:v>CA</c:v>
                  </c:pt>
                  <c:pt idx="3">
                    <c:v>CB</c:v>
                  </c:pt>
                </c:lvl>
                <c:lvl>
                  <c:pt idx="0">
                    <c:v>Total</c:v>
                  </c:pt>
                  <c:pt idx="2">
                    <c:v>Proiecte cu finanțare din FEN aferente cadrului financiar 2014-2020</c:v>
                  </c:pt>
                </c:lvl>
              </c:multiLvlStrCache>
            </c:multiLvlStrRef>
          </c:cat>
          <c:val>
            <c:numRef>
              <c:f>'Sit finantarii_Ch pers'!$C$95:$C$98</c:f>
              <c:numCache>
                <c:formatCode>#,##0</c:formatCode>
                <c:ptCount val="4"/>
                <c:pt idx="0">
                  <c:v>218178</c:v>
                </c:pt>
                <c:pt idx="1">
                  <c:v>182774</c:v>
                </c:pt>
                <c:pt idx="2">
                  <c:v>43260</c:v>
                </c:pt>
                <c:pt idx="3">
                  <c:v>66883</c:v>
                </c:pt>
              </c:numCache>
            </c:numRef>
          </c:val>
          <c:extLst>
            <c:ext xmlns:c16="http://schemas.microsoft.com/office/drawing/2014/chart" uri="{C3380CC4-5D6E-409C-BE32-E72D297353CC}">
              <c16:uniqueId val="{00000000-0E33-47B1-9A40-D84F7D476C3E}"/>
            </c:ext>
          </c:extLst>
        </c:ser>
        <c:ser>
          <c:idx val="1"/>
          <c:order val="1"/>
          <c:tx>
            <c:strRef>
              <c:f>'Sit finantarii_Ch pers'!$D$94</c:f>
              <c:strCache>
                <c:ptCount val="1"/>
                <c:pt idx="0">
                  <c:v>2024</c:v>
                </c:pt>
              </c:strCache>
            </c:strRef>
          </c:tx>
          <c:spPr>
            <a:solidFill>
              <a:schemeClr val="accent2"/>
            </a:solidFill>
            <a:ln>
              <a:noFill/>
            </a:ln>
            <a:effectLst/>
            <a:sp3d/>
          </c:spPr>
          <c:invertIfNegative val="0"/>
          <c:cat>
            <c:multiLvlStrRef>
              <c:f>'Sit finantarii_Ch pers'!$A$95:$B$98</c:f>
              <c:multiLvlStrCache>
                <c:ptCount val="4"/>
                <c:lvl>
                  <c:pt idx="0">
                    <c:v>CA</c:v>
                  </c:pt>
                  <c:pt idx="1">
                    <c:v>CB</c:v>
                  </c:pt>
                  <c:pt idx="2">
                    <c:v>CA</c:v>
                  </c:pt>
                  <c:pt idx="3">
                    <c:v>CB</c:v>
                  </c:pt>
                </c:lvl>
                <c:lvl>
                  <c:pt idx="0">
                    <c:v>Total</c:v>
                  </c:pt>
                  <c:pt idx="2">
                    <c:v>Proiecte cu finanțare din FEN aferente cadrului financiar 2014-2020</c:v>
                  </c:pt>
                </c:lvl>
              </c:multiLvlStrCache>
            </c:multiLvlStrRef>
          </c:cat>
          <c:val>
            <c:numRef>
              <c:f>'Sit finantarii_Ch pers'!$D$95:$D$98</c:f>
              <c:numCache>
                <c:formatCode>#,##0</c:formatCode>
                <c:ptCount val="4"/>
                <c:pt idx="0">
                  <c:v>308636</c:v>
                </c:pt>
                <c:pt idx="1">
                  <c:v>306828</c:v>
                </c:pt>
                <c:pt idx="2">
                  <c:v>3330</c:v>
                </c:pt>
                <c:pt idx="3">
                  <c:v>3330</c:v>
                </c:pt>
              </c:numCache>
            </c:numRef>
          </c:val>
          <c:extLst>
            <c:ext xmlns:c16="http://schemas.microsoft.com/office/drawing/2014/chart" uri="{C3380CC4-5D6E-409C-BE32-E72D297353CC}">
              <c16:uniqueId val="{00000001-0E33-47B1-9A40-D84F7D476C3E}"/>
            </c:ext>
          </c:extLst>
        </c:ser>
        <c:ser>
          <c:idx val="2"/>
          <c:order val="2"/>
          <c:tx>
            <c:strRef>
              <c:f>'Sit finantarii_Ch pers'!$E$94</c:f>
              <c:strCache>
                <c:ptCount val="1"/>
                <c:pt idx="0">
                  <c:v>2025</c:v>
                </c:pt>
              </c:strCache>
            </c:strRef>
          </c:tx>
          <c:spPr>
            <a:solidFill>
              <a:schemeClr val="accent3"/>
            </a:solidFill>
            <a:ln>
              <a:noFill/>
            </a:ln>
            <a:effectLst/>
            <a:sp3d/>
          </c:spPr>
          <c:invertIfNegative val="0"/>
          <c:cat>
            <c:multiLvlStrRef>
              <c:f>'Sit finantarii_Ch pers'!$A$95:$B$98</c:f>
              <c:multiLvlStrCache>
                <c:ptCount val="4"/>
                <c:lvl>
                  <c:pt idx="0">
                    <c:v>CA</c:v>
                  </c:pt>
                  <c:pt idx="1">
                    <c:v>CB</c:v>
                  </c:pt>
                  <c:pt idx="2">
                    <c:v>CA</c:v>
                  </c:pt>
                  <c:pt idx="3">
                    <c:v>CB</c:v>
                  </c:pt>
                </c:lvl>
                <c:lvl>
                  <c:pt idx="0">
                    <c:v>Total</c:v>
                  </c:pt>
                  <c:pt idx="2">
                    <c:v>Proiecte cu finanțare din FEN aferente cadrului financiar 2014-2020</c:v>
                  </c:pt>
                </c:lvl>
              </c:multiLvlStrCache>
            </c:multiLvlStrRef>
          </c:cat>
          <c:val>
            <c:numRef>
              <c:f>'Sit finantarii_Ch pers'!$E$95:$E$98</c:f>
              <c:numCache>
                <c:formatCode>#,##0</c:formatCode>
                <c:ptCount val="4"/>
                <c:pt idx="0">
                  <c:v>450093</c:v>
                </c:pt>
                <c:pt idx="1">
                  <c:v>443862</c:v>
                </c:pt>
                <c:pt idx="2">
                  <c:v>305</c:v>
                </c:pt>
                <c:pt idx="3">
                  <c:v>305</c:v>
                </c:pt>
              </c:numCache>
            </c:numRef>
          </c:val>
          <c:extLst>
            <c:ext xmlns:c16="http://schemas.microsoft.com/office/drawing/2014/chart" uri="{C3380CC4-5D6E-409C-BE32-E72D297353CC}">
              <c16:uniqueId val="{00000002-0E33-47B1-9A40-D84F7D476C3E}"/>
            </c:ext>
          </c:extLst>
        </c:ser>
        <c:dLbls>
          <c:showLegendKey val="0"/>
          <c:showVal val="0"/>
          <c:showCatName val="0"/>
          <c:showSerName val="0"/>
          <c:showPercent val="0"/>
          <c:showBubbleSize val="0"/>
        </c:dLbls>
        <c:gapWidth val="150"/>
        <c:shape val="box"/>
        <c:axId val="420520312"/>
        <c:axId val="420519528"/>
        <c:axId val="590017056"/>
      </c:bar3DChart>
      <c:catAx>
        <c:axId val="4205203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20519528"/>
        <c:crosses val="autoZero"/>
        <c:auto val="1"/>
        <c:lblAlgn val="ctr"/>
        <c:lblOffset val="100"/>
        <c:noMultiLvlLbl val="0"/>
      </c:catAx>
      <c:valAx>
        <c:axId val="4205195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20520312"/>
        <c:crosses val="autoZero"/>
        <c:crossBetween val="between"/>
      </c:valAx>
      <c:serAx>
        <c:axId val="59001705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2051952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'%Bug INM_SNG in CSM'!$D$1:$D$2</c:f>
              <c:strCache>
                <c:ptCount val="2"/>
                <c:pt idx="0">
                  <c:v>2023</c:v>
                </c:pt>
              </c:strCache>
            </c:strRef>
          </c:tx>
          <c:spPr>
            <a:solidFill>
              <a:schemeClr val="accent1"/>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c:multiLvlStrRef>
          </c:cat>
          <c:val>
            <c:numRef>
              <c:f>('%Bug INM_SNG in CSM'!$D$3:$D$6,'%Bug INM_SNG in CSM'!$D$9:$D$14,'%Bug INM_SNG in CSM'!$D$17:$D$18)</c:f>
              <c:numCache>
                <c:formatCode>#,##0</c:formatCode>
                <c:ptCount val="12"/>
                <c:pt idx="0">
                  <c:v>277425</c:v>
                </c:pt>
                <c:pt idx="1">
                  <c:v>299070</c:v>
                </c:pt>
                <c:pt idx="2">
                  <c:v>155392</c:v>
                </c:pt>
                <c:pt idx="3">
                  <c:v>173305</c:v>
                </c:pt>
                <c:pt idx="4">
                  <c:v>36645</c:v>
                </c:pt>
                <c:pt idx="5">
                  <c:v>36645</c:v>
                </c:pt>
                <c:pt idx="6" formatCode="0.00%">
                  <c:v>0.1320897539875642</c:v>
                </c:pt>
                <c:pt idx="7" formatCode="0.00%">
                  <c:v>0.12252984251178654</c:v>
                </c:pt>
                <c:pt idx="8">
                  <c:v>72088</c:v>
                </c:pt>
                <c:pt idx="9">
                  <c:v>74127</c:v>
                </c:pt>
                <c:pt idx="10">
                  <c:v>13300</c:v>
                </c:pt>
                <c:pt idx="11">
                  <c:v>14993</c:v>
                </c:pt>
              </c:numCache>
              <c:extLst/>
            </c:numRef>
          </c:val>
          <c:extLst>
            <c:ext xmlns:c16="http://schemas.microsoft.com/office/drawing/2014/chart" uri="{C3380CC4-5D6E-409C-BE32-E72D297353CC}">
              <c16:uniqueId val="{00000000-CBB6-489D-BA62-2493B00BD31A}"/>
            </c:ext>
          </c:extLst>
        </c:ser>
        <c:ser>
          <c:idx val="1"/>
          <c:order val="1"/>
          <c:tx>
            <c:strRef>
              <c:f>'%Bug INM_SNG in CSM'!$E$1:$E$2</c:f>
              <c:strCache>
                <c:ptCount val="2"/>
                <c:pt idx="0">
                  <c:v>2023</c:v>
                </c:pt>
              </c:strCache>
            </c:strRef>
          </c:tx>
          <c:spPr>
            <a:solidFill>
              <a:schemeClr val="accent2"/>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c:multiLvlStrRef>
          </c:cat>
          <c:val>
            <c:numRef>
              <c:f>('%Bug INM_SNG in CSM'!$E$3:$E$6,'%Bug INM_SNG in CSM'!$E$9:$E$14,'%Bug INM_SNG in CSM'!$E$17:$E$18)</c:f>
              <c:numCache>
                <c:formatCode>#,##0</c:formatCode>
                <c:ptCount val="12"/>
                <c:pt idx="0">
                  <c:v>48642.42424242424</c:v>
                </c:pt>
                <c:pt idx="1">
                  <c:v>53015.151515151512</c:v>
                </c:pt>
                <c:pt idx="2">
                  <c:v>31392.32323232323</c:v>
                </c:pt>
                <c:pt idx="3">
                  <c:v>35011.111111111109</c:v>
                </c:pt>
                <c:pt idx="4">
                  <c:v>7403.030303030303</c:v>
                </c:pt>
                <c:pt idx="5">
                  <c:v>7403.030303030303</c:v>
                </c:pt>
                <c:pt idx="8">
                  <c:v>14563.232323232323</c:v>
                </c:pt>
                <c:pt idx="9">
                  <c:v>14975.151515151514</c:v>
                </c:pt>
                <c:pt idx="10">
                  <c:v>2686.8686868686868</c:v>
                </c:pt>
                <c:pt idx="11">
                  <c:v>3028.8888888888887</c:v>
                </c:pt>
              </c:numCache>
              <c:extLst/>
            </c:numRef>
          </c:val>
          <c:extLst>
            <c:ext xmlns:c16="http://schemas.microsoft.com/office/drawing/2014/chart" uri="{C3380CC4-5D6E-409C-BE32-E72D297353CC}">
              <c16:uniqueId val="{00000001-CBB6-489D-BA62-2493B00BD31A}"/>
            </c:ext>
          </c:extLst>
        </c:ser>
        <c:ser>
          <c:idx val="2"/>
          <c:order val="2"/>
          <c:tx>
            <c:strRef>
              <c:f>'%Bug INM_SNG in CSM'!$F$1:$F$2</c:f>
              <c:strCache>
                <c:ptCount val="2"/>
                <c:pt idx="0">
                  <c:v>2024</c:v>
                </c:pt>
              </c:strCache>
            </c:strRef>
          </c:tx>
          <c:spPr>
            <a:solidFill>
              <a:schemeClr val="accent3"/>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c:multiLvlStrRef>
          </c:cat>
          <c:val>
            <c:numRef>
              <c:f>('%Bug INM_SNG in CSM'!$F$3:$F$6,'%Bug INM_SNG in CSM'!$F$9:$F$14,'%Bug INM_SNG in CSM'!$F$17:$F$18)</c:f>
              <c:numCache>
                <c:formatCode>#,##0</c:formatCode>
                <c:ptCount val="12"/>
                <c:pt idx="0">
                  <c:v>308636</c:v>
                </c:pt>
                <c:pt idx="1">
                  <c:v>306828</c:v>
                </c:pt>
                <c:pt idx="2">
                  <c:v>143259</c:v>
                </c:pt>
                <c:pt idx="3">
                  <c:v>143099</c:v>
                </c:pt>
                <c:pt idx="4">
                  <c:v>49100</c:v>
                </c:pt>
                <c:pt idx="5">
                  <c:v>48776</c:v>
                </c:pt>
                <c:pt idx="6" formatCode="0.00%">
                  <c:v>0.15908707992586738</c:v>
                </c:pt>
                <c:pt idx="7" formatCode="0.00%">
                  <c:v>0.15896854263626528</c:v>
                </c:pt>
                <c:pt idx="8">
                  <c:v>95785</c:v>
                </c:pt>
                <c:pt idx="9">
                  <c:v>95019</c:v>
                </c:pt>
                <c:pt idx="10">
                  <c:v>20492</c:v>
                </c:pt>
                <c:pt idx="11">
                  <c:v>19934</c:v>
                </c:pt>
              </c:numCache>
              <c:extLst/>
            </c:numRef>
          </c:val>
          <c:extLst>
            <c:ext xmlns:c16="http://schemas.microsoft.com/office/drawing/2014/chart" uri="{C3380CC4-5D6E-409C-BE32-E72D297353CC}">
              <c16:uniqueId val="{00000002-CBB6-489D-BA62-2493B00BD31A}"/>
            </c:ext>
          </c:extLst>
        </c:ser>
        <c:ser>
          <c:idx val="3"/>
          <c:order val="3"/>
          <c:tx>
            <c:strRef>
              <c:f>'%Bug INM_SNG in CSM'!$G$1:$G$2</c:f>
              <c:strCache>
                <c:ptCount val="2"/>
                <c:pt idx="0">
                  <c:v>2024</c:v>
                </c:pt>
              </c:strCache>
            </c:strRef>
          </c:tx>
          <c:spPr>
            <a:solidFill>
              <a:schemeClr val="accent4"/>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c:multiLvlStrRef>
          </c:cat>
          <c:val>
            <c:numRef>
              <c:f>('%Bug INM_SNG in CSM'!$G$3:$G$6,'%Bug INM_SNG in CSM'!$G$9:$G$14,'%Bug INM_SNG in CSM'!$G$17:$G$18)</c:f>
              <c:numCache>
                <c:formatCode>#,##0</c:formatCode>
                <c:ptCount val="12"/>
                <c:pt idx="0">
                  <c:v>51907.200000000004</c:v>
                </c:pt>
                <c:pt idx="1">
                  <c:v>51610.400000000001</c:v>
                </c:pt>
                <c:pt idx="2">
                  <c:v>28651.8</c:v>
                </c:pt>
                <c:pt idx="3">
                  <c:v>28619.8</c:v>
                </c:pt>
                <c:pt idx="4">
                  <c:v>9820</c:v>
                </c:pt>
                <c:pt idx="5">
                  <c:v>9755.2000000000007</c:v>
                </c:pt>
                <c:pt idx="8">
                  <c:v>19157</c:v>
                </c:pt>
                <c:pt idx="9">
                  <c:v>19003.8</c:v>
                </c:pt>
                <c:pt idx="10">
                  <c:v>4098.3999999999996</c:v>
                </c:pt>
                <c:pt idx="11">
                  <c:v>3986.8</c:v>
                </c:pt>
              </c:numCache>
              <c:extLst/>
            </c:numRef>
          </c:val>
          <c:extLst>
            <c:ext xmlns:c16="http://schemas.microsoft.com/office/drawing/2014/chart" uri="{C3380CC4-5D6E-409C-BE32-E72D297353CC}">
              <c16:uniqueId val="{00000003-CBB6-489D-BA62-2493B00BD31A}"/>
            </c:ext>
          </c:extLst>
        </c:ser>
        <c:ser>
          <c:idx val="4"/>
          <c:order val="4"/>
          <c:tx>
            <c:strRef>
              <c:f>'%Bug INM_SNG in CSM'!$H$1:$H$2</c:f>
              <c:strCache>
                <c:ptCount val="2"/>
                <c:pt idx="0">
                  <c:v>2025</c:v>
                </c:pt>
              </c:strCache>
            </c:strRef>
          </c:tx>
          <c:spPr>
            <a:solidFill>
              <a:schemeClr val="accent5"/>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c:multiLvlStrRef>
          </c:cat>
          <c:val>
            <c:numRef>
              <c:f>('%Bug INM_SNG in CSM'!$H$3:$H$6,'%Bug INM_SNG in CSM'!$H$9:$H$14,'%Bug INM_SNG in CSM'!$H$17:$H$18)</c:f>
              <c:numCache>
                <c:formatCode>#,##0</c:formatCode>
                <c:ptCount val="12"/>
                <c:pt idx="0">
                  <c:v>450093</c:v>
                </c:pt>
                <c:pt idx="1">
                  <c:v>443862</c:v>
                </c:pt>
                <c:pt idx="2">
                  <c:v>168897</c:v>
                </c:pt>
                <c:pt idx="3">
                  <c:v>168897</c:v>
                </c:pt>
                <c:pt idx="4">
                  <c:v>73750</c:v>
                </c:pt>
                <c:pt idx="5">
                  <c:v>73750</c:v>
                </c:pt>
                <c:pt idx="6" formatCode="0.00%">
                  <c:v>0.16385502551694872</c:v>
                </c:pt>
                <c:pt idx="7" formatCode="0.00%">
                  <c:v>0.16615524645047333</c:v>
                </c:pt>
                <c:pt idx="8">
                  <c:v>149610</c:v>
                </c:pt>
                <c:pt idx="9">
                  <c:v>143379</c:v>
                </c:pt>
                <c:pt idx="10">
                  <c:v>57836</c:v>
                </c:pt>
                <c:pt idx="11">
                  <c:v>57836</c:v>
                </c:pt>
              </c:numCache>
              <c:extLst/>
            </c:numRef>
          </c:val>
          <c:extLst>
            <c:ext xmlns:c16="http://schemas.microsoft.com/office/drawing/2014/chart" uri="{C3380CC4-5D6E-409C-BE32-E72D297353CC}">
              <c16:uniqueId val="{00000004-CBB6-489D-BA62-2493B00BD31A}"/>
            </c:ext>
          </c:extLst>
        </c:ser>
        <c:ser>
          <c:idx val="5"/>
          <c:order val="5"/>
          <c:tx>
            <c:strRef>
              <c:f>'%Bug INM_SNG in CSM'!$I$1:$I$2</c:f>
              <c:strCache>
                <c:ptCount val="2"/>
                <c:pt idx="0">
                  <c:v>2025</c:v>
                </c:pt>
              </c:strCache>
            </c:strRef>
          </c:tx>
          <c:spPr>
            <a:solidFill>
              <a:schemeClr val="accent6"/>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c:multiLvlStrRef>
          </c:cat>
          <c:val>
            <c:numRef>
              <c:f>('%Bug INM_SNG in CSM'!$I$3:$I$6,'%Bug INM_SNG in CSM'!$I$9:$I$14,'%Bug INM_SNG in CSM'!$I$17:$I$18)</c:f>
              <c:numCache>
                <c:formatCode>#,##0</c:formatCode>
                <c:ptCount val="12"/>
                <c:pt idx="0">
                  <c:v>75268.600000000006</c:v>
                </c:pt>
                <c:pt idx="1">
                  <c:v>74022.399999999994</c:v>
                </c:pt>
                <c:pt idx="2">
                  <c:v>33779.4</c:v>
                </c:pt>
                <c:pt idx="3">
                  <c:v>33779.4</c:v>
                </c:pt>
                <c:pt idx="4">
                  <c:v>14750</c:v>
                </c:pt>
                <c:pt idx="5">
                  <c:v>14750</c:v>
                </c:pt>
                <c:pt idx="8">
                  <c:v>29922</c:v>
                </c:pt>
                <c:pt idx="9">
                  <c:v>28675.8</c:v>
                </c:pt>
                <c:pt idx="10">
                  <c:v>11567.2</c:v>
                </c:pt>
                <c:pt idx="11">
                  <c:v>11567.2</c:v>
                </c:pt>
              </c:numCache>
              <c:extLst/>
            </c:numRef>
          </c:val>
          <c:extLst>
            <c:ext xmlns:c16="http://schemas.microsoft.com/office/drawing/2014/chart" uri="{C3380CC4-5D6E-409C-BE32-E72D297353CC}">
              <c16:uniqueId val="{00000005-CBB6-489D-BA62-2493B00BD31A}"/>
            </c:ext>
          </c:extLst>
        </c:ser>
        <c:dLbls>
          <c:showLegendKey val="0"/>
          <c:showVal val="0"/>
          <c:showCatName val="0"/>
          <c:showSerName val="0"/>
          <c:showPercent val="0"/>
          <c:showBubbleSize val="0"/>
        </c:dLbls>
        <c:gapWidth val="150"/>
        <c:shape val="box"/>
        <c:axId val="420519136"/>
        <c:axId val="522747832"/>
        <c:axId val="590019176"/>
      </c:bar3DChart>
      <c:catAx>
        <c:axId val="4205191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22747832"/>
        <c:crosses val="autoZero"/>
        <c:auto val="1"/>
        <c:lblAlgn val="ctr"/>
        <c:lblOffset val="100"/>
        <c:noMultiLvlLbl val="0"/>
      </c:catAx>
      <c:valAx>
        <c:axId val="522747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20519136"/>
        <c:crosses val="autoZero"/>
        <c:crossBetween val="between"/>
      </c:valAx>
      <c:serAx>
        <c:axId val="59001917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2274783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a:pPr>
            <a:r>
              <a:rPr lang="ro-RO"/>
              <a:t>Gradul de ocupare a</a:t>
            </a:r>
            <a:r>
              <a:rPr lang="en-US"/>
              <a:t> posturilor de </a:t>
            </a:r>
            <a:r>
              <a:rPr lang="ro-RO"/>
              <a:t>judecător</a:t>
            </a:r>
            <a:r>
              <a:rPr lang="en-US"/>
              <a:t> </a:t>
            </a:r>
            <a:endParaRPr lang="ro-RO"/>
          </a:p>
          <a:p>
            <a:pPr algn="ctr">
              <a:defRPr/>
            </a:pPr>
            <a:r>
              <a:rPr lang="ro-RO"/>
              <a:t>ianuarie 2024</a:t>
            </a:r>
            <a:endParaRPr lang="en-US"/>
          </a:p>
        </c:rich>
      </c:tx>
      <c:layout>
        <c:manualLayout>
          <c:xMode val="edge"/>
          <c:yMode val="edge"/>
          <c:x val="0.19408064602253358"/>
          <c:y val="6.2740358092181148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ÎCCJ</c:v>
                </c:pt>
              </c:strCache>
            </c:strRef>
          </c:tx>
          <c:spPr>
            <a:solidFill>
              <a:srgbClr val="9999FF"/>
            </a:solidFill>
            <a:ln w="12675">
              <a:solidFill>
                <a:srgbClr val="000000"/>
              </a:solidFill>
              <a:prstDash val="solid"/>
            </a:ln>
          </c:spPr>
          <c:invertIfNegative val="0"/>
          <c:dLbls>
            <c:dLbl>
              <c:idx val="0"/>
              <c:layout>
                <c:manualLayout>
                  <c:x val="-2.4981264051961048E-3"/>
                  <c:y val="-4.613610149942333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DED-4F1A-868C-8FB3BD437375}"/>
                </c:ext>
              </c:extLst>
            </c:dLbl>
            <c:spPr>
              <a:noFill/>
              <a:ln w="2534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0.00%</c:formatCode>
                <c:ptCount val="1"/>
                <c:pt idx="0">
                  <c:v>0.86890000000000001</c:v>
                </c:pt>
              </c:numCache>
            </c:numRef>
          </c:val>
          <c:extLst>
            <c:ext xmlns:c16="http://schemas.microsoft.com/office/drawing/2014/chart" uri="{C3380CC4-5D6E-409C-BE32-E72D297353CC}">
              <c16:uniqueId val="{00000001-7DED-4F1A-868C-8FB3BD437375}"/>
            </c:ext>
          </c:extLst>
        </c:ser>
        <c:ser>
          <c:idx val="1"/>
          <c:order val="1"/>
          <c:tx>
            <c:strRef>
              <c:f>Sheet1!$A$3</c:f>
              <c:strCache>
                <c:ptCount val="1"/>
                <c:pt idx="0">
                  <c:v>Curţi de apel</c:v>
                </c:pt>
              </c:strCache>
            </c:strRef>
          </c:tx>
          <c:spPr>
            <a:solidFill>
              <a:srgbClr val="863A47"/>
            </a:solidFill>
            <a:ln w="12675">
              <a:solidFill>
                <a:srgbClr val="000000"/>
              </a:solidFill>
              <a:prstDash val="solid"/>
            </a:ln>
          </c:spPr>
          <c:invertIfNegative val="0"/>
          <c:dLbls>
            <c:dLbl>
              <c:idx val="0"/>
              <c:layout>
                <c:manualLayout>
                  <c:x val="7.4943792155882207E-3"/>
                  <c:y val="-2.30680507497116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DED-4F1A-868C-8FB3BD437375}"/>
                </c:ext>
              </c:extLst>
            </c:dLbl>
            <c:spPr>
              <a:noFill/>
              <a:ln w="25349">
                <a:noFill/>
              </a:ln>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Sheet1!$B$1:$B$1</c:f>
              <c:numCache>
                <c:formatCode>General</c:formatCode>
                <c:ptCount val="1"/>
              </c:numCache>
            </c:numRef>
          </c:cat>
          <c:val>
            <c:numRef>
              <c:f>Sheet1!$B$3:$B$3</c:f>
              <c:numCache>
                <c:formatCode>0.00%</c:formatCode>
                <c:ptCount val="1"/>
                <c:pt idx="0">
                  <c:v>0.96879999999999999</c:v>
                </c:pt>
              </c:numCache>
            </c:numRef>
          </c:val>
          <c:extLst>
            <c:ext xmlns:c16="http://schemas.microsoft.com/office/drawing/2014/chart" uri="{C3380CC4-5D6E-409C-BE32-E72D297353CC}">
              <c16:uniqueId val="{00000003-7DED-4F1A-868C-8FB3BD437375}"/>
            </c:ext>
          </c:extLst>
        </c:ser>
        <c:ser>
          <c:idx val="2"/>
          <c:order val="2"/>
          <c:tx>
            <c:strRef>
              <c:f>Sheet1!$A$4</c:f>
              <c:strCache>
                <c:ptCount val="1"/>
                <c:pt idx="0">
                  <c:v>Tribunale</c:v>
                </c:pt>
              </c:strCache>
            </c:strRef>
          </c:tx>
          <c:spPr>
            <a:solidFill>
              <a:srgbClr val="FFFFCC"/>
            </a:solidFill>
            <a:ln w="12675">
              <a:solidFill>
                <a:srgbClr val="000000"/>
              </a:solidFill>
              <a:prstDash val="solid"/>
            </a:ln>
          </c:spPr>
          <c:invertIfNegative val="0"/>
          <c:dLbls>
            <c:dLbl>
              <c:idx val="0"/>
              <c:layout>
                <c:manualLayout>
                  <c:x val="9.9925056207844122E-3"/>
                  <c:y val="-1.3840830449826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DED-4F1A-868C-8FB3BD437375}"/>
                </c:ext>
              </c:extLst>
            </c:dLbl>
            <c:spPr>
              <a:noFill/>
              <a:ln w="2534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0.00%</c:formatCode>
                <c:ptCount val="1"/>
                <c:pt idx="0">
                  <c:v>0.76190000000000002</c:v>
                </c:pt>
              </c:numCache>
            </c:numRef>
          </c:val>
          <c:extLst>
            <c:ext xmlns:c16="http://schemas.microsoft.com/office/drawing/2014/chart" uri="{C3380CC4-5D6E-409C-BE32-E72D297353CC}">
              <c16:uniqueId val="{00000005-7DED-4F1A-868C-8FB3BD437375}"/>
            </c:ext>
          </c:extLst>
        </c:ser>
        <c:ser>
          <c:idx val="3"/>
          <c:order val="3"/>
          <c:tx>
            <c:strRef>
              <c:f>Sheet1!$A$5</c:f>
              <c:strCache>
                <c:ptCount val="1"/>
                <c:pt idx="0">
                  <c:v>Judecătorii</c:v>
                </c:pt>
              </c:strCache>
            </c:strRef>
          </c:tx>
          <c:spPr>
            <a:solidFill>
              <a:srgbClr val="CCFFFF"/>
            </a:solidFill>
            <a:ln w="12675">
              <a:solidFill>
                <a:srgbClr val="000000"/>
              </a:solidFill>
              <a:prstDash val="solid"/>
            </a:ln>
          </c:spPr>
          <c:invertIfNegative val="0"/>
          <c:dLbls>
            <c:dLbl>
              <c:idx val="0"/>
              <c:layout>
                <c:manualLayout>
                  <c:x val="1.2490632025980514E-2"/>
                  <c:y val="-9.2272202998847086E-3"/>
                </c:manualLayout>
              </c:layout>
              <c:tx>
                <c:rich>
                  <a:bodyPr/>
                  <a:lstStyle/>
                  <a:p>
                    <a:fld id="{31D00FAD-A0FB-49BF-A194-A9BCAF350450}" type="VALUE">
                      <a:rPr lang="en-US" sz="10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7DED-4F1A-868C-8FB3BD437375}"/>
                </c:ext>
              </c:extLst>
            </c:dLbl>
            <c:spPr>
              <a:noFill/>
              <a:ln w="2534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0.00%</c:formatCode>
                <c:ptCount val="1"/>
                <c:pt idx="0">
                  <c:v>0.69169999999999998</c:v>
                </c:pt>
              </c:numCache>
            </c:numRef>
          </c:val>
          <c:extLst>
            <c:ext xmlns:c16="http://schemas.microsoft.com/office/drawing/2014/chart" uri="{C3380CC4-5D6E-409C-BE32-E72D297353CC}">
              <c16:uniqueId val="{00000007-7DED-4F1A-868C-8FB3BD437375}"/>
            </c:ext>
          </c:extLst>
        </c:ser>
        <c:dLbls>
          <c:showLegendKey val="0"/>
          <c:showVal val="1"/>
          <c:showCatName val="0"/>
          <c:showSerName val="0"/>
          <c:showPercent val="0"/>
          <c:showBubbleSize val="0"/>
        </c:dLbls>
        <c:gapWidth val="150"/>
        <c:shape val="box"/>
        <c:axId val="-308683632"/>
        <c:axId val="-308674384"/>
        <c:axId val="0"/>
      </c:bar3DChart>
      <c:catAx>
        <c:axId val="-308683632"/>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a:pPr>
            <a:endParaRPr lang="en-US"/>
          </a:p>
        </c:txPr>
        <c:crossAx val="-308674384"/>
        <c:crosses val="autoZero"/>
        <c:auto val="1"/>
        <c:lblAlgn val="ctr"/>
        <c:lblOffset val="100"/>
        <c:noMultiLvlLbl val="0"/>
      </c:catAx>
      <c:valAx>
        <c:axId val="-308674384"/>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a:pPr>
            <a:endParaRPr lang="en-US"/>
          </a:p>
        </c:txPr>
        <c:crossAx val="-308683632"/>
        <c:crosses val="autoZero"/>
        <c:crossBetween val="between"/>
      </c:valAx>
    </c:plotArea>
    <c:legend>
      <c:legendPos val="r"/>
      <c:layout>
        <c:manualLayout>
          <c:xMode val="edge"/>
          <c:yMode val="edge"/>
          <c:x val="0.81691927607209969"/>
          <c:y val="0.38198585038461885"/>
          <c:w val="0.16718822788410034"/>
          <c:h val="0.36575449807904448"/>
        </c:manualLayout>
      </c:layout>
      <c:overlay val="0"/>
      <c:spPr>
        <a:noFill/>
        <a:ln w="3169">
          <a:solidFill>
            <a:srgbClr val="000000"/>
          </a:solidFill>
          <a:prstDash val="solid"/>
        </a:ln>
      </c:spPr>
    </c:legend>
    <c:plotVisOnly val="1"/>
    <c:dispBlanksAs val="gap"/>
    <c:showDLblsOverMax val="0"/>
  </c:chart>
  <c:spPr>
    <a:solidFill>
      <a:srgbClr val="FFFFFF"/>
    </a:solidFill>
    <a:ln>
      <a:noFill/>
    </a:ln>
  </c:spPr>
  <c:txPr>
    <a:bodyPr/>
    <a:lstStyle/>
    <a:p>
      <a:pPr>
        <a:defRPr sz="1123" b="1" i="0" u="none" strike="noStrike" baseline="0">
          <a:solidFill>
            <a:schemeClr val="tx1"/>
          </a:solidFill>
          <a:latin typeface="+mn-lt"/>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o-RO">
                <a:solidFill>
                  <a:sysClr val="windowText" lastClr="000000"/>
                </a:solidFill>
              </a:rPr>
              <a:t>Gradul de ocupare a</a:t>
            </a:r>
            <a:r>
              <a:rPr lang="en-US">
                <a:solidFill>
                  <a:sysClr val="windowText" lastClr="000000"/>
                </a:solidFill>
              </a:rPr>
              <a:t> posturilor de </a:t>
            </a:r>
            <a:r>
              <a:rPr lang="ro-RO">
                <a:solidFill>
                  <a:sysClr val="windowText" lastClr="000000"/>
                </a:solidFill>
              </a:rPr>
              <a:t>procur</a:t>
            </a:r>
            <a:r>
              <a:rPr lang="en-US">
                <a:solidFill>
                  <a:sysClr val="windowText" lastClr="000000"/>
                </a:solidFill>
              </a:rPr>
              <a:t>or </a:t>
            </a:r>
            <a:endParaRPr lang="ro-RO">
              <a:solidFill>
                <a:sysClr val="windowText" lastClr="000000"/>
              </a:solidFill>
            </a:endParaRPr>
          </a:p>
          <a:p>
            <a:pPr>
              <a:defRPr/>
            </a:pPr>
            <a:r>
              <a:rPr lang="ro-RO">
                <a:solidFill>
                  <a:sysClr val="windowText" lastClr="000000"/>
                </a:solidFill>
              </a:rPr>
              <a:t>ianuarie 2024</a:t>
            </a:r>
            <a:endParaRPr lang="en-US">
              <a:solidFill>
                <a:sysClr val="windowText" lastClr="000000"/>
              </a:solidFill>
            </a:endParaRPr>
          </a:p>
        </c:rich>
      </c:tx>
      <c:layout>
        <c:manualLayout>
          <c:xMode val="edge"/>
          <c:yMode val="edge"/>
          <c:x val="0.26064658584343625"/>
          <c:y val="6.2740375446148813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PÎCCJ</c:v>
                </c:pt>
              </c:strCache>
            </c:strRef>
          </c:tx>
          <c:spPr>
            <a:solidFill>
              <a:srgbClr val="9999FF"/>
            </a:solidFill>
            <a:ln w="12675">
              <a:solidFill>
                <a:srgbClr val="000000"/>
              </a:solidFill>
              <a:prstDash val="solid"/>
            </a:ln>
          </c:spPr>
          <c:invertIfNegative val="0"/>
          <c:dLbls>
            <c:dLbl>
              <c:idx val="0"/>
              <c:layout>
                <c:manualLayout>
                  <c:x val="-2.4981264051961048E-3"/>
                  <c:y val="-4.613610149942333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06-49D7-AD7A-7A8F55E94F65}"/>
                </c:ext>
              </c:extLst>
            </c:dLbl>
            <c:spPr>
              <a:noFill/>
              <a:ln w="25349">
                <a:noFill/>
              </a:ln>
            </c:spPr>
            <c:txPr>
              <a:bodyPr wrap="square" lIns="38100" tIns="19050" rIns="38100" bIns="19050" anchor="ctr">
                <a:spAutoFit/>
              </a:bodyPr>
              <a:lstStyle/>
              <a:p>
                <a:pPr>
                  <a:defRPr>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0.00%</c:formatCode>
                <c:ptCount val="1"/>
                <c:pt idx="0">
                  <c:v>0.71360000000000001</c:v>
                </c:pt>
              </c:numCache>
            </c:numRef>
          </c:val>
          <c:extLst>
            <c:ext xmlns:c16="http://schemas.microsoft.com/office/drawing/2014/chart" uri="{C3380CC4-5D6E-409C-BE32-E72D297353CC}">
              <c16:uniqueId val="{00000001-0206-49D7-AD7A-7A8F55E94F65}"/>
            </c:ext>
          </c:extLst>
        </c:ser>
        <c:ser>
          <c:idx val="1"/>
          <c:order val="1"/>
          <c:tx>
            <c:strRef>
              <c:f>Sheet1!$A$3</c:f>
              <c:strCache>
                <c:ptCount val="1"/>
                <c:pt idx="0">
                  <c:v>PCA </c:v>
                </c:pt>
              </c:strCache>
            </c:strRef>
          </c:tx>
          <c:spPr>
            <a:solidFill>
              <a:srgbClr val="863A47"/>
            </a:solidFill>
            <a:ln w="12675">
              <a:solidFill>
                <a:srgbClr val="000000"/>
              </a:solidFill>
              <a:prstDash val="solid"/>
            </a:ln>
          </c:spPr>
          <c:invertIfNegative val="0"/>
          <c:dLbls>
            <c:dLbl>
              <c:idx val="0"/>
              <c:layout>
                <c:manualLayout>
                  <c:x val="7.4943792155882207E-3"/>
                  <c:y val="-2.30680507497116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06-49D7-AD7A-7A8F55E94F65}"/>
                </c:ext>
              </c:extLst>
            </c:dLbl>
            <c:spPr>
              <a:noFill/>
              <a:ln w="25349">
                <a:noFill/>
              </a:ln>
            </c:spPr>
            <c:txPr>
              <a:bodyPr wrap="square" lIns="38100" tIns="19050" rIns="38100" bIns="19050" anchor="ctr">
                <a:spAutoFit/>
              </a:bodyPr>
              <a:lstStyle/>
              <a:p>
                <a:pPr>
                  <a:defRPr>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Sheet1!$B$1:$B$1</c:f>
              <c:numCache>
                <c:formatCode>General</c:formatCode>
                <c:ptCount val="1"/>
              </c:numCache>
            </c:numRef>
          </c:cat>
          <c:val>
            <c:numRef>
              <c:f>Sheet1!$B$3:$B$3</c:f>
              <c:numCache>
                <c:formatCode>0.00%</c:formatCode>
                <c:ptCount val="1"/>
                <c:pt idx="0">
                  <c:v>0.79249999999999998</c:v>
                </c:pt>
              </c:numCache>
            </c:numRef>
          </c:val>
          <c:extLst>
            <c:ext xmlns:c16="http://schemas.microsoft.com/office/drawing/2014/chart" uri="{C3380CC4-5D6E-409C-BE32-E72D297353CC}">
              <c16:uniqueId val="{00000003-0206-49D7-AD7A-7A8F55E94F65}"/>
            </c:ext>
          </c:extLst>
        </c:ser>
        <c:ser>
          <c:idx val="2"/>
          <c:order val="2"/>
          <c:tx>
            <c:strRef>
              <c:f>Sheet1!$A$4</c:f>
              <c:strCache>
                <c:ptCount val="1"/>
                <c:pt idx="0">
                  <c:v>PT </c:v>
                </c:pt>
              </c:strCache>
            </c:strRef>
          </c:tx>
          <c:spPr>
            <a:solidFill>
              <a:srgbClr val="FFFFCC"/>
            </a:solidFill>
            <a:ln w="12675">
              <a:solidFill>
                <a:srgbClr val="000000"/>
              </a:solidFill>
              <a:prstDash val="solid"/>
            </a:ln>
          </c:spPr>
          <c:invertIfNegative val="0"/>
          <c:dLbls>
            <c:dLbl>
              <c:idx val="0"/>
              <c:layout>
                <c:manualLayout>
                  <c:x val="9.9925056207844122E-3"/>
                  <c:y val="-1.3840830449826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06-49D7-AD7A-7A8F55E94F65}"/>
                </c:ext>
              </c:extLst>
            </c:dLbl>
            <c:spPr>
              <a:noFill/>
              <a:ln w="25349">
                <a:noFill/>
              </a:ln>
            </c:spPr>
            <c:txPr>
              <a:bodyPr wrap="square" lIns="38100" tIns="19050" rIns="38100" bIns="19050" anchor="ctr">
                <a:spAutoFit/>
              </a:bodyPr>
              <a:lstStyle/>
              <a:p>
                <a:pPr>
                  <a:defRPr>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0.00%</c:formatCode>
                <c:ptCount val="1"/>
                <c:pt idx="0">
                  <c:v>0.65100000000000002</c:v>
                </c:pt>
              </c:numCache>
            </c:numRef>
          </c:val>
          <c:extLst>
            <c:ext xmlns:c16="http://schemas.microsoft.com/office/drawing/2014/chart" uri="{C3380CC4-5D6E-409C-BE32-E72D297353CC}">
              <c16:uniqueId val="{00000005-0206-49D7-AD7A-7A8F55E94F65}"/>
            </c:ext>
          </c:extLst>
        </c:ser>
        <c:ser>
          <c:idx val="3"/>
          <c:order val="3"/>
          <c:tx>
            <c:strRef>
              <c:f>Sheet1!$A$5</c:f>
              <c:strCache>
                <c:ptCount val="1"/>
                <c:pt idx="0">
                  <c:v>PJ </c:v>
                </c:pt>
              </c:strCache>
            </c:strRef>
          </c:tx>
          <c:spPr>
            <a:solidFill>
              <a:srgbClr val="CCFFFF"/>
            </a:solidFill>
            <a:ln w="12675">
              <a:solidFill>
                <a:srgbClr val="000000"/>
              </a:solidFill>
              <a:prstDash val="solid"/>
            </a:ln>
          </c:spPr>
          <c:invertIfNegative val="0"/>
          <c:dLbls>
            <c:dLbl>
              <c:idx val="0"/>
              <c:layout>
                <c:manualLayout>
                  <c:x val="1.2490632025980514E-2"/>
                  <c:y val="-9.2272202998847086E-3"/>
                </c:manualLayout>
              </c:layout>
              <c:tx>
                <c:rich>
                  <a:bodyPr/>
                  <a:lstStyle/>
                  <a:p>
                    <a:fld id="{31D00FAD-A0FB-49BF-A194-A9BCAF350450}" type="VALUE">
                      <a:rPr lang="en-US" sz="10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0206-49D7-AD7A-7A8F55E94F65}"/>
                </c:ext>
              </c:extLst>
            </c:dLbl>
            <c:spPr>
              <a:noFill/>
              <a:ln w="25349">
                <a:noFill/>
              </a:ln>
            </c:spPr>
            <c:txPr>
              <a:bodyPr wrap="square" lIns="38100" tIns="19050" rIns="38100" bIns="19050" anchor="ctr">
                <a:spAutoFit/>
              </a:bodyPr>
              <a:lstStyle/>
              <a:p>
                <a:pPr>
                  <a:defRPr>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0.00%</c:formatCode>
                <c:ptCount val="1"/>
                <c:pt idx="0">
                  <c:v>0.65080000000000005</c:v>
                </c:pt>
              </c:numCache>
            </c:numRef>
          </c:val>
          <c:extLst>
            <c:ext xmlns:c16="http://schemas.microsoft.com/office/drawing/2014/chart" uri="{C3380CC4-5D6E-409C-BE32-E72D297353CC}">
              <c16:uniqueId val="{00000007-0206-49D7-AD7A-7A8F55E94F65}"/>
            </c:ext>
          </c:extLst>
        </c:ser>
        <c:dLbls>
          <c:showLegendKey val="0"/>
          <c:showVal val="1"/>
          <c:showCatName val="0"/>
          <c:showSerName val="0"/>
          <c:showPercent val="0"/>
          <c:showBubbleSize val="0"/>
        </c:dLbls>
        <c:gapWidth val="150"/>
        <c:shape val="box"/>
        <c:axId val="138309808"/>
        <c:axId val="138304368"/>
        <c:axId val="0"/>
      </c:bar3DChart>
      <c:catAx>
        <c:axId val="138309808"/>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a:pPr>
            <a:endParaRPr lang="en-US"/>
          </a:p>
        </c:txPr>
        <c:crossAx val="138304368"/>
        <c:crosses val="autoZero"/>
        <c:auto val="1"/>
        <c:lblAlgn val="ctr"/>
        <c:lblOffset val="100"/>
        <c:noMultiLvlLbl val="0"/>
      </c:catAx>
      <c:valAx>
        <c:axId val="138304368"/>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a:solidFill>
                  <a:sysClr val="windowText" lastClr="000000"/>
                </a:solidFill>
              </a:defRPr>
            </a:pPr>
            <a:endParaRPr lang="en-US"/>
          </a:p>
        </c:txPr>
        <c:crossAx val="138309808"/>
        <c:crosses val="autoZero"/>
        <c:crossBetween val="between"/>
      </c:valAx>
    </c:plotArea>
    <c:legend>
      <c:legendPos val="r"/>
      <c:layout>
        <c:manualLayout>
          <c:xMode val="edge"/>
          <c:yMode val="edge"/>
          <c:x val="0.84350906136732906"/>
          <c:y val="0.38198585038461885"/>
          <c:w val="0.10957680289963756"/>
          <c:h val="0.27396706899526857"/>
        </c:manualLayout>
      </c:layout>
      <c:overlay val="0"/>
      <c:spPr>
        <a:noFill/>
        <a:ln w="3169">
          <a:solidFill>
            <a:srgbClr val="000000"/>
          </a:solidFill>
          <a:prstDash val="solid"/>
        </a:ln>
      </c:spPr>
      <c:txPr>
        <a:bodyPr/>
        <a:lstStyle/>
        <a:p>
          <a:pPr>
            <a:defRPr>
              <a:solidFill>
                <a:sysClr val="windowText" lastClr="000000"/>
              </a:solidFil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chemeClr val="accent6"/>
          </a:solidFill>
          <a:latin typeface="Arial"/>
          <a:ea typeface="Arial"/>
          <a:cs typeface="Aria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FF0000"/>
                </a:solidFill>
                <a:latin typeface="+mn-lt"/>
              </a:defRPr>
            </a:pPr>
            <a:r>
              <a:rPr lang="ro-RO">
                <a:solidFill>
                  <a:sysClr val="windowText" lastClr="000000"/>
                </a:solidFill>
                <a:latin typeface="+mn-lt"/>
              </a:rPr>
              <a:t>Gradul de ocupare a</a:t>
            </a:r>
            <a:r>
              <a:rPr lang="en-US">
                <a:solidFill>
                  <a:sysClr val="windowText" lastClr="000000"/>
                </a:solidFill>
                <a:latin typeface="+mn-lt"/>
              </a:rPr>
              <a:t> posturilor de </a:t>
            </a:r>
            <a:r>
              <a:rPr lang="ro-RO">
                <a:solidFill>
                  <a:sysClr val="windowText" lastClr="000000"/>
                </a:solidFill>
                <a:latin typeface="+mn-lt"/>
              </a:rPr>
              <a:t>judecător</a:t>
            </a:r>
            <a:r>
              <a:rPr lang="en-US">
                <a:solidFill>
                  <a:sysClr val="windowText" lastClr="000000"/>
                </a:solidFill>
                <a:latin typeface="+mn-lt"/>
              </a:rPr>
              <a:t> </a:t>
            </a:r>
            <a:endParaRPr lang="ro-RO">
              <a:solidFill>
                <a:sysClr val="windowText" lastClr="000000"/>
              </a:solidFill>
              <a:latin typeface="+mn-lt"/>
            </a:endParaRPr>
          </a:p>
          <a:p>
            <a:pPr>
              <a:defRPr>
                <a:solidFill>
                  <a:srgbClr val="FF0000"/>
                </a:solidFill>
                <a:latin typeface="+mn-lt"/>
              </a:defRPr>
            </a:pPr>
            <a:r>
              <a:rPr lang="ro-RO">
                <a:solidFill>
                  <a:sysClr val="windowText" lastClr="000000"/>
                </a:solidFill>
                <a:latin typeface="+mn-lt"/>
              </a:rPr>
              <a:t>la data de 31.12.2024</a:t>
            </a:r>
            <a:endParaRPr lang="en-US">
              <a:solidFill>
                <a:sysClr val="windowText" lastClr="000000"/>
              </a:solidFill>
              <a:latin typeface="+mn-lt"/>
            </a:endParaRPr>
          </a:p>
        </c:rich>
      </c:tx>
      <c:layout>
        <c:manualLayout>
          <c:xMode val="edge"/>
          <c:yMode val="edge"/>
          <c:x val="0.19654401372905309"/>
          <c:y val="6.7399227088228222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ÎCCJ</c:v>
                </c:pt>
              </c:strCache>
            </c:strRef>
          </c:tx>
          <c:spPr>
            <a:solidFill>
              <a:srgbClr val="9999FF"/>
            </a:solidFill>
            <a:ln w="12675">
              <a:solidFill>
                <a:srgbClr val="000000"/>
              </a:solidFill>
              <a:prstDash val="solid"/>
            </a:ln>
          </c:spPr>
          <c:invertIfNegative val="0"/>
          <c:dLbls>
            <c:dLbl>
              <c:idx val="0"/>
              <c:layout>
                <c:manualLayout>
                  <c:x val="-2.136752136752137E-3"/>
                  <c:y val="2.7952480782669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CF-4D9A-ACB7-B2A99852762B}"/>
                </c:ext>
              </c:extLst>
            </c:dLbl>
            <c:spPr>
              <a:noFill/>
              <a:ln>
                <a:noFill/>
              </a:ln>
              <a:effectLst/>
            </c:spPr>
            <c:txPr>
              <a:bodyPr wrap="square" lIns="38100" tIns="19050" rIns="38100" bIns="19050" anchor="ctr">
                <a:spAutoFit/>
              </a:bodyPr>
              <a:lstStyle/>
              <a:p>
                <a:pPr>
                  <a:defRPr>
                    <a:solidFill>
                      <a:sysClr val="windowText" lastClr="000000"/>
                    </a:solidFill>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Sheet1!$B$1:$B$1</c:f>
              <c:numCache>
                <c:formatCode>General</c:formatCode>
                <c:ptCount val="1"/>
              </c:numCache>
            </c:numRef>
          </c:cat>
          <c:val>
            <c:numRef>
              <c:f>Sheet1!$B$2:$B$2</c:f>
              <c:numCache>
                <c:formatCode>0.00%</c:formatCode>
                <c:ptCount val="1"/>
                <c:pt idx="0">
                  <c:v>0.82789999999999997</c:v>
                </c:pt>
              </c:numCache>
            </c:numRef>
          </c:val>
          <c:extLst>
            <c:ext xmlns:c16="http://schemas.microsoft.com/office/drawing/2014/chart" uri="{C3380CC4-5D6E-409C-BE32-E72D297353CC}">
              <c16:uniqueId val="{00000001-B3CF-4D9A-ACB7-B2A99852762B}"/>
            </c:ext>
          </c:extLst>
        </c:ser>
        <c:ser>
          <c:idx val="1"/>
          <c:order val="1"/>
          <c:tx>
            <c:strRef>
              <c:f>Sheet1!$A$3</c:f>
              <c:strCache>
                <c:ptCount val="1"/>
                <c:pt idx="0">
                  <c:v>Curţi de apel</c:v>
                </c:pt>
              </c:strCache>
            </c:strRef>
          </c:tx>
          <c:spPr>
            <a:solidFill>
              <a:srgbClr val="863A47"/>
            </a:solidFill>
            <a:ln w="12675">
              <a:solidFill>
                <a:srgbClr val="000000"/>
              </a:solidFill>
              <a:prstDash val="solid"/>
            </a:ln>
          </c:spPr>
          <c:invertIfNegative val="0"/>
          <c:dLbls>
            <c:dLbl>
              <c:idx val="0"/>
              <c:layout>
                <c:manualLayout>
                  <c:x val="0"/>
                  <c:y val="-9.66417008939357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3CF-4D9A-ACB7-B2A99852762B}"/>
                </c:ext>
              </c:extLst>
            </c:dLbl>
            <c:spPr>
              <a:noFill/>
              <a:ln>
                <a:noFill/>
              </a:ln>
              <a:effectLst/>
            </c:spPr>
            <c:txPr>
              <a:bodyPr wrap="square" lIns="38100" tIns="19050" rIns="38100" bIns="19050" anchor="ctr">
                <a:spAutoFit/>
              </a:bodyPr>
              <a:lstStyle/>
              <a:p>
                <a:pPr>
                  <a:defRPr>
                    <a:solidFill>
                      <a:sysClr val="windowText" lastClr="000000"/>
                    </a:solidFill>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0.00%</c:formatCode>
                <c:ptCount val="1"/>
                <c:pt idx="0">
                  <c:v>0.94089999999999996</c:v>
                </c:pt>
              </c:numCache>
            </c:numRef>
          </c:val>
          <c:extLst>
            <c:ext xmlns:c16="http://schemas.microsoft.com/office/drawing/2014/chart" uri="{C3380CC4-5D6E-409C-BE32-E72D297353CC}">
              <c16:uniqueId val="{00000003-B3CF-4D9A-ACB7-B2A99852762B}"/>
            </c:ext>
          </c:extLst>
        </c:ser>
        <c:ser>
          <c:idx val="2"/>
          <c:order val="2"/>
          <c:tx>
            <c:strRef>
              <c:f>Sheet1!$A$4</c:f>
              <c:strCache>
                <c:ptCount val="1"/>
                <c:pt idx="0">
                  <c:v>Tribunale</c:v>
                </c:pt>
              </c:strCache>
            </c:strRef>
          </c:tx>
          <c:spPr>
            <a:solidFill>
              <a:srgbClr val="FFFFCC"/>
            </a:solidFill>
            <a:ln w="12675">
              <a:solidFill>
                <a:srgbClr val="000000"/>
              </a:solidFill>
              <a:prstDash val="solid"/>
            </a:ln>
          </c:spPr>
          <c:invertIfNegative val="0"/>
          <c:dLbls>
            <c:dLbl>
              <c:idx val="0"/>
              <c:layout>
                <c:manualLayout>
                  <c:x val="4.2735683964609675E-3"/>
                  <c:y val="-4.38353818964221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3CF-4D9A-ACB7-B2A99852762B}"/>
                </c:ext>
              </c:extLst>
            </c:dLbl>
            <c:spPr>
              <a:noFill/>
              <a:ln>
                <a:noFill/>
              </a:ln>
              <a:effectLst/>
            </c:spPr>
            <c:txPr>
              <a:bodyPr wrap="square" lIns="38100" tIns="19050" rIns="38100" bIns="19050" anchor="ctr">
                <a:spAutoFit/>
              </a:bodyPr>
              <a:lstStyle/>
              <a:p>
                <a:pPr>
                  <a:defRPr>
                    <a:solidFill>
                      <a:sysClr val="windowText" lastClr="000000"/>
                    </a:solidFill>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0.00%</c:formatCode>
                <c:ptCount val="1"/>
                <c:pt idx="0">
                  <c:v>0.73089999999999999</c:v>
                </c:pt>
              </c:numCache>
            </c:numRef>
          </c:val>
          <c:extLst>
            <c:ext xmlns:c16="http://schemas.microsoft.com/office/drawing/2014/chart" uri="{C3380CC4-5D6E-409C-BE32-E72D297353CC}">
              <c16:uniqueId val="{00000005-B3CF-4D9A-ACB7-B2A99852762B}"/>
            </c:ext>
          </c:extLst>
        </c:ser>
        <c:ser>
          <c:idx val="3"/>
          <c:order val="3"/>
          <c:tx>
            <c:strRef>
              <c:f>Sheet1!$A$5</c:f>
              <c:strCache>
                <c:ptCount val="1"/>
                <c:pt idx="0">
                  <c:v>Judecătorii</c:v>
                </c:pt>
              </c:strCache>
            </c:strRef>
          </c:tx>
          <c:spPr>
            <a:solidFill>
              <a:srgbClr val="CCFFFF"/>
            </a:solidFill>
            <a:ln w="12675">
              <a:solidFill>
                <a:srgbClr val="000000"/>
              </a:solidFill>
              <a:prstDash val="solid"/>
            </a:ln>
          </c:spPr>
          <c:invertIfNegative val="0"/>
          <c:dLbls>
            <c:spPr>
              <a:noFill/>
              <a:ln>
                <a:noFill/>
              </a:ln>
              <a:effectLst/>
            </c:spPr>
            <c:txPr>
              <a:bodyPr wrap="square" lIns="38100" tIns="19050" rIns="38100" bIns="19050" anchor="ctr">
                <a:spAutoFit/>
              </a:bodyPr>
              <a:lstStyle/>
              <a:p>
                <a:pPr>
                  <a:defRPr>
                    <a:solidFill>
                      <a:sysClr val="windowText" lastClr="000000"/>
                    </a:solidFill>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Sheet1!$B$1:$B$1</c:f>
              <c:numCache>
                <c:formatCode>General</c:formatCode>
                <c:ptCount val="1"/>
              </c:numCache>
            </c:numRef>
          </c:cat>
          <c:val>
            <c:numRef>
              <c:f>Sheet1!$B$5:$B$5</c:f>
              <c:numCache>
                <c:formatCode>0.00%</c:formatCode>
                <c:ptCount val="1"/>
                <c:pt idx="0">
                  <c:v>0.87060000000000004</c:v>
                </c:pt>
              </c:numCache>
            </c:numRef>
          </c:val>
          <c:extLst>
            <c:ext xmlns:c16="http://schemas.microsoft.com/office/drawing/2014/chart" uri="{C3380CC4-5D6E-409C-BE32-E72D297353CC}">
              <c16:uniqueId val="{00000006-B3CF-4D9A-ACB7-B2A99852762B}"/>
            </c:ext>
          </c:extLst>
        </c:ser>
        <c:dLbls>
          <c:showLegendKey val="0"/>
          <c:showVal val="1"/>
          <c:showCatName val="0"/>
          <c:showSerName val="0"/>
          <c:showPercent val="0"/>
          <c:showBubbleSize val="0"/>
        </c:dLbls>
        <c:gapWidth val="150"/>
        <c:shape val="box"/>
        <c:axId val="2100923424"/>
        <c:axId val="2100925056"/>
        <c:axId val="0"/>
      </c:bar3DChart>
      <c:catAx>
        <c:axId val="2100923424"/>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a:pPr>
            <a:endParaRPr lang="en-US"/>
          </a:p>
        </c:txPr>
        <c:crossAx val="2100925056"/>
        <c:crosses val="autoZero"/>
        <c:auto val="1"/>
        <c:lblAlgn val="ctr"/>
        <c:lblOffset val="100"/>
        <c:noMultiLvlLbl val="0"/>
      </c:catAx>
      <c:valAx>
        <c:axId val="2100925056"/>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a:solidFill>
                  <a:sysClr val="windowText" lastClr="000000"/>
                </a:solidFill>
                <a:latin typeface="+mn-lt"/>
              </a:defRPr>
            </a:pPr>
            <a:endParaRPr lang="en-US"/>
          </a:p>
        </c:txPr>
        <c:crossAx val="2100923424"/>
        <c:crosses val="autoZero"/>
        <c:crossBetween val="between"/>
      </c:valAx>
    </c:plotArea>
    <c:legend>
      <c:legendPos val="r"/>
      <c:layout>
        <c:manualLayout>
          <c:xMode val="edge"/>
          <c:yMode val="edge"/>
          <c:x val="0.84350906136732906"/>
          <c:y val="0.38198585038461885"/>
          <c:w val="0.14503001826743739"/>
          <c:h val="0.54939589424962854"/>
        </c:manualLayout>
      </c:layout>
      <c:overlay val="0"/>
      <c:spPr>
        <a:noFill/>
        <a:ln w="3169">
          <a:solidFill>
            <a:srgbClr val="000000"/>
          </a:solidFill>
          <a:prstDash val="solid"/>
        </a:ln>
      </c:spPr>
      <c:txPr>
        <a:bodyPr/>
        <a:lstStyle/>
        <a:p>
          <a:pPr>
            <a:defRPr sz="1000" baseline="0">
              <a:solidFill>
                <a:sysClr val="windowText" lastClr="000000"/>
              </a:solidFill>
              <a:latin typeface="+mn-lt"/>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FF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mn-lt"/>
              </a:defRPr>
            </a:pPr>
            <a:r>
              <a:rPr lang="ro-RO">
                <a:latin typeface="+mn-lt"/>
              </a:rPr>
              <a:t>Gradul de ocupare a</a:t>
            </a:r>
            <a:r>
              <a:rPr lang="en-US">
                <a:latin typeface="+mn-lt"/>
              </a:rPr>
              <a:t> posturilor de </a:t>
            </a:r>
            <a:r>
              <a:rPr lang="ro-RO">
                <a:latin typeface="+mn-lt"/>
              </a:rPr>
              <a:t>procur</a:t>
            </a:r>
            <a:r>
              <a:rPr lang="en-US">
                <a:latin typeface="+mn-lt"/>
              </a:rPr>
              <a:t>or </a:t>
            </a:r>
            <a:endParaRPr lang="ro-RO">
              <a:latin typeface="+mn-lt"/>
            </a:endParaRPr>
          </a:p>
          <a:p>
            <a:pPr>
              <a:defRPr>
                <a:latin typeface="+mn-lt"/>
              </a:defRPr>
            </a:pPr>
            <a:r>
              <a:rPr lang="ro-RO">
                <a:latin typeface="+mn-lt"/>
              </a:rPr>
              <a:t>la data de </a:t>
            </a:r>
            <a:r>
              <a:rPr lang="ro-RO">
                <a:solidFill>
                  <a:sysClr val="windowText" lastClr="000000"/>
                </a:solidFill>
                <a:latin typeface="+mn-lt"/>
              </a:rPr>
              <a:t>31.12.2024</a:t>
            </a:r>
            <a:endParaRPr lang="en-US">
              <a:solidFill>
                <a:sysClr val="windowText" lastClr="000000"/>
              </a:solidFill>
              <a:latin typeface="+mn-lt"/>
            </a:endParaRPr>
          </a:p>
        </c:rich>
      </c:tx>
      <c:layout>
        <c:manualLayout>
          <c:xMode val="edge"/>
          <c:yMode val="edge"/>
          <c:x val="0.19654401372905309"/>
          <c:y val="6.7399227088228222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PÎCCJ</c:v>
                </c:pt>
              </c:strCache>
            </c:strRef>
          </c:tx>
          <c:spPr>
            <a:solidFill>
              <a:srgbClr val="9999FF"/>
            </a:solidFill>
            <a:ln w="12675">
              <a:solidFill>
                <a:srgbClr val="000000"/>
              </a:solidFill>
              <a:prstDash val="solid"/>
            </a:ln>
          </c:spPr>
          <c:invertIfNegative val="0"/>
          <c:dLbls>
            <c:dLbl>
              <c:idx val="0"/>
              <c:layout>
                <c:manualLayout>
                  <c:x val="-2.136752136752137E-3"/>
                  <c:y val="2.7952480782669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2CE-4351-94E5-5C8BBC657B02}"/>
                </c:ext>
              </c:extLst>
            </c:dLbl>
            <c:spPr>
              <a:noFill/>
              <a:ln>
                <a:noFill/>
              </a:ln>
              <a:effectLst/>
            </c:spPr>
            <c:txPr>
              <a:bodyPr wrap="square" lIns="38100" tIns="19050" rIns="38100" bIns="19050" anchor="ctr">
                <a:spAutoFit/>
              </a:bodyPr>
              <a:lstStyle/>
              <a:p>
                <a:pPr>
                  <a:defRPr>
                    <a:latin typeface="+mn-lt"/>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Sheet1!$B$1:$B$1</c:f>
              <c:numCache>
                <c:formatCode>General</c:formatCode>
                <c:ptCount val="1"/>
              </c:numCache>
            </c:numRef>
          </c:cat>
          <c:val>
            <c:numRef>
              <c:f>Sheet1!$B$2:$B$2</c:f>
              <c:numCache>
                <c:formatCode>0.00%</c:formatCode>
                <c:ptCount val="1"/>
                <c:pt idx="0">
                  <c:v>0.75839999999999996</c:v>
                </c:pt>
              </c:numCache>
            </c:numRef>
          </c:val>
          <c:extLst>
            <c:ext xmlns:c16="http://schemas.microsoft.com/office/drawing/2014/chart" uri="{C3380CC4-5D6E-409C-BE32-E72D297353CC}">
              <c16:uniqueId val="{00000001-72CE-4351-94E5-5C8BBC657B02}"/>
            </c:ext>
          </c:extLst>
        </c:ser>
        <c:ser>
          <c:idx val="1"/>
          <c:order val="1"/>
          <c:tx>
            <c:strRef>
              <c:f>Sheet1!$A$3</c:f>
              <c:strCache>
                <c:ptCount val="1"/>
                <c:pt idx="0">
                  <c:v>PCA </c:v>
                </c:pt>
              </c:strCache>
            </c:strRef>
          </c:tx>
          <c:spPr>
            <a:solidFill>
              <a:srgbClr val="863A47"/>
            </a:solidFill>
            <a:ln w="12675">
              <a:solidFill>
                <a:srgbClr val="000000"/>
              </a:solidFill>
              <a:prstDash val="solid"/>
            </a:ln>
          </c:spPr>
          <c:invertIfNegative val="0"/>
          <c:dLbls>
            <c:spPr>
              <a:noFill/>
              <a:ln>
                <a:noFill/>
              </a:ln>
              <a:effectLst/>
            </c:spPr>
            <c:txPr>
              <a:bodyPr wrap="square" lIns="38100" tIns="19050" rIns="38100" bIns="19050" anchor="ctr">
                <a:spAutoFit/>
              </a:bodyPr>
              <a:lstStyle/>
              <a:p>
                <a:pPr>
                  <a:defRPr>
                    <a:latin typeface="+mn-lt"/>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Sheet1!$B$1:$B$1</c:f>
              <c:numCache>
                <c:formatCode>General</c:formatCode>
                <c:ptCount val="1"/>
              </c:numCache>
            </c:numRef>
          </c:cat>
          <c:val>
            <c:numRef>
              <c:f>Sheet1!$B$3:$B$3</c:f>
              <c:numCache>
                <c:formatCode>0.00%</c:formatCode>
                <c:ptCount val="1"/>
                <c:pt idx="0">
                  <c:v>0.80300000000000005</c:v>
                </c:pt>
              </c:numCache>
            </c:numRef>
          </c:val>
          <c:extLst>
            <c:ext xmlns:c16="http://schemas.microsoft.com/office/drawing/2014/chart" uri="{C3380CC4-5D6E-409C-BE32-E72D297353CC}">
              <c16:uniqueId val="{00000002-72CE-4351-94E5-5C8BBC657B02}"/>
            </c:ext>
          </c:extLst>
        </c:ser>
        <c:ser>
          <c:idx val="2"/>
          <c:order val="2"/>
          <c:tx>
            <c:strRef>
              <c:f>Sheet1!$A$4</c:f>
              <c:strCache>
                <c:ptCount val="1"/>
                <c:pt idx="0">
                  <c:v>PT </c:v>
                </c:pt>
              </c:strCache>
            </c:strRef>
          </c:tx>
          <c:spPr>
            <a:solidFill>
              <a:srgbClr val="FFFFCC"/>
            </a:solidFill>
            <a:ln w="12675">
              <a:solidFill>
                <a:srgbClr val="000000"/>
              </a:solidFill>
              <a:prstDash val="solid"/>
            </a:ln>
          </c:spPr>
          <c:invertIfNegative val="0"/>
          <c:dLbls>
            <c:dLbl>
              <c:idx val="0"/>
              <c:layout>
                <c:manualLayout>
                  <c:x val="4.2735042735042739E-3"/>
                  <c:y val="9.31749359422306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2CE-4351-94E5-5C8BBC657B02}"/>
                </c:ext>
              </c:extLst>
            </c:dLbl>
            <c:spPr>
              <a:noFill/>
              <a:ln>
                <a:noFill/>
              </a:ln>
              <a:effectLst/>
            </c:spPr>
            <c:txPr>
              <a:bodyPr wrap="square" lIns="38100" tIns="19050" rIns="38100" bIns="19050" anchor="ctr">
                <a:spAutoFit/>
              </a:bodyPr>
              <a:lstStyle/>
              <a:p>
                <a:pPr>
                  <a:defRPr>
                    <a:latin typeface="+mn-lt"/>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Sheet1!$B$1:$B$1</c:f>
              <c:numCache>
                <c:formatCode>General</c:formatCode>
                <c:ptCount val="1"/>
              </c:numCache>
            </c:numRef>
          </c:cat>
          <c:val>
            <c:numRef>
              <c:f>Sheet1!$B$4:$B$4</c:f>
              <c:numCache>
                <c:formatCode>0.00%</c:formatCode>
                <c:ptCount val="1"/>
                <c:pt idx="0">
                  <c:v>0.66900000000000004</c:v>
                </c:pt>
              </c:numCache>
            </c:numRef>
          </c:val>
          <c:extLst>
            <c:ext xmlns:c16="http://schemas.microsoft.com/office/drawing/2014/chart" uri="{C3380CC4-5D6E-409C-BE32-E72D297353CC}">
              <c16:uniqueId val="{00000004-72CE-4351-94E5-5C8BBC657B02}"/>
            </c:ext>
          </c:extLst>
        </c:ser>
        <c:ser>
          <c:idx val="3"/>
          <c:order val="3"/>
          <c:tx>
            <c:strRef>
              <c:f>Sheet1!$A$5</c:f>
              <c:strCache>
                <c:ptCount val="1"/>
                <c:pt idx="0">
                  <c:v>PJ </c:v>
                </c:pt>
              </c:strCache>
            </c:strRef>
          </c:tx>
          <c:spPr>
            <a:solidFill>
              <a:srgbClr val="CCFFFF"/>
            </a:solidFill>
            <a:ln w="12675">
              <a:solidFill>
                <a:srgbClr val="000000"/>
              </a:solidFill>
              <a:prstDash val="solid"/>
            </a:ln>
          </c:spPr>
          <c:invertIfNegative val="0"/>
          <c:dLbls>
            <c:spPr>
              <a:noFill/>
              <a:ln>
                <a:noFill/>
              </a:ln>
              <a:effectLst/>
            </c:spPr>
            <c:txPr>
              <a:bodyPr wrap="square" lIns="38100" tIns="19050" rIns="38100" bIns="19050" anchor="ctr">
                <a:spAutoFit/>
              </a:bodyPr>
              <a:lstStyle/>
              <a:p>
                <a:pPr>
                  <a:defRPr>
                    <a:latin typeface="+mn-lt"/>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Sheet1!$B$1:$B$1</c:f>
              <c:numCache>
                <c:formatCode>General</c:formatCode>
                <c:ptCount val="1"/>
              </c:numCache>
            </c:numRef>
          </c:cat>
          <c:val>
            <c:numRef>
              <c:f>Sheet1!$B$5:$B$5</c:f>
              <c:numCache>
                <c:formatCode>0.00%</c:formatCode>
                <c:ptCount val="1"/>
                <c:pt idx="0">
                  <c:v>0.75680000000000003</c:v>
                </c:pt>
              </c:numCache>
            </c:numRef>
          </c:val>
          <c:extLst>
            <c:ext xmlns:c16="http://schemas.microsoft.com/office/drawing/2014/chart" uri="{C3380CC4-5D6E-409C-BE32-E72D297353CC}">
              <c16:uniqueId val="{00000005-72CE-4351-94E5-5C8BBC657B02}"/>
            </c:ext>
          </c:extLst>
        </c:ser>
        <c:dLbls>
          <c:showLegendKey val="0"/>
          <c:showVal val="1"/>
          <c:showCatName val="0"/>
          <c:showSerName val="0"/>
          <c:showPercent val="0"/>
          <c:showBubbleSize val="0"/>
        </c:dLbls>
        <c:gapWidth val="150"/>
        <c:shape val="box"/>
        <c:axId val="138310352"/>
        <c:axId val="138311440"/>
        <c:axId val="0"/>
      </c:bar3DChart>
      <c:catAx>
        <c:axId val="138310352"/>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a:pPr>
            <a:endParaRPr lang="en-US"/>
          </a:p>
        </c:txPr>
        <c:crossAx val="138311440"/>
        <c:crosses val="autoZero"/>
        <c:auto val="1"/>
        <c:lblAlgn val="ctr"/>
        <c:lblOffset val="100"/>
        <c:noMultiLvlLbl val="0"/>
      </c:catAx>
      <c:valAx>
        <c:axId val="138311440"/>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a:latin typeface="+mn-lt"/>
              </a:defRPr>
            </a:pPr>
            <a:endParaRPr lang="en-US"/>
          </a:p>
        </c:txPr>
        <c:crossAx val="138310352"/>
        <c:crosses val="autoZero"/>
        <c:crossBetween val="between"/>
      </c:valAx>
    </c:plotArea>
    <c:legend>
      <c:legendPos val="r"/>
      <c:layout>
        <c:manualLayout>
          <c:xMode val="edge"/>
          <c:yMode val="edge"/>
          <c:x val="0.84350906136732906"/>
          <c:y val="0.38198585038461885"/>
          <c:w val="0.10957680289963756"/>
          <c:h val="0.27396706899526857"/>
        </c:manualLayout>
      </c:layout>
      <c:overlay val="0"/>
      <c:spPr>
        <a:noFill/>
        <a:ln w="3169">
          <a:solidFill>
            <a:srgbClr val="000000"/>
          </a:solidFill>
          <a:prstDash val="solid"/>
        </a:ln>
      </c:spPr>
      <c:txPr>
        <a:bodyPr/>
        <a:lstStyle/>
        <a:p>
          <a:pPr>
            <a:defRPr>
              <a:latin typeface="+mn-lt"/>
            </a:defRPr>
          </a:pPr>
          <a:endParaRPr lang="ro-RO"/>
        </a:p>
      </c:txPr>
    </c:legend>
    <c:plotVisOnly val="1"/>
    <c:dispBlanksAs val="gap"/>
    <c:showDLblsOverMax val="0"/>
  </c:chart>
  <c:spPr>
    <a:solidFill>
      <a:srgbClr val="FFFFFF"/>
    </a:solidFill>
    <a:ln>
      <a:noFill/>
    </a:ln>
  </c:spPr>
  <c:txPr>
    <a:bodyPr/>
    <a:lstStyle/>
    <a:p>
      <a:pPr>
        <a:defRPr sz="1123" b="1" i="0" u="none" strike="noStrike" baseline="0">
          <a:solidFill>
            <a:sysClr val="windowText" lastClr="000000"/>
          </a:solidFill>
          <a:latin typeface="Arial"/>
          <a:ea typeface="Arial"/>
          <a:cs typeface="Aria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r>
              <a:rPr lang="en-US" sz="1300"/>
              <a:t>Buget  C.S.M.</a:t>
            </a:r>
          </a:p>
        </c:rich>
      </c:tx>
      <c:layout>
        <c:manualLayout>
          <c:xMode val="edge"/>
          <c:yMode val="edge"/>
          <c:x val="0.47888679044270765"/>
          <c:y val="0"/>
        </c:manualLayout>
      </c:layout>
      <c:overlay val="0"/>
      <c:spPr>
        <a:noFill/>
        <a:ln>
          <a:noFill/>
        </a:ln>
        <a:effectLst/>
      </c:spPr>
      <c:txPr>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17689901308462"/>
          <c:y val="7.8209257728874493E-2"/>
          <c:w val="0.86823095234741454"/>
          <c:h val="0.61124411153807479"/>
        </c:manualLayout>
      </c:layout>
      <c:barChart>
        <c:barDir val="col"/>
        <c:grouping val="clustered"/>
        <c:varyColors val="0"/>
        <c:ser>
          <c:idx val="0"/>
          <c:order val="0"/>
          <c:tx>
            <c:strRef>
              <c:f>'Dinamica Buget'!$B$5:$C$5</c:f>
              <c:strCache>
                <c:ptCount val="2"/>
                <c:pt idx="0">
                  <c:v>BUGET C.S.M. total </c:v>
                </c:pt>
                <c:pt idx="1">
                  <c:v>CA</c:v>
                </c:pt>
              </c:strCache>
            </c:strRef>
          </c:tx>
          <c:spPr>
            <a:solidFill>
              <a:schemeClr val="accent1"/>
            </a:solidFill>
            <a:ln>
              <a:noFill/>
            </a:ln>
            <a:effectLst/>
          </c:spPr>
          <c:invertIfNegative val="0"/>
          <c:cat>
            <c:multiLvlStrRef>
              <c:f>'Dinamica Buget'!$D$3:$I$4</c:f>
              <c:multiLvlStrCache>
                <c:ptCount val="6"/>
                <c:lvl>
                  <c:pt idx="0">
                    <c:v>LEI</c:v>
                  </c:pt>
                  <c:pt idx="1">
                    <c:v>EURO</c:v>
                  </c:pt>
                  <c:pt idx="2">
                    <c:v>LEI</c:v>
                  </c:pt>
                  <c:pt idx="3">
                    <c:v>EURO</c:v>
                  </c:pt>
                  <c:pt idx="4">
                    <c:v>LEI</c:v>
                  </c:pt>
                  <c:pt idx="5">
                    <c:v>EURO</c:v>
                  </c:pt>
                </c:lvl>
                <c:lvl>
                  <c:pt idx="0">
                    <c:v>2023</c:v>
                  </c:pt>
                  <c:pt idx="2">
                    <c:v>2024</c:v>
                  </c:pt>
                  <c:pt idx="4">
                    <c:v>2025</c:v>
                  </c:pt>
                </c:lvl>
              </c:multiLvlStrCache>
            </c:multiLvlStrRef>
          </c:cat>
          <c:val>
            <c:numRef>
              <c:f>'Dinamica Buget'!$D$5:$I$5</c:f>
              <c:numCache>
                <c:formatCode>#,##0</c:formatCode>
                <c:ptCount val="6"/>
                <c:pt idx="0">
                  <c:v>277425</c:v>
                </c:pt>
                <c:pt idx="1">
                  <c:v>55485</c:v>
                </c:pt>
                <c:pt idx="2">
                  <c:v>308636</c:v>
                </c:pt>
                <c:pt idx="3">
                  <c:v>61727</c:v>
                </c:pt>
                <c:pt idx="4">
                  <c:v>461724</c:v>
                </c:pt>
                <c:pt idx="5">
                  <c:v>92345</c:v>
                </c:pt>
              </c:numCache>
            </c:numRef>
          </c:val>
          <c:extLst>
            <c:ext xmlns:c16="http://schemas.microsoft.com/office/drawing/2014/chart" uri="{C3380CC4-5D6E-409C-BE32-E72D297353CC}">
              <c16:uniqueId val="{00000000-3266-4A86-81C8-D0A6C120D332}"/>
            </c:ext>
          </c:extLst>
        </c:ser>
        <c:ser>
          <c:idx val="1"/>
          <c:order val="1"/>
          <c:tx>
            <c:strRef>
              <c:f>'Dinamica Buget'!$B$6:$C$6</c:f>
              <c:strCache>
                <c:ptCount val="2"/>
                <c:pt idx="0">
                  <c:v>BUGET C.S.M. total </c:v>
                </c:pt>
                <c:pt idx="1">
                  <c:v>CB</c:v>
                </c:pt>
              </c:strCache>
            </c:strRef>
          </c:tx>
          <c:spPr>
            <a:solidFill>
              <a:schemeClr val="accent2"/>
            </a:solidFill>
            <a:ln>
              <a:noFill/>
            </a:ln>
            <a:effectLst/>
          </c:spPr>
          <c:invertIfNegative val="0"/>
          <c:cat>
            <c:multiLvlStrRef>
              <c:f>'Dinamica Buget'!$D$3:$I$4</c:f>
              <c:multiLvlStrCache>
                <c:ptCount val="6"/>
                <c:lvl>
                  <c:pt idx="0">
                    <c:v>LEI</c:v>
                  </c:pt>
                  <c:pt idx="1">
                    <c:v>EURO</c:v>
                  </c:pt>
                  <c:pt idx="2">
                    <c:v>LEI</c:v>
                  </c:pt>
                  <c:pt idx="3">
                    <c:v>EURO</c:v>
                  </c:pt>
                  <c:pt idx="4">
                    <c:v>LEI</c:v>
                  </c:pt>
                  <c:pt idx="5">
                    <c:v>EURO</c:v>
                  </c:pt>
                </c:lvl>
                <c:lvl>
                  <c:pt idx="0">
                    <c:v>2023</c:v>
                  </c:pt>
                  <c:pt idx="2">
                    <c:v>2024</c:v>
                  </c:pt>
                  <c:pt idx="4">
                    <c:v>2025</c:v>
                  </c:pt>
                </c:lvl>
              </c:multiLvlStrCache>
            </c:multiLvlStrRef>
          </c:cat>
          <c:val>
            <c:numRef>
              <c:f>'Dinamica Buget'!$D$6:$I$6</c:f>
              <c:numCache>
                <c:formatCode>#,##0</c:formatCode>
                <c:ptCount val="6"/>
                <c:pt idx="0">
                  <c:v>299070</c:v>
                </c:pt>
                <c:pt idx="1">
                  <c:v>59814</c:v>
                </c:pt>
                <c:pt idx="2">
                  <c:v>306828</c:v>
                </c:pt>
                <c:pt idx="3">
                  <c:v>61366</c:v>
                </c:pt>
                <c:pt idx="4">
                  <c:v>453862</c:v>
                </c:pt>
                <c:pt idx="5">
                  <c:v>90772</c:v>
                </c:pt>
              </c:numCache>
            </c:numRef>
          </c:val>
          <c:extLst>
            <c:ext xmlns:c16="http://schemas.microsoft.com/office/drawing/2014/chart" uri="{C3380CC4-5D6E-409C-BE32-E72D297353CC}">
              <c16:uniqueId val="{00000001-3266-4A86-81C8-D0A6C120D332}"/>
            </c:ext>
          </c:extLst>
        </c:ser>
        <c:dLbls>
          <c:showLegendKey val="0"/>
          <c:showVal val="0"/>
          <c:showCatName val="0"/>
          <c:showSerName val="0"/>
          <c:showPercent val="0"/>
          <c:showBubbleSize val="0"/>
        </c:dLbls>
        <c:gapWidth val="169"/>
        <c:overlap val="-17"/>
        <c:axId val="418891568"/>
        <c:axId val="418892352"/>
      </c:barChart>
      <c:catAx>
        <c:axId val="418891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18892352"/>
        <c:crosses val="autoZero"/>
        <c:auto val="1"/>
        <c:lblAlgn val="ctr"/>
        <c:lblOffset val="100"/>
        <c:noMultiLvlLbl val="0"/>
      </c:catAx>
      <c:valAx>
        <c:axId val="418892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18891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'Structura Ch_an'!$AJ$4:$AK$4</c:f>
              <c:strCache>
                <c:ptCount val="2"/>
                <c:pt idx="0">
                  <c:v>2023</c:v>
                </c:pt>
                <c:pt idx="1">
                  <c:v>CA</c:v>
                </c:pt>
              </c:strCache>
            </c:strRef>
          </c:tx>
          <c:spPr>
            <a:solidFill>
              <a:schemeClr val="accent1"/>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Ch_an'!$AL$4:$AU$4</c:f>
              <c:numCache>
                <c:formatCode>#,##0</c:formatCode>
                <c:ptCount val="10"/>
                <c:pt idx="0">
                  <c:v>155392</c:v>
                </c:pt>
                <c:pt idx="1">
                  <c:v>101092</c:v>
                </c:pt>
                <c:pt idx="2">
                  <c:v>8038</c:v>
                </c:pt>
                <c:pt idx="3">
                  <c:v>0</c:v>
                </c:pt>
                <c:pt idx="4">
                  <c:v>26</c:v>
                </c:pt>
                <c:pt idx="5">
                  <c:v>0</c:v>
                </c:pt>
                <c:pt idx="6">
                  <c:v>40276</c:v>
                </c:pt>
                <c:pt idx="7">
                  <c:v>1903</c:v>
                </c:pt>
                <c:pt idx="8">
                  <c:v>3927</c:v>
                </c:pt>
                <c:pt idx="9">
                  <c:v>130</c:v>
                </c:pt>
              </c:numCache>
            </c:numRef>
          </c:val>
          <c:extLst>
            <c:ext xmlns:c16="http://schemas.microsoft.com/office/drawing/2014/chart" uri="{C3380CC4-5D6E-409C-BE32-E72D297353CC}">
              <c16:uniqueId val="{00000000-EC7D-4E2A-AF3C-B75CCBEA1114}"/>
            </c:ext>
          </c:extLst>
        </c:ser>
        <c:ser>
          <c:idx val="1"/>
          <c:order val="1"/>
          <c:tx>
            <c:strRef>
              <c:f>'Structura Ch_an'!$AJ$5:$AK$5</c:f>
              <c:strCache>
                <c:ptCount val="2"/>
                <c:pt idx="0">
                  <c:v>2023</c:v>
                </c:pt>
                <c:pt idx="1">
                  <c:v>CB</c:v>
                </c:pt>
              </c:strCache>
            </c:strRef>
          </c:tx>
          <c:spPr>
            <a:solidFill>
              <a:schemeClr val="accent2"/>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Ch_an'!$AL$5:$AU$5</c:f>
              <c:numCache>
                <c:formatCode>#,##0</c:formatCode>
                <c:ptCount val="10"/>
                <c:pt idx="0">
                  <c:v>173305</c:v>
                </c:pt>
                <c:pt idx="1">
                  <c:v>101092</c:v>
                </c:pt>
                <c:pt idx="2">
                  <c:v>8038</c:v>
                </c:pt>
                <c:pt idx="3">
                  <c:v>0</c:v>
                </c:pt>
                <c:pt idx="4">
                  <c:v>26</c:v>
                </c:pt>
                <c:pt idx="5">
                  <c:v>0</c:v>
                </c:pt>
                <c:pt idx="6">
                  <c:v>60167</c:v>
                </c:pt>
                <c:pt idx="7">
                  <c:v>1903</c:v>
                </c:pt>
                <c:pt idx="8">
                  <c:v>1949</c:v>
                </c:pt>
                <c:pt idx="9">
                  <c:v>130</c:v>
                </c:pt>
              </c:numCache>
            </c:numRef>
          </c:val>
          <c:extLst>
            <c:ext xmlns:c16="http://schemas.microsoft.com/office/drawing/2014/chart" uri="{C3380CC4-5D6E-409C-BE32-E72D297353CC}">
              <c16:uniqueId val="{00000001-EC7D-4E2A-AF3C-B75CCBEA1114}"/>
            </c:ext>
          </c:extLst>
        </c:ser>
        <c:ser>
          <c:idx val="2"/>
          <c:order val="2"/>
          <c:tx>
            <c:strRef>
              <c:f>'Structura Ch_an'!$AJ$6:$AK$6</c:f>
              <c:strCache>
                <c:ptCount val="2"/>
                <c:pt idx="0">
                  <c:v>2024</c:v>
                </c:pt>
                <c:pt idx="1">
                  <c:v>CA</c:v>
                </c:pt>
              </c:strCache>
            </c:strRef>
          </c:tx>
          <c:spPr>
            <a:solidFill>
              <a:schemeClr val="accent3"/>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Ch_an'!$AL$6:$AU$6</c:f>
              <c:numCache>
                <c:formatCode>#,##0</c:formatCode>
                <c:ptCount val="10"/>
                <c:pt idx="0">
                  <c:v>143259</c:v>
                </c:pt>
                <c:pt idx="1">
                  <c:v>127172</c:v>
                </c:pt>
                <c:pt idx="2">
                  <c:v>10641</c:v>
                </c:pt>
                <c:pt idx="3">
                  <c:v>0</c:v>
                </c:pt>
                <c:pt idx="4">
                  <c:v>67</c:v>
                </c:pt>
                <c:pt idx="5">
                  <c:v>70</c:v>
                </c:pt>
                <c:pt idx="6">
                  <c:v>2821</c:v>
                </c:pt>
                <c:pt idx="7">
                  <c:v>587</c:v>
                </c:pt>
                <c:pt idx="8">
                  <c:v>658</c:v>
                </c:pt>
                <c:pt idx="9">
                  <c:v>1243</c:v>
                </c:pt>
              </c:numCache>
            </c:numRef>
          </c:val>
          <c:extLst>
            <c:ext xmlns:c16="http://schemas.microsoft.com/office/drawing/2014/chart" uri="{C3380CC4-5D6E-409C-BE32-E72D297353CC}">
              <c16:uniqueId val="{00000002-EC7D-4E2A-AF3C-B75CCBEA1114}"/>
            </c:ext>
          </c:extLst>
        </c:ser>
        <c:ser>
          <c:idx val="3"/>
          <c:order val="3"/>
          <c:tx>
            <c:strRef>
              <c:f>'Structura Ch_an'!$AJ$7:$AK$7</c:f>
              <c:strCache>
                <c:ptCount val="2"/>
                <c:pt idx="0">
                  <c:v>2024</c:v>
                </c:pt>
                <c:pt idx="1">
                  <c:v>CB</c:v>
                </c:pt>
              </c:strCache>
            </c:strRef>
          </c:tx>
          <c:spPr>
            <a:solidFill>
              <a:schemeClr val="accent4"/>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Ch_an'!$AL$7:$AU$7</c:f>
              <c:numCache>
                <c:formatCode>#,##0</c:formatCode>
                <c:ptCount val="10"/>
                <c:pt idx="0">
                  <c:v>143099</c:v>
                </c:pt>
                <c:pt idx="1">
                  <c:v>127172</c:v>
                </c:pt>
                <c:pt idx="2">
                  <c:v>10481</c:v>
                </c:pt>
                <c:pt idx="3">
                  <c:v>0</c:v>
                </c:pt>
                <c:pt idx="4">
                  <c:v>67</c:v>
                </c:pt>
                <c:pt idx="5">
                  <c:v>70</c:v>
                </c:pt>
                <c:pt idx="6">
                  <c:v>2821</c:v>
                </c:pt>
                <c:pt idx="7">
                  <c:v>587</c:v>
                </c:pt>
                <c:pt idx="8">
                  <c:v>658</c:v>
                </c:pt>
                <c:pt idx="9">
                  <c:v>1243</c:v>
                </c:pt>
              </c:numCache>
            </c:numRef>
          </c:val>
          <c:extLst>
            <c:ext xmlns:c16="http://schemas.microsoft.com/office/drawing/2014/chart" uri="{C3380CC4-5D6E-409C-BE32-E72D297353CC}">
              <c16:uniqueId val="{00000003-EC7D-4E2A-AF3C-B75CCBEA1114}"/>
            </c:ext>
          </c:extLst>
        </c:ser>
        <c:ser>
          <c:idx val="4"/>
          <c:order val="4"/>
          <c:tx>
            <c:strRef>
              <c:f>'Structura Ch_an'!$AJ$8:$AK$8</c:f>
              <c:strCache>
                <c:ptCount val="2"/>
                <c:pt idx="0">
                  <c:v>2025</c:v>
                </c:pt>
                <c:pt idx="1">
                  <c:v>CA</c:v>
                </c:pt>
              </c:strCache>
            </c:strRef>
          </c:tx>
          <c:spPr>
            <a:solidFill>
              <a:schemeClr val="accent5"/>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Ch_an'!$AL$8:$AU$8</c:f>
              <c:numCache>
                <c:formatCode>#,##0</c:formatCode>
                <c:ptCount val="10"/>
                <c:pt idx="0">
                  <c:v>168897</c:v>
                </c:pt>
                <c:pt idx="1">
                  <c:v>148661</c:v>
                </c:pt>
                <c:pt idx="2">
                  <c:v>15332</c:v>
                </c:pt>
                <c:pt idx="3">
                  <c:v>0</c:v>
                </c:pt>
                <c:pt idx="4">
                  <c:v>60</c:v>
                </c:pt>
                <c:pt idx="5">
                  <c:v>1623</c:v>
                </c:pt>
                <c:pt idx="6">
                  <c:v>305</c:v>
                </c:pt>
                <c:pt idx="7">
                  <c:v>922</c:v>
                </c:pt>
                <c:pt idx="8">
                  <c:v>754</c:v>
                </c:pt>
                <c:pt idx="9">
                  <c:v>1240</c:v>
                </c:pt>
              </c:numCache>
            </c:numRef>
          </c:val>
          <c:extLst>
            <c:ext xmlns:c16="http://schemas.microsoft.com/office/drawing/2014/chart" uri="{C3380CC4-5D6E-409C-BE32-E72D297353CC}">
              <c16:uniqueId val="{00000004-EC7D-4E2A-AF3C-B75CCBEA1114}"/>
            </c:ext>
          </c:extLst>
        </c:ser>
        <c:ser>
          <c:idx val="5"/>
          <c:order val="5"/>
          <c:tx>
            <c:strRef>
              <c:f>'Structura Ch_an'!$AJ$9:$AK$9</c:f>
              <c:strCache>
                <c:ptCount val="2"/>
                <c:pt idx="0">
                  <c:v>2025</c:v>
                </c:pt>
                <c:pt idx="1">
                  <c:v>CB</c:v>
                </c:pt>
              </c:strCache>
            </c:strRef>
          </c:tx>
          <c:spPr>
            <a:solidFill>
              <a:schemeClr val="accent6"/>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Ch_an'!$AL$9:$AU$9</c:f>
              <c:numCache>
                <c:formatCode>#,##0</c:formatCode>
                <c:ptCount val="10"/>
                <c:pt idx="0">
                  <c:v>168897</c:v>
                </c:pt>
                <c:pt idx="1">
                  <c:v>148661</c:v>
                </c:pt>
                <c:pt idx="2">
                  <c:v>15332</c:v>
                </c:pt>
                <c:pt idx="3">
                  <c:v>0</c:v>
                </c:pt>
                <c:pt idx="4">
                  <c:v>60</c:v>
                </c:pt>
                <c:pt idx="5">
                  <c:v>1623</c:v>
                </c:pt>
                <c:pt idx="6">
                  <c:v>305</c:v>
                </c:pt>
                <c:pt idx="7">
                  <c:v>922</c:v>
                </c:pt>
                <c:pt idx="8">
                  <c:v>754</c:v>
                </c:pt>
                <c:pt idx="9">
                  <c:v>1240</c:v>
                </c:pt>
              </c:numCache>
            </c:numRef>
          </c:val>
          <c:extLst>
            <c:ext xmlns:c16="http://schemas.microsoft.com/office/drawing/2014/chart" uri="{C3380CC4-5D6E-409C-BE32-E72D297353CC}">
              <c16:uniqueId val="{00000005-EC7D-4E2A-AF3C-B75CCBEA1114}"/>
            </c:ext>
          </c:extLst>
        </c:ser>
        <c:dLbls>
          <c:showLegendKey val="0"/>
          <c:showVal val="0"/>
          <c:showCatName val="0"/>
          <c:showSerName val="0"/>
          <c:showPercent val="0"/>
          <c:showBubbleSize val="0"/>
        </c:dLbls>
        <c:gapWidth val="150"/>
        <c:shape val="box"/>
        <c:axId val="418891176"/>
        <c:axId val="418891960"/>
        <c:axId val="590006880"/>
      </c:bar3DChart>
      <c:catAx>
        <c:axId val="4188911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18891960"/>
        <c:crosses val="autoZero"/>
        <c:auto val="1"/>
        <c:lblAlgn val="ctr"/>
        <c:lblOffset val="100"/>
        <c:noMultiLvlLbl val="0"/>
      </c:catAx>
      <c:valAx>
        <c:axId val="418891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18891176"/>
        <c:crosses val="autoZero"/>
        <c:crossBetween val="between"/>
      </c:valAx>
      <c:serAx>
        <c:axId val="59000688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1889196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401159230096238"/>
          <c:y val="0.12637175561388159"/>
          <c:w val="0.75966185476815395"/>
          <c:h val="0.45581000291630214"/>
        </c:manualLayout>
      </c:layout>
      <c:bar3DChart>
        <c:barDir val="col"/>
        <c:grouping val="standard"/>
        <c:varyColors val="0"/>
        <c:ser>
          <c:idx val="0"/>
          <c:order val="0"/>
          <c:tx>
            <c:strRef>
              <c:f>'Structura Ch_an'!$O$71:$P$71</c:f>
              <c:strCache>
                <c:ptCount val="2"/>
                <c:pt idx="0">
                  <c:v>2023</c:v>
                </c:pt>
                <c:pt idx="1">
                  <c:v>CA</c:v>
                </c:pt>
              </c:strCache>
            </c:strRef>
          </c:tx>
          <c:spPr>
            <a:solidFill>
              <a:schemeClr val="accent1"/>
            </a:solidFill>
            <a:ln>
              <a:noFill/>
            </a:ln>
            <a:effectLst/>
            <a:sp3d/>
          </c:spPr>
          <c:invertIfNegative val="0"/>
          <c:cat>
            <c:strRef>
              <c:f>'Structura Ch_an'!$Q$70:$X$70</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Ch_an'!$Q$71:$X$71</c:f>
              <c:numCache>
                <c:formatCode>#,##0</c:formatCode>
                <c:ptCount val="8"/>
                <c:pt idx="0">
                  <c:v>36645</c:v>
                </c:pt>
                <c:pt idx="1">
                  <c:v>33675</c:v>
                </c:pt>
                <c:pt idx="2">
                  <c:v>2309</c:v>
                </c:pt>
                <c:pt idx="3">
                  <c:v>0</c:v>
                </c:pt>
                <c:pt idx="4">
                  <c:v>0</c:v>
                </c:pt>
                <c:pt idx="5">
                  <c:v>196</c:v>
                </c:pt>
                <c:pt idx="6">
                  <c:v>130</c:v>
                </c:pt>
                <c:pt idx="7">
                  <c:v>335</c:v>
                </c:pt>
              </c:numCache>
            </c:numRef>
          </c:val>
          <c:extLst>
            <c:ext xmlns:c16="http://schemas.microsoft.com/office/drawing/2014/chart" uri="{C3380CC4-5D6E-409C-BE32-E72D297353CC}">
              <c16:uniqueId val="{00000000-A369-4936-BE14-1FCE0AF87903}"/>
            </c:ext>
          </c:extLst>
        </c:ser>
        <c:ser>
          <c:idx val="1"/>
          <c:order val="1"/>
          <c:tx>
            <c:strRef>
              <c:f>'Structura Ch_an'!$O$72:$P$72</c:f>
              <c:strCache>
                <c:ptCount val="2"/>
                <c:pt idx="0">
                  <c:v>2023</c:v>
                </c:pt>
                <c:pt idx="1">
                  <c:v>CB</c:v>
                </c:pt>
              </c:strCache>
            </c:strRef>
          </c:tx>
          <c:spPr>
            <a:solidFill>
              <a:schemeClr val="accent2"/>
            </a:solidFill>
            <a:ln>
              <a:noFill/>
            </a:ln>
            <a:effectLst/>
            <a:sp3d/>
          </c:spPr>
          <c:invertIfNegative val="0"/>
          <c:cat>
            <c:strRef>
              <c:f>'Structura Ch_an'!$Q$70:$X$70</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Ch_an'!$Q$72:$X$72</c:f>
              <c:numCache>
                <c:formatCode>#,##0</c:formatCode>
                <c:ptCount val="8"/>
                <c:pt idx="0">
                  <c:v>36645</c:v>
                </c:pt>
                <c:pt idx="1">
                  <c:v>33675</c:v>
                </c:pt>
                <c:pt idx="2">
                  <c:v>2309</c:v>
                </c:pt>
                <c:pt idx="3">
                  <c:v>0</c:v>
                </c:pt>
                <c:pt idx="4">
                  <c:v>0</c:v>
                </c:pt>
                <c:pt idx="5">
                  <c:v>196</c:v>
                </c:pt>
                <c:pt idx="6">
                  <c:v>130</c:v>
                </c:pt>
                <c:pt idx="7">
                  <c:v>335</c:v>
                </c:pt>
              </c:numCache>
            </c:numRef>
          </c:val>
          <c:extLst>
            <c:ext xmlns:c16="http://schemas.microsoft.com/office/drawing/2014/chart" uri="{C3380CC4-5D6E-409C-BE32-E72D297353CC}">
              <c16:uniqueId val="{00000001-A369-4936-BE14-1FCE0AF87903}"/>
            </c:ext>
          </c:extLst>
        </c:ser>
        <c:ser>
          <c:idx val="2"/>
          <c:order val="2"/>
          <c:tx>
            <c:strRef>
              <c:f>'Structura Ch_an'!$O$73:$P$73</c:f>
              <c:strCache>
                <c:ptCount val="2"/>
                <c:pt idx="0">
                  <c:v>2024</c:v>
                </c:pt>
                <c:pt idx="1">
                  <c:v>CA</c:v>
                </c:pt>
              </c:strCache>
            </c:strRef>
          </c:tx>
          <c:spPr>
            <a:solidFill>
              <a:schemeClr val="accent3"/>
            </a:solidFill>
            <a:ln>
              <a:noFill/>
            </a:ln>
            <a:effectLst/>
            <a:sp3d/>
          </c:spPr>
          <c:invertIfNegative val="0"/>
          <c:cat>
            <c:strRef>
              <c:f>'Structura Ch_an'!$Q$70:$X$70</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Ch_an'!$Q$73:$X$73</c:f>
              <c:numCache>
                <c:formatCode>#,##0</c:formatCode>
                <c:ptCount val="8"/>
                <c:pt idx="0">
                  <c:v>49100</c:v>
                </c:pt>
                <c:pt idx="1">
                  <c:v>45977</c:v>
                </c:pt>
                <c:pt idx="2">
                  <c:v>2848</c:v>
                </c:pt>
                <c:pt idx="3">
                  <c:v>0</c:v>
                </c:pt>
                <c:pt idx="4">
                  <c:v>0</c:v>
                </c:pt>
                <c:pt idx="5">
                  <c:v>0</c:v>
                </c:pt>
                <c:pt idx="6">
                  <c:v>140</c:v>
                </c:pt>
                <c:pt idx="7">
                  <c:v>135</c:v>
                </c:pt>
              </c:numCache>
            </c:numRef>
          </c:val>
          <c:extLst>
            <c:ext xmlns:c16="http://schemas.microsoft.com/office/drawing/2014/chart" uri="{C3380CC4-5D6E-409C-BE32-E72D297353CC}">
              <c16:uniqueId val="{00000002-A369-4936-BE14-1FCE0AF87903}"/>
            </c:ext>
          </c:extLst>
        </c:ser>
        <c:ser>
          <c:idx val="3"/>
          <c:order val="3"/>
          <c:tx>
            <c:strRef>
              <c:f>'Structura Ch_an'!$O$74:$P$74</c:f>
              <c:strCache>
                <c:ptCount val="2"/>
                <c:pt idx="0">
                  <c:v>2024</c:v>
                </c:pt>
                <c:pt idx="1">
                  <c:v>CB</c:v>
                </c:pt>
              </c:strCache>
            </c:strRef>
          </c:tx>
          <c:spPr>
            <a:solidFill>
              <a:schemeClr val="accent4"/>
            </a:solidFill>
            <a:ln>
              <a:noFill/>
            </a:ln>
            <a:effectLst/>
            <a:sp3d/>
          </c:spPr>
          <c:invertIfNegative val="0"/>
          <c:cat>
            <c:strRef>
              <c:f>'Structura Ch_an'!$Q$70:$X$70</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Ch_an'!$Q$74:$X$74</c:f>
              <c:numCache>
                <c:formatCode>#,##0</c:formatCode>
                <c:ptCount val="8"/>
                <c:pt idx="0">
                  <c:v>48776</c:v>
                </c:pt>
                <c:pt idx="1">
                  <c:v>45977</c:v>
                </c:pt>
                <c:pt idx="2">
                  <c:v>2524</c:v>
                </c:pt>
                <c:pt idx="3">
                  <c:v>0</c:v>
                </c:pt>
                <c:pt idx="4">
                  <c:v>0</c:v>
                </c:pt>
                <c:pt idx="5">
                  <c:v>0</c:v>
                </c:pt>
                <c:pt idx="6">
                  <c:v>140</c:v>
                </c:pt>
                <c:pt idx="7">
                  <c:v>135</c:v>
                </c:pt>
              </c:numCache>
            </c:numRef>
          </c:val>
          <c:extLst>
            <c:ext xmlns:c16="http://schemas.microsoft.com/office/drawing/2014/chart" uri="{C3380CC4-5D6E-409C-BE32-E72D297353CC}">
              <c16:uniqueId val="{00000003-A369-4936-BE14-1FCE0AF87903}"/>
            </c:ext>
          </c:extLst>
        </c:ser>
        <c:ser>
          <c:idx val="4"/>
          <c:order val="4"/>
          <c:tx>
            <c:strRef>
              <c:f>'Structura Ch_an'!$O$75:$P$75</c:f>
              <c:strCache>
                <c:ptCount val="2"/>
                <c:pt idx="0">
                  <c:v>2 025</c:v>
                </c:pt>
                <c:pt idx="1">
                  <c:v>CA</c:v>
                </c:pt>
              </c:strCache>
            </c:strRef>
          </c:tx>
          <c:spPr>
            <a:solidFill>
              <a:schemeClr val="accent5"/>
            </a:solidFill>
            <a:ln>
              <a:noFill/>
            </a:ln>
            <a:effectLst/>
            <a:sp3d/>
          </c:spPr>
          <c:invertIfNegative val="0"/>
          <c:cat>
            <c:strRef>
              <c:f>'Structura Ch_an'!$Q$70:$X$70</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Ch_an'!$Q$75:$X$75</c:f>
              <c:numCache>
                <c:formatCode>#,##0</c:formatCode>
                <c:ptCount val="8"/>
                <c:pt idx="0">
                  <c:v>73724</c:v>
                </c:pt>
                <c:pt idx="1">
                  <c:v>58976</c:v>
                </c:pt>
                <c:pt idx="2">
                  <c:v>3660</c:v>
                </c:pt>
                <c:pt idx="3">
                  <c:v>0</c:v>
                </c:pt>
                <c:pt idx="4">
                  <c:v>0</c:v>
                </c:pt>
                <c:pt idx="5">
                  <c:v>0</c:v>
                </c:pt>
                <c:pt idx="6">
                  <c:v>6697</c:v>
                </c:pt>
                <c:pt idx="7">
                  <c:v>4391</c:v>
                </c:pt>
              </c:numCache>
            </c:numRef>
          </c:val>
          <c:extLst>
            <c:ext xmlns:c16="http://schemas.microsoft.com/office/drawing/2014/chart" uri="{C3380CC4-5D6E-409C-BE32-E72D297353CC}">
              <c16:uniqueId val="{00000004-A369-4936-BE14-1FCE0AF87903}"/>
            </c:ext>
          </c:extLst>
        </c:ser>
        <c:ser>
          <c:idx val="5"/>
          <c:order val="5"/>
          <c:tx>
            <c:strRef>
              <c:f>'Structura Ch_an'!$O$76:$P$76</c:f>
              <c:strCache>
                <c:ptCount val="2"/>
                <c:pt idx="0">
                  <c:v>2 025</c:v>
                </c:pt>
                <c:pt idx="1">
                  <c:v>CB</c:v>
                </c:pt>
              </c:strCache>
            </c:strRef>
          </c:tx>
          <c:spPr>
            <a:solidFill>
              <a:schemeClr val="accent6"/>
            </a:solidFill>
            <a:ln>
              <a:noFill/>
            </a:ln>
            <a:effectLst/>
            <a:sp3d/>
          </c:spPr>
          <c:invertIfNegative val="0"/>
          <c:cat>
            <c:strRef>
              <c:f>'Structura Ch_an'!$Q$70:$X$70</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Ch_an'!$Q$76:$X$76</c:f>
              <c:numCache>
                <c:formatCode>#,##0</c:formatCode>
                <c:ptCount val="8"/>
                <c:pt idx="0">
                  <c:v>73724</c:v>
                </c:pt>
                <c:pt idx="1">
                  <c:v>58976</c:v>
                </c:pt>
                <c:pt idx="2">
                  <c:v>3660</c:v>
                </c:pt>
                <c:pt idx="3">
                  <c:v>0</c:v>
                </c:pt>
                <c:pt idx="4">
                  <c:v>0</c:v>
                </c:pt>
                <c:pt idx="5">
                  <c:v>0</c:v>
                </c:pt>
                <c:pt idx="6">
                  <c:v>6697</c:v>
                </c:pt>
                <c:pt idx="7">
                  <c:v>4391</c:v>
                </c:pt>
              </c:numCache>
            </c:numRef>
          </c:val>
          <c:extLst>
            <c:ext xmlns:c16="http://schemas.microsoft.com/office/drawing/2014/chart" uri="{C3380CC4-5D6E-409C-BE32-E72D297353CC}">
              <c16:uniqueId val="{00000005-A369-4936-BE14-1FCE0AF87903}"/>
            </c:ext>
          </c:extLst>
        </c:ser>
        <c:dLbls>
          <c:showLegendKey val="0"/>
          <c:showVal val="0"/>
          <c:showCatName val="0"/>
          <c:showSerName val="0"/>
          <c:showPercent val="0"/>
          <c:showBubbleSize val="0"/>
        </c:dLbls>
        <c:gapWidth val="150"/>
        <c:shape val="box"/>
        <c:axId val="418889608"/>
        <c:axId val="417795944"/>
        <c:axId val="590009848"/>
      </c:bar3DChart>
      <c:catAx>
        <c:axId val="4188896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17795944"/>
        <c:crosses val="autoZero"/>
        <c:auto val="1"/>
        <c:lblAlgn val="ctr"/>
        <c:lblOffset val="100"/>
        <c:noMultiLvlLbl val="0"/>
      </c:catAx>
      <c:valAx>
        <c:axId val="4177959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18889608"/>
        <c:crosses val="autoZero"/>
        <c:crossBetween val="between"/>
      </c:valAx>
      <c:serAx>
        <c:axId val="59000984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1779594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'Structura Ch_an'!$O$25:$P$25</c:f>
              <c:strCache>
                <c:ptCount val="2"/>
                <c:pt idx="0">
                  <c:v>2023</c:v>
                </c:pt>
                <c:pt idx="1">
                  <c:v>CA</c:v>
                </c:pt>
              </c:strCache>
            </c:strRef>
          </c:tx>
          <c:spPr>
            <a:solidFill>
              <a:schemeClr val="accent1"/>
            </a:solidFill>
            <a:ln>
              <a:noFill/>
            </a:ln>
            <a:effectLst/>
            <a:sp3d/>
          </c:spPr>
          <c:invertIfNegative val="0"/>
          <c:cat>
            <c:strRef>
              <c:f>'Structura Ch_an'!$Q$24:$X$24</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Ch_an'!$Q$25:$X$25</c:f>
              <c:numCache>
                <c:formatCode>#,##0</c:formatCode>
                <c:ptCount val="8"/>
                <c:pt idx="0">
                  <c:v>72088</c:v>
                </c:pt>
                <c:pt idx="1">
                  <c:v>29230</c:v>
                </c:pt>
                <c:pt idx="2">
                  <c:v>2523</c:v>
                </c:pt>
                <c:pt idx="3">
                  <c:v>8</c:v>
                </c:pt>
                <c:pt idx="4">
                  <c:v>26</c:v>
                </c:pt>
                <c:pt idx="5">
                  <c:v>1997</c:v>
                </c:pt>
                <c:pt idx="6">
                  <c:v>38285</c:v>
                </c:pt>
                <c:pt idx="7">
                  <c:v>19</c:v>
                </c:pt>
              </c:numCache>
            </c:numRef>
          </c:val>
          <c:extLst>
            <c:ext xmlns:c16="http://schemas.microsoft.com/office/drawing/2014/chart" uri="{C3380CC4-5D6E-409C-BE32-E72D297353CC}">
              <c16:uniqueId val="{00000000-5682-4FBF-85C2-DAE29B6CCABE}"/>
            </c:ext>
          </c:extLst>
        </c:ser>
        <c:ser>
          <c:idx val="1"/>
          <c:order val="1"/>
          <c:tx>
            <c:strRef>
              <c:f>'Structura Ch_an'!$O$26:$P$26</c:f>
              <c:strCache>
                <c:ptCount val="2"/>
                <c:pt idx="0">
                  <c:v>2023</c:v>
                </c:pt>
                <c:pt idx="1">
                  <c:v>CB</c:v>
                </c:pt>
              </c:strCache>
            </c:strRef>
          </c:tx>
          <c:spPr>
            <a:solidFill>
              <a:schemeClr val="accent2"/>
            </a:solidFill>
            <a:ln>
              <a:noFill/>
            </a:ln>
            <a:effectLst/>
            <a:sp3d/>
          </c:spPr>
          <c:invertIfNegative val="0"/>
          <c:cat>
            <c:strRef>
              <c:f>'Structura Ch_an'!$Q$24:$X$24</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Ch_an'!$Q$26:$X$26</c:f>
              <c:numCache>
                <c:formatCode>#,##0</c:formatCode>
                <c:ptCount val="8"/>
                <c:pt idx="0">
                  <c:v>74127</c:v>
                </c:pt>
                <c:pt idx="1">
                  <c:v>29230</c:v>
                </c:pt>
                <c:pt idx="2">
                  <c:v>2523</c:v>
                </c:pt>
                <c:pt idx="3">
                  <c:v>8</c:v>
                </c:pt>
                <c:pt idx="4">
                  <c:v>26</c:v>
                </c:pt>
                <c:pt idx="5">
                  <c:v>4036</c:v>
                </c:pt>
                <c:pt idx="6">
                  <c:v>38285</c:v>
                </c:pt>
                <c:pt idx="7">
                  <c:v>19</c:v>
                </c:pt>
              </c:numCache>
            </c:numRef>
          </c:val>
          <c:extLst>
            <c:ext xmlns:c16="http://schemas.microsoft.com/office/drawing/2014/chart" uri="{C3380CC4-5D6E-409C-BE32-E72D297353CC}">
              <c16:uniqueId val="{00000001-5682-4FBF-85C2-DAE29B6CCABE}"/>
            </c:ext>
          </c:extLst>
        </c:ser>
        <c:ser>
          <c:idx val="2"/>
          <c:order val="2"/>
          <c:tx>
            <c:strRef>
              <c:f>'Structura Ch_an'!$O$27:$P$27</c:f>
              <c:strCache>
                <c:ptCount val="2"/>
                <c:pt idx="0">
                  <c:v>2024</c:v>
                </c:pt>
                <c:pt idx="1">
                  <c:v>CA</c:v>
                </c:pt>
              </c:strCache>
            </c:strRef>
          </c:tx>
          <c:spPr>
            <a:solidFill>
              <a:schemeClr val="accent3"/>
            </a:solidFill>
            <a:ln>
              <a:noFill/>
            </a:ln>
            <a:effectLst/>
            <a:sp3d/>
          </c:spPr>
          <c:invertIfNegative val="0"/>
          <c:cat>
            <c:strRef>
              <c:f>'Structura Ch_an'!$Q$24:$X$24</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Ch_an'!$Q$27:$X$27</c:f>
              <c:numCache>
                <c:formatCode>#,##0</c:formatCode>
                <c:ptCount val="8"/>
                <c:pt idx="0">
                  <c:v>86084</c:v>
                </c:pt>
                <c:pt idx="1">
                  <c:v>39583</c:v>
                </c:pt>
                <c:pt idx="2">
                  <c:v>6166</c:v>
                </c:pt>
                <c:pt idx="3">
                  <c:v>8</c:v>
                </c:pt>
                <c:pt idx="4">
                  <c:v>26</c:v>
                </c:pt>
                <c:pt idx="5">
                  <c:v>1997</c:v>
                </c:pt>
                <c:pt idx="6">
                  <c:v>38285</c:v>
                </c:pt>
                <c:pt idx="7">
                  <c:v>19</c:v>
                </c:pt>
              </c:numCache>
            </c:numRef>
          </c:val>
          <c:extLst>
            <c:ext xmlns:c16="http://schemas.microsoft.com/office/drawing/2014/chart" uri="{C3380CC4-5D6E-409C-BE32-E72D297353CC}">
              <c16:uniqueId val="{00000002-5682-4FBF-85C2-DAE29B6CCABE}"/>
            </c:ext>
          </c:extLst>
        </c:ser>
        <c:ser>
          <c:idx val="3"/>
          <c:order val="3"/>
          <c:tx>
            <c:strRef>
              <c:f>'Structura Ch_an'!$O$28:$P$28</c:f>
              <c:strCache>
                <c:ptCount val="2"/>
                <c:pt idx="0">
                  <c:v>2024</c:v>
                </c:pt>
                <c:pt idx="1">
                  <c:v>CB</c:v>
                </c:pt>
              </c:strCache>
            </c:strRef>
          </c:tx>
          <c:spPr>
            <a:solidFill>
              <a:schemeClr val="accent4"/>
            </a:solidFill>
            <a:ln>
              <a:noFill/>
            </a:ln>
            <a:effectLst/>
            <a:sp3d/>
          </c:spPr>
          <c:invertIfNegative val="0"/>
          <c:cat>
            <c:strRef>
              <c:f>'Structura Ch_an'!$Q$24:$X$24</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Ch_an'!$Q$28:$X$28</c:f>
              <c:numCache>
                <c:formatCode>#,##0</c:formatCode>
                <c:ptCount val="8"/>
                <c:pt idx="0">
                  <c:v>87357</c:v>
                </c:pt>
                <c:pt idx="1">
                  <c:v>39583</c:v>
                </c:pt>
                <c:pt idx="2">
                  <c:v>5400</c:v>
                </c:pt>
                <c:pt idx="3">
                  <c:v>8</c:v>
                </c:pt>
                <c:pt idx="4">
                  <c:v>26</c:v>
                </c:pt>
                <c:pt idx="5">
                  <c:v>4036</c:v>
                </c:pt>
                <c:pt idx="6">
                  <c:v>38285</c:v>
                </c:pt>
                <c:pt idx="7">
                  <c:v>19</c:v>
                </c:pt>
              </c:numCache>
            </c:numRef>
          </c:val>
          <c:extLst>
            <c:ext xmlns:c16="http://schemas.microsoft.com/office/drawing/2014/chart" uri="{C3380CC4-5D6E-409C-BE32-E72D297353CC}">
              <c16:uniqueId val="{00000003-5682-4FBF-85C2-DAE29B6CCABE}"/>
            </c:ext>
          </c:extLst>
        </c:ser>
        <c:ser>
          <c:idx val="4"/>
          <c:order val="4"/>
          <c:tx>
            <c:strRef>
              <c:f>'Structura Ch_an'!$O$29:$P$29</c:f>
              <c:strCache>
                <c:ptCount val="2"/>
                <c:pt idx="0">
                  <c:v>2025</c:v>
                </c:pt>
                <c:pt idx="1">
                  <c:v>CA</c:v>
                </c:pt>
              </c:strCache>
            </c:strRef>
          </c:tx>
          <c:spPr>
            <a:solidFill>
              <a:schemeClr val="accent5"/>
            </a:solidFill>
            <a:ln>
              <a:noFill/>
            </a:ln>
            <a:effectLst/>
            <a:sp3d/>
          </c:spPr>
          <c:invertIfNegative val="0"/>
          <c:cat>
            <c:strRef>
              <c:f>'Structura Ch_an'!$Q$24:$X$24</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Ch_an'!$Q$29:$X$29</c:f>
              <c:numCache>
                <c:formatCode>#,##0</c:formatCode>
                <c:ptCount val="8"/>
                <c:pt idx="0">
                  <c:v>139269</c:v>
                </c:pt>
                <c:pt idx="1">
                  <c:v>59500</c:v>
                </c:pt>
                <c:pt idx="2">
                  <c:v>23095</c:v>
                </c:pt>
                <c:pt idx="3">
                  <c:v>0</c:v>
                </c:pt>
                <c:pt idx="4">
                  <c:v>86</c:v>
                </c:pt>
                <c:pt idx="5">
                  <c:v>0</c:v>
                </c:pt>
                <c:pt idx="6">
                  <c:v>55962</c:v>
                </c:pt>
                <c:pt idx="7">
                  <c:v>626</c:v>
                </c:pt>
              </c:numCache>
            </c:numRef>
          </c:val>
          <c:extLst>
            <c:ext xmlns:c16="http://schemas.microsoft.com/office/drawing/2014/chart" uri="{C3380CC4-5D6E-409C-BE32-E72D297353CC}">
              <c16:uniqueId val="{00000004-5682-4FBF-85C2-DAE29B6CCABE}"/>
            </c:ext>
          </c:extLst>
        </c:ser>
        <c:ser>
          <c:idx val="5"/>
          <c:order val="5"/>
          <c:tx>
            <c:strRef>
              <c:f>'Structura Ch_an'!$O$30:$P$30</c:f>
              <c:strCache>
                <c:ptCount val="2"/>
                <c:pt idx="0">
                  <c:v>2025</c:v>
                </c:pt>
                <c:pt idx="1">
                  <c:v>CB</c:v>
                </c:pt>
              </c:strCache>
            </c:strRef>
          </c:tx>
          <c:spPr>
            <a:solidFill>
              <a:schemeClr val="accent6"/>
            </a:solidFill>
            <a:ln>
              <a:noFill/>
            </a:ln>
            <a:effectLst/>
            <a:sp3d/>
          </c:spPr>
          <c:invertIfNegative val="0"/>
          <c:cat>
            <c:strRef>
              <c:f>'Structura Ch_an'!$Q$24:$X$24</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Ch_an'!$Q$30:$X$30</c:f>
              <c:numCache>
                <c:formatCode>#,##0</c:formatCode>
                <c:ptCount val="8"/>
                <c:pt idx="0">
                  <c:v>139269</c:v>
                </c:pt>
                <c:pt idx="1">
                  <c:v>59500</c:v>
                </c:pt>
                <c:pt idx="2">
                  <c:v>23095</c:v>
                </c:pt>
                <c:pt idx="3">
                  <c:v>0</c:v>
                </c:pt>
                <c:pt idx="4">
                  <c:v>86</c:v>
                </c:pt>
                <c:pt idx="5">
                  <c:v>0</c:v>
                </c:pt>
                <c:pt idx="6">
                  <c:v>55962</c:v>
                </c:pt>
                <c:pt idx="7">
                  <c:v>626</c:v>
                </c:pt>
              </c:numCache>
            </c:numRef>
          </c:val>
          <c:extLst>
            <c:ext xmlns:c16="http://schemas.microsoft.com/office/drawing/2014/chart" uri="{C3380CC4-5D6E-409C-BE32-E72D297353CC}">
              <c16:uniqueId val="{00000005-5682-4FBF-85C2-DAE29B6CCABE}"/>
            </c:ext>
          </c:extLst>
        </c:ser>
        <c:dLbls>
          <c:showLegendKey val="0"/>
          <c:showVal val="0"/>
          <c:showCatName val="0"/>
          <c:showSerName val="0"/>
          <c:showPercent val="0"/>
          <c:showBubbleSize val="0"/>
        </c:dLbls>
        <c:gapWidth val="150"/>
        <c:shape val="box"/>
        <c:axId val="417796728"/>
        <c:axId val="417796336"/>
        <c:axId val="590000096"/>
      </c:bar3DChart>
      <c:catAx>
        <c:axId val="4177967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17796336"/>
        <c:crosses val="autoZero"/>
        <c:auto val="1"/>
        <c:lblAlgn val="ctr"/>
        <c:lblOffset val="100"/>
        <c:noMultiLvlLbl val="0"/>
      </c:catAx>
      <c:valAx>
        <c:axId val="417796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17796728"/>
        <c:crosses val="autoZero"/>
        <c:crossBetween val="between"/>
      </c:valAx>
      <c:serAx>
        <c:axId val="59000009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1779633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286BB-BC1A-4BCE-81AA-881A4CE6E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163</Pages>
  <Words>71439</Words>
  <Characters>444840</Characters>
  <Application>Microsoft Office Word</Application>
  <DocSecurity>4</DocSecurity>
  <Lines>3707</Lines>
  <Paragraphs>1030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515249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 PASCAL</dc:creator>
  <cp:keywords/>
  <dc:description/>
  <cp:lastModifiedBy>Crina, ION</cp:lastModifiedBy>
  <cp:revision>2</cp:revision>
  <cp:lastPrinted>2025-01-13T08:23:00Z</cp:lastPrinted>
  <dcterms:created xsi:type="dcterms:W3CDTF">2025-03-18T09:42:00Z</dcterms:created>
  <dcterms:modified xsi:type="dcterms:W3CDTF">2025-03-18T09:42:00Z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9531a764f5aef5b79bbf34e06f9b6f7ea4befd9adda7f6c6acea613c7e45455b</vt:lpwstr>
  </property>
</Properties>
</file>