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98546" w14:textId="77777777" w:rsidR="00A038A1" w:rsidRDefault="0082251B" w:rsidP="0082251B">
      <w:pPr>
        <w:jc w:val="right"/>
        <w:rPr>
          <w:snapToGrid w:val="0"/>
          <w:szCs w:val="24"/>
          <w:lang w:val="fr-FR"/>
        </w:rPr>
      </w:pPr>
      <w:bookmarkStart w:id="0" w:name="_GoBack"/>
      <w:bookmarkEnd w:id="0"/>
      <w:r>
        <w:rPr>
          <w:snapToGrid w:val="0"/>
          <w:szCs w:val="24"/>
          <w:lang w:val="fr-FR"/>
        </w:rPr>
        <w:t>Tradus și revizuit de IER (</w:t>
      </w:r>
      <w:hyperlink r:id="rId11" w:history="1">
        <w:r w:rsidRPr="000E462F">
          <w:rPr>
            <w:rStyle w:val="Hyperlink"/>
            <w:snapToGrid w:val="0"/>
            <w:szCs w:val="24"/>
            <w:lang w:val="fr-FR"/>
          </w:rPr>
          <w:t>www.ier.ro</w:t>
        </w:r>
      </w:hyperlink>
      <w:r>
        <w:rPr>
          <w:snapToGrid w:val="0"/>
          <w:szCs w:val="24"/>
          <w:lang w:val="fr-FR"/>
        </w:rPr>
        <w:t>)</w:t>
      </w:r>
    </w:p>
    <w:p w14:paraId="466A8BDF" w14:textId="77777777" w:rsidR="0082251B" w:rsidRDefault="0082251B" w:rsidP="0082251B">
      <w:pPr>
        <w:jc w:val="right"/>
        <w:rPr>
          <w:snapToGrid w:val="0"/>
          <w:szCs w:val="24"/>
          <w:lang w:val="fr-FR"/>
        </w:rPr>
      </w:pPr>
    </w:p>
    <w:p w14:paraId="0084C1C2" w14:textId="77777777" w:rsidR="0082251B" w:rsidRPr="00672728" w:rsidRDefault="0082251B" w:rsidP="00672728">
      <w:pPr>
        <w:jc w:val="center"/>
        <w:rPr>
          <w:snapToGrid w:val="0"/>
          <w:szCs w:val="24"/>
          <w:lang w:val="fr-FR"/>
        </w:rPr>
      </w:pPr>
    </w:p>
    <w:p w14:paraId="0009D77E" w14:textId="77777777" w:rsidR="00A038A1" w:rsidRPr="00672728" w:rsidRDefault="00F72A03" w:rsidP="00672728">
      <w:pPr>
        <w:jc w:val="center"/>
        <w:rPr>
          <w:snapToGrid w:val="0"/>
          <w:szCs w:val="24"/>
        </w:rPr>
      </w:pPr>
      <w:r>
        <w:t>CURTEA EUROPEANĂ A DREPTURILOR OMULUI</w:t>
      </w:r>
    </w:p>
    <w:p w14:paraId="149CB01A" w14:textId="77777777" w:rsidR="00E77CB3" w:rsidRPr="0082251B" w:rsidRDefault="00E77CB3" w:rsidP="00672728">
      <w:pPr>
        <w:jc w:val="center"/>
        <w:rPr>
          <w:lang w:val="it-IT"/>
        </w:rPr>
      </w:pPr>
    </w:p>
    <w:p w14:paraId="5A1CA4AE" w14:textId="77777777" w:rsidR="00E77CB3" w:rsidRPr="00672728" w:rsidRDefault="00052C5A" w:rsidP="00672728">
      <w:pPr>
        <w:jc w:val="center"/>
      </w:pPr>
      <w:r>
        <w:t>SECȚIA A PATRA</w:t>
      </w:r>
    </w:p>
    <w:p w14:paraId="17E682A5" w14:textId="77777777" w:rsidR="00E77CB3" w:rsidRPr="0082251B" w:rsidRDefault="00E77CB3" w:rsidP="00672728">
      <w:pPr>
        <w:jc w:val="center"/>
        <w:rPr>
          <w:lang w:val="it-IT"/>
        </w:rPr>
      </w:pPr>
    </w:p>
    <w:p w14:paraId="012EB6A2" w14:textId="77777777" w:rsidR="00A038A1" w:rsidRPr="0082251B" w:rsidRDefault="00A038A1" w:rsidP="00672728">
      <w:pPr>
        <w:jc w:val="center"/>
        <w:rPr>
          <w:lang w:val="it-IT"/>
        </w:rPr>
      </w:pPr>
    </w:p>
    <w:p w14:paraId="78210B49" w14:textId="77777777" w:rsidR="00A038A1" w:rsidRPr="0082251B" w:rsidRDefault="00A038A1" w:rsidP="00672728">
      <w:pPr>
        <w:jc w:val="center"/>
        <w:rPr>
          <w:lang w:val="it-IT"/>
        </w:rPr>
      </w:pPr>
    </w:p>
    <w:p w14:paraId="26BAF6B1" w14:textId="77777777" w:rsidR="00A038A1" w:rsidRPr="0082251B" w:rsidRDefault="00A038A1" w:rsidP="00672728">
      <w:pPr>
        <w:jc w:val="center"/>
        <w:rPr>
          <w:lang w:val="it-IT"/>
        </w:rPr>
      </w:pPr>
    </w:p>
    <w:p w14:paraId="6D96BD63" w14:textId="77777777" w:rsidR="00A038A1" w:rsidRPr="0082251B" w:rsidRDefault="00A038A1" w:rsidP="00672728">
      <w:pPr>
        <w:jc w:val="center"/>
        <w:rPr>
          <w:lang w:val="it-IT"/>
        </w:rPr>
      </w:pPr>
    </w:p>
    <w:p w14:paraId="4AEC7E0B" w14:textId="77777777" w:rsidR="00A038A1" w:rsidRPr="0082251B" w:rsidRDefault="00A038A1" w:rsidP="00672728">
      <w:pPr>
        <w:jc w:val="center"/>
        <w:rPr>
          <w:lang w:val="it-IT"/>
        </w:rPr>
      </w:pPr>
    </w:p>
    <w:p w14:paraId="6DAC483B" w14:textId="77777777" w:rsidR="00E77CB3" w:rsidRPr="00672728" w:rsidRDefault="00E77CB3" w:rsidP="00672728">
      <w:pPr>
        <w:jc w:val="center"/>
        <w:rPr>
          <w:b/>
        </w:rPr>
      </w:pPr>
      <w:bookmarkStart w:id="1" w:name="To"/>
      <w:r>
        <w:rPr>
          <w:b/>
        </w:rPr>
        <w:t xml:space="preserve">CAUZA </w:t>
      </w:r>
      <w:bookmarkEnd w:id="1"/>
      <w:r>
        <w:rPr>
          <w:b/>
        </w:rPr>
        <w:t>POTOROC ÎMPOTRIVA ROMÂNIEI</w:t>
      </w:r>
    </w:p>
    <w:p w14:paraId="055BF048" w14:textId="77777777" w:rsidR="00E77CB3" w:rsidRPr="0082251B" w:rsidRDefault="00E77CB3" w:rsidP="00672728">
      <w:pPr>
        <w:jc w:val="center"/>
        <w:rPr>
          <w:lang w:val="it-IT"/>
        </w:rPr>
      </w:pPr>
    </w:p>
    <w:p w14:paraId="331D9C8D" w14:textId="77777777" w:rsidR="00A038A1" w:rsidRPr="00672728" w:rsidRDefault="00E77CB3" w:rsidP="00672728">
      <w:pPr>
        <w:jc w:val="center"/>
        <w:rPr>
          <w:i/>
        </w:rPr>
      </w:pPr>
      <w:r>
        <w:rPr>
          <w:i/>
        </w:rPr>
        <w:t>(Cererea nr. 59452/09)</w:t>
      </w:r>
    </w:p>
    <w:p w14:paraId="120B8F03" w14:textId="77777777" w:rsidR="00A038A1" w:rsidRPr="0082251B" w:rsidRDefault="00A038A1" w:rsidP="00672728">
      <w:pPr>
        <w:jc w:val="center"/>
        <w:rPr>
          <w:szCs w:val="24"/>
          <w:u w:val="single"/>
          <w:lang w:val="it-IT"/>
        </w:rPr>
      </w:pPr>
    </w:p>
    <w:p w14:paraId="607A2BFF" w14:textId="77777777" w:rsidR="00A038A1" w:rsidRPr="0082251B" w:rsidRDefault="00A038A1" w:rsidP="00672728">
      <w:pPr>
        <w:jc w:val="center"/>
        <w:rPr>
          <w:szCs w:val="24"/>
          <w:u w:val="single"/>
          <w:lang w:val="it-IT"/>
        </w:rPr>
      </w:pPr>
    </w:p>
    <w:p w14:paraId="49F6C188" w14:textId="77777777" w:rsidR="00A038A1" w:rsidRPr="0082251B" w:rsidRDefault="00A038A1" w:rsidP="00672728">
      <w:pPr>
        <w:jc w:val="center"/>
        <w:rPr>
          <w:szCs w:val="24"/>
          <w:u w:val="single"/>
          <w:lang w:val="it-IT"/>
        </w:rPr>
      </w:pPr>
    </w:p>
    <w:p w14:paraId="1A6B6DD4" w14:textId="77777777" w:rsidR="00A038A1" w:rsidRPr="0082251B" w:rsidRDefault="00A038A1" w:rsidP="00672728">
      <w:pPr>
        <w:jc w:val="center"/>
        <w:rPr>
          <w:szCs w:val="24"/>
          <w:u w:val="single"/>
          <w:lang w:val="it-IT"/>
        </w:rPr>
      </w:pPr>
    </w:p>
    <w:p w14:paraId="26611551" w14:textId="77777777" w:rsidR="00A038A1" w:rsidRPr="0082251B" w:rsidRDefault="00A038A1" w:rsidP="00672728">
      <w:pPr>
        <w:jc w:val="center"/>
        <w:rPr>
          <w:szCs w:val="24"/>
          <w:u w:val="single"/>
          <w:lang w:val="it-IT"/>
        </w:rPr>
      </w:pPr>
    </w:p>
    <w:p w14:paraId="757B79D9" w14:textId="77777777" w:rsidR="00A038A1" w:rsidRPr="0082251B" w:rsidRDefault="00A038A1" w:rsidP="00672728">
      <w:pPr>
        <w:jc w:val="center"/>
        <w:rPr>
          <w:szCs w:val="24"/>
          <w:u w:val="single"/>
          <w:lang w:val="it-IT"/>
        </w:rPr>
      </w:pPr>
    </w:p>
    <w:p w14:paraId="1CFE673B" w14:textId="77777777" w:rsidR="00A038A1" w:rsidRPr="0082251B" w:rsidRDefault="00A038A1" w:rsidP="00672728">
      <w:pPr>
        <w:jc w:val="center"/>
        <w:rPr>
          <w:szCs w:val="24"/>
          <w:u w:val="single"/>
          <w:lang w:val="it-IT"/>
        </w:rPr>
      </w:pPr>
    </w:p>
    <w:p w14:paraId="66CAFD66" w14:textId="77777777" w:rsidR="00A038A1" w:rsidRPr="0082251B" w:rsidRDefault="00A038A1" w:rsidP="00672728">
      <w:pPr>
        <w:jc w:val="center"/>
        <w:rPr>
          <w:szCs w:val="24"/>
          <w:u w:val="single"/>
          <w:lang w:val="it-IT"/>
        </w:rPr>
      </w:pPr>
    </w:p>
    <w:p w14:paraId="14683063" w14:textId="77777777" w:rsidR="00A038A1" w:rsidRPr="0082251B" w:rsidRDefault="00A038A1" w:rsidP="00672728">
      <w:pPr>
        <w:jc w:val="center"/>
        <w:rPr>
          <w:szCs w:val="24"/>
          <w:u w:val="single"/>
          <w:lang w:val="it-IT"/>
        </w:rPr>
      </w:pPr>
    </w:p>
    <w:p w14:paraId="7C1502E1" w14:textId="77777777" w:rsidR="00A038A1" w:rsidRPr="00672728" w:rsidRDefault="00A038A1" w:rsidP="00672728">
      <w:pPr>
        <w:jc w:val="center"/>
        <w:rPr>
          <w:szCs w:val="24"/>
        </w:rPr>
      </w:pPr>
      <w:r>
        <w:t>HOTĂRÂREA</w:t>
      </w:r>
    </w:p>
    <w:p w14:paraId="4D1C656D" w14:textId="77777777" w:rsidR="00E77CB3" w:rsidRPr="0082251B" w:rsidRDefault="00E77CB3" w:rsidP="00672728">
      <w:pPr>
        <w:jc w:val="center"/>
        <w:rPr>
          <w:szCs w:val="24"/>
          <w:lang w:val="it-IT"/>
        </w:rPr>
      </w:pPr>
    </w:p>
    <w:p w14:paraId="556BF1D2" w14:textId="77777777" w:rsidR="00A038A1" w:rsidRPr="0082251B" w:rsidRDefault="00A038A1" w:rsidP="00672728">
      <w:pPr>
        <w:pStyle w:val="JuCase"/>
        <w:ind w:firstLine="0"/>
        <w:jc w:val="center"/>
        <w:rPr>
          <w:lang w:val="it-IT"/>
        </w:rPr>
      </w:pPr>
    </w:p>
    <w:p w14:paraId="2928DC5C" w14:textId="77777777" w:rsidR="00A038A1" w:rsidRPr="0082251B" w:rsidRDefault="00A038A1" w:rsidP="00672728">
      <w:pPr>
        <w:pStyle w:val="ECHRPara"/>
        <w:ind w:firstLine="0"/>
        <w:jc w:val="center"/>
        <w:rPr>
          <w:lang w:val="it-IT"/>
        </w:rPr>
      </w:pPr>
    </w:p>
    <w:p w14:paraId="1F9A6B73" w14:textId="77777777" w:rsidR="00A038A1" w:rsidRPr="0082251B" w:rsidRDefault="00A038A1" w:rsidP="00672728">
      <w:pPr>
        <w:pStyle w:val="ECHRPara"/>
        <w:ind w:firstLine="0"/>
        <w:jc w:val="center"/>
        <w:rPr>
          <w:lang w:val="it-IT"/>
        </w:rPr>
      </w:pPr>
    </w:p>
    <w:p w14:paraId="0218CCD5" w14:textId="77777777" w:rsidR="00A038A1" w:rsidRPr="0082251B" w:rsidRDefault="00A038A1" w:rsidP="00672728">
      <w:pPr>
        <w:pStyle w:val="ECHRPara"/>
        <w:ind w:firstLine="0"/>
        <w:jc w:val="center"/>
        <w:rPr>
          <w:lang w:val="it-IT"/>
        </w:rPr>
      </w:pPr>
    </w:p>
    <w:p w14:paraId="0C76C7BF" w14:textId="77777777" w:rsidR="00A038A1" w:rsidRPr="00672728" w:rsidRDefault="00A038A1" w:rsidP="00672728">
      <w:pPr>
        <w:pStyle w:val="ECHRPara"/>
        <w:ind w:firstLine="0"/>
        <w:jc w:val="center"/>
      </w:pPr>
      <w:r>
        <w:t>Strasbourg</w:t>
      </w:r>
    </w:p>
    <w:p w14:paraId="43D99EFD" w14:textId="77777777" w:rsidR="00A038A1" w:rsidRPr="0082251B" w:rsidRDefault="00A038A1" w:rsidP="00672728">
      <w:pPr>
        <w:pStyle w:val="ECHRPara"/>
        <w:ind w:firstLine="0"/>
        <w:jc w:val="center"/>
        <w:rPr>
          <w:lang w:val="it-IT"/>
        </w:rPr>
      </w:pPr>
    </w:p>
    <w:p w14:paraId="0EB52E04" w14:textId="77777777" w:rsidR="00A038A1" w:rsidRPr="00672728" w:rsidRDefault="00350B0D" w:rsidP="00672728">
      <w:pPr>
        <w:pStyle w:val="ECHRPara"/>
        <w:ind w:firstLine="0"/>
        <w:jc w:val="center"/>
      </w:pPr>
      <w:r>
        <w:t>din 14 februarie 2017</w:t>
      </w:r>
    </w:p>
    <w:p w14:paraId="57B2F90A" w14:textId="77777777" w:rsidR="00A038A1" w:rsidRPr="0082251B" w:rsidRDefault="00A038A1" w:rsidP="00672728">
      <w:pPr>
        <w:pStyle w:val="ECHRPara"/>
        <w:ind w:firstLine="0"/>
        <w:jc w:val="center"/>
        <w:rPr>
          <w:lang w:val="it-IT"/>
        </w:rPr>
      </w:pPr>
    </w:p>
    <w:p w14:paraId="0808C735" w14:textId="77777777" w:rsidR="00A038A1" w:rsidRPr="0082251B" w:rsidRDefault="00A038A1" w:rsidP="00672728">
      <w:pPr>
        <w:pStyle w:val="ECHRPara"/>
        <w:ind w:firstLine="0"/>
        <w:jc w:val="center"/>
        <w:rPr>
          <w:lang w:val="it-IT"/>
        </w:rPr>
      </w:pPr>
    </w:p>
    <w:p w14:paraId="53CEF62C" w14:textId="77777777" w:rsidR="00A038A1" w:rsidRPr="00672728" w:rsidRDefault="00A038A1" w:rsidP="00672728">
      <w:pPr>
        <w:pStyle w:val="ECHRPara"/>
        <w:ind w:firstLine="0"/>
        <w:jc w:val="left"/>
        <w:sectPr w:rsidR="00A038A1" w:rsidRPr="00672728" w:rsidSect="00A038A1">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Pr>
          <w:i/>
          <w:sz w:val="22"/>
        </w:rPr>
        <w:t>Hotărârea este definitivă. Aceasta poate suferi modificări de formă.</w:t>
      </w:r>
    </w:p>
    <w:p w14:paraId="45C6DF7C" w14:textId="77777777" w:rsidR="00E77CB3" w:rsidRPr="00672728" w:rsidRDefault="00E77CB3" w:rsidP="00672728">
      <w:pPr>
        <w:pStyle w:val="JuCase"/>
      </w:pPr>
      <w:r>
        <w:lastRenderedPageBreak/>
        <w:t>În cauza Potoroc împotriva României,</w:t>
      </w:r>
    </w:p>
    <w:p w14:paraId="7978684B" w14:textId="77777777" w:rsidR="00E77CB3" w:rsidRPr="00672728" w:rsidRDefault="00E77CB3" w:rsidP="00672728">
      <w:pPr>
        <w:pStyle w:val="ECHRPara"/>
      </w:pPr>
      <w:r>
        <w:t>Curtea Europeană a Drepturilor Omului (Secția a patra), reunită într-o cameră compusă din:</w:t>
      </w:r>
    </w:p>
    <w:p w14:paraId="1B45F3B1" w14:textId="77777777" w:rsidR="00E77CB3" w:rsidRPr="00672728" w:rsidRDefault="00A038A1" w:rsidP="00672728">
      <w:pPr>
        <w:pStyle w:val="ECHRDecisionBody"/>
      </w:pPr>
      <w:r>
        <w:tab/>
        <w:t>Paulo Pinto de Albuquerque,</w:t>
      </w:r>
      <w:r>
        <w:rPr>
          <w:i/>
        </w:rPr>
        <w:t xml:space="preserve"> președinte,</w:t>
      </w:r>
      <w:r>
        <w:rPr>
          <w:i/>
        </w:rPr>
        <w:br/>
      </w:r>
      <w:r>
        <w:tab/>
        <w:t>Iulia Motoc,</w:t>
      </w:r>
      <w:r>
        <w:rPr>
          <w:i/>
        </w:rPr>
        <w:br/>
      </w:r>
      <w:r>
        <w:tab/>
        <w:t>Marko Bošnjak,</w:t>
      </w:r>
      <w:r>
        <w:rPr>
          <w:i/>
        </w:rPr>
        <w:t xml:space="preserve"> judecători,</w:t>
      </w:r>
      <w:r>
        <w:rPr>
          <w:i/>
        </w:rPr>
        <w:br/>
      </w:r>
      <w:r>
        <w:t xml:space="preserve">și Andrea Tamietti, </w:t>
      </w:r>
      <w:r>
        <w:rPr>
          <w:i/>
        </w:rPr>
        <w:t>grefier adjunct de secție</w:t>
      </w:r>
      <w:r>
        <w:t>,</w:t>
      </w:r>
    </w:p>
    <w:p w14:paraId="65A29D3F" w14:textId="77777777" w:rsidR="00E77CB3" w:rsidRPr="00672728" w:rsidRDefault="00E77CB3" w:rsidP="00672728">
      <w:pPr>
        <w:pStyle w:val="ECHRPara"/>
      </w:pPr>
      <w:r>
        <w:t>după ce a deliberat în camera de consiliu la 24 ianuarie 2017,</w:t>
      </w:r>
    </w:p>
    <w:p w14:paraId="2A7772D3" w14:textId="77777777" w:rsidR="00E77CB3" w:rsidRPr="00672728" w:rsidRDefault="00E77CB3" w:rsidP="00672728">
      <w:pPr>
        <w:pStyle w:val="ECHRPara"/>
      </w:pPr>
      <w:r>
        <w:t>pronunță prezenta hotărâre, adoptată la aceeași dată:</w:t>
      </w:r>
    </w:p>
    <w:p w14:paraId="437CC292" w14:textId="77777777" w:rsidR="00E77CB3" w:rsidRPr="00672728" w:rsidRDefault="00E77CB3" w:rsidP="00672728">
      <w:pPr>
        <w:pStyle w:val="ECHRTitle1"/>
      </w:pPr>
      <w:r>
        <w:t>PROCEDURA</w:t>
      </w:r>
    </w:p>
    <w:p w14:paraId="2441448A" w14:textId="77777777" w:rsidR="00E77CB3" w:rsidRPr="00672728" w:rsidRDefault="00D53D87" w:rsidP="00672728">
      <w:pPr>
        <w:pStyle w:val="ECHRPara"/>
      </w:pPr>
      <w:fldSimple w:instr=" SEQ level0 \*arabic ">
        <w:r w:rsidR="00672728" w:rsidRPr="00672728">
          <w:t>1</w:t>
        </w:r>
      </w:fldSimple>
      <w:r w:rsidR="00052C5A">
        <w:t>.  La originea cauzei se află o cerere (nr. 59452/09) îndreptată împotriva României, prin care un resortisant al acestui stat, domnul Ioan Potoroc („reclamantul”), a sesizat Curtea la 20 octombrie 2009, în temeiul art. 34 din Convenția pentru apărarea drepturilor omului și a libertăților fundamentale („Convenția”).</w:t>
      </w:r>
    </w:p>
    <w:p w14:paraId="76EF3261" w14:textId="77777777" w:rsidR="00052C5A" w:rsidRPr="00672728" w:rsidRDefault="00D53D87" w:rsidP="00672728">
      <w:pPr>
        <w:pStyle w:val="ECHRPara"/>
      </w:pPr>
      <w:fldSimple w:instr=" SEQ level0 \*arabic ">
        <w:r w:rsidR="00672728" w:rsidRPr="00672728">
          <w:t>2</w:t>
        </w:r>
      </w:fldSimple>
      <w:r w:rsidR="00052C5A">
        <w:t>.  Reclamantul a fost reprezentat de N. Olteanu și M. Olteanu, avocați în București. Guvernul român („Guvernul“) a fost reprezentat de agentul guvernamental, doamna C. Brumar, din cadrul Ministerului Afacerilor Externe.</w:t>
      </w:r>
    </w:p>
    <w:p w14:paraId="516CA1AF" w14:textId="77777777" w:rsidR="00E77CB3" w:rsidRPr="00672728" w:rsidRDefault="00D53D87" w:rsidP="00672728">
      <w:pPr>
        <w:pStyle w:val="ECHRPara"/>
        <w:rPr>
          <w:szCs w:val="24"/>
        </w:rPr>
      </w:pPr>
      <w:fldSimple w:instr=" SEQ level0 \*arabic ">
        <w:r w:rsidR="00672728" w:rsidRPr="00672728">
          <w:t>3</w:t>
        </w:r>
      </w:fldSimple>
      <w:r w:rsidR="00052C5A">
        <w:t xml:space="preserve">.  La 7 octombrie 2013 capătul de cerere întemeiat pe art. 6 § 1 din Convenție a fost comunicat Guvernului,  acest capăt de cerere fiind cu privire la pretinsa inechitate a procedurii penale pe motivul condamnării reclamantului de către instanța de recurs în absența administrării directe a probelor deși partea interesată fusese achitată de către instanțele inferioare. Cererea a fost declarată  inadmisibilă pentru celelalte capete de cerere în conformitate cu art. 54 § 3 din Regulamentul Curții. </w:t>
      </w:r>
    </w:p>
    <w:p w14:paraId="4F838686" w14:textId="77777777" w:rsidR="00E77CB3" w:rsidRPr="00672728" w:rsidRDefault="00E77CB3" w:rsidP="00672728">
      <w:pPr>
        <w:pStyle w:val="ECHRTitle1"/>
        <w:tabs>
          <w:tab w:val="left" w:pos="5387"/>
        </w:tabs>
      </w:pPr>
      <w:r>
        <w:t>ÎN FAPT</w:t>
      </w:r>
    </w:p>
    <w:p w14:paraId="03CC9541" w14:textId="77777777" w:rsidR="00E77CB3" w:rsidRPr="00672728" w:rsidRDefault="00E77CB3" w:rsidP="00672728">
      <w:pPr>
        <w:pStyle w:val="ECHRHeading1"/>
      </w:pPr>
      <w:r>
        <w:t>I. Circumstanțele cauzei</w:t>
      </w:r>
    </w:p>
    <w:p w14:paraId="5A869888" w14:textId="77777777" w:rsidR="00E77CB3" w:rsidRPr="00672728" w:rsidRDefault="00D53D87" w:rsidP="00672728">
      <w:pPr>
        <w:pStyle w:val="ECHRPara"/>
      </w:pPr>
      <w:fldSimple w:instr=" SEQ level0 \*arabic ">
        <w:r w:rsidR="00672728" w:rsidRPr="00672728">
          <w:t>4</w:t>
        </w:r>
      </w:fldSimple>
      <w:r w:rsidR="00052C5A">
        <w:t>.  Reclamantul s-a născut în 1953 și locuiește în București.</w:t>
      </w:r>
    </w:p>
    <w:p w14:paraId="789682E7" w14:textId="77777777" w:rsidR="00BD680B" w:rsidRPr="00672728" w:rsidRDefault="00A038A1" w:rsidP="00672728">
      <w:pPr>
        <w:pStyle w:val="ECHRHeading2"/>
      </w:pPr>
      <w:r>
        <w:t>A. Arestarea preventivă a reclamantului și ancheta penală</w:t>
      </w:r>
    </w:p>
    <w:p w14:paraId="4128CE88" w14:textId="77777777" w:rsidR="00BD680B" w:rsidRPr="00672728" w:rsidRDefault="00D53D87" w:rsidP="00672728">
      <w:pPr>
        <w:pStyle w:val="ECHRPara"/>
      </w:pPr>
      <w:fldSimple w:instr=" SEQ level0 \*arabic ">
        <w:r w:rsidR="00672728" w:rsidRPr="00672728">
          <w:t>5</w:t>
        </w:r>
      </w:fldSimple>
      <w:r w:rsidR="00E10922">
        <w:t xml:space="preserve">.  La 6 iunie 2004,  față de reclamant a fost luată măsura reținerii și apoi măsura arestării preventive, pe motivul că era bănuit a fi un traficant internațional de stupefiante. I se imputa în mod special faptul că îi ceruse lui </w:t>
      </w:r>
      <w:r w:rsidR="00E10922">
        <w:lastRenderedPageBreak/>
        <w:t>C.I., lucrător al Brigăzii Antiteroriste, să intervină pe lângă B.C., vameș, pentru a facilita trecerea lui R.R. prin punctul de control la frontieră de pe aeroportul internațional Henry Coandă din București fără a-i verifica bagajele, deși știa că acesta transporta cocaină.</w:t>
      </w:r>
    </w:p>
    <w:bookmarkStart w:id="2" w:name="P6"/>
    <w:p w14:paraId="5587FF90" w14:textId="77777777" w:rsidR="00BD680B" w:rsidRPr="00672728" w:rsidRDefault="00E10922" w:rsidP="00672728">
      <w:pPr>
        <w:pStyle w:val="ECHRPara"/>
      </w:pPr>
      <w:r w:rsidRPr="00672728">
        <w:fldChar w:fldCharType="begin"/>
      </w:r>
      <w:r w:rsidRPr="00672728">
        <w:instrText xml:space="preserve"> SEQ level0 \*arabic </w:instrText>
      </w:r>
      <w:r w:rsidRPr="00672728">
        <w:fldChar w:fldCharType="separate"/>
      </w:r>
      <w:r w:rsidR="00672728" w:rsidRPr="00672728">
        <w:t>6</w:t>
      </w:r>
      <w:r w:rsidRPr="00672728">
        <w:fldChar w:fldCharType="end"/>
      </w:r>
      <w:bookmarkEnd w:id="2"/>
      <w:r>
        <w:t>.  În cursul anchetei penale, au fost efectuate mai multe acțiuni de investigație și au fost ascultați martori. Reclamantul și R.R.au fost interogați de mai multe ori. El nu a recunoscut niciodată faptele de care era acuzat. A fost organizată o confruntare între reclamant și C.I.</w:t>
      </w:r>
    </w:p>
    <w:p w14:paraId="5D640E14" w14:textId="77777777" w:rsidR="00240D15" w:rsidRPr="00672728" w:rsidRDefault="00DB002D" w:rsidP="00672728">
      <w:pPr>
        <w:pStyle w:val="ECHRHeading2"/>
      </w:pPr>
      <w:r>
        <w:t>B. Judecata în primă instanță</w:t>
      </w:r>
    </w:p>
    <w:p w14:paraId="627CFC24" w14:textId="77777777" w:rsidR="00BD680B" w:rsidRPr="00672728" w:rsidRDefault="00D53D87" w:rsidP="00672728">
      <w:pPr>
        <w:pStyle w:val="ECHRPara"/>
      </w:pPr>
      <w:fldSimple w:instr=" SEQ level0 \*arabic ">
        <w:r w:rsidR="00672728" w:rsidRPr="00672728">
          <w:t>7</w:t>
        </w:r>
      </w:fldSimple>
      <w:r w:rsidR="00052C5A">
        <w:t>.  Prin rechizitoriul din 27 august 2004, reclamantul și R.R. au fost trimiși în judecată în fața Tribunalului București („tribunalul‟) pentru trafic internațional de stupefiante. Rechizitoriul se întemeia pe documente scrise, declarații ale martorilor și înregistrări video.</w:t>
      </w:r>
    </w:p>
    <w:bookmarkStart w:id="3" w:name="P8"/>
    <w:p w14:paraId="6FE1D9FA" w14:textId="77777777" w:rsidR="00296A17" w:rsidRPr="00672728" w:rsidRDefault="00E2566E" w:rsidP="00672728">
      <w:pPr>
        <w:pStyle w:val="ECHRPara"/>
      </w:pPr>
      <w:r w:rsidRPr="00672728">
        <w:fldChar w:fldCharType="begin"/>
      </w:r>
      <w:r w:rsidRPr="00672728">
        <w:instrText xml:space="preserve"> SEQ level0 \*arabic </w:instrText>
      </w:r>
      <w:r w:rsidRPr="00672728">
        <w:fldChar w:fldCharType="separate"/>
      </w:r>
      <w:r w:rsidR="00672728" w:rsidRPr="00672728">
        <w:t>8</w:t>
      </w:r>
      <w:r w:rsidRPr="00672728">
        <w:fldChar w:fldCharType="end"/>
      </w:r>
      <w:bookmarkEnd w:id="3"/>
      <w:r>
        <w:t>.  Tribunalul l-a interogat pe reclamant, care și-a susținut nevinovăția, pe coinculpatul acestuia, R.R., precum și șaisprezece martori, între care B.C., C.I., R.S., C.F., R.D., M.V., S.C.M., M.G. și T.C.S.</w:t>
      </w:r>
    </w:p>
    <w:p w14:paraId="4674310C" w14:textId="77777777" w:rsidR="00A80078" w:rsidRPr="00672728" w:rsidRDefault="00D53D87" w:rsidP="00672728">
      <w:pPr>
        <w:pStyle w:val="ECHRPara"/>
      </w:pPr>
      <w:fldSimple w:instr=" SEQ level0 \*arabic ">
        <w:r w:rsidR="00672728" w:rsidRPr="00672728">
          <w:t>9</w:t>
        </w:r>
      </w:fldSimple>
      <w:r w:rsidR="00E2566E">
        <w:t>.  Alte probe au fost depuse la dosar, inclusiv înscrisuri conținând informații despre pasagerii zborurilor și despre orarele de aterizare a zborurilor, procese verbale referitoare la apelurile telefonice inițiate și recepționate de către reclamant, precum și numerele de telefon care se regăseau în agenda acestuia.</w:t>
      </w:r>
    </w:p>
    <w:p w14:paraId="728A827B" w14:textId="77777777" w:rsidR="00077C2F" w:rsidRPr="00672728" w:rsidRDefault="00D53D87" w:rsidP="00672728">
      <w:pPr>
        <w:pStyle w:val="ECHRPara"/>
      </w:pPr>
      <w:fldSimple w:instr=" SEQ level0 \*arabic ">
        <w:r w:rsidR="00672728" w:rsidRPr="00672728">
          <w:t>10</w:t>
        </w:r>
      </w:fldSimple>
      <w:r w:rsidR="00E2566E">
        <w:t>.  Tribunalul a vizionat toate înregistrările realizate în cursul anchetei.</w:t>
      </w:r>
    </w:p>
    <w:bookmarkStart w:id="4" w:name="P11"/>
    <w:p w14:paraId="46BCA2D1" w14:textId="77777777" w:rsidR="00F66BC4" w:rsidRPr="00672728" w:rsidRDefault="00A01FA9" w:rsidP="00672728">
      <w:pPr>
        <w:pStyle w:val="ECHRPara"/>
      </w:pPr>
      <w:r w:rsidRPr="00672728">
        <w:fldChar w:fldCharType="begin"/>
      </w:r>
      <w:r w:rsidRPr="00672728">
        <w:instrText xml:space="preserve"> SEQ level0 \*arabic </w:instrText>
      </w:r>
      <w:r w:rsidRPr="00672728">
        <w:fldChar w:fldCharType="separate"/>
      </w:r>
      <w:r w:rsidR="00672728" w:rsidRPr="00672728">
        <w:t>11</w:t>
      </w:r>
      <w:r w:rsidRPr="00672728">
        <w:fldChar w:fldCharType="end"/>
      </w:r>
      <w:bookmarkEnd w:id="4"/>
      <w:r>
        <w:t>.  Prin hotărârea din 1 iunie 2005, tribunalul l-a condamnat pe R.R. la executarea unei pedepse de șaisprezece ani de închisoare pentru trafic internațional de stupefiante. Prin aceeași hotărâre, tribunalul l-a achitat pe reclamant, cu motivarea că nu reiese cu certitudine din probele prezentate că acesta din urmă a comis faptele de care a fost acuzat. După ce a studiat declarațiile martorilor, tribunalul a considerat că nimic nu dovedea că reclamantul îi ceruse lui C.I. să faciliteze tranzitul lui R.R. prin aeroport și că nu fusese demonstrată existența unei legături sau a unei înțelegeri prealabile între partea interesată și R.R., argumentele rechizitoriului fiind întemeiate pe simple supoziții în această privință. Tribunalul a mai considerat că nu exista nicio dovadă că reclamantul a cunoscut conținutul bagajelor lui R.R.</w:t>
      </w:r>
    </w:p>
    <w:p w14:paraId="4DBF08C3" w14:textId="77777777" w:rsidR="00BD680B" w:rsidRPr="00672728" w:rsidRDefault="00DB002D" w:rsidP="00672728">
      <w:pPr>
        <w:pStyle w:val="ECHRHeading2"/>
      </w:pPr>
      <w:r>
        <w:t>C. Procedura în apel</w:t>
      </w:r>
    </w:p>
    <w:bookmarkStart w:id="5" w:name="P12"/>
    <w:p w14:paraId="34BFFCB4" w14:textId="77777777" w:rsidR="00E9730C" w:rsidRPr="00672728" w:rsidRDefault="00DF1E5F" w:rsidP="00672728">
      <w:pPr>
        <w:pStyle w:val="ECHRPara"/>
      </w:pPr>
      <w:r w:rsidRPr="00672728">
        <w:fldChar w:fldCharType="begin"/>
      </w:r>
      <w:r w:rsidRPr="00672728">
        <w:instrText xml:space="preserve"> SEQ level0 \*arabic </w:instrText>
      </w:r>
      <w:r w:rsidRPr="00672728">
        <w:fldChar w:fldCharType="separate"/>
      </w:r>
      <w:r w:rsidR="00672728" w:rsidRPr="00672728">
        <w:t>12</w:t>
      </w:r>
      <w:r w:rsidRPr="00672728">
        <w:fldChar w:fldCharType="end"/>
      </w:r>
      <w:bookmarkEnd w:id="5"/>
      <w:r>
        <w:t xml:space="preserve">.  În urma apelului parchetului, prin decizia din 21 septembrie 2005, Curtea de Apel București („curtea de apel”) a reîncadrat juridic faptele și l-a condamnat pe reclamant la o pedeapsă de cincisprezece ani de închisoare pentru complicitate la trafic internațional de stupefiante. Pentru a justifica răspunderea penală a reclamantului, curtea de apel s-a întemeiat pe declarațiile martorilor C.I., M.G., T.C.S. Și M.V., pe un înscris care atesta </w:t>
      </w:r>
      <w:r>
        <w:lastRenderedPageBreak/>
        <w:t>timpul petrecut de reclamant la aeroport și pe faptul că acesta nu prezentase nicio dovadă în sprijinul afirmațiilor sale.</w:t>
      </w:r>
    </w:p>
    <w:bookmarkStart w:id="6" w:name="P13"/>
    <w:p w14:paraId="444E5364" w14:textId="77777777" w:rsidR="00FA56E6" w:rsidRPr="00672728" w:rsidRDefault="00DF1E5F" w:rsidP="00672728">
      <w:pPr>
        <w:pStyle w:val="ECHRPara"/>
      </w:pPr>
      <w:r w:rsidRPr="00672728">
        <w:fldChar w:fldCharType="begin"/>
      </w:r>
      <w:r w:rsidRPr="00672728">
        <w:instrText xml:space="preserve"> SEQ level0 \*arabic </w:instrText>
      </w:r>
      <w:r w:rsidRPr="00672728">
        <w:fldChar w:fldCharType="separate"/>
      </w:r>
      <w:r w:rsidR="00672728" w:rsidRPr="00672728">
        <w:t>13</w:t>
      </w:r>
      <w:r w:rsidRPr="00672728">
        <w:fldChar w:fldCharType="end"/>
      </w:r>
      <w:bookmarkEnd w:id="6"/>
      <w:r>
        <w:t>.  În urma recursului reclamantului, prin hotărârea din 13 decembrie 2006, Înalta Curte de Casație și Justiție („Înalta Curte“) a casat hotărârea din 21 septembrie 2005 și a retrimis cauza în fața curții de apel pentru o nouă examinare, pe motiv că această instanță condamnase persoana în cauză fără să o asculte în prealabil.</w:t>
      </w:r>
    </w:p>
    <w:bookmarkStart w:id="7" w:name="P14"/>
    <w:p w14:paraId="0BE2008B" w14:textId="77777777" w:rsidR="00713378" w:rsidRPr="00672728" w:rsidRDefault="00DF1E5F" w:rsidP="00672728">
      <w:pPr>
        <w:pStyle w:val="ECHRPara"/>
      </w:pPr>
      <w:r w:rsidRPr="00672728">
        <w:fldChar w:fldCharType="begin"/>
      </w:r>
      <w:r w:rsidRPr="00672728">
        <w:instrText xml:space="preserve"> SEQ level0 \*arabic </w:instrText>
      </w:r>
      <w:r w:rsidRPr="00672728">
        <w:fldChar w:fldCharType="separate"/>
      </w:r>
      <w:r w:rsidR="00672728" w:rsidRPr="00672728">
        <w:t>14</w:t>
      </w:r>
      <w:r w:rsidRPr="00672728">
        <w:fldChar w:fldCharType="end"/>
      </w:r>
      <w:bookmarkEnd w:id="7"/>
      <w:r>
        <w:t>.   Prin hotărârea din 10 mai 2007, curtea de apel, după ce a interogat reclamantul, l-a condamnat la o pedeapsă de cincisprezece ani de închisoare pentru complicitate la trafic internațional de stupefiante.</w:t>
      </w:r>
    </w:p>
    <w:bookmarkStart w:id="8" w:name="P15"/>
    <w:p w14:paraId="783B8678" w14:textId="77777777" w:rsidR="00713378" w:rsidRPr="00672728" w:rsidRDefault="00DF1E5F" w:rsidP="00672728">
      <w:pPr>
        <w:pStyle w:val="ECHRPara"/>
      </w:pPr>
      <w:r w:rsidRPr="00672728">
        <w:fldChar w:fldCharType="begin"/>
      </w:r>
      <w:r w:rsidRPr="00672728">
        <w:instrText xml:space="preserve"> SEQ level0 \*arabic </w:instrText>
      </w:r>
      <w:r w:rsidRPr="00672728">
        <w:fldChar w:fldCharType="separate"/>
      </w:r>
      <w:r w:rsidR="00672728" w:rsidRPr="00672728">
        <w:t>15</w:t>
      </w:r>
      <w:r w:rsidRPr="00672728">
        <w:fldChar w:fldCharType="end"/>
      </w:r>
      <w:bookmarkEnd w:id="8"/>
      <w:r>
        <w:t>.  În urma unui nou recurs al reclamantului, prin hotărârea din 5 decembrie 2007, Înalta Curte a casat hotărârea din 10 mai 2007 și a retrimis cauza în fața curții de apel pentru o nouă examinare, pe motiv că hotărârea fusese pronunțată de către o instanță necompetentă.</w:t>
      </w:r>
    </w:p>
    <w:bookmarkStart w:id="9" w:name="P16"/>
    <w:p w14:paraId="1EA2AFB8" w14:textId="77777777" w:rsidR="00713378" w:rsidRPr="00672728" w:rsidRDefault="00C64EEE" w:rsidP="00672728">
      <w:pPr>
        <w:pStyle w:val="ECHRPara"/>
      </w:pPr>
      <w:r w:rsidRPr="00672728">
        <w:fldChar w:fldCharType="begin"/>
      </w:r>
      <w:r w:rsidRPr="00672728">
        <w:instrText xml:space="preserve"> SEQ level0 \*arabic </w:instrText>
      </w:r>
      <w:r w:rsidRPr="00672728">
        <w:fldChar w:fldCharType="separate"/>
      </w:r>
      <w:r w:rsidR="00672728" w:rsidRPr="00672728">
        <w:t>16</w:t>
      </w:r>
      <w:r w:rsidRPr="00672728">
        <w:fldChar w:fldCharType="end"/>
      </w:r>
      <w:bookmarkEnd w:id="9"/>
      <w:r>
        <w:t>.  Sesizată din nou cu această cauză, curtea de apel l-a ascultat pe reclamant și pe martorii C.I., M.G., B.C. și P.F.I. Acesta din urmă fusese propus de către reclamant.</w:t>
      </w:r>
    </w:p>
    <w:bookmarkStart w:id="10" w:name="P17"/>
    <w:p w14:paraId="623BDEB6" w14:textId="77777777" w:rsidR="00831E0A" w:rsidRPr="00672728" w:rsidRDefault="00C64EEE" w:rsidP="00672728">
      <w:pPr>
        <w:pStyle w:val="ECHRPara"/>
      </w:pPr>
      <w:r w:rsidRPr="00672728">
        <w:fldChar w:fldCharType="begin"/>
      </w:r>
      <w:r w:rsidRPr="00672728">
        <w:instrText xml:space="preserve"> SEQ level0 \*arabic </w:instrText>
      </w:r>
      <w:r w:rsidRPr="00672728">
        <w:fldChar w:fldCharType="separate"/>
      </w:r>
      <w:r w:rsidR="00672728" w:rsidRPr="00672728">
        <w:t>17</w:t>
      </w:r>
      <w:r w:rsidRPr="00672728">
        <w:fldChar w:fldCharType="end"/>
      </w:r>
      <w:bookmarkEnd w:id="10"/>
      <w:r>
        <w:t xml:space="preserve">.  În hotărârea din 16 octombrie 2008, curtea de apel a respins apelul parchetului și a confirmat hotărârea tribunalului din 1 iunie 2005 (pct. </w:t>
      </w:r>
      <w:r w:rsidR="00C26464" w:rsidRPr="00672728">
        <w:fldChar w:fldCharType="begin"/>
      </w:r>
      <w:r w:rsidR="00C26464" w:rsidRPr="00672728">
        <w:instrText xml:space="preserve"> REF P11 \h </w:instrText>
      </w:r>
      <w:r w:rsidR="00C26464" w:rsidRPr="00672728">
        <w:fldChar w:fldCharType="separate"/>
      </w:r>
      <w:r w:rsidR="00672728" w:rsidRPr="00672728">
        <w:t>11</w:t>
      </w:r>
      <w:r w:rsidR="00C26464" w:rsidRPr="00672728">
        <w:fldChar w:fldCharType="end"/>
      </w:r>
      <w:r>
        <w:t xml:space="preserve"> supra). Curtea de apel și-a motivat decizia în sensul că nu exista nicio dovadă care să permită reîncadrarea faptelor imputate reclamantului drept complicitate la trafic internațional de stupefiante sau se permită identificarea persoanei care trebuia să-i faciliteze lui R.R. trecerea frontierei la aeroport ca fiind reclamantul.</w:t>
      </w:r>
    </w:p>
    <w:bookmarkStart w:id="11" w:name="P18"/>
    <w:p w14:paraId="2DDBE727" w14:textId="77777777" w:rsidR="00713378" w:rsidRPr="00672728" w:rsidRDefault="00C64EEE" w:rsidP="00672728">
      <w:pPr>
        <w:pStyle w:val="ECHRPara"/>
      </w:pPr>
      <w:r w:rsidRPr="00672728">
        <w:fldChar w:fldCharType="begin"/>
      </w:r>
      <w:r w:rsidRPr="00672728">
        <w:instrText xml:space="preserve"> SEQ level0 \*arabic </w:instrText>
      </w:r>
      <w:r w:rsidRPr="00672728">
        <w:fldChar w:fldCharType="separate"/>
      </w:r>
      <w:r w:rsidR="00672728" w:rsidRPr="00672728">
        <w:t>18</w:t>
      </w:r>
      <w:r w:rsidRPr="00672728">
        <w:fldChar w:fldCharType="end"/>
      </w:r>
      <w:bookmarkEnd w:id="11"/>
      <w:r>
        <w:t xml:space="preserve">.  Curtea de apel a considerat că declarația agentului vamal B.C. era importantă și că declarațiile lucrătorului Brigăzii Antiteroriste, C.I., în timpul procedurii (pct. </w:t>
      </w:r>
      <w:r w:rsidR="00B235C5" w:rsidRPr="00672728">
        <w:fldChar w:fldCharType="begin"/>
      </w:r>
      <w:r w:rsidR="00B235C5" w:rsidRPr="00672728">
        <w:instrText xml:space="preserve"> REF P6 \h </w:instrText>
      </w:r>
      <w:r w:rsidR="00B235C5" w:rsidRPr="00672728">
        <w:fldChar w:fldCharType="separate"/>
      </w:r>
      <w:r w:rsidR="00672728" w:rsidRPr="00672728">
        <w:t>6</w:t>
      </w:r>
      <w:r w:rsidR="00B235C5" w:rsidRPr="00672728">
        <w:fldChar w:fldCharType="end"/>
      </w:r>
      <w:r>
        <w:t xml:space="preserve">, </w:t>
      </w:r>
      <w:r w:rsidR="00B235C5" w:rsidRPr="00672728">
        <w:fldChar w:fldCharType="begin"/>
      </w:r>
      <w:r w:rsidR="00B235C5" w:rsidRPr="00672728">
        <w:instrText xml:space="preserve"> REF P8 \h </w:instrText>
      </w:r>
      <w:r w:rsidR="00B235C5" w:rsidRPr="00672728">
        <w:fldChar w:fldCharType="separate"/>
      </w:r>
      <w:r w:rsidR="00672728" w:rsidRPr="00672728">
        <w:t>8</w:t>
      </w:r>
      <w:r w:rsidR="00B235C5" w:rsidRPr="00672728">
        <w:fldChar w:fldCharType="end"/>
      </w:r>
      <w:r>
        <w:t xml:space="preserve"> și </w:t>
      </w:r>
      <w:r w:rsidR="00B235C5" w:rsidRPr="00672728">
        <w:fldChar w:fldCharType="begin"/>
      </w:r>
      <w:r w:rsidR="00B235C5" w:rsidRPr="00672728">
        <w:instrText xml:space="preserve"> REF P16 \h </w:instrText>
      </w:r>
      <w:r w:rsidR="00B235C5" w:rsidRPr="00672728">
        <w:fldChar w:fldCharType="separate"/>
      </w:r>
      <w:r w:rsidR="00672728" w:rsidRPr="00672728">
        <w:t>16</w:t>
      </w:r>
      <w:r w:rsidR="00B235C5" w:rsidRPr="00672728">
        <w:fldChar w:fldCharType="end"/>
      </w:r>
      <w:r>
        <w:t xml:space="preserve"> supra), care puteau face legătura dintre reclamant și R.R., erau contradictorii și nu erau credibile. Aceasta a adăugat că decizia de trimitere în judecată a reclamantului era întemeiată pe simple bănuieli și că din dovezile supuse examinării sale nu reieșea că partea interesată comisese infracțiunea de care a fost acuzată.</w:t>
      </w:r>
    </w:p>
    <w:p w14:paraId="683F8062" w14:textId="77777777" w:rsidR="00BD680B" w:rsidRPr="00672728" w:rsidRDefault="00351BC9" w:rsidP="00672728">
      <w:pPr>
        <w:pStyle w:val="ECHRHeading2"/>
      </w:pPr>
      <w:r>
        <w:t>D. Condamnarea penală a reclamantului</w:t>
      </w:r>
    </w:p>
    <w:bookmarkStart w:id="12" w:name="P19"/>
    <w:p w14:paraId="672D18CC" w14:textId="77777777" w:rsidR="00F66BC4" w:rsidRPr="00672728" w:rsidRDefault="001C6E37" w:rsidP="00672728">
      <w:pPr>
        <w:pStyle w:val="ECHRPara"/>
      </w:pPr>
      <w:r w:rsidRPr="00672728">
        <w:fldChar w:fldCharType="begin"/>
      </w:r>
      <w:r w:rsidRPr="00672728">
        <w:instrText xml:space="preserve"> SEQ level0 \*arabic </w:instrText>
      </w:r>
      <w:r w:rsidRPr="00672728">
        <w:fldChar w:fldCharType="separate"/>
      </w:r>
      <w:r w:rsidR="00672728" w:rsidRPr="00672728">
        <w:t>19</w:t>
      </w:r>
      <w:r w:rsidRPr="00672728">
        <w:fldChar w:fldCharType="end"/>
      </w:r>
      <w:bookmarkEnd w:id="12"/>
      <w:r>
        <w:t>.  Parchetul a introdus recurs, susținând că vina reclamantului rezulta limpede din probele depuse la dosar.</w:t>
      </w:r>
    </w:p>
    <w:bookmarkStart w:id="13" w:name="P20"/>
    <w:p w14:paraId="481D4B36" w14:textId="77777777" w:rsidR="00F66BC4" w:rsidRPr="00672728" w:rsidRDefault="001C6E37" w:rsidP="00672728">
      <w:pPr>
        <w:pStyle w:val="ECHRPara"/>
      </w:pPr>
      <w:r w:rsidRPr="00672728">
        <w:fldChar w:fldCharType="begin"/>
      </w:r>
      <w:r w:rsidRPr="00672728">
        <w:instrText xml:space="preserve"> SEQ level0 \*arabic </w:instrText>
      </w:r>
      <w:r w:rsidRPr="00672728">
        <w:fldChar w:fldCharType="separate"/>
      </w:r>
      <w:r w:rsidR="00672728" w:rsidRPr="00672728">
        <w:t>20</w:t>
      </w:r>
      <w:r w:rsidRPr="00672728">
        <w:fldChar w:fldCharType="end"/>
      </w:r>
      <w:bookmarkEnd w:id="13"/>
      <w:r>
        <w:t>.  Nu a fost ascultat niciun martor pe parcursul procedurii în recurs și nicio probă nouă nu a fost depusă la dosar.</w:t>
      </w:r>
    </w:p>
    <w:bookmarkStart w:id="14" w:name="P21"/>
    <w:p w14:paraId="26DB2F2F" w14:textId="77777777" w:rsidR="00F66BC4" w:rsidRPr="00672728" w:rsidRDefault="00F3459D" w:rsidP="00672728">
      <w:pPr>
        <w:pStyle w:val="ECHRPara"/>
      </w:pPr>
      <w:r w:rsidRPr="00672728">
        <w:fldChar w:fldCharType="begin"/>
      </w:r>
      <w:r w:rsidRPr="00672728">
        <w:instrText xml:space="preserve"> SEQ level0 \*arabic </w:instrText>
      </w:r>
      <w:r w:rsidRPr="00672728">
        <w:fldChar w:fldCharType="separate"/>
      </w:r>
      <w:r w:rsidR="00672728" w:rsidRPr="00672728">
        <w:t>21</w:t>
      </w:r>
      <w:r w:rsidRPr="00672728">
        <w:fldChar w:fldCharType="end"/>
      </w:r>
      <w:bookmarkEnd w:id="14"/>
      <w:r>
        <w:t>.  Prin hotărârea definitivă din 28 aprilie 2009, Înalta Curte a admis recursul parchetului, a casat hotărârile instanțelor inferioare și a judecat cauza pe fond. Acesta a considerat că era clar din conținutul declarațiilor anumitor martori că reclamantul era vinovat de complicitate la trafic internațional de stupefiante și l-a condamnat pentru acest capăt de acuzare la o pedeapsă privativă de libertate de 15 ani. Înalta Curte a motivat astfel:</w:t>
      </w:r>
    </w:p>
    <w:p w14:paraId="41ADEC60" w14:textId="77777777" w:rsidR="00B638BE" w:rsidRPr="00672728" w:rsidRDefault="00713378" w:rsidP="00672728">
      <w:pPr>
        <w:pStyle w:val="ECHRParaQuote"/>
      </w:pPr>
      <w:r>
        <w:lastRenderedPageBreak/>
        <w:t>„(...) Într-adevăr, contrar declarației făcute de inculpat [...] prin care se declară nevinovat [...], din probatoriul administrat în cauză, rezultă, că urmare a coroborării declarațiilor inculpatului R.R. cu declarațiile martorilor C.I., B.C., R.D., C.F., S.C.M., R.S., M.G. și T.C.S., că inculpatul a comis fapta, așa cum este descrisă în rechizitor, prin aceasta, având calitatea de complice al coinculpatului R.R. [...]</w:t>
      </w:r>
    </w:p>
    <w:p w14:paraId="4851F198" w14:textId="77777777" w:rsidR="000D0271" w:rsidRPr="00672728" w:rsidRDefault="00672DD6" w:rsidP="00672728">
      <w:pPr>
        <w:pStyle w:val="ECHRParaQuote"/>
      </w:pPr>
      <w:r>
        <w:t>De altfel, situația rezultată, indubitabil din probele dosarului, cu privire la ajutorul pe care inculpatul [...] l-a promis și a încercat să-l dea, în modul descris, coinculpatului R.R., a determinat Curtea de Apel București, Secția I-a Penală, ca prin decizia penală nr. 717 din 21.09.2005 să admită apelul declarat de Parchetul [...] ”</w:t>
      </w:r>
    </w:p>
    <w:p w14:paraId="0AAE4271" w14:textId="77777777" w:rsidR="00E77CB3" w:rsidRPr="00672728" w:rsidRDefault="00E77CB3" w:rsidP="00672728">
      <w:pPr>
        <w:pStyle w:val="ECHRHeading1"/>
      </w:pPr>
      <w:r>
        <w:t>II.  Dreptul intern relevant</w:t>
      </w:r>
    </w:p>
    <w:p w14:paraId="5A37A3F1" w14:textId="77777777" w:rsidR="00AE2697" w:rsidRPr="00672728" w:rsidRDefault="00D53D87" w:rsidP="00672728">
      <w:pPr>
        <w:pStyle w:val="ECHRPara"/>
        <w:rPr>
          <w:rFonts w:ascii="Times New Roman" w:eastAsia="Times New Roman" w:hAnsi="Times New Roman" w:cs="Times New Roman"/>
          <w:szCs w:val="24"/>
        </w:rPr>
      </w:pPr>
      <w:fldSimple w:instr=" SEQ level0 \*arabic ">
        <w:r w:rsidR="00672728" w:rsidRPr="00672728">
          <w:t>22</w:t>
        </w:r>
      </w:fldSimple>
      <w:r w:rsidR="00052C5A">
        <w:t>.  </w:t>
      </w:r>
      <w:r w:rsidR="00052C5A">
        <w:rPr>
          <w:rFonts w:ascii="Times New Roman" w:hAnsi="Times New Roman"/>
          <w:szCs w:val="24"/>
        </w:rPr>
        <w:t xml:space="preserve">Dispozițiile din Codul de procedură penală, care defineau la momentul faptelor, domeniul de aplicare a competenței și a puterilor instanței sesizate cu „recurs” sunt descrise în cauza </w:t>
      </w:r>
      <w:r w:rsidR="00052C5A">
        <w:rPr>
          <w:rFonts w:ascii="Times New Roman" w:hAnsi="Times New Roman"/>
          <w:i/>
          <w:szCs w:val="24"/>
        </w:rPr>
        <w:t>Găitănaru împotriva României</w:t>
      </w:r>
      <w:r w:rsidR="00052C5A">
        <w:rPr>
          <w:rFonts w:ascii="Times New Roman" w:hAnsi="Times New Roman"/>
          <w:szCs w:val="24"/>
        </w:rPr>
        <w:t xml:space="preserve"> </w:t>
      </w:r>
      <w:r w:rsidR="00052C5A">
        <w:rPr>
          <w:rFonts w:ascii="Times New Roman" w:hAnsi="Times New Roman"/>
          <w:i/>
          <w:szCs w:val="24"/>
        </w:rPr>
        <w:t>(nr.</w:t>
      </w:r>
      <w:r w:rsidR="00052C5A">
        <w:rPr>
          <w:rFonts w:ascii="Times New Roman" w:hAnsi="Times New Roman"/>
          <w:szCs w:val="24"/>
        </w:rPr>
        <w:t> 26082/05, pct. 17-18, 26 iunie 2012).</w:t>
      </w:r>
    </w:p>
    <w:p w14:paraId="23994BEA" w14:textId="77777777" w:rsidR="00E77CB3" w:rsidRPr="00672728" w:rsidRDefault="00E77CB3" w:rsidP="00672728">
      <w:pPr>
        <w:pStyle w:val="ECHRTitle1"/>
      </w:pPr>
      <w:r>
        <w:t>ÎN DREPT</w:t>
      </w:r>
    </w:p>
    <w:p w14:paraId="4B02110C" w14:textId="77777777" w:rsidR="00E77CB3" w:rsidRPr="00672728" w:rsidRDefault="00E77CB3" w:rsidP="00672728">
      <w:pPr>
        <w:pStyle w:val="ECHRHeading1"/>
      </w:pPr>
      <w:r>
        <w:t>I. CU PRIVIRE LA PRETINSA ÎNCĂLCARE A ART. 6 § 1 DIN CONVENȚIE</w:t>
      </w:r>
    </w:p>
    <w:p w14:paraId="2954C650" w14:textId="77777777" w:rsidR="00240D15" w:rsidRPr="00672728" w:rsidRDefault="00D53D87" w:rsidP="00672728">
      <w:pPr>
        <w:pStyle w:val="ECHRPara"/>
      </w:pPr>
      <w:fldSimple w:instr=" SEQ level0 \*arabic ">
        <w:r w:rsidR="00672728" w:rsidRPr="00672728">
          <w:t>23</w:t>
        </w:r>
      </w:fldSimple>
      <w:r w:rsidR="00052C5A">
        <w:t>.  Reclamantul se plânge că nu a beneficiat de un proces echitabil, pretinzând că a fost condamnat de Înalta Curte fără administrarea nemijlocită de probe, și mai cu seamă de mărturii, deși fusese achitat de instanțele de grad inferior pe baza acelorași probe. Acesta invocă art. 6 § 1 din Convenție, ale cărui părți relevante în speță sunt redactate după cum urmează:</w:t>
      </w:r>
    </w:p>
    <w:p w14:paraId="3448B372" w14:textId="77777777" w:rsidR="00E77CB3" w:rsidRPr="00672728" w:rsidRDefault="00240D15" w:rsidP="00672728">
      <w:pPr>
        <w:pStyle w:val="ECHRParaQuote"/>
      </w:pPr>
      <w:r>
        <w:t>„Orice persoană are dreptul la judecarea în mod echitabil […] a cauzei sale, de către o instanță […], care va hotărî […] asupra temeiniciei oricărei acuzații penale îndreptate împotriva sa […]. ”</w:t>
      </w:r>
    </w:p>
    <w:p w14:paraId="6418E1B9" w14:textId="77777777" w:rsidR="00E77CB3" w:rsidRPr="00672728" w:rsidRDefault="00E77CB3" w:rsidP="00672728">
      <w:pPr>
        <w:pStyle w:val="ECHRHeading2"/>
      </w:pPr>
      <w:r>
        <w:t>A. Cu privire la admisibilitate</w:t>
      </w:r>
    </w:p>
    <w:p w14:paraId="299850B9" w14:textId="77777777" w:rsidR="009205BF" w:rsidRPr="00672728" w:rsidRDefault="00D53D87" w:rsidP="00672728">
      <w:pPr>
        <w:pStyle w:val="ECHRPara"/>
      </w:pPr>
      <w:fldSimple w:instr=" SEQ level0 \*arabic ">
        <w:r w:rsidR="00672728" w:rsidRPr="00672728">
          <w:t>24</w:t>
        </w:r>
      </w:fldSimple>
      <w:r w:rsidR="00FA1BEB">
        <w:t>.  Constatând că acest capăt de cerere nu este în mod vădit nefondat în sensul art. 35 § 3 lit. a) din Convenție și nu prezintă niciun alt motiv de inadmisibilitate, Curtea îl declară admisibil.</w:t>
      </w:r>
    </w:p>
    <w:p w14:paraId="535D8CDE" w14:textId="77777777" w:rsidR="00E77CB3" w:rsidRPr="00672728" w:rsidRDefault="00E77CB3" w:rsidP="00672728">
      <w:pPr>
        <w:pStyle w:val="ECHRHeading2"/>
      </w:pPr>
      <w:r>
        <w:lastRenderedPageBreak/>
        <w:t>B. Cu privire la fond</w:t>
      </w:r>
    </w:p>
    <w:p w14:paraId="46F1FB50" w14:textId="77777777" w:rsidR="00EE5639" w:rsidRPr="00672728" w:rsidRDefault="00DB002D" w:rsidP="00672728">
      <w:pPr>
        <w:pStyle w:val="ECHRHeading3"/>
      </w:pPr>
      <w:r>
        <w:t>1.  Argumentele părților</w:t>
      </w:r>
    </w:p>
    <w:p w14:paraId="4C42FDA9" w14:textId="77777777" w:rsidR="00E77CB3" w:rsidRPr="00672728" w:rsidRDefault="00D53D87" w:rsidP="00672728">
      <w:pPr>
        <w:pStyle w:val="ECHRPara"/>
      </w:pPr>
      <w:fldSimple w:instr=" SEQ level0 \*arabic ">
        <w:r w:rsidR="00672728" w:rsidRPr="00672728">
          <w:t>25</w:t>
        </w:r>
      </w:fldSimple>
      <w:r w:rsidR="00052C5A">
        <w:t>.  Reclamantul a afirmat că nu a beneficiat de un proces echitabil deoarece fost condamnat prima dată în cadrul procedurii în recurs, deși Înalta Curte nu examinase direct probele.</w:t>
      </w:r>
    </w:p>
    <w:p w14:paraId="410A0ED1" w14:textId="77777777" w:rsidR="00B60A03" w:rsidRPr="00672728" w:rsidRDefault="00D53D87" w:rsidP="00672728">
      <w:pPr>
        <w:pStyle w:val="ECHRPara"/>
      </w:pPr>
      <w:fldSimple w:instr=" SEQ level0 \*arabic ">
        <w:r w:rsidR="00672728" w:rsidRPr="00672728">
          <w:t>26</w:t>
        </w:r>
      </w:fldSimple>
      <w:r w:rsidR="00202B4C">
        <w:t xml:space="preserve">.  El arată că deși curtea de apel pronunțase de două ori condamnarea sa penală (pct. </w:t>
      </w:r>
      <w:r w:rsidR="00202B4C" w:rsidRPr="00672728">
        <w:fldChar w:fldCharType="begin"/>
      </w:r>
      <w:r w:rsidR="00202B4C" w:rsidRPr="00672728">
        <w:instrText xml:space="preserve"> REF P13 \h </w:instrText>
      </w:r>
      <w:r w:rsidR="00944B20" w:rsidRPr="00672728">
        <w:instrText xml:space="preserve"> \* MERGEFORMAT </w:instrText>
      </w:r>
      <w:r w:rsidR="00202B4C" w:rsidRPr="00672728">
        <w:fldChar w:fldCharType="separate"/>
      </w:r>
      <w:r w:rsidR="00672728" w:rsidRPr="00672728">
        <w:t>13</w:t>
      </w:r>
      <w:r w:rsidR="00202B4C" w:rsidRPr="00672728">
        <w:fldChar w:fldCharType="end"/>
      </w:r>
      <w:r w:rsidR="00202B4C">
        <w:t xml:space="preserve"> și </w:t>
      </w:r>
      <w:r w:rsidR="00202B4C" w:rsidRPr="00672728">
        <w:fldChar w:fldCharType="begin"/>
      </w:r>
      <w:r w:rsidR="00202B4C" w:rsidRPr="00672728">
        <w:instrText xml:space="preserve"> REF P15 \h </w:instrText>
      </w:r>
      <w:r w:rsidR="00944B20" w:rsidRPr="00672728">
        <w:instrText xml:space="preserve"> \* MERGEFORMAT </w:instrText>
      </w:r>
      <w:r w:rsidR="00202B4C" w:rsidRPr="00672728">
        <w:fldChar w:fldCharType="separate"/>
      </w:r>
      <w:r w:rsidR="00672728" w:rsidRPr="00672728">
        <w:t>15</w:t>
      </w:r>
      <w:r w:rsidR="00202B4C" w:rsidRPr="00672728">
        <w:fldChar w:fldCharType="end"/>
      </w:r>
      <w:r w:rsidR="00202B4C">
        <w:t xml:space="preserve"> supra), totuși cele două hotărâri în cauză au fost casate pentru nulitate absolută, astfel că nu pot să mai fie considerate valide.  El a adăugat că, după ce a interogat pe unii martori, curtea de apel a pronunțat achitarea sa (pct. </w:t>
      </w:r>
      <w:r w:rsidR="0094084F" w:rsidRPr="00672728">
        <w:fldChar w:fldCharType="begin"/>
      </w:r>
      <w:r w:rsidR="0094084F" w:rsidRPr="00672728">
        <w:instrText xml:space="preserve"> REF P17 \h </w:instrText>
      </w:r>
      <w:r w:rsidR="0094084F" w:rsidRPr="00672728">
        <w:fldChar w:fldCharType="separate"/>
      </w:r>
      <w:r w:rsidR="00672728" w:rsidRPr="00672728">
        <w:t>17</w:t>
      </w:r>
      <w:r w:rsidR="0094084F" w:rsidRPr="00672728">
        <w:fldChar w:fldCharType="end"/>
      </w:r>
      <w:r w:rsidR="00202B4C">
        <w:t xml:space="preserve"> și </w:t>
      </w:r>
      <w:r w:rsidR="00202B4C" w:rsidRPr="00672728">
        <w:fldChar w:fldCharType="begin"/>
      </w:r>
      <w:r w:rsidR="00202B4C" w:rsidRPr="00672728">
        <w:instrText xml:space="preserve"> REF P18 \h </w:instrText>
      </w:r>
      <w:r w:rsidR="00944B20" w:rsidRPr="00672728">
        <w:instrText xml:space="preserve"> \* MERGEFORMAT </w:instrText>
      </w:r>
      <w:r w:rsidR="00202B4C" w:rsidRPr="00672728">
        <w:fldChar w:fldCharType="separate"/>
      </w:r>
      <w:r w:rsidR="00672728" w:rsidRPr="00672728">
        <w:t>18</w:t>
      </w:r>
      <w:r w:rsidR="00202B4C" w:rsidRPr="00672728">
        <w:fldChar w:fldCharType="end"/>
      </w:r>
      <w:r w:rsidR="00202B4C">
        <w:t xml:space="preserve"> supra).</w:t>
      </w:r>
    </w:p>
    <w:p w14:paraId="39E73A46" w14:textId="77777777" w:rsidR="00854F3A" w:rsidRPr="00672728" w:rsidRDefault="00D53D87" w:rsidP="00672728">
      <w:pPr>
        <w:pStyle w:val="ECHRPara"/>
      </w:pPr>
      <w:fldSimple w:instr=" SEQ level0 \*arabic ">
        <w:r w:rsidR="00672728" w:rsidRPr="00672728">
          <w:t>27</w:t>
        </w:r>
      </w:fldSimple>
      <w:r w:rsidR="00202B4C">
        <w:t>.  Reclamantul arată că și-a prezentat apărarea în procedura de recurs și că Înalta Curte, care a examinat cauza în fapt și în drept, a omis să clarifice ambiguitățile din declarațiile martorilor.</w:t>
      </w:r>
    </w:p>
    <w:p w14:paraId="76B35ACE" w14:textId="77777777" w:rsidR="00E77CB3" w:rsidRPr="00672728" w:rsidRDefault="00D53D87" w:rsidP="00672728">
      <w:pPr>
        <w:pStyle w:val="ECHRPara"/>
      </w:pPr>
      <w:fldSimple w:instr=" SEQ level0 \*arabic ">
        <w:r w:rsidR="00672728" w:rsidRPr="00672728">
          <w:t>28</w:t>
        </w:r>
      </w:fldSimple>
      <w:r w:rsidR="00052C5A">
        <w:t>.  Guvernul explică mai întâi că îi revine instanței naționale decizia privind necesitatea de a cita un martor și că de aceea Curtea nu poate încheia prin incompatibilitatea procedurii cu art. 6 din Convenție în lipsa ascultării unui martor decât în circumstanțe excepționale, care, din punctul său de vedere, nu există în acest caz.</w:t>
      </w:r>
    </w:p>
    <w:p w14:paraId="59AF86B2" w14:textId="77777777" w:rsidR="003D3A4C" w:rsidRPr="00672728" w:rsidRDefault="00D53D87" w:rsidP="00672728">
      <w:pPr>
        <w:pStyle w:val="ECHRPara"/>
      </w:pPr>
      <w:fldSimple w:instr=" SEQ level0 \*arabic ">
        <w:r w:rsidR="00672728" w:rsidRPr="00672728">
          <w:t>29</w:t>
        </w:r>
      </w:fldSimple>
      <w:r w:rsidR="00620C58">
        <w:t>.  În continuare, susține că, spre deosebire de alte cauze deja examinate de Curte, în care reclamanții fuseseră puși în libertate de toate instanțele inferioare, în speța de față, trei instanțe au  condamnat persoana în cauză în baza probelor instrumentate și numai două complete de judecată au pronunțat achitarea lui.   Adaugă că, în cauza de față,  persoanele interogate au demonstrat constanță în declarații și că nu era justificat un nou interogatoriu pentru a clarifica anumite depoziții. În opinia Guvernului, Înalta Curte nu a făcut altceva decât să stabilească conexiunile între declarațiile martorilor ascultați de către instanțele de grad inferior și să tragă concluzii. Guvernul arată în cele din urmă că această condamnare a reclamantului nu era întemeiată numai pe declarațiile martorilor, ci și pe înscrisurile depuse la dosar.</w:t>
      </w:r>
    </w:p>
    <w:p w14:paraId="3DCF503A" w14:textId="77777777" w:rsidR="00FA027B" w:rsidRPr="00672728" w:rsidRDefault="00D53D87" w:rsidP="00672728">
      <w:pPr>
        <w:pStyle w:val="ECHRPara"/>
      </w:pPr>
      <w:fldSimple w:instr=" SEQ level0 \*arabic ">
        <w:r w:rsidR="00672728" w:rsidRPr="00672728">
          <w:t>30</w:t>
        </w:r>
      </w:fldSimple>
      <w:r w:rsidR="00FA027B">
        <w:t xml:space="preserve">.  Guvernul constată în cele din urmă că reclamantul nu a solicitat instanței de recurs sesizată în cauza sa să-i asculte din nou pe martori.   </w:t>
      </w:r>
    </w:p>
    <w:p w14:paraId="55459AAF" w14:textId="77777777" w:rsidR="00EE5639" w:rsidRPr="00672728" w:rsidRDefault="00DB002D" w:rsidP="00672728">
      <w:pPr>
        <w:pStyle w:val="ECHRHeading3"/>
      </w:pPr>
      <w:r>
        <w:t>2.  Motivarea Curții</w:t>
      </w:r>
    </w:p>
    <w:p w14:paraId="6A4C0EB4" w14:textId="77777777" w:rsidR="00A37523" w:rsidRPr="00672728" w:rsidRDefault="00D53D87" w:rsidP="00672728">
      <w:pPr>
        <w:pStyle w:val="ECHRPara"/>
        <w:rPr>
          <w:i/>
        </w:rPr>
      </w:pPr>
      <w:fldSimple w:instr=" SEQ level0 \*arabic ">
        <w:r w:rsidR="00672728" w:rsidRPr="00672728">
          <w:t>31</w:t>
        </w:r>
      </w:fldSimple>
      <w:r w:rsidR="00052C5A">
        <w:t xml:space="preserve">.  Curtea face trimitere la principiile generale care reglementează modalitățile de aplicare a art. 6 din Convenție la procedurile în apel pe care le-a reamintit în cauza </w:t>
      </w:r>
      <w:r w:rsidR="00052C5A">
        <w:rPr>
          <w:i/>
        </w:rPr>
        <w:t>Găitănaru împotriva României</w:t>
      </w:r>
      <w:r w:rsidR="00052C5A">
        <w:t>, (nr. 26082/05</w:t>
      </w:r>
      <w:r w:rsidR="00052C5A">
        <w:rPr>
          <w:snapToGrid w:val="0"/>
          <w:szCs w:val="24"/>
        </w:rPr>
        <w:t>, pct. 26-28, 26 </w:t>
      </w:r>
      <w:r w:rsidR="00052C5A">
        <w:t>iunie</w:t>
      </w:r>
      <w:r w:rsidR="00052C5A">
        <w:rPr>
          <w:snapToGrid w:val="0"/>
          <w:szCs w:val="24"/>
        </w:rPr>
        <w:t xml:space="preserve"> 2012 ; a se vedea, mai recent, </w:t>
      </w:r>
      <w:r w:rsidR="00052C5A">
        <w:rPr>
          <w:i/>
          <w:snapToGrid w:val="0"/>
          <w:szCs w:val="24"/>
        </w:rPr>
        <w:t xml:space="preserve">Flueraş împotriva României, </w:t>
      </w:r>
      <w:r w:rsidR="00052C5A">
        <w:rPr>
          <w:snapToGrid w:val="0"/>
          <w:szCs w:val="24"/>
        </w:rPr>
        <w:t xml:space="preserve">nr. 17520/04, pct. 53-55, 9 aprilie 2013, și </w:t>
      </w:r>
      <w:r w:rsidR="00052C5A">
        <w:rPr>
          <w:i/>
        </w:rPr>
        <w:t>Moinescu împotriva României,</w:t>
      </w:r>
      <w:r w:rsidR="00052C5A">
        <w:t xml:space="preserve"> nr. 16903/12</w:t>
      </w:r>
      <w:r w:rsidR="00052C5A">
        <w:rPr>
          <w:snapToGrid w:val="0"/>
        </w:rPr>
        <w:t>, pct. 33-35, 15 </w:t>
      </w:r>
      <w:r w:rsidR="00052C5A">
        <w:t>septembrie</w:t>
      </w:r>
      <w:r w:rsidR="00052C5A">
        <w:rPr>
          <w:snapToGrid w:val="0"/>
        </w:rPr>
        <w:t xml:space="preserve"> 2015</w:t>
      </w:r>
      <w:r w:rsidR="00052C5A">
        <w:rPr>
          <w:snapToGrid w:val="0"/>
          <w:szCs w:val="24"/>
        </w:rPr>
        <w:t>).</w:t>
      </w:r>
    </w:p>
    <w:p w14:paraId="02DCF526" w14:textId="77777777" w:rsidR="008902A2" w:rsidRPr="00672728" w:rsidRDefault="00D53D87" w:rsidP="00672728">
      <w:pPr>
        <w:pStyle w:val="ECHRPara"/>
      </w:pPr>
      <w:fldSimple w:instr=" SEQ level0 \*arabic ">
        <w:r w:rsidR="00672728" w:rsidRPr="00672728">
          <w:t>32</w:t>
        </w:r>
      </w:fldSimple>
      <w:r w:rsidR="00E8174A">
        <w:t xml:space="preserve">.  În speța de față, tribunalul și curtea de apel, după ascultarea martorilor, au considerat că probele aflate la dosar, în special declarațiile </w:t>
      </w:r>
      <w:r w:rsidR="00E8174A">
        <w:lastRenderedPageBreak/>
        <w:t xml:space="preserve">martorilor, nu au dovedit că reclamantul comisese faptele imputate, și au dispus achitarea sa (pct. </w:t>
      </w:r>
      <w:r w:rsidR="00951604" w:rsidRPr="00672728">
        <w:fldChar w:fldCharType="begin"/>
      </w:r>
      <w:r w:rsidR="00951604" w:rsidRPr="00672728">
        <w:instrText xml:space="preserve"> REF P11 \h </w:instrText>
      </w:r>
      <w:r w:rsidR="00951604" w:rsidRPr="00672728">
        <w:fldChar w:fldCharType="separate"/>
      </w:r>
      <w:r w:rsidR="00672728" w:rsidRPr="00672728">
        <w:t>11</w:t>
      </w:r>
      <w:r w:rsidR="00951604" w:rsidRPr="00672728">
        <w:fldChar w:fldCharType="end"/>
      </w:r>
      <w:r w:rsidR="00E8174A">
        <w:t xml:space="preserve"> și </w:t>
      </w:r>
      <w:r w:rsidR="00951604" w:rsidRPr="00672728">
        <w:fldChar w:fldCharType="begin"/>
      </w:r>
      <w:r w:rsidR="00951604" w:rsidRPr="00672728">
        <w:instrText xml:space="preserve"> REF P17 \h </w:instrText>
      </w:r>
      <w:r w:rsidR="00951604" w:rsidRPr="00672728">
        <w:fldChar w:fldCharType="separate"/>
      </w:r>
      <w:r w:rsidR="00672728" w:rsidRPr="00672728">
        <w:t>17</w:t>
      </w:r>
      <w:r w:rsidR="00951604" w:rsidRPr="00672728">
        <w:fldChar w:fldCharType="end"/>
      </w:r>
      <w:r w:rsidR="00E8174A">
        <w:t>-</w:t>
      </w:r>
      <w:r w:rsidR="00951604" w:rsidRPr="00672728">
        <w:fldChar w:fldCharType="begin"/>
      </w:r>
      <w:r w:rsidR="00951604" w:rsidRPr="00672728">
        <w:instrText xml:space="preserve"> REF P18 \h </w:instrText>
      </w:r>
      <w:r w:rsidR="00951604" w:rsidRPr="00672728">
        <w:fldChar w:fldCharType="separate"/>
      </w:r>
      <w:r w:rsidR="00672728" w:rsidRPr="00672728">
        <w:t>18</w:t>
      </w:r>
      <w:r w:rsidR="00951604" w:rsidRPr="00672728">
        <w:fldChar w:fldCharType="end"/>
      </w:r>
      <w:r w:rsidR="00E8174A">
        <w:t xml:space="preserve"> supra).</w:t>
      </w:r>
    </w:p>
    <w:p w14:paraId="71B5598A" w14:textId="77777777" w:rsidR="0012089E" w:rsidRPr="00672728" w:rsidRDefault="00D53D87" w:rsidP="00672728">
      <w:pPr>
        <w:pStyle w:val="ECHRPara"/>
      </w:pPr>
      <w:fldSimple w:instr=" SEQ level0 \*arabic ">
        <w:r w:rsidR="00672728" w:rsidRPr="00672728">
          <w:t>33</w:t>
        </w:r>
      </w:fldSimple>
      <w:r w:rsidR="0012089E">
        <w:t xml:space="preserve">.  Deși curtea de apel a condamnat partea interesată de două ori pentru complicitate la trafic internațional de stupefiante (pct. </w:t>
      </w:r>
      <w:r w:rsidR="00126D32" w:rsidRPr="00672728">
        <w:fldChar w:fldCharType="begin"/>
      </w:r>
      <w:r w:rsidR="00126D32" w:rsidRPr="00672728">
        <w:instrText xml:space="preserve"> REF P12 \h </w:instrText>
      </w:r>
      <w:r w:rsidR="00126D32" w:rsidRPr="00672728">
        <w:fldChar w:fldCharType="separate"/>
      </w:r>
      <w:r w:rsidR="00672728" w:rsidRPr="00672728">
        <w:t>12</w:t>
      </w:r>
      <w:r w:rsidR="00126D32" w:rsidRPr="00672728">
        <w:fldChar w:fldCharType="end"/>
      </w:r>
      <w:r w:rsidR="0012089E">
        <w:t xml:space="preserve"> și </w:t>
      </w:r>
      <w:r w:rsidR="00126D32" w:rsidRPr="00672728">
        <w:fldChar w:fldCharType="begin"/>
      </w:r>
      <w:r w:rsidR="00126D32" w:rsidRPr="00672728">
        <w:instrText xml:space="preserve"> REF P14 \h </w:instrText>
      </w:r>
      <w:r w:rsidR="00126D32" w:rsidRPr="00672728">
        <w:fldChar w:fldCharType="separate"/>
      </w:r>
      <w:r w:rsidR="00672728" w:rsidRPr="00672728">
        <w:t>14</w:t>
      </w:r>
      <w:r w:rsidR="00126D32" w:rsidRPr="00672728">
        <w:fldChar w:fldCharType="end"/>
      </w:r>
      <w:r w:rsidR="0012089E">
        <w:t xml:space="preserve"> supra), totuși aceste hotărâri au fost casate pentru erori de procedură (pct. </w:t>
      </w:r>
      <w:r w:rsidR="00126D32" w:rsidRPr="00672728">
        <w:fldChar w:fldCharType="begin"/>
      </w:r>
      <w:r w:rsidR="00126D32" w:rsidRPr="00672728">
        <w:instrText xml:space="preserve"> REF P13 \h </w:instrText>
      </w:r>
      <w:r w:rsidR="00126D32" w:rsidRPr="00672728">
        <w:fldChar w:fldCharType="separate"/>
      </w:r>
      <w:r w:rsidR="00672728" w:rsidRPr="00672728">
        <w:t>13</w:t>
      </w:r>
      <w:r w:rsidR="00126D32" w:rsidRPr="00672728">
        <w:fldChar w:fldCharType="end"/>
      </w:r>
      <w:r w:rsidR="0012089E">
        <w:t xml:space="preserve"> și </w:t>
      </w:r>
      <w:r w:rsidR="00126D32" w:rsidRPr="00672728">
        <w:fldChar w:fldCharType="begin"/>
      </w:r>
      <w:r w:rsidR="00126D32" w:rsidRPr="00672728">
        <w:instrText xml:space="preserve"> REF P15 \h </w:instrText>
      </w:r>
      <w:r w:rsidR="00126D32" w:rsidRPr="00672728">
        <w:fldChar w:fldCharType="separate"/>
      </w:r>
      <w:r w:rsidR="00672728" w:rsidRPr="00672728">
        <w:t>15</w:t>
      </w:r>
      <w:r w:rsidR="00126D32" w:rsidRPr="00672728">
        <w:fldChar w:fldCharType="end"/>
      </w:r>
      <w:r w:rsidR="0012089E">
        <w:t xml:space="preserve"> supra), iar, după interogarea reclamantului și a unor martori (pct. </w:t>
      </w:r>
      <w:r w:rsidR="00126D32" w:rsidRPr="00672728">
        <w:fldChar w:fldCharType="begin"/>
      </w:r>
      <w:r w:rsidR="00126D32" w:rsidRPr="00672728">
        <w:instrText xml:space="preserve"> REF P16 \h </w:instrText>
      </w:r>
      <w:r w:rsidR="00126D32" w:rsidRPr="00672728">
        <w:fldChar w:fldCharType="separate"/>
      </w:r>
      <w:r w:rsidR="00672728" w:rsidRPr="00672728">
        <w:t>16</w:t>
      </w:r>
      <w:r w:rsidR="00126D32" w:rsidRPr="00672728">
        <w:fldChar w:fldCharType="end"/>
      </w:r>
      <w:r w:rsidR="0012089E">
        <w:t xml:space="preserve"> supra), aceeași curte de apel a achitat persoana în cauză. Astfel, reclamantul nu a fost condamnat penal printr-o hotărâre validă a niciunei instanțe inferioare.</w:t>
      </w:r>
    </w:p>
    <w:p w14:paraId="5538FFD1" w14:textId="77777777" w:rsidR="008902A2" w:rsidRPr="00672728" w:rsidRDefault="00D53D87" w:rsidP="00672728">
      <w:pPr>
        <w:pStyle w:val="ECHRPara"/>
      </w:pPr>
      <w:fldSimple w:instr=" SEQ level0 \*arabic ">
        <w:r w:rsidR="00672728" w:rsidRPr="00672728">
          <w:t>34</w:t>
        </w:r>
      </w:fldSimple>
      <w:r w:rsidR="007E6692">
        <w:t xml:space="preserve">.  În urma recursului parchetului (pct. </w:t>
      </w:r>
      <w:r w:rsidR="00126D32" w:rsidRPr="00672728">
        <w:fldChar w:fldCharType="begin"/>
      </w:r>
      <w:r w:rsidR="00126D32" w:rsidRPr="00672728">
        <w:instrText xml:space="preserve"> REF P19 \h </w:instrText>
      </w:r>
      <w:r w:rsidR="00126D32" w:rsidRPr="00672728">
        <w:fldChar w:fldCharType="separate"/>
      </w:r>
      <w:r w:rsidR="00672728" w:rsidRPr="00672728">
        <w:t>19</w:t>
      </w:r>
      <w:r w:rsidR="00126D32" w:rsidRPr="00672728">
        <w:fldChar w:fldCharType="end"/>
      </w:r>
      <w:r w:rsidR="007E6692">
        <w:t xml:space="preserve"> supra), Înalta Curte s-a prevalat de posibilitatea oferită de legea internă de a examina din nou chestiunea vinovăției părții interesate. În acest scop, Înalta Curte s-a bazat pe aceleași probe care făcuseră ca instanțele inferioare să lase în libertate partea interesată, nicio probă nouă nefiind prezentată în fața instanței (pct. </w:t>
      </w:r>
      <w:r w:rsidR="00126D32" w:rsidRPr="00672728">
        <w:fldChar w:fldCharType="begin"/>
      </w:r>
      <w:r w:rsidR="00126D32" w:rsidRPr="00672728">
        <w:instrText xml:space="preserve"> REF P20 \h </w:instrText>
      </w:r>
      <w:r w:rsidR="00126D32" w:rsidRPr="00672728">
        <w:fldChar w:fldCharType="separate"/>
      </w:r>
      <w:r w:rsidR="00672728" w:rsidRPr="00672728">
        <w:t>20</w:t>
      </w:r>
      <w:r w:rsidR="00126D32" w:rsidRPr="00672728">
        <w:fldChar w:fldCharType="end"/>
      </w:r>
      <w:r w:rsidR="007E6692">
        <w:t xml:space="preserve"> supra). Înalta Curte a concluzionat că rezulta în mod cert din probatoriu, și mai ales din conținutul declarațiilor martorilor, că reclamantul comisese fapta de care era acuzat (pct. </w:t>
      </w:r>
      <w:r w:rsidR="00126D32" w:rsidRPr="00672728">
        <w:fldChar w:fldCharType="begin"/>
      </w:r>
      <w:r w:rsidR="00126D32" w:rsidRPr="00672728">
        <w:instrText xml:space="preserve"> REF P21 \h </w:instrText>
      </w:r>
      <w:r w:rsidR="00126D32" w:rsidRPr="00672728">
        <w:fldChar w:fldCharType="separate"/>
      </w:r>
      <w:r w:rsidR="00672728" w:rsidRPr="00672728">
        <w:t>21</w:t>
      </w:r>
      <w:r w:rsidR="00126D32" w:rsidRPr="00672728">
        <w:fldChar w:fldCharType="end"/>
      </w:r>
      <w:r w:rsidR="007E6692">
        <w:t xml:space="preserve"> supra).</w:t>
      </w:r>
    </w:p>
    <w:p w14:paraId="06BAC913" w14:textId="77777777" w:rsidR="0012089E" w:rsidRPr="00672728" w:rsidRDefault="00D53D87" w:rsidP="00672728">
      <w:pPr>
        <w:pStyle w:val="ECHRPara"/>
      </w:pPr>
      <w:fldSimple w:instr=" SEQ level0 \*arabic ">
        <w:r w:rsidR="00672728" w:rsidRPr="00672728">
          <w:t>35</w:t>
        </w:r>
      </w:fldSimple>
      <w:r w:rsidR="00F20185">
        <w:t>.  Pentru a se pronunța astfel, Înalta Curte a procedat în special la o nouă interpretare a mărturiilor depuse la dosar, fără a asculta ea însăși martorii. Astfel, Înalta Curte a adoptat o poziție opusă celei din hotărârile instanțelor inferioare, care l-au achitat pe reclamant, în special pe baza depozițiilor martorilor respectivi, făcute în cursul ședințelor desfășurate în fața lor. În opinia Curții, efectuând o astfel de analiză, Înalta Curte nu s-a limitat la simpla apreciere a unei chestiuni de drept, ci, pur și simplu a dat o nouă interpretare faptelor, ceea ce a dus la o reîncadrare a acțiunilor reclamantului. Condamnat penal, partea interesată s-a văzut, în consecință, într-o situație agravată.</w:t>
      </w:r>
    </w:p>
    <w:p w14:paraId="46C090B4" w14:textId="77777777" w:rsidR="00F20185" w:rsidRPr="00672728" w:rsidRDefault="00D53D87" w:rsidP="00672728">
      <w:pPr>
        <w:pStyle w:val="ECHRPara"/>
      </w:pPr>
      <w:fldSimple w:instr=" SEQ level0 \*arabic ">
        <w:r w:rsidR="00672728" w:rsidRPr="00672728">
          <w:t>36</w:t>
        </w:r>
      </w:fldSimple>
      <w:r w:rsidR="007E6692">
        <w:t xml:space="preserve">.  Deși era de competența instanței de recurs să aprecieze diferitele elemente de probă, este la fel de adevărat că reclamantul a fost stabilit vinovat pe baza mărturiilor care fuseseră suficiente pentru a-i determina pe judecătorii din prima instanță să se îndoiască de temeinicia acuzației și să motiveze achitarea acestuia. Or, Înalta Curte ar fi trebuit să pună întrebarea privind necesitatea unei noi audieri a martorilor, cu atât mai mult cu cât mărturia lucrătorului Brigăzii Antiteroriste, C.I., care putea face legătura dintre reclamant și R.R., nu a fost considerată credibilă de către curtea de apel (pct. </w:t>
      </w:r>
      <w:r w:rsidR="00F23504" w:rsidRPr="00672728">
        <w:fldChar w:fldCharType="begin"/>
      </w:r>
      <w:r w:rsidR="00F23504" w:rsidRPr="00672728">
        <w:instrText xml:space="preserve"> REF P18 \h </w:instrText>
      </w:r>
      <w:r w:rsidR="00F23504" w:rsidRPr="00672728">
        <w:fldChar w:fldCharType="separate"/>
      </w:r>
      <w:r w:rsidR="00672728" w:rsidRPr="00672728">
        <w:t>18</w:t>
      </w:r>
      <w:r w:rsidR="00F23504" w:rsidRPr="00672728">
        <w:fldChar w:fldCharType="end"/>
      </w:r>
      <w:r w:rsidR="007E6692">
        <w:t xml:space="preserve"> supra). Curtea reamintește, în acest context, că persoanele care au responsabilitatea de a decide asupra vinovăției sau a nevinovăției unui inculpat trebuie, în principiu, să fie în măsură să asculte martorii personal și să evalueze fiabilitatea acestora. Evaluarea fiabilității unui martor este o sarcină complexă care, în general, nu poate fi dusă la bun sfârșit prin simpla citirea a declarațiilor scrise (</w:t>
      </w:r>
      <w:r w:rsidR="007E6692">
        <w:rPr>
          <w:i/>
        </w:rPr>
        <w:t>Dan împotriva Moldovei</w:t>
      </w:r>
      <w:r w:rsidR="007E6692">
        <w:t>, nr. 8999/07, pct. 33, 5 iulie 2011). Desigur, există cazuri în care este imposibilă ascultarea unui martor de către instanță, de exemplu dacă persoana în cauză a decedat, sau pentru a-i respecta dreptul de a nu se autoincrimina [</w:t>
      </w:r>
      <w:r w:rsidR="007E6692">
        <w:rPr>
          <w:i/>
        </w:rPr>
        <w:t xml:space="preserve">Craxi împotriva Italiei </w:t>
      </w:r>
      <w:r w:rsidR="007E6692">
        <w:rPr>
          <w:i/>
        </w:rPr>
        <w:lastRenderedPageBreak/>
        <w:t>(nr. 1)</w:t>
      </w:r>
      <w:r w:rsidR="007E6692">
        <w:t xml:space="preserve">, nr. 34896/97, pct. 86, 5 decembrie 2002, și </w:t>
      </w:r>
      <w:r w:rsidR="007E6692">
        <w:rPr>
          <w:i/>
        </w:rPr>
        <w:t>Dan,</w:t>
      </w:r>
      <w:r w:rsidR="007E6692">
        <w:t xml:space="preserve"> citat anterior, pct. 33]. Or, nu este cazul în speță.</w:t>
      </w:r>
    </w:p>
    <w:p w14:paraId="647C2912" w14:textId="77777777" w:rsidR="00B638BE" w:rsidRPr="00672728" w:rsidRDefault="00D53D87" w:rsidP="00672728">
      <w:pPr>
        <w:pStyle w:val="ECHRPara"/>
      </w:pPr>
      <w:fldSimple w:instr=" SEQ level0 \*arabic ">
        <w:r w:rsidR="00672728" w:rsidRPr="00672728">
          <w:t>37</w:t>
        </w:r>
      </w:fldSimple>
      <w:r w:rsidR="00891993">
        <w:t>.  Curtea reamintește în sfârșit că se pronunțase deja în cauze similare, în care Guvernul aducea argumentul conform căruia reclamantul nu solicitase niciodată instanței de recurs să asculte martori, că instanța de recurs era obligată să ia din oficiu, măsuri în acest sens, în ciuda faptului că nu exista o solicitare expresă din partea reclamantului (</w:t>
      </w:r>
      <w:r w:rsidR="00891993">
        <w:rPr>
          <w:i/>
        </w:rPr>
        <w:t>Manolachi împotriva României</w:t>
      </w:r>
      <w:r w:rsidR="00891993">
        <w:t xml:space="preserve">, nr. 36605/04, pct. 50, 5 martie 2013, </w:t>
      </w:r>
      <w:r w:rsidR="00891993">
        <w:rPr>
          <w:i/>
        </w:rPr>
        <w:t xml:space="preserve">Hanu împotriva României, </w:t>
      </w:r>
      <w:r w:rsidR="00891993">
        <w:t xml:space="preserve">nr. 10890/04, pct. 38, 4 iunie 2013, și, mai recent, </w:t>
      </w:r>
      <w:r w:rsidR="00891993">
        <w:rPr>
          <w:i/>
        </w:rPr>
        <w:t>Moinescu</w:t>
      </w:r>
      <w:r w:rsidR="00891993">
        <w:t xml:space="preserve"> citat anterior</w:t>
      </w:r>
      <w:r w:rsidR="00891993">
        <w:rPr>
          <w:snapToGrid w:val="0"/>
        </w:rPr>
        <w:t xml:space="preserve">, pct. 28). </w:t>
      </w:r>
      <w:r w:rsidR="00891993">
        <w:t xml:space="preserve">În plus, Curtea observă că reclamantului nu i se poate reproșa în  speță lipsa interesului în procesul său (a se vedea, </w:t>
      </w:r>
      <w:r w:rsidR="00891993">
        <w:rPr>
          <w:i/>
        </w:rPr>
        <w:t>a contrario</w:t>
      </w:r>
      <w:r w:rsidR="00891993">
        <w:t xml:space="preserve">, </w:t>
      </w:r>
      <w:r w:rsidR="00891993">
        <w:rPr>
          <w:i/>
        </w:rPr>
        <w:t>Bragadireanu împotriva României</w:t>
      </w:r>
      <w:r w:rsidR="00891993">
        <w:t>, nr. 22088/04, pct. 110, 6 decembrie 2007).</w:t>
      </w:r>
    </w:p>
    <w:p w14:paraId="0A409606" w14:textId="77777777" w:rsidR="00F20185" w:rsidRPr="00672728" w:rsidRDefault="00D53D87" w:rsidP="00672728">
      <w:pPr>
        <w:pStyle w:val="ECHRPara"/>
      </w:pPr>
      <w:fldSimple w:instr=" SEQ level0 \*arabic ">
        <w:r w:rsidR="00672728" w:rsidRPr="00672728">
          <w:t>38</w:t>
        </w:r>
      </w:fldSimple>
      <w:r w:rsidR="00F20185">
        <w:t>.  Aceste elemente îi permit Curții să concluzioneze că respectiva condamnare a reclamantului de către Înalta Curte, pronunțată fără ascultarea directă a martorilor, și deși acesta fusese achitat de două instanțe inferioare, este contrară cerințelor unui proces echitabil în sensul art. 6 § 1 din Convenție.</w:t>
      </w:r>
    </w:p>
    <w:bookmarkStart w:id="15" w:name="violare61"/>
    <w:p w14:paraId="6AC808AB" w14:textId="77777777" w:rsidR="00F20185" w:rsidRPr="00672728" w:rsidRDefault="00F20185" w:rsidP="00672728">
      <w:pPr>
        <w:pStyle w:val="ECHRPara"/>
      </w:pPr>
      <w:r w:rsidRPr="00672728">
        <w:fldChar w:fldCharType="begin"/>
      </w:r>
      <w:r w:rsidRPr="00672728">
        <w:instrText xml:space="preserve"> SEQ level0 \*arabic </w:instrText>
      </w:r>
      <w:r w:rsidRPr="00672728">
        <w:fldChar w:fldCharType="separate"/>
      </w:r>
      <w:r w:rsidR="00672728" w:rsidRPr="00672728">
        <w:t>39</w:t>
      </w:r>
      <w:r w:rsidRPr="00672728">
        <w:fldChar w:fldCharType="end"/>
      </w:r>
      <w:bookmarkEnd w:id="15"/>
      <w:r>
        <w:t>.  În consecință, a fost încălcat art. 6 § 1 din Convenție.</w:t>
      </w:r>
    </w:p>
    <w:p w14:paraId="17017392" w14:textId="77777777" w:rsidR="00E77CB3" w:rsidRPr="00672728" w:rsidRDefault="00A80078" w:rsidP="00672728">
      <w:pPr>
        <w:pStyle w:val="ECHRHeading1"/>
      </w:pPr>
      <w:r>
        <w:t>II.  CU PRIVIRE LA APLICAREA ART. 41 DIN CONVENȚIE</w:t>
      </w:r>
    </w:p>
    <w:p w14:paraId="2DBB6DCC" w14:textId="77777777" w:rsidR="00E77CB3" w:rsidRPr="00672728" w:rsidRDefault="00D53D87" w:rsidP="00672728">
      <w:pPr>
        <w:pStyle w:val="ECHRPara"/>
      </w:pPr>
      <w:fldSimple w:instr=" SEQ level0 \*arabic ">
        <w:r w:rsidR="00672728" w:rsidRPr="00672728">
          <w:t>40</w:t>
        </w:r>
      </w:fldSimple>
      <w:r w:rsidR="00052C5A">
        <w:t>.  În conformitate cu art. 41 din Convenție,</w:t>
      </w:r>
    </w:p>
    <w:p w14:paraId="0A700913" w14:textId="77777777" w:rsidR="00E77CB3" w:rsidRPr="00672728" w:rsidRDefault="00E77CB3" w:rsidP="00672728">
      <w:pPr>
        <w:pStyle w:val="ECHRParaQuote"/>
        <w:keepNext/>
        <w:keepLines/>
      </w:pPr>
      <w:r>
        <w:t>„În cazul în care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 ”</w:t>
      </w:r>
    </w:p>
    <w:p w14:paraId="0718C8D7" w14:textId="77777777" w:rsidR="00E77CB3" w:rsidRPr="00672728" w:rsidRDefault="00E77CB3" w:rsidP="00672728">
      <w:pPr>
        <w:pStyle w:val="ECHRHeading2"/>
      </w:pPr>
      <w:r>
        <w:t>A. Prejudiciu</w:t>
      </w:r>
    </w:p>
    <w:p w14:paraId="5CDD96A7" w14:textId="77777777" w:rsidR="00E77CB3" w:rsidRPr="00672728" w:rsidRDefault="00D53D87" w:rsidP="00672728">
      <w:pPr>
        <w:pStyle w:val="ECHRPara"/>
      </w:pPr>
      <w:fldSimple w:instr=" SEQ level0 \*arabic ">
        <w:r w:rsidR="00672728" w:rsidRPr="00672728">
          <w:t>41</w:t>
        </w:r>
      </w:fldSimple>
      <w:r w:rsidR="00052C5A">
        <w:t>.  Reclamantul pretinde 100 000 euro (EUR) pentru prejudiciul moral pe care l-a suferit.</w:t>
      </w:r>
    </w:p>
    <w:p w14:paraId="3BE96780" w14:textId="77777777" w:rsidR="0047269A" w:rsidRPr="00672728" w:rsidRDefault="00D53D87" w:rsidP="00672728">
      <w:pPr>
        <w:pStyle w:val="ECHRPara"/>
      </w:pPr>
      <w:fldSimple w:instr=" SEQ level0 \*arabic ">
        <w:r w:rsidR="00672728" w:rsidRPr="00672728">
          <w:t>42</w:t>
        </w:r>
      </w:fldSimple>
      <w:r w:rsidR="00052C5A">
        <w:t>.  Guvernul susține că legătura de cauzalitate dintre pretinsa încălcare a art. 6 din Convenție și pretinsul prejudiciu moral nu a fost dovedită, având în vedere imposibilitatea de a specula asupra soluției procedurii în fața instanțelor interne dacă Înalta Curte ar fi administrat direct probele. Guvernul reamintește că este posibilă revizuirea unui proces pe plan intern, conform Codului de procedură penală, în cazul în care instanța europeană a constatat încălcarea drepturilor reclamantului. În subsidiar, Guvernul arată că suma solicitată de către partea interesată cu titlu de prejudiciu moral este excesivă în raport cu jurisprudența Curții în domeniu.</w:t>
      </w:r>
    </w:p>
    <w:p w14:paraId="04346362" w14:textId="77777777" w:rsidR="00AA1A09" w:rsidRPr="00672728" w:rsidRDefault="00D53D87" w:rsidP="00672728">
      <w:pPr>
        <w:pStyle w:val="ECHRPara"/>
      </w:pPr>
      <w:fldSimple w:instr=" SEQ level0 \*arabic ">
        <w:r w:rsidR="00672728" w:rsidRPr="00672728">
          <w:t>43</w:t>
        </w:r>
      </w:fldSimple>
      <w:r w:rsidR="00052C5A">
        <w:t xml:space="preserve">.  Curtea relevă că, în speță, singurul temei de reținut pentru acordarea unei reparații echitabile rezidă în faptul că reclamantul nu a beneficiat de un proces echitabil în fața Înaltei Curți. În mod cert Curtea nu poate specula care ar fi fost rezultatul procesului în cazul în care art. 6 din Convenție ar fi fost respectat, dar apreciază că este rezonabil să considere că partea interesată a </w:t>
      </w:r>
      <w:r w:rsidR="00052C5A">
        <w:lastRenderedPageBreak/>
        <w:t>suferit pierderea unei șanse reale în procesul respectiv</w:t>
      </w:r>
      <w:r w:rsidR="00052C5A">
        <w:rPr>
          <w:i/>
          <w:iCs/>
        </w:rPr>
        <w:t xml:space="preserve"> </w:t>
      </w:r>
      <w:r w:rsidR="00052C5A">
        <w:t>[</w:t>
      </w:r>
      <w:r w:rsidR="00052C5A">
        <w:rPr>
          <w:i/>
        </w:rPr>
        <w:t>Pelissier și Sassi împotriva Franței</w:t>
      </w:r>
      <w:r w:rsidR="00052C5A">
        <w:t xml:space="preserve"> (MC), nr. 25444/94, pct. 80, CEDO 1999-II].</w:t>
      </w:r>
    </w:p>
    <w:p w14:paraId="68D55DD2" w14:textId="77777777" w:rsidR="00AA1A09" w:rsidRPr="00672728" w:rsidRDefault="00D53D87" w:rsidP="00672728">
      <w:pPr>
        <w:pStyle w:val="ECHRPara"/>
      </w:pPr>
      <w:fldSimple w:instr=" SEQ level0 \*arabic ">
        <w:r w:rsidR="00672728" w:rsidRPr="00672728">
          <w:t>44</w:t>
        </w:r>
      </w:fldSimple>
      <w:r w:rsidR="00AA1A09">
        <w:t>.  Prin urmare, pronunțându-se în echitate, în conformitate cu art. 41 din Convenție, Curtea acordă reclamantului suma de 3 000 EUR cu titlu de despăgubire pentru prejudiciul moral.</w:t>
      </w:r>
    </w:p>
    <w:p w14:paraId="5C7D3C78" w14:textId="77777777" w:rsidR="00AA1A09" w:rsidRPr="00672728" w:rsidRDefault="00D53D87" w:rsidP="00672728">
      <w:pPr>
        <w:pStyle w:val="ECHRPara"/>
        <w:rPr>
          <w:szCs w:val="24"/>
        </w:rPr>
      </w:pPr>
      <w:fldSimple w:instr=" SEQ level0 \*arabic ">
        <w:r w:rsidR="00672728" w:rsidRPr="00672728">
          <w:t>45</w:t>
        </w:r>
      </w:fldSimple>
      <w:r w:rsidR="00AA1A09">
        <w:t xml:space="preserve">.  De asemenea, Curtea reamintește că, atunci când o persoană particulară, precum în speță, a fost condamnată în urma unei proceduri viciate de încălcări ale cerințelor art. 6 din Convenție,  </w:t>
      </w:r>
      <w:bookmarkStart w:id="16" w:name="_1000006"/>
      <w:bookmarkStart w:id="17" w:name="_1000007"/>
      <w:bookmarkEnd w:id="16"/>
      <w:bookmarkEnd w:id="17"/>
      <w:r w:rsidR="00AA1A09">
        <w:t>un nou proces sau o redeschidere a procedurii la cererea persoanei în cauză, reprezintă, în principiu, un mijloc adecvat de reparare a încălcării constatate [</w:t>
      </w:r>
      <w:r w:rsidR="00AA1A09">
        <w:rPr>
          <w:i/>
          <w:szCs w:val="24"/>
        </w:rPr>
        <w:t xml:space="preserve">Sejdovic împotriva Italiei  </w:t>
      </w:r>
      <w:r w:rsidR="00AA1A09">
        <w:t>(GC), nr. 56581/00, pct. 126, CEDO 2006</w:t>
      </w:r>
      <w:r w:rsidR="00AA1A09">
        <w:noBreakHyphen/>
        <w:t>II]. În această privință, observă că art. 465 din noul Cod de procedură penală, intrat în vigoare la 1 februarie 2014, permite revizuirea unui proces pe plan intern în cazul în care Curtea a constatat încălcarea drepturilor și a libertăților fundamentale ale unui reclamant (</w:t>
      </w:r>
      <w:r w:rsidR="00AA1A09">
        <w:rPr>
          <w:i/>
        </w:rPr>
        <w:t>Moinescu</w:t>
      </w:r>
      <w:r w:rsidR="00AA1A09">
        <w:t>, citată anterior, pct. 48).</w:t>
      </w:r>
    </w:p>
    <w:p w14:paraId="4B85B91C" w14:textId="77777777" w:rsidR="00E77CB3" w:rsidRPr="00672728" w:rsidRDefault="00E77CB3" w:rsidP="00672728">
      <w:pPr>
        <w:pStyle w:val="ECHRHeading2"/>
      </w:pPr>
      <w:r>
        <w:t>B. Cheltuieli de judecată</w:t>
      </w:r>
    </w:p>
    <w:p w14:paraId="641B4821" w14:textId="77777777" w:rsidR="00E77CB3" w:rsidRPr="00672728" w:rsidRDefault="00D53D87" w:rsidP="00672728">
      <w:pPr>
        <w:pStyle w:val="ECHRPara"/>
      </w:pPr>
      <w:fldSimple w:instr=" SEQ level0 \*arabic ">
        <w:r w:rsidR="00672728" w:rsidRPr="00672728">
          <w:t>46</w:t>
        </w:r>
      </w:fldSimple>
      <w:r w:rsidR="00052C5A">
        <w:t>.  Reclamantul nu solicită rambursarea cheltuielilor de judecată. Prin urmare, Curtea nu are competența să se pronunțe în această privință.</w:t>
      </w:r>
    </w:p>
    <w:p w14:paraId="05AAF57B" w14:textId="77777777" w:rsidR="00E77CB3" w:rsidRPr="00672728" w:rsidRDefault="00E77CB3" w:rsidP="00672728">
      <w:pPr>
        <w:pStyle w:val="ECHRHeading2"/>
      </w:pPr>
      <w:r>
        <w:t>C. Dobânzi moratorii</w:t>
      </w:r>
    </w:p>
    <w:p w14:paraId="0A981AD9" w14:textId="77777777" w:rsidR="00E77CB3" w:rsidRPr="00672728" w:rsidRDefault="00D53D87" w:rsidP="00672728">
      <w:pPr>
        <w:pStyle w:val="ECHRPara"/>
      </w:pPr>
      <w:fldSimple w:instr=" SEQ level0 \*arabic ">
        <w:r w:rsidR="00672728" w:rsidRPr="00672728">
          <w:t>47</w:t>
        </w:r>
      </w:fldSimple>
      <w:r w:rsidR="00D0608D">
        <w:t>.  Curtea consideră necesar ca rata dobânzilor moratorii să se întemeieze pe rata dobânzii facilității de împrumut marginal practicată de Banca Centrală Europeană, majorată cu trei puncte procentuale.</w:t>
      </w:r>
    </w:p>
    <w:p w14:paraId="084A9BED" w14:textId="77777777" w:rsidR="00E77CB3" w:rsidRPr="00672728" w:rsidRDefault="00E77CB3" w:rsidP="00672728">
      <w:pPr>
        <w:pStyle w:val="ECHRTitle1"/>
      </w:pPr>
      <w:r>
        <w:t>PENTRU ACESTE MOTIVE, CURTEA, ÎN UNANIMITATE,</w:t>
      </w:r>
    </w:p>
    <w:p w14:paraId="314C8334" w14:textId="77777777" w:rsidR="00FB2B45" w:rsidRPr="00672728" w:rsidRDefault="00FB2B45" w:rsidP="00672728">
      <w:pPr>
        <w:pStyle w:val="JuList"/>
      </w:pPr>
      <w:r>
        <w:t>1.  </w:t>
      </w:r>
      <w:r>
        <w:rPr>
          <w:i/>
        </w:rPr>
        <w:t>Declară</w:t>
      </w:r>
      <w:r>
        <w:t xml:space="preserve"> cererea admisibilă;</w:t>
      </w:r>
    </w:p>
    <w:p w14:paraId="5F522CE4" w14:textId="77777777" w:rsidR="00A80078" w:rsidRPr="0082251B" w:rsidRDefault="00A80078" w:rsidP="00672728">
      <w:pPr>
        <w:pStyle w:val="JuList"/>
        <w:rPr>
          <w:lang w:val="it-IT"/>
        </w:rPr>
      </w:pPr>
    </w:p>
    <w:p w14:paraId="6E912036" w14:textId="77777777" w:rsidR="00E77CB3" w:rsidRPr="00672728" w:rsidRDefault="00A80078" w:rsidP="00672728">
      <w:pPr>
        <w:pStyle w:val="JuList"/>
      </w:pPr>
      <w:r>
        <w:t>2.  </w:t>
      </w:r>
      <w:r>
        <w:rPr>
          <w:i/>
        </w:rPr>
        <w:t>Hotărăște</w:t>
      </w:r>
      <w:r>
        <w:t xml:space="preserve"> că a fost încălcat art. 6 § 1 din Convenție;</w:t>
      </w:r>
    </w:p>
    <w:p w14:paraId="508D9B59" w14:textId="77777777" w:rsidR="00E77CB3" w:rsidRPr="0082251B" w:rsidRDefault="00E77CB3" w:rsidP="00672728">
      <w:pPr>
        <w:pStyle w:val="JuList"/>
        <w:rPr>
          <w:lang w:val="en-US"/>
        </w:rPr>
      </w:pPr>
    </w:p>
    <w:p w14:paraId="638D762E" w14:textId="77777777" w:rsidR="00052C5A" w:rsidRPr="00672728" w:rsidRDefault="00A80078" w:rsidP="00672728">
      <w:pPr>
        <w:pStyle w:val="JuList"/>
      </w:pPr>
      <w:r>
        <w:t>3.  </w:t>
      </w:r>
      <w:r>
        <w:rPr>
          <w:i/>
        </w:rPr>
        <w:t>Hotărăște</w:t>
      </w:r>
    </w:p>
    <w:p w14:paraId="44FB9C2D" w14:textId="77777777" w:rsidR="00E77CB3" w:rsidRPr="00672728" w:rsidRDefault="00E77CB3" w:rsidP="00672728">
      <w:pPr>
        <w:pStyle w:val="JuLista"/>
      </w:pPr>
      <w:r>
        <w:t xml:space="preserve">a) că statul pârât trebuie să îi plătească reclamantului, în termen de trei luni, 3 000 EUR (trei mii de euro), plus orice sumă ce poate fi datorată cu titlu de impozit, cu titlu de prejudiciu moral, care va fi convertită </w:t>
      </w:r>
      <w:r>
        <w:rPr>
          <w:rStyle w:val="Robust"/>
          <w:b w:val="0"/>
        </w:rPr>
        <w:t>în moneda statului pârât,</w:t>
      </w:r>
      <w:r>
        <w:t xml:space="preserve"> la rata de schimb aplicabilă la data plății;</w:t>
      </w:r>
    </w:p>
    <w:p w14:paraId="03A33F8C" w14:textId="77777777" w:rsidR="00E77CB3" w:rsidRPr="00672728" w:rsidRDefault="00E77CB3" w:rsidP="00672728">
      <w:pPr>
        <w:pStyle w:val="JuLista"/>
      </w:pPr>
      <w:r>
        <w:t xml:space="preserve">d) că, de la expirarea termenului menționat și până la efectuarea plății, această sumă trebuie majorată cu o dobândă simplă, la o rată egală cu rata dobânzii facilității de împrumut marginal practicată de Banca Centrală </w:t>
      </w:r>
      <w:r>
        <w:lastRenderedPageBreak/>
        <w:t>Europeană, aplicabilă pe parcursul acestei perioade și majorată cu trei puncte procentuale;</w:t>
      </w:r>
    </w:p>
    <w:p w14:paraId="28C97F21" w14:textId="77777777" w:rsidR="00E77CB3" w:rsidRPr="0082251B" w:rsidRDefault="00E77CB3" w:rsidP="00672728">
      <w:pPr>
        <w:pStyle w:val="JuLista"/>
      </w:pPr>
    </w:p>
    <w:p w14:paraId="551EE157" w14:textId="77777777" w:rsidR="00E77CB3" w:rsidRPr="00672728" w:rsidRDefault="009F761A" w:rsidP="00672728">
      <w:pPr>
        <w:pStyle w:val="JuList"/>
      </w:pPr>
      <w:r>
        <w:t>4.  </w:t>
      </w:r>
      <w:r>
        <w:rPr>
          <w:i/>
        </w:rPr>
        <w:t>Respinge</w:t>
      </w:r>
      <w:r>
        <w:t xml:space="preserve"> cererea de acordare a unei reparații echitabile pentru celelalte capete de cerere.</w:t>
      </w:r>
    </w:p>
    <w:p w14:paraId="1CB7A3F8" w14:textId="77777777" w:rsidR="00E77CB3" w:rsidRPr="00672728" w:rsidRDefault="00E77CB3" w:rsidP="00672728">
      <w:pPr>
        <w:pStyle w:val="JuParaLast"/>
      </w:pPr>
      <w:r>
        <w:t>Redactată în limba franceză, apoi comunicată în scris, la 14 februarie 2017, în temeiul art. 77 § 2 și art. 77 § 3 din Regulamentul Curții.</w:t>
      </w:r>
    </w:p>
    <w:p w14:paraId="4C1A2102" w14:textId="77777777" w:rsidR="004D15F3" w:rsidRPr="00672728" w:rsidRDefault="001503AE" w:rsidP="00672728">
      <w:pPr>
        <w:pStyle w:val="JuSigned"/>
        <w:tabs>
          <w:tab w:val="clear" w:pos="851"/>
          <w:tab w:val="clear" w:pos="6407"/>
          <w:tab w:val="center" w:pos="1134"/>
          <w:tab w:val="center" w:pos="5954"/>
        </w:tabs>
        <w:rPr>
          <w:szCs w:val="24"/>
        </w:rPr>
      </w:pPr>
      <w:r>
        <w:tab/>
        <w:t>Andrea Tamietti</w:t>
      </w:r>
      <w:r>
        <w:tab/>
        <w:t>Paulo Pinto de Albuquerque</w:t>
      </w:r>
      <w:r>
        <w:br/>
      </w:r>
      <w:r>
        <w:tab/>
        <w:t>Grefier adjunct</w:t>
      </w:r>
      <w:r>
        <w:tab/>
        <w:t>Președinte</w:t>
      </w:r>
    </w:p>
    <w:sectPr w:rsidR="004D15F3" w:rsidRPr="00672728" w:rsidSect="00A038A1">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9756E" w14:textId="77777777" w:rsidR="000F7E2B" w:rsidRPr="00BD0653" w:rsidRDefault="000F7E2B" w:rsidP="00E77CB3">
      <w:pPr>
        <w:rPr>
          <w:lang w:val="fr-FR"/>
        </w:rPr>
      </w:pPr>
      <w:r w:rsidRPr="00BD0653">
        <w:rPr>
          <w:lang w:val="fr-FR"/>
        </w:rPr>
        <w:separator/>
      </w:r>
    </w:p>
  </w:endnote>
  <w:endnote w:type="continuationSeparator" w:id="0">
    <w:p w14:paraId="5704450A" w14:textId="77777777" w:rsidR="000F7E2B" w:rsidRPr="00BD0653" w:rsidRDefault="000F7E2B" w:rsidP="00E77CB3">
      <w:pPr>
        <w:rPr>
          <w:lang w:val="fr-FR"/>
        </w:rPr>
      </w:pPr>
      <w:r w:rsidRPr="00BD065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D4C87" w14:textId="77777777" w:rsidR="00B638BE" w:rsidRPr="00150BFA" w:rsidRDefault="00B638BE" w:rsidP="008D3B50">
    <w:pPr>
      <w:jc w:val="center"/>
    </w:pPr>
  </w:p>
  <w:p w14:paraId="1DDDA139" w14:textId="77777777" w:rsidR="00B638BE" w:rsidRDefault="00B638B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05132" w14:textId="77777777" w:rsidR="000F7E2B" w:rsidRPr="00BD0653" w:rsidRDefault="000F7E2B" w:rsidP="00E77CB3">
      <w:pPr>
        <w:rPr>
          <w:lang w:val="fr-FR"/>
        </w:rPr>
      </w:pPr>
      <w:r w:rsidRPr="00BD0653">
        <w:rPr>
          <w:lang w:val="fr-FR"/>
        </w:rPr>
        <w:separator/>
      </w:r>
    </w:p>
  </w:footnote>
  <w:footnote w:type="continuationSeparator" w:id="0">
    <w:p w14:paraId="1825A1DE" w14:textId="77777777" w:rsidR="000F7E2B" w:rsidRPr="00BD0653" w:rsidRDefault="000F7E2B" w:rsidP="00E77CB3">
      <w:pPr>
        <w:rPr>
          <w:lang w:val="fr-FR"/>
        </w:rPr>
      </w:pPr>
      <w:r w:rsidRPr="00BD065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6580D" w14:textId="77777777" w:rsidR="00B638BE" w:rsidRPr="00BD0653" w:rsidRDefault="00B638BE" w:rsidP="00A038A1">
    <w:pPr>
      <w:pStyle w:val="ECHRHeade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74F37" w14:textId="77777777" w:rsidR="00B638BE" w:rsidRPr="00A45145" w:rsidRDefault="00B638BE" w:rsidP="008D3B50">
    <w:pPr>
      <w:jc w:val="center"/>
    </w:pPr>
  </w:p>
  <w:p w14:paraId="1C96B2FF" w14:textId="77777777" w:rsidR="00B638BE" w:rsidRDefault="00B638BE">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CD52B" w14:textId="77777777" w:rsidR="00B638BE" w:rsidRPr="00F72A03" w:rsidRDefault="00B638BE" w:rsidP="00F72A03">
    <w:pPr>
      <w:pStyle w:val="Ante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CD117" w14:textId="77777777" w:rsidR="00B638BE" w:rsidRPr="00BD0653" w:rsidRDefault="00B638BE" w:rsidP="00C63990">
    <w:pPr>
      <w:pStyle w:val="ECHR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052C5A"/>
    <w:rsid w:val="000041F8"/>
    <w:rsid w:val="000042A8"/>
    <w:rsid w:val="00004308"/>
    <w:rsid w:val="00005BF0"/>
    <w:rsid w:val="00007154"/>
    <w:rsid w:val="000103AE"/>
    <w:rsid w:val="00011D69"/>
    <w:rsid w:val="00012AD3"/>
    <w:rsid w:val="00015C2D"/>
    <w:rsid w:val="00015F00"/>
    <w:rsid w:val="00020FE0"/>
    <w:rsid w:val="00022C1D"/>
    <w:rsid w:val="00027D5B"/>
    <w:rsid w:val="00034987"/>
    <w:rsid w:val="00036CF7"/>
    <w:rsid w:val="00042CF8"/>
    <w:rsid w:val="00043B75"/>
    <w:rsid w:val="00045CD0"/>
    <w:rsid w:val="00052C5A"/>
    <w:rsid w:val="000602DF"/>
    <w:rsid w:val="00061B05"/>
    <w:rsid w:val="00062ABD"/>
    <w:rsid w:val="000632D5"/>
    <w:rsid w:val="000644EE"/>
    <w:rsid w:val="00066A71"/>
    <w:rsid w:val="00072A8D"/>
    <w:rsid w:val="00075CEA"/>
    <w:rsid w:val="00077C2F"/>
    <w:rsid w:val="000925AD"/>
    <w:rsid w:val="000955E3"/>
    <w:rsid w:val="000A24EB"/>
    <w:rsid w:val="000A52E0"/>
    <w:rsid w:val="000B6923"/>
    <w:rsid w:val="000C5F3C"/>
    <w:rsid w:val="000C6DCC"/>
    <w:rsid w:val="000D0271"/>
    <w:rsid w:val="000D393A"/>
    <w:rsid w:val="000D47AA"/>
    <w:rsid w:val="000D721F"/>
    <w:rsid w:val="000D739D"/>
    <w:rsid w:val="000E069B"/>
    <w:rsid w:val="000E0E82"/>
    <w:rsid w:val="000E1DC5"/>
    <w:rsid w:val="000E223F"/>
    <w:rsid w:val="000E7D45"/>
    <w:rsid w:val="000F00EF"/>
    <w:rsid w:val="000F1660"/>
    <w:rsid w:val="000F7851"/>
    <w:rsid w:val="000F7E2B"/>
    <w:rsid w:val="00100564"/>
    <w:rsid w:val="00104E23"/>
    <w:rsid w:val="00111B0C"/>
    <w:rsid w:val="00112AFC"/>
    <w:rsid w:val="0012089E"/>
    <w:rsid w:val="00120D6C"/>
    <w:rsid w:val="001257EC"/>
    <w:rsid w:val="00126D32"/>
    <w:rsid w:val="00133D33"/>
    <w:rsid w:val="00134D64"/>
    <w:rsid w:val="00135A30"/>
    <w:rsid w:val="0013612C"/>
    <w:rsid w:val="00137FF6"/>
    <w:rsid w:val="00141650"/>
    <w:rsid w:val="001478DB"/>
    <w:rsid w:val="001503AE"/>
    <w:rsid w:val="001516A3"/>
    <w:rsid w:val="00160393"/>
    <w:rsid w:val="0016174F"/>
    <w:rsid w:val="001618FC"/>
    <w:rsid w:val="001619D7"/>
    <w:rsid w:val="00162A12"/>
    <w:rsid w:val="00163B05"/>
    <w:rsid w:val="00165880"/>
    <w:rsid w:val="00166530"/>
    <w:rsid w:val="001832BD"/>
    <w:rsid w:val="001943B5"/>
    <w:rsid w:val="00195134"/>
    <w:rsid w:val="001A145B"/>
    <w:rsid w:val="001A674C"/>
    <w:rsid w:val="001B113F"/>
    <w:rsid w:val="001B18BD"/>
    <w:rsid w:val="001B3B24"/>
    <w:rsid w:val="001C0F98"/>
    <w:rsid w:val="001C2A42"/>
    <w:rsid w:val="001C41FA"/>
    <w:rsid w:val="001C6E37"/>
    <w:rsid w:val="001D63ED"/>
    <w:rsid w:val="001D7348"/>
    <w:rsid w:val="001E035B"/>
    <w:rsid w:val="001E0961"/>
    <w:rsid w:val="001E3EAE"/>
    <w:rsid w:val="001E6F32"/>
    <w:rsid w:val="001F2145"/>
    <w:rsid w:val="001F4E43"/>
    <w:rsid w:val="001F6262"/>
    <w:rsid w:val="001F67B0"/>
    <w:rsid w:val="001F7B3D"/>
    <w:rsid w:val="00202B4C"/>
    <w:rsid w:val="00203A07"/>
    <w:rsid w:val="00205F9F"/>
    <w:rsid w:val="002075BC"/>
    <w:rsid w:val="0021014B"/>
    <w:rsid w:val="00210338"/>
    <w:rsid w:val="002115FC"/>
    <w:rsid w:val="0021423C"/>
    <w:rsid w:val="00225B38"/>
    <w:rsid w:val="00230D00"/>
    <w:rsid w:val="00231DF7"/>
    <w:rsid w:val="00231FD1"/>
    <w:rsid w:val="002339E0"/>
    <w:rsid w:val="00233CF8"/>
    <w:rsid w:val="0023575D"/>
    <w:rsid w:val="00237148"/>
    <w:rsid w:val="00240D15"/>
    <w:rsid w:val="0024222D"/>
    <w:rsid w:val="00244B0E"/>
    <w:rsid w:val="00244F6C"/>
    <w:rsid w:val="00245660"/>
    <w:rsid w:val="00245DF9"/>
    <w:rsid w:val="002532C5"/>
    <w:rsid w:val="00260C03"/>
    <w:rsid w:val="0026540E"/>
    <w:rsid w:val="00275123"/>
    <w:rsid w:val="00282240"/>
    <w:rsid w:val="00291379"/>
    <w:rsid w:val="00293FF5"/>
    <w:rsid w:val="002948AD"/>
    <w:rsid w:val="00296A17"/>
    <w:rsid w:val="002A01CC"/>
    <w:rsid w:val="002A61B1"/>
    <w:rsid w:val="002A663C"/>
    <w:rsid w:val="002B444B"/>
    <w:rsid w:val="002B5887"/>
    <w:rsid w:val="002C0E27"/>
    <w:rsid w:val="002C3040"/>
    <w:rsid w:val="002D022D"/>
    <w:rsid w:val="002D23B6"/>
    <w:rsid w:val="002D24BB"/>
    <w:rsid w:val="002D39FD"/>
    <w:rsid w:val="002E02CB"/>
    <w:rsid w:val="002E0A29"/>
    <w:rsid w:val="002E1D8D"/>
    <w:rsid w:val="002F2AF7"/>
    <w:rsid w:val="002F7E1C"/>
    <w:rsid w:val="0030139F"/>
    <w:rsid w:val="00301A75"/>
    <w:rsid w:val="00302F70"/>
    <w:rsid w:val="0030336F"/>
    <w:rsid w:val="0030375E"/>
    <w:rsid w:val="00312A30"/>
    <w:rsid w:val="00313973"/>
    <w:rsid w:val="00314C18"/>
    <w:rsid w:val="00314C1D"/>
    <w:rsid w:val="003169BB"/>
    <w:rsid w:val="00320F72"/>
    <w:rsid w:val="0032463E"/>
    <w:rsid w:val="00326224"/>
    <w:rsid w:val="00337EE4"/>
    <w:rsid w:val="00340FFD"/>
    <w:rsid w:val="00342DCD"/>
    <w:rsid w:val="003506B1"/>
    <w:rsid w:val="00350B0D"/>
    <w:rsid w:val="00351BC9"/>
    <w:rsid w:val="00353423"/>
    <w:rsid w:val="00354F8C"/>
    <w:rsid w:val="00356AC7"/>
    <w:rsid w:val="003609FA"/>
    <w:rsid w:val="00361CE6"/>
    <w:rsid w:val="003710C8"/>
    <w:rsid w:val="003750BE"/>
    <w:rsid w:val="00375E28"/>
    <w:rsid w:val="00387B9D"/>
    <w:rsid w:val="0039364F"/>
    <w:rsid w:val="00396686"/>
    <w:rsid w:val="0039778E"/>
    <w:rsid w:val="003A7EF1"/>
    <w:rsid w:val="003B2814"/>
    <w:rsid w:val="003B4941"/>
    <w:rsid w:val="003C0B87"/>
    <w:rsid w:val="003C5714"/>
    <w:rsid w:val="003C6B9F"/>
    <w:rsid w:val="003C6E2A"/>
    <w:rsid w:val="003D0299"/>
    <w:rsid w:val="003D3A4C"/>
    <w:rsid w:val="003D4BCD"/>
    <w:rsid w:val="003D6D7E"/>
    <w:rsid w:val="003E6D80"/>
    <w:rsid w:val="003F05FA"/>
    <w:rsid w:val="003F200D"/>
    <w:rsid w:val="003F244A"/>
    <w:rsid w:val="003F30B8"/>
    <w:rsid w:val="003F4C45"/>
    <w:rsid w:val="003F4E5D"/>
    <w:rsid w:val="003F5F7B"/>
    <w:rsid w:val="003F7D64"/>
    <w:rsid w:val="00414300"/>
    <w:rsid w:val="004147EA"/>
    <w:rsid w:val="004165E8"/>
    <w:rsid w:val="00421FFF"/>
    <w:rsid w:val="00425C67"/>
    <w:rsid w:val="00427E7A"/>
    <w:rsid w:val="00434EC4"/>
    <w:rsid w:val="00436C49"/>
    <w:rsid w:val="00445366"/>
    <w:rsid w:val="00447F5B"/>
    <w:rsid w:val="0045067D"/>
    <w:rsid w:val="00455497"/>
    <w:rsid w:val="00461D17"/>
    <w:rsid w:val="00461DB0"/>
    <w:rsid w:val="00463926"/>
    <w:rsid w:val="00464C9A"/>
    <w:rsid w:val="0047269A"/>
    <w:rsid w:val="004741F5"/>
    <w:rsid w:val="00474F3D"/>
    <w:rsid w:val="00477E3A"/>
    <w:rsid w:val="00480CA0"/>
    <w:rsid w:val="00483E5F"/>
    <w:rsid w:val="00485C9B"/>
    <w:rsid w:val="00485FF9"/>
    <w:rsid w:val="004876B3"/>
    <w:rsid w:val="004907F0"/>
    <w:rsid w:val="0049140B"/>
    <w:rsid w:val="004923A5"/>
    <w:rsid w:val="004926DD"/>
    <w:rsid w:val="00496BFB"/>
    <w:rsid w:val="004A15C7"/>
    <w:rsid w:val="004B013B"/>
    <w:rsid w:val="004B112B"/>
    <w:rsid w:val="004C01E4"/>
    <w:rsid w:val="004C086C"/>
    <w:rsid w:val="004C1F56"/>
    <w:rsid w:val="004C27BC"/>
    <w:rsid w:val="004C740F"/>
    <w:rsid w:val="004D15F3"/>
    <w:rsid w:val="004D5311"/>
    <w:rsid w:val="004D5DCC"/>
    <w:rsid w:val="004E2BBD"/>
    <w:rsid w:val="004F10AF"/>
    <w:rsid w:val="004F11A4"/>
    <w:rsid w:val="004F2389"/>
    <w:rsid w:val="004F2979"/>
    <w:rsid w:val="004F304D"/>
    <w:rsid w:val="004F61BE"/>
    <w:rsid w:val="004F66B1"/>
    <w:rsid w:val="00504603"/>
    <w:rsid w:val="00511C07"/>
    <w:rsid w:val="005122E8"/>
    <w:rsid w:val="005173A6"/>
    <w:rsid w:val="00520BAA"/>
    <w:rsid w:val="00521D64"/>
    <w:rsid w:val="00525208"/>
    <w:rsid w:val="005257A5"/>
    <w:rsid w:val="00525E43"/>
    <w:rsid w:val="005264C0"/>
    <w:rsid w:val="00526A8A"/>
    <w:rsid w:val="00531DF2"/>
    <w:rsid w:val="005414B5"/>
    <w:rsid w:val="005442EE"/>
    <w:rsid w:val="00547353"/>
    <w:rsid w:val="005474E7"/>
    <w:rsid w:val="005512A3"/>
    <w:rsid w:val="005578CE"/>
    <w:rsid w:val="00562781"/>
    <w:rsid w:val="005635E2"/>
    <w:rsid w:val="0057271C"/>
    <w:rsid w:val="00572845"/>
    <w:rsid w:val="00574C83"/>
    <w:rsid w:val="0058219F"/>
    <w:rsid w:val="00592772"/>
    <w:rsid w:val="0059574A"/>
    <w:rsid w:val="00596468"/>
    <w:rsid w:val="005A02CB"/>
    <w:rsid w:val="005A1B9B"/>
    <w:rsid w:val="005A6751"/>
    <w:rsid w:val="005B092E"/>
    <w:rsid w:val="005B152C"/>
    <w:rsid w:val="005B1EE0"/>
    <w:rsid w:val="005B1FB9"/>
    <w:rsid w:val="005B2B24"/>
    <w:rsid w:val="005B38B3"/>
    <w:rsid w:val="005B4425"/>
    <w:rsid w:val="005B4B94"/>
    <w:rsid w:val="005C3EE8"/>
    <w:rsid w:val="005D34F9"/>
    <w:rsid w:val="005D4190"/>
    <w:rsid w:val="005D67A3"/>
    <w:rsid w:val="005E2988"/>
    <w:rsid w:val="005E3085"/>
    <w:rsid w:val="005E37C6"/>
    <w:rsid w:val="005F1A01"/>
    <w:rsid w:val="005F51E1"/>
    <w:rsid w:val="00611C80"/>
    <w:rsid w:val="00612342"/>
    <w:rsid w:val="00620692"/>
    <w:rsid w:val="00620C58"/>
    <w:rsid w:val="006242CA"/>
    <w:rsid w:val="00625209"/>
    <w:rsid w:val="00627507"/>
    <w:rsid w:val="00627A5D"/>
    <w:rsid w:val="006329BC"/>
    <w:rsid w:val="00633717"/>
    <w:rsid w:val="006344E1"/>
    <w:rsid w:val="0063540E"/>
    <w:rsid w:val="00635DF3"/>
    <w:rsid w:val="00637236"/>
    <w:rsid w:val="0065298D"/>
    <w:rsid w:val="006545C4"/>
    <w:rsid w:val="00661971"/>
    <w:rsid w:val="00661CE8"/>
    <w:rsid w:val="006620EC"/>
    <w:rsid w:val="006623D9"/>
    <w:rsid w:val="0066550C"/>
    <w:rsid w:val="00667B26"/>
    <w:rsid w:val="006716F2"/>
    <w:rsid w:val="00672728"/>
    <w:rsid w:val="00672DD6"/>
    <w:rsid w:val="00682BF2"/>
    <w:rsid w:val="006859CE"/>
    <w:rsid w:val="00691270"/>
    <w:rsid w:val="00694A2E"/>
    <w:rsid w:val="00694BA8"/>
    <w:rsid w:val="00697B34"/>
    <w:rsid w:val="006A037C"/>
    <w:rsid w:val="006A36F4"/>
    <w:rsid w:val="006A406F"/>
    <w:rsid w:val="006A5D3A"/>
    <w:rsid w:val="006B2BC8"/>
    <w:rsid w:val="006C1BCB"/>
    <w:rsid w:val="006C23D4"/>
    <w:rsid w:val="006C64BE"/>
    <w:rsid w:val="006C7BB0"/>
    <w:rsid w:val="006D11C2"/>
    <w:rsid w:val="006D3237"/>
    <w:rsid w:val="006E0657"/>
    <w:rsid w:val="006E2E37"/>
    <w:rsid w:val="006E3CF1"/>
    <w:rsid w:val="006E7E80"/>
    <w:rsid w:val="006F48CA"/>
    <w:rsid w:val="006F64DD"/>
    <w:rsid w:val="006F74EC"/>
    <w:rsid w:val="00704F5C"/>
    <w:rsid w:val="00711B9F"/>
    <w:rsid w:val="00712C7E"/>
    <w:rsid w:val="00713378"/>
    <w:rsid w:val="0071346A"/>
    <w:rsid w:val="00715127"/>
    <w:rsid w:val="00715E8E"/>
    <w:rsid w:val="00716AC9"/>
    <w:rsid w:val="00720067"/>
    <w:rsid w:val="00723580"/>
    <w:rsid w:val="00723755"/>
    <w:rsid w:val="00730FF8"/>
    <w:rsid w:val="0073136C"/>
    <w:rsid w:val="00731F0F"/>
    <w:rsid w:val="00733250"/>
    <w:rsid w:val="00741404"/>
    <w:rsid w:val="007449E5"/>
    <w:rsid w:val="00747FF0"/>
    <w:rsid w:val="00750977"/>
    <w:rsid w:val="00757DAD"/>
    <w:rsid w:val="00762CD5"/>
    <w:rsid w:val="00764D4E"/>
    <w:rsid w:val="00765A1F"/>
    <w:rsid w:val="00771575"/>
    <w:rsid w:val="0077447B"/>
    <w:rsid w:val="00775B6D"/>
    <w:rsid w:val="00776012"/>
    <w:rsid w:val="00776D68"/>
    <w:rsid w:val="00780537"/>
    <w:rsid w:val="007850EE"/>
    <w:rsid w:val="00785B95"/>
    <w:rsid w:val="00790E96"/>
    <w:rsid w:val="00793366"/>
    <w:rsid w:val="007952DA"/>
    <w:rsid w:val="00796921"/>
    <w:rsid w:val="007A00D0"/>
    <w:rsid w:val="007A716F"/>
    <w:rsid w:val="007B270A"/>
    <w:rsid w:val="007B4B56"/>
    <w:rsid w:val="007B4DEA"/>
    <w:rsid w:val="007C0695"/>
    <w:rsid w:val="007C419A"/>
    <w:rsid w:val="007C4CC8"/>
    <w:rsid w:val="007C5426"/>
    <w:rsid w:val="007C5798"/>
    <w:rsid w:val="007D4832"/>
    <w:rsid w:val="007E21B2"/>
    <w:rsid w:val="007E2C4E"/>
    <w:rsid w:val="007E3ED4"/>
    <w:rsid w:val="007E48C2"/>
    <w:rsid w:val="007E6692"/>
    <w:rsid w:val="007F1905"/>
    <w:rsid w:val="007F4F51"/>
    <w:rsid w:val="00801300"/>
    <w:rsid w:val="008013FF"/>
    <w:rsid w:val="00802C64"/>
    <w:rsid w:val="00805B6A"/>
    <w:rsid w:val="00805E52"/>
    <w:rsid w:val="008061D0"/>
    <w:rsid w:val="00810B38"/>
    <w:rsid w:val="008204C7"/>
    <w:rsid w:val="00820992"/>
    <w:rsid w:val="0082251B"/>
    <w:rsid w:val="00823602"/>
    <w:rsid w:val="008255F5"/>
    <w:rsid w:val="0083014E"/>
    <w:rsid w:val="00831E0A"/>
    <w:rsid w:val="0083214A"/>
    <w:rsid w:val="00834220"/>
    <w:rsid w:val="008428BB"/>
    <w:rsid w:val="0084351A"/>
    <w:rsid w:val="00845723"/>
    <w:rsid w:val="00851EF9"/>
    <w:rsid w:val="00854F3A"/>
    <w:rsid w:val="008577FD"/>
    <w:rsid w:val="00860B03"/>
    <w:rsid w:val="0086497A"/>
    <w:rsid w:val="008713A1"/>
    <w:rsid w:val="00873188"/>
    <w:rsid w:val="008754AB"/>
    <w:rsid w:val="008755E4"/>
    <w:rsid w:val="00875AB3"/>
    <w:rsid w:val="0088060C"/>
    <w:rsid w:val="00883453"/>
    <w:rsid w:val="008902A2"/>
    <w:rsid w:val="00891993"/>
    <w:rsid w:val="00893576"/>
    <w:rsid w:val="00893E73"/>
    <w:rsid w:val="008B02DC"/>
    <w:rsid w:val="008B4E3D"/>
    <w:rsid w:val="008B57CE"/>
    <w:rsid w:val="008C153E"/>
    <w:rsid w:val="008C26DE"/>
    <w:rsid w:val="008D2225"/>
    <w:rsid w:val="008D3B50"/>
    <w:rsid w:val="008D4752"/>
    <w:rsid w:val="008D7298"/>
    <w:rsid w:val="008E215C"/>
    <w:rsid w:val="008E271C"/>
    <w:rsid w:val="008E418E"/>
    <w:rsid w:val="008E50ED"/>
    <w:rsid w:val="008E5BC6"/>
    <w:rsid w:val="008E6A25"/>
    <w:rsid w:val="008F3C49"/>
    <w:rsid w:val="008F5193"/>
    <w:rsid w:val="008F7BFA"/>
    <w:rsid w:val="00901061"/>
    <w:rsid w:val="009013A7"/>
    <w:rsid w:val="009017FB"/>
    <w:rsid w:val="009017FC"/>
    <w:rsid w:val="0090506B"/>
    <w:rsid w:val="009050C9"/>
    <w:rsid w:val="009066FC"/>
    <w:rsid w:val="009140A3"/>
    <w:rsid w:val="009144A2"/>
    <w:rsid w:val="0091510C"/>
    <w:rsid w:val="009205BF"/>
    <w:rsid w:val="009259AC"/>
    <w:rsid w:val="00926AD5"/>
    <w:rsid w:val="00926F38"/>
    <w:rsid w:val="00934301"/>
    <w:rsid w:val="009354AE"/>
    <w:rsid w:val="00936C2D"/>
    <w:rsid w:val="00936CD1"/>
    <w:rsid w:val="0093735D"/>
    <w:rsid w:val="0094084F"/>
    <w:rsid w:val="00941187"/>
    <w:rsid w:val="00941747"/>
    <w:rsid w:val="00941EFB"/>
    <w:rsid w:val="00944B20"/>
    <w:rsid w:val="00947AFB"/>
    <w:rsid w:val="00951604"/>
    <w:rsid w:val="00951D7D"/>
    <w:rsid w:val="009630C7"/>
    <w:rsid w:val="00972B55"/>
    <w:rsid w:val="00972F80"/>
    <w:rsid w:val="009743B7"/>
    <w:rsid w:val="0098228B"/>
    <w:rsid w:val="009828DA"/>
    <w:rsid w:val="00983363"/>
    <w:rsid w:val="00985BAB"/>
    <w:rsid w:val="00993EB0"/>
    <w:rsid w:val="009A53A3"/>
    <w:rsid w:val="009B0608"/>
    <w:rsid w:val="009B190A"/>
    <w:rsid w:val="009B1B5F"/>
    <w:rsid w:val="009B2AE4"/>
    <w:rsid w:val="009B6673"/>
    <w:rsid w:val="009C0E3F"/>
    <w:rsid w:val="009C191B"/>
    <w:rsid w:val="009C2BD6"/>
    <w:rsid w:val="009C5881"/>
    <w:rsid w:val="009E1F32"/>
    <w:rsid w:val="009E6D41"/>
    <w:rsid w:val="009E776C"/>
    <w:rsid w:val="009F2782"/>
    <w:rsid w:val="009F761A"/>
    <w:rsid w:val="00A00144"/>
    <w:rsid w:val="00A01FA9"/>
    <w:rsid w:val="00A038A1"/>
    <w:rsid w:val="00A1102D"/>
    <w:rsid w:val="00A1726E"/>
    <w:rsid w:val="00A204CF"/>
    <w:rsid w:val="00A23D49"/>
    <w:rsid w:val="00A25AE1"/>
    <w:rsid w:val="00A27004"/>
    <w:rsid w:val="00A2721C"/>
    <w:rsid w:val="00A27CEC"/>
    <w:rsid w:val="00A30C29"/>
    <w:rsid w:val="00A34DD6"/>
    <w:rsid w:val="00A36819"/>
    <w:rsid w:val="00A36989"/>
    <w:rsid w:val="00A37523"/>
    <w:rsid w:val="00A4181D"/>
    <w:rsid w:val="00A43308"/>
    <w:rsid w:val="00A43628"/>
    <w:rsid w:val="00A54192"/>
    <w:rsid w:val="00A55E79"/>
    <w:rsid w:val="00A6035E"/>
    <w:rsid w:val="00A6144C"/>
    <w:rsid w:val="00A66617"/>
    <w:rsid w:val="00A671F8"/>
    <w:rsid w:val="00A673A4"/>
    <w:rsid w:val="00A67531"/>
    <w:rsid w:val="00A724AE"/>
    <w:rsid w:val="00A73329"/>
    <w:rsid w:val="00A74BC1"/>
    <w:rsid w:val="00A80078"/>
    <w:rsid w:val="00A82359"/>
    <w:rsid w:val="00A865D2"/>
    <w:rsid w:val="00A94C20"/>
    <w:rsid w:val="00AA1A09"/>
    <w:rsid w:val="00AA227F"/>
    <w:rsid w:val="00AA3BC7"/>
    <w:rsid w:val="00AA754A"/>
    <w:rsid w:val="00AB099E"/>
    <w:rsid w:val="00AB0F93"/>
    <w:rsid w:val="00AB4328"/>
    <w:rsid w:val="00AC0824"/>
    <w:rsid w:val="00AC4EBF"/>
    <w:rsid w:val="00AD2641"/>
    <w:rsid w:val="00AD322D"/>
    <w:rsid w:val="00AD412E"/>
    <w:rsid w:val="00AE0A2E"/>
    <w:rsid w:val="00AE2697"/>
    <w:rsid w:val="00AE354C"/>
    <w:rsid w:val="00AF4B07"/>
    <w:rsid w:val="00AF5CC8"/>
    <w:rsid w:val="00AF6186"/>
    <w:rsid w:val="00AF7A3A"/>
    <w:rsid w:val="00AF7A7A"/>
    <w:rsid w:val="00B11FB2"/>
    <w:rsid w:val="00B160DB"/>
    <w:rsid w:val="00B17890"/>
    <w:rsid w:val="00B20836"/>
    <w:rsid w:val="00B235BB"/>
    <w:rsid w:val="00B235C5"/>
    <w:rsid w:val="00B27A44"/>
    <w:rsid w:val="00B30BBF"/>
    <w:rsid w:val="00B33C03"/>
    <w:rsid w:val="00B425A2"/>
    <w:rsid w:val="00B44E56"/>
    <w:rsid w:val="00B46543"/>
    <w:rsid w:val="00B47D33"/>
    <w:rsid w:val="00B52BE0"/>
    <w:rsid w:val="00B54133"/>
    <w:rsid w:val="00B544F6"/>
    <w:rsid w:val="00B60A03"/>
    <w:rsid w:val="00B638BE"/>
    <w:rsid w:val="00B701ED"/>
    <w:rsid w:val="00B72C11"/>
    <w:rsid w:val="00B774E8"/>
    <w:rsid w:val="00B8086C"/>
    <w:rsid w:val="00B861B4"/>
    <w:rsid w:val="00B86DFE"/>
    <w:rsid w:val="00B90990"/>
    <w:rsid w:val="00B922FF"/>
    <w:rsid w:val="00B9281E"/>
    <w:rsid w:val="00B93925"/>
    <w:rsid w:val="00B93AE0"/>
    <w:rsid w:val="00B93ECF"/>
    <w:rsid w:val="00B95187"/>
    <w:rsid w:val="00B9776F"/>
    <w:rsid w:val="00BA2D55"/>
    <w:rsid w:val="00BA71B1"/>
    <w:rsid w:val="00BA790E"/>
    <w:rsid w:val="00BB0637"/>
    <w:rsid w:val="00BB345F"/>
    <w:rsid w:val="00BB68EA"/>
    <w:rsid w:val="00BC1C27"/>
    <w:rsid w:val="00BC4A8F"/>
    <w:rsid w:val="00BC6BBF"/>
    <w:rsid w:val="00BD0653"/>
    <w:rsid w:val="00BD1572"/>
    <w:rsid w:val="00BD680B"/>
    <w:rsid w:val="00BE14E3"/>
    <w:rsid w:val="00BE3774"/>
    <w:rsid w:val="00BE41E5"/>
    <w:rsid w:val="00BF4109"/>
    <w:rsid w:val="00BF4CC3"/>
    <w:rsid w:val="00C054C7"/>
    <w:rsid w:val="00C057B5"/>
    <w:rsid w:val="00C06E15"/>
    <w:rsid w:val="00C07EF0"/>
    <w:rsid w:val="00C1262B"/>
    <w:rsid w:val="00C12A1D"/>
    <w:rsid w:val="00C14338"/>
    <w:rsid w:val="00C22687"/>
    <w:rsid w:val="00C26464"/>
    <w:rsid w:val="00C32E4D"/>
    <w:rsid w:val="00C333A0"/>
    <w:rsid w:val="00C36408"/>
    <w:rsid w:val="00C36A81"/>
    <w:rsid w:val="00C41974"/>
    <w:rsid w:val="00C47FA4"/>
    <w:rsid w:val="00C53F4A"/>
    <w:rsid w:val="00C54125"/>
    <w:rsid w:val="00C55B54"/>
    <w:rsid w:val="00C6098E"/>
    <w:rsid w:val="00C611D8"/>
    <w:rsid w:val="00C6152C"/>
    <w:rsid w:val="00C63990"/>
    <w:rsid w:val="00C64EEE"/>
    <w:rsid w:val="00C64EF6"/>
    <w:rsid w:val="00C65050"/>
    <w:rsid w:val="00C74810"/>
    <w:rsid w:val="00C81884"/>
    <w:rsid w:val="00C90D68"/>
    <w:rsid w:val="00C939FE"/>
    <w:rsid w:val="00CA4BDA"/>
    <w:rsid w:val="00CA7EC4"/>
    <w:rsid w:val="00CB1F66"/>
    <w:rsid w:val="00CB2951"/>
    <w:rsid w:val="00CC3FE5"/>
    <w:rsid w:val="00CC71E6"/>
    <w:rsid w:val="00CD282B"/>
    <w:rsid w:val="00CD2BAE"/>
    <w:rsid w:val="00CD4C35"/>
    <w:rsid w:val="00CD5BEE"/>
    <w:rsid w:val="00CD7369"/>
    <w:rsid w:val="00CE0B0E"/>
    <w:rsid w:val="00CE3831"/>
    <w:rsid w:val="00CF1AC1"/>
    <w:rsid w:val="00CF6EA1"/>
    <w:rsid w:val="00D00ABB"/>
    <w:rsid w:val="00D02EEC"/>
    <w:rsid w:val="00D03551"/>
    <w:rsid w:val="00D0608D"/>
    <w:rsid w:val="00D06311"/>
    <w:rsid w:val="00D06A63"/>
    <w:rsid w:val="00D07E0E"/>
    <w:rsid w:val="00D11478"/>
    <w:rsid w:val="00D15ED0"/>
    <w:rsid w:val="00D21B3E"/>
    <w:rsid w:val="00D21FED"/>
    <w:rsid w:val="00D24251"/>
    <w:rsid w:val="00D250D7"/>
    <w:rsid w:val="00D343E2"/>
    <w:rsid w:val="00D361A2"/>
    <w:rsid w:val="00D37C1F"/>
    <w:rsid w:val="00D42AFF"/>
    <w:rsid w:val="00D44C2E"/>
    <w:rsid w:val="00D45414"/>
    <w:rsid w:val="00D501C5"/>
    <w:rsid w:val="00D53D87"/>
    <w:rsid w:val="00D566BD"/>
    <w:rsid w:val="00D56BE2"/>
    <w:rsid w:val="00D576CF"/>
    <w:rsid w:val="00D57A4D"/>
    <w:rsid w:val="00D60AA7"/>
    <w:rsid w:val="00D6435F"/>
    <w:rsid w:val="00D717DE"/>
    <w:rsid w:val="00D75E28"/>
    <w:rsid w:val="00D772C2"/>
    <w:rsid w:val="00D8008E"/>
    <w:rsid w:val="00D82C45"/>
    <w:rsid w:val="00D908A8"/>
    <w:rsid w:val="00D927CD"/>
    <w:rsid w:val="00D93CF9"/>
    <w:rsid w:val="00D94C0F"/>
    <w:rsid w:val="00D977B6"/>
    <w:rsid w:val="00DA4A31"/>
    <w:rsid w:val="00DA7B04"/>
    <w:rsid w:val="00DB002D"/>
    <w:rsid w:val="00DB36C2"/>
    <w:rsid w:val="00DC169B"/>
    <w:rsid w:val="00DC2AB9"/>
    <w:rsid w:val="00DC63F0"/>
    <w:rsid w:val="00DC70DC"/>
    <w:rsid w:val="00DC74FF"/>
    <w:rsid w:val="00DD4AAB"/>
    <w:rsid w:val="00DD5146"/>
    <w:rsid w:val="00DD6EE5"/>
    <w:rsid w:val="00DE2967"/>
    <w:rsid w:val="00DE386C"/>
    <w:rsid w:val="00DE4D35"/>
    <w:rsid w:val="00DF098B"/>
    <w:rsid w:val="00DF11C4"/>
    <w:rsid w:val="00DF1E5F"/>
    <w:rsid w:val="00DF210C"/>
    <w:rsid w:val="00DF4B6A"/>
    <w:rsid w:val="00E01E65"/>
    <w:rsid w:val="00E02C09"/>
    <w:rsid w:val="00E04D59"/>
    <w:rsid w:val="00E07DA1"/>
    <w:rsid w:val="00E10922"/>
    <w:rsid w:val="00E123CB"/>
    <w:rsid w:val="00E13F7E"/>
    <w:rsid w:val="00E16A1B"/>
    <w:rsid w:val="00E20E13"/>
    <w:rsid w:val="00E21DBC"/>
    <w:rsid w:val="00E2566E"/>
    <w:rsid w:val="00E275D7"/>
    <w:rsid w:val="00E27DBE"/>
    <w:rsid w:val="00E327D1"/>
    <w:rsid w:val="00E32AB1"/>
    <w:rsid w:val="00E36C71"/>
    <w:rsid w:val="00E40404"/>
    <w:rsid w:val="00E40595"/>
    <w:rsid w:val="00E4529A"/>
    <w:rsid w:val="00E459C6"/>
    <w:rsid w:val="00E47589"/>
    <w:rsid w:val="00E6383C"/>
    <w:rsid w:val="00E64915"/>
    <w:rsid w:val="00E6509A"/>
    <w:rsid w:val="00E661D4"/>
    <w:rsid w:val="00E70091"/>
    <w:rsid w:val="00E70445"/>
    <w:rsid w:val="00E720F5"/>
    <w:rsid w:val="00E76D47"/>
    <w:rsid w:val="00E77CB3"/>
    <w:rsid w:val="00E8174A"/>
    <w:rsid w:val="00E849F7"/>
    <w:rsid w:val="00E855CC"/>
    <w:rsid w:val="00E856DC"/>
    <w:rsid w:val="00E90302"/>
    <w:rsid w:val="00E93846"/>
    <w:rsid w:val="00E9730C"/>
    <w:rsid w:val="00E97396"/>
    <w:rsid w:val="00E97BFB"/>
    <w:rsid w:val="00EA0104"/>
    <w:rsid w:val="00EA185E"/>
    <w:rsid w:val="00EA47FF"/>
    <w:rsid w:val="00EA592A"/>
    <w:rsid w:val="00EA78D3"/>
    <w:rsid w:val="00EB14E4"/>
    <w:rsid w:val="00EB32A5"/>
    <w:rsid w:val="00EB34ED"/>
    <w:rsid w:val="00EB7BE0"/>
    <w:rsid w:val="00EB7E63"/>
    <w:rsid w:val="00EC0F8F"/>
    <w:rsid w:val="00EC315E"/>
    <w:rsid w:val="00EC504B"/>
    <w:rsid w:val="00ED077C"/>
    <w:rsid w:val="00ED1190"/>
    <w:rsid w:val="00ED34D9"/>
    <w:rsid w:val="00ED6544"/>
    <w:rsid w:val="00EE0277"/>
    <w:rsid w:val="00EE3E00"/>
    <w:rsid w:val="00EE5639"/>
    <w:rsid w:val="00EE5DD2"/>
    <w:rsid w:val="00EF0A2E"/>
    <w:rsid w:val="00EF383A"/>
    <w:rsid w:val="00EF63C2"/>
    <w:rsid w:val="00F00A79"/>
    <w:rsid w:val="00F00E86"/>
    <w:rsid w:val="00F07C1E"/>
    <w:rsid w:val="00F105DB"/>
    <w:rsid w:val="00F132BC"/>
    <w:rsid w:val="00F13D80"/>
    <w:rsid w:val="00F16AAA"/>
    <w:rsid w:val="00F20185"/>
    <w:rsid w:val="00F2045B"/>
    <w:rsid w:val="00F21161"/>
    <w:rsid w:val="00F218EF"/>
    <w:rsid w:val="00F21BC7"/>
    <w:rsid w:val="00F23504"/>
    <w:rsid w:val="00F263FE"/>
    <w:rsid w:val="00F266A2"/>
    <w:rsid w:val="00F27706"/>
    <w:rsid w:val="00F32269"/>
    <w:rsid w:val="00F3459D"/>
    <w:rsid w:val="00F3569C"/>
    <w:rsid w:val="00F56A6F"/>
    <w:rsid w:val="00F5709C"/>
    <w:rsid w:val="00F64EF1"/>
    <w:rsid w:val="00F66BC4"/>
    <w:rsid w:val="00F72A03"/>
    <w:rsid w:val="00F86514"/>
    <w:rsid w:val="00F8765F"/>
    <w:rsid w:val="00F90767"/>
    <w:rsid w:val="00F932B7"/>
    <w:rsid w:val="00FA027B"/>
    <w:rsid w:val="00FA1BEB"/>
    <w:rsid w:val="00FA56E6"/>
    <w:rsid w:val="00FA685B"/>
    <w:rsid w:val="00FB0C01"/>
    <w:rsid w:val="00FB2B45"/>
    <w:rsid w:val="00FC18F2"/>
    <w:rsid w:val="00FC39E5"/>
    <w:rsid w:val="00FC3A78"/>
    <w:rsid w:val="00FD1005"/>
    <w:rsid w:val="00FD40D4"/>
    <w:rsid w:val="00FD6C75"/>
    <w:rsid w:val="00FE71B3"/>
    <w:rsid w:val="00FF1D22"/>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701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638BE"/>
    <w:pPr>
      <w:jc w:val="both"/>
    </w:pPr>
    <w:rPr>
      <w:rFonts w:eastAsiaTheme="minorEastAsia"/>
      <w:sz w:val="24"/>
    </w:rPr>
  </w:style>
  <w:style w:type="paragraph" w:styleId="Titlu1">
    <w:name w:val="heading 1"/>
    <w:basedOn w:val="Normal"/>
    <w:next w:val="Normal"/>
    <w:link w:val="Titlu1Caracter"/>
    <w:uiPriority w:val="99"/>
    <w:semiHidden/>
    <w:rsid w:val="00B638BE"/>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B638BE"/>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B638BE"/>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B638BE"/>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B638BE"/>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B638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B638BE"/>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B638BE"/>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B638BE"/>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B638BE"/>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638BE"/>
    <w:rPr>
      <w:rFonts w:ascii="Tahoma" w:eastAsiaTheme="minorEastAsia" w:hAnsi="Tahoma" w:cs="Tahoma"/>
      <w:sz w:val="16"/>
      <w:szCs w:val="16"/>
    </w:rPr>
  </w:style>
  <w:style w:type="character" w:styleId="Titlulcrii">
    <w:name w:val="Book Title"/>
    <w:uiPriority w:val="99"/>
    <w:semiHidden/>
    <w:qFormat/>
    <w:rsid w:val="00B638BE"/>
    <w:rPr>
      <w:i/>
      <w:iCs/>
      <w:smallCaps/>
      <w:spacing w:val="5"/>
    </w:rPr>
  </w:style>
  <w:style w:type="paragraph" w:customStyle="1" w:styleId="ECHRHeader">
    <w:name w:val="ECHR_Header"/>
    <w:aliases w:val="Ju_Header"/>
    <w:basedOn w:val="Antet"/>
    <w:uiPriority w:val="4"/>
    <w:qFormat/>
    <w:rsid w:val="00B638BE"/>
    <w:pPr>
      <w:tabs>
        <w:tab w:val="clear" w:pos="4536"/>
        <w:tab w:val="clear" w:pos="9072"/>
        <w:tab w:val="center" w:pos="3686"/>
        <w:tab w:val="right" w:pos="7371"/>
      </w:tabs>
      <w:jc w:val="left"/>
    </w:pPr>
    <w:rPr>
      <w:sz w:val="18"/>
    </w:rPr>
  </w:style>
  <w:style w:type="paragraph" w:customStyle="1" w:styleId="ECHRFooter">
    <w:name w:val="ECHR_Footer"/>
    <w:aliases w:val="Footer_ECHR"/>
    <w:basedOn w:val="Subsol"/>
    <w:uiPriority w:val="57"/>
    <w:semiHidden/>
    <w:rsid w:val="00B638BE"/>
    <w:pPr>
      <w:jc w:val="left"/>
    </w:pPr>
    <w:rPr>
      <w:sz w:val="8"/>
    </w:rPr>
  </w:style>
  <w:style w:type="character" w:styleId="Robust">
    <w:name w:val="Strong"/>
    <w:uiPriority w:val="99"/>
    <w:semiHidden/>
    <w:qFormat/>
    <w:rsid w:val="00B638BE"/>
    <w:rPr>
      <w:b/>
      <w:bCs/>
    </w:rPr>
  </w:style>
  <w:style w:type="paragraph" w:styleId="Frspaiere">
    <w:name w:val="No Spacing"/>
    <w:basedOn w:val="Normal"/>
    <w:link w:val="FrspaiereCaracter"/>
    <w:semiHidden/>
    <w:qFormat/>
    <w:rsid w:val="00B638BE"/>
    <w:rPr>
      <w:sz w:val="22"/>
    </w:rPr>
  </w:style>
  <w:style w:type="character" w:customStyle="1" w:styleId="FrspaiereCaracter">
    <w:name w:val="Fără spațiere Caracter"/>
    <w:basedOn w:val="Fontdeparagrafimplicit"/>
    <w:link w:val="Frspaiere"/>
    <w:semiHidden/>
    <w:rsid w:val="00B638BE"/>
    <w:rPr>
      <w:rFonts w:eastAsiaTheme="minorEastAsia"/>
    </w:rPr>
  </w:style>
  <w:style w:type="paragraph" w:customStyle="1" w:styleId="ECHRFooterLine">
    <w:name w:val="ECHR_Footer_Line"/>
    <w:aliases w:val="Footer_Line"/>
    <w:basedOn w:val="Normal"/>
    <w:next w:val="ECHRFooter"/>
    <w:uiPriority w:val="57"/>
    <w:semiHidden/>
    <w:rsid w:val="00B638B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638BE"/>
  </w:style>
  <w:style w:type="paragraph" w:customStyle="1" w:styleId="DecList">
    <w:name w:val="Dec_List"/>
    <w:basedOn w:val="Normal"/>
    <w:uiPriority w:val="9"/>
    <w:semiHidden/>
    <w:qFormat/>
    <w:rsid w:val="00B638BE"/>
    <w:pPr>
      <w:spacing w:before="240"/>
      <w:ind w:left="284"/>
    </w:pPr>
  </w:style>
  <w:style w:type="paragraph" w:customStyle="1" w:styleId="DummyStyle">
    <w:name w:val="Dummy_Style"/>
    <w:basedOn w:val="Normal"/>
    <w:semiHidden/>
    <w:qFormat/>
    <w:rsid w:val="00B638BE"/>
    <w:rPr>
      <w:color w:val="00B050"/>
    </w:rPr>
  </w:style>
  <w:style w:type="paragraph" w:customStyle="1" w:styleId="ECHRTitleCentre3">
    <w:name w:val="ECHR_Title_Centre_3"/>
    <w:aliases w:val="Ju_H_Article"/>
    <w:basedOn w:val="Normal"/>
    <w:next w:val="ECHRParaQuote"/>
    <w:uiPriority w:val="27"/>
    <w:qFormat/>
    <w:rsid w:val="00B638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638BE"/>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B638BE"/>
    <w:pPr>
      <w:numPr>
        <w:numId w:val="19"/>
      </w:numPr>
      <w:jc w:val="left"/>
    </w:pPr>
    <w:rPr>
      <w:b/>
    </w:rPr>
  </w:style>
  <w:style w:type="paragraph" w:customStyle="1" w:styleId="JuCourt">
    <w:name w:val="Ju_Court"/>
    <w:basedOn w:val="Normal"/>
    <w:next w:val="Normal"/>
    <w:uiPriority w:val="16"/>
    <w:qFormat/>
    <w:rsid w:val="00B638B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B638BE"/>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B638BE"/>
    <w:pPr>
      <w:spacing w:after="240"/>
      <w:jc w:val="center"/>
      <w:outlineLvl w:val="0"/>
    </w:pPr>
    <w:rPr>
      <w:rFonts w:asciiTheme="majorHAnsi" w:hAnsiTheme="majorHAnsi"/>
    </w:rPr>
  </w:style>
  <w:style w:type="paragraph" w:customStyle="1" w:styleId="JuInitialled">
    <w:name w:val="Ju_Initialled"/>
    <w:basedOn w:val="Normal"/>
    <w:uiPriority w:val="31"/>
    <w:qFormat/>
    <w:rsid w:val="00B638BE"/>
    <w:pPr>
      <w:tabs>
        <w:tab w:val="center" w:pos="6407"/>
      </w:tabs>
      <w:spacing w:before="720"/>
      <w:jc w:val="right"/>
    </w:pPr>
  </w:style>
  <w:style w:type="paragraph" w:styleId="Titlu">
    <w:name w:val="Title"/>
    <w:basedOn w:val="Normal"/>
    <w:next w:val="Normal"/>
    <w:link w:val="TitluCaracter"/>
    <w:uiPriority w:val="99"/>
    <w:semiHidden/>
    <w:qFormat/>
    <w:rsid w:val="00B638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semiHidden/>
    <w:rsid w:val="00B638B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Titlu3"/>
    <w:next w:val="ECHRPara"/>
    <w:uiPriority w:val="21"/>
    <w:qFormat/>
    <w:rsid w:val="00B638B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Titlu4"/>
    <w:next w:val="ECHRPara"/>
    <w:uiPriority w:val="22"/>
    <w:qFormat/>
    <w:rsid w:val="00B638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uiPriority w:val="23"/>
    <w:qFormat/>
    <w:rsid w:val="00B638B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B638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Titlu7"/>
    <w:next w:val="ECHRPara"/>
    <w:uiPriority w:val="25"/>
    <w:qFormat/>
    <w:rsid w:val="00B638BE"/>
    <w:pPr>
      <w:keepNext/>
      <w:keepLines/>
      <w:spacing w:before="240" w:after="120"/>
      <w:ind w:left="1236"/>
    </w:pPr>
    <w:rPr>
      <w:sz w:val="20"/>
    </w:rPr>
  </w:style>
  <w:style w:type="character" w:customStyle="1" w:styleId="JuITMark">
    <w:name w:val="Ju_ITMark"/>
    <w:basedOn w:val="Fontdeparagrafimplicit"/>
    <w:uiPriority w:val="38"/>
    <w:qFormat/>
    <w:rsid w:val="00B638BE"/>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B638BE"/>
    <w:pPr>
      <w:ind w:left="794"/>
    </w:pPr>
  </w:style>
  <w:style w:type="character" w:customStyle="1" w:styleId="JUNAMES">
    <w:name w:val="JU_NAMES"/>
    <w:uiPriority w:val="17"/>
    <w:qFormat/>
    <w:rsid w:val="00B638BE"/>
    <w:rPr>
      <w:caps w:val="0"/>
      <w:smallCaps/>
    </w:rPr>
  </w:style>
  <w:style w:type="paragraph" w:styleId="Antet">
    <w:name w:val="header"/>
    <w:basedOn w:val="Normal"/>
    <w:link w:val="AntetCaracter"/>
    <w:uiPriority w:val="57"/>
    <w:semiHidden/>
    <w:rsid w:val="00B638BE"/>
    <w:pPr>
      <w:tabs>
        <w:tab w:val="center" w:pos="4536"/>
        <w:tab w:val="right" w:pos="9072"/>
      </w:tabs>
    </w:pPr>
    <w:rPr>
      <w:rFonts w:eastAsiaTheme="minorHAnsi"/>
    </w:rPr>
  </w:style>
  <w:style w:type="character" w:customStyle="1" w:styleId="AntetCaracter">
    <w:name w:val="Antet Caracter"/>
    <w:basedOn w:val="Fontdeparagrafimplicit"/>
    <w:link w:val="Antet"/>
    <w:uiPriority w:val="57"/>
    <w:semiHidden/>
    <w:rsid w:val="00B638BE"/>
    <w:rPr>
      <w:sz w:val="24"/>
    </w:rPr>
  </w:style>
  <w:style w:type="character" w:customStyle="1" w:styleId="Titlu1Caracter">
    <w:name w:val="Titlu 1 Caracter"/>
    <w:basedOn w:val="Fontdeparagrafimplicit"/>
    <w:link w:val="Titlu1"/>
    <w:uiPriority w:val="99"/>
    <w:semiHidden/>
    <w:rsid w:val="00B638B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Titlu1"/>
    <w:next w:val="ECHRPara"/>
    <w:uiPriority w:val="19"/>
    <w:qFormat/>
    <w:rsid w:val="00B638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Titlu2"/>
    <w:next w:val="ECHRPara"/>
    <w:uiPriority w:val="20"/>
    <w:qFormat/>
    <w:rsid w:val="00B638BE"/>
    <w:pPr>
      <w:keepNext/>
      <w:keepLines/>
      <w:tabs>
        <w:tab w:val="left" w:pos="584"/>
      </w:tabs>
      <w:spacing w:before="360" w:after="240"/>
      <w:ind w:left="584" w:hanging="352"/>
    </w:pPr>
    <w:rPr>
      <w:color w:val="auto"/>
      <w:sz w:val="24"/>
    </w:rPr>
  </w:style>
  <w:style w:type="character" w:customStyle="1" w:styleId="Titlu2Caracter">
    <w:name w:val="Titlu 2 Caracter"/>
    <w:basedOn w:val="Fontdeparagrafimplicit"/>
    <w:link w:val="Titlu2"/>
    <w:uiPriority w:val="99"/>
    <w:semiHidden/>
    <w:rsid w:val="00B638BE"/>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B638BE"/>
    <w:pPr>
      <w:ind w:left="284"/>
    </w:pPr>
  </w:style>
  <w:style w:type="paragraph" w:customStyle="1" w:styleId="ECHRDecisionBody">
    <w:name w:val="ECHR_Decision_Body"/>
    <w:aliases w:val="Ju_Judges"/>
    <w:basedOn w:val="Normal"/>
    <w:uiPriority w:val="11"/>
    <w:qFormat/>
    <w:rsid w:val="00B638BE"/>
    <w:pPr>
      <w:tabs>
        <w:tab w:val="left" w:pos="567"/>
        <w:tab w:val="left" w:pos="1134"/>
      </w:tabs>
      <w:jc w:val="left"/>
    </w:pPr>
  </w:style>
  <w:style w:type="character" w:customStyle="1" w:styleId="Titlu3Caracter">
    <w:name w:val="Titlu 3 Caracter"/>
    <w:basedOn w:val="Fontdeparagrafimplicit"/>
    <w:link w:val="Titlu3"/>
    <w:uiPriority w:val="99"/>
    <w:semiHidden/>
    <w:rsid w:val="00B638BE"/>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B638BE"/>
    <w:pPr>
      <w:ind w:firstLine="284"/>
    </w:pPr>
  </w:style>
  <w:style w:type="character" w:customStyle="1" w:styleId="Titlu4Caracter">
    <w:name w:val="Titlu 4 Caracter"/>
    <w:basedOn w:val="Fontdeparagrafimplicit"/>
    <w:link w:val="Titlu4"/>
    <w:uiPriority w:val="99"/>
    <w:semiHidden/>
    <w:rsid w:val="00B638BE"/>
    <w:rPr>
      <w:rFonts w:asciiTheme="majorHAnsi" w:eastAsiaTheme="majorEastAsia" w:hAnsiTheme="majorHAnsi" w:cstheme="majorBidi"/>
      <w:b/>
      <w:bCs/>
      <w:i/>
      <w:iCs/>
      <w:color w:val="777777"/>
      <w:sz w:val="24"/>
    </w:rPr>
  </w:style>
  <w:style w:type="character" w:customStyle="1" w:styleId="Titlu5Caracter">
    <w:name w:val="Titlu 5 Caracter"/>
    <w:basedOn w:val="Fontdeparagrafimplicit"/>
    <w:link w:val="Titlu5"/>
    <w:uiPriority w:val="99"/>
    <w:semiHidden/>
    <w:rsid w:val="00B638BE"/>
    <w:rPr>
      <w:rFonts w:asciiTheme="majorHAnsi" w:eastAsiaTheme="majorEastAsia" w:hAnsiTheme="majorHAnsi" w:cstheme="majorBidi"/>
      <w:b/>
      <w:bCs/>
      <w:color w:val="808080"/>
    </w:rPr>
  </w:style>
  <w:style w:type="character" w:styleId="Accentuaresubtil">
    <w:name w:val="Subtle Emphasis"/>
    <w:uiPriority w:val="99"/>
    <w:semiHidden/>
    <w:qFormat/>
    <w:rsid w:val="00B638BE"/>
    <w:rPr>
      <w:i/>
      <w:iCs/>
    </w:rPr>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B638BE"/>
    <w:pPr>
      <w:keepNext/>
      <w:keepLines/>
      <w:spacing w:before="720" w:after="240"/>
      <w:outlineLvl w:val="0"/>
    </w:pPr>
    <w:rPr>
      <w:rFonts w:asciiTheme="majorHAnsi" w:hAnsiTheme="majorHAnsi"/>
      <w:sz w:val="28"/>
    </w:rPr>
  </w:style>
  <w:style w:type="character" w:styleId="Accentuat">
    <w:name w:val="Emphasis"/>
    <w:uiPriority w:val="99"/>
    <w:semiHidden/>
    <w:qFormat/>
    <w:rsid w:val="00B638BE"/>
    <w:rPr>
      <w:b/>
      <w:bCs/>
      <w:i/>
      <w:iCs/>
      <w:spacing w:val="10"/>
      <w:bdr w:val="none" w:sz="0" w:space="0" w:color="auto"/>
      <w:shd w:val="clear" w:color="auto" w:fill="auto"/>
    </w:rPr>
  </w:style>
  <w:style w:type="paragraph" w:styleId="Subsol">
    <w:name w:val="footer"/>
    <w:basedOn w:val="Normal"/>
    <w:link w:val="SubsolCaracter"/>
    <w:uiPriority w:val="57"/>
    <w:semiHidden/>
    <w:rsid w:val="00B638BE"/>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B638BE"/>
    <w:rPr>
      <w:sz w:val="24"/>
    </w:rPr>
  </w:style>
  <w:style w:type="character" w:styleId="Referinnotdesubsol">
    <w:name w:val="footnote reference"/>
    <w:basedOn w:val="Fontdeparagrafimplicit"/>
    <w:uiPriority w:val="99"/>
    <w:semiHidden/>
    <w:rsid w:val="00B638BE"/>
    <w:rPr>
      <w:vertAlign w:val="superscript"/>
    </w:rPr>
  </w:style>
  <w:style w:type="paragraph" w:styleId="Textnotdesubsol">
    <w:name w:val="footnote text"/>
    <w:basedOn w:val="Normal"/>
    <w:link w:val="TextnotdesubsolCaracter"/>
    <w:uiPriority w:val="99"/>
    <w:semiHidden/>
    <w:rsid w:val="00B638BE"/>
    <w:rPr>
      <w:sz w:val="20"/>
      <w:szCs w:val="20"/>
    </w:rPr>
  </w:style>
  <w:style w:type="character" w:customStyle="1" w:styleId="TextnotdesubsolCaracter">
    <w:name w:val="Text notă de subsol Caracter"/>
    <w:basedOn w:val="Fontdeparagrafimplicit"/>
    <w:link w:val="Textnotdesubsol"/>
    <w:uiPriority w:val="99"/>
    <w:semiHidden/>
    <w:rsid w:val="00B638BE"/>
    <w:rPr>
      <w:rFonts w:eastAsiaTheme="minorEastAsia"/>
      <w:sz w:val="20"/>
      <w:szCs w:val="20"/>
    </w:rPr>
  </w:style>
  <w:style w:type="character" w:customStyle="1" w:styleId="Titlu6Caracter">
    <w:name w:val="Titlu 6 Caracter"/>
    <w:basedOn w:val="Fontdeparagrafimplicit"/>
    <w:link w:val="Titlu6"/>
    <w:uiPriority w:val="99"/>
    <w:semiHidden/>
    <w:rsid w:val="00B638BE"/>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B638BE"/>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B638BE"/>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B638BE"/>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semiHidden/>
    <w:rsid w:val="00B638BE"/>
    <w:rPr>
      <w:color w:val="0072BC" w:themeColor="hyperlink"/>
      <w:u w:val="single"/>
    </w:rPr>
  </w:style>
  <w:style w:type="character" w:styleId="Accentuareintens">
    <w:name w:val="Intense Emphasis"/>
    <w:uiPriority w:val="99"/>
    <w:semiHidden/>
    <w:qFormat/>
    <w:rsid w:val="00B638BE"/>
    <w:rPr>
      <w:b/>
      <w:bCs/>
    </w:rPr>
  </w:style>
  <w:style w:type="paragraph" w:styleId="Citatintens">
    <w:name w:val="Intense Quote"/>
    <w:basedOn w:val="Normal"/>
    <w:next w:val="Normal"/>
    <w:link w:val="CitatintensCaracter"/>
    <w:uiPriority w:val="99"/>
    <w:semiHidden/>
    <w:qFormat/>
    <w:rsid w:val="00B638BE"/>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semiHidden/>
    <w:rsid w:val="00B638BE"/>
    <w:rPr>
      <w:rFonts w:eastAsiaTheme="minorEastAsia"/>
      <w:b/>
      <w:bCs/>
      <w:i/>
      <w:iCs/>
      <w:lang w:bidi="en-US"/>
    </w:rPr>
  </w:style>
  <w:style w:type="character" w:styleId="Referireintens">
    <w:name w:val="Intense Reference"/>
    <w:uiPriority w:val="99"/>
    <w:semiHidden/>
    <w:qFormat/>
    <w:rsid w:val="00B638BE"/>
    <w:rPr>
      <w:smallCaps/>
      <w:spacing w:val="5"/>
      <w:u w:val="single"/>
    </w:rPr>
  </w:style>
  <w:style w:type="paragraph" w:styleId="Listparagraf">
    <w:name w:val="List Paragraph"/>
    <w:basedOn w:val="Normal"/>
    <w:uiPriority w:val="99"/>
    <w:semiHidden/>
    <w:qFormat/>
    <w:rsid w:val="00B638BE"/>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semiHidden/>
    <w:qFormat/>
    <w:rsid w:val="00B638BE"/>
    <w:pPr>
      <w:spacing w:before="200"/>
      <w:ind w:left="360" w:right="360"/>
    </w:pPr>
    <w:rPr>
      <w:i/>
      <w:iCs/>
      <w:sz w:val="22"/>
      <w:lang w:bidi="en-US"/>
    </w:rPr>
  </w:style>
  <w:style w:type="character" w:customStyle="1" w:styleId="CitatCaracter">
    <w:name w:val="Citat Caracter"/>
    <w:basedOn w:val="Fontdeparagrafimplicit"/>
    <w:link w:val="Citat"/>
    <w:uiPriority w:val="99"/>
    <w:semiHidden/>
    <w:rsid w:val="00B638BE"/>
    <w:rPr>
      <w:rFonts w:eastAsiaTheme="minorEastAsia"/>
      <w:i/>
      <w:iCs/>
      <w:lang w:bidi="en-US"/>
    </w:rPr>
  </w:style>
  <w:style w:type="character" w:styleId="Referiresubtil">
    <w:name w:val="Subtle Reference"/>
    <w:uiPriority w:val="99"/>
    <w:semiHidden/>
    <w:qFormat/>
    <w:rsid w:val="00B638BE"/>
    <w:rPr>
      <w:smallCaps/>
    </w:rPr>
  </w:style>
  <w:style w:type="table" w:styleId="Tabelgril">
    <w:name w:val="Table Grid"/>
    <w:basedOn w:val="TabelNormal"/>
    <w:uiPriority w:val="59"/>
    <w:semiHidden/>
    <w:rsid w:val="00B638B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B638BE"/>
    <w:pPr>
      <w:keepNext/>
      <w:tabs>
        <w:tab w:val="right" w:leader="dot" w:pos="7371"/>
      </w:tabs>
      <w:spacing w:before="160" w:after="60" w:line="240" w:lineRule="exact"/>
      <w:ind w:left="340" w:right="567" w:hanging="340"/>
    </w:pPr>
    <w:rPr>
      <w:b/>
      <w:sz w:val="22"/>
    </w:rPr>
  </w:style>
  <w:style w:type="paragraph" w:styleId="Cuprins2">
    <w:name w:val="toc 2"/>
    <w:basedOn w:val="Normal"/>
    <w:next w:val="Normal"/>
    <w:autoRedefine/>
    <w:uiPriority w:val="99"/>
    <w:semiHidden/>
    <w:rsid w:val="00B638BE"/>
    <w:pPr>
      <w:keepNext/>
      <w:tabs>
        <w:tab w:val="right" w:leader="dot" w:pos="7371"/>
      </w:tabs>
      <w:spacing w:after="60" w:line="240" w:lineRule="exact"/>
      <w:ind w:left="680" w:right="567" w:hanging="340"/>
    </w:pPr>
    <w:rPr>
      <w:sz w:val="22"/>
    </w:rPr>
  </w:style>
  <w:style w:type="paragraph" w:styleId="Cuprins3">
    <w:name w:val="toc 3"/>
    <w:basedOn w:val="Normal"/>
    <w:next w:val="Normal"/>
    <w:autoRedefine/>
    <w:uiPriority w:val="99"/>
    <w:semiHidden/>
    <w:rsid w:val="00B638BE"/>
    <w:pPr>
      <w:keepNext/>
      <w:tabs>
        <w:tab w:val="right" w:leader="dot" w:pos="7371"/>
      </w:tabs>
      <w:spacing w:after="60" w:line="240" w:lineRule="exact"/>
      <w:ind w:left="1020" w:right="567" w:hanging="340"/>
    </w:pPr>
    <w:rPr>
      <w:sz w:val="20"/>
    </w:rPr>
  </w:style>
  <w:style w:type="paragraph" w:styleId="Cuprins4">
    <w:name w:val="toc 4"/>
    <w:basedOn w:val="Normal"/>
    <w:next w:val="Normal"/>
    <w:autoRedefine/>
    <w:uiPriority w:val="99"/>
    <w:semiHidden/>
    <w:rsid w:val="00B638BE"/>
    <w:pPr>
      <w:tabs>
        <w:tab w:val="right" w:leader="dot" w:pos="7371"/>
      </w:tabs>
      <w:spacing w:after="60" w:line="240" w:lineRule="exact"/>
      <w:ind w:left="1361" w:right="567" w:hanging="340"/>
    </w:pPr>
    <w:rPr>
      <w:sz w:val="20"/>
    </w:rPr>
  </w:style>
  <w:style w:type="paragraph" w:styleId="Cuprins5">
    <w:name w:val="toc 5"/>
    <w:basedOn w:val="Normal"/>
    <w:next w:val="Normal"/>
    <w:autoRedefine/>
    <w:uiPriority w:val="99"/>
    <w:semiHidden/>
    <w:rsid w:val="00B638BE"/>
    <w:pPr>
      <w:tabs>
        <w:tab w:val="right" w:leader="dot" w:pos="7371"/>
      </w:tabs>
      <w:spacing w:after="60" w:line="240" w:lineRule="exact"/>
      <w:ind w:left="1701" w:right="567" w:hanging="340"/>
    </w:pPr>
    <w:rPr>
      <w:sz w:val="20"/>
    </w:rPr>
  </w:style>
  <w:style w:type="paragraph" w:styleId="Titlucuprins">
    <w:name w:val="TOC Heading"/>
    <w:basedOn w:val="Normal"/>
    <w:next w:val="Normal"/>
    <w:uiPriority w:val="99"/>
    <w:semiHidden/>
    <w:qFormat/>
    <w:rsid w:val="00B638B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B638B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B638BE"/>
    <w:pPr>
      <w:spacing w:before="120" w:after="120"/>
      <w:ind w:left="425" w:firstLine="142"/>
    </w:pPr>
    <w:rPr>
      <w:sz w:val="20"/>
    </w:r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B638B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B638BE"/>
    <w:pPr>
      <w:tabs>
        <w:tab w:val="center" w:pos="851"/>
        <w:tab w:val="center" w:pos="6407"/>
      </w:tabs>
      <w:spacing w:before="720"/>
      <w:jc w:val="left"/>
    </w:pPr>
  </w:style>
  <w:style w:type="paragraph" w:customStyle="1" w:styleId="JuParaLast">
    <w:name w:val="Ju_Para_Last"/>
    <w:basedOn w:val="Normal"/>
    <w:next w:val="ECHRPara"/>
    <w:uiPriority w:val="30"/>
    <w:qFormat/>
    <w:rsid w:val="00B638BE"/>
    <w:pPr>
      <w:keepNext/>
      <w:keepLines/>
      <w:spacing w:before="240"/>
      <w:ind w:firstLine="284"/>
    </w:pPr>
  </w:style>
  <w:style w:type="paragraph" w:customStyle="1" w:styleId="JuCase">
    <w:name w:val="Ju_Case"/>
    <w:basedOn w:val="Normal"/>
    <w:next w:val="ECHRPara"/>
    <w:uiPriority w:val="10"/>
    <w:rsid w:val="00B638BE"/>
    <w:pPr>
      <w:ind w:firstLine="284"/>
    </w:pPr>
    <w:rPr>
      <w:b/>
    </w:rPr>
  </w:style>
  <w:style w:type="paragraph" w:customStyle="1" w:styleId="JuList">
    <w:name w:val="Ju_List"/>
    <w:basedOn w:val="Normal"/>
    <w:uiPriority w:val="28"/>
    <w:qFormat/>
    <w:rsid w:val="00B638BE"/>
    <w:pPr>
      <w:ind w:left="340" w:hanging="340"/>
    </w:pPr>
  </w:style>
  <w:style w:type="paragraph" w:customStyle="1" w:styleId="JuQuotSub">
    <w:name w:val="Ju_Quot_Sub"/>
    <w:basedOn w:val="ECHRParaQuote"/>
    <w:uiPriority w:val="15"/>
    <w:qFormat/>
    <w:rsid w:val="00B638BE"/>
    <w:pPr>
      <w:ind w:left="567"/>
    </w:pPr>
  </w:style>
  <w:style w:type="character" w:styleId="Numrdepagin">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B638BE"/>
    <w:pPr>
      <w:ind w:left="346" w:firstLine="0"/>
    </w:pPr>
  </w:style>
  <w:style w:type="paragraph" w:customStyle="1" w:styleId="JuTitle">
    <w:name w:val="Ju_Title"/>
    <w:basedOn w:val="Normal"/>
    <w:next w:val="ECHRPara"/>
    <w:uiPriority w:val="3"/>
    <w:semiHidden/>
    <w:qFormat/>
    <w:rsid w:val="00B638BE"/>
    <w:pPr>
      <w:spacing w:before="720" w:after="240"/>
      <w:jc w:val="center"/>
      <w:outlineLvl w:val="0"/>
    </w:pPr>
    <w:rPr>
      <w:rFonts w:asciiTheme="majorHAnsi" w:hAnsiTheme="majorHAnsi"/>
      <w:b/>
      <w:caps/>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uiPriority w:val="99"/>
    <w:semiHidden/>
    <w:rsid w:val="00E77CB3"/>
    <w:rPr>
      <w:rFonts w:eastAsiaTheme="minorEastAsia"/>
      <w:sz w:val="20"/>
    </w:rPr>
  </w:style>
  <w:style w:type="character" w:styleId="Referinnotdefinal">
    <w:name w:val="endnote reference"/>
    <w:uiPriority w:val="99"/>
    <w:semiHidden/>
    <w:rsid w:val="00E77CB3"/>
    <w:rPr>
      <w:rFonts w:ascii="Times New Roman" w:hAnsi="Times New Roman" w:cs="Times New Roman"/>
      <w:vertAlign w:val="superscript"/>
    </w:rPr>
  </w:style>
  <w:style w:type="paragraph" w:styleId="Textnotdefinal">
    <w:name w:val="endnote text"/>
    <w:basedOn w:val="Normal"/>
    <w:link w:val="TextnotdefinalCaracter"/>
    <w:uiPriority w:val="99"/>
    <w:semiHidden/>
    <w:rsid w:val="00E77CB3"/>
    <w:rPr>
      <w:sz w:val="20"/>
    </w:rPr>
  </w:style>
  <w:style w:type="character" w:customStyle="1" w:styleId="TextnotdefinalCaracter">
    <w:name w:val="Text notă de final Caracter"/>
    <w:basedOn w:val="Fontdeparagrafimplicit"/>
    <w:link w:val="Textnotdefinal"/>
    <w:uiPriority w:val="99"/>
    <w:semiHidden/>
    <w:rsid w:val="00E77CB3"/>
    <w:rPr>
      <w:rFonts w:eastAsiaTheme="minorEastAsia"/>
      <w:sz w:val="20"/>
    </w:rPr>
  </w:style>
  <w:style w:type="character" w:styleId="HyperlinkParcurs">
    <w:name w:val="FollowedHyperlink"/>
    <w:uiPriority w:val="99"/>
    <w:semiHidden/>
    <w:rsid w:val="00E77CB3"/>
    <w:rPr>
      <w:rFonts w:ascii="Times New Roman" w:hAnsi="Times New Roman" w:cs="Times New Roman"/>
      <w:color w:val="800080"/>
      <w:u w:val="single"/>
    </w:rPr>
  </w:style>
  <w:style w:type="paragraph" w:styleId="Listcumarcatori">
    <w:name w:val="List Bullet"/>
    <w:basedOn w:val="Normal"/>
    <w:uiPriority w:val="99"/>
    <w:semiHidden/>
    <w:rsid w:val="00E77CB3"/>
    <w:pPr>
      <w:numPr>
        <w:numId w:val="1"/>
      </w:numPr>
    </w:pPr>
  </w:style>
  <w:style w:type="paragraph" w:customStyle="1" w:styleId="OpiH1">
    <w:name w:val="Opi_H_1"/>
    <w:basedOn w:val="ECHRHeading2"/>
    <w:uiPriority w:val="42"/>
    <w:qFormat/>
    <w:rsid w:val="00B638BE"/>
    <w:pPr>
      <w:ind w:left="635" w:hanging="357"/>
      <w:outlineLvl w:val="2"/>
    </w:pPr>
  </w:style>
  <w:style w:type="paragraph" w:styleId="SubiectComentariu">
    <w:name w:val="annotation subject"/>
    <w:basedOn w:val="Textcomentariu"/>
    <w:next w:val="Textcomentariu"/>
    <w:link w:val="SubiectComentariuCaracter"/>
    <w:uiPriority w:val="99"/>
    <w:semiHidden/>
    <w:rsid w:val="00E77CB3"/>
    <w:rPr>
      <w:b/>
      <w:bCs/>
    </w:rPr>
  </w:style>
  <w:style w:type="character" w:customStyle="1" w:styleId="SubiectComentariuCaracter">
    <w:name w:val="Subiect Comentariu Caracter"/>
    <w:basedOn w:val="TextcomentariuCaracter"/>
    <w:link w:val="SubiectComentariu"/>
    <w:uiPriority w:val="99"/>
    <w:semiHidden/>
    <w:rsid w:val="00E77CB3"/>
    <w:rPr>
      <w:rFonts w:eastAsiaTheme="minorEastAsia"/>
      <w:b/>
      <w:bCs/>
      <w:sz w:val="20"/>
    </w:rPr>
  </w:style>
  <w:style w:type="paragraph" w:styleId="Plandocument">
    <w:name w:val="Document Map"/>
    <w:basedOn w:val="Normal"/>
    <w:link w:val="PlandocumentCaracter"/>
    <w:uiPriority w:val="99"/>
    <w:semiHidden/>
    <w:rsid w:val="00E77CB3"/>
    <w:pPr>
      <w:shd w:val="clear" w:color="auto" w:fill="000080"/>
    </w:pPr>
    <w:rPr>
      <w:rFonts w:ascii="Tahoma" w:hAnsi="Tahoma" w:cs="Tahoma"/>
      <w:sz w:val="20"/>
    </w:rPr>
  </w:style>
  <w:style w:type="character" w:customStyle="1" w:styleId="PlandocumentCaracter">
    <w:name w:val="Plan document Caracter"/>
    <w:basedOn w:val="Fontdeparagrafimplicit"/>
    <w:link w:val="Plandocument"/>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B638BE"/>
    <w:pPr>
      <w:ind w:left="833" w:hanging="357"/>
      <w:outlineLvl w:val="3"/>
    </w:pPr>
    <w:rPr>
      <w:b/>
      <w:i w:val="0"/>
      <w:sz w:val="20"/>
    </w:rPr>
  </w:style>
  <w:style w:type="paragraph" w:styleId="Subtitlu">
    <w:name w:val="Subtitle"/>
    <w:basedOn w:val="Normal"/>
    <w:next w:val="Normal"/>
    <w:link w:val="SubtitluCaracter"/>
    <w:uiPriority w:val="99"/>
    <w:semiHidden/>
    <w:qFormat/>
    <w:rsid w:val="00B638BE"/>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semiHidden/>
    <w:rsid w:val="00B638BE"/>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rsid w:val="00E77CB3"/>
    <w:pPr>
      <w:numPr>
        <w:numId w:val="2"/>
      </w:numPr>
    </w:pPr>
  </w:style>
  <w:style w:type="numbering" w:styleId="1ai">
    <w:name w:val="Outline List 1"/>
    <w:basedOn w:val="FrListare"/>
    <w:uiPriority w:val="99"/>
    <w:semiHidden/>
    <w:rsid w:val="00E77CB3"/>
    <w:pPr>
      <w:numPr>
        <w:numId w:val="3"/>
      </w:numPr>
    </w:pPr>
  </w:style>
  <w:style w:type="numbering" w:styleId="ArticolSeciune">
    <w:name w:val="Outline List 3"/>
    <w:basedOn w:val="FrListare"/>
    <w:uiPriority w:val="99"/>
    <w:semiHidden/>
    <w:rsid w:val="00E77CB3"/>
    <w:pPr>
      <w:numPr>
        <w:numId w:val="4"/>
      </w:numPr>
    </w:pPr>
  </w:style>
  <w:style w:type="paragraph" w:styleId="Bibliografie">
    <w:name w:val="Bibliography"/>
    <w:basedOn w:val="Normal"/>
    <w:next w:val="Normal"/>
    <w:uiPriority w:val="99"/>
    <w:semiHidden/>
    <w:unhideWhenUsed/>
    <w:rsid w:val="00E77CB3"/>
  </w:style>
  <w:style w:type="paragraph" w:styleId="Textbloc">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Corptext">
    <w:name w:val="Body Text"/>
    <w:basedOn w:val="Normal"/>
    <w:link w:val="CorptextCaracter"/>
    <w:uiPriority w:val="99"/>
    <w:semiHidden/>
    <w:rsid w:val="00E77CB3"/>
    <w:pPr>
      <w:spacing w:after="120"/>
    </w:pPr>
  </w:style>
  <w:style w:type="character" w:customStyle="1" w:styleId="CorptextCaracter">
    <w:name w:val="Corp text Caracter"/>
    <w:basedOn w:val="Fontdeparagrafimplicit"/>
    <w:link w:val="Corptext"/>
    <w:uiPriority w:val="99"/>
    <w:semiHidden/>
    <w:rsid w:val="00E77CB3"/>
    <w:rPr>
      <w:rFonts w:eastAsiaTheme="minorEastAsia"/>
      <w:sz w:val="24"/>
    </w:rPr>
  </w:style>
  <w:style w:type="paragraph" w:styleId="Corptext2">
    <w:name w:val="Body Text 2"/>
    <w:basedOn w:val="Normal"/>
    <w:link w:val="Corptext2Caracter"/>
    <w:uiPriority w:val="99"/>
    <w:semiHidden/>
    <w:rsid w:val="00E77CB3"/>
    <w:pPr>
      <w:spacing w:after="120" w:line="480" w:lineRule="auto"/>
    </w:pPr>
  </w:style>
  <w:style w:type="character" w:customStyle="1" w:styleId="Corptext2Caracter">
    <w:name w:val="Corp text 2 Caracter"/>
    <w:basedOn w:val="Fontdeparagrafimplicit"/>
    <w:link w:val="Corptext2"/>
    <w:uiPriority w:val="99"/>
    <w:semiHidden/>
    <w:rsid w:val="00E77CB3"/>
    <w:rPr>
      <w:rFonts w:eastAsiaTheme="minorEastAsia"/>
      <w:sz w:val="24"/>
    </w:rPr>
  </w:style>
  <w:style w:type="paragraph" w:styleId="Corptext3">
    <w:name w:val="Body Text 3"/>
    <w:basedOn w:val="Normal"/>
    <w:link w:val="Corptext3Caracter"/>
    <w:uiPriority w:val="99"/>
    <w:semiHidden/>
    <w:rsid w:val="00E77CB3"/>
    <w:pPr>
      <w:spacing w:after="120"/>
    </w:pPr>
    <w:rPr>
      <w:sz w:val="16"/>
      <w:szCs w:val="16"/>
    </w:rPr>
  </w:style>
  <w:style w:type="character" w:customStyle="1" w:styleId="Corptext3Caracter">
    <w:name w:val="Corp text 3 Caracter"/>
    <w:basedOn w:val="Fontdeparagrafimplicit"/>
    <w:link w:val="Corptext3"/>
    <w:uiPriority w:val="99"/>
    <w:semiHidden/>
    <w:rsid w:val="00E77CB3"/>
    <w:rPr>
      <w:rFonts w:eastAsiaTheme="minorEastAsia"/>
      <w:sz w:val="16"/>
      <w:szCs w:val="16"/>
    </w:rPr>
  </w:style>
  <w:style w:type="paragraph" w:styleId="Primindentpentrucorptext">
    <w:name w:val="Body Text First Indent"/>
    <w:basedOn w:val="Corptext"/>
    <w:link w:val="PrimindentpentrucorptextCaracter"/>
    <w:uiPriority w:val="99"/>
    <w:semiHidden/>
    <w:rsid w:val="00E77CB3"/>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E77CB3"/>
    <w:rPr>
      <w:rFonts w:eastAsiaTheme="minorEastAsia"/>
      <w:sz w:val="24"/>
    </w:rPr>
  </w:style>
  <w:style w:type="paragraph" w:styleId="Indentcorptext">
    <w:name w:val="Body Text Indent"/>
    <w:basedOn w:val="Normal"/>
    <w:link w:val="IndentcorptextCaracter"/>
    <w:uiPriority w:val="99"/>
    <w:semiHidden/>
    <w:rsid w:val="00E77CB3"/>
    <w:pPr>
      <w:spacing w:after="120"/>
      <w:ind w:left="283"/>
    </w:pPr>
  </w:style>
  <w:style w:type="character" w:customStyle="1" w:styleId="IndentcorptextCaracter">
    <w:name w:val="Indent corp text Caracter"/>
    <w:basedOn w:val="Fontdeparagrafimplicit"/>
    <w:link w:val="Indentcorptext"/>
    <w:uiPriority w:val="99"/>
    <w:semiHidden/>
    <w:rsid w:val="00E77CB3"/>
    <w:rPr>
      <w:rFonts w:eastAsiaTheme="minorEastAsia"/>
      <w:sz w:val="24"/>
    </w:rPr>
  </w:style>
  <w:style w:type="paragraph" w:styleId="Primindentpentrucorptext2">
    <w:name w:val="Body Text First Indent 2"/>
    <w:basedOn w:val="Indentcorptext"/>
    <w:link w:val="Primindentpentrucorptext2Caracter"/>
    <w:uiPriority w:val="99"/>
    <w:semiHidden/>
    <w:rsid w:val="00E77CB3"/>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E77CB3"/>
    <w:rPr>
      <w:rFonts w:eastAsiaTheme="minorEastAsia"/>
      <w:sz w:val="24"/>
    </w:rPr>
  </w:style>
  <w:style w:type="paragraph" w:styleId="Indentcorptext2">
    <w:name w:val="Body Text Indent 2"/>
    <w:basedOn w:val="Normal"/>
    <w:link w:val="Indentcorptext2Caracter"/>
    <w:uiPriority w:val="99"/>
    <w:semiHidden/>
    <w:rsid w:val="00E77CB3"/>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E77CB3"/>
    <w:rPr>
      <w:rFonts w:eastAsiaTheme="minorEastAsia"/>
      <w:sz w:val="24"/>
    </w:rPr>
  </w:style>
  <w:style w:type="paragraph" w:styleId="Indentcorptext3">
    <w:name w:val="Body Text Indent 3"/>
    <w:basedOn w:val="Normal"/>
    <w:link w:val="Indentcorptext3Caracter"/>
    <w:uiPriority w:val="99"/>
    <w:semiHidden/>
    <w:rsid w:val="00E77CB3"/>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E77CB3"/>
    <w:rPr>
      <w:rFonts w:eastAsiaTheme="minorEastAsia"/>
      <w:sz w:val="16"/>
      <w:szCs w:val="16"/>
    </w:rPr>
  </w:style>
  <w:style w:type="paragraph" w:styleId="Legend">
    <w:name w:val="caption"/>
    <w:basedOn w:val="Normal"/>
    <w:next w:val="Normal"/>
    <w:uiPriority w:val="99"/>
    <w:semiHidden/>
    <w:qFormat/>
    <w:rsid w:val="00E77CB3"/>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E77CB3"/>
    <w:pPr>
      <w:ind w:left="4252"/>
    </w:pPr>
  </w:style>
  <w:style w:type="character" w:customStyle="1" w:styleId="FormuledencheiereCaracter">
    <w:name w:val="Formule de încheiere Caracter"/>
    <w:basedOn w:val="Fontdeparagrafimplicit"/>
    <w:link w:val="Formuledencheiere"/>
    <w:uiPriority w:val="99"/>
    <w:semiHidden/>
    <w:rsid w:val="00E77CB3"/>
    <w:rPr>
      <w:rFonts w:eastAsiaTheme="minorEastAsia"/>
      <w:sz w:val="24"/>
    </w:rPr>
  </w:style>
  <w:style w:type="table" w:styleId="Grilcolorat">
    <w:name w:val="Colorful Grid"/>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E77CB3"/>
  </w:style>
  <w:style w:type="character" w:customStyle="1" w:styleId="DatCaracter">
    <w:name w:val="Dată Caracter"/>
    <w:basedOn w:val="Fontdeparagrafimplicit"/>
    <w:link w:val="Dat"/>
    <w:uiPriority w:val="99"/>
    <w:semiHidden/>
    <w:rsid w:val="00E77CB3"/>
    <w:rPr>
      <w:rFonts w:eastAsiaTheme="minorEastAsia"/>
      <w:sz w:val="24"/>
    </w:rPr>
  </w:style>
  <w:style w:type="paragraph" w:styleId="Semnture-mail">
    <w:name w:val="E-mail Signature"/>
    <w:basedOn w:val="Normal"/>
    <w:link w:val="Semnture-mailCaracter"/>
    <w:uiPriority w:val="99"/>
    <w:semiHidden/>
    <w:rsid w:val="00E77CB3"/>
  </w:style>
  <w:style w:type="character" w:customStyle="1" w:styleId="Semnture-mailCaracter">
    <w:name w:val="Semnătură e-mail Caracter"/>
    <w:basedOn w:val="Fontdeparagrafimplicit"/>
    <w:link w:val="Semnture-mail"/>
    <w:uiPriority w:val="99"/>
    <w:semiHidden/>
    <w:rsid w:val="00E77CB3"/>
    <w:rPr>
      <w:rFonts w:eastAsiaTheme="minorEastAsia"/>
      <w:sz w:val="24"/>
    </w:rPr>
  </w:style>
  <w:style w:type="paragraph" w:styleId="Adresplic">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E77CB3"/>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E77CB3"/>
  </w:style>
  <w:style w:type="paragraph" w:styleId="AdresHTML">
    <w:name w:val="HTML Address"/>
    <w:basedOn w:val="Normal"/>
    <w:link w:val="AdresHTMLCaracter"/>
    <w:uiPriority w:val="99"/>
    <w:semiHidden/>
    <w:rsid w:val="00E77CB3"/>
    <w:rPr>
      <w:i/>
      <w:iCs/>
    </w:rPr>
  </w:style>
  <w:style w:type="character" w:customStyle="1" w:styleId="AdresHTMLCaracter">
    <w:name w:val="Adresă HTML Caracter"/>
    <w:basedOn w:val="Fontdeparagrafimplicit"/>
    <w:link w:val="AdresHTML"/>
    <w:uiPriority w:val="99"/>
    <w:semiHidden/>
    <w:rsid w:val="00E77CB3"/>
    <w:rPr>
      <w:rFonts w:eastAsiaTheme="minorEastAsia"/>
      <w:i/>
      <w:iCs/>
      <w:sz w:val="24"/>
    </w:rPr>
  </w:style>
  <w:style w:type="character" w:styleId="CitareHTML">
    <w:name w:val="HTML Cite"/>
    <w:basedOn w:val="Fontdeparagrafimplicit"/>
    <w:uiPriority w:val="99"/>
    <w:semiHidden/>
    <w:rsid w:val="00E77CB3"/>
    <w:rPr>
      <w:i/>
      <w:iCs/>
    </w:rPr>
  </w:style>
  <w:style w:type="character" w:styleId="CodHTML">
    <w:name w:val="HTML Code"/>
    <w:basedOn w:val="Fontdeparagrafimplicit"/>
    <w:uiPriority w:val="99"/>
    <w:semiHidden/>
    <w:rsid w:val="00E77CB3"/>
    <w:rPr>
      <w:rFonts w:ascii="Consolas" w:hAnsi="Consolas" w:cs="Consolas"/>
      <w:sz w:val="20"/>
      <w:szCs w:val="20"/>
    </w:rPr>
  </w:style>
  <w:style w:type="character" w:styleId="DefiniieHTML">
    <w:name w:val="HTML Definition"/>
    <w:basedOn w:val="Fontdeparagrafimplicit"/>
    <w:uiPriority w:val="99"/>
    <w:semiHidden/>
    <w:rsid w:val="00E77CB3"/>
    <w:rPr>
      <w:i/>
      <w:iCs/>
    </w:rPr>
  </w:style>
  <w:style w:type="character" w:styleId="TastaturHTML">
    <w:name w:val="HTML Keyboard"/>
    <w:basedOn w:val="Fontdeparagrafimplicit"/>
    <w:uiPriority w:val="99"/>
    <w:semiHidden/>
    <w:rsid w:val="00E77CB3"/>
    <w:rPr>
      <w:rFonts w:ascii="Consolas" w:hAnsi="Consolas" w:cs="Consolas"/>
      <w:sz w:val="20"/>
      <w:szCs w:val="20"/>
    </w:rPr>
  </w:style>
  <w:style w:type="paragraph" w:styleId="PreformatatHTML">
    <w:name w:val="HTML Preformatted"/>
    <w:basedOn w:val="Normal"/>
    <w:link w:val="PreformatatHTMLCaracter"/>
    <w:uiPriority w:val="99"/>
    <w:semiHidden/>
    <w:rsid w:val="00E77CB3"/>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sid w:val="00E77CB3"/>
    <w:rPr>
      <w:rFonts w:ascii="Consolas" w:eastAsiaTheme="minorEastAsia" w:hAnsi="Consolas" w:cs="Consolas"/>
      <w:sz w:val="20"/>
      <w:szCs w:val="20"/>
    </w:rPr>
  </w:style>
  <w:style w:type="character" w:styleId="MostrHTML">
    <w:name w:val="HTML Sample"/>
    <w:basedOn w:val="Fontdeparagrafimplicit"/>
    <w:uiPriority w:val="99"/>
    <w:semiHidden/>
    <w:rsid w:val="00E77CB3"/>
    <w:rPr>
      <w:rFonts w:ascii="Consolas" w:hAnsi="Consolas" w:cs="Consolas"/>
      <w:sz w:val="24"/>
      <w:szCs w:val="24"/>
    </w:rPr>
  </w:style>
  <w:style w:type="character" w:styleId="MaindescrisHTML">
    <w:name w:val="HTML Typewriter"/>
    <w:basedOn w:val="Fontdeparagrafimplicit"/>
    <w:uiPriority w:val="99"/>
    <w:semiHidden/>
    <w:rsid w:val="00E77CB3"/>
    <w:rPr>
      <w:rFonts w:ascii="Consolas" w:hAnsi="Consolas" w:cs="Consolas"/>
      <w:sz w:val="20"/>
      <w:szCs w:val="20"/>
    </w:rPr>
  </w:style>
  <w:style w:type="character" w:styleId="VariabilHTML">
    <w:name w:val="HTML Variable"/>
    <w:basedOn w:val="Fontdeparagrafimplici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Titludeindex">
    <w:name w:val="index heading"/>
    <w:basedOn w:val="Normal"/>
    <w:next w:val="Index1"/>
    <w:uiPriority w:val="99"/>
    <w:semiHidden/>
    <w:rsid w:val="00E77CB3"/>
    <w:rPr>
      <w:rFonts w:asciiTheme="majorHAnsi" w:eastAsiaTheme="majorEastAsia" w:hAnsiTheme="majorHAnsi" w:cstheme="majorBidi"/>
      <w:b/>
      <w:bCs/>
    </w:rPr>
  </w:style>
  <w:style w:type="table" w:styleId="Grildeculoaredeschis">
    <w:name w:val="Light Grid"/>
    <w:basedOn w:val="Tabel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E77CB3"/>
  </w:style>
  <w:style w:type="paragraph" w:styleId="List">
    <w:name w:val="List"/>
    <w:basedOn w:val="Normal"/>
    <w:uiPriority w:val="99"/>
    <w:semiHidden/>
    <w:rsid w:val="00E77CB3"/>
    <w:pPr>
      <w:ind w:left="283" w:hanging="283"/>
      <w:contextualSpacing/>
    </w:pPr>
  </w:style>
  <w:style w:type="paragraph" w:styleId="Lista2">
    <w:name w:val="List 2"/>
    <w:basedOn w:val="Normal"/>
    <w:uiPriority w:val="99"/>
    <w:semiHidden/>
    <w:rsid w:val="00E77CB3"/>
    <w:pPr>
      <w:ind w:left="566" w:hanging="283"/>
      <w:contextualSpacing/>
    </w:pPr>
  </w:style>
  <w:style w:type="paragraph" w:styleId="Lista3">
    <w:name w:val="List 3"/>
    <w:basedOn w:val="Normal"/>
    <w:uiPriority w:val="99"/>
    <w:semiHidden/>
    <w:rsid w:val="00E77CB3"/>
    <w:pPr>
      <w:ind w:left="849" w:hanging="283"/>
      <w:contextualSpacing/>
    </w:pPr>
  </w:style>
  <w:style w:type="paragraph" w:styleId="Lista4">
    <w:name w:val="List 4"/>
    <w:basedOn w:val="Normal"/>
    <w:uiPriority w:val="99"/>
    <w:semiHidden/>
    <w:rsid w:val="00E77CB3"/>
    <w:pPr>
      <w:ind w:left="1132" w:hanging="283"/>
      <w:contextualSpacing/>
    </w:pPr>
  </w:style>
  <w:style w:type="paragraph" w:styleId="Lista5">
    <w:name w:val="List 5"/>
    <w:basedOn w:val="Normal"/>
    <w:uiPriority w:val="99"/>
    <w:semiHidden/>
    <w:rsid w:val="00E77CB3"/>
    <w:pPr>
      <w:ind w:left="1415" w:hanging="283"/>
      <w:contextualSpacing/>
    </w:pPr>
  </w:style>
  <w:style w:type="paragraph" w:styleId="Listacumarcatori2">
    <w:name w:val="List Bullet 2"/>
    <w:basedOn w:val="Normal"/>
    <w:uiPriority w:val="99"/>
    <w:semiHidden/>
    <w:rsid w:val="00E77CB3"/>
    <w:pPr>
      <w:numPr>
        <w:numId w:val="5"/>
      </w:numPr>
      <w:contextualSpacing/>
    </w:pPr>
  </w:style>
  <w:style w:type="paragraph" w:styleId="Listacumarcatori3">
    <w:name w:val="List Bullet 3"/>
    <w:basedOn w:val="Normal"/>
    <w:uiPriority w:val="99"/>
    <w:semiHidden/>
    <w:rsid w:val="00E77CB3"/>
    <w:pPr>
      <w:numPr>
        <w:numId w:val="6"/>
      </w:numPr>
      <w:contextualSpacing/>
    </w:pPr>
  </w:style>
  <w:style w:type="paragraph" w:styleId="Listacumarcatori4">
    <w:name w:val="List Bullet 4"/>
    <w:basedOn w:val="Normal"/>
    <w:uiPriority w:val="99"/>
    <w:semiHidden/>
    <w:rsid w:val="00E77CB3"/>
    <w:pPr>
      <w:numPr>
        <w:numId w:val="7"/>
      </w:numPr>
      <w:contextualSpacing/>
    </w:pPr>
  </w:style>
  <w:style w:type="paragraph" w:styleId="Listacumarcatori5">
    <w:name w:val="List Bullet 5"/>
    <w:basedOn w:val="Normal"/>
    <w:uiPriority w:val="99"/>
    <w:semiHidden/>
    <w:rsid w:val="00E77CB3"/>
    <w:pPr>
      <w:numPr>
        <w:numId w:val="8"/>
      </w:numPr>
      <w:contextualSpacing/>
    </w:pPr>
  </w:style>
  <w:style w:type="paragraph" w:styleId="Listcontinuare">
    <w:name w:val="List Continue"/>
    <w:basedOn w:val="Normal"/>
    <w:uiPriority w:val="99"/>
    <w:semiHidden/>
    <w:rsid w:val="00E77CB3"/>
    <w:pPr>
      <w:spacing w:after="120"/>
      <w:ind w:left="283"/>
      <w:contextualSpacing/>
    </w:pPr>
  </w:style>
  <w:style w:type="paragraph" w:styleId="Listcontinuare2">
    <w:name w:val="List Continue 2"/>
    <w:basedOn w:val="Normal"/>
    <w:uiPriority w:val="99"/>
    <w:semiHidden/>
    <w:rsid w:val="00E77CB3"/>
    <w:pPr>
      <w:spacing w:after="120"/>
      <w:ind w:left="566"/>
      <w:contextualSpacing/>
    </w:pPr>
  </w:style>
  <w:style w:type="paragraph" w:styleId="Listcontinuare3">
    <w:name w:val="List Continue 3"/>
    <w:basedOn w:val="Normal"/>
    <w:uiPriority w:val="99"/>
    <w:semiHidden/>
    <w:rsid w:val="00E77CB3"/>
    <w:pPr>
      <w:spacing w:after="120"/>
      <w:ind w:left="849"/>
      <w:contextualSpacing/>
    </w:pPr>
  </w:style>
  <w:style w:type="paragraph" w:styleId="Listcontinuare4">
    <w:name w:val="List Continue 4"/>
    <w:basedOn w:val="Normal"/>
    <w:uiPriority w:val="99"/>
    <w:semiHidden/>
    <w:rsid w:val="00E77CB3"/>
    <w:pPr>
      <w:spacing w:after="120"/>
      <w:ind w:left="1132"/>
      <w:contextualSpacing/>
    </w:pPr>
  </w:style>
  <w:style w:type="paragraph" w:styleId="Listcontinuare5">
    <w:name w:val="List Continue 5"/>
    <w:basedOn w:val="Normal"/>
    <w:uiPriority w:val="99"/>
    <w:semiHidden/>
    <w:rsid w:val="00E77CB3"/>
    <w:pPr>
      <w:spacing w:after="120"/>
      <w:ind w:left="1415"/>
      <w:contextualSpacing/>
    </w:pPr>
  </w:style>
  <w:style w:type="paragraph" w:styleId="Listnumerotat">
    <w:name w:val="List Number"/>
    <w:basedOn w:val="Normal"/>
    <w:uiPriority w:val="99"/>
    <w:semiHidden/>
    <w:rsid w:val="00E77CB3"/>
    <w:pPr>
      <w:numPr>
        <w:numId w:val="9"/>
      </w:numPr>
      <w:contextualSpacing/>
    </w:pPr>
  </w:style>
  <w:style w:type="paragraph" w:styleId="Listanumerotat2">
    <w:name w:val="List Number 2"/>
    <w:basedOn w:val="Normal"/>
    <w:uiPriority w:val="99"/>
    <w:semiHidden/>
    <w:rsid w:val="00E77CB3"/>
    <w:pPr>
      <w:numPr>
        <w:numId w:val="10"/>
      </w:numPr>
      <w:contextualSpacing/>
    </w:pPr>
  </w:style>
  <w:style w:type="paragraph" w:styleId="Listanumerotat3">
    <w:name w:val="List Number 3"/>
    <w:basedOn w:val="Normal"/>
    <w:uiPriority w:val="99"/>
    <w:semiHidden/>
    <w:rsid w:val="00E77CB3"/>
    <w:pPr>
      <w:numPr>
        <w:numId w:val="11"/>
      </w:numPr>
      <w:contextualSpacing/>
    </w:pPr>
  </w:style>
  <w:style w:type="paragraph" w:styleId="Listanumerotat4">
    <w:name w:val="List Number 4"/>
    <w:basedOn w:val="Normal"/>
    <w:uiPriority w:val="99"/>
    <w:semiHidden/>
    <w:rsid w:val="00E77CB3"/>
    <w:pPr>
      <w:numPr>
        <w:numId w:val="12"/>
      </w:numPr>
      <w:contextualSpacing/>
    </w:pPr>
  </w:style>
  <w:style w:type="paragraph" w:styleId="Listanumerotat5">
    <w:name w:val="List Number 5"/>
    <w:basedOn w:val="Normal"/>
    <w:uiPriority w:val="99"/>
    <w:semiHidden/>
    <w:rsid w:val="00E77CB3"/>
    <w:pPr>
      <w:numPr>
        <w:numId w:val="13"/>
      </w:numPr>
      <w:contextualSpacing/>
    </w:pPr>
  </w:style>
  <w:style w:type="paragraph" w:styleId="Textmacrocomand">
    <w:name w:val="macro"/>
    <w:link w:val="TextmacrocomandCaracte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xtmacrocomandCaracter">
    <w:name w:val="Text macrocomandă Caracter"/>
    <w:basedOn w:val="Fontdeparagrafimplicit"/>
    <w:link w:val="Textmacrocomand"/>
    <w:uiPriority w:val="99"/>
    <w:semiHidden/>
    <w:rsid w:val="00E77CB3"/>
    <w:rPr>
      <w:rFonts w:ascii="Consolas" w:eastAsiaTheme="minorEastAsia" w:hAnsi="Consolas" w:cs="Consolas"/>
      <w:sz w:val="20"/>
      <w:szCs w:val="20"/>
    </w:rPr>
  </w:style>
  <w:style w:type="table" w:styleId="Grilmedie1">
    <w:name w:val="Medium Grid 1"/>
    <w:basedOn w:val="Tabel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Indentnormal">
    <w:name w:val="Normal Indent"/>
    <w:basedOn w:val="Normal"/>
    <w:uiPriority w:val="99"/>
    <w:semiHidden/>
    <w:rsid w:val="00E77CB3"/>
    <w:pPr>
      <w:ind w:left="720"/>
    </w:pPr>
  </w:style>
  <w:style w:type="paragraph" w:styleId="Titlunot">
    <w:name w:val="Note Heading"/>
    <w:basedOn w:val="Normal"/>
    <w:next w:val="Normal"/>
    <w:link w:val="TitlunotCaracter"/>
    <w:uiPriority w:val="99"/>
    <w:semiHidden/>
    <w:rsid w:val="00E77CB3"/>
  </w:style>
  <w:style w:type="character" w:customStyle="1" w:styleId="TitlunotCaracter">
    <w:name w:val="Titlu notă Caracter"/>
    <w:basedOn w:val="Fontdeparagrafimplicit"/>
    <w:link w:val="Titlunot"/>
    <w:uiPriority w:val="99"/>
    <w:semiHidden/>
    <w:rsid w:val="00E77CB3"/>
    <w:rPr>
      <w:rFonts w:eastAsiaTheme="minorEastAsia"/>
      <w:sz w:val="24"/>
    </w:rPr>
  </w:style>
  <w:style w:type="character" w:styleId="Textsubstituent">
    <w:name w:val="Placeholder Text"/>
    <w:basedOn w:val="Fontdeparagrafimplicit"/>
    <w:uiPriority w:val="99"/>
    <w:semiHidden/>
    <w:rsid w:val="00B638BE"/>
    <w:rPr>
      <w:color w:val="auto"/>
      <w:bdr w:val="none" w:sz="0" w:space="0" w:color="auto"/>
      <w:shd w:val="clear" w:color="auto" w:fill="DFDFDF" w:themeFill="background2" w:themeFillShade="E6"/>
    </w:rPr>
  </w:style>
  <w:style w:type="paragraph" w:styleId="Textsimplu">
    <w:name w:val="Plain Text"/>
    <w:basedOn w:val="Normal"/>
    <w:link w:val="TextsimpluCaracter"/>
    <w:uiPriority w:val="99"/>
    <w:semiHidden/>
    <w:rsid w:val="00E77CB3"/>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E77CB3"/>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E77CB3"/>
  </w:style>
  <w:style w:type="character" w:customStyle="1" w:styleId="FormuldesalutCaracter">
    <w:name w:val="Formulă de salut Caracter"/>
    <w:basedOn w:val="Fontdeparagrafimplicit"/>
    <w:link w:val="Formuldesalut"/>
    <w:uiPriority w:val="99"/>
    <w:semiHidden/>
    <w:rsid w:val="00E77CB3"/>
    <w:rPr>
      <w:rFonts w:eastAsiaTheme="minorEastAsia"/>
      <w:sz w:val="24"/>
    </w:rPr>
  </w:style>
  <w:style w:type="paragraph" w:styleId="Semntur">
    <w:name w:val="Signature"/>
    <w:basedOn w:val="Normal"/>
    <w:link w:val="SemnturCaracter"/>
    <w:uiPriority w:val="99"/>
    <w:semiHidden/>
    <w:rsid w:val="00E77CB3"/>
    <w:pPr>
      <w:ind w:left="4252"/>
    </w:pPr>
  </w:style>
  <w:style w:type="character" w:customStyle="1" w:styleId="SemnturCaracter">
    <w:name w:val="Semnătură Caracter"/>
    <w:basedOn w:val="Fontdeparagrafimplicit"/>
    <w:link w:val="Semntur"/>
    <w:uiPriority w:val="99"/>
    <w:semiHidden/>
    <w:rsid w:val="00E77CB3"/>
    <w:rPr>
      <w:rFonts w:eastAsiaTheme="minorEastAsia"/>
      <w:sz w:val="24"/>
    </w:rPr>
  </w:style>
  <w:style w:type="table" w:styleId="TabelEfecte3-D1">
    <w:name w:val="Table 3D effects 1"/>
    <w:basedOn w:val="TabelNormal"/>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E77CB3"/>
    <w:pPr>
      <w:ind w:left="240" w:hanging="240"/>
    </w:pPr>
  </w:style>
  <w:style w:type="paragraph" w:styleId="Tabeldefiguri">
    <w:name w:val="table of figures"/>
    <w:basedOn w:val="Normal"/>
    <w:next w:val="Normal"/>
    <w:uiPriority w:val="99"/>
    <w:semiHidden/>
    <w:rsid w:val="00E77CB3"/>
  </w:style>
  <w:style w:type="table" w:styleId="TabelProfesional">
    <w:name w:val="Table Professional"/>
    <w:basedOn w:val="TabelNormal"/>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B638BE"/>
    <w:pPr>
      <w:tabs>
        <w:tab w:val="right" w:leader="dot" w:pos="7371"/>
      </w:tabs>
      <w:spacing w:after="60" w:line="240" w:lineRule="exact"/>
      <w:ind w:left="2041" w:right="567" w:hanging="340"/>
    </w:pPr>
    <w:rPr>
      <w:sz w:val="20"/>
    </w:rPr>
  </w:style>
  <w:style w:type="paragraph" w:styleId="Cuprins7">
    <w:name w:val="toc 7"/>
    <w:basedOn w:val="Normal"/>
    <w:next w:val="Normal"/>
    <w:autoRedefine/>
    <w:uiPriority w:val="99"/>
    <w:semiHidden/>
    <w:rsid w:val="00B638BE"/>
    <w:pPr>
      <w:tabs>
        <w:tab w:val="right" w:leader="dot" w:pos="7371"/>
      </w:tabs>
      <w:spacing w:after="60" w:line="240" w:lineRule="exact"/>
      <w:ind w:left="2381" w:right="567" w:hanging="340"/>
    </w:pPr>
    <w:rPr>
      <w:sz w:val="20"/>
    </w:rPr>
  </w:style>
  <w:style w:type="paragraph" w:styleId="Cuprins8">
    <w:name w:val="toc 8"/>
    <w:basedOn w:val="Normal"/>
    <w:next w:val="Normal"/>
    <w:autoRedefine/>
    <w:uiPriority w:val="99"/>
    <w:semiHidden/>
    <w:rsid w:val="00E77CB3"/>
    <w:pPr>
      <w:spacing w:after="100"/>
      <w:ind w:left="1680"/>
    </w:pPr>
  </w:style>
  <w:style w:type="paragraph" w:styleId="Cuprins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B638BE"/>
    <w:pPr>
      <w:tabs>
        <w:tab w:val="clear" w:pos="357"/>
      </w:tabs>
      <w:outlineLvl w:val="1"/>
    </w:pPr>
    <w:rPr>
      <w:b/>
    </w:rPr>
  </w:style>
  <w:style w:type="paragraph" w:customStyle="1" w:styleId="OpiHi">
    <w:name w:val="Opi_H_i"/>
    <w:basedOn w:val="ECHRHeading4"/>
    <w:uiPriority w:val="44"/>
    <w:qFormat/>
    <w:rsid w:val="00B638BE"/>
    <w:pPr>
      <w:ind w:left="1037" w:hanging="357"/>
      <w:outlineLvl w:val="4"/>
    </w:pPr>
    <w:rPr>
      <w:b w:val="0"/>
      <w:i/>
    </w:rPr>
  </w:style>
  <w:style w:type="paragraph" w:customStyle="1" w:styleId="OpiPara">
    <w:name w:val="Opi_Para"/>
    <w:basedOn w:val="ECHRPara"/>
    <w:uiPriority w:val="46"/>
    <w:qFormat/>
    <w:rsid w:val="00B638BE"/>
  </w:style>
  <w:style w:type="paragraph" w:customStyle="1" w:styleId="OpiParaSub">
    <w:name w:val="Opi_Para_Sub"/>
    <w:basedOn w:val="JuParaSub"/>
    <w:uiPriority w:val="47"/>
    <w:qFormat/>
    <w:rsid w:val="00B638BE"/>
  </w:style>
  <w:style w:type="paragraph" w:customStyle="1" w:styleId="OpiQuot">
    <w:name w:val="Opi_Quot"/>
    <w:basedOn w:val="ECHRParaQuote"/>
    <w:uiPriority w:val="48"/>
    <w:qFormat/>
    <w:rsid w:val="00B638BE"/>
  </w:style>
  <w:style w:type="paragraph" w:customStyle="1" w:styleId="OpiQuotSub">
    <w:name w:val="Opi_Quot_Sub"/>
    <w:basedOn w:val="JuQuotSub"/>
    <w:uiPriority w:val="49"/>
    <w:qFormat/>
    <w:rsid w:val="00B638BE"/>
  </w:style>
  <w:style w:type="paragraph" w:customStyle="1" w:styleId="OpiTranslation">
    <w:name w:val="Opi_Translation"/>
    <w:basedOn w:val="Normal"/>
    <w:next w:val="OpiPara"/>
    <w:uiPriority w:val="40"/>
    <w:qFormat/>
    <w:rsid w:val="00B638BE"/>
    <w:pPr>
      <w:jc w:val="center"/>
      <w:outlineLvl w:val="0"/>
    </w:pPr>
    <w:rPr>
      <w:i/>
    </w:rPr>
  </w:style>
  <w:style w:type="character" w:customStyle="1" w:styleId="ECHRParaChar">
    <w:name w:val="ECHR_Para Char"/>
    <w:aliases w:val="Ju_Para Char"/>
    <w:link w:val="ECHRPara"/>
    <w:uiPriority w:val="12"/>
    <w:rsid w:val="00075CEA"/>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AE9CC-9E36-41D4-87AA-14C68E87B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AAE85E6-EC47-4208-857D-18BA3CB8C461}">
  <ds:schemaRefs>
    <ds:schemaRef ds:uri="http://schemas.microsoft.com/sharepoint/v3/contenttype/forms"/>
  </ds:schemaRefs>
</ds:datastoreItem>
</file>

<file path=customXml/itemProps3.xml><?xml version="1.0" encoding="utf-8"?>
<ds:datastoreItem xmlns:ds="http://schemas.openxmlformats.org/officeDocument/2006/customXml" ds:itemID="{1121F24E-773B-4D2B-9C92-607F447F16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4FD566-DA83-4B42-A923-161B54D4F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3281</Words>
  <Characters>19034</Characters>
  <Application>Microsoft Office Word</Application>
  <DocSecurity>0</DocSecurity>
  <Lines>158</Lines>
  <Paragraphs>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2017-11-09T10:52:00Z</dcterms:created>
  <dcterms:modified xsi:type="dcterms:W3CDTF">2017-11-09T10:52:00Z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