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B6F01" w14:textId="0822D825" w:rsidR="002D41A5" w:rsidRDefault="002D41A5" w:rsidP="00C7421A">
      <w:pPr>
        <w:pStyle w:val="DecHTitle"/>
        <w:keepNext w:val="0"/>
        <w:keepLines w:val="0"/>
      </w:pPr>
      <w:r>
        <w:t>CURTEA EUROPEANĂ A DREPTURILOR OMULUI</w:t>
      </w:r>
    </w:p>
    <w:p w14:paraId="61326C16" w14:textId="5ECA166E" w:rsidR="0098410D" w:rsidRPr="00C7421A" w:rsidRDefault="009A5F22" w:rsidP="00C7421A">
      <w:pPr>
        <w:pStyle w:val="DecHTitle"/>
        <w:keepNext w:val="0"/>
        <w:keepLines w:val="0"/>
      </w:pPr>
      <w:r>
        <w:t>SECȚIA A PATRA</w:t>
      </w:r>
    </w:p>
    <w:p w14:paraId="66698439" w14:textId="70EBC9AE" w:rsidR="008E6217" w:rsidRPr="00C7421A" w:rsidRDefault="008E6217" w:rsidP="00000FB0">
      <w:pPr>
        <w:pStyle w:val="JuTitle"/>
        <w:keepNext w:val="0"/>
        <w:keepLines w:val="0"/>
        <w:spacing w:before="600"/>
      </w:pPr>
      <w:bookmarkStart w:id="0" w:name="To"/>
      <w:r>
        <w:rPr>
          <w:color w:val="000000" w:themeColor="text1"/>
        </w:rPr>
        <w:t xml:space="preserve">CAUZA </w:t>
      </w:r>
      <w:bookmarkEnd w:id="0"/>
      <w:r>
        <w:t>STANCU ȘI ALȚII ÎMPOTRIVA ROMÂNIEI</w:t>
      </w:r>
    </w:p>
    <w:p w14:paraId="79025EB0" w14:textId="25DDA0FE" w:rsidR="00D74888" w:rsidRPr="00C7421A" w:rsidRDefault="008E6217" w:rsidP="00C7421A">
      <w:pPr>
        <w:pStyle w:val="ECHRCoverTitle4"/>
        <w:keepNext w:val="0"/>
        <w:keepLines w:val="0"/>
      </w:pPr>
      <w:r>
        <w:t>(Cererea nr. 22953/16)</w:t>
      </w:r>
    </w:p>
    <w:p w14:paraId="73E6C91F" w14:textId="77777777" w:rsidR="0098410D" w:rsidRPr="00C7421A" w:rsidRDefault="0098410D" w:rsidP="00F266FB">
      <w:pPr>
        <w:pStyle w:val="DecHCase"/>
        <w:keepNext w:val="0"/>
        <w:keepLines w:val="0"/>
        <w:spacing w:after="120"/>
      </w:pPr>
    </w:p>
    <w:p w14:paraId="77BE96D4" w14:textId="114B0282" w:rsidR="0098410D" w:rsidRPr="00C7421A" w:rsidRDefault="0098410D" w:rsidP="00F266FB">
      <w:pPr>
        <w:pStyle w:val="DecHCase"/>
        <w:keepNext w:val="0"/>
        <w:keepLines w:val="0"/>
        <w:spacing w:after="360"/>
      </w:pPr>
      <w:r>
        <w:t>HOTĂRÂRE</w:t>
      </w:r>
    </w:p>
    <w:p w14:paraId="0DAA3070" w14:textId="1AA2CCEC" w:rsidR="00EB029B" w:rsidRPr="00C7421A" w:rsidRDefault="00084CD8" w:rsidP="00C7421A">
      <w:pPr>
        <w:pBdr>
          <w:top w:val="single" w:sz="4" w:space="1" w:color="auto"/>
          <w:left w:val="single" w:sz="4" w:space="4" w:color="auto"/>
          <w:bottom w:val="single" w:sz="4" w:space="1" w:color="auto"/>
          <w:right w:val="single" w:sz="4" w:space="4" w:color="auto"/>
        </w:pBdr>
        <w:jc w:val="both"/>
        <w:rPr>
          <w:sz w:val="22"/>
          <w:szCs w:val="22"/>
        </w:rPr>
      </w:pPr>
      <w:r>
        <w:rPr>
          <w:sz w:val="22"/>
        </w:rPr>
        <w:t xml:space="preserve">Art. 10 • Libertatea de exprimare • Sancțiune civilă aplicată editorilor și societății editoare a unui cotidian online pentru publicarea unui articol defăimător despre vicepreședintele Consiliului Superior al Magistraturii la momentul faptelor și pentru susținerea </w:t>
      </w:r>
      <w:r>
        <w:rPr>
          <w:color w:val="000000"/>
          <w:sz w:val="22"/>
        </w:rPr>
        <w:t xml:space="preserve">comiterii unei </w:t>
      </w:r>
      <w:r>
        <w:rPr>
          <w:sz w:val="22"/>
        </w:rPr>
        <w:t>erori judiciare în funcția sa anterioară de prim-procuror • Lipsa unei distincții fundamentale în sistemul judiciar național între statutul judecătorilor și cel al procurorilor • Protecția imparțialității, independenței și autorității deciziilor procurorilor drept element-cheie pentru menținerea încrederii în buna funcționare a sistemului de justiție național • Măsură care urmărește scopul legitim de a menține autoritatea puterii judecătorești • Afirmații în litigiu care au o bază factuală suficientă și care se încadrează în limitele mai largi ale unei critici admisibile având în vedere funcția publică deținută</w:t>
      </w:r>
      <w:r>
        <w:rPr>
          <w:color w:val="000000"/>
          <w:sz w:val="22"/>
        </w:rPr>
        <w:t xml:space="preserve"> •</w:t>
      </w:r>
      <w:r>
        <w:rPr>
          <w:sz w:val="22"/>
        </w:rPr>
        <w:t xml:space="preserve"> </w:t>
      </w:r>
      <w:r>
        <w:rPr>
          <w:color w:val="000000"/>
          <w:sz w:val="22"/>
        </w:rPr>
        <w:t>Motive relevante prezentate, dar insuficiente</w:t>
      </w:r>
      <w:r>
        <w:rPr>
          <w:sz w:val="22"/>
        </w:rPr>
        <w:t xml:space="preserve"> • </w:t>
      </w:r>
      <w:r>
        <w:rPr>
          <w:color w:val="000000"/>
          <w:sz w:val="22"/>
        </w:rPr>
        <w:t>Sancțiuni susceptibile să aibă un efect descurajator asupra exercitării libertății de exprimare</w:t>
      </w:r>
    </w:p>
    <w:p w14:paraId="06A54611" w14:textId="77777777" w:rsidR="00C7421A" w:rsidRPr="00C7421A" w:rsidRDefault="00C7421A" w:rsidP="00F266FB">
      <w:pPr>
        <w:pStyle w:val="DecHCase"/>
        <w:keepNext w:val="0"/>
        <w:keepLines w:val="0"/>
        <w:spacing w:after="120"/>
      </w:pPr>
    </w:p>
    <w:p w14:paraId="65AD4ADC" w14:textId="574ED745" w:rsidR="0098410D" w:rsidRPr="00C7421A" w:rsidRDefault="0098410D" w:rsidP="00C7421A">
      <w:pPr>
        <w:pStyle w:val="DecHCase"/>
        <w:keepNext w:val="0"/>
        <w:keepLines w:val="0"/>
      </w:pPr>
      <w:r>
        <w:t>STRASBOURG</w:t>
      </w:r>
    </w:p>
    <w:p w14:paraId="441DBFE6" w14:textId="387C42E2" w:rsidR="0098410D" w:rsidRPr="00C7421A" w:rsidRDefault="009A5F22" w:rsidP="00F266FB">
      <w:pPr>
        <w:pStyle w:val="DecHCase"/>
        <w:keepNext w:val="0"/>
        <w:keepLines w:val="0"/>
        <w:spacing w:after="480"/>
      </w:pPr>
      <w:r>
        <w:rPr>
          <w:rFonts w:ascii="Times New Roman" w:hAnsi="Times New Roman"/>
        </w:rPr>
        <w:t>18 octombrie 2022</w:t>
      </w:r>
    </w:p>
    <w:p w14:paraId="776229F5" w14:textId="77777777" w:rsidR="00F266FB" w:rsidRPr="00F266FB" w:rsidRDefault="00F266FB" w:rsidP="00F266FB">
      <w:pPr>
        <w:pStyle w:val="jucase0"/>
        <w:ind w:firstLine="0"/>
        <w:jc w:val="center"/>
        <w:rPr>
          <w:color w:val="FF0000"/>
          <w:sz w:val="26"/>
          <w:szCs w:val="26"/>
          <w:u w:val="single"/>
        </w:rPr>
      </w:pPr>
      <w:bookmarkStart w:id="1" w:name="_Hlk59706592"/>
      <w:bookmarkStart w:id="2" w:name="_Hlk59704667"/>
      <w:r>
        <w:rPr>
          <w:color w:val="FF0000"/>
          <w:sz w:val="26"/>
          <w:u w:val="single"/>
        </w:rPr>
        <w:t>DEFINITIVĂ</w:t>
      </w:r>
    </w:p>
    <w:p w14:paraId="0BF08415" w14:textId="77777777" w:rsidR="00F266FB" w:rsidRPr="00F266FB" w:rsidRDefault="00F266FB" w:rsidP="00F266FB">
      <w:pPr>
        <w:pStyle w:val="jucase0"/>
        <w:ind w:firstLine="0"/>
        <w:jc w:val="center"/>
        <w:rPr>
          <w:b w:val="0"/>
          <w:bCs w:val="0"/>
          <w:color w:val="FF0000"/>
          <w:sz w:val="22"/>
          <w:szCs w:val="22"/>
          <w:u w:val="single"/>
        </w:rPr>
      </w:pPr>
    </w:p>
    <w:p w14:paraId="2507D8A5" w14:textId="77777777" w:rsidR="00F266FB" w:rsidRPr="00F266FB" w:rsidRDefault="00F266FB" w:rsidP="00F266FB">
      <w:pPr>
        <w:pStyle w:val="jucase0"/>
        <w:ind w:firstLine="0"/>
        <w:jc w:val="center"/>
        <w:rPr>
          <w:b w:val="0"/>
          <w:color w:val="FF0000"/>
          <w:sz w:val="26"/>
          <w:szCs w:val="26"/>
        </w:rPr>
      </w:pPr>
      <w:r>
        <w:rPr>
          <w:b w:val="0"/>
          <w:color w:val="FF0000"/>
          <w:sz w:val="26"/>
        </w:rPr>
        <w:t>18 ianuarie 2023</w:t>
      </w:r>
    </w:p>
    <w:p w14:paraId="74E9AA44" w14:textId="5FD7237B" w:rsidR="002422B6" w:rsidRPr="00C7421A" w:rsidRDefault="00F266FB" w:rsidP="00F266FB">
      <w:pPr>
        <w:jc w:val="center"/>
        <w:rPr>
          <w:i/>
          <w:sz w:val="22"/>
        </w:rPr>
      </w:pPr>
      <w:r>
        <w:rPr>
          <w:i/>
          <w:sz w:val="22"/>
        </w:rPr>
        <w:lastRenderedPageBreak/>
        <w:t xml:space="preserve">Hotărârea a rămas definitivă în condițiile prevăzute la art. 44 § 2 din Convenție. </w:t>
      </w:r>
      <w:r>
        <w:rPr>
          <w:i/>
          <w:sz w:val="22"/>
        </w:rPr>
        <w:br/>
        <w:t>Poate suferi modificări de formă.</w:t>
      </w:r>
      <w:bookmarkEnd w:id="1"/>
      <w:bookmarkEnd w:id="2"/>
    </w:p>
    <w:p w14:paraId="4335D742" w14:textId="77777777" w:rsidR="0098410D" w:rsidRPr="00C7421A" w:rsidRDefault="0098410D" w:rsidP="00C7421A">
      <w:pPr>
        <w:sectPr w:rsidR="0098410D" w:rsidRPr="00C7421A" w:rsidSect="00D66471">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038FCFD4" w14:textId="1FF2B3FF" w:rsidR="0098410D" w:rsidRPr="00C7421A" w:rsidRDefault="0098410D" w:rsidP="00C7421A">
      <w:pPr>
        <w:pStyle w:val="JuCase"/>
      </w:pPr>
      <w:r>
        <w:lastRenderedPageBreak/>
        <w:t>În cauza Stancu și alții împotriva României,</w:t>
      </w:r>
    </w:p>
    <w:p w14:paraId="3F24AB1E" w14:textId="326C4BCC" w:rsidR="009F4C8F" w:rsidRPr="00C7421A" w:rsidRDefault="009F4C8F" w:rsidP="00C7421A">
      <w:pPr>
        <w:pStyle w:val="JuPara"/>
      </w:pPr>
      <w:r>
        <w:t>Curtea Europeană a Drepturilor Omului (Secția a patra), reunită într-o cameră compusă din:</w:t>
      </w:r>
    </w:p>
    <w:p w14:paraId="0CAD8B65" w14:textId="77777777" w:rsidR="000D1F9A" w:rsidRPr="00C7421A" w:rsidRDefault="000D1F9A" w:rsidP="00C7421A">
      <w:pPr>
        <w:pStyle w:val="JuJudges"/>
        <w:ind w:left="284"/>
        <w:rPr>
          <w:i/>
        </w:rPr>
      </w:pPr>
      <w:proofErr w:type="spellStart"/>
      <w:r>
        <w:t>Yonko</w:t>
      </w:r>
      <w:proofErr w:type="spellEnd"/>
      <w:r>
        <w:t xml:space="preserve"> </w:t>
      </w:r>
      <w:proofErr w:type="spellStart"/>
      <w:r>
        <w:t>Grozev</w:t>
      </w:r>
      <w:proofErr w:type="spellEnd"/>
      <w:r>
        <w:t xml:space="preserve">, </w:t>
      </w:r>
      <w:r>
        <w:rPr>
          <w:i/>
        </w:rPr>
        <w:t>președinte,</w:t>
      </w:r>
    </w:p>
    <w:p w14:paraId="10125AE6" w14:textId="0E6F8894" w:rsidR="000D1F9A" w:rsidRPr="00C7421A" w:rsidRDefault="000D1F9A" w:rsidP="00C7421A">
      <w:pPr>
        <w:pStyle w:val="JuJudges"/>
        <w:ind w:left="284"/>
        <w:rPr>
          <w:i/>
        </w:rPr>
      </w:pPr>
      <w:r>
        <w:t xml:space="preserve">Tim </w:t>
      </w:r>
      <w:proofErr w:type="spellStart"/>
      <w:r>
        <w:t>Eicke</w:t>
      </w:r>
      <w:proofErr w:type="spellEnd"/>
      <w:r>
        <w:t>,</w:t>
      </w:r>
    </w:p>
    <w:p w14:paraId="49BCF3B0" w14:textId="6203CA54" w:rsidR="000D1F9A" w:rsidRPr="00C7421A" w:rsidRDefault="000D1F9A" w:rsidP="00C7421A">
      <w:pPr>
        <w:pStyle w:val="JuJudges"/>
        <w:ind w:left="284"/>
        <w:rPr>
          <w:i/>
        </w:rPr>
      </w:pPr>
      <w:proofErr w:type="spellStart"/>
      <w:r>
        <w:t>Krzysztof</w:t>
      </w:r>
      <w:proofErr w:type="spellEnd"/>
      <w:r>
        <w:t xml:space="preserve"> </w:t>
      </w:r>
      <w:proofErr w:type="spellStart"/>
      <w:r>
        <w:t>Wojtyczek</w:t>
      </w:r>
      <w:proofErr w:type="spellEnd"/>
      <w:r>
        <w:rPr>
          <w:i/>
        </w:rPr>
        <w:t>,</w:t>
      </w:r>
    </w:p>
    <w:p w14:paraId="1C58381E" w14:textId="77777777" w:rsidR="000D1F9A" w:rsidRPr="00C7421A" w:rsidRDefault="000D1F9A" w:rsidP="00C7421A">
      <w:pPr>
        <w:pStyle w:val="JuJudges"/>
        <w:ind w:left="284"/>
        <w:rPr>
          <w:i/>
        </w:rPr>
      </w:pPr>
      <w:proofErr w:type="spellStart"/>
      <w:r>
        <w:t>Faris</w:t>
      </w:r>
      <w:proofErr w:type="spellEnd"/>
      <w:r>
        <w:t xml:space="preserve"> </w:t>
      </w:r>
      <w:proofErr w:type="spellStart"/>
      <w:r>
        <w:t>Vehabović</w:t>
      </w:r>
      <w:proofErr w:type="spellEnd"/>
      <w:r>
        <w:rPr>
          <w:i/>
        </w:rPr>
        <w:t>,</w:t>
      </w:r>
    </w:p>
    <w:p w14:paraId="7D081779" w14:textId="77777777" w:rsidR="000D1F9A" w:rsidRPr="00C7421A" w:rsidRDefault="000D1F9A" w:rsidP="00C7421A">
      <w:pPr>
        <w:pStyle w:val="JuJudges"/>
        <w:ind w:left="284"/>
        <w:rPr>
          <w:i/>
        </w:rPr>
      </w:pPr>
      <w:proofErr w:type="spellStart"/>
      <w:r>
        <w:t>Armen</w:t>
      </w:r>
      <w:proofErr w:type="spellEnd"/>
      <w:r>
        <w:t xml:space="preserve"> </w:t>
      </w:r>
      <w:proofErr w:type="spellStart"/>
      <w:r>
        <w:t>Harutyunyan</w:t>
      </w:r>
      <w:proofErr w:type="spellEnd"/>
      <w:r>
        <w:rPr>
          <w:i/>
        </w:rPr>
        <w:t>,</w:t>
      </w:r>
    </w:p>
    <w:p w14:paraId="469635ED" w14:textId="77777777" w:rsidR="000D1F9A" w:rsidRPr="00C7421A" w:rsidRDefault="000D1F9A" w:rsidP="00C7421A">
      <w:pPr>
        <w:pStyle w:val="JuJudges"/>
        <w:ind w:left="284"/>
        <w:rPr>
          <w:i/>
        </w:rPr>
      </w:pPr>
      <w:r>
        <w:t xml:space="preserve">Pere Pastor </w:t>
      </w:r>
      <w:proofErr w:type="spellStart"/>
      <w:r>
        <w:t>Vilanova</w:t>
      </w:r>
      <w:proofErr w:type="spellEnd"/>
      <w:r>
        <w:rPr>
          <w:i/>
        </w:rPr>
        <w:t>,</w:t>
      </w:r>
    </w:p>
    <w:p w14:paraId="7CC57317" w14:textId="6B836511" w:rsidR="009F4C8F" w:rsidRPr="00C7421A" w:rsidRDefault="000D1F9A" w:rsidP="00C7421A">
      <w:pPr>
        <w:pStyle w:val="JuJudges"/>
        <w:ind w:left="284"/>
        <w:rPr>
          <w:i/>
        </w:rPr>
      </w:pPr>
      <w:proofErr w:type="spellStart"/>
      <w:r>
        <w:t>Jolien</w:t>
      </w:r>
      <w:proofErr w:type="spellEnd"/>
      <w:r>
        <w:t xml:space="preserve"> </w:t>
      </w:r>
      <w:proofErr w:type="spellStart"/>
      <w:r>
        <w:t>Schukking</w:t>
      </w:r>
      <w:proofErr w:type="spellEnd"/>
      <w:r>
        <w:rPr>
          <w:i/>
        </w:rPr>
        <w:t>, judecători,</w:t>
      </w:r>
      <w:r>
        <w:br/>
        <w:t xml:space="preserve">și Ilse </w:t>
      </w:r>
      <w:proofErr w:type="spellStart"/>
      <w:r>
        <w:t>Freiwirth</w:t>
      </w:r>
      <w:proofErr w:type="spellEnd"/>
      <w:r>
        <w:t xml:space="preserve">, </w:t>
      </w:r>
      <w:r>
        <w:rPr>
          <w:i/>
        </w:rPr>
        <w:t>grefier adjunct de secție,</w:t>
      </w:r>
    </w:p>
    <w:p w14:paraId="3DDD275A" w14:textId="77777777" w:rsidR="009A5F22" w:rsidRPr="00C7421A" w:rsidRDefault="009A5F22" w:rsidP="00C7421A">
      <w:pPr>
        <w:pStyle w:val="JuPara"/>
      </w:pPr>
      <w:r>
        <w:t>Având în vedere:</w:t>
      </w:r>
    </w:p>
    <w:p w14:paraId="683B740C" w14:textId="77777777" w:rsidR="009A5F22" w:rsidRPr="00C7421A" w:rsidRDefault="009A5F22" w:rsidP="00C7421A">
      <w:pPr>
        <w:pStyle w:val="JuPara"/>
      </w:pPr>
      <w:r>
        <w:t xml:space="preserve">cererea (nr. 22953/16) îndreptată împotriva României, prin care doi resortisanți români, doamna Adina-Isabella Stancu și domnul Ovidiu-Răzvan </w:t>
      </w:r>
      <w:proofErr w:type="spellStart"/>
      <w:r>
        <w:t>Savaliuc</w:t>
      </w:r>
      <w:proofErr w:type="spellEnd"/>
      <w:r>
        <w:t xml:space="preserve"> și o societate română, </w:t>
      </w:r>
      <w:proofErr w:type="spellStart"/>
      <w:r>
        <w:t>Jurindex</w:t>
      </w:r>
      <w:proofErr w:type="spellEnd"/>
      <w:r>
        <w:t xml:space="preserve"> Media S.R.L. („reclamanții”), au sesizat Curtea în temeiul art. 34 din Convenția pentru apărarea drepturilor omului și a libertăților fundamentale („Convenția”), la 21 aprilie 2016;</w:t>
      </w:r>
    </w:p>
    <w:p w14:paraId="4BDFCDB8" w14:textId="77777777" w:rsidR="009A5F22" w:rsidRPr="00C7421A" w:rsidRDefault="009A5F22" w:rsidP="00C7421A">
      <w:pPr>
        <w:pStyle w:val="JuPara"/>
      </w:pPr>
      <w:r>
        <w:t>decizia de a comunica cererea Guvernului României („Guvernul”);</w:t>
      </w:r>
    </w:p>
    <w:p w14:paraId="63E3F21E" w14:textId="52627088" w:rsidR="009A5F22" w:rsidRPr="00C7421A" w:rsidRDefault="009A5F22" w:rsidP="00C7421A">
      <w:pPr>
        <w:pStyle w:val="JuPara"/>
      </w:pPr>
      <w:r>
        <w:t>observațiile părților;</w:t>
      </w:r>
    </w:p>
    <w:p w14:paraId="3ACC66C7" w14:textId="77777777" w:rsidR="009A5F22" w:rsidRPr="00C7421A" w:rsidRDefault="009A5F22" w:rsidP="00C7421A">
      <w:pPr>
        <w:pStyle w:val="JuPara"/>
      </w:pPr>
      <w:r>
        <w:t xml:space="preserve">având în vedere decizia luată de președintele Camerei de a-l desemna pe domnul </w:t>
      </w:r>
      <w:proofErr w:type="spellStart"/>
      <w:r>
        <w:t>Krzysztof</w:t>
      </w:r>
      <w:proofErr w:type="spellEnd"/>
      <w:r>
        <w:t xml:space="preserve"> </w:t>
      </w:r>
      <w:proofErr w:type="spellStart"/>
      <w:r>
        <w:t>Wojtyczek</w:t>
      </w:r>
      <w:proofErr w:type="spellEnd"/>
      <w:r>
        <w:t xml:space="preserve"> în calitate de judecător </w:t>
      </w:r>
      <w:r>
        <w:rPr>
          <w:i/>
          <w:iCs/>
        </w:rPr>
        <w:t xml:space="preserve">ad </w:t>
      </w:r>
      <w:proofErr w:type="spellStart"/>
      <w:r>
        <w:rPr>
          <w:i/>
          <w:iCs/>
        </w:rPr>
        <w:t>hoc</w:t>
      </w:r>
      <w:proofErr w:type="spellEnd"/>
      <w:r>
        <w:t xml:space="preserve"> (art. 29 § 1 din Regulamentul Curții), întrucât doamna Iulia Motoc, judecător ales să reprezinte România, s-a abținut (art. 28 § 2 și § 3 din Regulamentul Curții),</w:t>
      </w:r>
    </w:p>
    <w:p w14:paraId="4E8FC020" w14:textId="06D9636A" w:rsidR="009F4C8F" w:rsidRPr="00C7421A" w:rsidRDefault="009F4C8F" w:rsidP="00C7421A">
      <w:pPr>
        <w:pStyle w:val="JuPara"/>
      </w:pPr>
      <w:r>
        <w:t>după ce a deliberat în camera de consiliu, la 17 decembrie 2021 și la 30 august 2022,</w:t>
      </w:r>
    </w:p>
    <w:p w14:paraId="7BCA71AD" w14:textId="176DF5E5" w:rsidR="009F4C8F" w:rsidRPr="00C7421A" w:rsidRDefault="009F4C8F" w:rsidP="00C7421A">
      <w:pPr>
        <w:pStyle w:val="JuPara"/>
      </w:pPr>
      <w:r>
        <w:t>pronunță prezenta hotărâre, adoptată la cea din urmă dată:</w:t>
      </w:r>
    </w:p>
    <w:p w14:paraId="2077E2D3" w14:textId="77777777" w:rsidR="009A5F22" w:rsidRPr="00C7421A" w:rsidRDefault="009A5F22" w:rsidP="00C7421A">
      <w:pPr>
        <w:pStyle w:val="JuHHead"/>
        <w:numPr>
          <w:ilvl w:val="0"/>
          <w:numId w:val="0"/>
        </w:numPr>
      </w:pPr>
      <w:r>
        <w:t>INTRODUCERE</w:t>
      </w:r>
    </w:p>
    <w:p w14:paraId="32457E90" w14:textId="4DE0C88D" w:rsidR="009A5F22" w:rsidRPr="00C7421A" w:rsidRDefault="00380BCD" w:rsidP="00C7421A">
      <w:pPr>
        <w:pStyle w:val="JuPara"/>
      </w:pPr>
      <w:fldSimple w:instr=" SEQ level0 \*arabic \* MERGEFORMAT ">
        <w:r w:rsidR="00C7421A" w:rsidRPr="00C7421A">
          <w:t>1</w:t>
        </w:r>
      </w:fldSimple>
      <w:r w:rsidR="002D41A5">
        <w:t>.  Reclamanții s-au plâns de faptul că sancțiunea care le-a fost aplicată pentru un articol de presă publicat într-un cotidian pe care aceștia îl editau le</w:t>
      </w:r>
      <w:r w:rsidR="004E7E4D">
        <w:noBreakHyphen/>
      </w:r>
      <w:r w:rsidR="002D41A5">
        <w:t>a încălcat dreptul la libertatea de exprimare. Aceștia au invocat art. 10 din Convenție.</w:t>
      </w:r>
    </w:p>
    <w:p w14:paraId="2F151FD9" w14:textId="77777777" w:rsidR="009A5F22" w:rsidRPr="00C7421A" w:rsidRDefault="009A5F22" w:rsidP="00C7421A">
      <w:pPr>
        <w:pStyle w:val="JuHHead"/>
      </w:pPr>
      <w:r>
        <w:t>ÎN FAPT</w:t>
      </w:r>
    </w:p>
    <w:p w14:paraId="587390E3" w14:textId="65D950E7" w:rsidR="009A5F22" w:rsidRPr="00C7421A" w:rsidRDefault="00380BCD" w:rsidP="00C7421A">
      <w:pPr>
        <w:pStyle w:val="JuPara"/>
      </w:pPr>
      <w:fldSimple w:instr=" SEQ level0 \*arabic ">
        <w:r w:rsidR="00C7421A" w:rsidRPr="00C7421A">
          <w:t>2</w:t>
        </w:r>
      </w:fldSimple>
      <w:r w:rsidR="009A5F22">
        <w:t>.  Doamna Adina-Isabella Stancu („prima reclamantă”) și domnul Ovidiu</w:t>
      </w:r>
      <w:r w:rsidR="009A5F22">
        <w:noBreakHyphen/>
        <w:t xml:space="preserve">Răzvan </w:t>
      </w:r>
      <w:proofErr w:type="spellStart"/>
      <w:r w:rsidR="009A5F22">
        <w:t>Savaliuc</w:t>
      </w:r>
      <w:proofErr w:type="spellEnd"/>
      <w:r w:rsidR="009A5F22">
        <w:t xml:space="preserve"> („cel de-al doilea reclamant”) s-au născut în 1964, respectiv 1967 și locuiesc în București. Societatea </w:t>
      </w:r>
      <w:proofErr w:type="spellStart"/>
      <w:r w:rsidR="009A5F22">
        <w:t>Jurindex</w:t>
      </w:r>
      <w:proofErr w:type="spellEnd"/>
      <w:r w:rsidR="009A5F22">
        <w:t xml:space="preserve"> Media S.R.L.</w:t>
      </w:r>
      <w:r w:rsidR="004E7E4D">
        <w:t xml:space="preserve"> </w:t>
      </w:r>
      <w:r w:rsidR="009A5F22">
        <w:t>(„societatea reclamantă”) a fost înființată în 2010 și are sediul în București. Reclamanții au fost reprezentați de domnul C.L. Popescu, avocat în București.</w:t>
      </w:r>
    </w:p>
    <w:p w14:paraId="648A3220" w14:textId="044ABF3C" w:rsidR="009A5F22" w:rsidRPr="00C7421A" w:rsidRDefault="00380BCD" w:rsidP="00C7421A">
      <w:pPr>
        <w:pStyle w:val="JuPara"/>
      </w:pPr>
      <w:fldSimple w:instr=" SEQ level0 \*arabic ">
        <w:r w:rsidR="00C7421A" w:rsidRPr="00C7421A">
          <w:t>3</w:t>
        </w:r>
      </w:fldSimple>
      <w:r w:rsidR="009A5F22">
        <w:t>.  Guvernul a fost reprezentat de agentul său guvernamental, doamna O. </w:t>
      </w:r>
      <w:proofErr w:type="spellStart"/>
      <w:r w:rsidR="009A5F22">
        <w:t>Ezer</w:t>
      </w:r>
      <w:proofErr w:type="spellEnd"/>
      <w:r w:rsidR="009A5F22">
        <w:t>, din cadrul Ministerului Afacerilor Externe.</w:t>
      </w:r>
    </w:p>
    <w:p w14:paraId="24B1D16A" w14:textId="38B1E2BD" w:rsidR="009A5F22" w:rsidRPr="00C7421A" w:rsidRDefault="00380BCD" w:rsidP="00C7421A">
      <w:pPr>
        <w:pStyle w:val="JuPara"/>
      </w:pPr>
      <w:fldSimple w:instr=" SEQ level0 \*arabic ">
        <w:r w:rsidR="00C7421A" w:rsidRPr="00C7421A">
          <w:t>4</w:t>
        </w:r>
      </w:fldSimple>
      <w:r w:rsidR="009A5F22">
        <w:t>.  Faptele cauzei, astfel cum au fost expuse de părți, pot fi rezumate după cum urmează.</w:t>
      </w:r>
    </w:p>
    <w:bookmarkStart w:id="3" w:name="a5"/>
    <w:p w14:paraId="54BB968A" w14:textId="6EA06EAE"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5</w:t>
      </w:r>
      <w:r w:rsidRPr="00C7421A">
        <w:fldChar w:fldCharType="end"/>
      </w:r>
      <w:bookmarkEnd w:id="3"/>
      <w:r>
        <w:t xml:space="preserve">.  Primii doi reclamanți sunt jurnaliști și editori care lucrează pentru cotidianul online </w:t>
      </w:r>
      <w:r>
        <w:rPr>
          <w:i/>
        </w:rPr>
        <w:t>Lumea Justiției</w:t>
      </w:r>
      <w:r>
        <w:t>. Societatea reclamantă este societatea care editează cotidianul.</w:t>
      </w:r>
    </w:p>
    <w:bookmarkStart w:id="4" w:name="a6"/>
    <w:p w14:paraId="3B8B0D77" w14:textId="5099E4EC" w:rsidR="009A5F22" w:rsidRPr="00C7421A" w:rsidRDefault="009A5F22" w:rsidP="00C7421A">
      <w:pPr>
        <w:pStyle w:val="JuPara"/>
        <w:rPr>
          <w:rFonts w:eastAsia="Times New Roman" w:cstheme="minorHAnsi"/>
          <w:b/>
          <w:bCs/>
          <w:bdr w:val="none" w:sz="0" w:space="0" w:color="auto" w:frame="1"/>
        </w:rPr>
      </w:pPr>
      <w:r w:rsidRPr="00C7421A">
        <w:fldChar w:fldCharType="begin"/>
      </w:r>
      <w:r w:rsidRPr="00C7421A">
        <w:instrText xml:space="preserve"> SEQ level0 \*arabic </w:instrText>
      </w:r>
      <w:r w:rsidRPr="00C7421A">
        <w:fldChar w:fldCharType="separate"/>
      </w:r>
      <w:r w:rsidR="00C7421A" w:rsidRPr="00C7421A">
        <w:t>6</w:t>
      </w:r>
      <w:r w:rsidRPr="00C7421A">
        <w:fldChar w:fldCharType="end"/>
      </w:r>
      <w:bookmarkEnd w:id="4"/>
      <w:r>
        <w:t xml:space="preserve">.  Potrivit unei prezentări publicate pe site-ul său, publicația se descrie ca </w:t>
      </w:r>
      <w:r>
        <w:rPr>
          <w:bdr w:val="none" w:sz="0" w:space="0" w:color="auto" w:frame="1"/>
        </w:rPr>
        <w:t xml:space="preserve">fiind singurul cotidian online din țară care abordează domeniul justiției și „tratează problemele reale” ale sistemului judiciar. </w:t>
      </w:r>
      <w:r>
        <w:t xml:space="preserve">În prezentare se arată în continuare că, la doi ani de la lansarea sa în 2010, site-ul cotidianului avea în medie 20 000 până la 30 000 de vizitatori pe zi, că profilul cititorilor săi este format din persoane cu vârste cuprinse între 21 și 69 de </w:t>
      </w:r>
      <w:r>
        <w:rPr>
          <w:bdr w:val="none" w:sz="0" w:space="0" w:color="auto" w:frame="1"/>
        </w:rPr>
        <w:t>ani cu</w:t>
      </w:r>
      <w:r>
        <w:t xml:space="preserve"> pregătire juridică sau economică și că </w:t>
      </w:r>
      <w:r>
        <w:rPr>
          <w:bdr w:val="none" w:sz="0" w:space="0" w:color="auto" w:frame="1"/>
        </w:rPr>
        <w:t>60% din vizitatori</w:t>
      </w:r>
      <w:r>
        <w:t xml:space="preserve"> au accesat publicația din instituții de stat și private, inclusiv din Ministerul Justiției, Ministerul Finanțelor și Ministerul Administrației și Internelor.</w:t>
      </w:r>
    </w:p>
    <w:p w14:paraId="60906632" w14:textId="77777777" w:rsidR="009A5F22" w:rsidRPr="00C7421A" w:rsidRDefault="009A5F22" w:rsidP="00C7421A">
      <w:pPr>
        <w:pStyle w:val="JuHIRoman"/>
      </w:pPr>
      <w:r>
        <w:t>Istoricul cauzei</w:t>
      </w:r>
    </w:p>
    <w:p w14:paraId="1EAD6F72" w14:textId="77777777" w:rsidR="009A5F22" w:rsidRPr="00C7421A" w:rsidRDefault="009A5F22" w:rsidP="00C7421A">
      <w:pPr>
        <w:pStyle w:val="JuHA"/>
      </w:pPr>
      <w:r>
        <w:t>Acuzațiile împotriva domnului N.T. și trimiterea acestuia în judecată</w:t>
      </w:r>
    </w:p>
    <w:p w14:paraId="7E9935BD" w14:textId="02AE36C4" w:rsidR="009A5F22" w:rsidRPr="00C7421A" w:rsidRDefault="00380BCD" w:rsidP="00C7421A">
      <w:pPr>
        <w:pStyle w:val="JuPara"/>
      </w:pPr>
      <w:fldSimple w:instr=" SEQ level0 \*arabic ">
        <w:r w:rsidR="00C7421A" w:rsidRPr="00C7421A">
          <w:t>7</w:t>
        </w:r>
      </w:fldSimple>
      <w:r w:rsidR="009A5F22">
        <w:t>.  Între 5 noiembrie 2004 și 12 decembrie 2005, domnul N.T. a fost plasat în arest preventiv pe perioada premergătoare procesului sub acuzația de omor calificat și tentativă la omor deosebit de grav, deoarece se presupunea că a tamponat în mod intenționat autoturismul care aparținea fostului prieten al iubitei sale, din gelozie, iar autoturismul acestei persoane, în care se mai aflau alte două persoane, a căzut în momentul impactului într-un râu. Șoferul autoturismului a decedat și cei doi pasageri au supraviețuit.</w:t>
      </w:r>
    </w:p>
    <w:p w14:paraId="56AF7EE2" w14:textId="437AAF20" w:rsidR="009A5F22" w:rsidRPr="00C7421A" w:rsidRDefault="00380BCD" w:rsidP="00C7421A">
      <w:pPr>
        <w:pStyle w:val="JuPara"/>
      </w:pPr>
      <w:fldSimple w:instr=" SEQ level0 \*arabic ">
        <w:bookmarkStart w:id="5" w:name="paragraph00008"/>
        <w:r w:rsidR="00C7421A" w:rsidRPr="00C7421A">
          <w:t>8</w:t>
        </w:r>
        <w:bookmarkEnd w:id="5"/>
      </w:fldSimple>
      <w:r w:rsidR="009A5F22">
        <w:t>.  La o dată nespecificată în 2005, un procuror din cadrul Parchetului de pe lângă Tribunalul Bacău, și anume domnul V.P., l-a pus sub învinuire pe domnul N.T. sub acuzațiile de omor calificat și tentativă la omor deosebit de grav. Punerea sub învinuire a domnului N.T. a fost confirmată de un prim</w:t>
      </w:r>
      <w:r w:rsidR="004E7E4D">
        <w:noBreakHyphen/>
      </w:r>
      <w:r w:rsidR="009A5F22">
        <w:t>procuror din cadrul aceluiași parchet, și anume doamna O.S.H., iar cauza a fost trimisă spre judecare.</w:t>
      </w:r>
    </w:p>
    <w:p w14:paraId="25A37B3F" w14:textId="77777777" w:rsidR="009A5F22" w:rsidRPr="00C7421A" w:rsidRDefault="009A5F22" w:rsidP="00C7421A">
      <w:pPr>
        <w:pStyle w:val="JuHA"/>
      </w:pPr>
      <w:r>
        <w:t>Sentința Tribunalului Bacău</w:t>
      </w:r>
    </w:p>
    <w:bookmarkStart w:id="6" w:name="a9"/>
    <w:p w14:paraId="0BBBDCE2" w14:textId="6C9E243E"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9</w:t>
      </w:r>
      <w:r w:rsidRPr="00C7421A">
        <w:fldChar w:fldCharType="end"/>
      </w:r>
      <w:bookmarkEnd w:id="6"/>
      <w:r>
        <w:t xml:space="preserve">.  La 2 iulie 2008, Tribunalul Bacău l-a achitat pe domnul N.T. de acuzațiile aduse împotriva sa. A reținut că, întrucât cele trei rapoarte de expertiză prezentate în speță nu au putut confirma existența unui impact între cele două vehicule și probele testimoniale au fost parțial contradictorii, vinovăția domnului N.T. nu putea fi stabilită dincolo de orice îndoială rezonabilă. Pentru a ajunge la această concluzie, instanța a luat în considerare, </w:t>
      </w:r>
      <w:r>
        <w:rPr>
          <w:i/>
        </w:rPr>
        <w:t>inter alia</w:t>
      </w:r>
      <w:r>
        <w:t>, următoarele elemente.</w:t>
      </w:r>
    </w:p>
    <w:bookmarkStart w:id="7" w:name="i10"/>
    <w:p w14:paraId="41157808" w14:textId="2685D11C" w:rsidR="009A5F22" w:rsidRPr="00C7421A" w:rsidRDefault="009A5F22" w:rsidP="00C7421A">
      <w:pPr>
        <w:pStyle w:val="JuPara"/>
      </w:pPr>
      <w:r w:rsidRPr="00C7421A">
        <w:lastRenderedPageBreak/>
        <w:fldChar w:fldCharType="begin"/>
      </w:r>
      <w:r w:rsidRPr="00C7421A">
        <w:instrText xml:space="preserve"> SEQ level0 \*arabic </w:instrText>
      </w:r>
      <w:r w:rsidRPr="00C7421A">
        <w:fldChar w:fldCharType="separate"/>
      </w:r>
      <w:r w:rsidR="00C7421A" w:rsidRPr="00C7421A">
        <w:t>10</w:t>
      </w:r>
      <w:r w:rsidRPr="00C7421A">
        <w:fldChar w:fldCharType="end"/>
      </w:r>
      <w:bookmarkEnd w:id="7"/>
      <w:r>
        <w:t>.  Una din victimele lui N.T. a declarat în fața instanței că l-a informat pe procuror despre faptul că nu își amintea ea însăși evenimentele descrise în declarație. Cu toate acestea, procurorul nu a consemnat în scris declarația sa de neasumare a responsabilității [</w:t>
      </w:r>
      <w:proofErr w:type="spellStart"/>
      <w:r>
        <w:rPr>
          <w:i/>
          <w:iCs/>
        </w:rPr>
        <w:t>disclaimer</w:t>
      </w:r>
      <w:proofErr w:type="spellEnd"/>
      <w:r>
        <w:t>].</w:t>
      </w:r>
    </w:p>
    <w:p w14:paraId="6FAAB201" w14:textId="03792474" w:rsidR="009A5F22" w:rsidRPr="00C7421A" w:rsidRDefault="00380BCD" w:rsidP="00C7421A">
      <w:pPr>
        <w:pStyle w:val="JuPara"/>
      </w:pPr>
      <w:fldSimple w:instr=" SEQ level0 \*arabic ">
        <w:r w:rsidR="00C7421A" w:rsidRPr="00C7421A">
          <w:t>11</w:t>
        </w:r>
      </w:fldSimple>
      <w:r w:rsidR="009A5F22">
        <w:t>.  În cursul primei audieri a martorului C.Z.</w:t>
      </w:r>
      <w:r w:rsidR="00594369">
        <w:t xml:space="preserve"> </w:t>
      </w:r>
      <w:r w:rsidR="009A5F22">
        <w:t>– singurul martor ocular aflat aproape de locul accidentului și care a fost audiat de patru ori în faza de urmărire penală a procesului, inclusiv o dată în timpul unei reconstituiri a accidentului și o dată în timp ce era filmat –, procurorul a încălcat normele de procedură care impun ca un părinte al unui martor minor să fie prezent în timpul audierii. Mama lui C.Z. l-a asistat doar în timpul celei de-a treia audieri.</w:t>
      </w:r>
    </w:p>
    <w:bookmarkStart w:id="8" w:name="i12"/>
    <w:p w14:paraId="027BCE2C" w14:textId="5C403F38"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12</w:t>
      </w:r>
      <w:r w:rsidRPr="00C7421A">
        <w:fldChar w:fldCharType="end"/>
      </w:r>
      <w:bookmarkEnd w:id="8"/>
      <w:r>
        <w:t>.  Potrivit celei de-a doua declarații a lui C.Z. (care fusese filmată) și celei date în timpul reconstituirii accidentului (cea de-a patra), nu văzuse autoturismele intrând unul în celălalt, ci auzise doar două bufnituri. Credibilitatea sa era, de asemenea, îndoielnică din cauza detaliilor pe care le știa despre relația dintre două victime ale incidentului și inculpat și din cauza faptului că cunoștea autoturismul inculpatului, chiar dacă declarase în fața instanței că nu îl văzuse niciodată anterior pe inculpat.</w:t>
      </w:r>
    </w:p>
    <w:p w14:paraId="62A1208F" w14:textId="16733214" w:rsidR="009A5F22" w:rsidRPr="00C7421A" w:rsidRDefault="00380BCD" w:rsidP="00C7421A">
      <w:pPr>
        <w:pStyle w:val="JuPara"/>
      </w:pPr>
      <w:fldSimple w:instr=" SEQ level0 \*arabic ">
        <w:r w:rsidR="00C7421A" w:rsidRPr="00C7421A">
          <w:t>13</w:t>
        </w:r>
      </w:fldSimple>
      <w:r w:rsidR="009A5F22">
        <w:t>.  Procurorul a ignorat cererea legală a avocatului apărării de a fi notificat despre data celei de-a treia audieri a lui C.Z. pentru a putea participa. În plus, C.Z. nu și-a menținut în fața instanței declarațiile date în faza de urmărire penală a procesului, întrucât a declarat că acesta fusese insultat și amenințat de procuror și că a dat primele trei declarații în absența mamei sale, care a fost adusă doar pentru a semna cea de-a treia declarație. C.Z. a declarat, de asemenea, în fața instanței că nu a văzut autoturismul victimei înainte de a cădea în râu, că a auzit o bufnitură și că nu a văzut nimic altceva și că distanța dintre bar și pod era de 300 de metri. Martorul a afirmat în continuare că declarația sa în fața instanței era similară cu cele date în cadrul primei sale audieri și în cursul reconstituirii accidentului și că procurorul îi spusese ce să scrie în prima sa declarație.</w:t>
      </w:r>
    </w:p>
    <w:bookmarkStart w:id="9" w:name="i14"/>
    <w:p w14:paraId="5A6AFF18" w14:textId="3DCB8CEF"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14</w:t>
      </w:r>
      <w:r w:rsidRPr="00C7421A">
        <w:fldChar w:fldCharType="end"/>
      </w:r>
      <w:bookmarkEnd w:id="9"/>
      <w:r>
        <w:t>.  În momentul în care a examinat declarațiile lui C.Z., instanța a luat act de faptul că declarația acestuia în fața sa era adevărată, întrucât declarația sa dată în timpul reconstituirii accidentului se corobora cu declarația filmată în care se putea vedea că martorul nu a declarat că văzuse autoturismul inculpatului lovind autoturismul victimei.</w:t>
      </w:r>
    </w:p>
    <w:bookmarkStart w:id="10" w:name="i15"/>
    <w:p w14:paraId="55C910D6" w14:textId="549D474D"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15</w:t>
      </w:r>
      <w:r w:rsidRPr="00C7421A">
        <w:fldChar w:fldCharType="end"/>
      </w:r>
      <w:bookmarkEnd w:id="10"/>
      <w:r>
        <w:t xml:space="preserve">.  Două rapoarte de expertiză au fost prezentate în faza de urmărire penală a procesului. Primul a fost întocmit de Laboratorul I. și concluziona că autoturismul inculpatului avea o singură urmă de frecare dinamică pe bandoul de cauciuc din partea stângă a barei de protecție spate, în timp ce urme ale unui impact au fost identificate pe partea dreaptă spate a autoturismului victimei. Curtea a luat act de faptul că urmele identificate pe autoturismul inculpatului nu au fost create de contactul fizic dintre cele două autoturisme și că analiza spectrometrică în infraroșu a unei bucăți din spoilerul spate al autoturismului victimei din zona care prezenta urmele unui </w:t>
      </w:r>
      <w:r>
        <w:lastRenderedPageBreak/>
        <w:t>impact nu a relevat prezența de material din care este confecționat bandoul de cauciuc al barei din față a autoturismului inculpatului. Declarația din rechizitoriu potrivit căreia acest raport de expertiză confirmase impactul dintre cele două vehicule întrucât au putut fi identificate urme de frecare pe autoturismul inculpatului era una falsă, deoarece respectivele urme au fost găsite pe bara din spate, și nu pe cea din față stângă a autoturismului inculpatului, cum ar fi fost cazul dacă acesta ar fi lovit autoturismul victimei. Cel de-al doilea raport de expertiză prezentat în faza de urmărire penală a procesului, și singurul care îl incriminează pe inculpat, a fost întocmit de un inginer specialist, și nu de un expert autorizat. Procurorul nu a invocat niciun motiv special care să explice necesitatea utilizării acestui expert neautorizat.</w:t>
      </w:r>
    </w:p>
    <w:p w14:paraId="1D97C8C5" w14:textId="2C06C372" w:rsidR="009A5F22" w:rsidRPr="00C7421A" w:rsidRDefault="00380BCD" w:rsidP="00C7421A">
      <w:pPr>
        <w:pStyle w:val="JuPara"/>
      </w:pPr>
      <w:fldSimple w:instr=" SEQ level0 \*arabic ">
        <w:r w:rsidR="00C7421A" w:rsidRPr="00C7421A">
          <w:t>16</w:t>
        </w:r>
      </w:fldSimple>
      <w:r w:rsidR="009A5F22">
        <w:t>.  În aceste circumstanțe, instanța nu s-a putut baza pe concluziile celui de-al doilea raport de expertiză. În plus, instanța a luat act de faptul că, din cauza contradicțiilor flagrante dintre cele două rapoarte de expertiză, care nu au fost clarificate de procuror prin solicitarea unui al treilea raport de expertiză, astfel cum prevede legea, a dispus realizarea unor noi expertize pentru a stabili dinamica accidentului și existența unui contact fizic între cele două vehicule.</w:t>
      </w:r>
    </w:p>
    <w:bookmarkStart w:id="11" w:name="i17"/>
    <w:bookmarkStart w:id="12" w:name="a17"/>
    <w:p w14:paraId="62FDFE0A" w14:textId="545BA913"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17</w:t>
      </w:r>
      <w:r w:rsidRPr="00C7421A">
        <w:fldChar w:fldCharType="end"/>
      </w:r>
      <w:bookmarkEnd w:id="11"/>
      <w:bookmarkEnd w:id="12"/>
      <w:r>
        <w:t>.  Rapoartele de expertiză au concluzionat că nu se putea susține că a existat vreun contact între cele două vehicule înainte de producerea incidentului rutier și că nu se putea stabili dacă ciocnirea cu autoturismul persoanei decedate ar fi putut provoca coliziunea autoturismelor de balustradă și căderea în râu, întrucât momentul și locul în care persoana decedată a pierdut controlul asupra autoturismului și amploarea manevrelor executate de acesta nu erau cunoscute.</w:t>
      </w:r>
    </w:p>
    <w:bookmarkStart w:id="13" w:name="a18"/>
    <w:p w14:paraId="4507A29E" w14:textId="3701624B"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18</w:t>
      </w:r>
      <w:r w:rsidRPr="00C7421A">
        <w:fldChar w:fldCharType="end"/>
      </w:r>
      <w:bookmarkEnd w:id="13"/>
      <w:r>
        <w:t xml:space="preserve">.  Instanța a subliniat că, atunci când pronunță o sentință de condamnare, avea obligația să își bazeze convingerea cu privire la vinovăția unui inculpat pe probe clare și certe. Cu toate acestea, probele împotriva inculpatului erau incerte, neconcludente sau incomplete, lăsând loc de îndoială cu privire la vinovăția sa și, prin urmare, trebuia să se aplice principiul </w:t>
      </w:r>
      <w:r>
        <w:rPr>
          <w:i/>
        </w:rPr>
        <w:t xml:space="preserve">in </w:t>
      </w:r>
      <w:proofErr w:type="spellStart"/>
      <w:r>
        <w:rPr>
          <w:i/>
        </w:rPr>
        <w:t>dubio</w:t>
      </w:r>
      <w:proofErr w:type="spellEnd"/>
      <w:r>
        <w:rPr>
          <w:i/>
        </w:rPr>
        <w:t xml:space="preserve"> pro </w:t>
      </w:r>
      <w:proofErr w:type="spellStart"/>
      <w:r>
        <w:rPr>
          <w:i/>
        </w:rPr>
        <w:t>reo</w:t>
      </w:r>
      <w:proofErr w:type="spellEnd"/>
      <w:r>
        <w:t>. Acest principiu reprezenta un element de fapt înainte de a deveni element de drept. Instanța a considerat că, atât timp cât vinovăția unei persoane nu poate fi stabilită cu certitudine, chiar dacă, în fapt, fuseseră prezentate probe în sprijinul trimiterii în judecată și alte probe nu puteau fi avute în vedere sau pur și simplu nu existau, atunci această îndoială era „echivalentul unei probe pozitive de nevinovăție” și, prin urmare, inculpatul trebuia achitat.</w:t>
      </w:r>
    </w:p>
    <w:p w14:paraId="50F67132" w14:textId="5900D24B" w:rsidR="009A5F22" w:rsidRPr="00C7421A" w:rsidRDefault="009A5F22" w:rsidP="00C7421A">
      <w:pPr>
        <w:pStyle w:val="JuHA"/>
      </w:pPr>
      <w:r>
        <w:t>Apeluri ulterioare împotriva achitării domnului N.T.</w:t>
      </w:r>
    </w:p>
    <w:bookmarkStart w:id="14" w:name="a19"/>
    <w:p w14:paraId="1961774A" w14:textId="3A49CC50"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19</w:t>
      </w:r>
      <w:r w:rsidRPr="00C7421A">
        <w:fldChar w:fldCharType="end"/>
      </w:r>
      <w:bookmarkEnd w:id="14"/>
      <w:r>
        <w:t xml:space="preserve">.  La 16 decembrie 2008, Curtea de Apel Bacău a respins apelul formulat de Parchetul de pe lângă Tribunalul Bacău împotriva sentinței din 2 iulie 2008 și a confirmat achitarea domnului N.T. pe motiv că probele disponibile nu demonstrau că a săvârșit infracțiunea. Instanța a reiterat majoritatea motivelor instanței de fond de a-l achita pe domnul N.T. (a se </w:t>
      </w:r>
      <w:r>
        <w:lastRenderedPageBreak/>
        <w:t xml:space="preserve">vedea supra, pct. </w:t>
      </w:r>
      <w:r w:rsidRPr="00C7421A">
        <w:fldChar w:fldCharType="begin"/>
      </w:r>
      <w:r w:rsidRPr="00C7421A">
        <w:instrText xml:space="preserve"> REF a9 \h </w:instrText>
      </w:r>
      <w:r w:rsidRPr="00C7421A">
        <w:fldChar w:fldCharType="separate"/>
      </w:r>
      <w:r w:rsidR="00C7421A" w:rsidRPr="00C7421A">
        <w:t>9</w:t>
      </w:r>
      <w:r w:rsidRPr="00C7421A">
        <w:fldChar w:fldCharType="end"/>
      </w:r>
      <w:r>
        <w:t>-</w:t>
      </w:r>
      <w:r w:rsidRPr="00C7421A">
        <w:fldChar w:fldCharType="begin"/>
      </w:r>
      <w:r w:rsidRPr="00C7421A">
        <w:instrText xml:space="preserve"> REF i10 \h </w:instrText>
      </w:r>
      <w:r w:rsidRPr="00C7421A">
        <w:fldChar w:fldCharType="separate"/>
      </w:r>
      <w:r w:rsidR="00C7421A" w:rsidRPr="00C7421A">
        <w:t>10</w:t>
      </w:r>
      <w:r w:rsidRPr="00C7421A">
        <w:fldChar w:fldCharType="end"/>
      </w:r>
      <w:r>
        <w:t xml:space="preserve">, </w:t>
      </w:r>
      <w:r w:rsidRPr="00C7421A">
        <w:fldChar w:fldCharType="begin"/>
      </w:r>
      <w:r w:rsidRPr="00C7421A">
        <w:instrText xml:space="preserve"> REF i12 \h </w:instrText>
      </w:r>
      <w:r w:rsidRPr="00C7421A">
        <w:fldChar w:fldCharType="separate"/>
      </w:r>
      <w:r w:rsidR="00C7421A" w:rsidRPr="00C7421A">
        <w:t>12</w:t>
      </w:r>
      <w:r w:rsidRPr="00C7421A">
        <w:fldChar w:fldCharType="end"/>
      </w:r>
      <w:r>
        <w:t>-</w:t>
      </w:r>
      <w:r w:rsidRPr="00C7421A">
        <w:fldChar w:fldCharType="begin"/>
      </w:r>
      <w:r w:rsidRPr="00C7421A">
        <w:instrText xml:space="preserve"> REF i15 \h </w:instrText>
      </w:r>
      <w:r w:rsidRPr="00C7421A">
        <w:fldChar w:fldCharType="separate"/>
      </w:r>
      <w:r w:rsidR="00C7421A" w:rsidRPr="00C7421A">
        <w:t>15</w:t>
      </w:r>
      <w:r w:rsidRPr="00C7421A">
        <w:fldChar w:fldCharType="end"/>
      </w:r>
      <w:r>
        <w:t xml:space="preserve"> și </w:t>
      </w:r>
      <w:r w:rsidRPr="00C7421A">
        <w:fldChar w:fldCharType="begin"/>
      </w:r>
      <w:r w:rsidRPr="00C7421A">
        <w:instrText xml:space="preserve"> REF a17 \h </w:instrText>
      </w:r>
      <w:r w:rsidRPr="00C7421A">
        <w:fldChar w:fldCharType="separate"/>
      </w:r>
      <w:r w:rsidR="00C7421A" w:rsidRPr="00C7421A">
        <w:t>17</w:t>
      </w:r>
      <w:r w:rsidRPr="00C7421A">
        <w:fldChar w:fldCharType="end"/>
      </w:r>
      <w:r>
        <w:t>-</w:t>
      </w:r>
      <w:r w:rsidRPr="00C7421A">
        <w:fldChar w:fldCharType="begin"/>
      </w:r>
      <w:r w:rsidRPr="00C7421A">
        <w:instrText xml:space="preserve"> REF a18 \h </w:instrText>
      </w:r>
      <w:r w:rsidRPr="00C7421A">
        <w:fldChar w:fldCharType="separate"/>
      </w:r>
      <w:r w:rsidR="00C7421A" w:rsidRPr="00C7421A">
        <w:t>18</w:t>
      </w:r>
      <w:r w:rsidRPr="00C7421A">
        <w:fldChar w:fldCharType="end"/>
      </w:r>
      <w:r>
        <w:t xml:space="preserve">). În plus, a luat act de faptul că toate motivele menționate anterior la pct. </w:t>
      </w:r>
      <w:r w:rsidRPr="00C7421A">
        <w:fldChar w:fldCharType="begin"/>
      </w:r>
      <w:r w:rsidRPr="00C7421A">
        <w:instrText xml:space="preserve"> REF i12 \h </w:instrText>
      </w:r>
      <w:r w:rsidRPr="00C7421A">
        <w:fldChar w:fldCharType="separate"/>
      </w:r>
      <w:r w:rsidR="00C7421A" w:rsidRPr="00C7421A">
        <w:t>12</w:t>
      </w:r>
      <w:r w:rsidRPr="00C7421A">
        <w:fldChar w:fldCharType="end"/>
      </w:r>
      <w:r>
        <w:t>-</w:t>
      </w:r>
      <w:r w:rsidRPr="00C7421A">
        <w:fldChar w:fldCharType="begin"/>
      </w:r>
      <w:r w:rsidRPr="00C7421A">
        <w:instrText xml:space="preserve"> REF i14 \h </w:instrText>
      </w:r>
      <w:r w:rsidRPr="00C7421A">
        <w:fldChar w:fldCharType="separate"/>
      </w:r>
      <w:r w:rsidR="00C7421A" w:rsidRPr="00C7421A">
        <w:t>14</w:t>
      </w:r>
      <w:r w:rsidRPr="00C7421A">
        <w:fldChar w:fldCharType="end"/>
      </w:r>
      <w:r>
        <w:t xml:space="preserve"> arătau că declarația dată de C.Z. în faza de urmărire penală a procesului îi fusese sugerată acestuia.</w:t>
      </w:r>
    </w:p>
    <w:bookmarkStart w:id="15" w:name="a20"/>
    <w:p w14:paraId="4B2A097B" w14:textId="17161320"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20</w:t>
      </w:r>
      <w:r w:rsidRPr="00C7421A">
        <w:fldChar w:fldCharType="end"/>
      </w:r>
      <w:bookmarkEnd w:id="15"/>
      <w:r>
        <w:t>.  Printr-o hotărâre definitivă din 11 iunie 2009, Înalta Curte de Casație și Justiție a respins ca nefondat recursul în casație formulat de Parchetul de pe lângă Tribunalul Bacău împotriva sentinței din 16 decembrie 2008.</w:t>
      </w:r>
    </w:p>
    <w:p w14:paraId="26BA84FC" w14:textId="262E1C41" w:rsidR="009A5F22" w:rsidRPr="00C7421A" w:rsidRDefault="009A5F22" w:rsidP="00C7421A">
      <w:pPr>
        <w:pStyle w:val="JuHA"/>
      </w:pPr>
      <w:r>
        <w:t>Plângerea penală formulată de domnul N.T. împotriva domnului V.P. și a doamnei O.S.H.</w:t>
      </w:r>
    </w:p>
    <w:bookmarkStart w:id="16" w:name="a21"/>
    <w:p w14:paraId="5C8C6E18" w14:textId="301C8A2F"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21</w:t>
      </w:r>
      <w:r w:rsidRPr="00C7421A">
        <w:fldChar w:fldCharType="end"/>
      </w:r>
      <w:bookmarkEnd w:id="16"/>
      <w:r>
        <w:t xml:space="preserve">.  La 3 mai 2012, domnul N.T. a depus o plângere penală împotriva domnului V.P. și a doamnei O.S.H. (a se vedea supra, pct. </w:t>
      </w:r>
      <w:r w:rsidRPr="00C7421A">
        <w:fldChar w:fldCharType="begin"/>
      </w:r>
      <w:r w:rsidRPr="00C7421A">
        <w:instrText xml:space="preserve"> REF paragraph00008 \h  \* CharFormat  \* MERGEFORMAT </w:instrText>
      </w:r>
      <w:r w:rsidRPr="00C7421A">
        <w:fldChar w:fldCharType="separate"/>
      </w:r>
      <w:r w:rsidR="00C7421A" w:rsidRPr="00C7421A">
        <w:t>8</w:t>
      </w:r>
      <w:r w:rsidRPr="00C7421A">
        <w:fldChar w:fldCharType="end"/>
      </w:r>
      <w:r>
        <w:t>) pentru abuz în serviciu în formă calificată. Acesta a susținut că procurorul de caz, domnul V.P., i-a încălcat în mod intenționat drepturile legale, respingându-i cererile de confruntare a martorului C.Z. și de realizare a unei noi expertize în acest caz, având în vedere concluziile contradictorii ale primelor două rapoarte de expertiză.</w:t>
      </w:r>
    </w:p>
    <w:p w14:paraId="1268718D" w14:textId="30C5254C" w:rsidR="009A5F22" w:rsidRPr="00C7421A" w:rsidRDefault="00380BCD" w:rsidP="00C7421A">
      <w:pPr>
        <w:pStyle w:val="JuPara"/>
      </w:pPr>
      <w:fldSimple w:instr=" SEQ level0 \*arabic \* MERGEFORMAT ">
        <w:r w:rsidR="00C7421A" w:rsidRPr="00C7421A">
          <w:t>22</w:t>
        </w:r>
      </w:fldSimple>
      <w:r w:rsidR="002D41A5">
        <w:t>.  Domnul N.T. a susținut în continuare că drepturile sale au fost, de asemenea, încălcate ca urmare a suferinței și umilirii la care a fost supus în urma arestării sale preventive nelegale și a acuzațiilor false aduse împotriva sa. În sfârșit, domnul N.T. a susținut că doamna O.S.H., în calitate de prim</w:t>
      </w:r>
      <w:r w:rsidR="00C82C34">
        <w:noBreakHyphen/>
      </w:r>
      <w:r w:rsidR="002D41A5">
        <w:t>procuror, a săvârșit infracțiunea în cauză, întrucât încălcarea drepturilor sale menționată mai sus era evidentă și ar fi trebuit să conducă la invalidarea rechizitoriului în conformitate cu normele de procedură relevante. Confirmarea rechizitoriului a făcut posibilă trimiterea cauzei sale în fața instanței și a trecut o perioadă considerabilă de timp până când a putut proba că era nevinovat, deși această concluzie ar fi putut fi deja trasă în faza de urmărire penală a procesului.</w:t>
      </w:r>
    </w:p>
    <w:bookmarkStart w:id="17" w:name="a23"/>
    <w:p w14:paraId="4BD8F81A" w14:textId="16DC073E"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23</w:t>
      </w:r>
      <w:r w:rsidRPr="00C7421A">
        <w:fldChar w:fldCharType="end"/>
      </w:r>
      <w:bookmarkEnd w:id="17"/>
      <w:r>
        <w:t>.  La 27 august 2012, Parchetul de pe lângă Înalta Curte de Casație și Justiție a dispus scoaterea de sub urmărire penală a domnului V.P. și a doamnei O.S.H. pe motiv că fapta în cauză nu exista. A reținut că, potrivit dreptului intern relevant, aprecierea calificării juridice a faptelor cercetate, identitatea făptuitorului și vinovăția acestuia/acesteia, veridicitatea anumitor declarații și circumstanțele factuale reflectate de probele disponibile sunt de competența exclusivă a organului judiciar sesizat în cauză. Instanța de fond a menținut măsura arestării preventive a domnului N.T. până la apariția unei situații de fapt diferite, întrucât martorii și-au schimbat declarațiile și au fost prezentate noi expertize.</w:t>
      </w:r>
    </w:p>
    <w:bookmarkStart w:id="18" w:name="a24"/>
    <w:p w14:paraId="5DB2DB07" w14:textId="342749A8"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24</w:t>
      </w:r>
      <w:r w:rsidRPr="00C7421A">
        <w:fldChar w:fldCharType="end"/>
      </w:r>
      <w:bookmarkEnd w:id="18"/>
      <w:r>
        <w:t xml:space="preserve">.  Parchetul a reținut în continuare că hotărârea instanței de fond constatase că probele prezentate fuseseră insuficiente pentru a dovedi vinovăția domnului N.T., și că nu au fost prezentate probe pe perioada urmăririi penale în cauză. Faptul că unul din martori și-a schimbat declarația și că părțile vătămate și-au modificat declarațiile invocând probleme de memorie și sentimente de confuzie ca motive ale declarațiilor anterioare nu </w:t>
      </w:r>
      <w:r>
        <w:lastRenderedPageBreak/>
        <w:t>putea însemna că procurorii acuzați de domnul N.T. își încălcaseră în vreun fel obligațiile profesionale.</w:t>
      </w:r>
    </w:p>
    <w:bookmarkStart w:id="19" w:name="a25"/>
    <w:p w14:paraId="318996BA" w14:textId="057D9442"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25</w:t>
      </w:r>
      <w:r w:rsidRPr="00C7421A">
        <w:fldChar w:fldCharType="end"/>
      </w:r>
      <w:bookmarkEnd w:id="19"/>
      <w:r>
        <w:t>.  La 9 aprilie 2013, Înalta Curte de Casație și Justiție a respins ca nefondat recursul formulat de domnul N.T. împotriva deciziei parchetului din 27 august 2012.</w:t>
      </w:r>
    </w:p>
    <w:p w14:paraId="066828BA" w14:textId="77777777" w:rsidR="009A5F22" w:rsidRPr="00C7421A" w:rsidRDefault="009A5F22" w:rsidP="00C7421A">
      <w:pPr>
        <w:pStyle w:val="JuHIRoman"/>
      </w:pPr>
      <w:r>
        <w:t>Articolul</w:t>
      </w:r>
    </w:p>
    <w:bookmarkStart w:id="20" w:name="i9"/>
    <w:bookmarkStart w:id="21" w:name="a26"/>
    <w:p w14:paraId="64EF222A" w14:textId="40E4A86E"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26</w:t>
      </w:r>
      <w:r w:rsidRPr="00C7421A">
        <w:fldChar w:fldCharType="end"/>
      </w:r>
      <w:bookmarkEnd w:id="20"/>
      <w:bookmarkEnd w:id="21"/>
      <w:r>
        <w:t xml:space="preserve">.  La 2 august 2012, jurnalistul R.L. a publicat un articol în cotidianul </w:t>
      </w:r>
      <w:r>
        <w:rPr>
          <w:i/>
        </w:rPr>
        <w:t>Lumea Justiției</w:t>
      </w:r>
      <w:r>
        <w:t xml:space="preserve"> referitor la doamna O.S.H., prim-procurorul care confirmase rechizitoriul împotriva domnului N.T. (a se vedea supra, pct. </w:t>
      </w:r>
      <w:r w:rsidRPr="00C7421A">
        <w:fldChar w:fldCharType="begin"/>
      </w:r>
      <w:r w:rsidRPr="00C7421A">
        <w:instrText xml:space="preserve"> REF paragraph00008 \h  \* CharFormat </w:instrText>
      </w:r>
      <w:r w:rsidRPr="00C7421A">
        <w:fldChar w:fldCharType="separate"/>
      </w:r>
      <w:r w:rsidR="00C7421A" w:rsidRPr="00C7421A">
        <w:t>8</w:t>
      </w:r>
      <w:r w:rsidRPr="00C7421A">
        <w:fldChar w:fldCharType="end"/>
      </w:r>
      <w:r>
        <w:t>). La acea dată, doamna O.S.H. era procuror, membru ales și vicepreședinte al Consiliului Superior al Magistraturii („CSM”), un organ independent care urmărește, printre altele, să protejeze independența sistemului judiciar și independența, imparțialitatea și reputația profesională a judecătorilor sau procurorilor individuali, să contribuie la organizarea și funcționarea eficientă a instanțelor și a parchetelor promovând astfel funcționarea eficientă a sistemului de justiție.</w:t>
      </w:r>
    </w:p>
    <w:bookmarkStart w:id="22" w:name="a22"/>
    <w:bookmarkStart w:id="23" w:name="a27"/>
    <w:p w14:paraId="44FE80BF" w14:textId="6B6E8E3A"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27</w:t>
      </w:r>
      <w:r w:rsidRPr="00C7421A">
        <w:fldChar w:fldCharType="end"/>
      </w:r>
      <w:bookmarkEnd w:id="22"/>
      <w:bookmarkEnd w:id="23"/>
      <w:r>
        <w:t>.  Intitulat „Vicepreședintele CSM, [O.S.H.], nu dă explicații pentru grava sa eroare judiciară – [O.S.H.] și procurorul [V.P.] au trimis în judecată un student, pentru omor, care a stat 13 luni în arest, dar a fost achitat pentru că nu era autorul crimei. Aflați [despre] abuzurile acuzării, reținute de judecători în acest caz!”, în articolul se arăta:</w:t>
      </w:r>
    </w:p>
    <w:p w14:paraId="729DF0E8" w14:textId="2FBA3293" w:rsidR="009A5F22" w:rsidRPr="00C7421A" w:rsidRDefault="009A5F22" w:rsidP="00C7421A">
      <w:pPr>
        <w:pStyle w:val="JuQuot"/>
      </w:pPr>
      <w:r>
        <w:t>„Lumeajustiției.ro a solicitat Biroului de Presă al [CSM] un punct de vedere al vicepreședintei CSM, [O.S.H.] (</w:t>
      </w:r>
      <w:proofErr w:type="spellStart"/>
      <w:r>
        <w:t>foto</w:t>
      </w:r>
      <w:proofErr w:type="spellEnd"/>
      <w:r>
        <w:t xml:space="preserve">) referitor la articolul de presă, publicat, la 29 iulie 2012, intitulat: «[O.S.H.] și procurorul [V.P., din Bacău] au pus în </w:t>
      </w:r>
      <w:proofErr w:type="spellStart"/>
      <w:r>
        <w:t>cârca</w:t>
      </w:r>
      <w:proofErr w:type="spellEnd"/>
      <w:r>
        <w:t xml:space="preserve"> unui student un omor comis de altcineva. Tânărul a stat nevinovat 13 luni în arest, fiind achitat de toate instanțele pe motiv că nu el a comis fapta. Judecătorii au reținut presiunile procurorilor [exercitate] asupra martorilor. Deși am cerut explicații în scris, prin biroul de presă al CSM, până acum [a fost] tăcere. Punctul de vedere a fost solicitat [de către O.S.H.], în condițiile în care aceasta, în anul 2005, pe când era prim-procuror al Parchetului Tribunalului Bacău, a confirmat rechizitoriul procurorului [V.P.], care pentru a-l trimite pe student în judecată sub acuzația de omor calificat, a comis acte reprobabile, care au fost reținute de magistrații Curții de Apel Bacău, în decizia nr.158 din 16 decembrie 2008.</w:t>
      </w:r>
    </w:p>
    <w:p w14:paraId="302FE619" w14:textId="302B828F" w:rsidR="009A5F22" w:rsidRPr="00C7421A" w:rsidRDefault="009A5F22" w:rsidP="00C7421A">
      <w:pPr>
        <w:pStyle w:val="JuQuot"/>
      </w:pPr>
      <w:r>
        <w:t>Iată câteva dintre abuzurile procurorului [V.P.] pe care Lumeajustiției.ro le-a amintit vicepreședintei CSM, [O.S.H.], în solicitarea scrisă [făcută] către Biroul de presă.</w:t>
      </w:r>
    </w:p>
    <w:p w14:paraId="389B23A0" w14:textId="7A8008BE" w:rsidR="009A5F22" w:rsidRPr="00C7421A" w:rsidRDefault="009A5F22" w:rsidP="00C7421A">
      <w:pPr>
        <w:pStyle w:val="JuQuot"/>
      </w:pPr>
      <w:r>
        <w:t>Pentru a-i reaminti fostului prim-procuror de la Parchetul de pe lângă Tribunalul Bacău, [O.S.H.], abuzurile pe care le-a făcut colegul său [V.P.] și pe care ea le-a confirmat, Lumeajustiției.ro a rezumat anumite pasaje reținute de judecătorii care au confirmat achitarea, în decizia nr. 158 din 16 decembrie 2008 a Curții de Apel Bacău. [Trebuie să] menționăm că aceste pasaje au fost inserate și în solicitarea adresată CSM pentru a obține un răspuns de la [O.S.H.]:</w:t>
      </w:r>
    </w:p>
    <w:p w14:paraId="32B28319" w14:textId="4E8D742D" w:rsidR="009A5F22" w:rsidRPr="00C7421A" w:rsidRDefault="009A5F22" w:rsidP="00C7421A">
      <w:pPr>
        <w:pStyle w:val="JuQuot"/>
      </w:pPr>
      <w:r>
        <w:t xml:space="preserve">- Audierea minorului [C.Z.] căruia i-a dictat ce să scrie, folosind injurii și amenințări cu pușcăria [...]. Acesta era minor, iar în situația dată, anchetatorul nu i-a cerut niciodată </w:t>
      </w:r>
      <w:r>
        <w:lastRenderedPageBreak/>
        <w:t>să vină însoțit la audieri de unul dintre părinți. În locul părinților [lui C.Z.], declarația inițială a fost contrasemnată de un martor asistent, care nu a putut fi identificat;</w:t>
      </w:r>
    </w:p>
    <w:p w14:paraId="055C24FC" w14:textId="36C8ECA6" w:rsidR="009A5F22" w:rsidRPr="00C7421A" w:rsidRDefault="009A5F22" w:rsidP="00C7421A">
      <w:pPr>
        <w:pStyle w:val="JuQuot"/>
      </w:pPr>
      <w:r>
        <w:t>- Expertiza tehnică a lui C.N., care nu avea calitatea de expert în domeniu. Procurorul [V.P.] a înlăturat expertiza Laboratorului [I.] reținând că proba legal administrată și corectă în conținut este lucrarea întocmită de C.N., întrucât ar atesta impactul dintre autoturisme, afirmație complet falsă, după cum a stabilit chiar Tribunalul Bacău, dar și Curtea de Apel Bacău în motivarea deciziei nr. 158 din 16 decembrie 2008 a subliniat că: «afirmația din rechizitoriu cum că această expertiză atestă impactul dintre cele două autoturisme [...] este falsă, având în vedere că urmele s-au găsit pe bara din spate, ci nu pe cea din fața stânga a BMW-ului cum s-ar fi întâmplat dacă ar fi lovit Dacia condusă de victimă»;</w:t>
      </w:r>
    </w:p>
    <w:p w14:paraId="3B03954A" w14:textId="561506BB" w:rsidR="009A5F22" w:rsidRPr="00C7421A" w:rsidRDefault="009A5F22" w:rsidP="00C7421A">
      <w:pPr>
        <w:pStyle w:val="JuQuot"/>
      </w:pPr>
      <w:r>
        <w:t>- Cererea lui [N.T] care i-a fost respinsă prin ordonanța [...], pentru efectuarea unei noi expertize tehnice, în faza urmăririi penale, dar și respingerea confruntării cu martorul minor [C.Z.] care ulterior și-a retractat declarația.</w:t>
      </w:r>
    </w:p>
    <w:p w14:paraId="13830523" w14:textId="7504076F" w:rsidR="009A5F22" w:rsidRPr="00C7421A" w:rsidRDefault="009A5F22" w:rsidP="00C7421A">
      <w:pPr>
        <w:pStyle w:val="JuQuot"/>
      </w:pPr>
      <w:r>
        <w:t>S-ar fi putut ajunge la concluzia nevinovăției [lui N.T], încă din faza instrucției penale, dacă [O.S.H.] ar fi verificat și infirmat abuzurile procurorului [V.P.].</w:t>
      </w:r>
    </w:p>
    <w:p w14:paraId="2468CD9C" w14:textId="255722CA" w:rsidR="009A5F22" w:rsidRPr="00C7421A" w:rsidRDefault="009A5F22" w:rsidP="00C7421A">
      <w:pPr>
        <w:pStyle w:val="JuQuot"/>
      </w:pPr>
      <w:r>
        <w:t>Din cauza celor doi procurori, [O.S.H.] și [V.P.], N.T., de 32 de ani, din București, absolvent al Universității [...] din București, a stat 13 luni în închisoare [acuzat că a tamponat intenționat (cu autoturismul lui), pe fondul geloziei, mașina fostului prieten al iubitei sale, autoturism ce, în urma impactului, ar fi pierdut controlul și a plonjat într-un râu]. După ani de procese, [N.T.] a fost achitat, în fond [...] [din cauză că] fapta a fost comisă de o altă persoană. Apelul și recursul parchetului au fost respinse ca nefondate, rămânând astfel în picioare sentința de achitare a magistraților Tribunalului Bacău. La data de 3 mai 2012, victima acestei erori judiciare, [N.T.], datorită «suferințelor provocate de privarea de libertate în mod nelegal» a depus la Parchetul General o plângere înregistrată cu nr. 8386 împotriva celor doi procurori, în speranța că i se va face dreptate. Acesta o consideră vinovată atât pe șefa CSM, [O.S.H.], cât și pe procurorul care a instrumentat cazul, [V.P.], că ar fi făcut «acte prin care să mi se încalce în mod vădit drepturile conferite de normele procedural-penale, precum și dreptul fundamental la apărare. Prin confirmarea rechizitoriului a fost posibilă trimiterea mea în judecată și scurgerea unui alt interval de timp considerabil până ce am putut să îmi dovedesc nevinovăția în loc ca la această concluzie să se ajungă încă din faza instrucției penale».</w:t>
      </w:r>
    </w:p>
    <w:p w14:paraId="63A48E7F" w14:textId="4CB0F377" w:rsidR="009A5F22" w:rsidRPr="00C7421A" w:rsidRDefault="009A5F22" w:rsidP="00C7421A">
      <w:pPr>
        <w:pStyle w:val="JuQuot"/>
      </w:pPr>
      <w:r>
        <w:t>Decizia nr. 158 a Curții de Apel Bacău [preciza]: «Dacă probele nu există, și totuși îndoiala persistă în ce privește vinovăția, atunci îndoiala este „echivalentă cu o probă pozitivă de nevinovăție” și deci inculpatul trebuie achitat».</w:t>
      </w:r>
    </w:p>
    <w:p w14:paraId="3AFB7A26" w14:textId="7298A6E4" w:rsidR="009A5F22" w:rsidRPr="00C7421A" w:rsidRDefault="009A5F22" w:rsidP="00C7421A">
      <w:pPr>
        <w:pStyle w:val="JuQuot"/>
      </w:pPr>
      <w:r>
        <w:t>Iată cum au motivat magistrații Curții de Apel Bacău decizia nr.158 din 16 decembrie 2008, prin care au hotărât respingerea ca nefondat a apelului Parchetului, menținând soluția instanței de fond [...]: «În fata instanței, martorul C.Z. nu a menținut declarațiile de la urmărirea penală [fază a procesului], arătând că a fost insultat de procuror și amenințat, că la prima declarație [pe care a dat-o] nu a fost prezentă mama sa, iar a doua declarație a fost luată, de asemenea, în lipsa mamei, care a fost adusă ulterior [acolo] să [o] semneze [după ce a fost dată]. În fața instanței, martorul declara că nu a văzut «Dacia» decât când era căzută în râu, că a auzit o bufnitură, că nu a mai văzut altceva, iar distanța de la bar până la pod este de 300 de metri.</w:t>
      </w:r>
    </w:p>
    <w:p w14:paraId="5C89DFBE" w14:textId="7DBC6A89" w:rsidR="009A5F22" w:rsidRPr="00C7421A" w:rsidRDefault="009A5F22" w:rsidP="00C7421A">
      <w:pPr>
        <w:pStyle w:val="JuQuot"/>
      </w:pPr>
      <w:r>
        <w:t xml:space="preserve">A mai arătat că și cu ocazia luării declarației [la locul faptei] [...] a relatat doar cele relatate in instanță, dar procurorul i-a dictat conținutul declarației. Din coroborarea declarațiilor martorului [C.Z.], instanța de fond a reținut ca declarația dată în fața instanței reprezintă adevărul, având în vedere cele relatate cu ocazia conducerii [în </w:t>
      </w:r>
      <w:r>
        <w:lastRenderedPageBreak/>
        <w:t>teren], care se coroborează cu declarația filmată [...] din care se constată că martorul nu a afirmat că ar fi văzut cum autoturismul BMW ar fi lovit «Dacia», condusă de victima [O.L.] [...]</w:t>
      </w:r>
    </w:p>
    <w:p w14:paraId="305950FE" w14:textId="790D078B" w:rsidR="009A5F22" w:rsidRPr="00C7421A" w:rsidRDefault="009A5F22" w:rsidP="00C7421A">
      <w:pPr>
        <w:pStyle w:val="JuQuot"/>
      </w:pPr>
      <w:r>
        <w:t>În faza de urmărire penală, au fost efectuate două expertize. Prima dintre acestea, efectuată la Laboratorul [...] [I.] a concluzionat că la autoturismul BMW [...] s-a constatat o singură urmă dinamică de frecare, pe bandoul de cauciuc al barei din spate, în coltul stâng, iar pe caroseria «Daciei 1310» s-au identificat urme de tamponare in partea dreapta spate [a autoturismului]. [Instanța] reține că urmele identificate pe autoturismul BMW [...] nu au fost create în urma unui contact fizic între acesta și autoturismul Dacia, iar analiza spectrometrică în infraroșu al unei bucăți din spoilerul spate al Daciei din zona în care prezenta urme de tamponare nu a relevat prezență de material din care este confecționat bandoul de cauciuc al barei din față al autoturismului. Afirmația din rechizitoriu cum că această expertiză atesta impactul dintre cele două autoturisme pentru că pe autoturismul BMW s-au găsit urme de frecare este falsă, având în vedere că respectivele urme au fost găsite pe bara din spate și nu pe cea din fața stânga a BMW-ului cum s-ar fi întâmplat dacă ar fi lovit Dacia condusă de victimă. Cea de-a doua expertiză efectuată în faza de urmărire penală [fază a procesului] și singura care îl incriminează pe inculpat a fost efectuată de un specialist - inginer [C.N.] și nu de un expert autorizat [...] iar procurorul nu a invocat motive deosebite pentru care a fost nevoit să apeleze la acest specialist și nu la experți autorizați.</w:t>
      </w:r>
    </w:p>
    <w:p w14:paraId="6D84F95C" w14:textId="3029D909" w:rsidR="009A5F22" w:rsidRPr="00C7421A" w:rsidRDefault="009A5F22" w:rsidP="00C7421A">
      <w:pPr>
        <w:pStyle w:val="JuQuot"/>
      </w:pPr>
      <w:r>
        <w:t xml:space="preserve">În aceste circumstanțe, instanța nu poate tine cont de concluziile acestei expertize. Existând contradicții flagrante între cele două expertize [...] au fost dispuse alte expertize criminalistice [în cauză], având ca obiect stabilirea dinamicii [producerii] accidentului [și], dacă a existat contact fizic între cele două autoturisme [...]. Expertiza a concluzionat că nu se poate reține că a existat un contact între cele două autoturisme anterior producerii evenimentului rutier, [și] nu se poate stabili dacă tamponarea autoturismului Dacia a putut determina lovirea balustradei și răsturnarea în [albia] râului, necunoscându-se momentul și locul unde a fost pierdut controlul [...] de către numitul [O.L.] și amplitudinea manevrelor efectuate de conducătorul autoturismului Dacia [...]. În condițiile în care cele trei expertize efectuate în cauză [...] nu au putut stabili că între cele două autoturisme a existat un impact și probele testimoniale parțial contradictorii, instanța constată că nu se poate reține cu certitudine vinovăția inculpatului, nefiind răsturnată prezumția de nevinovăție. Având în vedere că, la pronunțarea unei condamnări, instanța trebuie să-și întemeieze convingerea vinovăției inculpatului pe bază de probe sigure, certe și întrucât în [prezenta] cauză probele în acuzare nu au un caracter cert, nu sunt decisive sau sunt incomplete, lăsând loc unei nesiguranțe în privința vinovăției apelantului inculpat, în mod corect instanța de fond a dat eficiență regulii [...] </w:t>
      </w:r>
      <w:r>
        <w:rPr>
          <w:i/>
        </w:rPr>
        <w:t xml:space="preserve">in </w:t>
      </w:r>
      <w:proofErr w:type="spellStart"/>
      <w:r>
        <w:rPr>
          <w:i/>
        </w:rPr>
        <w:t>dubio</w:t>
      </w:r>
      <w:proofErr w:type="spellEnd"/>
      <w:r>
        <w:rPr>
          <w:i/>
        </w:rPr>
        <w:t xml:space="preserve"> pro </w:t>
      </w:r>
      <w:proofErr w:type="spellStart"/>
      <w:r>
        <w:rPr>
          <w:i/>
        </w:rPr>
        <w:t>reo</w:t>
      </w:r>
      <w:proofErr w:type="spellEnd"/>
      <w:r>
        <w:t>.</w:t>
      </w:r>
    </w:p>
    <w:p w14:paraId="215F3D81" w14:textId="23F398DA" w:rsidR="009A5F22" w:rsidRPr="00C7421A" w:rsidRDefault="009A5F22" w:rsidP="00C7421A">
      <w:pPr>
        <w:pStyle w:val="JuQuot"/>
      </w:pPr>
      <w:r>
        <w:t xml:space="preserve">[...] Înainte de a fi o problema de drept, regula </w:t>
      </w:r>
      <w:r>
        <w:rPr>
          <w:i/>
          <w:iCs/>
        </w:rPr>
        <w:t xml:space="preserve">in </w:t>
      </w:r>
      <w:proofErr w:type="spellStart"/>
      <w:r>
        <w:rPr>
          <w:i/>
          <w:iCs/>
        </w:rPr>
        <w:t>dubio</w:t>
      </w:r>
      <w:proofErr w:type="spellEnd"/>
      <w:r>
        <w:rPr>
          <w:i/>
          <w:iCs/>
        </w:rPr>
        <w:t xml:space="preserve"> pro </w:t>
      </w:r>
      <w:proofErr w:type="spellStart"/>
      <w:r>
        <w:rPr>
          <w:i/>
          <w:iCs/>
        </w:rPr>
        <w:t>reo</w:t>
      </w:r>
      <w:proofErr w:type="spellEnd"/>
      <w:r>
        <w:t xml:space="preserve"> este o problemă de fapt [...]. Chiar dacă în fapt s-au administrat probe în sprijinul [existenței] învinuirii, iar alte probe nu se întrevăd ori pur și simplu nu există, și totuși îndoiala persistă în ce privește vinovăția, atunci îndoiala este «echivalentă cu o probă pozitivă de nevinovăție» și deci inculpatul trebuie achitat.”</w:t>
      </w:r>
    </w:p>
    <w:p w14:paraId="5DC733BC" w14:textId="77777777" w:rsidR="009A5F22" w:rsidRPr="00C7421A" w:rsidRDefault="009A5F22" w:rsidP="00C7421A">
      <w:pPr>
        <w:pStyle w:val="JuQuot"/>
      </w:pPr>
      <w:r>
        <w:t>„De ce nu răspunde [O.S.H.]? Cum să mai creadă justițiabilii că CSM le va face dreptate în cazurile în care unii magistrați încalcă legea, când un șef al CSM tace la asemenea dezvăluiri?</w:t>
      </w:r>
    </w:p>
    <w:p w14:paraId="3E18A424" w14:textId="3675137C" w:rsidR="009A5F22" w:rsidRPr="00C7421A" w:rsidRDefault="009A5F22" w:rsidP="00C7421A">
      <w:pPr>
        <w:pStyle w:val="JuQuot"/>
      </w:pPr>
      <w:r>
        <w:t xml:space="preserve">Lumeajustiției.ro așteaptă de patru zile răspunsul vicepreședintelui CSM [O.S.H.] care se află la serviciu și [nu se află] în concediu. De menționat că purtătorul de cuvânt al CSM, [M.P.], este în concediu, dar a anunțat [după cum urmează] că a redirecționat solicitarea direct către [O.S.H.]: «Am transmis solicitarea dvs. doamnei vicepreședinte </w:t>
      </w:r>
      <w:r>
        <w:lastRenderedPageBreak/>
        <w:t>CSM, [O.S.H], urmând să vi se comunice răspunsul prin intermediul biroului de presă»”.</w:t>
      </w:r>
    </w:p>
    <w:bookmarkStart w:id="24" w:name="a28"/>
    <w:bookmarkStart w:id="25" w:name="e28"/>
    <w:p w14:paraId="525DC1AF" w14:textId="28F4F4FB"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28</w:t>
      </w:r>
      <w:r w:rsidRPr="00C7421A">
        <w:fldChar w:fldCharType="end"/>
      </w:r>
      <w:bookmarkEnd w:id="24"/>
      <w:bookmarkEnd w:id="25"/>
      <w:r>
        <w:t xml:space="preserve">.  Articolul includea atașată decizia Curții de Apel Bacău din 16 decembrie 2008 (a se vedea supra, pct. </w:t>
      </w:r>
      <w:r w:rsidRPr="00C7421A">
        <w:fldChar w:fldCharType="begin"/>
      </w:r>
      <w:r w:rsidRPr="00C7421A">
        <w:instrText xml:space="preserve"> REF a19 \h </w:instrText>
      </w:r>
      <w:r w:rsidRPr="00C7421A">
        <w:fldChar w:fldCharType="separate"/>
      </w:r>
      <w:r w:rsidR="00C7421A" w:rsidRPr="00C7421A">
        <w:t>19</w:t>
      </w:r>
      <w:r w:rsidRPr="00C7421A">
        <w:fldChar w:fldCharType="end"/>
      </w:r>
      <w:r>
        <w:t>), o fotografie cu doamna O.S.H. realizată în cursul unei ședințe a CSM și o fotografie cu prima pagină a rechizitoriului privindu-l pe domnul N.T., care arăta că prim-procurorul de la Parchetul de pe lângă Tribunalul Bacău, doamna O.S.H., a semnat rechizitoriul și l-a confirmat.</w:t>
      </w:r>
    </w:p>
    <w:bookmarkStart w:id="26" w:name="a29"/>
    <w:p w14:paraId="71DC30C9" w14:textId="057932E2"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29</w:t>
      </w:r>
      <w:r w:rsidRPr="00C7421A">
        <w:fldChar w:fldCharType="end"/>
      </w:r>
      <w:bookmarkEnd w:id="26"/>
      <w:r>
        <w:t xml:space="preserve">.  La 4, 9, 15 și 31 ianuarie 2013, alte patru articole au fost publicate în cotidianul </w:t>
      </w:r>
      <w:r>
        <w:rPr>
          <w:i/>
        </w:rPr>
        <w:t>Lumea Justiției</w:t>
      </w:r>
      <w:r>
        <w:t xml:space="preserve"> privind aceleași evenimente, respectiv cazul domnului N.T. Toate aceste patru articole au fost publicate în contextul alegerii doamnei O.S.H. ca președinte al CSM în ianuarie 2013. Doar articolul din 9 ianuarie 2013 a fost scris de primii doi reclamanți.</w:t>
      </w:r>
    </w:p>
    <w:p w14:paraId="27488389" w14:textId="77777777" w:rsidR="009A5F22" w:rsidRPr="00C7421A" w:rsidRDefault="009A5F22" w:rsidP="00C7421A">
      <w:pPr>
        <w:pStyle w:val="JuHIRoman"/>
      </w:pPr>
      <w:r>
        <w:t>Acțiunile împotriva reclamanților</w:t>
      </w:r>
    </w:p>
    <w:p w14:paraId="23EAE3A1" w14:textId="78864FDB" w:rsidR="009A5F22" w:rsidRPr="00C7421A" w:rsidRDefault="009A5F22" w:rsidP="00C7421A">
      <w:pPr>
        <w:pStyle w:val="JuHA"/>
      </w:pPr>
      <w:r>
        <w:t>Observațiile prezentate de doamna O.S.H.</w:t>
      </w:r>
    </w:p>
    <w:bookmarkStart w:id="27" w:name="a30"/>
    <w:p w14:paraId="052B6E8F" w14:textId="7C9740D4"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30</w:t>
      </w:r>
      <w:r w:rsidRPr="00C7421A">
        <w:fldChar w:fldCharType="end"/>
      </w:r>
      <w:bookmarkEnd w:id="27"/>
      <w:r>
        <w:t xml:space="preserve">.  La 1 martie 2013, doamna O.S.H. a introdus o acțiune în constatarea răspunderii civile delictuale împotriva reclamanților, solicitând 60 000 de euro (EUR) cu titlu de daune morale, publicarea deciziei instanței pe cheltuiala reclamanților în trei ziare naționale specificate de ea și în cotidianul </w:t>
      </w:r>
      <w:r>
        <w:rPr>
          <w:i/>
          <w:iCs/>
        </w:rPr>
        <w:t>Lumea Justiției</w:t>
      </w:r>
      <w:r>
        <w:t xml:space="preserve">, și cheltuieli de judecată. A susținut că </w:t>
      </w:r>
      <w:r>
        <w:rPr>
          <w:i/>
        </w:rPr>
        <w:t>Lumea Justiției</w:t>
      </w:r>
      <w:r>
        <w:t xml:space="preserve"> a organizat o campanie de presă defăimătoare împotriva sa, constând din 36 de articole care i-au încălcat dreptul la respectarea reputației, imaginii și onoarei și au încercat să afecteze imaginea și credibilitatea CSM. În perioada 2 august 2012 – 25 februarie 2013, reclamanții au scris, publicat și menținut articolele în discuție pe platforma online </w:t>
      </w:r>
      <w:r>
        <w:rPr>
          <w:i/>
        </w:rPr>
        <w:t>Lumea Justiției</w:t>
      </w:r>
      <w:r>
        <w:t xml:space="preserve">, inclusiv articolele menționate anterior la pct. </w:t>
      </w:r>
      <w:r w:rsidRPr="00C7421A">
        <w:fldChar w:fldCharType="begin"/>
      </w:r>
      <w:r w:rsidRPr="00C7421A">
        <w:instrText xml:space="preserve"> REF i9 \h </w:instrText>
      </w:r>
      <w:r w:rsidRPr="00C7421A">
        <w:fldChar w:fldCharType="separate"/>
      </w:r>
      <w:r w:rsidR="00C7421A" w:rsidRPr="00C7421A">
        <w:t>26</w:t>
      </w:r>
      <w:r w:rsidRPr="00C7421A">
        <w:fldChar w:fldCharType="end"/>
      </w:r>
      <w:r>
        <w:t>-</w:t>
      </w:r>
      <w:r w:rsidRPr="00C7421A">
        <w:fldChar w:fldCharType="begin"/>
      </w:r>
      <w:r w:rsidRPr="00C7421A">
        <w:instrText xml:space="preserve"> REF a29 \h </w:instrText>
      </w:r>
      <w:r w:rsidRPr="00C7421A">
        <w:fldChar w:fldCharType="separate"/>
      </w:r>
      <w:r w:rsidR="00C7421A" w:rsidRPr="00C7421A">
        <w:t>29</w:t>
      </w:r>
      <w:r w:rsidRPr="00C7421A">
        <w:fldChar w:fldCharType="end"/>
      </w:r>
      <w:r>
        <w:t>, care diseminaseră informații neadevărate, nedovedite și distorsionate, depășind limitele libertății de exprimare jurnalistice.</w:t>
      </w:r>
    </w:p>
    <w:p w14:paraId="6E3D19F8" w14:textId="3170D77D" w:rsidR="009A5F22" w:rsidRPr="00C7421A" w:rsidRDefault="00380BCD" w:rsidP="00C7421A">
      <w:pPr>
        <w:pStyle w:val="JuPara"/>
      </w:pPr>
      <w:fldSimple w:instr=" SEQ level0 \*arabic \* MERGEFORMAT ">
        <w:r w:rsidR="00C7421A" w:rsidRPr="00C7421A">
          <w:t>31</w:t>
        </w:r>
      </w:fldSimple>
      <w:r w:rsidR="002D41A5">
        <w:t>.  Doamna O.S.H. a susținut în continuare că afirmațiile și acuzațiile din articole erau mult mai grave, dat fiind faptul că cotidianul se descria ca fiind o sursă de informare corectă cu privire la chestiuni legate de sistemul judiciar. Potrivit prezentării de pe site-ul său, cotidianul era cel mai citit site în ceea ce privește acest subiect, ceea ce însemna că publicul considera că informațiile furnizate de acesta sunt credibile.</w:t>
      </w:r>
    </w:p>
    <w:bookmarkStart w:id="28" w:name="a32"/>
    <w:p w14:paraId="391A3DE0" w14:textId="16C2F353"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32</w:t>
      </w:r>
      <w:r w:rsidRPr="00C7421A">
        <w:fldChar w:fldCharType="end"/>
      </w:r>
      <w:bookmarkEnd w:id="28"/>
      <w:r>
        <w:t>.  Informațiile transmise publicului despre cazul domnului N.T. nu prezentaseră în mod corect procedura aplicabilă în cauzele penale, întrucât cotidianul dorea să prezinte acuzații care serveau propriilor interese personale. Doamna O.S.H. a declarat că a clarificat aceste chestiuni răspunzând acuzațiilor respective într-un interviu acordat canalului media R.</w:t>
      </w:r>
    </w:p>
    <w:bookmarkStart w:id="29" w:name="a33"/>
    <w:p w14:paraId="3EC47ABD" w14:textId="7BD5D906"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33</w:t>
      </w:r>
      <w:r w:rsidRPr="00C7421A">
        <w:fldChar w:fldCharType="end"/>
      </w:r>
      <w:bookmarkEnd w:id="29"/>
      <w:r>
        <w:t xml:space="preserve">.  În interviul respectiv, declarase că nu ea fusese procurorul care a instrumentat dosarul. În plus, în calitatea sa de prim-procuror, trebuia să verifice, în conformitate cu art. 264 din Codul de procedură penală, dacă </w:t>
      </w:r>
      <w:r>
        <w:lastRenderedPageBreak/>
        <w:t>rechizitoriul era legal și întemeiat. Aceasta înseamnă că trebuia să verifice dacă procedura penală a fost respectată și dacă acuzațiile aduse erau susținute de probe. A afirmat, de asemenea, că verificase dacă probele erau legale și întemeiate și că, la momentul la care efectuase controlul, probele susțineau acuzațiile aduse împotriva domnului N.T. În plus, procurorul de caz, nu ea, solicitase instanței arestarea preventivă a domnului N.T. pe perioada premergătoare procesului, iar instanța a admis cererea întrucât a considerat că existau suficiente probe că domnul N.T. săvârșise infracțiunea.</w:t>
      </w:r>
    </w:p>
    <w:p w14:paraId="12A57FA0" w14:textId="1D2A38D9" w:rsidR="009A5F22" w:rsidRPr="00C7421A" w:rsidRDefault="00380BCD" w:rsidP="00C7421A">
      <w:pPr>
        <w:pStyle w:val="JuPara"/>
      </w:pPr>
      <w:fldSimple w:instr=" SEQ level0 \*arabic \* MERGEFORMAT ">
        <w:r w:rsidR="00C7421A" w:rsidRPr="00C7421A">
          <w:t>34</w:t>
        </w:r>
      </w:fldSimple>
      <w:r w:rsidR="002D41A5">
        <w:t>.  În același sens al acuzațiilor neadevărate, articolele din cotidian o descriseseră ca fiind o persoană care exercitase presiuni și abuzase de instituțiile anticorupție din țară. În plus, reclamanții au indus publicului ideea că ar fi avut legături cu președintele țării, T.B., într-un context în care publicul era extrem de sensibil la informații cu privire la influența pe care anumite instituții de stat ar fi putut-o avea asupra activităților CSM. Faptul că aceste informații circulaseră în spațiul public chiar în ziua alegerii sale ca președinte CSM era dovada relei-credințe din spatele acțiunilor reclamanților, dat fiind că era vorba despre un context tensionat și alegerea sa fusese dezbătută pe larg de mass-media.</w:t>
      </w:r>
    </w:p>
    <w:bookmarkStart w:id="30" w:name="a36"/>
    <w:p w14:paraId="721DE43B" w14:textId="43C1A5C3"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35</w:t>
      </w:r>
      <w:r w:rsidRPr="00C7421A">
        <w:fldChar w:fldCharType="end"/>
      </w:r>
      <w:bookmarkEnd w:id="30"/>
      <w:r>
        <w:t>.  Primii doi reclamanți susținuseră, de asemenea, campania calomnioasă organizată de cotidian în timpul aparițiilor lor la emisiunile difuzate de postul de televiziune A.3.</w:t>
      </w:r>
    </w:p>
    <w:bookmarkStart w:id="31" w:name="a37"/>
    <w:p w14:paraId="7FC993BB" w14:textId="138B8C55"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36</w:t>
      </w:r>
      <w:r w:rsidRPr="00C7421A">
        <w:fldChar w:fldCharType="end"/>
      </w:r>
      <w:bookmarkEnd w:id="31"/>
      <w:r>
        <w:t>.  În sfârșit, doamna O.S.H. a susținut că reclamanții aveau obligația în calitate de jurnaliști de a prezenta informații publicului în mod corect și nu în conformitate cu propriile lor interese sau opinii personale, dat fiind rolul CSM de garant al independenței sistemului judiciar. Raportul Comisiei Europene către Parlamentul European și Consiliu privind progresele înregistrate în România în cadrul mecanismului de cooperare și verificare din 30 ianuarie 2013 subliniase faptul că era important ca jurnaliștii să se conformeze acestei obligații.</w:t>
      </w:r>
    </w:p>
    <w:p w14:paraId="73356724" w14:textId="28137203" w:rsidR="009A5F22" w:rsidRPr="00C7421A" w:rsidRDefault="00380BCD" w:rsidP="00C7421A">
      <w:pPr>
        <w:pStyle w:val="JuPara"/>
      </w:pPr>
      <w:fldSimple w:instr=" SEQ level0 \*arabic \* MERGEFORMAT ">
        <w:r w:rsidR="00C7421A" w:rsidRPr="00C7421A">
          <w:t>37</w:t>
        </w:r>
      </w:fldSimple>
      <w:r w:rsidR="002D41A5">
        <w:t>.  Cu toate acestea, faptele din cauza sa demonstraseră o gravă încălcare a dispozițiilor legale, constituționale și etice aplicabile celor responsabili pentru diseminarea de informații.</w:t>
      </w:r>
    </w:p>
    <w:p w14:paraId="62C2B3CE" w14:textId="0F1F6127" w:rsidR="009A5F22" w:rsidRPr="00C7421A" w:rsidRDefault="009A5F22" w:rsidP="00C7421A">
      <w:pPr>
        <w:pStyle w:val="JuHA"/>
      </w:pPr>
      <w:r>
        <w:t>Observațiile reclamanților și cererea reconvențională</w:t>
      </w:r>
    </w:p>
    <w:bookmarkStart w:id="32" w:name="a38"/>
    <w:p w14:paraId="6278DD0C" w14:textId="1B766B99"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38</w:t>
      </w:r>
      <w:r w:rsidRPr="00C7421A">
        <w:fldChar w:fldCharType="end"/>
      </w:r>
      <w:bookmarkEnd w:id="32"/>
      <w:r>
        <w:t xml:space="preserve">.  Reclamanții au susținut în fața instanței, </w:t>
      </w:r>
      <w:r>
        <w:rPr>
          <w:i/>
        </w:rPr>
        <w:t>inter alia</w:t>
      </w:r>
      <w:r>
        <w:t xml:space="preserve">, că cererea de chemare în judecată formulată de doamna O.S.H. era o reglare de conturi și o tentativă de a-i reduce la tăcere pentru că aceasta refuza să accepte că nu putea fi imună la criticile din partea presei. Aceștia au susținut că, din 2010 până în primăvara anului 2012, primii doi reclamanți intraseră în mod repetat în contact cu doamna O.S.H. și că </w:t>
      </w:r>
      <w:r>
        <w:rPr>
          <w:i/>
        </w:rPr>
        <w:t>Lumea Justiției</w:t>
      </w:r>
      <w:r>
        <w:t xml:space="preserve"> publicase o serie de articole pozitive cu privire la proiectele sale care au ajutat-o să devină mai întâi membru al CSM și apoi vicepreședinte al acestei instituții în ianuarie 2012. Cu toate acestea, doamna O.S.H. începuseră să se comporte agresiv față de </w:t>
      </w:r>
      <w:r>
        <w:lastRenderedPageBreak/>
        <w:t xml:space="preserve">cotidian și, de asemenea, față de alți jurnaliști, în urma articolelor publicate în primăvara și la începutul verii anului 2012 care criticau, </w:t>
      </w:r>
      <w:r>
        <w:rPr>
          <w:i/>
        </w:rPr>
        <w:t>inter alia</w:t>
      </w:r>
      <w:r>
        <w:t>, unele dintre beneficiile acordate de autorități membrilor CSM și conducerii acestuia, precum și utilizarea abuzivă a unora dintre aceste beneficii de către doamna O.S.H. și o altă persoană din conducerea CSM.</w:t>
      </w:r>
    </w:p>
    <w:bookmarkStart w:id="33" w:name="a39"/>
    <w:p w14:paraId="51C4EED3" w14:textId="728A03F2"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39</w:t>
      </w:r>
      <w:r w:rsidRPr="00C7421A">
        <w:fldChar w:fldCharType="end"/>
      </w:r>
      <w:bookmarkEnd w:id="33"/>
      <w:r>
        <w:t xml:space="preserve">.  Cel de-al doilea reclamant și societatea reclamantă au formulat de asemenea o cerere reconvențională împotriva doamnei O.S.H., solicitând daune morale întrucât, într-un articol de presă publicat la 26 iulie 2013, doamna O.S.H., declarase că, timp de o perioadă de aproximativ zece luni, fusese supusă unui linșaj mediatic care urmărea să o intimideze și să o împiedice să își facă treaba. Declarase, de asemenea, că acest lucru a fost realizat de Grupul I., care se folosea de un site ale cărui articole erau apoi reproduse de postul de televiziune A.3. Doamna O.S.H. declarase, de asemenea, că a introdus o acțiune în instanță împotriva site-ului S.Z., a Grupului I. și a unui alt site care fusese utilizat pentru aceste acțiuni. Reclamanții erau de părere că acest din urmă site nemenționat la care doamna O.S.H. făcea trimitere era </w:t>
      </w:r>
      <w:r>
        <w:rPr>
          <w:i/>
        </w:rPr>
        <w:t>Lumea Justiției</w:t>
      </w:r>
      <w:r>
        <w:t>.</w:t>
      </w:r>
    </w:p>
    <w:p w14:paraId="0B0AE9D9" w14:textId="14C27B66" w:rsidR="009A5F22" w:rsidRPr="00C7421A" w:rsidRDefault="009A5F22" w:rsidP="00C7421A">
      <w:pPr>
        <w:pStyle w:val="JuHA"/>
      </w:pPr>
      <w:r>
        <w:t>Decizia instanței de fond</w:t>
      </w:r>
    </w:p>
    <w:bookmarkStart w:id="34" w:name="a40"/>
    <w:p w14:paraId="3CB9F177" w14:textId="6E6D6F2C"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40</w:t>
      </w:r>
      <w:r w:rsidRPr="00C7421A">
        <w:fldChar w:fldCharType="end"/>
      </w:r>
      <w:bookmarkEnd w:id="34"/>
      <w:r>
        <w:t xml:space="preserve">.  La 30 octombrie 2014, Tribunalul București a admis în parte acțiunea formulată de doamna O.S.H. (a se vedea supra, pct. </w:t>
      </w:r>
      <w:r w:rsidRPr="00C7421A">
        <w:fldChar w:fldCharType="begin"/>
      </w:r>
      <w:r w:rsidRPr="00C7421A">
        <w:instrText xml:space="preserve"> REF a30 \h  \* MERGEFORMAT </w:instrText>
      </w:r>
      <w:r w:rsidRPr="00C7421A">
        <w:fldChar w:fldCharType="separate"/>
      </w:r>
      <w:r w:rsidR="00C7421A" w:rsidRPr="00C7421A">
        <w:t>30</w:t>
      </w:r>
      <w:r w:rsidRPr="00C7421A">
        <w:fldChar w:fldCharType="end"/>
      </w:r>
      <w:r>
        <w:t xml:space="preserve">) și a dispus ca reclamanții să îi plătească 5 000 EUR cu titlu de daune morale și să publice dispozitivul deciziei pe cheltuiala acestora în cotidianul </w:t>
      </w:r>
      <w:r>
        <w:rPr>
          <w:i/>
        </w:rPr>
        <w:t>Lumea Justiției</w:t>
      </w:r>
      <w:r>
        <w:t xml:space="preserve">. În plus, instanța a admis în parte pretențiile formulate de doamna O.S.H. cu titlu de cheltuieli de judecată. Instanța a respins cererea reconvențională formulată de cel de-al doilea reclamant și societatea reclamantă (a se vedea supra, pct. </w:t>
      </w:r>
      <w:r w:rsidRPr="00C7421A">
        <w:fldChar w:fldCharType="begin"/>
      </w:r>
      <w:r w:rsidRPr="00C7421A">
        <w:instrText xml:space="preserve"> REF a39 \h  \* MERGEFORMAT </w:instrText>
      </w:r>
      <w:r w:rsidRPr="00C7421A">
        <w:fldChar w:fldCharType="separate"/>
      </w:r>
      <w:r w:rsidR="00C7421A" w:rsidRPr="00C7421A">
        <w:t>39</w:t>
      </w:r>
      <w:r w:rsidRPr="00C7421A">
        <w:fldChar w:fldCharType="end"/>
      </w:r>
      <w:r>
        <w:t>) împotriva doamnei O.S.H.</w:t>
      </w:r>
    </w:p>
    <w:bookmarkStart w:id="35" w:name="a42"/>
    <w:p w14:paraId="44712E95" w14:textId="4DB43DA1"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41</w:t>
      </w:r>
      <w:r w:rsidRPr="00C7421A">
        <w:fldChar w:fldCharType="end"/>
      </w:r>
      <w:bookmarkEnd w:id="35"/>
      <w:r>
        <w:t>.  Bazându-se pe normele naționale și internaționale relevante, precum și pe principiile stabilite în jurisprudența Curții cu privire la criteriile care trebuie luate în considerare la asigurarea unui echilibru între dreptul la libertatea de exprimare și dreptul la viață privată, instanța a reținut că cotidianul relata activitățile CSM întrucât avea un profil editorial concentrat asupra sistemului judiciar. CSM era condus de doamna O.S.H. și, chiar dacă beneficia de atenția presei în general, beneficiase de o atenție specială începând cu vara anului 2012, date fiind conflictele interne și pozițiile anumitor magistrați.</w:t>
      </w:r>
    </w:p>
    <w:bookmarkStart w:id="36" w:name="a43"/>
    <w:p w14:paraId="4514E77D" w14:textId="783E318C"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42</w:t>
      </w:r>
      <w:r w:rsidRPr="00C7421A">
        <w:fldChar w:fldCharType="end"/>
      </w:r>
      <w:bookmarkEnd w:id="36"/>
      <w:r>
        <w:t xml:space="preserve">.  Articolele priveau conduita pe care o avea doamna O.S.H. în calitate de procuror și președinte al CSM, precum și chestiuni legate de modul în care CSM funcționa și interacționa cu alte instituții ale statului, inclusiv cu președintele țării. Prin urmare, articolele dezbătuseră aspecte de interes public, și anume modul în care funcționa sistemul judiciar și probitatea morală a celor chemați să îl protejeze, și o priveau pe doamna O.S.H., persoană publică și funcționar public de rang înalt. Doamna O.S.H. </w:t>
      </w:r>
      <w:r>
        <w:lastRenderedPageBreak/>
        <w:t xml:space="preserve">beneficiase de atenția presei și anterior, dat fiind faptul că </w:t>
      </w:r>
      <w:r>
        <w:rPr>
          <w:i/>
        </w:rPr>
        <w:t>Lumea Justiției</w:t>
      </w:r>
      <w:r>
        <w:t xml:space="preserve"> publicase numeroase articole favorabile acesteia.</w:t>
      </w:r>
    </w:p>
    <w:p w14:paraId="4E018CB0" w14:textId="57FB2B6B" w:rsidR="009A5F22" w:rsidRPr="00C7421A" w:rsidRDefault="00380BCD" w:rsidP="00C7421A">
      <w:pPr>
        <w:pStyle w:val="JuPara"/>
      </w:pPr>
      <w:fldSimple w:instr=" SEQ level0 \*arabic ">
        <w:r w:rsidR="00C7421A" w:rsidRPr="00C7421A">
          <w:t>43</w:t>
        </w:r>
      </w:fldSimple>
      <w:r w:rsidR="009A5F22">
        <w:t>.  Instanța a reținut că articolele constau în principal în judecăți de valoare scrise într‑un mod jurnalistic, care fuseseră sprijinite de o bază factuală suficientă.</w:t>
      </w:r>
    </w:p>
    <w:bookmarkStart w:id="37" w:name="a45"/>
    <w:p w14:paraId="2C7F1375" w14:textId="2395B30A"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44</w:t>
      </w:r>
      <w:r w:rsidRPr="00C7421A">
        <w:fldChar w:fldCharType="end"/>
      </w:r>
      <w:bookmarkEnd w:id="37"/>
      <w:r>
        <w:t>.  Instanța a reținut, însă, că cele cinci articole referitoare la conduita pe care a avut-o doamna O.S.H. în calitate de procuror în dosarul domnului N.T. trebuiau diferențiate de celelalte articole în litigiu. Deși stilul și conținutul jurnalistic al acestora din urmă se menținuseră în limitele protecției acordate de art. 10 din Convenție, nu se putea spune același lucru despre cele dintâi. Aceste articole erau capabile să dea naștere la îndoieli cu privire la integritatea profesională a doamnei O.S.H. în mintea unui observator rezonabil, bine intenționat, dezinteresat și informat, depășind astfel limitele libertății de exprimare, ținând seama de obligația de discreție.</w:t>
      </w:r>
    </w:p>
    <w:p w14:paraId="221A28FA" w14:textId="11DA438A" w:rsidR="009A5F22" w:rsidRPr="00C7421A" w:rsidRDefault="00380BCD" w:rsidP="00C7421A">
      <w:pPr>
        <w:pStyle w:val="JuPara"/>
      </w:pPr>
      <w:fldSimple w:instr=" SEQ level0 \*arabic ">
        <w:r w:rsidR="00C7421A" w:rsidRPr="00C7421A">
          <w:t>45</w:t>
        </w:r>
      </w:fldSimple>
      <w:r w:rsidR="009A5F22">
        <w:t>.  Circumstanțele articolelor referitoare la cazul domnului N.T. erau foarte specifice, întrucât reclamanții prezentaseră circumstanțele acestei cauze, publicaseră rechizitoriul, care făcea trimitere la hotărârea de achitare, și o acuzau pe doamna O.S.H. de săvârșirea unei erori judiciare. Era de înțeles că aceștia publicaseră cazul domnului N.T. pentru a-i informa pe cititori despre integritatea profesională a doamnei O.S.H., având în vedere contextul alegerilor pentru președinția CSM și existența unei baze factuale suficiente. În plus, potrivit unuia dintre articole, doamnei O.S.H. i se oferise dreptul la replică.</w:t>
      </w:r>
    </w:p>
    <w:bookmarkStart w:id="38" w:name="a46"/>
    <w:p w14:paraId="60A2BE82" w14:textId="4D86DB67"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46</w:t>
      </w:r>
      <w:r w:rsidRPr="00C7421A">
        <w:fldChar w:fldCharType="end"/>
      </w:r>
      <w:bookmarkEnd w:id="38"/>
      <w:r>
        <w:t>.  Cu toate acestea, reclamanții exprimaseră judecăți de valoare într-o manieră excesivă, nejustificat de ofensatoare și rău-intenționată. Expresiile și terminologia utilizate o prezentau pe doamna O.S.H. în postura de procuror care acționase nelegal prin trimiterea domnului N.T. la închisoare, și acest lucru transfera publicul într-un registru emoțional. Era adevărat că în mod regretabil cazul domnului N.T. urmase un anumit parcurs și că reclamanții avuseseră o justificare pentru a publica implicarea doamnei O.S.H. în dosar. Însă, aceste informații ar fi putut fi transmise publicului într-o manieră corectă, care ar fi permis publicului să își formeze propria opinie cu privire la conduita doamnei O.S.H.</w:t>
      </w:r>
    </w:p>
    <w:p w14:paraId="5E736A33" w14:textId="50F774A1" w:rsidR="009A5F22" w:rsidRPr="00C7421A" w:rsidRDefault="00380BCD" w:rsidP="00C7421A">
      <w:pPr>
        <w:pStyle w:val="JuPara"/>
      </w:pPr>
      <w:fldSimple w:instr=" SEQ level0 \*arabic ">
        <w:r w:rsidR="00C7421A" w:rsidRPr="00C7421A">
          <w:t>47</w:t>
        </w:r>
      </w:fldSimple>
      <w:r w:rsidR="009A5F22">
        <w:t>.  Chiar și în cazul unor judecăți de valoare, libertatea de exprimare avea limite, iar aceste limite erau strâns legate de buna-credință a jurnalistului. Identificarea limitelor dreptului unui jurnalist de a provoca și de a exagera reprezenta un exercițiu delicat, în măsura în care chiar și abordarea Curții Europene a Drepturilor Omului atunci când clasifica un anume limbaj jurnalistic ca fiind acceptabil sau nu părea să fie oscilantă. Acest lucru era valabil mai ales având în vedere că mass-media avea, pe de o parte, puterea de a transmite informații și de a sugera modul în care acestea ar trebui percepute și, pe de altă parte, obligația de a nu denatura informații veridice și imparțiale.</w:t>
      </w:r>
    </w:p>
    <w:bookmarkStart w:id="39" w:name="a49"/>
    <w:p w14:paraId="0CBE12BA" w14:textId="5BF19E2C" w:rsidR="009A5F22" w:rsidRPr="00C7421A" w:rsidRDefault="009A5F22" w:rsidP="00C7421A">
      <w:pPr>
        <w:pStyle w:val="JuPara"/>
      </w:pPr>
      <w:r w:rsidRPr="00C7421A">
        <w:lastRenderedPageBreak/>
        <w:fldChar w:fldCharType="begin"/>
      </w:r>
      <w:r w:rsidRPr="00C7421A">
        <w:instrText xml:space="preserve"> SEQ level0 \*arabic </w:instrText>
      </w:r>
      <w:r w:rsidRPr="00C7421A">
        <w:fldChar w:fldCharType="separate"/>
      </w:r>
      <w:r w:rsidR="00C7421A" w:rsidRPr="00C7421A">
        <w:t>48</w:t>
      </w:r>
      <w:r w:rsidRPr="00C7421A">
        <w:fldChar w:fldCharType="end"/>
      </w:r>
      <w:bookmarkEnd w:id="39"/>
      <w:r>
        <w:t>.  Instanța a admis argumentele oferite de doamna O.S.H. potrivit cărora articolele în cauză făceau referire atât la procurori (atât ea însăși, cât și domnul V.P.) ca fiind responsabili pentru o eroare judiciară și că niciunul din articole nu prezentase în mod clar publicului responsabilitățile sale și competența sa legală în calitate de prim-procuror. Instanța a reținut că nu putea ignora faptul că reclamanții erau familiarizați cu domeniul în cauză întrucât publicau articole care acopereau domeniul juridic și ar fi trebuit să fie conștienți de limitele implicării unui prim-procuror în confirmarea unui rechizitoriu și de faptul că competența sa legală nu acoperea arestarea preventivă.</w:t>
      </w:r>
    </w:p>
    <w:p w14:paraId="72E12822" w14:textId="1634A3A9" w:rsidR="009A5F22" w:rsidRPr="00C7421A" w:rsidRDefault="00380BCD" w:rsidP="00C7421A">
      <w:pPr>
        <w:pStyle w:val="JuPara"/>
      </w:pPr>
      <w:fldSimple w:instr=" SEQ level0 \*arabic ">
        <w:r w:rsidR="00C7421A" w:rsidRPr="00C7421A">
          <w:t>49</w:t>
        </w:r>
      </w:fldSimple>
      <w:r w:rsidR="009A5F22">
        <w:t>.  Tonul excesiv al criticilor direcționate către doamna O.S.H. era unul inacceptabil având în vedere că, în calitate de prim-procuror, doamna O.S.H. nu instrumentase dosarul în mod direct și nu audiase personal martorii, iar un judecător apreciase probele și decisese că arestarea preventivă a domnului N.T. fusese justificată. Hotărârea de achitare publicată de reclamanți nu putea susține nici argumentul potrivit căruia ar fi acționat cu bună-credință. Potrivit hotărârii în cauză, achitarea domnului N.T. avusese la bază faptul că unii martori își modificaseră declarațiile date în faza urmăririi penale din cadrul procesului și faptul că probele disponibile nu erau suficiente în susținerea condamnării.</w:t>
      </w:r>
    </w:p>
    <w:bookmarkStart w:id="40" w:name="i24"/>
    <w:bookmarkStart w:id="41" w:name="a51"/>
    <w:bookmarkStart w:id="42" w:name="a50"/>
    <w:p w14:paraId="42CD93E4" w14:textId="03447F0D"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50</w:t>
      </w:r>
      <w:r w:rsidRPr="00C7421A">
        <w:fldChar w:fldCharType="end"/>
      </w:r>
      <w:bookmarkEnd w:id="40"/>
      <w:bookmarkEnd w:id="41"/>
      <w:bookmarkEnd w:id="42"/>
      <w:r>
        <w:t xml:space="preserve">.  Curtea a subliniat faptul că articolele folosiseră termeni care avuseseră impact pentru opinia publică – cum ar fi „are pe conștiință distrugerea vieții unui student la arte”, „a făcut 13 luni de închisoare nevinovat, din cauza procurorilor [V.P.] și [O.S.H.], „iată ce drame umane produc </w:t>
      </w:r>
      <w:r w:rsidR="00DC7CBA">
        <w:t>[</w:t>
      </w:r>
      <w:r>
        <w:t>magistrații] care nu știu carte sau sunt rău intenționați”, sau „în pofida acestei «erori judiciare», [O.S.H.] a promovat amețitor în funcție, lucrând ani în șir detașată prin instituții guvernamentale, pentru ca recent să ajungă, din vicepreședinte al CSM, primul procuror președinte al CSM. Cum poate conduce un asemenea om Justiția română, la cel mai înalt nivel? Cum poate o asemenea persoană să se pronunțe în materie disciplinară pe erorile altor colegi ai ei? Cum poate o persoană care a distrus destinul unui tânăr nevinovat să se cramponeze de cea mai înaltă funcție din CSM, știind ce dezastru a lăsat în urmă [...].” Acest lucru depășise simplele judecăți de valoare și subliniase reaua-credință a reclamanților, întrucât cunoșteau circumstanțele cazului mediatizat. Reaua-credință era, de asemenea, ilustrată de referirea în articole la procurorii care au influențat martorii. Această referire o viza în mod direct pe doamna O.S.H. ca autoare a erorii judiciare, chiar dacă nu ea fusese cea care audiase martorii.</w:t>
      </w:r>
    </w:p>
    <w:p w14:paraId="63AF6F43" w14:textId="5C790D4D" w:rsidR="009A5F22" w:rsidRPr="00C7421A" w:rsidRDefault="00380BCD" w:rsidP="00C7421A">
      <w:pPr>
        <w:pStyle w:val="JuPara"/>
      </w:pPr>
      <w:fldSimple w:instr=" SEQ level0 \*arabic ">
        <w:r w:rsidR="00C7421A" w:rsidRPr="00C7421A">
          <w:t>51</w:t>
        </w:r>
      </w:fldSimple>
      <w:r w:rsidR="009A5F22">
        <w:t>.  Articolele referitoare la cazul domnului N.T. sugerau intenția de a defăima pe doamna O.S.H. întrucât o acuzaseră în mod direct că a comis o eroare judiciară, îi puseseră la îndoială calitățile profesionale și nu lăsaseră loc de îndoială, iar informațiile fuseseră prezentate în mod incorect și imparțial.</w:t>
      </w:r>
    </w:p>
    <w:bookmarkStart w:id="43" w:name="a52"/>
    <w:p w14:paraId="5C4C4A95" w14:textId="4DD185E7" w:rsidR="009A5F22" w:rsidRPr="00C7421A" w:rsidRDefault="009A5F22" w:rsidP="00C7421A">
      <w:pPr>
        <w:pStyle w:val="JuPara"/>
      </w:pPr>
      <w:r w:rsidRPr="00C7421A">
        <w:lastRenderedPageBreak/>
        <w:fldChar w:fldCharType="begin"/>
      </w:r>
      <w:r w:rsidRPr="00C7421A">
        <w:instrText xml:space="preserve"> SEQ level0 \*arabic </w:instrText>
      </w:r>
      <w:r w:rsidRPr="00C7421A">
        <w:fldChar w:fldCharType="separate"/>
      </w:r>
      <w:r w:rsidR="00C7421A" w:rsidRPr="00C7421A">
        <w:t>52</w:t>
      </w:r>
      <w:r w:rsidRPr="00C7421A">
        <w:fldChar w:fldCharType="end"/>
      </w:r>
      <w:bookmarkEnd w:id="43"/>
      <w:r>
        <w:t>.  Chiar dacă includeau documente oficiale referitoare la cazul domnului N.T. și aveau o bază factuală suficientă, prin acuzarea doamnei O.S.H. de încălcarea legii și de neîndeplinirea atribuțiilor sale profesionale, articolele nu fuseseră suficient de rezervate în declarațiile făcute pentru ca informațiile prezentate publicului să fie suficient de precise. Astfel, reclamanții îi afectaseră nu doar reputația doamnei O.S.H., ci, de asemenea, subminaseră încrederea publicului în integritatea magistraților în general.</w:t>
      </w:r>
    </w:p>
    <w:p w14:paraId="75D62FE2" w14:textId="17D63E0D" w:rsidR="009A5F22" w:rsidRPr="00C7421A" w:rsidRDefault="00380BCD" w:rsidP="00C7421A">
      <w:pPr>
        <w:pStyle w:val="JuPara"/>
      </w:pPr>
      <w:fldSimple w:instr=" SEQ level0 \*arabic ">
        <w:r w:rsidR="00C7421A" w:rsidRPr="00C7421A">
          <w:t>53</w:t>
        </w:r>
      </w:fldSimple>
      <w:r w:rsidR="009A5F22">
        <w:t>.  Reclamanții erau răspunzători în mod solidar pentru prejudiciul cauzat doamnei O.S.H., întrucât primii doi reclamanți erau autorii articolelor, iar societatea reclamantă era editorul cotidianului online care le publicase. În conformitate cu dreptul intern relevant, proprietarul unui site internet era răspunzător pentru publicarea unor comentarii jignitoare făcute de alte persoane pe pagina sa de internet. Intentarea unui proces putea fi făcută fie împotriva editorului singur, fie împotriva editorului și a autorului nemijlocit al articolului în cauză.</w:t>
      </w:r>
    </w:p>
    <w:bookmarkStart w:id="44" w:name="a55"/>
    <w:p w14:paraId="34F7F7AC" w14:textId="192754A1"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54</w:t>
      </w:r>
      <w:r w:rsidRPr="00C7421A">
        <w:fldChar w:fldCharType="end"/>
      </w:r>
      <w:bookmarkEnd w:id="44"/>
      <w:r>
        <w:t>.  În sfârșit, la calcularea cuantumului despăgubirilor acordate doamnei O.S.H. cu titlu de daune morale, instanța a ținut seama de jurisprudența Curții și de faptul că, deși articolele au afectat imaginea pe care o avea doamna O.S.H., nu i-au afectat activitatea profesională.</w:t>
      </w:r>
    </w:p>
    <w:p w14:paraId="27E56404" w14:textId="48540E36" w:rsidR="009A5F22" w:rsidRPr="00C7421A" w:rsidRDefault="00380BCD" w:rsidP="00C7421A">
      <w:pPr>
        <w:pStyle w:val="JuPara"/>
      </w:pPr>
      <w:fldSimple w:instr=" SEQ level0 \*arabic \* MERGEFORMAT ">
        <w:r w:rsidR="00C7421A" w:rsidRPr="00C7421A">
          <w:t>55</w:t>
        </w:r>
      </w:fldSimple>
      <w:r w:rsidR="002D41A5">
        <w:t>.  Instanța a reținut că cererea reconvențională formulată de cel de-al doilea reclamant și de societatea reclamantă era inadmisibilă, întrucât declarațiile în cauză făcute de doamna O.S.H. vizau alte persoane fizice și juridice și, în orice caz, nu aveau nicio legătură strânsă cu procesul intentat de doamna O.S.H. împotriva reclamanților. Cererea formulată de cel de-al doilea reclamant și de societatea reclamantă constituia în fapt o cerere de chemare în judecată separată, cu o analiză și un set de probe separate pe care ar fi putut să le formuleze separat împotriva doamnei O.S.H.</w:t>
      </w:r>
    </w:p>
    <w:p w14:paraId="263AC1D3" w14:textId="30448219" w:rsidR="009A5F22" w:rsidRPr="00C7421A" w:rsidRDefault="009A5F22" w:rsidP="00C7421A">
      <w:pPr>
        <w:pStyle w:val="JuHA"/>
      </w:pPr>
      <w:r>
        <w:t>Căile de atac formulate de reclamanți și de doamna O.S.H.</w:t>
      </w:r>
    </w:p>
    <w:p w14:paraId="372A835C" w14:textId="5DBC82B7" w:rsidR="009A5F22" w:rsidRPr="00C7421A" w:rsidRDefault="009A5F22" w:rsidP="00C7421A">
      <w:pPr>
        <w:pStyle w:val="JuH1"/>
      </w:pPr>
      <w:r>
        <w:t>Apelul reclamanților</w:t>
      </w:r>
    </w:p>
    <w:p w14:paraId="74FE33BD" w14:textId="3A422B9C" w:rsidR="009A5F22" w:rsidRPr="00C7421A" w:rsidRDefault="00380BCD" w:rsidP="00C7421A">
      <w:pPr>
        <w:pStyle w:val="JuPara"/>
      </w:pPr>
      <w:fldSimple w:instr=" SEQ level0 \*arabic ">
        <w:r w:rsidR="00C7421A" w:rsidRPr="00C7421A">
          <w:t>56</w:t>
        </w:r>
      </w:fldSimple>
      <w:r w:rsidR="009A5F22">
        <w:t xml:space="preserve">.  Reclamanții au formulat apel împotriva deciziei. Aceștia au susținut că, în ceea ce privește articolele referitoare la cazul domnului N.T., decizia fusese contradictorie și că instanța de fond redefinise conceptul de judecăți de valoare astfel cum este ilustrat în jurisprudența Curții. Judecățile de valoare și întrebările retorice identificate de instanța de fond ca fiind problematice (a se vedea supra, pct. </w:t>
      </w:r>
      <w:r w:rsidR="009A5F22" w:rsidRPr="00C7421A">
        <w:fldChar w:fldCharType="begin"/>
      </w:r>
      <w:r w:rsidR="009A5F22" w:rsidRPr="00C7421A">
        <w:instrText xml:space="preserve"> REF i24 \h </w:instrText>
      </w:r>
      <w:r w:rsidR="009A5F22" w:rsidRPr="00C7421A">
        <w:fldChar w:fldCharType="separate"/>
      </w:r>
      <w:r w:rsidR="00C7421A" w:rsidRPr="00C7421A">
        <w:t>50</w:t>
      </w:r>
      <w:r w:rsidR="009A5F22" w:rsidRPr="00C7421A">
        <w:fldChar w:fldCharType="end"/>
      </w:r>
      <w:r w:rsidR="009A5F22">
        <w:t>) fuseseră susținute de o bază factuală suficientă și exactă, care permisese publicului să își formeze propria opinie. Sancționarea reclamanților pentru aceste expresii și întrebări constituise o limitare excesivă și nefondată a libertății de exprimare. În orice caz, toate expresiile cenzurate de instanță reprezentaseră etapa premergătoare articolelor și, prin urmare, ar fi putut include o doză de exagerare permisă mai mare.</w:t>
      </w:r>
    </w:p>
    <w:bookmarkStart w:id="45" w:name="a58"/>
    <w:bookmarkStart w:id="46" w:name="a57"/>
    <w:p w14:paraId="5713D943" w14:textId="092DDBEA" w:rsidR="009A5F22" w:rsidRPr="00C7421A" w:rsidRDefault="009A5F22" w:rsidP="00C7421A">
      <w:pPr>
        <w:pStyle w:val="JuPara"/>
      </w:pPr>
      <w:r w:rsidRPr="00C7421A">
        <w:lastRenderedPageBreak/>
        <w:fldChar w:fldCharType="begin"/>
      </w:r>
      <w:r w:rsidRPr="00C7421A">
        <w:instrText xml:space="preserve"> SEQ level0 \*arabic </w:instrText>
      </w:r>
      <w:r w:rsidRPr="00C7421A">
        <w:fldChar w:fldCharType="separate"/>
      </w:r>
      <w:r w:rsidR="00C7421A" w:rsidRPr="00C7421A">
        <w:t>57</w:t>
      </w:r>
      <w:r w:rsidRPr="00C7421A">
        <w:fldChar w:fldCharType="end"/>
      </w:r>
      <w:bookmarkEnd w:id="45"/>
      <w:bookmarkEnd w:id="46"/>
      <w:r>
        <w:t xml:space="preserve">.  Începând cu 2 august 2012, cotidianul i-a acordat doamnei O.S.H. posibilitatea de a-și exprima opiniile cu privire la cazul domnului N.T. Deși nu a răspuns, la 15 ianuarie 2013, </w:t>
      </w:r>
      <w:r>
        <w:rPr>
          <w:i/>
        </w:rPr>
        <w:t>Lumea Justiției</w:t>
      </w:r>
      <w:r>
        <w:t xml:space="preserve"> publicase opinia acesteia cu privire la atribuțiile și competența legală a unui prim-procuror, pe care le exprimase în cursul interviului acordat canalului media R. (a se vedea supra, pct. </w:t>
      </w:r>
      <w:r w:rsidRPr="00C7421A">
        <w:fldChar w:fldCharType="begin"/>
      </w:r>
      <w:r w:rsidRPr="00C7421A">
        <w:instrText xml:space="preserve"> REF a32 \h  \* MERGEFORMAT </w:instrText>
      </w:r>
      <w:r w:rsidRPr="00C7421A">
        <w:fldChar w:fldCharType="separate"/>
      </w:r>
      <w:r w:rsidR="00C7421A" w:rsidRPr="00C7421A">
        <w:t>32</w:t>
      </w:r>
      <w:r w:rsidRPr="00C7421A">
        <w:fldChar w:fldCharType="end"/>
      </w:r>
      <w:r>
        <w:t>-</w:t>
      </w:r>
      <w:r w:rsidRPr="00C7421A">
        <w:fldChar w:fldCharType="begin"/>
      </w:r>
      <w:r w:rsidRPr="00C7421A">
        <w:instrText xml:space="preserve"> REF a33 \h  \* MERGEFORMAT </w:instrText>
      </w:r>
      <w:r w:rsidRPr="00C7421A">
        <w:fldChar w:fldCharType="separate"/>
      </w:r>
      <w:r w:rsidR="00C7421A" w:rsidRPr="00C7421A">
        <w:t>33</w:t>
      </w:r>
      <w:r w:rsidRPr="00C7421A">
        <w:fldChar w:fldCharType="end"/>
      </w:r>
      <w:r>
        <w:t xml:space="preserve">). Această opinie confirmase judecățile de valoare exprimate în articole în sensul că doamna O.S.H. avusese obligația de a examina dacă martorul minor C.Z. fusese asistat sau reprezentat la momentul audierii de către procuror sau dacă </w:t>
      </w:r>
      <w:r w:rsidR="001C26B5">
        <w:t xml:space="preserve">raportul de </w:t>
      </w:r>
      <w:r>
        <w:t>expertiz</w:t>
      </w:r>
      <w:r w:rsidR="001C26B5">
        <w:t>ă</w:t>
      </w:r>
      <w:r>
        <w:t xml:space="preserve"> în cauză fusese întocmit de un expert autorizat.</w:t>
      </w:r>
    </w:p>
    <w:p w14:paraId="2F82C611" w14:textId="05FCB83B" w:rsidR="009A5F22" w:rsidRPr="00C7421A" w:rsidRDefault="00380BCD" w:rsidP="00C7421A">
      <w:pPr>
        <w:pStyle w:val="JuPara"/>
      </w:pPr>
      <w:fldSimple w:instr=" SEQ level0 \*arabic ">
        <w:r w:rsidR="00C7421A" w:rsidRPr="00C7421A">
          <w:t>58</w:t>
        </w:r>
      </w:fldSimple>
      <w:r w:rsidR="009A5F22">
        <w:t xml:space="preserve">.  Reclamanții au susținut, de asemenea, că despăgubirile pentru prejudiciul moral acordate doamnei O.S.H. fuseseră disproporționat de ridicate, având în vedere că doamna O.S.H. avusese posibilitatea de a reacționa la informațiile prezentate în articole, dar alesese să păstreze tăcerea, că articolele se întemeiaseră pe o bază factuală suficientă și că instanța inferioară admisese că activitatea profesională a doamnei O.S.H. nu fusese afectată (a se vedea supra, pct. </w:t>
      </w:r>
      <w:r w:rsidR="009A5F22" w:rsidRPr="00C7421A">
        <w:fldChar w:fldCharType="begin"/>
      </w:r>
      <w:r w:rsidR="009A5F22" w:rsidRPr="00C7421A">
        <w:instrText xml:space="preserve"> REF a55 \h </w:instrText>
      </w:r>
      <w:r w:rsidR="009A5F22" w:rsidRPr="00C7421A">
        <w:fldChar w:fldCharType="separate"/>
      </w:r>
      <w:r w:rsidR="00C7421A" w:rsidRPr="00C7421A">
        <w:t>54</w:t>
      </w:r>
      <w:r w:rsidR="009A5F22" w:rsidRPr="00C7421A">
        <w:fldChar w:fldCharType="end"/>
      </w:r>
      <w:r w:rsidR="009A5F22">
        <w:t>).</w:t>
      </w:r>
    </w:p>
    <w:p w14:paraId="46F55523" w14:textId="31DAAC4E" w:rsidR="009A5F22" w:rsidRPr="00C7421A" w:rsidRDefault="009A5F22" w:rsidP="00C7421A">
      <w:pPr>
        <w:pStyle w:val="JuH1"/>
      </w:pPr>
      <w:r>
        <w:t>Apelul formulat de doamna O.S.H.</w:t>
      </w:r>
    </w:p>
    <w:p w14:paraId="4CD00D2F" w14:textId="44F434B1" w:rsidR="009A5F22" w:rsidRPr="00C7421A" w:rsidRDefault="00380BCD" w:rsidP="00C7421A">
      <w:pPr>
        <w:pStyle w:val="JuPara"/>
      </w:pPr>
      <w:fldSimple w:instr=" SEQ level0 \*arabic \* MERGEFORMAT ">
        <w:r w:rsidR="00C7421A" w:rsidRPr="00C7421A">
          <w:t>59</w:t>
        </w:r>
      </w:fldSimple>
      <w:r w:rsidR="002D41A5">
        <w:t>.  </w:t>
      </w:r>
      <w:r w:rsidR="002D41A5" w:rsidRPr="00E35BE5">
        <w:t>În apelul formulat, doamna O.S.H. susținea, inter alia, că repetarea în mod sistematic a acuzației privind arestarea unei persoane nevinovate</w:t>
      </w:r>
      <w:r w:rsidR="002D41A5">
        <w:t xml:space="preserve"> era o acuzație concretă și foarte gravă sub aspectul intenției clare și ilicite a reclamanților de a o descrie ca fiind o persoană incompetentă, în mod evident nedemnă să fie președinte al CSM. Aceasta cu atât mai mult cu cât reclamanții cunoșteau foarte bine sistemul de justiție național, dispozițiile legale aplicabile și chestiunea competenței de a dispune sau de a lua o decizie cu privire la arestarea unei persoane.</w:t>
      </w:r>
    </w:p>
    <w:p w14:paraId="6496AC5F" w14:textId="0B1FC67C" w:rsidR="009A5F22" w:rsidRPr="00C7421A" w:rsidRDefault="00380BCD" w:rsidP="00C7421A">
      <w:pPr>
        <w:pStyle w:val="JuPara"/>
      </w:pPr>
      <w:fldSimple w:instr=" SEQ level0 \*arabic \* MERGEFORMAT ">
        <w:r w:rsidR="00C7421A" w:rsidRPr="00C7421A">
          <w:t>60</w:t>
        </w:r>
      </w:fldSimple>
      <w:r w:rsidR="002D41A5">
        <w:t>.  Instanța trebuia să țină seama de faptul că cititorii cotidianului sau o parte importantă a acestora nu aveau o licență în științe juridice sau instruirea necesară pentru a le permite să înțeleagă conținutul deciziei penale pe care reclamanții o prezentaseră în mod eronat sau pentru a stabili că doamna O.S.H. nu dispunea de nicio competență procedurală pentru a menține în arest o persoană, chiar dacă era prim-procuror.</w:t>
      </w:r>
    </w:p>
    <w:bookmarkStart w:id="47" w:name="a61"/>
    <w:p w14:paraId="035FB2B9" w14:textId="3B530AB1"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61</w:t>
      </w:r>
      <w:r w:rsidRPr="00C7421A">
        <w:fldChar w:fldCharType="end"/>
      </w:r>
      <w:bookmarkEnd w:id="47"/>
      <w:r>
        <w:t xml:space="preserve">.  Doamna O.S.H. susținea, de asemenea, că reclamanții nu prezentaseră, în articolele referitoare la cazul domnului N.T., nici probele care existau la momentul în care ea verificase rechizitoriul, respectiv declarațiile tuturor celor implicați în evenimentele în cauză și rapoartele de expertiză întocmite în cauză, nici elementele esențiale de procedură care ar fi permis publicului să înțeleagă că nu doamna O.S.H. fusese procurorul de caz, și că, potrivit dispozițiilor legale relevante, arestarea preventivă a unei persoane putea fi dispusă numai de către o instanță. Legislația aplicabilă prevedea că un procuror era independent în condițiile prevăzute de lege în ceea ce privește măsurile dispuse. Procurorul putea contesta în fața CSM intervenția procurorului de rang superior făcută, în orice formă, cu privire la </w:t>
      </w:r>
      <w:r>
        <w:lastRenderedPageBreak/>
        <w:t xml:space="preserve">efectuarea unei urmăriri penale sau adoptarea unei soluții. Doamna O.S.H. a reamintit (a se vedea supra, pct. </w:t>
      </w:r>
      <w:r w:rsidRPr="00C7421A">
        <w:fldChar w:fldCharType="begin"/>
      </w:r>
      <w:r w:rsidRPr="00C7421A">
        <w:instrText xml:space="preserve"> REF a33 \h  \* MERGEFORMAT </w:instrText>
      </w:r>
      <w:r w:rsidRPr="00C7421A">
        <w:fldChar w:fldCharType="separate"/>
      </w:r>
      <w:r w:rsidR="00C7421A" w:rsidRPr="00C7421A">
        <w:t>33</w:t>
      </w:r>
      <w:r w:rsidRPr="00C7421A">
        <w:fldChar w:fldCharType="end"/>
      </w:r>
      <w:r>
        <w:t>) că verificarea rechizitoriului în cazul domnului N.T. privise legalitatea și temeinicia actelor de urmărire penală efectuate de procurorul de caz, fără ca aceasta să poată interveni în soluțiile dispuse de procuror în cursul urmăririi penale. Prin urmare, nu ar fi putut, în mod cert, să dispună arestarea preventivă a domnului N.T., astfel cum au susținut reclamanții.</w:t>
      </w:r>
    </w:p>
    <w:p w14:paraId="09582081" w14:textId="2A20A626" w:rsidR="009A5F22" w:rsidRPr="00C7421A" w:rsidRDefault="009A5F22" w:rsidP="00C7421A">
      <w:pPr>
        <w:pStyle w:val="JuHA"/>
      </w:pPr>
      <w:r>
        <w:t>Decizia instanței de ultim grad</w:t>
      </w:r>
    </w:p>
    <w:bookmarkStart w:id="48" w:name="a44"/>
    <w:bookmarkStart w:id="49" w:name="a63"/>
    <w:bookmarkStart w:id="50" w:name="a62"/>
    <w:p w14:paraId="14E3984F" w14:textId="7584DA0D"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62</w:t>
      </w:r>
      <w:r w:rsidRPr="00C7421A">
        <w:fldChar w:fldCharType="end"/>
      </w:r>
      <w:bookmarkEnd w:id="48"/>
      <w:bookmarkEnd w:id="49"/>
      <w:bookmarkEnd w:id="50"/>
      <w:r>
        <w:t>.  Prin decizia definitivă din 17 iunie 2015 (pusă la dispoziția reclamanților la 23 octombrie 2015), Curtea de Apel București („Curtea de apel”) a admis apelul reclamanților și a schimbat în parte sentința instanței inferioare. A obligat reclamanții să plătească 1 000 de euro doamnei O.S.H. reprezentând despăgubiri pentru daune morale și o sumă mai mare reprezentând cheltuieli de judecată [respectiv 3 370 lei românești (RON), echivalentul a 762 de euro] și a menținut restul dispozițiilor pronunțate de instanța inferioară.</w:t>
      </w:r>
    </w:p>
    <w:p w14:paraId="7A56BEF3" w14:textId="00BCB4DD" w:rsidR="009A5F22" w:rsidRPr="00C7421A" w:rsidRDefault="00380BCD" w:rsidP="00C7421A">
      <w:pPr>
        <w:pStyle w:val="JuPara"/>
      </w:pPr>
      <w:fldSimple w:instr=" SEQ level0 \*arabic ">
        <w:r w:rsidR="00C7421A" w:rsidRPr="00C7421A">
          <w:t>63</w:t>
        </w:r>
      </w:fldSimple>
      <w:r w:rsidR="009A5F22">
        <w:t>.  Curtea de apel a reținut că doar o parte din cele cinci articole referitoare la cazul domnului N.T. fuseseră scrise chiar de primii doi reclamanți. Cu toate acestea, toate articolele în discuție fuseseră editate de reclamanți. Prin urmare, își asumaseră responsabilitatea și erau răspunzători pentru acestea.</w:t>
      </w:r>
    </w:p>
    <w:bookmarkStart w:id="51" w:name="a48"/>
    <w:p w14:paraId="6CE86F94" w14:textId="25EE3F50"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64</w:t>
      </w:r>
      <w:r w:rsidRPr="00C7421A">
        <w:fldChar w:fldCharType="end"/>
      </w:r>
      <w:bookmarkEnd w:id="51"/>
      <w:r>
        <w:t xml:space="preserve">.  Instanța a reținut, de asemenea, că reclamanții nu puteau fi considerați responsabili pentru cele patru articole publicate între 4 și 31 ianuarie 2013 (a se vedea supra, pct. </w:t>
      </w:r>
      <w:r w:rsidRPr="00C7421A">
        <w:fldChar w:fldCharType="begin"/>
      </w:r>
      <w:r w:rsidRPr="00C7421A">
        <w:instrText xml:space="preserve"> REF a29 \h  \* MERGEFORMAT </w:instrText>
      </w:r>
      <w:r w:rsidRPr="00C7421A">
        <w:fldChar w:fldCharType="separate"/>
      </w:r>
      <w:r w:rsidR="00C7421A" w:rsidRPr="00C7421A">
        <w:t>29</w:t>
      </w:r>
      <w:r w:rsidRPr="00C7421A">
        <w:fldChar w:fldCharType="end"/>
      </w:r>
      <w:r>
        <w:t xml:space="preserve">), întrucât acele articole se întemeiaseră pe o bază factuală suficientă, iar reclamanții acționaseră cu bună-credință. Instanța a admis argumentul reclamanților potrivit căruia expresiile și întrebările considerate problematice de instanța de fond în aceste articole (a se vedea supra, pct. </w:t>
      </w:r>
      <w:r w:rsidRPr="00C7421A">
        <w:fldChar w:fldCharType="begin"/>
      </w:r>
      <w:r w:rsidRPr="00C7421A">
        <w:instrText xml:space="preserve"> REF a51 \h </w:instrText>
      </w:r>
      <w:r w:rsidRPr="00C7421A">
        <w:fldChar w:fldCharType="separate"/>
      </w:r>
      <w:r w:rsidR="00C7421A" w:rsidRPr="00C7421A">
        <w:t>50</w:t>
      </w:r>
      <w:r w:rsidRPr="00C7421A">
        <w:fldChar w:fldCharType="end"/>
      </w:r>
      <w:r>
        <w:t>) se menținuseră în limitele libertății de exprimare jurnalistice. De asemenea, acuzația că doamna O.S.H. trimisese în judecată o persoană nevinovată fusese susținută de o bază factuală suficientă, dat fiind faptul că doamna O.S.H. confirmase rechizitoriul prin care o persoană fusese arestată preventiv timp de 13 luni pe perioada premergătoare procesului și ulterior fusese achitată de instanțe.</w:t>
      </w:r>
    </w:p>
    <w:bookmarkStart w:id="52" w:name="a65"/>
    <w:p w14:paraId="2C0D71FC" w14:textId="7019A550"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65</w:t>
      </w:r>
      <w:r w:rsidRPr="00C7421A">
        <w:fldChar w:fldCharType="end"/>
      </w:r>
      <w:bookmarkEnd w:id="52"/>
      <w:r>
        <w:t>.  Faptul că reclamanții o portretizaseră în mod eronat pe doamna O.S.H. ca fiind persoana responsabilă pentru trimiterea în judecată în mod eronat și arestarea preventivă a domnului N.T. nu era suficient în sine pentru a dovedi reaua-credință a acestora și intenția de a o denigra. În pofida licențierii lor în științe juridice, aprecierea eronată a reclamanților ar fi putut fi probabil rezultatul unei înțelegeri mai degrabă elementare a normelor juridice care reglementează atribuțiile și responsabilitățile procurorilor implicați într-un proces penal, dat fiind faptul că aceștia își făcuseră cercetarea, lecturaseră și reproduseseră hotărârea judecătorească de achitare a domnului N.T.</w:t>
      </w:r>
    </w:p>
    <w:bookmarkStart w:id="53" w:name="a66"/>
    <w:p w14:paraId="1ADA95B5" w14:textId="0A7ECE63" w:rsidR="009A5F22" w:rsidRPr="00C7421A" w:rsidRDefault="009A5F22" w:rsidP="00C7421A">
      <w:pPr>
        <w:pStyle w:val="JuPara"/>
      </w:pPr>
      <w:r w:rsidRPr="00C7421A">
        <w:lastRenderedPageBreak/>
        <w:fldChar w:fldCharType="begin"/>
      </w:r>
      <w:r w:rsidRPr="00C7421A">
        <w:instrText xml:space="preserve"> SEQ level0 \*arabic </w:instrText>
      </w:r>
      <w:r w:rsidRPr="00C7421A">
        <w:fldChar w:fldCharType="separate"/>
      </w:r>
      <w:r w:rsidR="00C7421A" w:rsidRPr="00C7421A">
        <w:t>66</w:t>
      </w:r>
      <w:r w:rsidRPr="00C7421A">
        <w:fldChar w:fldCharType="end"/>
      </w:r>
      <w:bookmarkEnd w:id="53"/>
      <w:r>
        <w:t xml:space="preserve">.  Instanța a reținut, însă, că articolul din 2 august 2012 (a se vedea supra, pct. </w:t>
      </w:r>
      <w:r w:rsidRPr="00C7421A">
        <w:fldChar w:fldCharType="begin"/>
      </w:r>
      <w:r w:rsidRPr="00C7421A">
        <w:instrText xml:space="preserve"> REF i9 \h </w:instrText>
      </w:r>
      <w:r w:rsidRPr="00C7421A">
        <w:fldChar w:fldCharType="separate"/>
      </w:r>
      <w:r w:rsidR="00C7421A" w:rsidRPr="00C7421A">
        <w:t>26</w:t>
      </w:r>
      <w:r w:rsidRPr="00C7421A">
        <w:fldChar w:fldCharType="end"/>
      </w:r>
      <w:r>
        <w:t>-</w:t>
      </w:r>
      <w:r w:rsidRPr="00C7421A">
        <w:fldChar w:fldCharType="begin"/>
      </w:r>
      <w:r w:rsidRPr="00C7421A">
        <w:instrText xml:space="preserve"> REF a28 \h </w:instrText>
      </w:r>
      <w:r w:rsidRPr="00C7421A">
        <w:fldChar w:fldCharType="separate"/>
      </w:r>
      <w:r w:rsidR="00C7421A" w:rsidRPr="00C7421A">
        <w:t>28</w:t>
      </w:r>
      <w:r w:rsidRPr="00C7421A">
        <w:fldChar w:fldCharType="end"/>
      </w:r>
      <w:r>
        <w:t>) depășise limitele libertății de exprimare, întrucât se întemeiase pe textul hotărârii de achitare a domnului N.T. pentru a formula o acuzație specifică împotriva doamnei O.S.H., deși textul hotărârii în cauză nu susținuse o asemenea acuzație. În primul rând, articolul afirma în mod clar existența unor abuzuri din partea acuzării reținute de judecători în cauză. Primul paragraf al articolului descrisese ulterior aceste abuzuri citând titlul altui articol publicat de cotidian în iulie 2012, în care se afirma printre altele că judecătorii reținuseră presiunile exercitate de procurori asupra martorilor.</w:t>
      </w:r>
    </w:p>
    <w:bookmarkStart w:id="54" w:name="a68"/>
    <w:bookmarkStart w:id="55" w:name="a67"/>
    <w:p w14:paraId="4EAE0D54" w14:textId="3408F6C5"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67</w:t>
      </w:r>
      <w:r w:rsidRPr="00C7421A">
        <w:fldChar w:fldCharType="end"/>
      </w:r>
      <w:bookmarkEnd w:id="54"/>
      <w:bookmarkEnd w:id="55"/>
      <w:r>
        <w:t>.  Prin urmare, utilizând expresiile „Aflați abuzurile procuraturii, reținute de judecători în acest caz!” și „Judecătorii au menționat presiunile procurorilor [exercitate] asupra martorilor”, articolul din august 2012 susținea în fapt că eroarea judiciară prin care o persoană nevinovată a fost acuzată de omor fusese rezultatul abuzurilor săvârșite de procuror și doamna O.S.H., care constau în presiunea exercitată de cei doi procurori asupra martorilor.</w:t>
      </w:r>
    </w:p>
    <w:p w14:paraId="064241C9" w14:textId="41660EF2" w:rsidR="009A5F22" w:rsidRPr="00C7421A" w:rsidRDefault="00380BCD" w:rsidP="00C7421A">
      <w:pPr>
        <w:pStyle w:val="JuPara"/>
      </w:pPr>
      <w:fldSimple w:instr=" SEQ level0 \*arabic ">
        <w:r w:rsidR="00C7421A" w:rsidRPr="00C7421A">
          <w:t>68</w:t>
        </w:r>
      </w:fldSimple>
      <w:r w:rsidR="009A5F22">
        <w:t xml:space="preserve">.  Instanța a reținut că o astfel de acuzație era falsă. Atunci când au prezentat informațiile publicului, reclamanții nu acționaseră cu bună-credință întrucât denaturaseră informațiile disponibile în hotărârea de achitare. În această din urmă hotărâre, instanța observase că, atunci când l-a audiat pe C.Z., martorul nu își menținuse declarațiile date în faza de urmărire penală a procesului, deoarece declarase că fusese insultat și amenințat de procuror. Faptul că instanța care l-a achitat pe domnul N.T. a reprodus motivele care au stat la baza schimbării declarațiilor martorului nu însemna că instanța respectivă considerase ea însăși că o astfel de presiune existase sau că motivele invocate de martor erau adevărate. Valoarea probatorie a declarației lui C.Z. a fost apreciată în raport cu alte probe și instanța a dat eficiență principiului </w:t>
      </w:r>
      <w:r w:rsidR="009A5F22">
        <w:rPr>
          <w:i/>
        </w:rPr>
        <w:t xml:space="preserve">in </w:t>
      </w:r>
      <w:proofErr w:type="spellStart"/>
      <w:r w:rsidR="009A5F22">
        <w:rPr>
          <w:i/>
        </w:rPr>
        <w:t>dubio</w:t>
      </w:r>
      <w:proofErr w:type="spellEnd"/>
      <w:r w:rsidR="009A5F22">
        <w:rPr>
          <w:i/>
        </w:rPr>
        <w:t xml:space="preserve"> pro </w:t>
      </w:r>
      <w:proofErr w:type="spellStart"/>
      <w:r w:rsidR="009A5F22">
        <w:rPr>
          <w:i/>
        </w:rPr>
        <w:t>reo</w:t>
      </w:r>
      <w:proofErr w:type="spellEnd"/>
      <w:r w:rsidR="009A5F22">
        <w:rPr>
          <w:i/>
        </w:rPr>
        <w:t xml:space="preserve"> </w:t>
      </w:r>
      <w:r w:rsidR="009A5F22">
        <w:t>întrucât a continuat să se îndoiască că domnul N.T. era vinovat.</w:t>
      </w:r>
    </w:p>
    <w:bookmarkStart w:id="56" w:name="a69"/>
    <w:p w14:paraId="36E26F92" w14:textId="1719B159"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69</w:t>
      </w:r>
      <w:r w:rsidRPr="00C7421A">
        <w:fldChar w:fldCharType="end"/>
      </w:r>
      <w:bookmarkEnd w:id="56"/>
      <w:r>
        <w:t>.  Instanța a reținut, de asemenea, că doamna O.S.H. nu avea atribuții în audierea martorilor în calitatea sa de prim-procuror, și nici măcar C.Z. nu sugerase că ea ar fi săvârșit un abuz împotriva sa, dat fiind că făcuse referire doar la procurorul de caz, domnul V.P.</w:t>
      </w:r>
    </w:p>
    <w:bookmarkStart w:id="57" w:name="a70"/>
    <w:p w14:paraId="27DF0CAE" w14:textId="6819F80D"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70</w:t>
      </w:r>
      <w:r w:rsidRPr="00C7421A">
        <w:fldChar w:fldCharType="end"/>
      </w:r>
      <w:bookmarkEnd w:id="57"/>
      <w:r>
        <w:t>.  În articol s-au formulat acuzații clare și specifice împotriva doamnei O.S.H., care au trecut dincolo de cadrul simplelor judecăți de valoare și au depășit limitele criticii admisibile. Afirmând în mod clar, cu rea intenție, că ea săvârșise un abuz atunci când și-a îndeplinit atribuțiile profesionale, articolul fusese redactat într-un mod care depășea simpla critică cu privire la moralitatea și profesionalismul doamnei O.S.H. Prin urmare, articolul a denaturat realitatea și a defăimat-o în mod intenționat.</w:t>
      </w:r>
    </w:p>
    <w:bookmarkStart w:id="58" w:name="a53"/>
    <w:bookmarkStart w:id="59" w:name="a72"/>
    <w:p w14:paraId="32F6447B" w14:textId="6E9B1185"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71</w:t>
      </w:r>
      <w:r w:rsidRPr="00C7421A">
        <w:fldChar w:fldCharType="end"/>
      </w:r>
      <w:bookmarkEnd w:id="58"/>
      <w:bookmarkEnd w:id="59"/>
      <w:r>
        <w:t>.  Faptul că reclamanții i-au oferit doamnei O.S.H. posibilitatea de a reacționa la informațiile prezentate în articol nu a putut înlătura sau atenua prejudiciul cauzat de afirmațiile făcute.</w:t>
      </w:r>
    </w:p>
    <w:bookmarkStart w:id="60" w:name="a54"/>
    <w:bookmarkStart w:id="61" w:name="a73"/>
    <w:p w14:paraId="2CADF149" w14:textId="46AEA99F" w:rsidR="009A5F22" w:rsidRPr="00C7421A" w:rsidRDefault="009A5F22" w:rsidP="00C7421A">
      <w:pPr>
        <w:pStyle w:val="JuPara"/>
      </w:pPr>
      <w:r w:rsidRPr="00C7421A">
        <w:lastRenderedPageBreak/>
        <w:fldChar w:fldCharType="begin"/>
      </w:r>
      <w:r w:rsidRPr="00C7421A">
        <w:instrText xml:space="preserve"> SEQ level0 \*arabic </w:instrText>
      </w:r>
      <w:r w:rsidRPr="00C7421A">
        <w:fldChar w:fldCharType="separate"/>
      </w:r>
      <w:r w:rsidR="00C7421A" w:rsidRPr="00C7421A">
        <w:t>72</w:t>
      </w:r>
      <w:r w:rsidRPr="00C7421A">
        <w:fldChar w:fldCharType="end"/>
      </w:r>
      <w:bookmarkEnd w:id="60"/>
      <w:bookmarkEnd w:id="61"/>
      <w:r>
        <w:t>.  În sfârșit, la calcularea cuantumului despăgubirilor morale acordate doamnei O.S.H., instanța a luat în considerare numai acele afirmații din articol care au fost considerate a fi în detrimentul reputației profesionale a doamnei O.S.H., principiile stabilite în jurisprudența Curții cu privire la efectul descurajator pe care sancțiunile severe îl pot avea asupra presei atunci când aceasta relatează despre chestiuni de interes public, precum și impactul presei asupra publicului larg.</w:t>
      </w:r>
    </w:p>
    <w:p w14:paraId="280E45C1" w14:textId="77777777" w:rsidR="009A5F22" w:rsidRPr="00C7421A" w:rsidRDefault="009A5F22" w:rsidP="00C7421A">
      <w:pPr>
        <w:pStyle w:val="JuHIRoman"/>
      </w:pPr>
      <w:r>
        <w:t xml:space="preserve"> Alte informații relevante</w:t>
      </w:r>
    </w:p>
    <w:bookmarkStart w:id="62" w:name="e73"/>
    <w:p w14:paraId="4696B47C" w14:textId="71883590"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73</w:t>
      </w:r>
      <w:r w:rsidRPr="00C7421A">
        <w:fldChar w:fldCharType="end"/>
      </w:r>
      <w:bookmarkEnd w:id="62"/>
      <w:r>
        <w:t>.  La 21 martie 2013, în urma unei plângeri formulate de doamna O.S.H., CSM a considerat că declarațiile cu privire la integritatea și formarea profesională ale acesteia făcute în cadrul unei emisiuni de televiziune din 6 ianuarie 2013 care a analizat măsurile pe care le-a luat în dosarul domnului N.T. au afectat independența, imparțialitatea și integritatea profesională în calitate de procuror a doamnei O.S.H. Aceasta cu atât mai mult cu cât era președintele CSM.</w:t>
      </w:r>
    </w:p>
    <w:p w14:paraId="1E96DBCE" w14:textId="7BB6DBEA" w:rsidR="009A5F22" w:rsidRPr="00C7421A" w:rsidRDefault="00380BCD" w:rsidP="00C7421A">
      <w:pPr>
        <w:pStyle w:val="JuPara"/>
      </w:pPr>
      <w:fldSimple w:instr=" SEQ level0 \*arabic \* MERGEFORMAT ">
        <w:r w:rsidR="00C7421A" w:rsidRPr="00C7421A">
          <w:t>74</w:t>
        </w:r>
      </w:fldSimple>
      <w:r w:rsidR="002D41A5">
        <w:t>.  Constatarea CSM a reprezentat o replică la următoarele declarații, făcute de un moderator în timpul emisiunii de televiziune pe fundalul unor imagini cu doamna O.S.H. și rechizitoriul din dosarul domnului N.T.:</w:t>
      </w:r>
    </w:p>
    <w:p w14:paraId="1C7B30C0" w14:textId="56537F5B" w:rsidR="009A5F22" w:rsidRPr="00C7421A" w:rsidRDefault="009A5F22" w:rsidP="00C7421A">
      <w:pPr>
        <w:pStyle w:val="JuQuot"/>
      </w:pPr>
      <w:r>
        <w:t xml:space="preserve">„[...] Se poate întâmpla ca cineva să fie incompetent [...]. Dar ce se întâmplă cu cineva care este </w:t>
      </w:r>
      <w:proofErr w:type="spellStart"/>
      <w:r>
        <w:t>într</w:t>
      </w:r>
      <w:proofErr w:type="spellEnd"/>
      <w:r>
        <w:t>-atât de incompetent încât 13 luni îl bagă pe un tânăr la arhitectură la pușcărie în arest preventiv pentru crimă, împreună cu criminalii? Ar putea [el sau ea] să nu mai profeseze niciodată... nu? Ar putea [el sau ea] măcar să ia o sancțiune [...]. Priviți documentele, doamnelor și domnilor! Doamna asta... [O.S.H.] face o gravă eroare judiciară. N.T. a fost [...] trimis în judecată pentru omor deosebit de grav, dar toate instanțele [...] l-au găsit nevinovat. Dosarul a fost trimis spre judecată cu semnătura procurorului-șef [...] [O.S.H.]. Victima erorii procurorului [O.S.H.], N.T., caută și acum reparații morale și materiale [...]. Reclamațiile către CSM, unde [...] [O.S.H.] a fost vicepreședinte, au rămas fără răspuns [...]. Cică aia care au făcut abuzuri nu pot să ajungă în funcție, [...] dar văd că [...] [O.S.H.] ajunge președintele CSM [...]. Se presupune că în [forul] ăsta profesional sunt cei mai deștepți, cei mai verticali, cei mai curați, oameni care se pot pronunța în legătură cu sesizările pe care le fac oamenii și care iată vizează e posibil să vizeze doamne precum... [O.S.H.]. Cum să judece ... [să decidă O.S.H.] ce prostii a făcut dânsa când era procuror-șef la Bacău?”</w:t>
      </w:r>
    </w:p>
    <w:p w14:paraId="3D09F118" w14:textId="79C4FEF1" w:rsidR="009A5F22" w:rsidRPr="00C7421A" w:rsidRDefault="00380BCD" w:rsidP="00C7421A">
      <w:pPr>
        <w:pStyle w:val="JuPara"/>
      </w:pPr>
      <w:fldSimple w:instr=" SEQ level0 \*arabic \* MERGEFORMAT ">
        <w:r w:rsidR="00C7421A" w:rsidRPr="00C7421A">
          <w:t>75</w:t>
        </w:r>
      </w:fldSimple>
      <w:r w:rsidR="002D41A5">
        <w:t>.  CSM a reținut că în dosarul domnului N.T., urmărirea penală a fost efectuată de procurorul de caz care a întocmit, de asemenea, propunerea ca N.T. să fie plasat în arest preventiv pe perioada premergătoare procesului. Propunerea a fost admisă de un judecător, singura persoană care avea competența de a lua o decizie cu privire la detenția domnului N.T. În conformitate cu art. 64 alin. (2) din Legea nr. 304/2004 privind organizarea judiciară, verificarea de către doamna O.S.H. a rechizitoriului privea legalitatea și temeinicia actelor de urmărire penală efectuate de procurorul de caz, fără ca aceasta să poată interveni în soluțiile adoptate de acesta în timpul urmăririi penale.</w:t>
      </w:r>
    </w:p>
    <w:bookmarkStart w:id="63" w:name="e76"/>
    <w:p w14:paraId="4172FA2A" w14:textId="36BF0A0F" w:rsidR="009A5F22" w:rsidRPr="00C7421A" w:rsidRDefault="009A5F22" w:rsidP="00C7421A">
      <w:pPr>
        <w:pStyle w:val="JuPara"/>
      </w:pPr>
      <w:r w:rsidRPr="00C7421A">
        <w:lastRenderedPageBreak/>
        <w:fldChar w:fldCharType="begin"/>
      </w:r>
      <w:r w:rsidRPr="00C7421A">
        <w:instrText xml:space="preserve"> SEQ level0 \*arabic \* MERGEFORMAT </w:instrText>
      </w:r>
      <w:r w:rsidRPr="00C7421A">
        <w:fldChar w:fldCharType="separate"/>
      </w:r>
      <w:r w:rsidR="00C7421A" w:rsidRPr="00C7421A">
        <w:t>76</w:t>
      </w:r>
      <w:r w:rsidRPr="00C7421A">
        <w:fldChar w:fldCharType="end"/>
      </w:r>
      <w:bookmarkEnd w:id="63"/>
      <w:r>
        <w:t>.  CSM a reținut, de asemenea, că declarațiile în litigiu depășeau limitele admisibile ale libertății de exprimare, care erau supuse unor limitări atunci când erau utilizate împotriva anumitor valori precum autoritatea și imparțialitatea puterii judecătorești. Dreptul național și internațional recunosc independența și imparțialitatea procurorilor și necesitatea protejării acestei independențe și imparțialități. Prin denaturarea clară a realităților factuale referitoare la procuror și la independența și imparțialitatea procurorului, afirmațiile în cauză induseseră indirect ideea că sistemul de justiție funcționa incorect. Afirmațiile care puneau la îndoială imparțialitatea procurorilor puteau submina încrederea publicului în procurori și putea</w:t>
      </w:r>
      <w:r w:rsidR="009811F7">
        <w:t>u</w:t>
      </w:r>
      <w:r>
        <w:t>, în schimb, afecta capacitatea acestora de a-și îndeplini în mod adecvat atribuțiile.</w:t>
      </w:r>
    </w:p>
    <w:p w14:paraId="72F3EBEE" w14:textId="3F5A5EB9" w:rsidR="009A5F22" w:rsidRPr="00C7421A" w:rsidRDefault="00380BCD" w:rsidP="00C7421A">
      <w:pPr>
        <w:pStyle w:val="JuPara"/>
      </w:pPr>
      <w:fldSimple w:instr=" SEQ level0 \*arabic \* MERGEFORMAT ">
        <w:r w:rsidR="00C7421A" w:rsidRPr="00C7421A">
          <w:t>77</w:t>
        </w:r>
      </w:fldSimple>
      <w:r w:rsidR="002D41A5">
        <w:t>.  La 21 februarie 2020, CSM a informat Guvernul că plângerea sus</w:t>
      </w:r>
      <w:r w:rsidR="009811F7">
        <w:noBreakHyphen/>
      </w:r>
      <w:r w:rsidR="002D41A5">
        <w:t xml:space="preserve">menționată (a se vedea supra, pct. </w:t>
      </w:r>
      <w:r w:rsidR="009A5F22" w:rsidRPr="00C7421A">
        <w:fldChar w:fldCharType="begin"/>
      </w:r>
      <w:r w:rsidR="009A5F22" w:rsidRPr="00C7421A">
        <w:instrText xml:space="preserve"> REF e73 \h </w:instrText>
      </w:r>
      <w:r w:rsidR="009A5F22" w:rsidRPr="00C7421A">
        <w:fldChar w:fldCharType="separate"/>
      </w:r>
      <w:r w:rsidR="00C7421A" w:rsidRPr="00C7421A">
        <w:t>73</w:t>
      </w:r>
      <w:r w:rsidR="009A5F22" w:rsidRPr="00C7421A">
        <w:fldChar w:fldCharType="end"/>
      </w:r>
      <w:r w:rsidR="002D41A5">
        <w:t xml:space="preserve">) nu privea articolul din 2 august 2012 (a se vedea supra, pct. </w:t>
      </w:r>
      <w:r w:rsidR="009A5F22" w:rsidRPr="00C7421A">
        <w:fldChar w:fldCharType="begin"/>
      </w:r>
      <w:r w:rsidR="009A5F22" w:rsidRPr="00C7421A">
        <w:instrText xml:space="preserve"> REF i9 \h </w:instrText>
      </w:r>
      <w:r w:rsidR="009A5F22" w:rsidRPr="00C7421A">
        <w:fldChar w:fldCharType="separate"/>
      </w:r>
      <w:r w:rsidR="00C7421A" w:rsidRPr="00C7421A">
        <w:t>26</w:t>
      </w:r>
      <w:r w:rsidR="009A5F22" w:rsidRPr="00C7421A">
        <w:fldChar w:fldCharType="end"/>
      </w:r>
      <w:r w:rsidR="002D41A5">
        <w:t>-</w:t>
      </w:r>
      <w:r w:rsidR="009A5F22" w:rsidRPr="00C7421A">
        <w:fldChar w:fldCharType="begin"/>
      </w:r>
      <w:r w:rsidR="009A5F22" w:rsidRPr="00C7421A">
        <w:instrText xml:space="preserve"> REF a28 \h </w:instrText>
      </w:r>
      <w:r w:rsidR="009A5F22" w:rsidRPr="00C7421A">
        <w:fldChar w:fldCharType="separate"/>
      </w:r>
      <w:r w:rsidR="00C7421A" w:rsidRPr="00C7421A">
        <w:t>28</w:t>
      </w:r>
      <w:r w:rsidR="009A5F22" w:rsidRPr="00C7421A">
        <w:fldChar w:fldCharType="end"/>
      </w:r>
      <w:r w:rsidR="002D41A5">
        <w:t>).</w:t>
      </w:r>
    </w:p>
    <w:p w14:paraId="12AEFF07" w14:textId="77777777" w:rsidR="009A5F22" w:rsidRPr="00C7421A" w:rsidRDefault="009A5F22" w:rsidP="00C7421A">
      <w:pPr>
        <w:pStyle w:val="JuHHead"/>
      </w:pPr>
      <w:r>
        <w:t>Cadrul juridic relevant și documente internaționale</w:t>
      </w:r>
    </w:p>
    <w:p w14:paraId="5E7A62DE" w14:textId="08F0BA53" w:rsidR="009A5F22" w:rsidRPr="00C7421A" w:rsidRDefault="00380BCD" w:rsidP="00C7421A">
      <w:pPr>
        <w:pStyle w:val="JuPara"/>
      </w:pPr>
      <w:fldSimple w:instr=" SEQ level0 \*arabic ">
        <w:r w:rsidR="00C7421A" w:rsidRPr="00C7421A">
          <w:t>78</w:t>
        </w:r>
      </w:fldSimple>
      <w:r w:rsidR="009A5F22">
        <w:t>.  </w:t>
      </w:r>
      <w:r w:rsidR="009A5F22">
        <w:rPr>
          <w:rFonts w:ascii="Times New Roman" w:hAnsi="Times New Roman"/>
        </w:rPr>
        <w:t xml:space="preserve">Codul </w:t>
      </w:r>
      <w:r w:rsidR="009811F7">
        <w:rPr>
          <w:rFonts w:ascii="Times New Roman" w:hAnsi="Times New Roman"/>
        </w:rPr>
        <w:t>c</w:t>
      </w:r>
      <w:r w:rsidR="009A5F22">
        <w:rPr>
          <w:rFonts w:ascii="Times New Roman" w:hAnsi="Times New Roman"/>
        </w:rPr>
        <w:t>ivil al României prevede că o persoană care are discernământ răspunde de orice prejudiciu cauzat de acțiunile sau inacțiunile sale și este obligată să le repare integral [art. 1349;</w:t>
      </w:r>
      <w:r w:rsidR="009A5F22">
        <w:t xml:space="preserve"> a se vedea </w:t>
      </w:r>
      <w:r w:rsidR="009A5F22">
        <w:rPr>
          <w:i/>
        </w:rPr>
        <w:t>Nicolae Virgiliu Tănase împotriva României</w:t>
      </w:r>
      <w:r w:rsidR="009A5F22">
        <w:t xml:space="preserve"> (MC)</w:t>
      </w:r>
      <w:r w:rsidR="009A5F22">
        <w:rPr>
          <w:i/>
        </w:rPr>
        <w:t>,</w:t>
      </w:r>
      <w:r w:rsidR="009A5F22">
        <w:t xml:space="preserve"> nr. 41720/13, pct. 70, 25 iunie 2019</w:t>
      </w:r>
      <w:r w:rsidR="009A5F22">
        <w:rPr>
          <w:rFonts w:ascii="Times New Roman" w:hAnsi="Times New Roman"/>
        </w:rPr>
        <w:t>]</w:t>
      </w:r>
      <w:r w:rsidR="009A5F22">
        <w:t>.</w:t>
      </w:r>
    </w:p>
    <w:p w14:paraId="182FC8C0" w14:textId="519D425B" w:rsidR="009A5F22" w:rsidRPr="00C7421A" w:rsidRDefault="00380BCD" w:rsidP="00C7421A">
      <w:pPr>
        <w:pStyle w:val="JuPara"/>
      </w:pPr>
      <w:fldSimple w:instr=" SEQ level0 \*arabic \* MERGEFORMAT ">
        <w:r w:rsidR="00C7421A" w:rsidRPr="00C7421A">
          <w:t>79</w:t>
        </w:r>
      </w:fldSimple>
      <w:r w:rsidR="002D41A5">
        <w:t xml:space="preserve">.  Dispozițiile relevante ale cadrului juridic național și documentele internaționale privind numirea, funcțiile și independența procurorilor, precum și dreptul acestora la libertatea de exprimare sunt stabilite în </w:t>
      </w:r>
      <w:proofErr w:type="spellStart"/>
      <w:r w:rsidR="002D41A5">
        <w:rPr>
          <w:i/>
        </w:rPr>
        <w:t>Kövesi</w:t>
      </w:r>
      <w:proofErr w:type="spellEnd"/>
      <w:r w:rsidR="002D41A5">
        <w:rPr>
          <w:i/>
        </w:rPr>
        <w:t xml:space="preserve"> împotriva României</w:t>
      </w:r>
      <w:r w:rsidR="002D41A5">
        <w:t xml:space="preserve"> (nr. 3594/19, pct. 71-93, 5 mai 2020).</w:t>
      </w:r>
    </w:p>
    <w:bookmarkStart w:id="64" w:name="a83"/>
    <w:p w14:paraId="7C352904" w14:textId="0C36A01B"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80</w:t>
      </w:r>
      <w:r w:rsidRPr="00C7421A">
        <w:fldChar w:fldCharType="end"/>
      </w:r>
      <w:bookmarkEnd w:id="64"/>
      <w:r>
        <w:t>.  Raportul Comisiei către Parlamentul European și Consiliu privind progresele înregistrate în România în cadrul Mecanismului de cooperare și verificare din 30 ianuarie 2013 prevede următoarele în părțile sale relevante:</w:t>
      </w:r>
    </w:p>
    <w:p w14:paraId="1E73724B" w14:textId="77777777" w:rsidR="009A5F22" w:rsidRPr="00C7421A" w:rsidRDefault="009A5F22" w:rsidP="00C7421A">
      <w:pPr>
        <w:pStyle w:val="JuQuot"/>
      </w:pPr>
      <w:r>
        <w:t>„[...]</w:t>
      </w:r>
    </w:p>
    <w:p w14:paraId="4DF47A31" w14:textId="77777777" w:rsidR="009A5F22" w:rsidRPr="00C7421A" w:rsidRDefault="009A5F22" w:rsidP="00C7421A">
      <w:pPr>
        <w:pStyle w:val="JuQuot"/>
      </w:pPr>
      <w:r>
        <w:t xml:space="preserve">În timpul verii, una dintre preocupările majore a fost dovada clară a exercitării de presiuni asupra instituțiilor judiciare și a lipsei de respect pentru independența sistemului judiciar. Aceasta rămâne un motiv serios de preocupare. Comisia a primit numeroase rapoarte privind acte de intimidare sau hărțuire comise împotriva unor persoane care lucrează în instituții judiciare și anticorupție importante, inclusiv amenințări cu un caracter personal împotriva judecătorilor și a familiilor acestora și campanii mediatice de hărțuire (De exemplu, acuzațiile de exercitare de presiuni asupra judecătorilor Curții Constituționale și de intimidare a acestora care au fost aduse la cunoștința Comisiei. Scrisoarea președintelui </w:t>
      </w:r>
      <w:proofErr w:type="spellStart"/>
      <w:r>
        <w:t>Barroso</w:t>
      </w:r>
      <w:proofErr w:type="spellEnd"/>
      <w:r>
        <w:t xml:space="preserve"> către prim-ministrul român, dl Victor Ponta, din 10/08/2012).</w:t>
      </w:r>
    </w:p>
    <w:p w14:paraId="37008690" w14:textId="62D23B21" w:rsidR="009A5F22" w:rsidRPr="00C7421A" w:rsidRDefault="009A5F22" w:rsidP="00C7421A">
      <w:pPr>
        <w:pStyle w:val="JuQuot"/>
      </w:pPr>
      <w:r>
        <w:t>Din păcate, recomandarea Comisiei nu a fost pusă în aplicare pe deplin. Atacurile cu motivație politică la adresa sistemului judiciar nu au încetat [...].</w:t>
      </w:r>
    </w:p>
    <w:p w14:paraId="2A371735" w14:textId="6BE52951" w:rsidR="009A5F22" w:rsidRPr="00C7421A" w:rsidRDefault="009A5F22" w:rsidP="00C7421A">
      <w:pPr>
        <w:pStyle w:val="JuQuot"/>
      </w:pPr>
      <w:r>
        <w:t xml:space="preserve">Comisia ar dori, de asemenea, să atragă atenția asupra rolului mijloacelor de informare în masă. Au existat numeroase exemple de mijloace de informare în masă care au exercitat presiuni asupra sistemului judiciar, precum și anumite îndoieli cu </w:t>
      </w:r>
      <w:r>
        <w:lastRenderedPageBreak/>
        <w:t>privire la eficacitatea activității de supraveghere desfășurată de Consiliul Național al Audiovizualului. Situația sugerează necesitatea unei revizuiri a normelor existente pentru a garanta faptul că libertatea presei este însoțită de o protecție corespunzătoare a instituțiilor și a drepturilor fundamentale ale persoanelor, precum și pentru a pune la dispoziție măsuri reparatorii eficiente.</w:t>
      </w:r>
    </w:p>
    <w:p w14:paraId="1E821E61" w14:textId="77777777" w:rsidR="009A5F22" w:rsidRPr="00C7421A" w:rsidRDefault="009A5F22" w:rsidP="00C7421A">
      <w:pPr>
        <w:pStyle w:val="JuQuot"/>
      </w:pPr>
      <w:r>
        <w:t>[...]</w:t>
      </w:r>
    </w:p>
    <w:p w14:paraId="00D425B7" w14:textId="77777777" w:rsidR="009A5F22" w:rsidRPr="00C7421A" w:rsidRDefault="009A5F22" w:rsidP="00C7421A">
      <w:pPr>
        <w:pStyle w:val="JuQuot"/>
      </w:pPr>
      <w:r>
        <w:t>Comisia salută măsurile pozitive adoptate [...], dar consideră că mai sunt multe de făcut pentru a pune în aplicare pe deplin recomandările sale.</w:t>
      </w:r>
    </w:p>
    <w:p w14:paraId="65B792FA" w14:textId="77777777" w:rsidR="009A5F22" w:rsidRPr="00C7421A" w:rsidRDefault="009A5F22" w:rsidP="00C7421A">
      <w:pPr>
        <w:pStyle w:val="JuQuot"/>
      </w:pPr>
      <w:r>
        <w:t>[...]</w:t>
      </w:r>
    </w:p>
    <w:p w14:paraId="4E8E752F" w14:textId="27F0852C" w:rsidR="009A5F22" w:rsidRPr="00C7421A" w:rsidRDefault="009A5F22" w:rsidP="00C7421A">
      <w:pPr>
        <w:pStyle w:val="JuQuot"/>
      </w:pPr>
      <w:r>
        <w:t>revizuirea standardelor existente pentru a se garanta existența unor mijloace de informare în masă libere și pluraliste, asigurându-se, totodată, măsuri reparatorii eficiente împotriva încălcării drepturilor fundamentale ale omului și împotriva exercitării de presiuni nejustificate și a recurgerii la acte de intimidare de către mijloacele de informare în masă asupra sistemului judiciar și a instituțiilor implicate în combaterea corupției. Ar trebui să se dea asigurări Consiliului Național al Audiovizualului cu privire la independența sa efectivă, iar acesta ar trebui să își îndeplinească pe deplin rolul prin instituirea și aplicarea unui cod de conduită în această privință [....].”</w:t>
      </w:r>
    </w:p>
    <w:p w14:paraId="4A3274C0" w14:textId="77777777" w:rsidR="009A5F22" w:rsidRPr="00C7421A" w:rsidRDefault="009A5F22" w:rsidP="00C7421A">
      <w:pPr>
        <w:pStyle w:val="JuQuot"/>
      </w:pPr>
    </w:p>
    <w:p w14:paraId="0CB5BA14" w14:textId="0E34D6D4" w:rsidR="009A5F22" w:rsidRPr="00C7421A" w:rsidRDefault="00380BCD" w:rsidP="00C7421A">
      <w:pPr>
        <w:pStyle w:val="JuPara"/>
      </w:pPr>
      <w:fldSimple w:instr=" SEQ level0 \*arabic \* MERGEFORMAT ">
        <w:r w:rsidR="00C7421A" w:rsidRPr="00C7421A">
          <w:t>81</w:t>
        </w:r>
      </w:fldSimple>
      <w:r w:rsidR="002D41A5">
        <w:t>.  Raport</w:t>
      </w:r>
      <w:r w:rsidR="009811F7">
        <w:t>ul</w:t>
      </w:r>
      <w:r w:rsidR="002D41A5">
        <w:t xml:space="preserve"> din 2021 privind statul de drept al Comisiei Europene: Capitolul privind situația statului de drept consacrat României prevede următoarele în părțile sale relevante:</w:t>
      </w:r>
    </w:p>
    <w:p w14:paraId="32B039F4" w14:textId="77777777" w:rsidR="009A5F22" w:rsidRPr="00C7421A" w:rsidRDefault="009A5F22" w:rsidP="00C7421A">
      <w:pPr>
        <w:pStyle w:val="JuQuot"/>
      </w:pPr>
      <w:r>
        <w:t>„[...]</w:t>
      </w:r>
    </w:p>
    <w:p w14:paraId="2DAC1152" w14:textId="77777777" w:rsidR="009A5F22" w:rsidRPr="00C7421A" w:rsidRDefault="009A5F22" w:rsidP="00C7421A">
      <w:pPr>
        <w:pStyle w:val="JuQuot"/>
      </w:pPr>
      <w:r>
        <w:t>Se înregistrează în continuare procese împotriva jurnaliștilor de investigație pentru articole cu caracter presupus defăimător. Două alerte recente pe Platforma Consiliului Europei pentru promovarea protejării jurnalismului și a siguranței jurnaliștilor vizează hărțuirea și intimidarea unor jurnaliști. Un alt proces împotriva unor jurnaliști de investigație, având ca obiect publicarea unor articole referitoare la industria mondială a fotbalului cu caracter presupus defăimător, a fost respins de instanța competentă din România la începutul anului 2021. Într-o hotărâre recentă, ca urmare a unui proces intentat de primarul unui sector din București împotriva unui ziar important pentru publicare de articole cu caracter presupus defăimător, judecătoria a decis ștergerea mai multor articole publicate de ziarul respectiv. Se raportează că primarul a depus și o plângere penală împotriva jurnaliștilor de la mai multe publicații pentru șantaj și constituire a unui grup infracțional organizat, anchetată de Direcția de Investigare a Infracțiunilor de Criminalitate Organizată și Terorism. Societatea civilă a raportat, de asemenea, cazuri de SLAPP (acțiuni strategice în justiție împotriva mobilizării publice) împotriva jurnaliștilor, a mass-mediei sau a societății civile de către instituții publice sau oameni de afaceri.</w:t>
      </w:r>
    </w:p>
    <w:p w14:paraId="3D213BCC" w14:textId="77777777" w:rsidR="009A5F22" w:rsidRPr="00C7421A" w:rsidRDefault="009A5F22" w:rsidP="00C7421A">
      <w:pPr>
        <w:pStyle w:val="JuQuot"/>
      </w:pPr>
      <w:r>
        <w:t>[...]”</w:t>
      </w:r>
    </w:p>
    <w:p w14:paraId="3EFFE61D" w14:textId="77777777" w:rsidR="009A5F22" w:rsidRPr="00C7421A" w:rsidRDefault="009A5F22" w:rsidP="00C7421A">
      <w:pPr>
        <w:pStyle w:val="JuHHead"/>
        <w:numPr>
          <w:ilvl w:val="0"/>
          <w:numId w:val="1"/>
        </w:numPr>
        <w:ind w:left="360" w:hanging="360"/>
      </w:pPr>
      <w:r>
        <w:lastRenderedPageBreak/>
        <w:t>ÎN DREPT</w:t>
      </w:r>
    </w:p>
    <w:p w14:paraId="7A2BBAAD" w14:textId="77777777" w:rsidR="009A5F22" w:rsidRPr="00C7421A" w:rsidRDefault="009A5F22" w:rsidP="00C7421A">
      <w:pPr>
        <w:pStyle w:val="JuHIRoman"/>
      </w:pPr>
      <w:r>
        <w:t>CU PRIVIRE LA PRETINSA ÎNCĂLCARE A ART. 10 DIN CONVENŢIE</w:t>
      </w:r>
    </w:p>
    <w:p w14:paraId="7AA57E5F" w14:textId="55FC6AB0" w:rsidR="009A5F22" w:rsidRPr="00C7421A" w:rsidRDefault="00380BCD" w:rsidP="00C7421A">
      <w:pPr>
        <w:pStyle w:val="JuPara"/>
      </w:pPr>
      <w:fldSimple w:instr=" SEQ level0 \*arabic ">
        <w:r w:rsidR="00C7421A" w:rsidRPr="00C7421A">
          <w:t>82</w:t>
        </w:r>
      </w:fldSimple>
      <w:r w:rsidR="009A5F22">
        <w:t>.  Reclamanții s-au plâns că sentința pronunțată împotriva lor le‑a încălcat dreptul la libertatea de exprimare, nu a fost justificată de o nevoie socială imperioasă și a avut ca scop intimidarea acestora. Au invocat art. 10 din Convenție, care prevede următoarele:</w:t>
      </w:r>
    </w:p>
    <w:p w14:paraId="39EE08B6" w14:textId="77777777" w:rsidR="009A5F22" w:rsidRPr="00C7421A" w:rsidRDefault="009A5F22" w:rsidP="00C7421A">
      <w:pPr>
        <w:pStyle w:val="JuQuot"/>
      </w:pPr>
      <w:r>
        <w:t>„1.  Orice persoană are dreptul la libertatea de exprimare. Acest drept cuprinde libertatea de opinie și libertatea de a primi sau de a transmite informații sau idei fără amestecul autorităților publice și fără a ține seama de frontiere. Prezentul articol nu împiedică statele să supună societățile de radiodifuziune, de cinematografie sau de televiziune unui regim de autorizare.</w:t>
      </w:r>
    </w:p>
    <w:p w14:paraId="7BD0EDE1" w14:textId="77777777" w:rsidR="009A5F22" w:rsidRPr="00C7421A" w:rsidRDefault="009A5F22" w:rsidP="00C7421A">
      <w:pPr>
        <w:pStyle w:val="JuQuot"/>
      </w:pPr>
      <w:r>
        <w:t>2.  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w:t>
      </w:r>
    </w:p>
    <w:p w14:paraId="1942C0AF" w14:textId="77777777" w:rsidR="009A5F22" w:rsidRPr="00C7421A" w:rsidRDefault="009A5F22" w:rsidP="00C7421A">
      <w:pPr>
        <w:pStyle w:val="JuHA"/>
      </w:pPr>
      <w:r>
        <w:t>Cu privire la admisibilitate</w:t>
      </w:r>
    </w:p>
    <w:p w14:paraId="30E6BB70" w14:textId="56AC03CB" w:rsidR="009A5F22" w:rsidRPr="00C7421A" w:rsidRDefault="00380BCD" w:rsidP="00C7421A">
      <w:pPr>
        <w:pStyle w:val="JuPara"/>
      </w:pPr>
      <w:fldSimple w:instr=" SEQ level0 \*arabic ">
        <w:r w:rsidR="00C7421A" w:rsidRPr="00C7421A">
          <w:t>83</w:t>
        </w:r>
      </w:fldSimple>
      <w:r w:rsidR="009A5F22">
        <w:t>.  Curtea constată că cererea nu este nici vădit nefondată, nici inadmisibilă pentru alte motive enumerate la art. 35 din Convenție. Este necesar să fie declarată admisibilă.</w:t>
      </w:r>
    </w:p>
    <w:p w14:paraId="1EB18491" w14:textId="77777777" w:rsidR="009A5F22" w:rsidRPr="00C7421A" w:rsidRDefault="009A5F22" w:rsidP="00C7421A">
      <w:pPr>
        <w:pStyle w:val="JuHA"/>
      </w:pPr>
      <w:r>
        <w:t>Cu privire la fond</w:t>
      </w:r>
    </w:p>
    <w:p w14:paraId="1B377017" w14:textId="77777777" w:rsidR="009A5F22" w:rsidRPr="00C7421A" w:rsidRDefault="009A5F22" w:rsidP="00C7421A">
      <w:pPr>
        <w:pStyle w:val="JuH1"/>
      </w:pPr>
      <w:r>
        <w:t>Argumentele părților</w:t>
      </w:r>
    </w:p>
    <w:p w14:paraId="38D3EBC9" w14:textId="77777777" w:rsidR="009A5F22" w:rsidRPr="00C7421A" w:rsidRDefault="009A5F22" w:rsidP="00C7421A">
      <w:pPr>
        <w:pStyle w:val="JuHa0"/>
      </w:pPr>
      <w:r>
        <w:t>Reclamanții</w:t>
      </w:r>
    </w:p>
    <w:bookmarkStart w:id="65" w:name="a87"/>
    <w:p w14:paraId="35095829" w14:textId="1628B0D6"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84</w:t>
      </w:r>
      <w:r w:rsidRPr="00C7421A">
        <w:fldChar w:fldCharType="end"/>
      </w:r>
      <w:bookmarkEnd w:id="65"/>
      <w:r>
        <w:t>.  Reclamanții au susținut că măsura aplicată a constituit o ingerință în exercitarea dreptului lor la libertatea de exprimare. Aceștia au recunoscut că măsura a fost legală și a avut scopul legitim de a proteja reputația doamnei O.S.H.</w:t>
      </w:r>
    </w:p>
    <w:bookmarkStart w:id="66" w:name="a88"/>
    <w:p w14:paraId="4287E414" w14:textId="2BED407D"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85</w:t>
      </w:r>
      <w:r w:rsidRPr="00C7421A">
        <w:fldChar w:fldCharType="end"/>
      </w:r>
      <w:bookmarkEnd w:id="66"/>
      <w:r>
        <w:t>.  Au contestat, însă, argumentul Guvernului potrivit căruia măsura în litigiu ar fi avut, de asemenea, drept scop să protejeze imaginea sistemului judiciar. Această imagine nu se poate baza pe abuzuri sau pe suferința victimelor sistemului juridic. Încrederea publică în sistem poate fi consolidată doar prin susținerea adevărului și pedepsirea celor responsabili pentru denegarea de dreptate, nu prin pedepsirea jurnaliștilor care au publicat informații despre astfel de erori judiciare.</w:t>
      </w:r>
    </w:p>
    <w:bookmarkStart w:id="67" w:name="a64"/>
    <w:p w14:paraId="72459C2B" w14:textId="07F60F4D"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86</w:t>
      </w:r>
      <w:r w:rsidRPr="00C7421A">
        <w:fldChar w:fldCharType="end"/>
      </w:r>
      <w:bookmarkEnd w:id="67"/>
      <w:r>
        <w:t xml:space="preserve">.  Reclamanții au afirmat, de asemenea, că măsura aplicată nu a fost necesară într-o societate democratică. Articolul privea doar activitățile </w:t>
      </w:r>
      <w:r>
        <w:lastRenderedPageBreak/>
        <w:t>profesionale ale doamnei O.S.H., nu conținea niciun limbaj ofensator sau atacuri la persoană, și atingea chestiuni de interes public în contextul unor alegeri.</w:t>
      </w:r>
    </w:p>
    <w:bookmarkStart w:id="68" w:name="a90"/>
    <w:bookmarkStart w:id="69" w:name="a89"/>
    <w:p w14:paraId="738513B5" w14:textId="70A8D190"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87</w:t>
      </w:r>
      <w:r w:rsidRPr="00C7421A">
        <w:fldChar w:fldCharType="end"/>
      </w:r>
      <w:bookmarkEnd w:id="68"/>
      <w:bookmarkEnd w:id="69"/>
      <w:r>
        <w:t>.  Doamna O.S.H. nu era magistrat activ la momentul publicării articolului. Aceasta era membru și vicepreședinte al CSM și, potrivit informațiilor disponibile public, se pregătea să candideze pentru postul de președinte al CSM, pe care l-a câștigat în cele din urmă. Prin urmare, era un politician din cadrul sistemului juridic și demnitar public ales, întrucât CSM întrunea toate caracteristicile unui parlament și guvern pentru magistrații și membrii acestuia, iar conducătorii instituției desfășurau campanii și erau aleși de ceilalți magistrați sau membri ai CSM.</w:t>
      </w:r>
    </w:p>
    <w:bookmarkStart w:id="70" w:name="a91"/>
    <w:p w14:paraId="5351EAC8" w14:textId="1B86E001"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88</w:t>
      </w:r>
      <w:r w:rsidRPr="00C7421A">
        <w:fldChar w:fldCharType="end"/>
      </w:r>
      <w:bookmarkEnd w:id="70"/>
      <w:r>
        <w:t>.  Spre deosebire de un magistrat activ, prin urmare, dar la fel ca un politician, doamna O.S.H. se expusese în mod conștient și voluntar controlului atent al publicului asupra activităților sale și, prin urmare, trebuia să dea dovadă de o mai mare toleranță față de critici.</w:t>
      </w:r>
    </w:p>
    <w:p w14:paraId="08A8E762" w14:textId="6AD63902" w:rsidR="009A5F22" w:rsidRPr="00C7421A" w:rsidRDefault="00380BCD" w:rsidP="00C7421A">
      <w:pPr>
        <w:pStyle w:val="JuPara"/>
      </w:pPr>
      <w:fldSimple w:instr=" SEQ level0 \*arabic ">
        <w:r w:rsidR="00C7421A" w:rsidRPr="00C7421A">
          <w:t>89</w:t>
        </w:r>
      </w:fldSimple>
      <w:r w:rsidR="009A5F22">
        <w:t>.  Reclamanții au contestat argumentul Guvernului și motivarea Curții de apel potrivit cărora judecătorii care îl achitaseră pe domnul N.T. nu observaseră abuzurile săvârșite de parchet sau faptul că martorii fuseseră presați de procuror. Hotărârea în cauză menționase în mod clar că mărturia lui C.Z. a fost dată în lipsa unui martor asistent și a avocatului apărării, care solicitase în mod expres să fie prezent; că C.Z. declarase că fusese amenințat de procuror; că instanța de fond care l-a achitat pe domnul N.T. a reținut că declarația lui C.Z. din faza urmăririi penale a procesului îi fusese sugerată și că declarația sa în fața instanței era adevărată; că una din presupusele victime ale domnului N.T. declarase în fața instanței că procurorul i-a redactat în mod incorect declarația; că raportul de expertiză prezentat în cauză în faza urmăririi penale a procesului nu era valabil, întrucât nu fusese întocmit de un expert autorizat; și că în rechizitoriu se susținea în mod fals că celălalt raport de expertiză întocmit în faza urmăririi penale a procesului probase vinovăția domnului N.T.</w:t>
      </w:r>
    </w:p>
    <w:p w14:paraId="52C13D38" w14:textId="1DE2EA0D" w:rsidR="009A5F22" w:rsidRPr="00C7421A" w:rsidRDefault="00380BCD" w:rsidP="00C7421A">
      <w:pPr>
        <w:pStyle w:val="JuPara"/>
      </w:pPr>
      <w:fldSimple w:instr=" SEQ level0 \*arabic ">
        <w:r w:rsidR="00C7421A" w:rsidRPr="00C7421A">
          <w:t>90</w:t>
        </w:r>
      </w:fldSimple>
      <w:r w:rsidR="009A5F22">
        <w:t>.  Admițând în mod expres că C.Z. a fost sincer în declarațiile sale în fața instanței, instanța de fond care l-a achitat pe domnul N.T. considerase în mod clar că declarația martorului era adevărată, inclusiv declarația sa privind faptul că fusese amenințat de procuror.</w:t>
      </w:r>
    </w:p>
    <w:bookmarkStart w:id="71" w:name="a94"/>
    <w:p w14:paraId="5A566409" w14:textId="3A765AE5"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91</w:t>
      </w:r>
      <w:r w:rsidRPr="00C7421A">
        <w:fldChar w:fldCharType="end"/>
      </w:r>
      <w:bookmarkEnd w:id="71"/>
      <w:r>
        <w:t>.  Reclamanții au admis că unele dintre actele nelegale ale procurorului de caz, identificate de instanța de fond care a examinat cauza domnului N.T. nu puteau fi cunoscute de doamna O.S.H. în calitatea sa de prim-procuror, întrucât nu condusese ea însăși activitatea de urmărire penală. Cu toate acestea, multe dintre aceste acte ar fi trebuit să fie cunoscute și invalidate de doamna O.S.H., inclusiv faptul că C.Z. a fost audiat în lipsa unui martor asistent sau a avocatului apărării, că unul dintre rapoartele de expertiză nu fusese întocmit de un expert autorizat și că susținerile procurorului de caz cu privire la vinovăția domnului N.T. fuseseră infirmate de unul dintre rapoartele de expertiză.</w:t>
      </w:r>
    </w:p>
    <w:p w14:paraId="3F488D2E" w14:textId="6739815D" w:rsidR="009A5F22" w:rsidRPr="00C7421A" w:rsidRDefault="00380BCD" w:rsidP="00C7421A">
      <w:pPr>
        <w:pStyle w:val="JuPara"/>
      </w:pPr>
      <w:fldSimple w:instr=" SEQ level0 \*arabic ">
        <w:r w:rsidR="00C7421A" w:rsidRPr="00C7421A">
          <w:t>92</w:t>
        </w:r>
      </w:fldSimple>
      <w:r w:rsidR="009A5F22">
        <w:t>.  Articolul îi criticase atât pe doamna O.S.H., cât și pe domnul V.P. pentru abuzurile săvârșite în dosarul domnului N.T. Din textul hotărârii în cauză reiese clar că fiecare din cei doi procurori săvârșiseră propriile acte nelegale, întrucât judecătorii au constatat că parchetul exercitase presiuni asupra martorilor. Ca rezultat, jurnalistul care scrisese articolul formulase judecata de valoare imediată și logică că abuzurile săvârșite de acuzare au fost constate de judecători.</w:t>
      </w:r>
    </w:p>
    <w:bookmarkStart w:id="72" w:name="a96"/>
    <w:p w14:paraId="5D5CE45E" w14:textId="2F88DDBC"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93</w:t>
      </w:r>
      <w:r w:rsidRPr="00C7421A">
        <w:fldChar w:fldCharType="end"/>
      </w:r>
      <w:bookmarkEnd w:id="72"/>
      <w:r>
        <w:t xml:space="preserve">.  Reclamanții au argumentat că sancțiunea civilă care le-a fost aplicată pentru declarațiile de fapt și judecățile de valoare care fuseseră făcute cu bună-credință și erau susținute de o bază factuală suficientă nu putea fi justificată de o nevoie socială imperioasă. Aceasta cu atât mai mult având în vedere faptul că doamna O.S.H. a primit dreptul la replică și a refuzat să răspundă; că cititorii publicațiilor erau, în cea mai mare parte, practicieni în domeniul dreptului calificați, capabili să facă distincție între atribuțiile procurorilor implicați într-un dosar și să lectureze textul complet al hotărârii de achitare a domnului N.T. anexat articolului respectiv; și că cotidianul a publicat poziția doamnei O.S.H. cu privire la aspectele menționate în articol, pe care ea le exprimase prin intermediul unui canal media diferit (a se vedea supra, pct. </w:t>
      </w:r>
      <w:r w:rsidRPr="00C7421A">
        <w:fldChar w:fldCharType="begin"/>
      </w:r>
      <w:r w:rsidRPr="00C7421A">
        <w:instrText xml:space="preserve"> REF a32 \h  \* MERGEFORMAT </w:instrText>
      </w:r>
      <w:r w:rsidRPr="00C7421A">
        <w:fldChar w:fldCharType="separate"/>
      </w:r>
      <w:r w:rsidR="00C7421A" w:rsidRPr="00C7421A">
        <w:t>32</w:t>
      </w:r>
      <w:r w:rsidRPr="00C7421A">
        <w:fldChar w:fldCharType="end"/>
      </w:r>
      <w:r>
        <w:t>-</w:t>
      </w:r>
      <w:r w:rsidRPr="00C7421A">
        <w:fldChar w:fldCharType="begin"/>
      </w:r>
      <w:r w:rsidRPr="00C7421A">
        <w:instrText xml:space="preserve"> REF a33 \h  \* MERGEFORMAT </w:instrText>
      </w:r>
      <w:r w:rsidRPr="00C7421A">
        <w:fldChar w:fldCharType="separate"/>
      </w:r>
      <w:r w:rsidR="00C7421A" w:rsidRPr="00C7421A">
        <w:t>33</w:t>
      </w:r>
      <w:r w:rsidRPr="00C7421A">
        <w:fldChar w:fldCharType="end"/>
      </w:r>
      <w:r>
        <w:t xml:space="preserve"> și </w:t>
      </w:r>
      <w:r w:rsidRPr="00C7421A">
        <w:fldChar w:fldCharType="begin"/>
      </w:r>
      <w:r w:rsidRPr="00C7421A">
        <w:instrText xml:space="preserve"> REF a58 \h </w:instrText>
      </w:r>
      <w:r w:rsidRPr="00C7421A">
        <w:fldChar w:fldCharType="separate"/>
      </w:r>
      <w:r w:rsidR="00C7421A" w:rsidRPr="00C7421A">
        <w:t>57</w:t>
      </w:r>
      <w:r w:rsidRPr="00C7421A">
        <w:fldChar w:fldCharType="end"/>
      </w:r>
      <w:r>
        <w:t>).</w:t>
      </w:r>
    </w:p>
    <w:p w14:paraId="4FB1CF00" w14:textId="30A6CCFF" w:rsidR="009A5F22" w:rsidRPr="00C7421A" w:rsidRDefault="00380BCD" w:rsidP="00C7421A">
      <w:pPr>
        <w:pStyle w:val="JuPara"/>
      </w:pPr>
      <w:fldSimple w:instr=" SEQ level0 \*arabic \* MERGEFORMAT ">
        <w:r w:rsidR="00C7421A" w:rsidRPr="00C7421A">
          <w:t>94</w:t>
        </w:r>
      </w:fldSimple>
      <w:r w:rsidR="002D41A5">
        <w:t xml:space="preserve">.  În sfârșit, reclamanții au susținut că decizia CSM din 21 martie 2013 (a se vedea supra, pct. </w:t>
      </w:r>
      <w:r w:rsidR="009A5F22" w:rsidRPr="00C7421A">
        <w:fldChar w:fldCharType="begin"/>
      </w:r>
      <w:r w:rsidR="009A5F22" w:rsidRPr="00C7421A">
        <w:instrText xml:space="preserve"> REF e73 \h </w:instrText>
      </w:r>
      <w:r w:rsidR="009A5F22" w:rsidRPr="00C7421A">
        <w:fldChar w:fldCharType="separate"/>
      </w:r>
      <w:r w:rsidR="00C7421A" w:rsidRPr="00C7421A">
        <w:t>73</w:t>
      </w:r>
      <w:r w:rsidR="009A5F22" w:rsidRPr="00C7421A">
        <w:fldChar w:fldCharType="end"/>
      </w:r>
      <w:r w:rsidR="002D41A5">
        <w:t>-</w:t>
      </w:r>
      <w:r w:rsidR="009A5F22" w:rsidRPr="00C7421A">
        <w:fldChar w:fldCharType="begin"/>
      </w:r>
      <w:r w:rsidR="009A5F22" w:rsidRPr="00C7421A">
        <w:instrText xml:space="preserve"> REF e76 \h </w:instrText>
      </w:r>
      <w:r w:rsidR="009A5F22" w:rsidRPr="00C7421A">
        <w:fldChar w:fldCharType="separate"/>
      </w:r>
      <w:r w:rsidR="00C7421A" w:rsidRPr="00C7421A">
        <w:t>76</w:t>
      </w:r>
      <w:r w:rsidR="009A5F22" w:rsidRPr="00C7421A">
        <w:fldChar w:fldCharType="end"/>
      </w:r>
      <w:r w:rsidR="002D41A5">
        <w:t>) nu avea nicio legătură cu cauza reclamanților. Această decizie privea declarații care erau fundamental diferite de cele din articol, care fuseseră făcute în cadrul unei emisiuni de televiziune, nu aveau nicio legătură cu activitățile editoriale ale reclamanților și nu priveau articolul din 2 august 2012.</w:t>
      </w:r>
    </w:p>
    <w:p w14:paraId="735F1F91" w14:textId="77777777" w:rsidR="009A5F22" w:rsidRPr="00C7421A" w:rsidRDefault="009A5F22" w:rsidP="00C7421A">
      <w:pPr>
        <w:pStyle w:val="JuHa0"/>
      </w:pPr>
      <w:r>
        <w:t>Guvernul</w:t>
      </w:r>
    </w:p>
    <w:bookmarkStart w:id="73" w:name="a98"/>
    <w:p w14:paraId="234B0573" w14:textId="150DFEE2"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95</w:t>
      </w:r>
      <w:r w:rsidRPr="00C7421A">
        <w:fldChar w:fldCharType="end"/>
      </w:r>
      <w:bookmarkEnd w:id="73"/>
      <w:r>
        <w:t>.  Guvernul a admis că măsura aplicată reclamanților putea fi privită ca o ingerință în exercitarea dreptului acestora la libertatea de exprimare.</w:t>
      </w:r>
    </w:p>
    <w:bookmarkStart w:id="74" w:name="a99"/>
    <w:p w14:paraId="101CC55A" w14:textId="19AFD7C0"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96</w:t>
      </w:r>
      <w:r w:rsidRPr="00C7421A">
        <w:fldChar w:fldCharType="end"/>
      </w:r>
      <w:bookmarkEnd w:id="74"/>
      <w:r>
        <w:t>.  Cu toate acestea, măsura a fost legală și a avut ca scop să protejeze și să păstreze reputația și integritatea morală și profesională a unui magistrat și reprezentant al sistemului judiciar, precum și încrederea publicului în sistemul judiciar.</w:t>
      </w:r>
    </w:p>
    <w:p w14:paraId="3ACBC67E" w14:textId="1B432A47" w:rsidR="009A5F22" w:rsidRPr="00C7421A" w:rsidRDefault="00380BCD" w:rsidP="00C7421A">
      <w:pPr>
        <w:pStyle w:val="JuPara"/>
      </w:pPr>
      <w:fldSimple w:instr=" SEQ level0 \*arabic ">
        <w:r w:rsidR="00C7421A" w:rsidRPr="00C7421A">
          <w:t>97</w:t>
        </w:r>
      </w:fldSimple>
      <w:r w:rsidR="009A5F22">
        <w:t>.  În plus, era necesară într-o societate democratică, având în vedere că, astfel cum au indicat și instanțele naționale, articolul din presă în cauză depășea limitele unei critici admisibile, întrucât formulase acuzații specifice împotriva doamnei O.S.H. în ceea ce privește conduita profesională a acesteia, bazându-se pe conținutul hotărârilor de achitare a domnului N.T., deși conținutul acestor hotărâri nu susținuse aceste acuzații.</w:t>
      </w:r>
    </w:p>
    <w:bookmarkStart w:id="75" w:name="a75"/>
    <w:p w14:paraId="368A9D7A" w14:textId="408E881B" w:rsidR="009A5F22" w:rsidRPr="00C7421A" w:rsidRDefault="009A5F22" w:rsidP="00C7421A">
      <w:pPr>
        <w:pStyle w:val="JuPara"/>
      </w:pPr>
      <w:r w:rsidRPr="00C7421A">
        <w:fldChar w:fldCharType="begin"/>
      </w:r>
      <w:r w:rsidRPr="00C7421A">
        <w:instrText xml:space="preserve"> SEQ level0 \*arabic </w:instrText>
      </w:r>
      <w:r w:rsidRPr="00C7421A">
        <w:fldChar w:fldCharType="separate"/>
      </w:r>
      <w:r w:rsidR="00C7421A" w:rsidRPr="00C7421A">
        <w:t>98</w:t>
      </w:r>
      <w:r w:rsidRPr="00C7421A">
        <w:fldChar w:fldCharType="end"/>
      </w:r>
      <w:bookmarkEnd w:id="75"/>
      <w:r>
        <w:t>.  Era adevărat că aspectele care privesc administrarea justiției și magistrații puteau fi criticate public. Cu toate acestea, astfel de critici nu puteau depăși anumite limite, iar statul avea obligația de a-i proteja pe magistrați împotriva unor critici nejustificate, pentru a menține încrederea publicului.</w:t>
      </w:r>
    </w:p>
    <w:p w14:paraId="7EC812A7" w14:textId="070CA511" w:rsidR="009A5F22" w:rsidRPr="00C7421A" w:rsidRDefault="00380BCD" w:rsidP="00C7421A">
      <w:pPr>
        <w:pStyle w:val="JuPara"/>
      </w:pPr>
      <w:fldSimple w:instr=" SEQ level0 \*arabic ">
        <w:r w:rsidR="00C7421A" w:rsidRPr="00C7421A">
          <w:t>99</w:t>
        </w:r>
      </w:fldSimple>
      <w:r w:rsidR="009A5F22">
        <w:t>.  Expresiile utilizate și afirmațiile făcute în articol nu erau doar simple judecăți de valoare și ignoraseră normele de etică jurnalistică. Modul în care articolul a fost scris, contextul său, acțiunile specifice imputate doamnei O.S.H. și prezentarea denaturată a realității, toate indicau intenția de a o compromite pe doamna O.S.H., precum și reaua-credință a reclamanților.</w:t>
      </w:r>
    </w:p>
    <w:p w14:paraId="5C809FDB" w14:textId="3214BB70" w:rsidR="009A5F22" w:rsidRPr="00C7421A" w:rsidRDefault="00380BCD" w:rsidP="00C7421A">
      <w:pPr>
        <w:pStyle w:val="JuPara"/>
      </w:pPr>
      <w:fldSimple w:instr=" SEQ level0 \*arabic ">
        <w:r w:rsidR="00C7421A" w:rsidRPr="00C7421A">
          <w:t>100</w:t>
        </w:r>
      </w:fldSimple>
      <w:r w:rsidR="009A5F22">
        <w:t xml:space="preserve">.  Chiar dacă reclamanții nu erau autorii articolului, aceștia își asumaseră responsabilitatea și acceptaseră răspunderea pentru acesta. Nu au oferit nicio dovadă că ar fi luat măsuri serioase pentru a verifica informațiile transmise de articol, iar instanțele naționale consideraseră că acuzațiile aduse de articol împotriva doamnei O.S.H erau false, după ce au examinat toate probele prezentate de părțile la procedură. CSM ajunsese, de asemenea, la o concluzie similară în decizia sa din 21 martie 2013 (a se vedea supra, pct. </w:t>
      </w:r>
      <w:r w:rsidR="009A5F22" w:rsidRPr="00C7421A">
        <w:fldChar w:fldCharType="begin"/>
      </w:r>
      <w:r w:rsidR="009A5F22" w:rsidRPr="00C7421A">
        <w:instrText xml:space="preserve"> REF e73 \h </w:instrText>
      </w:r>
      <w:r w:rsidR="009A5F22" w:rsidRPr="00C7421A">
        <w:fldChar w:fldCharType="separate"/>
      </w:r>
      <w:r w:rsidR="00C7421A" w:rsidRPr="00C7421A">
        <w:t>73</w:t>
      </w:r>
      <w:r w:rsidR="009A5F22" w:rsidRPr="00C7421A">
        <w:fldChar w:fldCharType="end"/>
      </w:r>
      <w:r w:rsidR="00A96219">
        <w:noBreakHyphen/>
      </w:r>
      <w:r w:rsidR="009A5F22" w:rsidRPr="00C7421A">
        <w:fldChar w:fldCharType="begin"/>
      </w:r>
      <w:r w:rsidR="009A5F22" w:rsidRPr="00C7421A">
        <w:instrText xml:space="preserve"> REF e76 \h </w:instrText>
      </w:r>
      <w:r w:rsidR="009A5F22" w:rsidRPr="00C7421A">
        <w:fldChar w:fldCharType="separate"/>
      </w:r>
      <w:r w:rsidR="00C7421A" w:rsidRPr="00C7421A">
        <w:t>76</w:t>
      </w:r>
      <w:r w:rsidR="009A5F22" w:rsidRPr="00C7421A">
        <w:fldChar w:fldCharType="end"/>
      </w:r>
      <w:r w:rsidR="009A5F22">
        <w:t>).</w:t>
      </w:r>
    </w:p>
    <w:p w14:paraId="4D8172E5" w14:textId="2A6F835F" w:rsidR="009A5F22" w:rsidRPr="00C7421A" w:rsidRDefault="00380BCD" w:rsidP="00C7421A">
      <w:pPr>
        <w:pStyle w:val="JuPara"/>
      </w:pPr>
      <w:fldSimple w:instr=" SEQ level0 \*arabic ">
        <w:r w:rsidR="00C7421A" w:rsidRPr="00C7421A">
          <w:t>101</w:t>
        </w:r>
      </w:fldSimple>
      <w:r w:rsidR="009A5F22">
        <w:t>.  Guvernul a susținut că instanțele naționale au motivat în mod amplu și suficient deciziile lor, bazându-se pe principiile relevante stabilite în jurisprudența Curții. În plus, valoarea despăgubirilor civile acordate de Curtea de apel doamnei O.S.H. fusese proporțională și justificată în circumstanțele cauzei.</w:t>
      </w:r>
    </w:p>
    <w:p w14:paraId="7A2188F7" w14:textId="58412C7C" w:rsidR="009A5F22" w:rsidRPr="00C7421A" w:rsidRDefault="009A5F22" w:rsidP="00C7421A">
      <w:pPr>
        <w:pStyle w:val="JuH1"/>
      </w:pPr>
      <w:r>
        <w:t>Motivarea Curții</w:t>
      </w:r>
    </w:p>
    <w:p w14:paraId="73905A66" w14:textId="77777777" w:rsidR="009A5F22" w:rsidRPr="00C7421A" w:rsidRDefault="009A5F22" w:rsidP="00C7421A">
      <w:pPr>
        <w:pStyle w:val="JuHa0"/>
      </w:pPr>
      <w:r>
        <w:t>Cu privire la existența unei ingerințe</w:t>
      </w:r>
    </w:p>
    <w:p w14:paraId="03E8DFD6" w14:textId="08B4872E" w:rsidR="009A5F22" w:rsidRPr="00C7421A" w:rsidRDefault="00380BCD" w:rsidP="00C7421A">
      <w:pPr>
        <w:pStyle w:val="JuPara"/>
      </w:pPr>
      <w:fldSimple w:instr=" SEQ level0 \*arabic ">
        <w:r w:rsidR="00C7421A" w:rsidRPr="00C7421A">
          <w:t>102</w:t>
        </w:r>
      </w:fldSimple>
      <w:r w:rsidR="009A5F22">
        <w:t xml:space="preserve">.  Curtea observă că părțile au fost de acord că măsura aplicată reclamanților în urma deciziei Curții de apel din 17 iunie 2015 (a se vedea supra, pct. </w:t>
      </w:r>
      <w:r w:rsidR="009A5F22" w:rsidRPr="00C7421A">
        <w:fldChar w:fldCharType="begin"/>
      </w:r>
      <w:r w:rsidR="009A5F22" w:rsidRPr="00C7421A">
        <w:instrText xml:space="preserve"> REF a44 \h </w:instrText>
      </w:r>
      <w:r w:rsidR="009A5F22" w:rsidRPr="00C7421A">
        <w:fldChar w:fldCharType="separate"/>
      </w:r>
      <w:r w:rsidR="00C7421A" w:rsidRPr="00C7421A">
        <w:t>62</w:t>
      </w:r>
      <w:r w:rsidR="009A5F22" w:rsidRPr="00C7421A">
        <w:fldChar w:fldCharType="end"/>
      </w:r>
      <w:r w:rsidR="009A5F22">
        <w:t>-</w:t>
      </w:r>
      <w:r w:rsidR="009A5F22" w:rsidRPr="00C7421A">
        <w:fldChar w:fldCharType="begin"/>
      </w:r>
      <w:r w:rsidR="009A5F22" w:rsidRPr="00C7421A">
        <w:instrText xml:space="preserve"> REF a54 \h </w:instrText>
      </w:r>
      <w:r w:rsidR="009A5F22" w:rsidRPr="00C7421A">
        <w:fldChar w:fldCharType="separate"/>
      </w:r>
      <w:r w:rsidR="00C7421A" w:rsidRPr="00C7421A">
        <w:t>72</w:t>
      </w:r>
      <w:r w:rsidR="009A5F22" w:rsidRPr="00C7421A">
        <w:fldChar w:fldCharType="end"/>
      </w:r>
      <w:r w:rsidR="009A5F22">
        <w:t>) a constituit o ingerință în exercitarea dreptului reclamanților la libertatea de exprimare, astfel cum este garantat de art. </w:t>
      </w:r>
      <w:bookmarkStart w:id="76" w:name="HIT11"/>
      <w:bookmarkEnd w:id="76"/>
      <w:r w:rsidR="009A5F22">
        <w:t xml:space="preserve">10 § 1 din Convenție (a se vedea supra, pct. </w:t>
      </w:r>
      <w:r w:rsidR="009A5F22" w:rsidRPr="00C7421A">
        <w:fldChar w:fldCharType="begin"/>
      </w:r>
      <w:r w:rsidR="009A5F22" w:rsidRPr="00C7421A">
        <w:instrText xml:space="preserve"> REF a87 \h </w:instrText>
      </w:r>
      <w:r w:rsidR="009A5F22" w:rsidRPr="00C7421A">
        <w:fldChar w:fldCharType="separate"/>
      </w:r>
      <w:r w:rsidR="00C7421A" w:rsidRPr="00C7421A">
        <w:t>84</w:t>
      </w:r>
      <w:r w:rsidR="009A5F22" w:rsidRPr="00C7421A">
        <w:fldChar w:fldCharType="end"/>
      </w:r>
      <w:r w:rsidR="009A5F22">
        <w:t xml:space="preserve"> și </w:t>
      </w:r>
      <w:r w:rsidR="009A5F22" w:rsidRPr="00C7421A">
        <w:fldChar w:fldCharType="begin"/>
      </w:r>
      <w:r w:rsidR="009A5F22" w:rsidRPr="00C7421A">
        <w:instrText xml:space="preserve"> REF a98 \h </w:instrText>
      </w:r>
      <w:r w:rsidR="009A5F22" w:rsidRPr="00C7421A">
        <w:fldChar w:fldCharType="separate"/>
      </w:r>
      <w:r w:rsidR="00C7421A" w:rsidRPr="00C7421A">
        <w:t>95</w:t>
      </w:r>
      <w:r w:rsidR="009A5F22" w:rsidRPr="00C7421A">
        <w:fldChar w:fldCharType="end"/>
      </w:r>
      <w:r w:rsidR="009A5F22">
        <w:t>). Curtea consideră că nu există motive pentru a reține contrariul.</w:t>
      </w:r>
    </w:p>
    <w:p w14:paraId="17DFD40F" w14:textId="31254EDC" w:rsidR="009A5F22" w:rsidRPr="00C7421A" w:rsidRDefault="00380BCD" w:rsidP="00C7421A">
      <w:pPr>
        <w:pStyle w:val="JuPara"/>
      </w:pPr>
      <w:fldSimple w:instr=" SEQ level0 \*arabic \* MERGEFORMAT ">
        <w:r w:rsidR="00C7421A" w:rsidRPr="00C7421A">
          <w:t>103</w:t>
        </w:r>
      </w:fldSimple>
      <w:r w:rsidR="002D41A5">
        <w:t xml:space="preserve">.  Prin urmare, argumentele Guvernului trebuie examinate în legătură cu restricțiile privind libertatea de exprimare prevăzute la paragraful al doilea al art. 10. Rămâne așadar să se stabilească dacă ingerința era „prevăzută de lege”, dacă urmărea unul sau mai multe dintre scopurile legitime descrise la paragraful al doilea și dacă era „necesară într-o societate democratică” (a se vedea, de exemplu, </w:t>
      </w:r>
      <w:proofErr w:type="spellStart"/>
      <w:r w:rsidR="002D41A5">
        <w:rPr>
          <w:i/>
          <w:iCs/>
        </w:rPr>
        <w:t>Balaskas</w:t>
      </w:r>
      <w:proofErr w:type="spellEnd"/>
      <w:r w:rsidR="002D41A5">
        <w:rPr>
          <w:i/>
          <w:iCs/>
        </w:rPr>
        <w:t xml:space="preserve"> împotriva Greciei</w:t>
      </w:r>
      <w:r w:rsidR="002D41A5">
        <w:t>, nr. 73087/17, pct. 33, 5 noiembrie 2020).</w:t>
      </w:r>
    </w:p>
    <w:p w14:paraId="00D70996" w14:textId="77777777" w:rsidR="009A5F22" w:rsidRPr="00C7421A" w:rsidRDefault="009A5F22" w:rsidP="00C7421A">
      <w:pPr>
        <w:pStyle w:val="JuHa0"/>
        <w:numPr>
          <w:ilvl w:val="4"/>
          <w:numId w:val="3"/>
        </w:numPr>
        <w:ind w:left="1008" w:hanging="432"/>
      </w:pPr>
      <w:r>
        <w:t>Prevăzută de lege și un scop legitim</w:t>
      </w:r>
    </w:p>
    <w:p w14:paraId="54977391" w14:textId="18A72D2E" w:rsidR="009A5F22" w:rsidRPr="00C7421A" w:rsidRDefault="00380BCD" w:rsidP="00C7421A">
      <w:pPr>
        <w:pStyle w:val="JuPara"/>
      </w:pPr>
      <w:fldSimple w:instr=" SEQ level0 \*arabic \* MERGEFORMAT ">
        <w:r w:rsidR="00C7421A" w:rsidRPr="00C7421A">
          <w:t>104</w:t>
        </w:r>
      </w:fldSimple>
      <w:r w:rsidR="002D41A5">
        <w:t xml:space="preserve">.  Curtea observă că părțile au fost de acord că măsura a fost legală și că a avut ca scop legitim protecția reputației sau a drepturilor altora, în special a reputației profesionale a doamnei O.S.H. (a se vedea supra, pct. </w:t>
      </w:r>
      <w:r w:rsidR="009A5F22" w:rsidRPr="00C7421A">
        <w:fldChar w:fldCharType="begin"/>
      </w:r>
      <w:r w:rsidR="009A5F22" w:rsidRPr="00C7421A">
        <w:instrText xml:space="preserve"> REF a87 \h </w:instrText>
      </w:r>
      <w:r w:rsidR="009A5F22" w:rsidRPr="00C7421A">
        <w:fldChar w:fldCharType="separate"/>
      </w:r>
      <w:r w:rsidR="00C7421A" w:rsidRPr="00C7421A">
        <w:t>84</w:t>
      </w:r>
      <w:r w:rsidR="009A5F22" w:rsidRPr="00C7421A">
        <w:fldChar w:fldCharType="end"/>
      </w:r>
      <w:r w:rsidR="002D41A5">
        <w:t xml:space="preserve"> și </w:t>
      </w:r>
      <w:r w:rsidR="009A5F22" w:rsidRPr="00C7421A">
        <w:fldChar w:fldCharType="begin"/>
      </w:r>
      <w:r w:rsidR="009A5F22" w:rsidRPr="00C7421A">
        <w:instrText xml:space="preserve"> REF a99 \h </w:instrText>
      </w:r>
      <w:r w:rsidR="009A5F22" w:rsidRPr="00C7421A">
        <w:fldChar w:fldCharType="separate"/>
      </w:r>
      <w:r w:rsidR="00C7421A" w:rsidRPr="00C7421A">
        <w:t>96</w:t>
      </w:r>
      <w:r w:rsidR="009A5F22" w:rsidRPr="00C7421A">
        <w:fldChar w:fldCharType="end"/>
      </w:r>
      <w:r w:rsidR="002D41A5">
        <w:t>). Curtea consideră că nu există motive pentru a reține contrariul.</w:t>
      </w:r>
    </w:p>
    <w:p w14:paraId="513964BB" w14:textId="72BAC409" w:rsidR="009A5F22" w:rsidRPr="00C7421A" w:rsidRDefault="00380BCD" w:rsidP="00C7421A">
      <w:pPr>
        <w:pStyle w:val="JuPara"/>
      </w:pPr>
      <w:fldSimple w:instr=" SEQ level0 \*arabic \* MERGEFORMAT ">
        <w:r w:rsidR="00C7421A" w:rsidRPr="00C7421A">
          <w:t>105</w:t>
        </w:r>
      </w:fldSimple>
      <w:r w:rsidR="002D41A5">
        <w:t xml:space="preserve">.  Cu toate acestea, părțile nu au fost de acord dacă măsura aplicată reclamanților urmărea, de asemenea, scopul legitim de a menține autoritatea puterii judecătorești (a se vedea supra, pct. </w:t>
      </w:r>
      <w:r w:rsidR="009A5F22" w:rsidRPr="00C7421A">
        <w:fldChar w:fldCharType="begin"/>
      </w:r>
      <w:r w:rsidR="009A5F22" w:rsidRPr="00C7421A">
        <w:instrText xml:space="preserve"> REF a88 \h </w:instrText>
      </w:r>
      <w:r w:rsidR="009A5F22" w:rsidRPr="00C7421A">
        <w:fldChar w:fldCharType="separate"/>
      </w:r>
      <w:r w:rsidR="00C7421A" w:rsidRPr="00C7421A">
        <w:t>85</w:t>
      </w:r>
      <w:r w:rsidR="009A5F22" w:rsidRPr="00C7421A">
        <w:fldChar w:fldCharType="end"/>
      </w:r>
      <w:r w:rsidR="002D41A5">
        <w:t xml:space="preserve"> și </w:t>
      </w:r>
      <w:r w:rsidR="009A5F22" w:rsidRPr="00C7421A">
        <w:fldChar w:fldCharType="begin"/>
      </w:r>
      <w:r w:rsidR="009A5F22" w:rsidRPr="00C7421A">
        <w:instrText xml:space="preserve"> REF a99 \h </w:instrText>
      </w:r>
      <w:r w:rsidR="009A5F22" w:rsidRPr="00C7421A">
        <w:fldChar w:fldCharType="separate"/>
      </w:r>
      <w:r w:rsidR="00C7421A" w:rsidRPr="00C7421A">
        <w:t>96</w:t>
      </w:r>
      <w:r w:rsidR="009A5F22" w:rsidRPr="00C7421A">
        <w:fldChar w:fldCharType="end"/>
      </w:r>
      <w:r w:rsidR="002D41A5">
        <w:t>).</w:t>
      </w:r>
    </w:p>
    <w:p w14:paraId="21DA442F" w14:textId="269374DC" w:rsidR="009A5F22" w:rsidRPr="00C7421A" w:rsidRDefault="00380BCD" w:rsidP="00C7421A">
      <w:pPr>
        <w:pStyle w:val="JuPara"/>
      </w:pPr>
      <w:fldSimple w:instr=" SEQ level0 \*arabic \* MERGEFORMAT ">
        <w:r w:rsidR="00C7421A" w:rsidRPr="00C7421A">
          <w:t>106</w:t>
        </w:r>
      </w:fldSimple>
      <w:r w:rsidR="002D41A5">
        <w:t xml:space="preserve">.  Curtea reiterează că sintagma „autoritatea puterii judecătorești” include, în special, noțiunea că instanțele sunt, și sunt acceptate de publicul larg ca fiind, forul adecvat pentru soluționarea litigiilor juridice și pentru stabilirea vinovăției sau nevinovăției unei persoane în legătură cu o acuzație penală; în plus, publicul larg are respect pentru și încredere în capacitatea instanțelor de a îndeplini această funcție. În joc este încrederea pe care instanțele dintr-o societate democratică trebuie să o inspire nu doar persoanelor acuzate în ceea ce privește procedurile penale, ci și publicului larg [a se vedea </w:t>
      </w:r>
      <w:proofErr w:type="spellStart"/>
      <w:r w:rsidR="002D41A5">
        <w:rPr>
          <w:i/>
        </w:rPr>
        <w:t>Morice</w:t>
      </w:r>
      <w:proofErr w:type="spellEnd"/>
      <w:r w:rsidR="002D41A5">
        <w:rPr>
          <w:i/>
        </w:rPr>
        <w:t xml:space="preserve"> împotriva Franței</w:t>
      </w:r>
      <w:r w:rsidR="002D41A5">
        <w:t xml:space="preserve"> (MC), nr. 29369/10, pct. 129-130, CEDO 2015].</w:t>
      </w:r>
    </w:p>
    <w:p w14:paraId="4D768847" w14:textId="60678C48" w:rsidR="009A5F22" w:rsidRPr="00C7421A" w:rsidRDefault="00380BCD" w:rsidP="00C7421A">
      <w:pPr>
        <w:pStyle w:val="JuPara"/>
      </w:pPr>
      <w:fldSimple w:instr=" SEQ level0 \*arabic \* MERGEFORMAT ">
        <w:r w:rsidR="00C7421A" w:rsidRPr="00C7421A">
          <w:t>107</w:t>
        </w:r>
      </w:fldSimple>
      <w:r w:rsidR="002D41A5">
        <w:t>.  Curtea observă că doamna O.S.H. era procuror la momentul producerii evenimentelor din cauza domnului N.T. și că se pare că aceasta și</w:t>
      </w:r>
      <w:r w:rsidR="00A96219">
        <w:noBreakHyphen/>
      </w:r>
      <w:r w:rsidR="002D41A5">
        <w:t xml:space="preserve">a menținut același statut profesional chiar și după alegerea sa ca membru și vicepreședinte al CSM (a se vedea supra, pct. </w:t>
      </w:r>
      <w:r w:rsidR="009A5F22" w:rsidRPr="00C7421A">
        <w:fldChar w:fldCharType="begin"/>
      </w:r>
      <w:r w:rsidR="009A5F22" w:rsidRPr="00C7421A">
        <w:instrText xml:space="preserve"> REF e73 \h </w:instrText>
      </w:r>
      <w:r w:rsidR="009A5F22" w:rsidRPr="00C7421A">
        <w:fldChar w:fldCharType="separate"/>
      </w:r>
      <w:r w:rsidR="00C7421A" w:rsidRPr="00C7421A">
        <w:t>73</w:t>
      </w:r>
      <w:r w:rsidR="009A5F22" w:rsidRPr="00C7421A">
        <w:fldChar w:fldCharType="end"/>
      </w:r>
      <w:r w:rsidR="002D41A5">
        <w:t xml:space="preserve">). Observă, de asemenea, că statutul și funcțiile organelor de urmărire penală diferă de la o țară la alta și că, în consecință, întrebarea dacă acestea aparțin sistemului judiciar ca atare poate avea un răspuns diferit, în funcție de țara în cauză (a se vedea </w:t>
      </w:r>
      <w:proofErr w:type="spellStart"/>
      <w:r w:rsidR="002D41A5">
        <w:rPr>
          <w:i/>
        </w:rPr>
        <w:t>Goryaynova</w:t>
      </w:r>
      <w:proofErr w:type="spellEnd"/>
      <w:r w:rsidR="002D41A5">
        <w:rPr>
          <w:i/>
        </w:rPr>
        <w:t xml:space="preserve"> împotriva Ucrainei</w:t>
      </w:r>
      <w:r w:rsidR="002D41A5">
        <w:t>, nr. 41752/09, pct. 56, 8 octombrie 2020).</w:t>
      </w:r>
    </w:p>
    <w:p w14:paraId="5756F764" w14:textId="75654361" w:rsidR="009A5F22" w:rsidRPr="00C7421A" w:rsidRDefault="00380BCD" w:rsidP="00C7421A">
      <w:pPr>
        <w:pStyle w:val="JuPara"/>
      </w:pPr>
      <w:fldSimple w:instr=" SEQ level0 \*arabic \* MERGEFORMAT ">
        <w:r w:rsidR="00C7421A" w:rsidRPr="00C7421A">
          <w:t>108</w:t>
        </w:r>
      </w:fldSimple>
      <w:r w:rsidR="002D41A5">
        <w:t xml:space="preserve">.  Cu toate acestea, având în vedere rolul procurorilor din România, astfel cum este descris </w:t>
      </w:r>
      <w:r w:rsidR="002D41A5">
        <w:rPr>
          <w:i/>
          <w:iCs/>
        </w:rPr>
        <w:t>infra</w:t>
      </w:r>
      <w:r w:rsidR="002D41A5">
        <w:t xml:space="preserve"> la pct. </w:t>
      </w:r>
      <w:r w:rsidR="009A5F22" w:rsidRPr="00C7421A">
        <w:fldChar w:fldCharType="begin"/>
      </w:r>
      <w:r w:rsidR="009A5F22" w:rsidRPr="00C7421A">
        <w:instrText xml:space="preserve"> REF c87 \h </w:instrText>
      </w:r>
      <w:r w:rsidR="009A5F22" w:rsidRPr="00C7421A">
        <w:fldChar w:fldCharType="separate"/>
      </w:r>
      <w:r w:rsidR="00C7421A" w:rsidRPr="00C7421A">
        <w:t>115</w:t>
      </w:r>
      <w:r w:rsidR="009A5F22" w:rsidRPr="00C7421A">
        <w:fldChar w:fldCharType="end"/>
      </w:r>
      <w:r w:rsidR="002D41A5">
        <w:t xml:space="preserve">, absența unei distincții fundamentale în sistemul juridic național între statutul judecătorilor și cel al procurorilor (a se vedea </w:t>
      </w:r>
      <w:proofErr w:type="spellStart"/>
      <w:r w:rsidR="002D41A5">
        <w:rPr>
          <w:i/>
        </w:rPr>
        <w:t>Kövesi</w:t>
      </w:r>
      <w:proofErr w:type="spellEnd"/>
      <w:r w:rsidR="002D41A5">
        <w:rPr>
          <w:i/>
        </w:rPr>
        <w:t xml:space="preserve"> împotriva României</w:t>
      </w:r>
      <w:r w:rsidR="002D41A5">
        <w:t xml:space="preserve">, nr. 3594/19, pct. 124 și 208, 5 mai 2020, și, </w:t>
      </w:r>
      <w:r w:rsidR="002D41A5">
        <w:rPr>
          <w:i/>
        </w:rPr>
        <w:t>mutatis mutandis</w:t>
      </w:r>
      <w:r w:rsidR="002D41A5">
        <w:t xml:space="preserve">, </w:t>
      </w:r>
      <w:proofErr w:type="spellStart"/>
      <w:r w:rsidR="002D41A5">
        <w:rPr>
          <w:i/>
          <w:color w:val="000000"/>
        </w:rPr>
        <w:t>Eminağaoğlu</w:t>
      </w:r>
      <w:proofErr w:type="spellEnd"/>
      <w:r w:rsidR="002D41A5">
        <w:rPr>
          <w:i/>
          <w:color w:val="000000"/>
        </w:rPr>
        <w:t xml:space="preserve"> împotriva Turciei</w:t>
      </w:r>
      <w:r w:rsidR="002D41A5">
        <w:rPr>
          <w:color w:val="000000"/>
        </w:rPr>
        <w:t>, nr. 76521/12, pct. 125, 9 martie 2021</w:t>
      </w:r>
      <w:r w:rsidR="002D41A5">
        <w:t xml:space="preserve">), importanța acordată de autoritățile naționale necesității asigurării imparțialității, independenței și autorității deciziilor procurorilor drept element-cheie pentru menținerea încrederii publicului în buna funcționare a sistemului de justiție (a se vedea supra, pct. </w:t>
      </w:r>
      <w:r w:rsidR="009A5F22" w:rsidRPr="00C7421A">
        <w:fldChar w:fldCharType="begin"/>
      </w:r>
      <w:r w:rsidR="009A5F22" w:rsidRPr="00C7421A">
        <w:instrText xml:space="preserve"> REF e73 \h </w:instrText>
      </w:r>
      <w:r w:rsidR="009A5F22" w:rsidRPr="00C7421A">
        <w:fldChar w:fldCharType="separate"/>
      </w:r>
      <w:r w:rsidR="00C7421A" w:rsidRPr="00C7421A">
        <w:t>73</w:t>
      </w:r>
      <w:r w:rsidR="009A5F22" w:rsidRPr="00C7421A">
        <w:fldChar w:fldCharType="end"/>
      </w:r>
      <w:r w:rsidR="002D41A5">
        <w:t>-</w:t>
      </w:r>
      <w:r w:rsidR="009A5F22" w:rsidRPr="00C7421A">
        <w:fldChar w:fldCharType="begin"/>
      </w:r>
      <w:r w:rsidR="009A5F22" w:rsidRPr="00C7421A">
        <w:instrText xml:space="preserve"> REF e76 \h </w:instrText>
      </w:r>
      <w:r w:rsidR="009A5F22" w:rsidRPr="00C7421A">
        <w:fldChar w:fldCharType="separate"/>
      </w:r>
      <w:r w:rsidR="00C7421A" w:rsidRPr="00C7421A">
        <w:t>76</w:t>
      </w:r>
      <w:r w:rsidR="009A5F22" w:rsidRPr="00C7421A">
        <w:fldChar w:fldCharType="end"/>
      </w:r>
      <w:r w:rsidR="002D41A5">
        <w:t xml:space="preserve">), precum și poziția deținută de doamna O.S.H. în cadrul CSM și atribuțiile aferente acestei poziții (a se vedea supra, pct. </w:t>
      </w:r>
      <w:r w:rsidR="009A5F22" w:rsidRPr="00C7421A">
        <w:fldChar w:fldCharType="begin"/>
      </w:r>
      <w:r w:rsidR="009A5F22" w:rsidRPr="00C7421A">
        <w:instrText xml:space="preserve"> REF a26 \h </w:instrText>
      </w:r>
      <w:r w:rsidR="009A5F22" w:rsidRPr="00C7421A">
        <w:fldChar w:fldCharType="separate"/>
      </w:r>
      <w:r w:rsidR="00C7421A" w:rsidRPr="00C7421A">
        <w:t>26</w:t>
      </w:r>
      <w:r w:rsidR="009A5F22" w:rsidRPr="00C7421A">
        <w:fldChar w:fldCharType="end"/>
      </w:r>
      <w:r w:rsidR="002D41A5">
        <w:t xml:space="preserve"> și </w:t>
      </w:r>
      <w:r w:rsidR="009A5F22" w:rsidRPr="00C7421A">
        <w:fldChar w:fldCharType="begin"/>
      </w:r>
      <w:r w:rsidR="009A5F22" w:rsidRPr="00C7421A">
        <w:instrText xml:space="preserve"> REF a37 \h  \* MERGEFORMAT </w:instrText>
      </w:r>
      <w:r w:rsidR="009A5F22" w:rsidRPr="00C7421A">
        <w:fldChar w:fldCharType="separate"/>
      </w:r>
      <w:r w:rsidR="00C7421A" w:rsidRPr="00C7421A">
        <w:t>36</w:t>
      </w:r>
      <w:r w:rsidR="009A5F22" w:rsidRPr="00C7421A">
        <w:fldChar w:fldCharType="end"/>
      </w:r>
      <w:r w:rsidR="002D41A5">
        <w:t xml:space="preserve">), Curtea consideră că, în speță, măsura în discuție putea fi considerată ca urmărind de asemenea scopul legitim de a menține autoritatea puterii judecătorești (a se vedea, </w:t>
      </w:r>
      <w:r w:rsidR="002D41A5">
        <w:rPr>
          <w:i/>
        </w:rPr>
        <w:t>mutatis mutandis</w:t>
      </w:r>
      <w:r w:rsidR="002D41A5">
        <w:t xml:space="preserve">, </w:t>
      </w:r>
      <w:proofErr w:type="spellStart"/>
      <w:r w:rsidR="002D41A5">
        <w:rPr>
          <w:i/>
          <w:color w:val="000000"/>
        </w:rPr>
        <w:t>Panioglu</w:t>
      </w:r>
      <w:proofErr w:type="spellEnd"/>
      <w:r w:rsidR="002D41A5">
        <w:rPr>
          <w:i/>
          <w:color w:val="000000"/>
        </w:rPr>
        <w:t xml:space="preserve"> împotriva României</w:t>
      </w:r>
      <w:r w:rsidR="002D41A5">
        <w:rPr>
          <w:color w:val="000000"/>
        </w:rPr>
        <w:t xml:space="preserve">, nr. 33794/14, pct. 108, 8 decembrie 2020, în ceea ce privește judecătorii, și </w:t>
      </w:r>
      <w:proofErr w:type="spellStart"/>
      <w:r w:rsidR="002D41A5">
        <w:rPr>
          <w:i/>
          <w:color w:val="000000"/>
        </w:rPr>
        <w:t>Eminağaoğlu</w:t>
      </w:r>
      <w:proofErr w:type="spellEnd"/>
      <w:r w:rsidR="002D41A5">
        <w:rPr>
          <w:color w:val="000000"/>
        </w:rPr>
        <w:t>, citată anterior, pct. 131, în ceea ce privește procurorii)</w:t>
      </w:r>
      <w:r w:rsidR="002D41A5">
        <w:t>.</w:t>
      </w:r>
    </w:p>
    <w:p w14:paraId="3E5D8AE0" w14:textId="568A0FCE" w:rsidR="009A5F22" w:rsidRPr="00C7421A" w:rsidRDefault="00380BCD" w:rsidP="00C7421A">
      <w:pPr>
        <w:pStyle w:val="JuPara"/>
      </w:pPr>
      <w:fldSimple w:instr=" SEQ level0 \*arabic \* MERGEFORMAT ">
        <w:r w:rsidR="00C7421A" w:rsidRPr="00C7421A">
          <w:t>109</w:t>
        </w:r>
      </w:fldSimple>
      <w:r w:rsidR="002D41A5">
        <w:t>.  Rămâne de stabilit, prin urmare, dacă ingerința era „necesară într-o societate democratică”.</w:t>
      </w:r>
    </w:p>
    <w:p w14:paraId="25A57B29" w14:textId="77777777" w:rsidR="009A5F22" w:rsidRPr="00C7421A" w:rsidRDefault="009A5F22" w:rsidP="00C7421A">
      <w:pPr>
        <w:pStyle w:val="JuHa0"/>
      </w:pPr>
      <w:r>
        <w:t>Cu privire la întrebarea dacă ingerința era necesară într-o societate democratică</w:t>
      </w:r>
    </w:p>
    <w:p w14:paraId="587287D2" w14:textId="77777777" w:rsidR="009A5F22" w:rsidRPr="00C7421A" w:rsidRDefault="009A5F22" w:rsidP="00C7421A">
      <w:pPr>
        <w:pStyle w:val="JuHi"/>
      </w:pPr>
      <w:r>
        <w:t>Principii generale</w:t>
      </w:r>
    </w:p>
    <w:p w14:paraId="3CD15868" w14:textId="50024C8A" w:rsidR="009A5F22" w:rsidRPr="00C7421A" w:rsidRDefault="00380BCD" w:rsidP="00C7421A">
      <w:pPr>
        <w:pStyle w:val="JuPara"/>
      </w:pPr>
      <w:fldSimple w:instr=" SEQ level0 \*arabic \* MERGEFORMAT ">
        <w:r w:rsidR="00C7421A" w:rsidRPr="00C7421A">
          <w:t>110</w:t>
        </w:r>
      </w:fldSimple>
      <w:r w:rsidR="002D41A5">
        <w:t xml:space="preserve">.  Curtea reiterează principiile generale stabilite în jurisprudența sa pentru aprecierea necesității unei ingerințe în libertatea de exprimare [a se vedea </w:t>
      </w:r>
      <w:proofErr w:type="spellStart"/>
      <w:r w:rsidR="002D41A5">
        <w:rPr>
          <w:i/>
        </w:rPr>
        <w:t>Morice</w:t>
      </w:r>
      <w:proofErr w:type="spellEnd"/>
      <w:r w:rsidR="002D41A5">
        <w:t xml:space="preserve">, citată anterior, pct. 124-27; </w:t>
      </w:r>
      <w:proofErr w:type="spellStart"/>
      <w:r w:rsidR="002D41A5">
        <w:rPr>
          <w:i/>
        </w:rPr>
        <w:t>Baka</w:t>
      </w:r>
      <w:proofErr w:type="spellEnd"/>
      <w:r w:rsidR="002D41A5">
        <w:rPr>
          <w:i/>
        </w:rPr>
        <w:t xml:space="preserve"> împotriva Ungariei</w:t>
      </w:r>
      <w:r w:rsidR="002D41A5">
        <w:t xml:space="preserve"> (MC), </w:t>
      </w:r>
      <w:r w:rsidR="002D41A5">
        <w:lastRenderedPageBreak/>
        <w:t xml:space="preserve">nr. 20261/12, pct. 158-161, 23 iunie 2016, și </w:t>
      </w:r>
      <w:proofErr w:type="spellStart"/>
      <w:r w:rsidR="002D41A5">
        <w:rPr>
          <w:i/>
        </w:rPr>
        <w:t>Balaskas</w:t>
      </w:r>
      <w:proofErr w:type="spellEnd"/>
      <w:r w:rsidR="002D41A5">
        <w:t>, citată anterior, pct. 37-39, cu trimiterile suplimentare].</w:t>
      </w:r>
    </w:p>
    <w:p w14:paraId="463974CF" w14:textId="0DD3C59F" w:rsidR="009A5F22" w:rsidRPr="00C7421A" w:rsidRDefault="00380BCD" w:rsidP="00C7421A">
      <w:pPr>
        <w:pStyle w:val="JuPara"/>
      </w:pPr>
      <w:fldSimple w:instr=" SEQ level0 \*arabic \* MERGEFORMAT ">
        <w:r w:rsidR="00C7421A" w:rsidRPr="00C7421A">
          <w:t>111</w:t>
        </w:r>
      </w:fldSimple>
      <w:r w:rsidR="002D41A5">
        <w:t xml:space="preserve">.  În plus, Curtea reiterează că, având în vedere „îndatoririle și responsabilitățile” inerente exercitării libertății de exprimare, protecția acordată jurnaliștilor de art. 10 în legătură cu relatarea unor informații privind chestiuni de interes general se supune condiției ca aceștia să acționeze cu bună-credință și plecând de la o bază factuală exactă și să furnizeze informații credibile și precise în conformitate cu etica jurnalistică [a se vedea </w:t>
      </w:r>
      <w:proofErr w:type="spellStart"/>
      <w:r w:rsidR="002D41A5">
        <w:rPr>
          <w:i/>
        </w:rPr>
        <w:t>Fressoz</w:t>
      </w:r>
      <w:proofErr w:type="spellEnd"/>
      <w:r w:rsidR="002D41A5">
        <w:rPr>
          <w:i/>
        </w:rPr>
        <w:t xml:space="preserve"> și Roire împotriva Franței </w:t>
      </w:r>
      <w:r w:rsidR="002D41A5">
        <w:t>(MC), nr. 29183/95, pct. 54, CEDO 1999</w:t>
      </w:r>
      <w:r w:rsidR="002D41A5">
        <w:noBreakHyphen/>
        <w:t xml:space="preserve">I, și </w:t>
      </w:r>
      <w:proofErr w:type="spellStart"/>
      <w:r w:rsidR="002D41A5">
        <w:rPr>
          <w:i/>
        </w:rPr>
        <w:t>Falter</w:t>
      </w:r>
      <w:proofErr w:type="spellEnd"/>
      <w:r w:rsidR="002D41A5">
        <w:rPr>
          <w:i/>
        </w:rPr>
        <w:t xml:space="preserve"> </w:t>
      </w:r>
      <w:proofErr w:type="spellStart"/>
      <w:r w:rsidR="002D41A5">
        <w:rPr>
          <w:i/>
        </w:rPr>
        <w:t>Zeitschriften</w:t>
      </w:r>
      <w:proofErr w:type="spellEnd"/>
      <w:r w:rsidR="002D41A5">
        <w:rPr>
          <w:i/>
        </w:rPr>
        <w:t xml:space="preserve"> </w:t>
      </w:r>
      <w:proofErr w:type="spellStart"/>
      <w:r w:rsidR="002D41A5">
        <w:rPr>
          <w:i/>
        </w:rPr>
        <w:t>GmbH</w:t>
      </w:r>
      <w:proofErr w:type="spellEnd"/>
      <w:r w:rsidR="002D41A5">
        <w:rPr>
          <w:i/>
        </w:rPr>
        <w:t xml:space="preserve"> împotriva Austriei (nr. 2)</w:t>
      </w:r>
      <w:r w:rsidR="002D41A5">
        <w:t xml:space="preserve">, nr. 3084/07, pct. 37, 18 septembrie 2012]. Deși presa nu trebuie să depășească anumite limite, în special în ceea ce privește reputația și drepturile altora, sarcina sa este totuși de a transmite, într-un mod compatibil cu obligațiile și responsabilitățile sale, informații și idei cu privire la toate chestiunile de interes public [a se vedea, printre alte hotărâri, </w:t>
      </w:r>
      <w:proofErr w:type="spellStart"/>
      <w:r w:rsidR="002D41A5">
        <w:rPr>
          <w:i/>
        </w:rPr>
        <w:t>Erla</w:t>
      </w:r>
      <w:proofErr w:type="spellEnd"/>
      <w:r w:rsidR="002D41A5">
        <w:rPr>
          <w:i/>
        </w:rPr>
        <w:t xml:space="preserve"> </w:t>
      </w:r>
      <w:proofErr w:type="spellStart"/>
      <w:r w:rsidR="002D41A5">
        <w:rPr>
          <w:i/>
        </w:rPr>
        <w:t>Hlynsdόttir</w:t>
      </w:r>
      <w:proofErr w:type="spellEnd"/>
      <w:r w:rsidR="002D41A5">
        <w:rPr>
          <w:i/>
        </w:rPr>
        <w:t xml:space="preserve"> împotriva Islandei (nr. 3)</w:t>
      </w:r>
      <w:r w:rsidR="002D41A5">
        <w:t>, nr. 54145/10, pct. 62, 2 iunie 2015].</w:t>
      </w:r>
    </w:p>
    <w:p w14:paraId="2542F9AD" w14:textId="2B41F933" w:rsidR="009A5F22" w:rsidRPr="00C7421A" w:rsidRDefault="00380BCD" w:rsidP="00C7421A">
      <w:pPr>
        <w:pStyle w:val="JuPara"/>
      </w:pPr>
      <w:fldSimple w:instr=" SEQ level0 \*arabic \* MERGEFORMAT ">
        <w:r w:rsidR="00C7421A" w:rsidRPr="00C7421A">
          <w:t>112</w:t>
        </w:r>
      </w:fldSimple>
      <w:r w:rsidR="002D41A5">
        <w:t xml:space="preserve">.  Deși este adevărat că opțiunea editorială nu este nelimitată, libertatea jurnalistică acoperă, de asemenea, posibilitatea de a recurge la un anumit grad de exagerare sau chiar de provocare [a se vedea </w:t>
      </w:r>
      <w:r w:rsidR="002D41A5">
        <w:rPr>
          <w:i/>
        </w:rPr>
        <w:t xml:space="preserve">Perna împotriva Italiei </w:t>
      </w:r>
      <w:r w:rsidR="002D41A5">
        <w:t>(MC), nr. 48898/99, pct. 39 (a), CEDO 2003</w:t>
      </w:r>
      <w:r w:rsidR="002D41A5">
        <w:noBreakHyphen/>
        <w:t xml:space="preserve">V, și </w:t>
      </w:r>
      <w:proofErr w:type="spellStart"/>
      <w:r w:rsidR="002D41A5">
        <w:rPr>
          <w:i/>
          <w:color w:val="000000"/>
        </w:rPr>
        <w:t>Ahmet</w:t>
      </w:r>
      <w:proofErr w:type="spellEnd"/>
      <w:r w:rsidR="002D41A5">
        <w:rPr>
          <w:i/>
          <w:color w:val="000000"/>
        </w:rPr>
        <w:t xml:space="preserve"> </w:t>
      </w:r>
      <w:proofErr w:type="spellStart"/>
      <w:r w:rsidR="002D41A5">
        <w:rPr>
          <w:i/>
          <w:color w:val="000000"/>
        </w:rPr>
        <w:t>Hüsrev</w:t>
      </w:r>
      <w:proofErr w:type="spellEnd"/>
      <w:r w:rsidR="002D41A5">
        <w:rPr>
          <w:i/>
          <w:color w:val="000000"/>
        </w:rPr>
        <w:t xml:space="preserve"> </w:t>
      </w:r>
      <w:proofErr w:type="spellStart"/>
      <w:r w:rsidR="002D41A5">
        <w:rPr>
          <w:i/>
          <w:color w:val="000000"/>
        </w:rPr>
        <w:t>Altan</w:t>
      </w:r>
      <w:proofErr w:type="spellEnd"/>
      <w:r w:rsidR="002D41A5">
        <w:rPr>
          <w:i/>
          <w:color w:val="000000"/>
        </w:rPr>
        <w:t xml:space="preserve"> împotriva Turciei</w:t>
      </w:r>
      <w:r w:rsidR="002D41A5">
        <w:rPr>
          <w:color w:val="000000"/>
        </w:rPr>
        <w:t>, nr. 13252/17, pct. 214, 13 aprilie 2021], iar</w:t>
      </w:r>
      <w:r w:rsidR="002D41A5">
        <w:t xml:space="preserve"> metodele de relatare obiectivă și echilibrată pot varia considerabil; prin urmare, nu este de competența Curții, și nici a instanțelor naționale să substituie opiniile presei cu cele proprii în ceea ce privește tehnica de relatare care ar trebui adoptată de jurnaliști (a se vedea </w:t>
      </w:r>
      <w:proofErr w:type="spellStart"/>
      <w:r w:rsidR="002D41A5">
        <w:rPr>
          <w:i/>
        </w:rPr>
        <w:t>Jersild</w:t>
      </w:r>
      <w:proofErr w:type="spellEnd"/>
      <w:r w:rsidR="002D41A5">
        <w:rPr>
          <w:i/>
        </w:rPr>
        <w:t xml:space="preserve"> împotriva Danemarcei</w:t>
      </w:r>
      <w:r w:rsidR="002D41A5">
        <w:t xml:space="preserve">, 23 septembrie 1994, pct. 31, seria A nr. 298). Nu numai că presa are sarcina de a transmite astfel de informații și idei: publicul are, de asemenea, dreptul de a le primi. În caz contrar, presa nu ar putea să joace rolul său vital de „câine de pază public” [a se vedea </w:t>
      </w:r>
      <w:proofErr w:type="spellStart"/>
      <w:r w:rsidR="002D41A5">
        <w:rPr>
          <w:i/>
          <w:iCs/>
        </w:rPr>
        <w:t>Bladet</w:t>
      </w:r>
      <w:proofErr w:type="spellEnd"/>
      <w:r w:rsidR="002D41A5">
        <w:rPr>
          <w:i/>
          <w:iCs/>
        </w:rPr>
        <w:t xml:space="preserve"> </w:t>
      </w:r>
      <w:proofErr w:type="spellStart"/>
      <w:r w:rsidR="002D41A5">
        <w:rPr>
          <w:i/>
          <w:iCs/>
        </w:rPr>
        <w:t>Tromsø</w:t>
      </w:r>
      <w:proofErr w:type="spellEnd"/>
      <w:r w:rsidR="002D41A5">
        <w:rPr>
          <w:i/>
          <w:iCs/>
        </w:rPr>
        <w:t xml:space="preserve"> </w:t>
      </w:r>
      <w:r w:rsidR="002D41A5">
        <w:rPr>
          <w:i/>
        </w:rPr>
        <w:t xml:space="preserve">și </w:t>
      </w:r>
      <w:proofErr w:type="spellStart"/>
      <w:r w:rsidR="002D41A5">
        <w:rPr>
          <w:i/>
        </w:rPr>
        <w:t>Stensaas</w:t>
      </w:r>
      <w:proofErr w:type="spellEnd"/>
      <w:r w:rsidR="002D41A5">
        <w:rPr>
          <w:i/>
        </w:rPr>
        <w:t xml:space="preserve"> împotriva Norvegiei</w:t>
      </w:r>
      <w:r w:rsidR="002D41A5">
        <w:t xml:space="preserve"> (MC), nr. 21980/93, pct. 62, CEDO 1999</w:t>
      </w:r>
      <w:r w:rsidR="002D41A5">
        <w:noBreakHyphen/>
        <w:t xml:space="preserve">III, și </w:t>
      </w:r>
      <w:proofErr w:type="spellStart"/>
      <w:r w:rsidR="002D41A5">
        <w:rPr>
          <w:i/>
        </w:rPr>
        <w:t>Falter</w:t>
      </w:r>
      <w:proofErr w:type="spellEnd"/>
      <w:r w:rsidR="002D41A5">
        <w:rPr>
          <w:i/>
        </w:rPr>
        <w:t xml:space="preserve"> </w:t>
      </w:r>
      <w:proofErr w:type="spellStart"/>
      <w:r w:rsidR="002D41A5">
        <w:rPr>
          <w:i/>
        </w:rPr>
        <w:t>Zeitschriften</w:t>
      </w:r>
      <w:proofErr w:type="spellEnd"/>
      <w:r w:rsidR="002D41A5">
        <w:rPr>
          <w:i/>
        </w:rPr>
        <w:t xml:space="preserve"> </w:t>
      </w:r>
      <w:proofErr w:type="spellStart"/>
      <w:r w:rsidR="002D41A5">
        <w:rPr>
          <w:i/>
        </w:rPr>
        <w:t>GmbH</w:t>
      </w:r>
      <w:proofErr w:type="spellEnd"/>
      <w:r w:rsidR="002D41A5">
        <w:t>, citată anterior, pct. 38</w:t>
      </w:r>
      <w:r w:rsidR="002D41A5">
        <w:rPr>
          <w:color w:val="000000"/>
        </w:rPr>
        <w:t>].</w:t>
      </w:r>
    </w:p>
    <w:bookmarkStart w:id="77" w:name="a86"/>
    <w:bookmarkStart w:id="78" w:name="a116"/>
    <w:p w14:paraId="15711879" w14:textId="50FAEB92"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113</w:t>
      </w:r>
      <w:r w:rsidRPr="00C7421A">
        <w:fldChar w:fldCharType="end"/>
      </w:r>
      <w:bookmarkEnd w:id="77"/>
      <w:bookmarkEnd w:id="78"/>
      <w:r>
        <w:t xml:space="preserve">.  Curtea reiterează că aspectele referitoare la funcționarea sistemului de justiție, o instituție esențială pentru orice societate democratică, sunt de interes public (a se vedea </w:t>
      </w:r>
      <w:proofErr w:type="spellStart"/>
      <w:r>
        <w:rPr>
          <w:i/>
        </w:rPr>
        <w:t>Morice</w:t>
      </w:r>
      <w:proofErr w:type="spellEnd"/>
      <w:r>
        <w:t xml:space="preserve">, citată anterior, pct. 128) și că nu există nicio îndoială că, într-o societate democratică, persoanele particulare au dreptul să comenteze și să critice administrarea justiției și magistrații implicați în aceasta (a se vedea </w:t>
      </w:r>
      <w:proofErr w:type="spellStart"/>
      <w:r>
        <w:rPr>
          <w:i/>
        </w:rPr>
        <w:t>Lešník</w:t>
      </w:r>
      <w:proofErr w:type="spellEnd"/>
      <w:r>
        <w:rPr>
          <w:i/>
        </w:rPr>
        <w:t xml:space="preserve"> împotriva Slovaciei</w:t>
      </w:r>
      <w:r>
        <w:t>, nr. 35640/97, pct. 55, CEDO 2003</w:t>
      </w:r>
      <w:r>
        <w:noBreakHyphen/>
        <w:t xml:space="preserve">IV). Cu toate acestea, trebuie avut în vedere rolul special al sistemului judiciar în societate. În calitate de garant al justiției, o valoare fundamentală într-un stat de drept, acesta trebuie să se bucure de încrederea publicului pentru a-ți îndeplini cu succes atribuțiile. Prin urmare, se poate dovedi necesar să se protejeze această încredere împotriva unor atacuri care produc prejudicii grave și care sunt în esență nefondate, în special având în vedere că judecătorii care au fost criticați sunt supuși unei obligații de </w:t>
      </w:r>
      <w:r>
        <w:lastRenderedPageBreak/>
        <w:t xml:space="preserve">discreție care îi împiedică să răspundă (a se vedea </w:t>
      </w:r>
      <w:proofErr w:type="spellStart"/>
      <w:r>
        <w:rPr>
          <w:i/>
        </w:rPr>
        <w:t>Morice</w:t>
      </w:r>
      <w:proofErr w:type="spellEnd"/>
      <w:r>
        <w:t>, citată anterior, pct. 128, cu trimiterile suplimentare).</w:t>
      </w:r>
    </w:p>
    <w:bookmarkStart w:id="79" w:name="a117"/>
    <w:p w14:paraId="2EC49D65" w14:textId="68715BA6"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114</w:t>
      </w:r>
      <w:r w:rsidRPr="00C7421A">
        <w:fldChar w:fldCharType="end"/>
      </w:r>
      <w:bookmarkEnd w:id="79"/>
      <w:r>
        <w:t xml:space="preserve">.  Totuși – cu excepția atacurilor care produc prejudicii grave și care sunt în esență nefondate – ținând seama de faptul că judecătorii fac parte dintr-o instituție fundamentală a statului, aceștia pot fi supuși, ca atare, unor critici personale în limitele admisibile, și nu doar la un nivel teoretic și general. Atunci când acționează în calitatea lor oficială, aceștia pot fi supuși unor limite mai largi ale criticii admisibile decât cetățenii obișnuiți (a se vedea </w:t>
      </w:r>
      <w:proofErr w:type="spellStart"/>
      <w:r>
        <w:rPr>
          <w:i/>
          <w:iCs/>
        </w:rPr>
        <w:t>Morice</w:t>
      </w:r>
      <w:proofErr w:type="spellEnd"/>
      <w:r>
        <w:t xml:space="preserve">, citată anterior, pct. 131). Acest lucru este în mod special adevărat atunci când un judecător ocupă o funcție publică foarte vizibilă (a se vedea </w:t>
      </w:r>
      <w:proofErr w:type="spellStart"/>
      <w:r>
        <w:rPr>
          <w:i/>
        </w:rPr>
        <w:t>Panioglu</w:t>
      </w:r>
      <w:proofErr w:type="spellEnd"/>
      <w:r>
        <w:t>, citată anterior, pct. 113).</w:t>
      </w:r>
    </w:p>
    <w:bookmarkStart w:id="80" w:name="c87"/>
    <w:p w14:paraId="47D6F173" w14:textId="55AB4780"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115</w:t>
      </w:r>
      <w:r w:rsidRPr="00C7421A">
        <w:fldChar w:fldCharType="end"/>
      </w:r>
      <w:bookmarkEnd w:id="80"/>
      <w:r>
        <w:t>.  </w:t>
      </w:r>
      <w:r>
        <w:rPr>
          <w:color w:val="000000"/>
        </w:rPr>
        <w:t xml:space="preserve">Astfel de </w:t>
      </w:r>
      <w:r>
        <w:t xml:space="preserve">considerente (a se vedea supra, pct. </w:t>
      </w:r>
      <w:r w:rsidRPr="00C7421A">
        <w:fldChar w:fldCharType="begin"/>
      </w:r>
      <w:r w:rsidRPr="00C7421A">
        <w:instrText xml:space="preserve"> REF a86 \h  \* MERGEFORMAT </w:instrText>
      </w:r>
      <w:r w:rsidRPr="00C7421A">
        <w:fldChar w:fldCharType="separate"/>
      </w:r>
      <w:r w:rsidR="00C7421A" w:rsidRPr="00C7421A">
        <w:t>113</w:t>
      </w:r>
      <w:r w:rsidRPr="00C7421A">
        <w:fldChar w:fldCharType="end"/>
      </w:r>
      <w:r>
        <w:t>-</w:t>
      </w:r>
      <w:r w:rsidRPr="00C7421A">
        <w:fldChar w:fldCharType="begin"/>
      </w:r>
      <w:r w:rsidRPr="00C7421A">
        <w:instrText xml:space="preserve"> REF a117 \h  \* MERGEFORMAT </w:instrText>
      </w:r>
      <w:r w:rsidRPr="00C7421A">
        <w:fldChar w:fldCharType="separate"/>
      </w:r>
      <w:r w:rsidR="00C7421A" w:rsidRPr="00C7421A">
        <w:t>114</w:t>
      </w:r>
      <w:r w:rsidRPr="00C7421A">
        <w:fldChar w:fldCharType="end"/>
      </w:r>
      <w:r>
        <w:t xml:space="preserve">) se pot aplica, </w:t>
      </w:r>
      <w:r>
        <w:rPr>
          <w:i/>
        </w:rPr>
        <w:t>mutatis mutandis</w:t>
      </w:r>
      <w:r>
        <w:t xml:space="preserve">, și procurorilor din România; Curtea a recunoscut deja în ceea ce privește procurorii în general, indiferent de statutul lor specific, că sarcina lor este aceea de a contribui la buna administrare a justiției (a se vedea </w:t>
      </w:r>
      <w:proofErr w:type="spellStart"/>
      <w:r>
        <w:rPr>
          <w:i/>
        </w:rPr>
        <w:t>Lešník</w:t>
      </w:r>
      <w:proofErr w:type="spellEnd"/>
      <w:r>
        <w:t>, citată anterior, pct. 54).</w:t>
      </w:r>
      <w:r>
        <w:rPr>
          <w:b/>
        </w:rPr>
        <w:t xml:space="preserve"> </w:t>
      </w:r>
      <w:r>
        <w:t xml:space="preserve">Acest rol le impune obligația de a acționa ca garanți ai libertăților individuale și ai statului de drept, prin contribuția lor la buna funcționare a sistemului de justiție și, prin urmare, la încrederea publicului în acest sistem (a se vedea </w:t>
      </w:r>
      <w:proofErr w:type="spellStart"/>
      <w:r>
        <w:rPr>
          <w:i/>
          <w:color w:val="000000"/>
        </w:rPr>
        <w:t>Eminağaoğlu</w:t>
      </w:r>
      <w:proofErr w:type="spellEnd"/>
      <w:r>
        <w:rPr>
          <w:color w:val="000000"/>
        </w:rPr>
        <w:t>, citată anterior, § 133).</w:t>
      </w:r>
      <w:r>
        <w:t xml:space="preserve"> Procurorii trebuie, prin urmare, să beneficieze de protecție împotriva atacurilor verbale ofensatoare și abuzive și împotriva acuzațiilor nefondate (a se vedea </w:t>
      </w:r>
      <w:proofErr w:type="spellStart"/>
      <w:r>
        <w:rPr>
          <w:i/>
        </w:rPr>
        <w:t>Lešník</w:t>
      </w:r>
      <w:proofErr w:type="spellEnd"/>
      <w:r>
        <w:t xml:space="preserve">, citată anterior, pct. 53-54, și </w:t>
      </w:r>
      <w:proofErr w:type="spellStart"/>
      <w:r>
        <w:rPr>
          <w:i/>
        </w:rPr>
        <w:t>Grebneva</w:t>
      </w:r>
      <w:proofErr w:type="spellEnd"/>
      <w:r>
        <w:rPr>
          <w:i/>
        </w:rPr>
        <w:t xml:space="preserve"> și </w:t>
      </w:r>
      <w:proofErr w:type="spellStart"/>
      <w:r>
        <w:rPr>
          <w:i/>
        </w:rPr>
        <w:t>Alisimchik</w:t>
      </w:r>
      <w:proofErr w:type="spellEnd"/>
      <w:r>
        <w:rPr>
          <w:i/>
        </w:rPr>
        <w:t xml:space="preserve"> împotriva Rusiei</w:t>
      </w:r>
      <w:r>
        <w:t>, nr. 8918/05, pct. 60, 22 noiembrie 2016).</w:t>
      </w:r>
    </w:p>
    <w:bookmarkStart w:id="81" w:name="a118"/>
    <w:p w14:paraId="1BF9A6BD" w14:textId="0D3F5C60"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116</w:t>
      </w:r>
      <w:r w:rsidRPr="00C7421A">
        <w:fldChar w:fldCharType="end"/>
      </w:r>
      <w:bookmarkEnd w:id="81"/>
      <w:r>
        <w:t xml:space="preserve">.  Acest lucru nu le conferă, totuși, imunitate față de orice critică din partea mass-media cu privire la acțiunile întreprinse în calitatea lor oficială În calitate de funcționari publici, sunt supuși unor limite mai largi ale criticii admisibile decât persoanele private, iar sugerarea contrariului ar submina rolul vital de „câine de pază” public al presei (a se vedea </w:t>
      </w:r>
      <w:proofErr w:type="spellStart"/>
      <w:r>
        <w:rPr>
          <w:i/>
        </w:rPr>
        <w:t>Novaya</w:t>
      </w:r>
      <w:proofErr w:type="spellEnd"/>
      <w:r>
        <w:rPr>
          <w:i/>
        </w:rPr>
        <w:t xml:space="preserve"> Gazeta și </w:t>
      </w:r>
      <w:proofErr w:type="spellStart"/>
      <w:r>
        <w:rPr>
          <w:i/>
        </w:rPr>
        <w:t>Milashina</w:t>
      </w:r>
      <w:proofErr w:type="spellEnd"/>
      <w:r>
        <w:rPr>
          <w:i/>
        </w:rPr>
        <w:t xml:space="preserve"> împotriva Rusiei</w:t>
      </w:r>
      <w:r>
        <w:t xml:space="preserve">, nr. 45083/06, pct. 61, 3 octombrie 2017). Cu toate acestea, la fel ca în cazul celorlalți funcționari publici, nu se poate spune că procurorii se expun în mod conștient unei examinări atente a fiecărui cuvânt și a fiecărei acțiuni în măsura în care o fac politicienii și, prin urmare, ar trebui să fie tratați pe picior de egalitate cu aceștia din urmă în ceea ce privește criticile la adresa acțiunilor lor [a se vedea </w:t>
      </w:r>
      <w:proofErr w:type="spellStart"/>
      <w:r>
        <w:rPr>
          <w:i/>
        </w:rPr>
        <w:t>Nikula</w:t>
      </w:r>
      <w:proofErr w:type="spellEnd"/>
      <w:r>
        <w:rPr>
          <w:i/>
        </w:rPr>
        <w:t xml:space="preserve"> împotriva Finlandei</w:t>
      </w:r>
      <w:r>
        <w:t>, nr. 31611/96, pct. 48-50, CEDO 2002</w:t>
      </w:r>
      <w:r>
        <w:noBreakHyphen/>
        <w:t xml:space="preserve">II; </w:t>
      </w:r>
      <w:proofErr w:type="spellStart"/>
      <w:r>
        <w:rPr>
          <w:i/>
        </w:rPr>
        <w:t>Lešník</w:t>
      </w:r>
      <w:proofErr w:type="spellEnd"/>
      <w:r>
        <w:t>, citată anterior, pct. 53</w:t>
      </w:r>
      <w:r>
        <w:noBreakHyphen/>
        <w:t xml:space="preserve">54; și </w:t>
      </w:r>
      <w:proofErr w:type="spellStart"/>
      <w:r>
        <w:rPr>
          <w:i/>
        </w:rPr>
        <w:t>Chernysheva</w:t>
      </w:r>
      <w:proofErr w:type="spellEnd"/>
      <w:r>
        <w:rPr>
          <w:i/>
        </w:rPr>
        <w:t xml:space="preserve"> împotriva Rusiei</w:t>
      </w:r>
      <w:r>
        <w:t xml:space="preserve"> (dec.), nr. 77062/01, 10 iunie 2004].</w:t>
      </w:r>
    </w:p>
    <w:p w14:paraId="537E71F5" w14:textId="72F21FD0" w:rsidR="009A5F22" w:rsidRPr="00C7421A" w:rsidRDefault="00380BCD" w:rsidP="00C7421A">
      <w:pPr>
        <w:pStyle w:val="JuPara"/>
      </w:pPr>
      <w:fldSimple w:instr=" SEQ level0 \*arabic \* MERGEFORMAT ">
        <w:r w:rsidR="00C7421A" w:rsidRPr="00C7421A">
          <w:t>117</w:t>
        </w:r>
      </w:fldSimple>
      <w:r w:rsidR="009A5F22">
        <w:t xml:space="preserve">. Curtea reiterează că a avut deja ocazia să stabilească principiile relevante care trebuie să ghideze aprecierea sa în cazurile în care trebuie să pună în balanță dreptul unei persoane la „respectarea vieții sale private” și interesul public de a proteja libertatea de exprimare [a se vedea </w:t>
      </w:r>
      <w:r w:rsidR="009A5F22">
        <w:rPr>
          <w:i/>
        </w:rPr>
        <w:t>Von Hannover împotriva Germaniei (nr. 2)</w:t>
      </w:r>
      <w:r w:rsidR="009A5F22">
        <w:t xml:space="preserve"> (MC), nr. 40660/08 și 60641/08, pct. 95-99, CEDO 2012, și </w:t>
      </w:r>
      <w:proofErr w:type="spellStart"/>
      <w:r w:rsidR="009A5F22">
        <w:rPr>
          <w:i/>
        </w:rPr>
        <w:t>Couderc</w:t>
      </w:r>
      <w:proofErr w:type="spellEnd"/>
      <w:r w:rsidR="009A5F22">
        <w:rPr>
          <w:i/>
        </w:rPr>
        <w:t xml:space="preserve"> și Hachette </w:t>
      </w:r>
      <w:proofErr w:type="spellStart"/>
      <w:r w:rsidR="009A5F22">
        <w:rPr>
          <w:i/>
        </w:rPr>
        <w:t>Filipacchi</w:t>
      </w:r>
      <w:proofErr w:type="spellEnd"/>
      <w:r w:rsidR="009A5F22">
        <w:rPr>
          <w:i/>
        </w:rPr>
        <w:t xml:space="preserve"> </w:t>
      </w:r>
      <w:proofErr w:type="spellStart"/>
      <w:r w:rsidR="009A5F22">
        <w:rPr>
          <w:i/>
        </w:rPr>
        <w:t>Associés</w:t>
      </w:r>
      <w:proofErr w:type="spellEnd"/>
      <w:r w:rsidR="009A5F22">
        <w:rPr>
          <w:i/>
        </w:rPr>
        <w:t xml:space="preserve"> împotriva Franței</w:t>
      </w:r>
      <w:r w:rsidR="009A5F22">
        <w:t xml:space="preserve"> (MC), nr. 40454/07, pct. 90-93, CEDO 2015 (extrase)]. Prin urmare, a </w:t>
      </w:r>
      <w:r w:rsidR="009A5F22">
        <w:lastRenderedPageBreak/>
        <w:t xml:space="preserve">identificat o serie de criterii în contextul punerii în balanță a drepturilor concurente [a se vedea </w:t>
      </w:r>
      <w:r w:rsidR="009A5F22">
        <w:rPr>
          <w:i/>
        </w:rPr>
        <w:t>Von Hannover</w:t>
      </w:r>
      <w:r w:rsidR="009A5F22">
        <w:t xml:space="preserve"> </w:t>
      </w:r>
      <w:r w:rsidR="009A5F22">
        <w:rPr>
          <w:i/>
        </w:rPr>
        <w:t>(nr. 2)</w:t>
      </w:r>
      <w:r w:rsidR="009A5F22">
        <w:t>, citată anterior, pct. 109</w:t>
      </w:r>
      <w:r w:rsidR="009A5F22">
        <w:noBreakHyphen/>
        <w:t xml:space="preserve">113, și </w:t>
      </w:r>
      <w:r w:rsidR="009A5F22">
        <w:rPr>
          <w:i/>
        </w:rPr>
        <w:t>Axel Springer AG</w:t>
      </w:r>
      <w:r w:rsidR="009A5F22">
        <w:t xml:space="preserve">, citată anterior, pct. 90-95). Criteriile relevante astfel definite – în măsura în care sunt relevante în speță – includ contribuția la o dezbatere de interes public, gradul de notorietate a persoanei afectate, subiectul reportajului, conduita anterioară a persoanei în cauză, conținutul, forma și consecințele publicării, modul în care au fost obținute informațiile și veridicitatea acestora, precum și gravitatea sancțiunii aplicate jurnaliștilor sau editorilor (a se vedea, </w:t>
      </w:r>
      <w:r w:rsidR="009A5F22">
        <w:rPr>
          <w:i/>
          <w:iCs/>
        </w:rPr>
        <w:t>mutatis mutandis</w:t>
      </w:r>
      <w:r w:rsidR="009A5F22">
        <w:t xml:space="preserve">, </w:t>
      </w:r>
      <w:proofErr w:type="spellStart"/>
      <w:r w:rsidR="009A5F22">
        <w:rPr>
          <w:i/>
        </w:rPr>
        <w:t>Couderc</w:t>
      </w:r>
      <w:proofErr w:type="spellEnd"/>
      <w:r w:rsidR="009A5F22">
        <w:rPr>
          <w:i/>
        </w:rPr>
        <w:t xml:space="preserve"> și Hachette </w:t>
      </w:r>
      <w:proofErr w:type="spellStart"/>
      <w:r w:rsidR="009A5F22">
        <w:rPr>
          <w:i/>
        </w:rPr>
        <w:t>Filipacchi</w:t>
      </w:r>
      <w:proofErr w:type="spellEnd"/>
      <w:r w:rsidR="009A5F22">
        <w:rPr>
          <w:i/>
        </w:rPr>
        <w:t xml:space="preserve"> </w:t>
      </w:r>
      <w:proofErr w:type="spellStart"/>
      <w:r w:rsidR="009A5F22">
        <w:rPr>
          <w:i/>
        </w:rPr>
        <w:t>Associés</w:t>
      </w:r>
      <w:proofErr w:type="spellEnd"/>
      <w:r w:rsidR="009A5F22">
        <w:t>, citată anterior, pct. 93).</w:t>
      </w:r>
    </w:p>
    <w:p w14:paraId="34E6A0EA" w14:textId="7A84CEAE" w:rsidR="009A5F22" w:rsidRPr="00C7421A" w:rsidRDefault="00380BCD" w:rsidP="00C7421A">
      <w:pPr>
        <w:pStyle w:val="JuPara"/>
      </w:pPr>
      <w:fldSimple w:instr=" SEQ level0 \*arabic \* MERGEFORMAT ">
        <w:r w:rsidR="00C7421A" w:rsidRPr="00C7421A">
          <w:t>118</w:t>
        </w:r>
      </w:fldSimple>
      <w:r w:rsidR="002D41A5">
        <w:t xml:space="preserve">.  În exercitarea funcției sale de supraveghere, sarcina Curții nu este de a se substitui instanțelor naționale, ci mai degrabă de a examina, având în vedere cauza în ansamblul său, dacă deciziile pe care instanțele le-au luat în temeiul puterii lor de apreciere sunt compatibile cu dispozițiile relevante ale Convenției (a se vedea </w:t>
      </w:r>
      <w:r w:rsidR="002D41A5">
        <w:rPr>
          <w:i/>
        </w:rPr>
        <w:t>Axel Springer AG</w:t>
      </w:r>
      <w:r w:rsidR="002D41A5">
        <w:t>, citată anterior, pct. 86). În cazul în care exercițiul de punere în balanță a drepturilor protejate de art. 8 și 10 din Convenție a fost efectuat de autoritățile naționale în conformitate cu criteriile stabilite în jurisprudența Curții, Curtea ar avea nevoie de motive puternice pentru a substitui punctul de vedere al instanțelor naționale cu punctul său de vedere (ibid., pct. 87-88, cu trimiterile suplimentare).</w:t>
      </w:r>
    </w:p>
    <w:bookmarkStart w:id="82" w:name="b88"/>
    <w:bookmarkStart w:id="83" w:name="a120"/>
    <w:p w14:paraId="0EB813D7" w14:textId="17A68994"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119</w:t>
      </w:r>
      <w:r w:rsidRPr="00C7421A">
        <w:fldChar w:fldCharType="end"/>
      </w:r>
      <w:bookmarkEnd w:id="82"/>
      <w:bookmarkEnd w:id="83"/>
      <w:r>
        <w:t xml:space="preserve">.  În sfârșit, Curtea reafirmă că trebuie făcută o distincție între declarațiile de fapt și judecățile de valoare. În vreme ce existența unor fapte poate fi demonstrată, veridicitatea judecăților de valoare nu poate fi probată. Cerința de a dovedi veridicitatea unei judecăți de valoare este imposibil de îndeplinit și încalcă însăși libertatea de opinie, care este o parte fundamentală a dreptului garantat de art. 10 (a se vedea </w:t>
      </w:r>
      <w:proofErr w:type="spellStart"/>
      <w:r>
        <w:rPr>
          <w:i/>
        </w:rPr>
        <w:t>Mika</w:t>
      </w:r>
      <w:proofErr w:type="spellEnd"/>
      <w:r>
        <w:rPr>
          <w:i/>
        </w:rPr>
        <w:t xml:space="preserve"> împotriva Greciei</w:t>
      </w:r>
      <w:r>
        <w:t xml:space="preserve">, nr. 10347/10, pct. 31, 19 decembrie 2013). Cu toate acestea, în cazul în care o declarație constituie o judecată de valoare, proporționalitatea unei ingerințe poate depinde de existența unei „baze factuale” suficiente pentru declarația în litigiu: în caz contrar, judecata de valoare se poate dovedi excesivă. Pentru a face distincția între o susținere de fapt și o judecată de valoare, este necesar să se țină seama de circumstanțele cauzei și de tonul general al observațiilor, având în vedere că afirmații cu privire la aspecte de interes public pot constitui, pe această bază, mai degrabă judecăți de valoare decât declarații de fapt (a se vedea </w:t>
      </w:r>
      <w:proofErr w:type="spellStart"/>
      <w:r>
        <w:rPr>
          <w:i/>
          <w:iCs/>
        </w:rPr>
        <w:t>Morice</w:t>
      </w:r>
      <w:proofErr w:type="spellEnd"/>
      <w:r>
        <w:t>, citată anterior, pct. 126).</w:t>
      </w:r>
    </w:p>
    <w:p w14:paraId="46DDE8FC" w14:textId="77777777" w:rsidR="009A5F22" w:rsidRPr="00C7421A" w:rsidRDefault="009A5F22" w:rsidP="00C7421A">
      <w:pPr>
        <w:pStyle w:val="JuHi"/>
      </w:pPr>
      <w:r>
        <w:t>Aplicarea acestor principii în speță</w:t>
      </w:r>
    </w:p>
    <w:p w14:paraId="4A3FE922" w14:textId="0D0E8687" w:rsidR="009A5F22" w:rsidRPr="00C7421A" w:rsidRDefault="00380BCD" w:rsidP="00C7421A">
      <w:pPr>
        <w:pStyle w:val="JuPara"/>
      </w:pPr>
      <w:fldSimple w:instr=" SEQ level0 \*arabic \* MERGEFORMAT ">
        <w:r w:rsidR="00C7421A" w:rsidRPr="00C7421A">
          <w:t>120</w:t>
        </w:r>
      </w:fldSimple>
      <w:r w:rsidR="002D41A5">
        <w:t xml:space="preserve">.  Curtea observă că, astfel cum a fost recunoscut și de instanțele naționale (a se vedea supra, pct. </w:t>
      </w:r>
      <w:r w:rsidR="009A5F22" w:rsidRPr="00C7421A">
        <w:fldChar w:fldCharType="begin"/>
      </w:r>
      <w:r w:rsidR="009A5F22" w:rsidRPr="00C7421A">
        <w:instrText xml:space="preserve"> REF a42 \h </w:instrText>
      </w:r>
      <w:r w:rsidR="009A5F22" w:rsidRPr="00C7421A">
        <w:fldChar w:fldCharType="separate"/>
      </w:r>
      <w:r w:rsidR="00C7421A" w:rsidRPr="00C7421A">
        <w:t>41</w:t>
      </w:r>
      <w:r w:rsidR="009A5F22" w:rsidRPr="00C7421A">
        <w:fldChar w:fldCharType="end"/>
      </w:r>
      <w:r w:rsidR="002D41A5">
        <w:t xml:space="preserve"> și </w:t>
      </w:r>
      <w:r w:rsidR="009A5F22" w:rsidRPr="00C7421A">
        <w:fldChar w:fldCharType="begin"/>
      </w:r>
      <w:r w:rsidR="009A5F22" w:rsidRPr="00C7421A">
        <w:instrText xml:space="preserve"> REF a44 \h </w:instrText>
      </w:r>
      <w:r w:rsidR="009A5F22" w:rsidRPr="00C7421A">
        <w:fldChar w:fldCharType="separate"/>
      </w:r>
      <w:r w:rsidR="00C7421A" w:rsidRPr="00C7421A">
        <w:t>62</w:t>
      </w:r>
      <w:r w:rsidR="009A5F22" w:rsidRPr="00C7421A">
        <w:fldChar w:fldCharType="end"/>
      </w:r>
      <w:r w:rsidR="002D41A5">
        <w:t xml:space="preserve">), prezenta cauză privește un conflict între drepturi concurente – pe de o parte, respectarea dreptului la libertatea de exprimare al reclamanților și, pe de altă parte, dreptul doamnei O.S.H. la respectarea vieții private – care impune o apreciere în conformitate cu principiile stabilite în jurisprudența relevantă a Curții. În special, articolul publicat de reclamanți la 2 august 2012 (a se vedea supra, pct. </w:t>
      </w:r>
      <w:r w:rsidR="009A5F22" w:rsidRPr="00C7421A">
        <w:fldChar w:fldCharType="begin"/>
      </w:r>
      <w:r w:rsidR="009A5F22" w:rsidRPr="00C7421A">
        <w:instrText xml:space="preserve"> REF a26 \h </w:instrText>
      </w:r>
      <w:r w:rsidR="009A5F22" w:rsidRPr="00C7421A">
        <w:fldChar w:fldCharType="separate"/>
      </w:r>
      <w:r w:rsidR="00C7421A" w:rsidRPr="00C7421A">
        <w:t>26</w:t>
      </w:r>
      <w:r w:rsidR="009A5F22" w:rsidRPr="00C7421A">
        <w:fldChar w:fldCharType="end"/>
      </w:r>
      <w:r w:rsidR="002D41A5">
        <w:t>-</w:t>
      </w:r>
      <w:r w:rsidR="009A5F22" w:rsidRPr="00C7421A">
        <w:fldChar w:fldCharType="begin"/>
      </w:r>
      <w:r w:rsidR="009A5F22" w:rsidRPr="00C7421A">
        <w:instrText xml:space="preserve"> REF a28 \h </w:instrText>
      </w:r>
      <w:r w:rsidR="009A5F22" w:rsidRPr="00C7421A">
        <w:fldChar w:fldCharType="separate"/>
      </w:r>
      <w:r w:rsidR="00C7421A" w:rsidRPr="00C7421A">
        <w:t>28</w:t>
      </w:r>
      <w:r w:rsidR="009A5F22" w:rsidRPr="00C7421A">
        <w:fldChar w:fldCharType="end"/>
      </w:r>
      <w:r w:rsidR="002D41A5">
        <w:t xml:space="preserve">) s-a </w:t>
      </w:r>
      <w:r w:rsidR="002D41A5">
        <w:lastRenderedPageBreak/>
        <w:t>referit la un dosar la care doamna O.S.H. lucrase atunci când era prim</w:t>
      </w:r>
      <w:r w:rsidR="00A96219">
        <w:noBreakHyphen/>
      </w:r>
      <w:r w:rsidR="002D41A5">
        <w:t>procuror al Pachetului de pe lângă Tribunalul Bacău, la unele acțiuni întreprinse de aceasta în dosarul sus-menționat și la presupuse abuzuri comise de parchet, care au fost constatate de judecători în dosarul respectiv, și a ridicat întrebări despre motivele care au stat la baza tăcerii sale atunci când a fost confruntată cu articolul și despre posibilul efect al tăcerii sale de subminare a încrederii publicului în capacitatea CSM de a-i sancționa pe magistrații responsabili de încălcarea legii.</w:t>
      </w:r>
    </w:p>
    <w:p w14:paraId="10DF922C" w14:textId="607F4477" w:rsidR="009A5F22" w:rsidRPr="00C7421A" w:rsidRDefault="00380BCD" w:rsidP="00C7421A">
      <w:pPr>
        <w:pStyle w:val="JuPara"/>
      </w:pPr>
      <w:fldSimple w:instr=" SEQ level0 \*arabic \* MERGEFORMAT ">
        <w:r w:rsidR="00C7421A" w:rsidRPr="00C7421A">
          <w:t>121</w:t>
        </w:r>
      </w:fldSimple>
      <w:r w:rsidR="009A5F22">
        <w:t>.  </w:t>
      </w:r>
      <w:r w:rsidR="009A5F22">
        <w:rPr>
          <w:rFonts w:ascii="Times New Roman" w:hAnsi="Times New Roman"/>
        </w:rPr>
        <w:t>Curtea, examinând trimiterile din articol și chestiunile ridicate în ansamblu,</w:t>
      </w:r>
      <w:r w:rsidR="009A5F22">
        <w:t xml:space="preserve"> consideră că acestea au fost de natură să păteze reputația doamnei O.S.H. și să îi producă prejudicii atât în mediul său profesional, cât și în mediul social. În consecință, acuzațiile au atins nivelul de gravitate necesar, ceea ce putea cauza prejudicii exercitării personale, de către doamna O.S.H., a drepturilor sale în temeiul art. 8 din Convenție [a se vedea </w:t>
      </w:r>
      <w:r w:rsidR="009A5F22">
        <w:rPr>
          <w:i/>
        </w:rPr>
        <w:t>Axel Springer AG împotriva Germaniei</w:t>
      </w:r>
      <w:r w:rsidR="009A5F22">
        <w:t xml:space="preserve"> (MC), nr. 39954/08, pct. 83, 7 februarie 2012].</w:t>
      </w:r>
    </w:p>
    <w:p w14:paraId="6BF76D23" w14:textId="77777777" w:rsidR="009A5F22" w:rsidRPr="00C7421A" w:rsidRDefault="009A5F22" w:rsidP="00C7421A">
      <w:pPr>
        <w:pStyle w:val="JuHalpha"/>
      </w:pPr>
      <w:r>
        <w:t>Contribuția la o dezbatere de interes general</w:t>
      </w:r>
    </w:p>
    <w:bookmarkStart w:id="84" w:name="a95"/>
    <w:bookmarkStart w:id="85" w:name="a125"/>
    <w:p w14:paraId="0E22B8AD" w14:textId="7849BB77"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122</w:t>
      </w:r>
      <w:r w:rsidRPr="00C7421A">
        <w:fldChar w:fldCharType="end"/>
      </w:r>
      <w:bookmarkEnd w:id="84"/>
      <w:bookmarkEnd w:id="85"/>
      <w:r>
        <w:t xml:space="preserve">.  Curtea observă că instanțele naționale au constatat că reclamanții au publicat articolele, inclusiv articolul din 2 august 2012, în cadrul unei dezbateri publice mai ample privind organizarea și funcționarea CSM, care a generat o atenție specială din partea presei pentru organizație și membrii acesteia din vara anului 2012, alimentate de conflictele interne din cadrul organizației și de poziția anumitor magistrați (a se vedea supra, pct. </w:t>
      </w:r>
      <w:r w:rsidRPr="00C7421A">
        <w:fldChar w:fldCharType="begin"/>
      </w:r>
      <w:r w:rsidRPr="00C7421A">
        <w:instrText xml:space="preserve"> REF a42 \h </w:instrText>
      </w:r>
      <w:r w:rsidRPr="00C7421A">
        <w:fldChar w:fldCharType="separate"/>
      </w:r>
      <w:r w:rsidR="00C7421A" w:rsidRPr="00C7421A">
        <w:t>41</w:t>
      </w:r>
      <w:r w:rsidRPr="00C7421A">
        <w:fldChar w:fldCharType="end"/>
      </w:r>
      <w:r>
        <w:t>-</w:t>
      </w:r>
      <w:r w:rsidRPr="00C7421A">
        <w:fldChar w:fldCharType="begin"/>
      </w:r>
      <w:r w:rsidRPr="00C7421A">
        <w:instrText xml:space="preserve"> REF a43 \h </w:instrText>
      </w:r>
      <w:r w:rsidRPr="00C7421A">
        <w:fldChar w:fldCharType="separate"/>
      </w:r>
      <w:r w:rsidR="00C7421A" w:rsidRPr="00C7421A">
        <w:t>42</w:t>
      </w:r>
      <w:r w:rsidRPr="00C7421A">
        <w:fldChar w:fldCharType="end"/>
      </w:r>
      <w:r>
        <w:rPr>
          <w:b/>
        </w:rPr>
        <w:t xml:space="preserve"> </w:t>
      </w:r>
      <w:r>
        <w:t xml:space="preserve">și </w:t>
      </w:r>
      <w:r w:rsidRPr="00C7421A">
        <w:fldChar w:fldCharType="begin"/>
      </w:r>
      <w:r w:rsidRPr="00C7421A">
        <w:instrText xml:space="preserve"> REF a44 \h  \* MERGEFORMAT </w:instrText>
      </w:r>
      <w:r w:rsidRPr="00C7421A">
        <w:fldChar w:fldCharType="separate"/>
      </w:r>
      <w:r w:rsidR="00C7421A" w:rsidRPr="00C7421A">
        <w:t>62</w:t>
      </w:r>
      <w:r w:rsidRPr="00C7421A">
        <w:fldChar w:fldCharType="end"/>
      </w:r>
      <w:r>
        <w:t xml:space="preserve">). Curtea constată, de asemenea, că este relevant în această privință faptul că Guvernul nu a contestat alegația reclamanților potrivit căreia doamna O.S.H. intenționa să candideze la viitoarele alegeri pentru postul de președinte al CSM și că intențiile sale erau cunoscute publicului la acea dată (a se vedea supra, pct. </w:t>
      </w:r>
      <w:r w:rsidRPr="00C7421A">
        <w:fldChar w:fldCharType="begin"/>
      </w:r>
      <w:r w:rsidRPr="00C7421A">
        <w:instrText xml:space="preserve"> REF a90 \h  \* MERGEFORMAT </w:instrText>
      </w:r>
      <w:r w:rsidRPr="00C7421A">
        <w:fldChar w:fldCharType="separate"/>
      </w:r>
      <w:r w:rsidR="00C7421A" w:rsidRPr="00C7421A">
        <w:t>87</w:t>
      </w:r>
      <w:r w:rsidRPr="00C7421A">
        <w:fldChar w:fldCharType="end"/>
      </w:r>
      <w:r>
        <w:t>).</w:t>
      </w:r>
    </w:p>
    <w:p w14:paraId="65137A1F" w14:textId="16B8C8E6" w:rsidR="009A5F22" w:rsidRPr="00C7421A" w:rsidRDefault="00380BCD" w:rsidP="00C7421A">
      <w:pPr>
        <w:pStyle w:val="JuPara"/>
        <w:rPr>
          <w:b/>
          <w:bCs/>
        </w:rPr>
      </w:pPr>
      <w:fldSimple w:instr=" SEQ level0 \*arabic \* MERGEFORMAT ">
        <w:r w:rsidR="00C7421A" w:rsidRPr="00C7421A">
          <w:t>123</w:t>
        </w:r>
      </w:fldSimple>
      <w:r w:rsidR="002D41A5">
        <w:t xml:space="preserve">.  Curtea ia act, de asemenea, de faptul că observațiile reclamanților și ale doamnei O.S.H. în fața instanțelor naționale indică un istoric mai larg al contextului menționat mai sus, constând dintr-o anumită animozitate între doamna O.S.H. și </w:t>
      </w:r>
      <w:r w:rsidR="002D41A5">
        <w:rPr>
          <w:i/>
        </w:rPr>
        <w:t>Lumea Justiției</w:t>
      </w:r>
      <w:r w:rsidR="002D41A5">
        <w:t xml:space="preserve"> (a se vedea pct. </w:t>
      </w:r>
      <w:r w:rsidR="009A5F22" w:rsidRPr="00C7421A">
        <w:fldChar w:fldCharType="begin"/>
      </w:r>
      <w:r w:rsidR="009A5F22" w:rsidRPr="00C7421A">
        <w:instrText xml:space="preserve"> REF a36 \h  \* MERGEFORMAT </w:instrText>
      </w:r>
      <w:r w:rsidR="009A5F22" w:rsidRPr="00C7421A">
        <w:fldChar w:fldCharType="separate"/>
      </w:r>
      <w:r w:rsidR="00C7421A" w:rsidRPr="00C7421A">
        <w:t>35</w:t>
      </w:r>
      <w:r w:rsidR="009A5F22" w:rsidRPr="00C7421A">
        <w:fldChar w:fldCharType="end"/>
      </w:r>
      <w:r w:rsidR="002D41A5">
        <w:t>-</w:t>
      </w:r>
      <w:r w:rsidR="009A5F22" w:rsidRPr="00C7421A">
        <w:fldChar w:fldCharType="begin"/>
      </w:r>
      <w:r w:rsidR="009A5F22" w:rsidRPr="00C7421A">
        <w:instrText xml:space="preserve"> REF a37 \h  \* MERGEFORMAT </w:instrText>
      </w:r>
      <w:r w:rsidR="009A5F22" w:rsidRPr="00C7421A">
        <w:fldChar w:fldCharType="separate"/>
      </w:r>
      <w:r w:rsidR="00C7421A" w:rsidRPr="00C7421A">
        <w:t>36</w:t>
      </w:r>
      <w:r w:rsidR="009A5F22" w:rsidRPr="00C7421A">
        <w:fldChar w:fldCharType="end"/>
      </w:r>
      <w:r w:rsidR="002D41A5">
        <w:t xml:space="preserve"> și </w:t>
      </w:r>
      <w:r w:rsidR="009A5F22" w:rsidRPr="00C7421A">
        <w:fldChar w:fldCharType="begin"/>
      </w:r>
      <w:r w:rsidR="009A5F22" w:rsidRPr="00C7421A">
        <w:instrText xml:space="preserve"> REF a38 \h  \* MERGEFORMAT </w:instrText>
      </w:r>
      <w:r w:rsidR="009A5F22" w:rsidRPr="00C7421A">
        <w:fldChar w:fldCharType="separate"/>
      </w:r>
      <w:r w:rsidR="00C7421A" w:rsidRPr="00C7421A">
        <w:t>38</w:t>
      </w:r>
      <w:r w:rsidR="009A5F22" w:rsidRPr="00C7421A">
        <w:fldChar w:fldCharType="end"/>
      </w:r>
      <w:r w:rsidR="002D41A5">
        <w:t>-</w:t>
      </w:r>
      <w:r w:rsidR="009A5F22" w:rsidRPr="00C7421A">
        <w:fldChar w:fldCharType="begin"/>
      </w:r>
      <w:r w:rsidR="009A5F22" w:rsidRPr="00C7421A">
        <w:instrText xml:space="preserve"> REF a39 \h  \* MERGEFORMAT </w:instrText>
      </w:r>
      <w:r w:rsidR="009A5F22" w:rsidRPr="00C7421A">
        <w:fldChar w:fldCharType="separate"/>
      </w:r>
      <w:r w:rsidR="00C7421A" w:rsidRPr="00C7421A">
        <w:t>39</w:t>
      </w:r>
      <w:r w:rsidR="009A5F22" w:rsidRPr="00C7421A">
        <w:fldChar w:fldCharType="end"/>
      </w:r>
      <w:r w:rsidR="002D41A5">
        <w:t xml:space="preserve">) și campaniile organizate de mijloacele de informare în masă în general care criticau persoanele care lucrau în instituții judiciare esențiale (a se vedea supra, pct. </w:t>
      </w:r>
      <w:r w:rsidR="009A5F22" w:rsidRPr="00C7421A">
        <w:fldChar w:fldCharType="begin"/>
      </w:r>
      <w:r w:rsidR="009A5F22" w:rsidRPr="00C7421A">
        <w:instrText xml:space="preserve"> REF a83 \h  \* MERGEFORMAT </w:instrText>
      </w:r>
      <w:r w:rsidR="009A5F22" w:rsidRPr="00C7421A">
        <w:fldChar w:fldCharType="separate"/>
      </w:r>
      <w:r w:rsidR="00C7421A" w:rsidRPr="00C7421A">
        <w:t>80</w:t>
      </w:r>
      <w:r w:rsidR="009A5F22" w:rsidRPr="00C7421A">
        <w:fldChar w:fldCharType="end"/>
      </w:r>
      <w:r w:rsidR="002D41A5">
        <w:t xml:space="preserve">). Cu toate acestea, niciuna dintre instanțe nu a considerat că articolele referitoare la doamna O.S.H. ar fi făcut parte dintr-o campanie de presă echivalentă cu hărțuirea sau că publicarea lor urmărea alte scopuri decât participarea la o dezbatere publică. Instanțele au considerat că scopul final al articolelor publicate de reclamanți, inclusiv al articolului din 2 august 2012, era acela de a ridica întrebări cu privire la modul în care funcționa sistemul de justiție și la probitatea morală și profesională a celor însărcinați să îl protejeze (a se vedea supra, pct. </w:t>
      </w:r>
      <w:r w:rsidR="009A5F22" w:rsidRPr="00C7421A">
        <w:fldChar w:fldCharType="begin"/>
      </w:r>
      <w:r w:rsidR="009A5F22" w:rsidRPr="00C7421A">
        <w:instrText xml:space="preserve"> REF a43 \h  \* MERGEFORMAT </w:instrText>
      </w:r>
      <w:r w:rsidR="009A5F22" w:rsidRPr="00C7421A">
        <w:fldChar w:fldCharType="separate"/>
      </w:r>
      <w:r w:rsidR="00C7421A" w:rsidRPr="00C7421A">
        <w:t>42</w:t>
      </w:r>
      <w:r w:rsidR="009A5F22" w:rsidRPr="00C7421A">
        <w:fldChar w:fldCharType="end"/>
      </w:r>
      <w:r w:rsidR="002D41A5">
        <w:t xml:space="preserve">, </w:t>
      </w:r>
      <w:r w:rsidR="009A5F22" w:rsidRPr="00C7421A">
        <w:fldChar w:fldCharType="begin"/>
      </w:r>
      <w:r w:rsidR="009A5F22" w:rsidRPr="00C7421A">
        <w:instrText xml:space="preserve"> REF a46 \h  \* MERGEFORMAT </w:instrText>
      </w:r>
      <w:r w:rsidR="009A5F22" w:rsidRPr="00C7421A">
        <w:fldChar w:fldCharType="separate"/>
      </w:r>
      <w:r w:rsidR="00C7421A" w:rsidRPr="00C7421A">
        <w:t>46</w:t>
      </w:r>
      <w:r w:rsidR="009A5F22" w:rsidRPr="00C7421A">
        <w:fldChar w:fldCharType="end"/>
      </w:r>
      <w:r w:rsidR="002D41A5">
        <w:t xml:space="preserve"> și </w:t>
      </w:r>
      <w:r w:rsidR="009A5F22" w:rsidRPr="00C7421A">
        <w:fldChar w:fldCharType="begin"/>
      </w:r>
      <w:r w:rsidR="009A5F22" w:rsidRPr="00C7421A">
        <w:instrText xml:space="preserve"> REF a63 \h  \* MERGEFORMAT </w:instrText>
      </w:r>
      <w:r w:rsidR="009A5F22" w:rsidRPr="00C7421A">
        <w:fldChar w:fldCharType="separate"/>
      </w:r>
      <w:r w:rsidR="00C7421A" w:rsidRPr="00C7421A">
        <w:t>62</w:t>
      </w:r>
      <w:r w:rsidR="009A5F22" w:rsidRPr="00C7421A">
        <w:fldChar w:fldCharType="end"/>
      </w:r>
      <w:r w:rsidR="002D41A5">
        <w:t>).</w:t>
      </w:r>
    </w:p>
    <w:p w14:paraId="3740D6B9" w14:textId="78F32D2F" w:rsidR="009A5F22" w:rsidRPr="00C7421A" w:rsidRDefault="00380BCD" w:rsidP="00C7421A">
      <w:pPr>
        <w:pStyle w:val="JuPara"/>
      </w:pPr>
      <w:fldSimple w:instr=" SEQ level0 \*arabic \* MERGEFORMAT ">
        <w:r w:rsidR="00C7421A" w:rsidRPr="00C7421A">
          <w:t>124</w:t>
        </w:r>
      </w:fldSimple>
      <w:r w:rsidR="002D41A5">
        <w:t xml:space="preserve">.  Curtea observă că articolul din 2 august 2012 se concentrase asupra carierei unui membru CSM, care era de asemenea vicepreședinte al </w:t>
      </w:r>
      <w:r w:rsidR="002D41A5">
        <w:lastRenderedPageBreak/>
        <w:t>organizației la momentul publicării articolului, precum și asupra activității acesteia de procuror. Articolul nu se referea la viața privată a doamnei O.S.H., ci mai degrabă la activitatea sa profesională și la ascensiunea într-o poziție de rang înalt în cadrul CSM și, în cele din urmă, în cadrul sistemului de justiție.</w:t>
      </w:r>
    </w:p>
    <w:bookmarkStart w:id="86" w:name="a129"/>
    <w:p w14:paraId="4D7A3A6B" w14:textId="2B7B9E93"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125</w:t>
      </w:r>
      <w:r w:rsidRPr="00C7421A">
        <w:fldChar w:fldCharType="end"/>
      </w:r>
      <w:bookmarkEnd w:id="86"/>
      <w:r>
        <w:t xml:space="preserve">.  În aceste circumstanțe, și în lipsa unui argument sau a unor probe prezentate de Guvern care să poată răsturna constatările instanțelor naționale, Curtea  consideră că nu există motive pentru a nu fi de acord cu aprecierea instanțelor potrivit căreia articolul editat și publicat de reclamanți privea aspecte de interes general privind organizarea și funcționarea sistemului de justiție (a se vedea </w:t>
      </w:r>
      <w:proofErr w:type="spellStart"/>
      <w:r>
        <w:rPr>
          <w:i/>
        </w:rPr>
        <w:t>Morice</w:t>
      </w:r>
      <w:proofErr w:type="spellEnd"/>
      <w:r>
        <w:t xml:space="preserve">, citată anterior, pct. 128). În consecință, autoritățile aveau o marjă de apreciere deosebit de îngustă în aprecierea necesității ingerinței în libertatea de exprimare a reclamanților (a se vedea, de exemplu, </w:t>
      </w:r>
      <w:proofErr w:type="spellStart"/>
      <w:r>
        <w:rPr>
          <w:i/>
        </w:rPr>
        <w:t>Morice</w:t>
      </w:r>
      <w:proofErr w:type="spellEnd"/>
      <w:r>
        <w:t xml:space="preserve">, citată anterior, pct. 125; </w:t>
      </w:r>
      <w:proofErr w:type="spellStart"/>
      <w:r>
        <w:rPr>
          <w:i/>
        </w:rPr>
        <w:t>Novaya</w:t>
      </w:r>
      <w:proofErr w:type="spellEnd"/>
      <w:r>
        <w:rPr>
          <w:i/>
        </w:rPr>
        <w:t xml:space="preserve"> Gazeta și </w:t>
      </w:r>
      <w:proofErr w:type="spellStart"/>
      <w:r>
        <w:rPr>
          <w:i/>
        </w:rPr>
        <w:t>Milașina</w:t>
      </w:r>
      <w:proofErr w:type="spellEnd"/>
      <w:r>
        <w:t xml:space="preserve">, citată anterior, pct. 66; și </w:t>
      </w:r>
      <w:r>
        <w:rPr>
          <w:i/>
        </w:rPr>
        <w:t>Monica Macovei împotriva României</w:t>
      </w:r>
      <w:r>
        <w:t>, nr. 53028/14, pct. 86-87, 28 iulie 2020).</w:t>
      </w:r>
    </w:p>
    <w:p w14:paraId="651FF216" w14:textId="77777777" w:rsidR="009A5F22" w:rsidRPr="00C7421A" w:rsidRDefault="009A5F22" w:rsidP="00C7421A">
      <w:pPr>
        <w:pStyle w:val="JuHalpha"/>
      </w:pPr>
      <w:r>
        <w:t>Despre notorietatea persoanei în cauză și conduita anterioară a acesteia</w:t>
      </w:r>
    </w:p>
    <w:p w14:paraId="15972051" w14:textId="6DFC85C5" w:rsidR="009A5F22" w:rsidRPr="00C7421A" w:rsidRDefault="00380BCD" w:rsidP="00C7421A">
      <w:pPr>
        <w:pStyle w:val="JuPara"/>
      </w:pPr>
      <w:fldSimple w:instr=" SEQ level0 \*arabic ">
        <w:r w:rsidR="00C7421A" w:rsidRPr="00C7421A">
          <w:t>126</w:t>
        </w:r>
      </w:fldSimple>
      <w:r w:rsidR="009A5F22">
        <w:t xml:space="preserve">.  Curtea observă că părțile par să nu fie de acord (a se vedea supra, pct. </w:t>
      </w:r>
      <w:r w:rsidR="009A5F22" w:rsidRPr="00C7421A">
        <w:fldChar w:fldCharType="begin"/>
      </w:r>
      <w:r w:rsidR="009A5F22" w:rsidRPr="00C7421A">
        <w:instrText xml:space="preserve"> REF a89 \h </w:instrText>
      </w:r>
      <w:r w:rsidR="009A5F22" w:rsidRPr="00C7421A">
        <w:fldChar w:fldCharType="separate"/>
      </w:r>
      <w:r w:rsidR="00C7421A" w:rsidRPr="00C7421A">
        <w:t>87</w:t>
      </w:r>
      <w:r w:rsidR="009A5F22" w:rsidRPr="00C7421A">
        <w:fldChar w:fldCharType="end"/>
      </w:r>
      <w:r w:rsidR="009A5F22">
        <w:t xml:space="preserve"> –</w:t>
      </w:r>
      <w:r w:rsidR="009A5F22" w:rsidRPr="00C7421A">
        <w:fldChar w:fldCharType="begin"/>
      </w:r>
      <w:r w:rsidR="009A5F22" w:rsidRPr="00C7421A">
        <w:instrText xml:space="preserve"> REF a91 \h </w:instrText>
      </w:r>
      <w:r w:rsidR="009A5F22" w:rsidRPr="00C7421A">
        <w:fldChar w:fldCharType="separate"/>
      </w:r>
      <w:r w:rsidR="00C7421A" w:rsidRPr="00C7421A">
        <w:t>88</w:t>
      </w:r>
      <w:r w:rsidR="009A5F22" w:rsidRPr="00C7421A">
        <w:fldChar w:fldCharType="end"/>
      </w:r>
      <w:r w:rsidR="009A5F22">
        <w:t xml:space="preserve"> și </w:t>
      </w:r>
      <w:r w:rsidR="009A5F22" w:rsidRPr="00C7421A">
        <w:fldChar w:fldCharType="begin"/>
      </w:r>
      <w:r w:rsidR="009A5F22" w:rsidRPr="00C7421A">
        <w:instrText xml:space="preserve"> REF a75 \h </w:instrText>
      </w:r>
      <w:r w:rsidR="009A5F22" w:rsidRPr="00C7421A">
        <w:fldChar w:fldCharType="separate"/>
      </w:r>
      <w:r w:rsidR="00C7421A" w:rsidRPr="00C7421A">
        <w:t>98</w:t>
      </w:r>
      <w:r w:rsidR="009A5F22" w:rsidRPr="00C7421A">
        <w:fldChar w:fldCharType="end"/>
      </w:r>
      <w:r w:rsidR="009A5F22">
        <w:t>) cu privire la nivelul de protecție al dreptului doamnei O.S.H. la respectarea vieții sale private. Reclamanții au susținut că doamna O.S.H. nu era magistrat activ la momentul publicării articolului, ci mai degrabă politician din cadrul sistemului juridic și demnitar public ales. Prin urmare, spre deosebire de un magistrat, dar la fel ca un politician, se expusese în mod conștient și voluntar unei examinări atente a publicului asupra activităților sale și, prin urmare, trebuia să dea dovadă de un grad ridicat de toleranță față de critici.</w:t>
      </w:r>
    </w:p>
    <w:p w14:paraId="61BF9399" w14:textId="6B78A70C" w:rsidR="009A5F22" w:rsidRPr="00C7421A" w:rsidRDefault="00380BCD" w:rsidP="00C7421A">
      <w:pPr>
        <w:pStyle w:val="JuPara"/>
        <w:rPr>
          <w:b/>
          <w:bCs/>
        </w:rPr>
      </w:pPr>
      <w:fldSimple w:instr=" SEQ level0 \*arabic \* MERGEFORMAT ">
        <w:r w:rsidR="00C7421A" w:rsidRPr="00C7421A">
          <w:t>127</w:t>
        </w:r>
      </w:fldSimple>
      <w:r w:rsidR="002D41A5">
        <w:t xml:space="preserve">.  La fel ca instanțele naționale, Curtea observă în această privință, la rândul său, că, în luna august 2012, doamna O.S.H. era înalt demnitar public ales care captase atenția presei chiar înainte de publicarea articolului în discuție în prezenta cauză (a se vedea supra, pct. </w:t>
      </w:r>
      <w:r w:rsidR="009A5F22" w:rsidRPr="00C7421A">
        <w:fldChar w:fldCharType="begin"/>
      </w:r>
      <w:r w:rsidR="009A5F22" w:rsidRPr="00C7421A">
        <w:instrText xml:space="preserve"> REF a38 \h  \* MERGEFORMAT </w:instrText>
      </w:r>
      <w:r w:rsidR="009A5F22" w:rsidRPr="00C7421A">
        <w:fldChar w:fldCharType="separate"/>
      </w:r>
      <w:r w:rsidR="00C7421A" w:rsidRPr="00C7421A">
        <w:t>38</w:t>
      </w:r>
      <w:r w:rsidR="009A5F22" w:rsidRPr="00C7421A">
        <w:fldChar w:fldCharType="end"/>
      </w:r>
      <w:r w:rsidR="002D41A5">
        <w:t xml:space="preserve"> și </w:t>
      </w:r>
      <w:r w:rsidR="009A5F22" w:rsidRPr="00C7421A">
        <w:fldChar w:fldCharType="begin"/>
      </w:r>
      <w:r w:rsidR="009A5F22" w:rsidRPr="00C7421A">
        <w:instrText xml:space="preserve"> REF a43 \h </w:instrText>
      </w:r>
      <w:r w:rsidR="009A5F22" w:rsidRPr="00C7421A">
        <w:fldChar w:fldCharType="separate"/>
      </w:r>
      <w:r w:rsidR="00C7421A" w:rsidRPr="00C7421A">
        <w:t>42</w:t>
      </w:r>
      <w:r w:rsidR="009A5F22" w:rsidRPr="00C7421A">
        <w:fldChar w:fldCharType="end"/>
      </w:r>
      <w:r w:rsidR="002D41A5">
        <w:t xml:space="preserve">). În plus, Curtea observă că aparent era cunoscut de public faptul că doamna O.S.H. se pregătea să candideze la alegeri pentru o funcție, și anume cea de președinte al CSM, care era chiar mai importantă decât cea pe care o ocupa deja (a se vedea supra, pct. </w:t>
      </w:r>
      <w:r w:rsidR="009A5F22" w:rsidRPr="00C7421A">
        <w:fldChar w:fldCharType="begin"/>
      </w:r>
      <w:r w:rsidR="009A5F22" w:rsidRPr="00C7421A">
        <w:instrText xml:space="preserve"> REF a29 \h </w:instrText>
      </w:r>
      <w:r w:rsidR="009A5F22" w:rsidRPr="00C7421A">
        <w:fldChar w:fldCharType="separate"/>
      </w:r>
      <w:r w:rsidR="00C7421A" w:rsidRPr="00C7421A">
        <w:t>29</w:t>
      </w:r>
      <w:r w:rsidR="009A5F22" w:rsidRPr="00C7421A">
        <w:fldChar w:fldCharType="end"/>
      </w:r>
      <w:r w:rsidR="002D41A5">
        <w:t xml:space="preserve">, </w:t>
      </w:r>
      <w:r w:rsidR="009A5F22" w:rsidRPr="00C7421A">
        <w:fldChar w:fldCharType="begin"/>
      </w:r>
      <w:r w:rsidR="009A5F22" w:rsidRPr="00C7421A">
        <w:instrText xml:space="preserve"> REF a90 \h  \* MERGEFORMAT </w:instrText>
      </w:r>
      <w:r w:rsidR="009A5F22" w:rsidRPr="00C7421A">
        <w:fldChar w:fldCharType="separate"/>
      </w:r>
      <w:r w:rsidR="00C7421A" w:rsidRPr="00C7421A">
        <w:t>87</w:t>
      </w:r>
      <w:r w:rsidR="009A5F22" w:rsidRPr="00C7421A">
        <w:fldChar w:fldCharType="end"/>
      </w:r>
      <w:r w:rsidR="002D41A5">
        <w:t xml:space="preserve"> și </w:t>
      </w:r>
      <w:r w:rsidR="009A5F22" w:rsidRPr="00C7421A">
        <w:fldChar w:fldCharType="begin"/>
      </w:r>
      <w:r w:rsidR="009A5F22" w:rsidRPr="00C7421A">
        <w:instrText xml:space="preserve"> REF a125 \h  \* MERGEFORMAT </w:instrText>
      </w:r>
      <w:r w:rsidR="009A5F22" w:rsidRPr="00C7421A">
        <w:fldChar w:fldCharType="separate"/>
      </w:r>
      <w:r w:rsidR="00C7421A" w:rsidRPr="00C7421A">
        <w:t>122</w:t>
      </w:r>
      <w:r w:rsidR="009A5F22" w:rsidRPr="00C7421A">
        <w:fldChar w:fldCharType="end"/>
      </w:r>
      <w:r w:rsidR="002D41A5">
        <w:t>)</w:t>
      </w:r>
      <w:r w:rsidR="002D41A5">
        <w:rPr>
          <w:b/>
        </w:rPr>
        <w:t>.</w:t>
      </w:r>
    </w:p>
    <w:p w14:paraId="0D8E3C10" w14:textId="252D2385" w:rsidR="009A5F22" w:rsidRPr="00C7421A" w:rsidRDefault="00380BCD" w:rsidP="00C7421A">
      <w:pPr>
        <w:pStyle w:val="JuPara"/>
      </w:pPr>
      <w:fldSimple w:instr=" SEQ level0 \*arabic \* MERGEFORMAT ">
        <w:r w:rsidR="00C7421A" w:rsidRPr="00C7421A">
          <w:t>128</w:t>
        </w:r>
      </w:fldSimple>
      <w:r w:rsidR="002D41A5">
        <w:t xml:space="preserve">.  Curtea observă, de asemenea, că a admis, în contextul unei candidaturi depuse de funcționar public pentru ocuparea unui post de conducere care ar putea fi considerat ca fiind de interes public deosebit, că trebuie să se considere că un astfel de funcționar public a intrat în mod inevitabil și în cunoștință de cauză în sfera publică și s-a expus unei examinări atente a actelor sale și că, în consecință, limitele criticii admisibile trebuie să fie mai largi decât în cazul unui profesionist obișnuit [a se vedea </w:t>
      </w:r>
      <w:proofErr w:type="spellStart"/>
      <w:r w:rsidR="002D41A5">
        <w:rPr>
          <w:i/>
        </w:rPr>
        <w:t>Medžlis</w:t>
      </w:r>
      <w:proofErr w:type="spellEnd"/>
      <w:r w:rsidR="002D41A5">
        <w:rPr>
          <w:i/>
        </w:rPr>
        <w:t xml:space="preserve"> </w:t>
      </w:r>
      <w:proofErr w:type="spellStart"/>
      <w:r w:rsidR="002D41A5">
        <w:rPr>
          <w:i/>
        </w:rPr>
        <w:t>Islamske</w:t>
      </w:r>
      <w:proofErr w:type="spellEnd"/>
      <w:r w:rsidR="002D41A5">
        <w:rPr>
          <w:i/>
        </w:rPr>
        <w:t xml:space="preserve"> </w:t>
      </w:r>
      <w:proofErr w:type="spellStart"/>
      <w:r w:rsidR="002D41A5">
        <w:rPr>
          <w:i/>
        </w:rPr>
        <w:t>Zajednice</w:t>
      </w:r>
      <w:proofErr w:type="spellEnd"/>
      <w:r w:rsidR="002D41A5">
        <w:rPr>
          <w:i/>
        </w:rPr>
        <w:t xml:space="preserve"> </w:t>
      </w:r>
      <w:proofErr w:type="spellStart"/>
      <w:r w:rsidR="002D41A5">
        <w:rPr>
          <w:i/>
        </w:rPr>
        <w:t>Brčko</w:t>
      </w:r>
      <w:proofErr w:type="spellEnd"/>
      <w:r w:rsidR="002D41A5">
        <w:rPr>
          <w:i/>
        </w:rPr>
        <w:t xml:space="preserve"> și alții împotriva Bosniei și Herțegovinei</w:t>
      </w:r>
      <w:r w:rsidR="002D41A5">
        <w:t xml:space="preserve"> (MC), nr. 17224/11, pct. 98, 27 iunie 2017].</w:t>
      </w:r>
    </w:p>
    <w:bookmarkStart w:id="87" w:name="a131"/>
    <w:p w14:paraId="24A2DF5F" w14:textId="48CF2D07" w:rsidR="009A5F22" w:rsidRPr="00C7421A" w:rsidRDefault="009A5F22" w:rsidP="00C7421A">
      <w:pPr>
        <w:pStyle w:val="JuPara"/>
      </w:pPr>
      <w:r w:rsidRPr="00C7421A">
        <w:lastRenderedPageBreak/>
        <w:fldChar w:fldCharType="begin"/>
      </w:r>
      <w:r w:rsidRPr="00C7421A">
        <w:instrText xml:space="preserve"> SEQ level0 \*arabic \* MERGEFORMAT </w:instrText>
      </w:r>
      <w:r w:rsidRPr="00C7421A">
        <w:fldChar w:fldCharType="separate"/>
      </w:r>
      <w:r w:rsidR="00C7421A" w:rsidRPr="00C7421A">
        <w:t>129</w:t>
      </w:r>
      <w:r w:rsidRPr="00C7421A">
        <w:fldChar w:fldCharType="end"/>
      </w:r>
      <w:bookmarkEnd w:id="87"/>
      <w:r>
        <w:t xml:space="preserve">.  În aceste circumstanțe, ținând seama și de îndatoririle și responsabilitățile inerente în ceea ce privește sistemul de justiție pe care le implică statutul său de procuror și membru al CSM (a se vedea supra, pct. </w:t>
      </w:r>
      <w:r w:rsidRPr="00C7421A">
        <w:fldChar w:fldCharType="begin"/>
      </w:r>
      <w:r w:rsidRPr="00C7421A">
        <w:instrText xml:space="preserve"> REF a26 \h  \* MERGEFORMAT </w:instrText>
      </w:r>
      <w:r w:rsidRPr="00C7421A">
        <w:fldChar w:fldCharType="separate"/>
      </w:r>
      <w:r w:rsidR="00C7421A" w:rsidRPr="00C7421A">
        <w:t>26</w:t>
      </w:r>
      <w:r w:rsidRPr="00C7421A">
        <w:fldChar w:fldCharType="end"/>
      </w:r>
      <w:r>
        <w:t xml:space="preserve">, </w:t>
      </w:r>
      <w:r w:rsidRPr="00C7421A">
        <w:fldChar w:fldCharType="begin"/>
      </w:r>
      <w:r w:rsidRPr="00C7421A">
        <w:instrText xml:space="preserve"> REF a37 \h  \* MERGEFORMAT </w:instrText>
      </w:r>
      <w:r w:rsidRPr="00C7421A">
        <w:fldChar w:fldCharType="separate"/>
      </w:r>
      <w:r w:rsidR="00C7421A" w:rsidRPr="00C7421A">
        <w:t>36</w:t>
      </w:r>
      <w:r w:rsidRPr="00C7421A">
        <w:fldChar w:fldCharType="end"/>
      </w:r>
      <w:r>
        <w:t xml:space="preserve">, </w:t>
      </w:r>
      <w:r w:rsidRPr="00C7421A">
        <w:fldChar w:fldCharType="begin"/>
      </w:r>
      <w:r w:rsidRPr="00C7421A">
        <w:instrText xml:space="preserve"> REF e73 \h </w:instrText>
      </w:r>
      <w:r w:rsidRPr="00C7421A">
        <w:fldChar w:fldCharType="separate"/>
      </w:r>
      <w:r w:rsidR="00C7421A" w:rsidRPr="00C7421A">
        <w:t>73</w:t>
      </w:r>
      <w:r w:rsidRPr="00C7421A">
        <w:fldChar w:fldCharType="end"/>
      </w:r>
      <w:r>
        <w:t>-</w:t>
      </w:r>
      <w:r w:rsidRPr="00C7421A">
        <w:fldChar w:fldCharType="begin"/>
      </w:r>
      <w:r w:rsidRPr="00C7421A">
        <w:instrText xml:space="preserve"> REF e76 \h </w:instrText>
      </w:r>
      <w:r w:rsidRPr="00C7421A">
        <w:fldChar w:fldCharType="separate"/>
      </w:r>
      <w:r w:rsidR="00C7421A" w:rsidRPr="00C7421A">
        <w:t>76</w:t>
      </w:r>
      <w:r w:rsidRPr="00C7421A">
        <w:fldChar w:fldCharType="end"/>
      </w:r>
      <w:r>
        <w:t xml:space="preserve"> și </w:t>
      </w:r>
      <w:r w:rsidRPr="00C7421A">
        <w:fldChar w:fldCharType="begin"/>
      </w:r>
      <w:r w:rsidRPr="00C7421A">
        <w:instrText xml:space="preserve"> REF a118 \h  \* MERGEFORMAT </w:instrText>
      </w:r>
      <w:r w:rsidRPr="00C7421A">
        <w:fldChar w:fldCharType="separate"/>
      </w:r>
      <w:r w:rsidR="00C7421A" w:rsidRPr="00C7421A">
        <w:t>116</w:t>
      </w:r>
      <w:r w:rsidRPr="00C7421A">
        <w:fldChar w:fldCharType="end"/>
      </w:r>
      <w:r>
        <w:t xml:space="preserve">), Curtea consideră că doamna O.S.H. nu ar putea fi comparată cu un politician propriu-zis. Cu toate acestea, fără a pierde din vedere rolul special al sistemului judiciar în societate și nevoia specială a acestuia de încredere din partea publicului, Curtea consideră că doamna O.S.H. aparținea unui grup de persoane care nu puteau pretinde protecția dreptului său la respectarea vieții private în același mod în care ar putea-o face un cetățean obișnuit (a se vedea supra, pct. </w:t>
      </w:r>
      <w:r w:rsidRPr="00C7421A">
        <w:fldChar w:fldCharType="begin"/>
      </w:r>
      <w:r w:rsidRPr="00C7421A">
        <w:instrText xml:space="preserve"> REF a118 \h  \* MERGEFORMAT </w:instrText>
      </w:r>
      <w:r w:rsidRPr="00C7421A">
        <w:fldChar w:fldCharType="separate"/>
      </w:r>
      <w:r w:rsidR="00C7421A" w:rsidRPr="00C7421A">
        <w:t>116</w:t>
      </w:r>
      <w:r w:rsidRPr="00C7421A">
        <w:fldChar w:fldCharType="end"/>
      </w:r>
      <w:r>
        <w:t>), sau chiar un profesionist. Prin urmare, făcea obiectul unor limite mai largi în ceea ce privește critica admisibilă decât persoanele obișnuite și profesioniștii obișnuiți.</w:t>
      </w:r>
    </w:p>
    <w:p w14:paraId="176003C6" w14:textId="77777777" w:rsidR="009A5F22" w:rsidRPr="00C7421A" w:rsidRDefault="009A5F22" w:rsidP="00C7421A">
      <w:pPr>
        <w:pStyle w:val="JuHalpha"/>
      </w:pPr>
      <w:r>
        <w:t>Subiectul articolului, metoda de obținere a informațiilor și veridicitatea acestuia, conținutul, forma și consecințele publicării articolului</w:t>
      </w:r>
    </w:p>
    <w:p w14:paraId="597D889D" w14:textId="4CB3820B" w:rsidR="009A5F22" w:rsidRPr="00C7421A" w:rsidRDefault="00380BCD" w:rsidP="00C7421A">
      <w:pPr>
        <w:pStyle w:val="JuPara"/>
      </w:pPr>
      <w:fldSimple w:instr=" SEQ level0 \*arabic \* MERGEFORMAT ">
        <w:r w:rsidR="00C7421A" w:rsidRPr="00C7421A">
          <w:t>130</w:t>
        </w:r>
      </w:fldSimple>
      <w:r w:rsidR="002D41A5">
        <w:t xml:space="preserve">.  Curtea observă de la bun început că acțiunea inițială pentru defăimare formulată împotriva reclamanților conținea plângeri mai ample, și anume desfășurarea unei campanii de presă defăimătoare împotriva doamnei O.S.H., constând din 36 de articole care priveau activitățile și cariera doamnei O.S.H. (a se vedea supra, pct. </w:t>
      </w:r>
      <w:r w:rsidR="009A5F22" w:rsidRPr="00C7421A">
        <w:fldChar w:fldCharType="begin"/>
      </w:r>
      <w:r w:rsidR="009A5F22" w:rsidRPr="00C7421A">
        <w:instrText xml:space="preserve"> REF a30 \h  \* MERGEFORMAT </w:instrText>
      </w:r>
      <w:r w:rsidR="009A5F22" w:rsidRPr="00C7421A">
        <w:fldChar w:fldCharType="separate"/>
      </w:r>
      <w:r w:rsidR="00C7421A" w:rsidRPr="00C7421A">
        <w:t>30</w:t>
      </w:r>
      <w:r w:rsidR="009A5F22" w:rsidRPr="00C7421A">
        <w:fldChar w:fldCharType="end"/>
      </w:r>
      <w:r w:rsidR="002D41A5">
        <w:t xml:space="preserve"> și </w:t>
      </w:r>
      <w:r w:rsidR="009A5F22" w:rsidRPr="00C7421A">
        <w:fldChar w:fldCharType="begin"/>
      </w:r>
      <w:r w:rsidR="009A5F22" w:rsidRPr="00C7421A">
        <w:instrText xml:space="preserve"> REF a43 \h  \* MERGEFORMAT </w:instrText>
      </w:r>
      <w:r w:rsidR="009A5F22" w:rsidRPr="00C7421A">
        <w:fldChar w:fldCharType="separate"/>
      </w:r>
      <w:r w:rsidR="00C7421A" w:rsidRPr="00C7421A">
        <w:t>42</w:t>
      </w:r>
      <w:r w:rsidR="009A5F22" w:rsidRPr="00C7421A">
        <w:fldChar w:fldCharType="end"/>
      </w:r>
      <w:r w:rsidR="002D41A5">
        <w:t>). Curtea observă, de asemenea, că articolul din 2 august 2012 discutase cazul domnului N.T., invocând articole anterioare din presă referitoare la aceleași evenimente, hotărârea pronunțată de instanțele naționale cu privire la acest caz și o plângere penală pendinte formulată de domnul N.T. împotriva doamnei O.S.H.</w:t>
      </w:r>
      <w:r w:rsidR="002D41A5">
        <w:rPr>
          <w:b/>
        </w:rPr>
        <w:t xml:space="preserve"> </w:t>
      </w:r>
      <w:r w:rsidR="002D41A5">
        <w:t xml:space="preserve">(a se vedea supra, pct. </w:t>
      </w:r>
      <w:r w:rsidR="009A5F22" w:rsidRPr="00C7421A">
        <w:fldChar w:fldCharType="begin"/>
      </w:r>
      <w:r w:rsidR="009A5F22" w:rsidRPr="00C7421A">
        <w:instrText xml:space="preserve"> REF a21 \h  \* MERGEFORMAT </w:instrText>
      </w:r>
      <w:r w:rsidR="009A5F22" w:rsidRPr="00C7421A">
        <w:fldChar w:fldCharType="separate"/>
      </w:r>
      <w:r w:rsidR="00C7421A" w:rsidRPr="00C7421A">
        <w:t>21</w:t>
      </w:r>
      <w:r w:rsidR="009A5F22" w:rsidRPr="00C7421A">
        <w:fldChar w:fldCharType="end"/>
      </w:r>
      <w:r w:rsidR="002D41A5">
        <w:t>-</w:t>
      </w:r>
      <w:r w:rsidR="009A5F22" w:rsidRPr="00C7421A">
        <w:fldChar w:fldCharType="begin"/>
      </w:r>
      <w:r w:rsidR="009A5F22" w:rsidRPr="00C7421A">
        <w:instrText xml:space="preserve"> REF a25 \h  \* MERGEFORMAT </w:instrText>
      </w:r>
      <w:r w:rsidR="009A5F22" w:rsidRPr="00C7421A">
        <w:fldChar w:fldCharType="separate"/>
      </w:r>
      <w:r w:rsidR="00C7421A" w:rsidRPr="00C7421A">
        <w:t>25</w:t>
      </w:r>
      <w:r w:rsidR="009A5F22" w:rsidRPr="00C7421A">
        <w:fldChar w:fldCharType="end"/>
      </w:r>
      <w:r w:rsidR="002D41A5">
        <w:t xml:space="preserve"> și </w:t>
      </w:r>
      <w:r w:rsidR="009A5F22" w:rsidRPr="00C7421A">
        <w:fldChar w:fldCharType="begin"/>
      </w:r>
      <w:r w:rsidR="009A5F22" w:rsidRPr="00C7421A">
        <w:instrText xml:space="preserve"> REF a22 \h </w:instrText>
      </w:r>
      <w:r w:rsidR="009A5F22" w:rsidRPr="00C7421A">
        <w:fldChar w:fldCharType="separate"/>
      </w:r>
      <w:r w:rsidR="00C7421A" w:rsidRPr="00C7421A">
        <w:t>27</w:t>
      </w:r>
      <w:r w:rsidR="009A5F22" w:rsidRPr="00C7421A">
        <w:fldChar w:fldCharType="end"/>
      </w:r>
      <w:r w:rsidR="002D41A5">
        <w:t>-</w:t>
      </w:r>
      <w:r w:rsidR="009A5F22" w:rsidRPr="00C7421A">
        <w:fldChar w:fldCharType="begin"/>
      </w:r>
      <w:r w:rsidR="009A5F22" w:rsidRPr="00C7421A">
        <w:instrText xml:space="preserve"> REF e28 \h </w:instrText>
      </w:r>
      <w:r w:rsidR="009A5F22" w:rsidRPr="00C7421A">
        <w:fldChar w:fldCharType="separate"/>
      </w:r>
      <w:r w:rsidR="00C7421A" w:rsidRPr="00C7421A">
        <w:t>28</w:t>
      </w:r>
      <w:r w:rsidR="009A5F22" w:rsidRPr="00C7421A">
        <w:fldChar w:fldCharType="end"/>
      </w:r>
      <w:r w:rsidR="002D41A5">
        <w:t>). Prin urmare, metoda utilizată pentru obținerea informațiilor relatate nu poate fi pusă la îndoială.</w:t>
      </w:r>
    </w:p>
    <w:p w14:paraId="3FEEC607" w14:textId="520B5160" w:rsidR="009A5F22" w:rsidRPr="00C7421A" w:rsidRDefault="00380BCD" w:rsidP="00C7421A">
      <w:pPr>
        <w:pStyle w:val="JuPara"/>
      </w:pPr>
      <w:fldSimple w:instr=" SEQ level0 \*arabic \* MERGEFORMAT ">
        <w:r w:rsidR="00C7421A" w:rsidRPr="00C7421A">
          <w:t>131</w:t>
        </w:r>
      </w:fldSimple>
      <w:r w:rsidR="002D41A5">
        <w:t xml:space="preserve">.  Instanța de fond a respins acțiunea formulată de doamna O.S.H. cu privire la majoritatea celor 36 de articole, dar a admis-o în ceea ce privește cele cinci articole de presă care se concentrau asupra cazului domnului N.T. Instanța a reținut că, deși articolele se întemeiaseră pe o bază factuală suficientă, acestea nu au prezentat în mod clar responsabilitățile unui prim-procuror și au utilizat un limbaj excesiv de critic, emoțional și ofensator (a se vedea supra, pct. </w:t>
      </w:r>
      <w:r w:rsidR="009A5F22" w:rsidRPr="00C7421A">
        <w:fldChar w:fldCharType="begin"/>
      </w:r>
      <w:r w:rsidR="009A5F22" w:rsidRPr="00C7421A">
        <w:instrText xml:space="preserve"> REF a46 \h  \* MERGEFORMAT </w:instrText>
      </w:r>
      <w:r w:rsidR="009A5F22" w:rsidRPr="00C7421A">
        <w:fldChar w:fldCharType="separate"/>
      </w:r>
      <w:r w:rsidR="00C7421A" w:rsidRPr="00C7421A">
        <w:t>46</w:t>
      </w:r>
      <w:r w:rsidR="009A5F22" w:rsidRPr="00C7421A">
        <w:fldChar w:fldCharType="end"/>
      </w:r>
      <w:r w:rsidR="002D41A5">
        <w:t>-</w:t>
      </w:r>
      <w:r w:rsidR="009A5F22" w:rsidRPr="00C7421A">
        <w:fldChar w:fldCharType="begin"/>
      </w:r>
      <w:r w:rsidR="009A5F22" w:rsidRPr="00C7421A">
        <w:instrText xml:space="preserve"> REF a52 \h  \* MERGEFORMAT </w:instrText>
      </w:r>
      <w:r w:rsidR="009A5F22" w:rsidRPr="00C7421A">
        <w:fldChar w:fldCharType="separate"/>
      </w:r>
      <w:r w:rsidR="00C7421A" w:rsidRPr="00C7421A">
        <w:t>52</w:t>
      </w:r>
      <w:r w:rsidR="009A5F22" w:rsidRPr="00C7421A">
        <w:fldChar w:fldCharType="end"/>
      </w:r>
      <w:r w:rsidR="002D41A5">
        <w:t>)</w:t>
      </w:r>
      <w:r w:rsidR="002D41A5">
        <w:rPr>
          <w:b/>
        </w:rPr>
        <w:t>.</w:t>
      </w:r>
    </w:p>
    <w:p w14:paraId="462FCFF6" w14:textId="152CB72F" w:rsidR="009A5F22" w:rsidRPr="00C7421A" w:rsidRDefault="00380BCD" w:rsidP="00C7421A">
      <w:pPr>
        <w:pStyle w:val="JuPara"/>
        <w:rPr>
          <w:b/>
          <w:bCs/>
        </w:rPr>
      </w:pPr>
      <w:fldSimple w:instr=" SEQ level0 \*arabic \* MERGEFORMAT ">
        <w:r w:rsidR="00C7421A" w:rsidRPr="00C7421A">
          <w:t>132</w:t>
        </w:r>
      </w:fldSimple>
      <w:r w:rsidR="002D41A5">
        <w:t xml:space="preserve">.  Spre deosebire de instanța de fond, Curtea de apel a considerat că, într-un mod similar majorității articolelor din campania de presă, patru dintre articolele care priveau circumstanțele legate de cazul domnului N.T., și anume cele publicate în perioada 4-31 ianuarie 2013, se întemeiaseră pe o bază factuală suficientă și că reclamanții acționaseră cu bună-credință atunci când le-au publicat și că exprimările utilizate în acestea (a se vedea supra, pct. </w:t>
      </w:r>
      <w:r w:rsidR="009A5F22" w:rsidRPr="00C7421A">
        <w:fldChar w:fldCharType="begin"/>
      </w:r>
      <w:r w:rsidR="009A5F22" w:rsidRPr="00C7421A">
        <w:instrText xml:space="preserve"> REF a50 \h  \* MERGEFORMAT </w:instrText>
      </w:r>
      <w:r w:rsidR="009A5F22" w:rsidRPr="00C7421A">
        <w:fldChar w:fldCharType="separate"/>
      </w:r>
      <w:r w:rsidR="00C7421A" w:rsidRPr="00C7421A">
        <w:t>50</w:t>
      </w:r>
      <w:r w:rsidR="009A5F22" w:rsidRPr="00C7421A">
        <w:fldChar w:fldCharType="end"/>
      </w:r>
      <w:r w:rsidR="002D41A5">
        <w:t xml:space="preserve">) se menținuseră în limitele libertății de exprimare jurnalistice (a se vedea supra, pct. </w:t>
      </w:r>
      <w:r w:rsidR="009A5F22" w:rsidRPr="00C7421A">
        <w:fldChar w:fldCharType="begin"/>
      </w:r>
      <w:r w:rsidR="009A5F22" w:rsidRPr="00C7421A">
        <w:instrText xml:space="preserve"> REF a48 \h </w:instrText>
      </w:r>
      <w:r w:rsidR="009A5F22" w:rsidRPr="00C7421A">
        <w:fldChar w:fldCharType="separate"/>
      </w:r>
      <w:r w:rsidR="00C7421A" w:rsidRPr="00C7421A">
        <w:t>64</w:t>
      </w:r>
      <w:r w:rsidR="009A5F22" w:rsidRPr="00C7421A">
        <w:fldChar w:fldCharType="end"/>
      </w:r>
      <w:r w:rsidR="002D41A5">
        <w:t>-</w:t>
      </w:r>
      <w:r w:rsidR="009A5F22" w:rsidRPr="00C7421A">
        <w:fldChar w:fldCharType="begin"/>
      </w:r>
      <w:r w:rsidR="009A5F22" w:rsidRPr="00C7421A">
        <w:instrText xml:space="preserve"> REF a65 \h </w:instrText>
      </w:r>
      <w:r w:rsidR="009A5F22" w:rsidRPr="00C7421A">
        <w:fldChar w:fldCharType="separate"/>
      </w:r>
      <w:r w:rsidR="00C7421A" w:rsidRPr="00C7421A">
        <w:t>65</w:t>
      </w:r>
      <w:r w:rsidR="009A5F22" w:rsidRPr="00C7421A">
        <w:fldChar w:fldCharType="end"/>
      </w:r>
      <w:r w:rsidR="002D41A5">
        <w:t>). În plus, instanța de ultim grad nu a constatat în mod expres că exprimările sus</w:t>
      </w:r>
      <w:r w:rsidR="002D41A5">
        <w:noBreakHyphen/>
        <w:t xml:space="preserve">menționate erau semnificativ diferite de cele similare conținute în articolul din 2 august 2012 (a se vedea supra, pct. </w:t>
      </w:r>
      <w:r w:rsidR="009A5F22" w:rsidRPr="00C7421A">
        <w:fldChar w:fldCharType="begin"/>
      </w:r>
      <w:r w:rsidR="009A5F22" w:rsidRPr="00C7421A">
        <w:instrText xml:space="preserve"> REF i9 \h  \* MERGEFORMAT </w:instrText>
      </w:r>
      <w:r w:rsidR="009A5F22" w:rsidRPr="00C7421A">
        <w:fldChar w:fldCharType="separate"/>
      </w:r>
      <w:r w:rsidR="00C7421A" w:rsidRPr="00C7421A">
        <w:t>26</w:t>
      </w:r>
      <w:r w:rsidR="009A5F22" w:rsidRPr="00C7421A">
        <w:fldChar w:fldCharType="end"/>
      </w:r>
      <w:r w:rsidR="002D41A5">
        <w:t>-</w:t>
      </w:r>
      <w:r w:rsidR="009A5F22" w:rsidRPr="00C7421A">
        <w:fldChar w:fldCharType="begin"/>
      </w:r>
      <w:r w:rsidR="009A5F22" w:rsidRPr="00C7421A">
        <w:instrText xml:space="preserve"> REF a28 \h  \* MERGEFORMAT </w:instrText>
      </w:r>
      <w:r w:rsidR="009A5F22" w:rsidRPr="00C7421A">
        <w:fldChar w:fldCharType="separate"/>
      </w:r>
      <w:r w:rsidR="00C7421A" w:rsidRPr="00C7421A">
        <w:t>28</w:t>
      </w:r>
      <w:r w:rsidR="009A5F22" w:rsidRPr="00C7421A">
        <w:fldChar w:fldCharType="end"/>
      </w:r>
      <w:r w:rsidR="002D41A5">
        <w:t xml:space="preserve"> și </w:t>
      </w:r>
      <w:r w:rsidR="009A5F22" w:rsidRPr="00C7421A">
        <w:fldChar w:fldCharType="begin"/>
      </w:r>
      <w:r w:rsidR="009A5F22" w:rsidRPr="00C7421A">
        <w:instrText xml:space="preserve"> REF a50 \h  \* MERGEFORMAT </w:instrText>
      </w:r>
      <w:r w:rsidR="009A5F22" w:rsidRPr="00C7421A">
        <w:fldChar w:fldCharType="separate"/>
      </w:r>
      <w:r w:rsidR="00C7421A" w:rsidRPr="00C7421A">
        <w:t>50</w:t>
      </w:r>
      <w:r w:rsidR="009A5F22" w:rsidRPr="00C7421A">
        <w:fldChar w:fldCharType="end"/>
      </w:r>
      <w:r w:rsidR="002D41A5">
        <w:t xml:space="preserve">). </w:t>
      </w:r>
      <w:r w:rsidR="002D41A5">
        <w:lastRenderedPageBreak/>
        <w:t>Cu toate acestea, decizia Curții de apel a evidențiat pentru prima dată unele afirmații specifice în articolul din 2 august 2012 pentru care a constatat răspunderea reclamanților. Curtea este conștientă de acest fapt, întrucât a influențat în mod inevitabil capacitatea reclamanților de a se apăra.</w:t>
      </w:r>
    </w:p>
    <w:bookmarkStart w:id="88" w:name="a135"/>
    <w:p w14:paraId="3349ECE8" w14:textId="061FDA4A"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133</w:t>
      </w:r>
      <w:r w:rsidRPr="00C7421A">
        <w:fldChar w:fldCharType="end"/>
      </w:r>
      <w:bookmarkEnd w:id="88"/>
      <w:r>
        <w:t xml:space="preserve">.  Curtea observă că instanța de ultim grad i-a obligat pe reclamanți la plata unei despăgubiri pentru daunele morale aduse doamnei O.S.H., întrucât articolul din 2 august 2012 se întemeiase pe textul hotărârii de achitare a domnului N.T. pentru a formula o acuzație specifică împotriva doamnei O.S.H., deși textul hotărârii în cauză nu susținea o astfel de acuzație (a se vedea supra, pct. </w:t>
      </w:r>
      <w:r w:rsidRPr="00C7421A">
        <w:fldChar w:fldCharType="begin"/>
      </w:r>
      <w:r w:rsidRPr="00C7421A">
        <w:instrText xml:space="preserve"> REF a66 \h </w:instrText>
      </w:r>
      <w:r w:rsidRPr="00C7421A">
        <w:fldChar w:fldCharType="separate"/>
      </w:r>
      <w:r w:rsidR="00C7421A" w:rsidRPr="00C7421A">
        <w:t>66</w:t>
      </w:r>
      <w:r w:rsidRPr="00C7421A">
        <w:fldChar w:fldCharType="end"/>
      </w:r>
      <w:r>
        <w:t xml:space="preserve">). Instanța de ultim grad a considerat că prin utilizarea expresiilor „Aflați [despre] abuzurile procuraturii, reținute de judecători în acest caz!” și „Judecătorii au menționat presiunile procurorilor [exercitate] asupra martorilor”, în articol se susținea, în fapt, în mod neadevărat că judecătorii au constatat că eroarea judiciară prin care o persoană nevinovată a fost acuzată de omor fusese rezultatul abuzurilor comise de procuror și de doamna O.S.H., care au constat în presiunea exercitată de cei doi procurori asupra martorilor. În continuare, Curtea de apel a concluzionat că reclamanții nu acționaseră cu bună-credință deoarece denaturaseră informațiile disponibile în hotărârea de achitare atunci când au prezentat informațiile publicului (i) întrucât instanța care l-a achitat pe domnul N.T. reprodusese motivele care au stat la baza schimbării declarațiilor martorului din faza de urmărire penală a procesului nu însemna că instanța respectivă considerase că existaseră presiuni din partea acuzării sau că motivele invocate de martor erau adevărate și (ii) întrucât doamna O.S.H. nu fusese responsabilă de audierea martorilor din poziția sa de prim-procuror, și nici chiar martorul nu sugerase că aceasta ar fi săvârșit un abuz împotriva sa, dat fiind că acesta s-a referit doar la procurorul de caz. În sfârșit, Curtea de apel a considerat că acuzațiile clare și specifice formulate în articol împotriva doamnei O.S.H. erau mai mult decât simple judecăți de valoare și o defăimaseră în mod intenționat (a se vedea supra, pct. </w:t>
      </w:r>
      <w:r w:rsidRPr="00C7421A">
        <w:fldChar w:fldCharType="begin"/>
      </w:r>
      <w:r w:rsidRPr="00C7421A">
        <w:instrText xml:space="preserve"> REF a66 \h </w:instrText>
      </w:r>
      <w:r w:rsidRPr="00C7421A">
        <w:fldChar w:fldCharType="separate"/>
      </w:r>
      <w:r w:rsidR="00C7421A" w:rsidRPr="00C7421A">
        <w:t>66</w:t>
      </w:r>
      <w:r w:rsidRPr="00C7421A">
        <w:fldChar w:fldCharType="end"/>
      </w:r>
      <w:r>
        <w:t>-</w:t>
      </w:r>
      <w:r w:rsidRPr="00C7421A">
        <w:fldChar w:fldCharType="begin"/>
      </w:r>
      <w:r w:rsidRPr="00C7421A">
        <w:instrText xml:space="preserve"> REF a70 \h </w:instrText>
      </w:r>
      <w:r w:rsidRPr="00C7421A">
        <w:fldChar w:fldCharType="separate"/>
      </w:r>
      <w:r w:rsidR="00C7421A" w:rsidRPr="00C7421A">
        <w:t>70</w:t>
      </w:r>
      <w:r w:rsidRPr="00C7421A">
        <w:fldChar w:fldCharType="end"/>
      </w:r>
      <w:r>
        <w:t>).</w:t>
      </w:r>
    </w:p>
    <w:p w14:paraId="36124045" w14:textId="1E8EA6AC" w:rsidR="009A5F22" w:rsidRPr="00C7421A" w:rsidRDefault="00380BCD" w:rsidP="00C7421A">
      <w:pPr>
        <w:pStyle w:val="JuPara"/>
      </w:pPr>
      <w:fldSimple w:instr=" SEQ level0 \*arabic \* MERGEFORMAT ">
        <w:r w:rsidR="00C7421A" w:rsidRPr="00C7421A">
          <w:t>134</w:t>
        </w:r>
      </w:fldSimple>
      <w:r w:rsidR="002D41A5">
        <w:t xml:space="preserve">.  Curtea constată că instanțele naționale sunt, în principiu, mai în măsură decât o instanță internațională să aprecieze intenția din spatele frazelor și afirmațiilor în litigiu și, în special, să judece modul în care publicul larg le-ar interpreta și ar reacționa la ele (a se vedea </w:t>
      </w:r>
      <w:r w:rsidR="002D41A5">
        <w:rPr>
          <w:i/>
        </w:rPr>
        <w:t>Monica Macovei</w:t>
      </w:r>
      <w:r w:rsidR="002D41A5">
        <w:t>, citată anterior, pct. 88, cu trimiterile suplimentare).</w:t>
      </w:r>
    </w:p>
    <w:bookmarkStart w:id="89" w:name="a138"/>
    <w:p w14:paraId="7538758C" w14:textId="72A0F33F"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135</w:t>
      </w:r>
      <w:r w:rsidRPr="00C7421A">
        <w:fldChar w:fldCharType="end"/>
      </w:r>
      <w:bookmarkEnd w:id="89"/>
      <w:r>
        <w:t xml:space="preserve">.  Cu toate acestea, în exercitarea funcției sale de supraveghere, pentru a stabili dacă descrierea de mai sus a afirmațiilor și modul în care instanțele naționale au soluționat prezenta cauză au fost în conformitate cu standardele Convenției, Curtea va examina expresiile în sine, inclusiv forma în care au fost transmise remarcile contestate și contextul acestora (a se vedea </w:t>
      </w:r>
      <w:proofErr w:type="spellStart"/>
      <w:r>
        <w:rPr>
          <w:i/>
        </w:rPr>
        <w:t>Makraduli</w:t>
      </w:r>
      <w:proofErr w:type="spellEnd"/>
      <w:r>
        <w:rPr>
          <w:i/>
        </w:rPr>
        <w:t xml:space="preserve"> împotriva Fostei Republici Iugoslave a Macedoniei</w:t>
      </w:r>
      <w:r>
        <w:t>, nr. 64659/11 și 24133/13, pct. 77, 19 iulie 2018).</w:t>
      </w:r>
      <w:r>
        <w:rPr>
          <w:b/>
        </w:rPr>
        <w:t xml:space="preserve"> </w:t>
      </w:r>
      <w:r>
        <w:t xml:space="preserve">În acest sens, va ține seama de faptul că un reclamant implicat în mod clar într-o dezbatere publică cu privire la o chestiune importantă nu trebuie să îndeplinească un standard mai exigent </w:t>
      </w:r>
      <w:r>
        <w:lastRenderedPageBreak/>
        <w:t xml:space="preserve">decât cel al diligenței necesare, întrucât în astfel de circumstanțe o obligație de a proba declarații factuale poate să îl/o priveze de protecția conferită de art. 10 (a se vedea </w:t>
      </w:r>
      <w:r>
        <w:rPr>
          <w:i/>
        </w:rPr>
        <w:t>Monica Macovei</w:t>
      </w:r>
      <w:r>
        <w:t xml:space="preserve">, citată anterior, pct. 75, cu trimiterile suplimentare) și că i se permite să recurgă la un grad de exagerare sau chiar provocare, sau cu alte cuvinte, să facă afirmații oarecum excesive (a se vedea </w:t>
      </w:r>
      <w:r>
        <w:rPr>
          <w:i/>
        </w:rPr>
        <w:t xml:space="preserve">Do </w:t>
      </w:r>
      <w:proofErr w:type="spellStart"/>
      <w:r>
        <w:rPr>
          <w:i/>
        </w:rPr>
        <w:t>Carmo</w:t>
      </w:r>
      <w:proofErr w:type="spellEnd"/>
      <w:r>
        <w:rPr>
          <w:i/>
        </w:rPr>
        <w:t xml:space="preserve"> de </w:t>
      </w:r>
      <w:proofErr w:type="spellStart"/>
      <w:r>
        <w:rPr>
          <w:i/>
        </w:rPr>
        <w:t>Portugal</w:t>
      </w:r>
      <w:proofErr w:type="spellEnd"/>
      <w:r>
        <w:rPr>
          <w:i/>
        </w:rPr>
        <w:t xml:space="preserve"> e Castro </w:t>
      </w:r>
      <w:proofErr w:type="spellStart"/>
      <w:r>
        <w:rPr>
          <w:i/>
        </w:rPr>
        <w:t>Câmara</w:t>
      </w:r>
      <w:proofErr w:type="spellEnd"/>
      <w:r>
        <w:rPr>
          <w:i/>
        </w:rPr>
        <w:t xml:space="preserve"> împotriva Portugaliei</w:t>
      </w:r>
      <w:r>
        <w:t xml:space="preserve">, nr. 53139/11, pct. 43, 4 octombrie 2016, și </w:t>
      </w:r>
      <w:r>
        <w:rPr>
          <w:i/>
        </w:rPr>
        <w:t>Monica Macovei</w:t>
      </w:r>
      <w:r>
        <w:t xml:space="preserve">, citată anterior, pct. 93). De asemenea, Curtea nu va pierde din vedere faptul că, astfel cum a arătat mai sus (a se vedea supra, pct. </w:t>
      </w:r>
      <w:r w:rsidRPr="00C7421A">
        <w:fldChar w:fldCharType="begin"/>
      </w:r>
      <w:r w:rsidRPr="00C7421A">
        <w:instrText xml:space="preserve"> REF a116 \h  \* MERGEFORMAT </w:instrText>
      </w:r>
      <w:r w:rsidRPr="00C7421A">
        <w:fldChar w:fldCharType="separate"/>
      </w:r>
      <w:r w:rsidR="00C7421A" w:rsidRPr="00C7421A">
        <w:t>113</w:t>
      </w:r>
      <w:r w:rsidRPr="00C7421A">
        <w:fldChar w:fldCharType="end"/>
      </w:r>
      <w:r>
        <w:t>), atacurile care produc prejudicii grave și care sunt în esență nefondate pot necesita măsuri care să protejeze încrederea publicului în sistemul judiciar, în special având în vedere faptul că membrii sistemului judiciar pot fi supuși unei obligații de discreție care îi împiedică să răspundă.</w:t>
      </w:r>
    </w:p>
    <w:p w14:paraId="12027DF0" w14:textId="68419669" w:rsidR="009A5F22" w:rsidRPr="00C7421A" w:rsidRDefault="00380BCD" w:rsidP="00C7421A">
      <w:pPr>
        <w:pStyle w:val="JuPara"/>
        <w:tabs>
          <w:tab w:val="left" w:pos="3686"/>
        </w:tabs>
      </w:pPr>
      <w:fldSimple w:instr=" SEQ level0 \*arabic \* MERGEFORMAT ">
        <w:r w:rsidR="00C7421A" w:rsidRPr="00C7421A">
          <w:t>136</w:t>
        </w:r>
      </w:fldSimple>
      <w:r w:rsidR="002D41A5">
        <w:t xml:space="preserve">.  În această privință, Curtea observă că Curtea de apel a considerat că afirmațiile în litigiu conținute în articolul din 2 august 2012 puteau fi percepute ca declarații de fapt (a se vedea jurisprudența citată supra, la pct. </w:t>
      </w:r>
      <w:r w:rsidR="009A5F22" w:rsidRPr="00C7421A">
        <w:fldChar w:fldCharType="begin"/>
      </w:r>
      <w:r w:rsidR="009A5F22" w:rsidRPr="00C7421A">
        <w:instrText xml:space="preserve"> REF b88 \h </w:instrText>
      </w:r>
      <w:r w:rsidR="009A5F22" w:rsidRPr="00C7421A">
        <w:fldChar w:fldCharType="separate"/>
      </w:r>
      <w:r w:rsidR="00C7421A" w:rsidRPr="00C7421A">
        <w:t>119</w:t>
      </w:r>
      <w:r w:rsidR="009A5F22" w:rsidRPr="00C7421A">
        <w:fldChar w:fldCharType="end"/>
      </w:r>
      <w:r w:rsidR="002D41A5">
        <w:t xml:space="preserve">). Curtea nu trebuie să se pronunțe asupra chestiunii dacă declarațiile în litigiu conțineau o judecată de valoare sau o susținere de fapt, întrebarea care rămâne este dacă poate fi stabilită o bază factuală suficient de exactă și de credibilă, proporțională cu natura și gradul declarațiilor și acuzațiilor din articol (a se vedea, </w:t>
      </w:r>
      <w:r w:rsidR="002D41A5">
        <w:rPr>
          <w:i/>
        </w:rPr>
        <w:t>mutatis</w:t>
      </w:r>
      <w:r w:rsidR="002D41A5">
        <w:t xml:space="preserve"> </w:t>
      </w:r>
      <w:r w:rsidR="002D41A5">
        <w:rPr>
          <w:i/>
        </w:rPr>
        <w:t>mutandis</w:t>
      </w:r>
      <w:r w:rsidR="002D41A5">
        <w:t xml:space="preserve">, </w:t>
      </w:r>
      <w:proofErr w:type="spellStart"/>
      <w:r w:rsidR="002D41A5">
        <w:rPr>
          <w:i/>
          <w:iCs/>
        </w:rPr>
        <w:t>Reznik</w:t>
      </w:r>
      <w:proofErr w:type="spellEnd"/>
      <w:r w:rsidR="002D41A5">
        <w:rPr>
          <w:i/>
          <w:iCs/>
        </w:rPr>
        <w:t xml:space="preserve"> împotriva Rusiei</w:t>
      </w:r>
      <w:r w:rsidR="002D41A5">
        <w:t xml:space="preserve">, nr. 4977/05, pct. 46, 4 aprilie 2013, și </w:t>
      </w:r>
      <w:proofErr w:type="spellStart"/>
      <w:r w:rsidR="002D41A5">
        <w:rPr>
          <w:i/>
        </w:rPr>
        <w:t>Rungainis</w:t>
      </w:r>
      <w:proofErr w:type="spellEnd"/>
      <w:r w:rsidR="002D41A5">
        <w:rPr>
          <w:i/>
        </w:rPr>
        <w:t xml:space="preserve"> împotriva Letoniei</w:t>
      </w:r>
      <w:r w:rsidR="002D41A5">
        <w:t>, nr. 40597/08, pct. 63, 14 iunie 2018).</w:t>
      </w:r>
    </w:p>
    <w:p w14:paraId="04A62041" w14:textId="48047571" w:rsidR="009A5F22" w:rsidRPr="00C7421A" w:rsidRDefault="00380BCD" w:rsidP="00C7421A">
      <w:pPr>
        <w:pStyle w:val="JuPara"/>
      </w:pPr>
      <w:fldSimple w:instr=" SEQ level0 \*arabic \* MERGEFORMAT ">
        <w:r w:rsidR="00C7421A" w:rsidRPr="00C7421A">
          <w:t>137</w:t>
        </w:r>
      </w:fldSimple>
      <w:r w:rsidR="002D41A5">
        <w:t xml:space="preserve">.  Curtea observă, în același mod ca și Curtea de apel, că nu există nicio îndoială că textul hotărârii de achitare pronunțate de instanțele sesizate în cauza domnului N.T. (a se vedea supra, pct. </w:t>
      </w:r>
      <w:r w:rsidR="009A5F22" w:rsidRPr="00C7421A">
        <w:fldChar w:fldCharType="begin"/>
      </w:r>
      <w:r w:rsidR="009A5F22" w:rsidRPr="00C7421A">
        <w:instrText xml:space="preserve"> REF a9 \h </w:instrText>
      </w:r>
      <w:r w:rsidR="009A5F22" w:rsidRPr="00C7421A">
        <w:fldChar w:fldCharType="separate"/>
      </w:r>
      <w:r w:rsidR="00C7421A" w:rsidRPr="00C7421A">
        <w:t>9</w:t>
      </w:r>
      <w:r w:rsidR="009A5F22" w:rsidRPr="00C7421A">
        <w:fldChar w:fldCharType="end"/>
      </w:r>
      <w:r w:rsidR="002D41A5">
        <w:t>-</w:t>
      </w:r>
      <w:r w:rsidR="009A5F22" w:rsidRPr="00C7421A">
        <w:fldChar w:fldCharType="begin"/>
      </w:r>
      <w:r w:rsidR="009A5F22" w:rsidRPr="00C7421A">
        <w:instrText xml:space="preserve"> REF a20 \h </w:instrText>
      </w:r>
      <w:r w:rsidR="009A5F22" w:rsidRPr="00C7421A">
        <w:fldChar w:fldCharType="separate"/>
      </w:r>
      <w:r w:rsidR="00C7421A" w:rsidRPr="00C7421A">
        <w:t>20</w:t>
      </w:r>
      <w:r w:rsidR="009A5F22" w:rsidRPr="00C7421A">
        <w:fldChar w:fldCharType="end"/>
      </w:r>
      <w:r w:rsidR="002D41A5">
        <w:t>) nu includea nicio declarație expresă a judecătorilor cu privire la faptul că aceștia constataseră fie abuzurile acuzării, fie presiunea exercitată de procurori asupra martorilor.</w:t>
      </w:r>
    </w:p>
    <w:bookmarkStart w:id="90" w:name="e138"/>
    <w:p w14:paraId="74301CB3" w14:textId="014B9D1F"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138</w:t>
      </w:r>
      <w:r w:rsidRPr="00C7421A">
        <w:fldChar w:fldCharType="end"/>
      </w:r>
      <w:bookmarkEnd w:id="90"/>
      <w:r>
        <w:t>.  </w:t>
      </w:r>
      <w:r>
        <w:rPr>
          <w:i/>
          <w:iCs/>
        </w:rPr>
        <w:t>A contrario</w:t>
      </w:r>
      <w:r>
        <w:t xml:space="preserve">, Curtea observă, de asemenea, că, prin evidențierea declarațiilor specifice din articolul din 2 august 2012 pe care le-a considerat defăimătoare (a se vedea supra, pct. </w:t>
      </w:r>
      <w:r w:rsidRPr="00C7421A">
        <w:fldChar w:fldCharType="begin"/>
      </w:r>
      <w:r w:rsidRPr="00C7421A">
        <w:instrText xml:space="preserve"> REF a68 \h  \* MERGEFORMAT </w:instrText>
      </w:r>
      <w:r w:rsidRPr="00C7421A">
        <w:fldChar w:fldCharType="separate"/>
      </w:r>
      <w:r w:rsidR="00C7421A" w:rsidRPr="00C7421A">
        <w:t>67</w:t>
      </w:r>
      <w:r w:rsidRPr="00C7421A">
        <w:fldChar w:fldCharType="end"/>
      </w:r>
      <w:r>
        <w:t xml:space="preserve"> și </w:t>
      </w:r>
      <w:r w:rsidRPr="00C7421A">
        <w:fldChar w:fldCharType="begin"/>
      </w:r>
      <w:r w:rsidRPr="00C7421A">
        <w:instrText xml:space="preserve"> REF a135 \h  \* MERGEFORMAT </w:instrText>
      </w:r>
      <w:r w:rsidRPr="00C7421A">
        <w:fldChar w:fldCharType="separate"/>
      </w:r>
      <w:r w:rsidR="00C7421A" w:rsidRPr="00C7421A">
        <w:t>133</w:t>
      </w:r>
      <w:r w:rsidRPr="00C7421A">
        <w:fldChar w:fldCharType="end"/>
      </w:r>
      <w:r>
        <w:t>) și prin interpretarea lor ca fiind despre doamna O.S.H., Curtea de apel a adoptat o abordare mai degrabă selectivă în lecturarea articolului respectiv. Aceasta a reținut răspunderea reclamanților pentru defăimare pe baza declarațiilor în litigiu făcute în contextul global al celor 36 de articole în general și al articolului din 2 august 2012 în special, și a două argumente principale, și anume faptul că decizia de achitare a domnului N.T. nu menționa în mod expres că a dat credit afirmațiilor martorului potrivit cărora fuseseră săvârșite abuzuri și că prim</w:t>
      </w:r>
      <w:r w:rsidR="00A96219">
        <w:noBreakHyphen/>
      </w:r>
      <w:r>
        <w:t xml:space="preserve">procurorul nu a fost implicat în audierea martorilor (a se vedea supra, pct. </w:t>
      </w:r>
      <w:r w:rsidRPr="00C7421A">
        <w:fldChar w:fldCharType="begin"/>
      </w:r>
      <w:r w:rsidRPr="00C7421A">
        <w:instrText xml:space="preserve"> REF a135 \h  \* MERGEFORMAT </w:instrText>
      </w:r>
      <w:r w:rsidRPr="00C7421A">
        <w:fldChar w:fldCharType="separate"/>
      </w:r>
      <w:r w:rsidR="00C7421A" w:rsidRPr="00C7421A">
        <w:t>133</w:t>
      </w:r>
      <w:r w:rsidRPr="00C7421A">
        <w:fldChar w:fldCharType="end"/>
      </w:r>
      <w:r>
        <w:t>).</w:t>
      </w:r>
    </w:p>
    <w:p w14:paraId="74C9FCFB" w14:textId="1872EDDB" w:rsidR="009A5F22" w:rsidRPr="00C7421A" w:rsidRDefault="00380BCD" w:rsidP="00C7421A">
      <w:pPr>
        <w:pStyle w:val="JuPara"/>
      </w:pPr>
      <w:fldSimple w:instr=" SEQ level0 \*arabic \* MERGEFORMAT ">
        <w:r w:rsidR="00C7421A" w:rsidRPr="00C7421A">
          <w:t>139</w:t>
        </w:r>
      </w:fldSimple>
      <w:r w:rsidR="002D41A5">
        <w:t xml:space="preserve">.  Curtea nu este convinsă că Curtea de apel a motivat în mod suficient această abordare selectivă în interpretarea declarațiilor în litigiu sau pentru a concluziona că aceste declarații nu aveau niciun suport </w:t>
      </w:r>
      <w:proofErr w:type="spellStart"/>
      <w:r w:rsidR="002D41A5">
        <w:t>factual</w:t>
      </w:r>
      <w:proofErr w:type="spellEnd"/>
      <w:r w:rsidR="002D41A5">
        <w:t xml:space="preserve">. Procedând astfel, Curtea de apel a ignorat faptul că declarațiile în litigiu făceau parte </w:t>
      </w:r>
      <w:r w:rsidR="002D41A5">
        <w:lastRenderedPageBreak/>
        <w:t>dintr-o descriere și o analiză extinsă și detaliată a circumstanțelor care priveau urmărirea penală în dosarul domnului N.T. și rolurile jucate de fiecare dintre cei doi procurori implicați în instrumentarea dosarului, precum și atribuțiile acestora, și deficiențele procedurale care au afectat rezultatul său.</w:t>
      </w:r>
    </w:p>
    <w:bookmarkStart w:id="91" w:name="aaa142"/>
    <w:p w14:paraId="03FB1010" w14:textId="3BED85CB"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140</w:t>
      </w:r>
      <w:r w:rsidRPr="00C7421A">
        <w:fldChar w:fldCharType="end"/>
      </w:r>
      <w:bookmarkEnd w:id="91"/>
      <w:r>
        <w:t xml:space="preserve">.  Decizia de achitare a domnului N.T. reproducea în detaliu în declarațiile martorului C.Z., care susținea că au fost săvârșite abuzuri în timpul audierii sale inițiale. În contextul unei achitări, Curtea consideră că o astfel de prezentare detaliată a mărturiei unui martor-cheie poate fi interpretată în mod rezonabil ca un indiciu că instanța care a pronunțat hotărârea de achitare i-a acordat credibilitate. Ținând seama, în plus, de critica explicită din hotărârea de achitare față de faptul că procurorul nu a asigurat asistența pentru un martor minor, și de concluzia potrivit căreia declarațiile inițiale ale martorului i-au fost sugerate în faza urmăririi penale a procesului (a se vedea supra, pct. </w:t>
      </w:r>
      <w:r w:rsidRPr="00C7421A">
        <w:fldChar w:fldCharType="begin"/>
      </w:r>
      <w:r w:rsidRPr="00C7421A">
        <w:instrText xml:space="preserve"> REF a19 \h  \* MERGEFORMAT </w:instrText>
      </w:r>
      <w:r w:rsidRPr="00C7421A">
        <w:fldChar w:fldCharType="separate"/>
      </w:r>
      <w:r w:rsidR="00C7421A" w:rsidRPr="00C7421A">
        <w:t>19</w:t>
      </w:r>
      <w:r w:rsidRPr="00C7421A">
        <w:fldChar w:fldCharType="end"/>
      </w:r>
      <w:r>
        <w:t>), interpretarea hotărârii de achitare ca fiind o aprobare implicită a afirmațiilor martorului respectiv privind comiterea unor abuzuri devine, în opinia Curții, și mai credibilă.</w:t>
      </w:r>
    </w:p>
    <w:bookmarkStart w:id="92" w:name="aaa143"/>
    <w:p w14:paraId="51A3F86C" w14:textId="4CD76AF4" w:rsidR="009A5F22" w:rsidRPr="00C7421A" w:rsidRDefault="009A5F22" w:rsidP="00C7421A">
      <w:pPr>
        <w:pStyle w:val="JuPara"/>
        <w:rPr>
          <w:rFonts w:ascii="Times New Roman" w:hAnsi="Times New Roman" w:cs="Times New Roman"/>
        </w:rPr>
      </w:pPr>
      <w:r w:rsidRPr="00C7421A">
        <w:fldChar w:fldCharType="begin"/>
      </w:r>
      <w:r w:rsidRPr="00C7421A">
        <w:instrText xml:space="preserve"> SEQ level0 \*arabic \* MERGEFORMAT </w:instrText>
      </w:r>
      <w:r w:rsidRPr="00C7421A">
        <w:fldChar w:fldCharType="separate"/>
      </w:r>
      <w:r w:rsidR="00C7421A" w:rsidRPr="00C7421A">
        <w:t>141</w:t>
      </w:r>
      <w:r w:rsidRPr="00C7421A">
        <w:fldChar w:fldCharType="end"/>
      </w:r>
      <w:bookmarkEnd w:id="92"/>
      <w:r>
        <w:t>.  </w:t>
      </w:r>
      <w:r>
        <w:rPr>
          <w:rFonts w:ascii="Times New Roman" w:hAnsi="Times New Roman"/>
        </w:rPr>
        <w:t>În ceea ce privește posibilitatea ca doamna O.S.H. să fie personal criticată pentru o presupusă audiere nelegală a martorului, Curtea observă că doamna O.S.H. a recunoscut că era obligată de lege în calitate de prim</w:t>
      </w:r>
      <w:r w:rsidR="00A96219">
        <w:rPr>
          <w:rFonts w:ascii="Times New Roman" w:hAnsi="Times New Roman"/>
        </w:rPr>
        <w:noBreakHyphen/>
      </w:r>
      <w:r>
        <w:rPr>
          <w:rFonts w:ascii="Times New Roman" w:hAnsi="Times New Roman"/>
        </w:rPr>
        <w:t xml:space="preserve">procuror să verifice dacă rechizitoriul și actele de urmărire penală efectuate de procuror erau legale și întemeiate (a se vedea supra, pct. </w:t>
      </w:r>
      <w:r w:rsidRPr="00C7421A">
        <w:rPr>
          <w:rFonts w:ascii="Times New Roman" w:hAnsi="Times New Roman" w:cs="Times New Roman"/>
        </w:rPr>
        <w:fldChar w:fldCharType="begin"/>
      </w:r>
      <w:r w:rsidRPr="00C7421A">
        <w:rPr>
          <w:rFonts w:ascii="Times New Roman" w:hAnsi="Times New Roman" w:cs="Times New Roman"/>
        </w:rPr>
        <w:instrText xml:space="preserve"> REF a33 \h  \* MERGEFORMAT </w:instrText>
      </w:r>
      <w:r w:rsidRPr="00C7421A">
        <w:rPr>
          <w:rFonts w:ascii="Times New Roman" w:hAnsi="Times New Roman" w:cs="Times New Roman"/>
        </w:rPr>
      </w:r>
      <w:r w:rsidRPr="00C7421A">
        <w:rPr>
          <w:rFonts w:ascii="Times New Roman" w:hAnsi="Times New Roman" w:cs="Times New Roman"/>
        </w:rPr>
        <w:fldChar w:fldCharType="separate"/>
      </w:r>
      <w:r w:rsidR="00C7421A" w:rsidRPr="00C7421A">
        <w:t>33</w:t>
      </w:r>
      <w:r w:rsidRPr="00C7421A">
        <w:rPr>
          <w:rFonts w:ascii="Times New Roman" w:hAnsi="Times New Roman" w:cs="Times New Roman"/>
        </w:rPr>
        <w:fldChar w:fldCharType="end"/>
      </w:r>
      <w:r>
        <w:t xml:space="preserve"> </w:t>
      </w:r>
      <w:r>
        <w:rPr>
          <w:rFonts w:ascii="Times New Roman" w:hAnsi="Times New Roman"/>
        </w:rPr>
        <w:t xml:space="preserve">și </w:t>
      </w:r>
      <w:r w:rsidRPr="00C7421A">
        <w:rPr>
          <w:rFonts w:ascii="Times New Roman" w:hAnsi="Times New Roman" w:cs="Times New Roman"/>
        </w:rPr>
        <w:fldChar w:fldCharType="begin"/>
      </w:r>
      <w:r w:rsidRPr="00C7421A">
        <w:rPr>
          <w:rFonts w:ascii="Times New Roman" w:hAnsi="Times New Roman" w:cs="Times New Roman"/>
        </w:rPr>
        <w:instrText xml:space="preserve"> REF a61 \h  \* MERGEFORMAT </w:instrText>
      </w:r>
      <w:r w:rsidRPr="00C7421A">
        <w:rPr>
          <w:rFonts w:ascii="Times New Roman" w:hAnsi="Times New Roman" w:cs="Times New Roman"/>
        </w:rPr>
      </w:r>
      <w:r w:rsidRPr="00C7421A">
        <w:rPr>
          <w:rFonts w:ascii="Times New Roman" w:hAnsi="Times New Roman" w:cs="Times New Roman"/>
        </w:rPr>
        <w:fldChar w:fldCharType="separate"/>
      </w:r>
      <w:r w:rsidR="00C7421A" w:rsidRPr="00C7421A">
        <w:t>61</w:t>
      </w:r>
      <w:r w:rsidRPr="00C7421A">
        <w:rPr>
          <w:rFonts w:ascii="Times New Roman" w:hAnsi="Times New Roman" w:cs="Times New Roman"/>
        </w:rPr>
        <w:fldChar w:fldCharType="end"/>
      </w:r>
      <w:r>
        <w:rPr>
          <w:rFonts w:ascii="Times New Roman" w:hAnsi="Times New Roman"/>
        </w:rPr>
        <w:t xml:space="preserve">). Aceasta a admis, de asemenea, că sarcina sa presupunea, </w:t>
      </w:r>
      <w:r>
        <w:rPr>
          <w:rFonts w:ascii="Times New Roman" w:hAnsi="Times New Roman"/>
          <w:i/>
        </w:rPr>
        <w:t>inter alia</w:t>
      </w:r>
      <w:r>
        <w:rPr>
          <w:rFonts w:ascii="Times New Roman" w:hAnsi="Times New Roman"/>
        </w:rPr>
        <w:t xml:space="preserve">, să stabilească dacă procedura penală a fost respectată (a se vedea supra, pct. </w:t>
      </w:r>
      <w:r w:rsidRPr="00C7421A">
        <w:rPr>
          <w:rFonts w:ascii="Times New Roman" w:hAnsi="Times New Roman" w:cs="Times New Roman"/>
        </w:rPr>
        <w:fldChar w:fldCharType="begin"/>
      </w:r>
      <w:r w:rsidRPr="00C7421A">
        <w:rPr>
          <w:rFonts w:ascii="Times New Roman" w:hAnsi="Times New Roman" w:cs="Times New Roman"/>
        </w:rPr>
        <w:instrText xml:space="preserve"> REF a33 \h  \* MERGEFORMAT </w:instrText>
      </w:r>
      <w:r w:rsidRPr="00C7421A">
        <w:rPr>
          <w:rFonts w:ascii="Times New Roman" w:hAnsi="Times New Roman" w:cs="Times New Roman"/>
        </w:rPr>
      </w:r>
      <w:r w:rsidRPr="00C7421A">
        <w:rPr>
          <w:rFonts w:ascii="Times New Roman" w:hAnsi="Times New Roman" w:cs="Times New Roman"/>
        </w:rPr>
        <w:fldChar w:fldCharType="separate"/>
      </w:r>
      <w:r w:rsidR="00C7421A" w:rsidRPr="00C7421A">
        <w:t>33</w:t>
      </w:r>
      <w:r w:rsidRPr="00C7421A">
        <w:rPr>
          <w:rFonts w:ascii="Times New Roman" w:hAnsi="Times New Roman" w:cs="Times New Roman"/>
        </w:rPr>
        <w:fldChar w:fldCharType="end"/>
      </w:r>
      <w:r>
        <w:rPr>
          <w:rFonts w:ascii="Times New Roman" w:hAnsi="Times New Roman"/>
        </w:rPr>
        <w:t>).</w:t>
      </w:r>
      <w:r>
        <w:rPr>
          <w:rFonts w:ascii="Times New Roman" w:hAnsi="Times New Roman"/>
          <w:b/>
        </w:rPr>
        <w:t xml:space="preserve"> </w:t>
      </w:r>
      <w:r>
        <w:rPr>
          <w:rFonts w:ascii="Times New Roman" w:hAnsi="Times New Roman"/>
        </w:rPr>
        <w:t>Este, fără îndoială, adevărat că nu a existat nicio probă că doamna O.S.H. ar fi participat, indiferent de formă, la audierea inițială deficitară a martorilor în dosarul domnului N.T. Cu toate acestea, un martor minor fusese totuși audiat în lipsa asistenței prevăzute de lege. Astfel, un argument potrivit căruia, în calitate de prim-procuror, doamna O.S.H. ar fi trebuit să efectueze o examinare mai amănunțită a acestei deficiențe de natură procedurală, care a fost indicată în decizia de achitare, nu apare nici în opinia Curții ca fiind neîntemeiată.</w:t>
      </w:r>
    </w:p>
    <w:p w14:paraId="1A7E336F" w14:textId="7691BEB7" w:rsidR="009A5F22" w:rsidRPr="00C7421A" w:rsidRDefault="00380BCD" w:rsidP="00C7421A">
      <w:pPr>
        <w:pStyle w:val="JuPara"/>
      </w:pPr>
      <w:fldSimple w:instr=" SEQ level0 \*arabic \* MERGEFORMAT ">
        <w:r w:rsidR="00C7421A" w:rsidRPr="00C7421A">
          <w:t>142</w:t>
        </w:r>
      </w:fldSimple>
      <w:r w:rsidR="002D41A5">
        <w:t>.  </w:t>
      </w:r>
      <w:r w:rsidR="002D41A5">
        <w:rPr>
          <w:rFonts w:ascii="Times New Roman" w:hAnsi="Times New Roman"/>
        </w:rPr>
        <w:t xml:space="preserve">Prin urmare, Curtea nu este convinsă că declarațiile în litigiu din articolul din 2 august 2012 (a se vedea supra, pct. </w:t>
      </w:r>
      <w:r w:rsidR="009A5F22" w:rsidRPr="00C7421A">
        <w:rPr>
          <w:rFonts w:ascii="Times New Roman" w:hAnsi="Times New Roman" w:cs="Times New Roman"/>
        </w:rPr>
        <w:fldChar w:fldCharType="begin"/>
      </w:r>
      <w:r w:rsidR="009A5F22" w:rsidRPr="00C7421A">
        <w:rPr>
          <w:rFonts w:ascii="Times New Roman" w:hAnsi="Times New Roman" w:cs="Times New Roman"/>
        </w:rPr>
        <w:instrText xml:space="preserve"> REF e138 \h </w:instrText>
      </w:r>
      <w:r w:rsidR="009A5F22" w:rsidRPr="00C7421A">
        <w:rPr>
          <w:rFonts w:ascii="Times New Roman" w:hAnsi="Times New Roman" w:cs="Times New Roman"/>
        </w:rPr>
      </w:r>
      <w:r w:rsidR="009A5F22" w:rsidRPr="00C7421A">
        <w:rPr>
          <w:rFonts w:ascii="Times New Roman" w:hAnsi="Times New Roman" w:cs="Times New Roman"/>
        </w:rPr>
        <w:fldChar w:fldCharType="separate"/>
      </w:r>
      <w:r w:rsidR="00C7421A" w:rsidRPr="00C7421A">
        <w:t>138</w:t>
      </w:r>
      <w:r w:rsidR="009A5F22" w:rsidRPr="00C7421A">
        <w:rPr>
          <w:rFonts w:ascii="Times New Roman" w:hAnsi="Times New Roman" w:cs="Times New Roman"/>
        </w:rPr>
        <w:fldChar w:fldCharType="end"/>
      </w:r>
      <w:r w:rsidR="002D41A5">
        <w:rPr>
          <w:rFonts w:ascii="Times New Roman" w:hAnsi="Times New Roman"/>
        </w:rPr>
        <w:t>) au fost lipsite de orice bază factuală.</w:t>
      </w:r>
    </w:p>
    <w:bookmarkStart w:id="93" w:name="a145"/>
    <w:p w14:paraId="7687E7E3" w14:textId="37C2BDEC" w:rsidR="009A5F22" w:rsidRPr="00C7421A" w:rsidRDefault="009A5F22" w:rsidP="00C7421A">
      <w:pPr>
        <w:pStyle w:val="JuPara"/>
      </w:pPr>
      <w:r w:rsidRPr="00C7421A">
        <w:fldChar w:fldCharType="begin"/>
      </w:r>
      <w:r w:rsidRPr="00C7421A">
        <w:instrText xml:space="preserve"> SEQ level0 \*arabic \* MERGEFORMAT </w:instrText>
      </w:r>
      <w:r w:rsidRPr="00C7421A">
        <w:fldChar w:fldCharType="separate"/>
      </w:r>
      <w:r w:rsidR="00C7421A" w:rsidRPr="00C7421A">
        <w:t>143</w:t>
      </w:r>
      <w:r w:rsidRPr="00C7421A">
        <w:fldChar w:fldCharType="end"/>
      </w:r>
      <w:bookmarkEnd w:id="93"/>
      <w:r>
        <w:t>.  În concluziile sale, Curtea ia în considerare trei motive suplimentare cu privire la metoda de obținere a informațiilor, precum și veridicitatea, conținutul și forma acestora. În primul rând, una dintre declarațiile în litigiu, și anume „[j]</w:t>
      </w:r>
      <w:proofErr w:type="spellStart"/>
      <w:r>
        <w:t>udecătorii</w:t>
      </w:r>
      <w:proofErr w:type="spellEnd"/>
      <w:r>
        <w:t xml:space="preserve"> au menționat presiunile procurorilor [exercitate] asupra martorilor”, nu era nici una nouă, nici prezentată ca o noutate, având în vedere că articolul nu lăsa nicio îndoială că această remarcă făcuse parte din titlul unui articol complet diferit publicat de cotidian în iulie 2012, care fusese utilizat pentru a ridica noi întrebări despre ceva ce părea să fi făcut deja subiectul unei dezbateri publice (a se vedea supra, pct. </w:t>
      </w:r>
      <w:r w:rsidRPr="00C7421A">
        <w:fldChar w:fldCharType="begin"/>
      </w:r>
      <w:r w:rsidRPr="00C7421A">
        <w:instrText xml:space="preserve"> REF a22 \h  \* MERGEFORMAT </w:instrText>
      </w:r>
      <w:r w:rsidRPr="00C7421A">
        <w:fldChar w:fldCharType="separate"/>
      </w:r>
      <w:r w:rsidR="00C7421A" w:rsidRPr="00C7421A">
        <w:t>27</w:t>
      </w:r>
      <w:r w:rsidRPr="00C7421A">
        <w:fldChar w:fldCharType="end"/>
      </w:r>
      <w:r>
        <w:t xml:space="preserve"> și </w:t>
      </w:r>
      <w:r w:rsidRPr="00C7421A">
        <w:fldChar w:fldCharType="begin"/>
      </w:r>
      <w:r w:rsidRPr="00C7421A">
        <w:instrText xml:space="preserve"> REF a66 \h </w:instrText>
      </w:r>
      <w:r w:rsidRPr="00C7421A">
        <w:fldChar w:fldCharType="separate"/>
      </w:r>
      <w:r w:rsidR="00C7421A" w:rsidRPr="00C7421A">
        <w:t>66</w:t>
      </w:r>
      <w:r w:rsidRPr="00C7421A">
        <w:fldChar w:fldCharType="end"/>
      </w:r>
      <w:r>
        <w:t>-</w:t>
      </w:r>
      <w:r w:rsidRPr="00C7421A">
        <w:fldChar w:fldCharType="begin"/>
      </w:r>
      <w:r w:rsidRPr="00C7421A">
        <w:instrText xml:space="preserve"> REF a67 \h </w:instrText>
      </w:r>
      <w:r w:rsidRPr="00C7421A">
        <w:fldChar w:fldCharType="separate"/>
      </w:r>
      <w:r w:rsidR="00C7421A" w:rsidRPr="00C7421A">
        <w:t>67</w:t>
      </w:r>
      <w:r w:rsidRPr="00C7421A">
        <w:fldChar w:fldCharType="end"/>
      </w:r>
      <w:r>
        <w:t xml:space="preserve">). În al doilea rând, reclamanții au invocat, de asemenea, un alt argument în </w:t>
      </w:r>
      <w:r>
        <w:lastRenderedPageBreak/>
        <w:t xml:space="preserve">susținerea criticilor lor la adresa doamnei O.S.H. și a rolului său în urmărirea penală împotriva domnului N.T., susținute de constatările din hotărârea de achitare a domnului N.T. Aceștia au susținut că doamna O.S.H. avea obligația de a verifica și de a împiedica recurgerea la expertiza în cauză, care nu fusese în fapt întocmită de un expert autorizat (a se vedea supra, pct. </w:t>
      </w:r>
      <w:r w:rsidRPr="00C7421A">
        <w:fldChar w:fldCharType="begin"/>
      </w:r>
      <w:r w:rsidRPr="00C7421A">
        <w:instrText xml:space="preserve"> REF a57 \h  \* MERGEFORMAT </w:instrText>
      </w:r>
      <w:r w:rsidRPr="00C7421A">
        <w:fldChar w:fldCharType="separate"/>
      </w:r>
      <w:r w:rsidR="00C7421A" w:rsidRPr="00C7421A">
        <w:t>57</w:t>
      </w:r>
      <w:r w:rsidRPr="00C7421A">
        <w:fldChar w:fldCharType="end"/>
      </w:r>
      <w:r>
        <w:t xml:space="preserve">). În sfârșit, articolul în litigiu includea atașat textul complet al hotărârii de achitare în dosarul domnului N.T. (a se vedea supra, pct. </w:t>
      </w:r>
      <w:r w:rsidRPr="00C7421A">
        <w:fldChar w:fldCharType="begin"/>
      </w:r>
      <w:r w:rsidRPr="00C7421A">
        <w:instrText xml:space="preserve"> REF a9 \h  \* MERGEFORMAT </w:instrText>
      </w:r>
      <w:r w:rsidRPr="00C7421A">
        <w:fldChar w:fldCharType="separate"/>
      </w:r>
      <w:r w:rsidR="00C7421A" w:rsidRPr="00C7421A">
        <w:t>9</w:t>
      </w:r>
      <w:r w:rsidRPr="00C7421A">
        <w:fldChar w:fldCharType="end"/>
      </w:r>
      <w:r>
        <w:t>-</w:t>
      </w:r>
      <w:r w:rsidRPr="00C7421A">
        <w:fldChar w:fldCharType="begin"/>
      </w:r>
      <w:r w:rsidRPr="00C7421A">
        <w:instrText xml:space="preserve"> REF a19 \h  \* MERGEFORMAT </w:instrText>
      </w:r>
      <w:r w:rsidRPr="00C7421A">
        <w:fldChar w:fldCharType="separate"/>
      </w:r>
      <w:r w:rsidR="00C7421A" w:rsidRPr="00C7421A">
        <w:t>19</w:t>
      </w:r>
      <w:r w:rsidRPr="00C7421A">
        <w:fldChar w:fldCharType="end"/>
      </w:r>
      <w:r>
        <w:t xml:space="preserve"> și </w:t>
      </w:r>
      <w:r w:rsidRPr="00C7421A">
        <w:fldChar w:fldCharType="begin"/>
      </w:r>
      <w:r w:rsidRPr="00C7421A">
        <w:instrText xml:space="preserve"> REF a28 \h  \* MERGEFORMAT </w:instrText>
      </w:r>
      <w:r w:rsidRPr="00C7421A">
        <w:fldChar w:fldCharType="separate"/>
      </w:r>
      <w:r w:rsidR="00C7421A" w:rsidRPr="00C7421A">
        <w:t>28</w:t>
      </w:r>
      <w:r w:rsidRPr="00C7421A">
        <w:fldChar w:fldCharType="end"/>
      </w:r>
      <w:r>
        <w:t>), care permitea cititorilor să evalueze în mod critic informațiile furnizate în articol.</w:t>
      </w:r>
    </w:p>
    <w:p w14:paraId="56D7E301" w14:textId="7F2EF16C" w:rsidR="009A5F22" w:rsidRPr="00C7421A" w:rsidRDefault="00380BCD" w:rsidP="00C7421A">
      <w:pPr>
        <w:pStyle w:val="JuPara"/>
      </w:pPr>
      <w:fldSimple w:instr=" SEQ level0 \*arabic \* MERGEFORMAT ">
        <w:r w:rsidR="00C7421A" w:rsidRPr="00C7421A">
          <w:t>144</w:t>
        </w:r>
      </w:fldSimple>
      <w:r w:rsidR="002D41A5">
        <w:t>.  Curtea de apel nu a pus în balanță implicațiile globale ale acestor fapte, luate în ansamblul lor, în analiza sa cu privire la drepturile reclamanților în temeiul art. 10, în timp ce, în opinia Curții, acestea sunt relevante. Luând în considerare aceste fapte, precum și analiza sa anterioară, Curtea nu poate accepta că declarațiile în litigiu au fost făcute în mod neîntemeiat, fără o tentativă prealabilă de a cerceta circumstanțele urmăririi penale în dosarul domnului N.T. și rolul real jucat de doamna O.S.H. în urmărirea penală respectivă. Deși formularea specifică utilizată în declarațiile în litigiu era imprecisă și putea fi interpretată ca sugerând în mod eronat responsabilitatea doamnei O.S.H. pentru un eveniment pentru care nu era, de fapt,  responsabilă, Curtea consideră că susținerile din articol și expresiile folosite aveau o bază factuală suficientă. Deși poate că au fost formulate într</w:t>
      </w:r>
      <w:r w:rsidR="00A96219">
        <w:noBreakHyphen/>
      </w:r>
      <w:r w:rsidR="002D41A5">
        <w:t xml:space="preserve">o formă inadecvat de categorică, acestea se încadrau în continuare în limita gradului de exagerare permis, având în vedere limitele mai largi ale criticii admisibile în cazul de față (a se vedea supra, pct. </w:t>
      </w:r>
      <w:r w:rsidR="009A5F22" w:rsidRPr="00C7421A">
        <w:rPr>
          <w:b/>
        </w:rPr>
        <w:fldChar w:fldCharType="begin"/>
      </w:r>
      <w:r w:rsidR="009A5F22" w:rsidRPr="00C7421A">
        <w:rPr>
          <w:b/>
        </w:rPr>
        <w:instrText xml:space="preserve"> REF a131 \h </w:instrText>
      </w:r>
      <w:r w:rsidR="009A5F22" w:rsidRPr="00C7421A">
        <w:rPr>
          <w:b/>
        </w:rPr>
      </w:r>
      <w:r w:rsidR="009A5F22" w:rsidRPr="00C7421A">
        <w:rPr>
          <w:b/>
        </w:rPr>
        <w:fldChar w:fldCharType="separate"/>
      </w:r>
      <w:r w:rsidR="00C7421A" w:rsidRPr="00C7421A">
        <w:t>129</w:t>
      </w:r>
      <w:r w:rsidR="009A5F22" w:rsidRPr="00C7421A">
        <w:rPr>
          <w:b/>
        </w:rPr>
        <w:fldChar w:fldCharType="end"/>
      </w:r>
      <w:r w:rsidR="002D41A5">
        <w:t>).</w:t>
      </w:r>
    </w:p>
    <w:p w14:paraId="332C7ACD" w14:textId="0E9661B8" w:rsidR="009A5F22" w:rsidRPr="00C7421A" w:rsidRDefault="00380BCD" w:rsidP="00C7421A">
      <w:pPr>
        <w:pStyle w:val="JuPara"/>
      </w:pPr>
      <w:fldSimple w:instr=" SEQ level0 \*arabic \* MERGEFORMAT ">
        <w:r w:rsidR="00C7421A" w:rsidRPr="00C7421A">
          <w:t>145</w:t>
        </w:r>
      </w:fldSimple>
      <w:r w:rsidR="002D41A5">
        <w:t xml:space="preserve">.  În această privință, Curtea consideră relevant că, deși doamna O.S.H. pare să fi beneficiat de mai multe ocazii oferite de cotidian pentru a comenta informațiile publicate și susținerile formulate cu privire la dosarul domnului N.T., ea nu a făcut nicio încercare aparentă de a le folosi (a se vedea supra, pct. </w:t>
      </w:r>
      <w:r w:rsidR="009A5F22" w:rsidRPr="00C7421A">
        <w:fldChar w:fldCharType="begin"/>
      </w:r>
      <w:r w:rsidR="009A5F22" w:rsidRPr="00C7421A">
        <w:instrText xml:space="preserve"> REF a27 \h  \* MERGEFORMAT </w:instrText>
      </w:r>
      <w:r w:rsidR="009A5F22" w:rsidRPr="00C7421A">
        <w:fldChar w:fldCharType="separate"/>
      </w:r>
      <w:r w:rsidR="00C7421A" w:rsidRPr="00C7421A">
        <w:t>27</w:t>
      </w:r>
      <w:r w:rsidR="009A5F22" w:rsidRPr="00C7421A">
        <w:fldChar w:fldCharType="end"/>
      </w:r>
      <w:r w:rsidR="002D41A5">
        <w:t xml:space="preserve">, </w:t>
      </w:r>
      <w:r w:rsidR="009A5F22" w:rsidRPr="00C7421A">
        <w:fldChar w:fldCharType="begin"/>
      </w:r>
      <w:r w:rsidR="009A5F22" w:rsidRPr="00C7421A">
        <w:instrText xml:space="preserve"> REF a58 \h  \* MERGEFORMAT </w:instrText>
      </w:r>
      <w:r w:rsidR="009A5F22" w:rsidRPr="00C7421A">
        <w:fldChar w:fldCharType="separate"/>
      </w:r>
      <w:r w:rsidR="00C7421A" w:rsidRPr="00C7421A">
        <w:t>57</w:t>
      </w:r>
      <w:r w:rsidR="009A5F22" w:rsidRPr="00C7421A">
        <w:fldChar w:fldCharType="end"/>
      </w:r>
      <w:r w:rsidR="002D41A5">
        <w:t xml:space="preserve"> și </w:t>
      </w:r>
      <w:r w:rsidR="009A5F22" w:rsidRPr="00C7421A">
        <w:fldChar w:fldCharType="begin"/>
      </w:r>
      <w:r w:rsidR="009A5F22" w:rsidRPr="00C7421A">
        <w:instrText xml:space="preserve"> REF a72 \h  \* MERGEFORMAT </w:instrText>
      </w:r>
      <w:r w:rsidR="009A5F22" w:rsidRPr="00C7421A">
        <w:fldChar w:fldCharType="separate"/>
      </w:r>
      <w:r w:rsidR="00C7421A" w:rsidRPr="00C7421A">
        <w:t>71</w:t>
      </w:r>
      <w:r w:rsidR="009A5F22" w:rsidRPr="00C7421A">
        <w:fldChar w:fldCharType="end"/>
      </w:r>
      <w:r w:rsidR="002D41A5">
        <w:t xml:space="preserve">). Curtea de apel a reținut că aceste ocazii oferite de reclamanți doamnei O.S.H. pentru a reacționa public nu erau relevante, întrucât nu puteau „înlătura sau atenua” prejudiciul cauzat de declarațiile din articol (a se vedea supra, pct. </w:t>
      </w:r>
      <w:r w:rsidR="009A5F22" w:rsidRPr="00C7421A">
        <w:fldChar w:fldCharType="begin"/>
      </w:r>
      <w:r w:rsidR="009A5F22" w:rsidRPr="00C7421A">
        <w:instrText xml:space="preserve"> REF a72 \h  \* MERGEFORMAT </w:instrText>
      </w:r>
      <w:r w:rsidR="009A5F22" w:rsidRPr="00C7421A">
        <w:fldChar w:fldCharType="separate"/>
      </w:r>
      <w:r w:rsidR="00C7421A" w:rsidRPr="00C7421A">
        <w:t>71</w:t>
      </w:r>
      <w:r w:rsidR="009A5F22" w:rsidRPr="00C7421A">
        <w:fldChar w:fldCharType="end"/>
      </w:r>
      <w:r w:rsidR="002D41A5">
        <w:t>).</w:t>
      </w:r>
    </w:p>
    <w:p w14:paraId="4C6FD15B" w14:textId="6C9B5347" w:rsidR="009A5F22" w:rsidRPr="00C7421A" w:rsidRDefault="00380BCD" w:rsidP="00C7421A">
      <w:pPr>
        <w:pStyle w:val="JuPara"/>
      </w:pPr>
      <w:fldSimple w:instr=" SEQ level0 \*arabic \* MERGEFORMAT ">
        <w:r w:rsidR="00C7421A" w:rsidRPr="00C7421A">
          <w:t>146</w:t>
        </w:r>
      </w:fldSimple>
      <w:r w:rsidR="002D41A5">
        <w:t xml:space="preserve">.  Curtea nu consideră convingătoare această motivare. Curtea a reținut în numeroase ocazii că dreptul la replică este un element important al libertății de exprimare, care intră în domeniul de aplicare al art. 10 din Convenție. Acest lucru decurge din necesitatea nu numai de a putea contesta informațiile neadevărate, ci și de a asigura o pluralitatea de opinii, în special cu privire la chestiuni de interes general (a se vedea </w:t>
      </w:r>
      <w:proofErr w:type="spellStart"/>
      <w:r w:rsidR="002D41A5">
        <w:rPr>
          <w:i/>
        </w:rPr>
        <w:t>Kaperzyński</w:t>
      </w:r>
      <w:proofErr w:type="spellEnd"/>
      <w:r w:rsidR="002D41A5">
        <w:rPr>
          <w:i/>
        </w:rPr>
        <w:t xml:space="preserve"> împotriva Poloniei</w:t>
      </w:r>
      <w:r w:rsidR="002D41A5">
        <w:t xml:space="preserve">, nr. 43206/07, pct. 66, 3 aprilie 2012, cu trimiterile suplimentare). Chiar presupunând că constatarea Curții de apel de mai sus poate fi interpretată ca fiind determinată de preocupările legate de obligația de discreție care incumbă magistraților și de necesitatea de a menține încrederea publicului în activitatea depusă de procurori sau de membrii CSM, doamna O.S.H. însăși nu părea să împărtășească preocupările posibile ale Curții de apel, în măsura </w:t>
      </w:r>
      <w:r w:rsidR="002D41A5">
        <w:lastRenderedPageBreak/>
        <w:t>în care s-a folosit de alte canale media pentru a comenta și a explica rolul și competența legală a unui prim-procuror într-o cauză penală.</w:t>
      </w:r>
    </w:p>
    <w:p w14:paraId="78BF6373" w14:textId="70ACCDE8" w:rsidR="009A5F22" w:rsidRPr="00C7421A" w:rsidRDefault="00380BCD" w:rsidP="00C7421A">
      <w:pPr>
        <w:pStyle w:val="JuPara"/>
        <w:rPr>
          <w:rFonts w:cstheme="minorHAnsi"/>
        </w:rPr>
      </w:pPr>
      <w:fldSimple w:instr=" SEQ level0 \*arabic \* MERGEFORMAT ">
        <w:r w:rsidR="00C7421A" w:rsidRPr="00C7421A">
          <w:t>147</w:t>
        </w:r>
      </w:fldSimple>
      <w:r w:rsidR="002D41A5">
        <w:t xml:space="preserve">.  În ceea ce privește consecințele articolului, Curtea constată că niciuna dintre instanțele interne nu a indicat vreun impact sau efect negativ specific pe care articolul l-ar fi putut avea asupra reputației sau vieții profesionale a doamnei O.S.H., dat fiind că, astfel cum a recunoscut și instanța de fond, a fost aleasă președinte al CSM la începutul anului 2013 (a se vedea supra, pct. </w:t>
      </w:r>
      <w:r w:rsidR="009A5F22" w:rsidRPr="00C7421A">
        <w:fldChar w:fldCharType="begin"/>
      </w:r>
      <w:r w:rsidR="009A5F22" w:rsidRPr="00C7421A">
        <w:instrText xml:space="preserve"> REF a29 \h </w:instrText>
      </w:r>
      <w:r w:rsidR="009A5F22" w:rsidRPr="00C7421A">
        <w:fldChar w:fldCharType="separate"/>
      </w:r>
      <w:r w:rsidR="00C7421A" w:rsidRPr="00C7421A">
        <w:t>29</w:t>
      </w:r>
      <w:r w:rsidR="009A5F22" w:rsidRPr="00C7421A">
        <w:fldChar w:fldCharType="end"/>
      </w:r>
      <w:r w:rsidR="002D41A5">
        <w:t xml:space="preserve">). Chiar dacă se poate presupune că publicarea unui articol într-un ziar cu un profil editorial care se concentrează asupra sistemului de justiție ar fi putut să o afecteze într-o oarecare măsură, Curtea are îndoieli serioase cu privire la faptul că consecințele suferite de ea erau suficient de grave pentru a anula interesul publicului de a primi informațiile cuprinse în acel articol (a se vedea </w:t>
      </w:r>
      <w:r w:rsidR="002D41A5">
        <w:rPr>
          <w:i/>
          <w:color w:val="000000"/>
        </w:rPr>
        <w:t>Țiriac împotriva României</w:t>
      </w:r>
      <w:r w:rsidR="002D41A5">
        <w:rPr>
          <w:color w:val="000000"/>
        </w:rPr>
        <w:t>, nr. 51107/16, pct. 98, 30 noiembrie 2021)</w:t>
      </w:r>
      <w:r w:rsidR="002D41A5">
        <w:t>.</w:t>
      </w:r>
    </w:p>
    <w:p w14:paraId="61573959" w14:textId="77777777" w:rsidR="009A5F22" w:rsidRPr="00C7421A" w:rsidRDefault="009A5F22" w:rsidP="00C7421A">
      <w:pPr>
        <w:pStyle w:val="JuHalpha"/>
      </w:pPr>
      <w:r>
        <w:t>Severitatea sancțiunii aplicate</w:t>
      </w:r>
    </w:p>
    <w:p w14:paraId="6A3FEDDC" w14:textId="5D79343D" w:rsidR="009A5F22" w:rsidRPr="00C7421A" w:rsidRDefault="00380BCD" w:rsidP="00C7421A">
      <w:pPr>
        <w:pStyle w:val="JuPara"/>
      </w:pPr>
      <w:fldSimple w:instr=" SEQ level0 \*arabic \* MERGEFORMAT ">
        <w:r w:rsidR="00C7421A" w:rsidRPr="00C7421A">
          <w:t>148</w:t>
        </w:r>
      </w:fldSimple>
      <w:r w:rsidR="002D41A5">
        <w:t xml:space="preserve">.  Curtea observă că reclamanții au fost obligați să îi plătească doamnei O.S.H. despăgubiri în valoare de 1 000 EUR și cheltuieli de judecată în valoare de 762 EUR, și să publice dispozitivului hotărârii pe cheltuiala lor în cotidianul </w:t>
      </w:r>
      <w:r w:rsidR="002D41A5">
        <w:rPr>
          <w:i/>
        </w:rPr>
        <w:t>Lumea Justiției</w:t>
      </w:r>
      <w:r w:rsidR="002D41A5">
        <w:t xml:space="preserve"> (a se vedea supra, pct. </w:t>
      </w:r>
      <w:r w:rsidR="009A5F22" w:rsidRPr="00C7421A">
        <w:fldChar w:fldCharType="begin"/>
      </w:r>
      <w:r w:rsidR="009A5F22" w:rsidRPr="00C7421A">
        <w:instrText xml:space="preserve"> REF a46 \h </w:instrText>
      </w:r>
      <w:r w:rsidR="009A5F22" w:rsidRPr="00C7421A">
        <w:fldChar w:fldCharType="separate"/>
      </w:r>
      <w:r w:rsidR="00C7421A" w:rsidRPr="00C7421A">
        <w:t>46</w:t>
      </w:r>
      <w:r w:rsidR="009A5F22" w:rsidRPr="00C7421A">
        <w:fldChar w:fldCharType="end"/>
      </w:r>
      <w:r w:rsidR="002D41A5">
        <w:t xml:space="preserve">). În plus, observă că, atunci când a efectuat propria apreciere în această privință, Curtea de apel a ținut seama de efectul pe care l-ar putea avea sancțiuni severe asupra presei atunci când relatează aspecte de interes public și a redus în consecință sancțiunea aplicată reclamanților de instanța de fond (a se vedea supra, pct. </w:t>
      </w:r>
      <w:r w:rsidR="009A5F22" w:rsidRPr="00C7421A">
        <w:fldChar w:fldCharType="begin"/>
      </w:r>
      <w:r w:rsidR="009A5F22" w:rsidRPr="00C7421A">
        <w:instrText xml:space="preserve"> REF a73 \h  \* MERGEFORMAT </w:instrText>
      </w:r>
      <w:r w:rsidR="009A5F22" w:rsidRPr="00C7421A">
        <w:fldChar w:fldCharType="separate"/>
      </w:r>
      <w:r w:rsidR="00C7421A" w:rsidRPr="00C7421A">
        <w:t>72</w:t>
      </w:r>
      <w:r w:rsidR="009A5F22" w:rsidRPr="00C7421A">
        <w:fldChar w:fldCharType="end"/>
      </w:r>
      <w:r w:rsidR="002D41A5">
        <w:t xml:space="preserve">). Reiterându-și punctul de vedere cu privire la efectul descurajator pe care teama de sancțiune l-ar putea avea asupra exercitării libertății de exprimare [a se vedea, de exemplu, </w:t>
      </w:r>
      <w:proofErr w:type="spellStart"/>
      <w:r w:rsidR="002D41A5">
        <w:rPr>
          <w:i/>
        </w:rPr>
        <w:t>Wille</w:t>
      </w:r>
      <w:proofErr w:type="spellEnd"/>
      <w:r w:rsidR="002D41A5">
        <w:rPr>
          <w:i/>
        </w:rPr>
        <w:t xml:space="preserve"> împotriva Liechtensteinului </w:t>
      </w:r>
      <w:r w:rsidR="002D41A5">
        <w:t xml:space="preserve">(MC), nr. 28396/95, pct. 50, CEDO 1999-VII, și </w:t>
      </w:r>
      <w:proofErr w:type="spellStart"/>
      <w:r w:rsidR="002D41A5">
        <w:rPr>
          <w:i/>
        </w:rPr>
        <w:t>Nikula</w:t>
      </w:r>
      <w:proofErr w:type="spellEnd"/>
      <w:r w:rsidR="002D41A5">
        <w:t xml:space="preserve">, citată anterior, pct. 54], și chiar dacă reclamanții nu au demonstrat dacă au avut sau nu dificultăți în a plăti sumele necesare pentru a se conforma hotărârii instanței de ultim grad, Curtea consideră totuși că, în aceste circumstanțe, sancțiunea aplicată a fost de natură să aibă un efect descurajator asupra exercitării dreptului la libertatea de exprimare al reclamanților (a se vedea, de exemplu, </w:t>
      </w:r>
      <w:proofErr w:type="spellStart"/>
      <w:r w:rsidR="002D41A5">
        <w:rPr>
          <w:i/>
        </w:rPr>
        <w:t>Lombardo</w:t>
      </w:r>
      <w:proofErr w:type="spellEnd"/>
      <w:r w:rsidR="002D41A5">
        <w:rPr>
          <w:i/>
        </w:rPr>
        <w:t xml:space="preserve"> și alții împotriva Maltei</w:t>
      </w:r>
      <w:r w:rsidR="002D41A5">
        <w:t>, nr. 7333/06, pct. 61, 24 aprilie 2007).</w:t>
      </w:r>
    </w:p>
    <w:p w14:paraId="31950BA8" w14:textId="77777777" w:rsidR="009A5F22" w:rsidRPr="00C7421A" w:rsidRDefault="009A5F22" w:rsidP="00C7421A">
      <w:pPr>
        <w:pStyle w:val="JuHi"/>
      </w:pPr>
      <w:r>
        <w:t>Concluzie</w:t>
      </w:r>
    </w:p>
    <w:p w14:paraId="3DECF3BD" w14:textId="7D36F5CD" w:rsidR="009A5F22" w:rsidRPr="00C7421A" w:rsidRDefault="00380BCD" w:rsidP="00C7421A">
      <w:pPr>
        <w:pStyle w:val="JuPara"/>
      </w:pPr>
      <w:fldSimple w:instr=" SEQ level0 \*arabic \* MERGEFORMAT ">
        <w:r w:rsidR="00C7421A" w:rsidRPr="00C7421A">
          <w:t>149</w:t>
        </w:r>
      </w:fldSimple>
      <w:r w:rsidR="002D41A5">
        <w:t>.  În lumina celor de mai sus, Curtea consideră că decizia instanțelor naționale de a restrânge libertatea de exprimare a reclamanților era susținută de motive care, deși relevante, nu erau suficiente în sensul testului de „necesitate” în temeiul art. 10 § 2 din Convenție. Ingerința nu a fost așadar necesară într-o societate democratică în sensul art. 10 din Convenție. Prin urmare, a fost încălcat respectivul articol.</w:t>
      </w:r>
    </w:p>
    <w:p w14:paraId="464F6CFB" w14:textId="77777777" w:rsidR="009A5F22" w:rsidRPr="00C7421A" w:rsidRDefault="009A5F22" w:rsidP="00C7421A">
      <w:pPr>
        <w:pStyle w:val="JuHIRoman"/>
      </w:pPr>
      <w:r>
        <w:lastRenderedPageBreak/>
        <w:t>CU PRIVIRE LA APLICAREA ART. 41 DIN CONVENȚIE</w:t>
      </w:r>
    </w:p>
    <w:p w14:paraId="7014B26C" w14:textId="4B41C57E" w:rsidR="009A5F22" w:rsidRPr="00C7421A" w:rsidRDefault="00380BCD" w:rsidP="00C7421A">
      <w:pPr>
        <w:pStyle w:val="JuPara"/>
        <w:keepNext/>
        <w:keepLines/>
      </w:pPr>
      <w:fldSimple w:instr=" SEQ level0 \*arabic ">
        <w:r w:rsidR="00C7421A" w:rsidRPr="00C7421A">
          <w:t>150</w:t>
        </w:r>
      </w:fldSimple>
      <w:r w:rsidR="009A5F22">
        <w:t>.  Art. 41 din Convenție prevede:</w:t>
      </w:r>
    </w:p>
    <w:p w14:paraId="650DBFE2" w14:textId="77777777" w:rsidR="009A5F22" w:rsidRPr="00C7421A" w:rsidRDefault="009A5F22" w:rsidP="00C7421A">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5B873B9C" w14:textId="77777777" w:rsidR="009A5F22" w:rsidRPr="00C7421A" w:rsidRDefault="009A5F22" w:rsidP="00C7421A">
      <w:pPr>
        <w:pStyle w:val="JuHA"/>
      </w:pPr>
      <w:r>
        <w:t>Prejudiciu</w:t>
      </w:r>
    </w:p>
    <w:p w14:paraId="6E06A8D6" w14:textId="4631B46B" w:rsidR="009A5F22" w:rsidRPr="00C7421A" w:rsidRDefault="00380BCD" w:rsidP="00C7421A">
      <w:pPr>
        <w:pStyle w:val="JuPara"/>
      </w:pPr>
      <w:fldSimple w:instr=" SEQ level0 \*arabic ">
        <w:r w:rsidR="00C7421A" w:rsidRPr="00C7421A">
          <w:t>151</w:t>
        </w:r>
      </w:fldSimple>
      <w:r w:rsidR="009A5F22">
        <w:t xml:space="preserve">.  Societatea reclamantă a pretins 1 762 euro (EUR) pentru prejudiciul material. Pretenția sa includea 4 422 lei românești (RON – echivalentul a aproximativ 1 000 EUR), reprezentând suma pe care reclamanții au fost obligați să o plătească doamnei O.S.H. de instanțele naționale cu titlu de daune morale, și 3 370 lei (echivalentul a 762 EUR), reprezentând suma pe care reclamanții au fost obligați să o plătească doamnei O.S.H. de instanțele naționale cu titlu de cheltuieli de judecată (a se vedea supra, pct. </w:t>
      </w:r>
      <w:r w:rsidR="009A5F22" w:rsidRPr="00C7421A">
        <w:fldChar w:fldCharType="begin"/>
      </w:r>
      <w:r w:rsidR="009A5F22" w:rsidRPr="00C7421A">
        <w:instrText xml:space="preserve"> REF a44 \h </w:instrText>
      </w:r>
      <w:r w:rsidR="009A5F22" w:rsidRPr="00C7421A">
        <w:fldChar w:fldCharType="separate"/>
      </w:r>
      <w:r w:rsidR="00C7421A" w:rsidRPr="00C7421A">
        <w:t>62</w:t>
      </w:r>
      <w:r w:rsidR="009A5F22" w:rsidRPr="00C7421A">
        <w:fldChar w:fldCharType="end"/>
      </w:r>
      <w:r w:rsidR="009A5F22">
        <w:t>). Societatea reclamantă a depus copii ale ordinelor de transfer bancar care atestau plata sumelor pretinse.</w:t>
      </w:r>
    </w:p>
    <w:p w14:paraId="1087F96E" w14:textId="41D8EF2F" w:rsidR="009A5F22" w:rsidRPr="00C7421A" w:rsidRDefault="00380BCD" w:rsidP="00C7421A">
      <w:pPr>
        <w:pStyle w:val="JuPara"/>
      </w:pPr>
      <w:fldSimple w:instr=" SEQ level0 \*arabic ">
        <w:r w:rsidR="00C7421A" w:rsidRPr="00C7421A">
          <w:t>152</w:t>
        </w:r>
      </w:fldSimple>
      <w:r w:rsidR="009A5F22">
        <w:t>.  Primii doi reclamanți au pretins fiecare câte 3 000 EUR, iar societatea reclamantă 2 500 EUR, cu titlu de despăgubire pentru prejudiciul moral pentru impactul negativ asupra credibilității și reputației profesionale cauzat de sentința care le-a fost aplicată de instanța de ultim grad.</w:t>
      </w:r>
    </w:p>
    <w:p w14:paraId="4B78A2CA" w14:textId="1603E592" w:rsidR="009A5F22" w:rsidRPr="00C7421A" w:rsidRDefault="00380BCD" w:rsidP="00C7421A">
      <w:pPr>
        <w:pStyle w:val="JuPara"/>
      </w:pPr>
      <w:fldSimple w:instr=" SEQ level0 \*arabic ">
        <w:r w:rsidR="00C7421A" w:rsidRPr="00C7421A">
          <w:t>153</w:t>
        </w:r>
      </w:fldSimple>
      <w:r w:rsidR="009A5F22">
        <w:t>.  Guvernul a susținut că reclamanții nu puteau avea nicio așteptare de a le fi acordate daune materiale întrucât primii doi reclamanți nu au solicitat o astfel de despăgubire și întrucât sentința aplicată reclamanților nu le afectase dreptul la libertatea de exprimare.</w:t>
      </w:r>
    </w:p>
    <w:p w14:paraId="6E09F134" w14:textId="48496454" w:rsidR="009A5F22" w:rsidRPr="00C7421A" w:rsidRDefault="00380BCD" w:rsidP="00C7421A">
      <w:pPr>
        <w:pStyle w:val="JuPara"/>
      </w:pPr>
      <w:fldSimple w:instr=" SEQ level0 \*arabic ">
        <w:r w:rsidR="00C7421A" w:rsidRPr="00C7421A">
          <w:t>154</w:t>
        </w:r>
      </w:fldSimple>
      <w:r w:rsidR="009A5F22">
        <w:t>.  În ceea ce privește pretenția reclamanților cu privire la prejudiciul moral, Guvernul a susținut că o societate poate să pretindă despăgubiri pentru prejudiciul moral numai în circumstanțe excepționale și numai după ce a probat prejudiciul suferit. În orice caz, pretențiile reclamanților erau excesive, iar eventuala constatare a unei încălcări ar constitui o reparație echitabilă suficientă în cazul acestora.</w:t>
      </w:r>
    </w:p>
    <w:p w14:paraId="0E773F38" w14:textId="4542B545" w:rsidR="009A5F22" w:rsidRPr="00C7421A" w:rsidRDefault="00380BCD" w:rsidP="00C7421A">
      <w:pPr>
        <w:pStyle w:val="JuPara"/>
      </w:pPr>
      <w:fldSimple w:instr=" SEQ level0 \*arabic ">
        <w:r w:rsidR="00C7421A" w:rsidRPr="00C7421A">
          <w:t>155</w:t>
        </w:r>
      </w:fldSimple>
      <w:r w:rsidR="009A5F22">
        <w:t>.  Curtea ia act de faptul că Guvernul nu a negat existența unei legături clare între sentința aplicată reclamanților și sumele plătite de societatea reclamantă doamnei O.S.H. Prin urmare, Curtea îi acordă societății reclamante 1 762 EUR, plus orice sumă ce poate fi datorată cu titlu de impozit, pentru prejudiciul material.</w:t>
      </w:r>
    </w:p>
    <w:p w14:paraId="0FC10D68" w14:textId="46F0BF49" w:rsidR="009A5F22" w:rsidRPr="00C7421A" w:rsidRDefault="00380BCD" w:rsidP="00C7421A">
      <w:pPr>
        <w:pStyle w:val="JuPara"/>
      </w:pPr>
      <w:fldSimple w:instr=" SEQ level0 \*arabic ">
        <w:r w:rsidR="00C7421A" w:rsidRPr="00C7421A">
          <w:t>156</w:t>
        </w:r>
      </w:fldSimple>
      <w:r w:rsidR="009A5F22">
        <w:t>.  În ceea ce privește pretenția reclamanților cu privire la prejudiciul moral, având în vedere circumstanțele cauzei, Curtea consideră că constatarea unei încălcări constituie în sine o reparație echitabilă pentru orice prejudiciu moral pe care reclamanții trebuie să îl fi suferit ca urmare a sentinței care le</w:t>
      </w:r>
      <w:r w:rsidR="00A96219">
        <w:noBreakHyphen/>
      </w:r>
      <w:r w:rsidR="009A5F22">
        <w:t xml:space="preserve">a fost aplicată (a se vedea </w:t>
      </w:r>
      <w:proofErr w:type="spellStart"/>
      <w:r w:rsidR="009A5F22">
        <w:rPr>
          <w:i/>
        </w:rPr>
        <w:t>Fressoz</w:t>
      </w:r>
      <w:proofErr w:type="spellEnd"/>
      <w:r w:rsidR="009A5F22">
        <w:rPr>
          <w:i/>
        </w:rPr>
        <w:t xml:space="preserve"> și Roire</w:t>
      </w:r>
      <w:r w:rsidR="009A5F22">
        <w:t xml:space="preserve">, citată anterior, pct. 65, și </w:t>
      </w:r>
      <w:proofErr w:type="spellStart"/>
      <w:r w:rsidR="009A5F22">
        <w:rPr>
          <w:i/>
        </w:rPr>
        <w:t>Petro</w:t>
      </w:r>
      <w:proofErr w:type="spellEnd"/>
      <w:r w:rsidR="009A5F22">
        <w:rPr>
          <w:i/>
        </w:rPr>
        <w:t xml:space="preserve"> </w:t>
      </w:r>
      <w:proofErr w:type="spellStart"/>
      <w:r w:rsidR="009A5F22">
        <w:rPr>
          <w:i/>
        </w:rPr>
        <w:t>Carbo</w:t>
      </w:r>
      <w:proofErr w:type="spellEnd"/>
      <w:r w:rsidR="009A5F22">
        <w:rPr>
          <w:i/>
        </w:rPr>
        <w:t xml:space="preserve"> Chem S.E. împotriva României</w:t>
      </w:r>
      <w:r w:rsidR="009A5F22">
        <w:t>, nr. 21768/12, pct. 79, 30 iunie 2020). Prin urmare, Curtea respinge pretențiile reclamanților în această privință.</w:t>
      </w:r>
    </w:p>
    <w:p w14:paraId="7C2BFBE2" w14:textId="77777777" w:rsidR="009A5F22" w:rsidRPr="00C7421A" w:rsidRDefault="009A5F22" w:rsidP="00C7421A">
      <w:pPr>
        <w:pStyle w:val="JuHA"/>
      </w:pPr>
      <w:r>
        <w:lastRenderedPageBreak/>
        <w:t>Cheltuieli de judecată</w:t>
      </w:r>
    </w:p>
    <w:p w14:paraId="3E6B1AA4" w14:textId="209AC32C" w:rsidR="009A5F22" w:rsidRPr="00C7421A" w:rsidRDefault="00380BCD" w:rsidP="00C7421A">
      <w:pPr>
        <w:pStyle w:val="JuPara"/>
      </w:pPr>
      <w:fldSimple w:instr=" SEQ level0 \*arabic ">
        <w:r w:rsidR="00C7421A" w:rsidRPr="00C7421A">
          <w:t>157</w:t>
        </w:r>
      </w:fldSimple>
      <w:r w:rsidR="009A5F22">
        <w:t>.  Primii doi reclamanți au pretins 567 de euro, respectiv, 553 de euro cu titlu de cheltuieli de judecată, și anume onorariile avocatului ocazionate de procedurile în fața instanțelor interne. Societatea reclamantă a pretins 558 EUR pentru cheltuielile de judecată, și anume onorariile avocatului și cheltuielile pentru corespondență ocazionate de procedurile în fața instanțelor interne și a Curții. Reclamanții au prezentat copii după ordinele de transfer bancar și facturile care atestau plata sumelor pretinse.</w:t>
      </w:r>
    </w:p>
    <w:p w14:paraId="2DE9E410" w14:textId="1150A0D3" w:rsidR="009A5F22" w:rsidRPr="00C7421A" w:rsidRDefault="00380BCD" w:rsidP="00C7421A">
      <w:pPr>
        <w:pStyle w:val="JuPara"/>
      </w:pPr>
      <w:fldSimple w:instr=" SEQ level0 \*arabic \* MERGEFORMAT ">
        <w:r w:rsidR="00C7421A" w:rsidRPr="00C7421A">
          <w:t>158</w:t>
        </w:r>
      </w:fldSimple>
      <w:r w:rsidR="002D41A5">
        <w:t>.  Guvernul a susținut că reclamanții nu au prezentat suficiente documente care să ateste că sumele pretinse de aceștia fuseseră suportate în mod real și necesar.</w:t>
      </w:r>
    </w:p>
    <w:p w14:paraId="00DF1587" w14:textId="2763930A" w:rsidR="009A5F22" w:rsidRPr="00C7421A" w:rsidRDefault="00380BCD" w:rsidP="00C7421A">
      <w:pPr>
        <w:pStyle w:val="JuPara"/>
      </w:pPr>
      <w:fldSimple w:instr=" SEQ level0 \*arabic ">
        <w:r w:rsidR="00C7421A" w:rsidRPr="00C7421A">
          <w:t>159</w:t>
        </w:r>
      </w:fldSimple>
      <w:r w:rsidR="009A5F22">
        <w:t>.  Potrivit jurisprudenței Curții, un reclamant are dreptul la rambursarea cheltuielilor de judecată numai în măsura în care se stabilește caracterul lor real și necesar, precum și caracterul rezonabil al cuantumului acestora. În prezenta cauză, având în vedere sumele pretinse efectiv de fiecare dintre reclamanți pentru cheltuielile de judecată, documentele aflate la dispoziția sa, complexitatea aspectelor discutate, precum și criteriile de mai sus, Curtea consideră rezonabil să acorde reclamanților sumele pretinse de fiecare dintre aceștia pentru cheltuielile de judecată ocazionate de procedurile în fața instanțelor interne și a Curții, plus orice sumă ce poate fi datorată de reclamanți cu titlu de impozit.</w:t>
      </w:r>
    </w:p>
    <w:p w14:paraId="09499C1C" w14:textId="77777777" w:rsidR="009A5F22" w:rsidRPr="00C7421A" w:rsidRDefault="009A5F22" w:rsidP="00C7421A">
      <w:pPr>
        <w:pStyle w:val="JuHA"/>
      </w:pPr>
      <w:r>
        <w:t>Dobânzi moratorii</w:t>
      </w:r>
    </w:p>
    <w:p w14:paraId="67F69D43" w14:textId="343F77E3" w:rsidR="009A5F22" w:rsidRPr="00C7421A" w:rsidRDefault="00380BCD" w:rsidP="00C7421A">
      <w:pPr>
        <w:pStyle w:val="JuPara"/>
      </w:pPr>
      <w:fldSimple w:instr=" SEQ level0 \*arabic ">
        <w:r w:rsidR="00C7421A" w:rsidRPr="00C7421A">
          <w:t>160</w:t>
        </w:r>
      </w:fldSimple>
      <w:r w:rsidR="009A5F22">
        <w:t>.  Curtea consideră necesar ca rata dobânzilor moratorii să se întemeieze pe rata dobânzii facilității de împrumut marginal, practicată de Banca Centrală Europeană, majorată cu trei puncte procentuale.</w:t>
      </w:r>
    </w:p>
    <w:p w14:paraId="7AFBF66E" w14:textId="77777777" w:rsidR="009A5F22" w:rsidRPr="00C7421A" w:rsidRDefault="009A5F22" w:rsidP="00C7421A">
      <w:pPr>
        <w:pStyle w:val="JuHHead"/>
        <w:numPr>
          <w:ilvl w:val="0"/>
          <w:numId w:val="2"/>
        </w:numPr>
        <w:ind w:left="360" w:hanging="360"/>
      </w:pPr>
      <w:r>
        <w:t>PENTRU ACESTE MOTIVE, CURTEA</w:t>
      </w:r>
    </w:p>
    <w:p w14:paraId="2F29CF73" w14:textId="77777777" w:rsidR="009A5F22" w:rsidRPr="00C7421A" w:rsidRDefault="009A5F22" w:rsidP="00C7421A">
      <w:pPr>
        <w:pStyle w:val="JuList"/>
      </w:pPr>
      <w:r>
        <w:rPr>
          <w:i/>
          <w:iCs/>
        </w:rPr>
        <w:t>declară</w:t>
      </w:r>
      <w:r>
        <w:t>, în unanimitate,</w:t>
      </w:r>
      <w:r>
        <w:rPr>
          <w:i/>
        </w:rPr>
        <w:t xml:space="preserve"> </w:t>
      </w:r>
      <w:r>
        <w:t>cererea admisibilă;</w:t>
      </w:r>
    </w:p>
    <w:p w14:paraId="7208416C" w14:textId="77777777" w:rsidR="009A5F22" w:rsidRPr="00C7421A" w:rsidRDefault="009A5F22" w:rsidP="00C7421A">
      <w:pPr>
        <w:pStyle w:val="JuList"/>
      </w:pPr>
      <w:r>
        <w:rPr>
          <w:i/>
        </w:rPr>
        <w:t>hotărăște</w:t>
      </w:r>
      <w:r>
        <w:t>, cu patru voturi la trei, că a fost încălcat art. 10 din Convenție;</w:t>
      </w:r>
    </w:p>
    <w:p w14:paraId="41C2B37C" w14:textId="77777777" w:rsidR="009A5F22" w:rsidRPr="00C7421A" w:rsidRDefault="009A5F22" w:rsidP="00C7421A">
      <w:pPr>
        <w:pStyle w:val="JuList"/>
      </w:pPr>
      <w:r>
        <w:rPr>
          <w:i/>
          <w:iCs/>
        </w:rPr>
        <w:t>hotărăște</w:t>
      </w:r>
      <w:r>
        <w:t>, cu patru voturi la trei,</w:t>
      </w:r>
    </w:p>
    <w:p w14:paraId="656C8193" w14:textId="58F4BA6E" w:rsidR="009A5F22" w:rsidRPr="00C7421A" w:rsidRDefault="009A5F22" w:rsidP="00C7421A">
      <w:pPr>
        <w:pStyle w:val="JuLista"/>
      </w:pPr>
      <w:r>
        <w:t>că statul pârât trebuie să plătească, în termen de trei luni de la data rămânerii definitive a hotărârii, în conformitate cu art. 44 § 2 din Convenție, următoarele sume care trebuie convertite în moneda statului pârât la rata de schimb aplicabilă la data plății:</w:t>
      </w:r>
    </w:p>
    <w:p w14:paraId="0EB3C2F7" w14:textId="77777777" w:rsidR="009A5F22" w:rsidRPr="00C7421A" w:rsidRDefault="009A5F22" w:rsidP="00C7421A">
      <w:pPr>
        <w:pStyle w:val="JuListi"/>
      </w:pPr>
      <w:r>
        <w:t>1 762 EUR (o mie șapte sute șaizeci și doi de euro), plus orice sumă ce poate fi datorată cu titlu de impozit, societății reclamante, pentru prejudiciul material;</w:t>
      </w:r>
    </w:p>
    <w:p w14:paraId="214B3A0D" w14:textId="3250AB54" w:rsidR="009A5F22" w:rsidRPr="00C7421A" w:rsidRDefault="009A5F22" w:rsidP="00C7421A">
      <w:pPr>
        <w:pStyle w:val="JuListi"/>
      </w:pPr>
      <w:r>
        <w:lastRenderedPageBreak/>
        <w:t>567 EUR (cinci sute șaizeci și șapte de euro) primei reclamante pentru cheltuielile de judecată, plus orice sumă ce poate fi datorată cu titlu de impozit;</w:t>
      </w:r>
    </w:p>
    <w:p w14:paraId="5DFEC0AA" w14:textId="327D470E" w:rsidR="009A5F22" w:rsidRPr="00C7421A" w:rsidRDefault="009A5F22" w:rsidP="00C7421A">
      <w:pPr>
        <w:pStyle w:val="JuListi"/>
      </w:pPr>
      <w:r>
        <w:t>553 EUR (cinci sute cincizeci și trei de euro) celui de-al doilea reclamant pentru cheltuielile de judecată, plus orice sumă ce poate fi datorată cu titlu de impozit;</w:t>
      </w:r>
    </w:p>
    <w:p w14:paraId="11321F97" w14:textId="09CD21E1" w:rsidR="009A5F22" w:rsidRPr="00C7421A" w:rsidRDefault="009A5F22" w:rsidP="00C7421A">
      <w:pPr>
        <w:pStyle w:val="JuListi"/>
      </w:pPr>
      <w:r>
        <w:t>558 EUR (cinci sute cincizeci și opt de euro) societății reclamante pentru cheltuielile de judecată, plus orice sumă ce poate fi datorată cu titlu de impozit;</w:t>
      </w:r>
    </w:p>
    <w:p w14:paraId="4AF29190" w14:textId="77777777" w:rsidR="009A5F22" w:rsidRPr="00C7421A" w:rsidRDefault="009A5F22" w:rsidP="00C7421A">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56C71382" w14:textId="77777777" w:rsidR="009A5F22" w:rsidRPr="00C7421A" w:rsidRDefault="009A5F22" w:rsidP="00C7421A">
      <w:pPr>
        <w:pStyle w:val="JuList"/>
      </w:pPr>
      <w:r>
        <w:rPr>
          <w:i/>
          <w:iCs/>
        </w:rPr>
        <w:t>hotărăște</w:t>
      </w:r>
      <w:r>
        <w:t>, în unanimitate, că o constatare a unei încălcări constituie în sine o reparație echitabilă suficientă pentru prejudiciul moral suferit de reclamanți;</w:t>
      </w:r>
    </w:p>
    <w:p w14:paraId="2E444608" w14:textId="2CDC43AB" w:rsidR="004D0EC7" w:rsidRPr="00C7421A" w:rsidRDefault="009A5F22" w:rsidP="00C7421A">
      <w:pPr>
        <w:pStyle w:val="JuList"/>
      </w:pPr>
      <w:r>
        <w:rPr>
          <w:i/>
          <w:iCs/>
        </w:rPr>
        <w:t>respinge</w:t>
      </w:r>
      <w:r>
        <w:t>, în unanimitate, cererea de acordare a unei reparații echitabile pentru celelalte capete de cerere.</w:t>
      </w:r>
    </w:p>
    <w:p w14:paraId="0C3F78A7" w14:textId="48DD3114" w:rsidR="008E3A08" w:rsidRPr="00C7421A" w:rsidRDefault="007E2C8C" w:rsidP="00C7421A">
      <w:pPr>
        <w:pStyle w:val="JuParaLast"/>
      </w:pPr>
      <w:r>
        <w:t>Redactată în limba engleză și comunicată în scris la 18 octombrie 2022, în conformitate cu art. 77 § 2 și § 3 din Regulamentul Curții.</w:t>
      </w:r>
    </w:p>
    <w:p w14:paraId="11185AE7" w14:textId="57328C33" w:rsidR="001C055B" w:rsidRPr="00C7421A" w:rsidRDefault="002E7764" w:rsidP="00C7421A">
      <w:pPr>
        <w:pStyle w:val="JuSigned"/>
      </w:pPr>
      <w:r>
        <w:tab/>
        <w:t xml:space="preserve">Ilse </w:t>
      </w:r>
      <w:proofErr w:type="spellStart"/>
      <w:r>
        <w:t>Freiwirth</w:t>
      </w:r>
      <w:proofErr w:type="spellEnd"/>
      <w:r>
        <w:t xml:space="preserve"> </w:t>
      </w:r>
      <w:r>
        <w:tab/>
      </w:r>
      <w:proofErr w:type="spellStart"/>
      <w:r>
        <w:t>Yonko</w:t>
      </w:r>
      <w:proofErr w:type="spellEnd"/>
      <w:r>
        <w:t xml:space="preserve"> </w:t>
      </w:r>
      <w:proofErr w:type="spellStart"/>
      <w:r>
        <w:t>Grozev</w:t>
      </w:r>
      <w:proofErr w:type="spellEnd"/>
      <w:r>
        <w:br/>
      </w:r>
      <w:r>
        <w:tab/>
        <w:t>Grefier adjunct</w:t>
      </w:r>
      <w:r>
        <w:tab/>
        <w:t>Președinte</w:t>
      </w:r>
    </w:p>
    <w:p w14:paraId="2A6FE1F1" w14:textId="531F3F47" w:rsidR="00A7333B" w:rsidRPr="00C7421A" w:rsidRDefault="00A7333B" w:rsidP="00C7421A">
      <w:pPr>
        <w:pStyle w:val="JuParaLast"/>
      </w:pPr>
      <w:r>
        <w:t xml:space="preserve">În conformitate cu art. 45 § 2 din Convenție și cu art. 74 § 2 din Regulamentul Curții, opinia separată comună a domnilor judecători K. </w:t>
      </w:r>
      <w:proofErr w:type="spellStart"/>
      <w:r>
        <w:t>Wojtyczek</w:t>
      </w:r>
      <w:proofErr w:type="spellEnd"/>
      <w:r>
        <w:t>, F. </w:t>
      </w:r>
      <w:proofErr w:type="spellStart"/>
      <w:r>
        <w:t>Vehabović</w:t>
      </w:r>
      <w:proofErr w:type="spellEnd"/>
      <w:r>
        <w:t xml:space="preserve"> și A. </w:t>
      </w:r>
      <w:proofErr w:type="spellStart"/>
      <w:r>
        <w:t>Harutyunyan</w:t>
      </w:r>
      <w:proofErr w:type="spellEnd"/>
      <w:r>
        <w:t xml:space="preserve"> este anexată la prezenta hotărâre.</w:t>
      </w:r>
    </w:p>
    <w:p w14:paraId="4AFBAA7A" w14:textId="4ED6BBD8" w:rsidR="00A81FFB" w:rsidRPr="00C7421A" w:rsidRDefault="00DD5431" w:rsidP="00C7421A">
      <w:pPr>
        <w:pStyle w:val="JuInitialled"/>
      </w:pPr>
      <w:r>
        <w:t>YGR</w:t>
      </w:r>
      <w:r>
        <w:br/>
        <w:t>IF</w:t>
      </w:r>
    </w:p>
    <w:p w14:paraId="38C90993" w14:textId="77777777" w:rsidR="009A5F22" w:rsidRPr="00C7421A" w:rsidRDefault="009A5F22" w:rsidP="00C7421A">
      <w:pPr>
        <w:rPr>
          <w:color w:val="000000"/>
        </w:rPr>
        <w:sectPr w:rsidR="009A5F22" w:rsidRPr="00C7421A" w:rsidSect="007D3701">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pPr>
    </w:p>
    <w:p w14:paraId="1F5FF06F" w14:textId="469F1844" w:rsidR="00182EBA" w:rsidRPr="00C7421A" w:rsidRDefault="00A7333B" w:rsidP="00C7421A">
      <w:pPr>
        <w:pStyle w:val="DecHTitle"/>
      </w:pPr>
      <w:r>
        <w:lastRenderedPageBreak/>
        <w:t>OPINIA SEPARATĂ COMUNĂ A DOMNILOR JUDECĂTORI WOJTYCZEK, VEHABOVIĆ ȘI HARUTYUNYAN</w:t>
      </w:r>
    </w:p>
    <w:p w14:paraId="4D913344" w14:textId="77777777" w:rsidR="00EB029B" w:rsidRPr="00C7421A" w:rsidRDefault="003C73E4" w:rsidP="00C7421A">
      <w:pPr>
        <w:pStyle w:val="JuPara"/>
      </w:pPr>
      <w:r>
        <w:t>1.  Ne exprimăm în mod respectuos dezacordul cu punctul de vedere potrivit căruia art. 10 din Convenție a fost încălcat în prezenta cauză.</w:t>
      </w:r>
    </w:p>
    <w:p w14:paraId="540DFF5F" w14:textId="0D749BFF" w:rsidR="00E302CF" w:rsidRPr="00C7421A" w:rsidRDefault="003C73E4" w:rsidP="00C7421A">
      <w:pPr>
        <w:pStyle w:val="JuPara"/>
      </w:pPr>
      <w:r>
        <w:t>2.  Suntem de acord, în general, cu metodologia aplicată de majoritate, însă nu suntem de acord cu privire la anumite puncte mai specifice și, în special, referitoare la: (i) formularea precisă a standardului de protecție acordată judecătorilor și procurorilor împotriva discursurilor abuzive, (ii) ponderea autorității justiției ca motiv de justificare a limitării discursului și (iii) evaluarea hotărârilor interne și, în special, aprecierea măsurii în care baza factuală a declarațiilor în litigiu a fost suficientă.</w:t>
      </w:r>
    </w:p>
    <w:p w14:paraId="380AC9E4" w14:textId="7D8FACD1" w:rsidR="00E302CF" w:rsidRPr="00C7421A" w:rsidRDefault="003C73E4" w:rsidP="00C7421A">
      <w:pPr>
        <w:pStyle w:val="JuPara"/>
      </w:pPr>
      <w:r>
        <w:t>3.  Suntem pe deplin de acord cu premisa de început exprimată la pct. 118 în următorii termeni: „În cazul în care exercițiul de punere în balanță a drepturilor protejate de art. 8 și 10 din Convenție a fost efectuat de autoritățile naționale în conformitate cu criteriile stabilite în jurisprudența Curții, Curtea ar avea nevoie de motive puternice pentru a substitui punctul de vedere al instanțelor naționale cu punctul său de vedere.”</w:t>
      </w:r>
    </w:p>
    <w:p w14:paraId="08338A2D" w14:textId="69BCF42C" w:rsidR="00EB029B" w:rsidRPr="00C7421A" w:rsidRDefault="00E302CF" w:rsidP="00C7421A">
      <w:pPr>
        <w:pStyle w:val="JuPara"/>
      </w:pPr>
      <w:r>
        <w:t>Dorim să adăugăm că restrângerile în litigiu la adresa libertății de exprimare a reclamanților au fost impuse în contextul unui litigiu de drept civil între părți private cu scopul de a proteja reputația celeilalte părți, și anume doamna O.S.H. Prezenta hotărâre declară că protecția oferită de instanțele interne doamnei O.S.H. este contrară Convenției și, prin urmare, afectează poziția în drept fapt și în fapt a doamnei O.S.H. Totodată, doamna O.S.H. nu a fost invitată să își prezinte observațiile în fața Curții pentru a-și apăra interesele sale legitime. Acest fapt constituie un argument suplimentar în favoarea prudenței judiciare și împotriva substituirii opiniei instanțelor interne cu cea a Curții în prezenta cauză.</w:t>
      </w:r>
    </w:p>
    <w:p w14:paraId="64760DDE" w14:textId="5668A94B" w:rsidR="00E302CF" w:rsidRPr="00C7421A" w:rsidRDefault="003C73E4" w:rsidP="00C7421A">
      <w:pPr>
        <w:pStyle w:val="JuPara"/>
      </w:pPr>
      <w:r>
        <w:t>4.  Suntem de acord cu următoarea ipoteză de la pct. 129: „Curtea consideră că doamna O.S.H. aparținea unui grup de persoane care nu puteau pretinde protecția dreptului său la respectarea vieții private în același mod în care ar putea-o face un cetățean obișnuit (a se vedea supra, pct. 116), sau chiar un profesionist. Prin urmare, făcea obiectul unor limite mai largi în ceea ce privește critica admisibilă decât persoanele obișnuite și profesioniștii obișnuiți.”</w:t>
      </w:r>
    </w:p>
    <w:p w14:paraId="1FFEED98" w14:textId="6B7B4C85" w:rsidR="00E302CF" w:rsidRPr="00C7421A" w:rsidRDefault="003C73E4" w:rsidP="00C7421A">
      <w:pPr>
        <w:pStyle w:val="JuPara"/>
      </w:pPr>
      <w:r>
        <w:t>5.  Suntem, de asemenea, de acord cu standardul formulat la pct. 136: „[Î]</w:t>
      </w:r>
      <w:proofErr w:type="spellStart"/>
      <w:r>
        <w:t>ntrebarea</w:t>
      </w:r>
      <w:proofErr w:type="spellEnd"/>
      <w:r>
        <w:t xml:space="preserve"> care rămâne este dacă poate fi stabilită o bază factuală suficient de exactă și de credibilă, proporțională cu natura și gradul declarațiilor și acuzațiilor din articol (a se vedea, </w:t>
      </w:r>
      <w:r>
        <w:rPr>
          <w:i/>
        </w:rPr>
        <w:t>mutatis</w:t>
      </w:r>
      <w:r>
        <w:t xml:space="preserve"> </w:t>
      </w:r>
      <w:r>
        <w:rPr>
          <w:i/>
        </w:rPr>
        <w:t>mutandis</w:t>
      </w:r>
      <w:r>
        <w:t xml:space="preserve">, </w:t>
      </w:r>
      <w:proofErr w:type="spellStart"/>
      <w:r>
        <w:rPr>
          <w:i/>
          <w:iCs/>
        </w:rPr>
        <w:t>Reznik</w:t>
      </w:r>
      <w:proofErr w:type="spellEnd"/>
      <w:r>
        <w:rPr>
          <w:i/>
          <w:iCs/>
        </w:rPr>
        <w:t xml:space="preserve"> împotriva Rusiei</w:t>
      </w:r>
      <w:r>
        <w:t xml:space="preserve">, nr. 4977/05, pct. 46, 4 aprilie 2013, și </w:t>
      </w:r>
      <w:proofErr w:type="spellStart"/>
      <w:r>
        <w:rPr>
          <w:i/>
        </w:rPr>
        <w:t>Rungainis</w:t>
      </w:r>
      <w:proofErr w:type="spellEnd"/>
      <w:r>
        <w:rPr>
          <w:i/>
        </w:rPr>
        <w:t xml:space="preserve"> împotriva Letoniei</w:t>
      </w:r>
      <w:r>
        <w:t>, nr. 40597/08, pct. 63, 14 iunie 2018).</w:t>
      </w:r>
    </w:p>
    <w:p w14:paraId="46FCFB98" w14:textId="77777777" w:rsidR="00EB029B" w:rsidRPr="00C7421A" w:rsidRDefault="00E302CF" w:rsidP="00C7421A">
      <w:pPr>
        <w:pStyle w:val="JuPara"/>
      </w:pPr>
      <w:r>
        <w:t xml:space="preserve">Observăm însă că acest standard nu este aplicat în mod consecvent pe parcursul motivării, iar majoritatea face trimitere, de asemenea, la standardul </w:t>
      </w:r>
      <w:r>
        <w:lastRenderedPageBreak/>
        <w:t>mai indulgent al existenței „oricărei baze factuale” (a se vedea pct. 142). În plus, nu este clar cum trebuie să fie coroborat standardul „unei baze factuale suficiente/insuficiente”  cu standardul „atacurilor care produc prejudicii grave și care sunt în esență nefondate” (a se vedea infra, pct. 7). Cele două standarde nu sunt identice.</w:t>
      </w:r>
    </w:p>
    <w:p w14:paraId="646A0CC3" w14:textId="776A2CAA" w:rsidR="00E302CF" w:rsidRPr="00C7421A" w:rsidRDefault="003C73E4" w:rsidP="00C7421A">
      <w:pPr>
        <w:pStyle w:val="JuPara"/>
      </w:pPr>
      <w:r>
        <w:t>6.  Observăm că în unele state, inclusiv România, sistemul judiciar, precum și judecătorii și procurorii individuali, sunt uneori supuși unor critici și atacuri dure care tind să submineze încrederea publicului în integritatea sistemului judiciar. Astfel de atacuri pot alimenta și mai mult demagogia și pot pregăti terenul pentru reforme structurale care să afecteze calitatea sistemului respectiv. Dorim să subliniem aici următoarea apreciere făcută de Comisie în raportul său din 2013 către Parlamentul European și Consiliu (a se vedea pct. 80): „Comisia ar dori, de asemenea, să atragă atenția asupra rolului mijloacelor de informare în masă. Au existat numeroase exemple de mijloace de informare în masă care au exercitat presiuni asupra sistemului judiciar, precum și anumite îndoieli cu privire la eficacitatea activității de supraveghere desfășurată de Consiliul Național al Audiovizualului. Situația sugerează necesitatea unei revizuiri a normelor existente pentru a garanta faptul că libertatea presei este însoțită de o protecție corespunzătoare a instituțiilor și a drepturilor fundamentale ale persoanelor, precum și pentru a pune la dispoziție măsuri reparatorii eficiente.”</w:t>
      </w:r>
    </w:p>
    <w:p w14:paraId="0527A009" w14:textId="77777777" w:rsidR="00EB029B" w:rsidRPr="00C7421A" w:rsidRDefault="00E302CF" w:rsidP="00C7421A">
      <w:pPr>
        <w:pStyle w:val="JuPara"/>
      </w:pPr>
      <w:r>
        <w:t>În acest context, garantarea autorității și a imparțialității puterii judecătorești, astfel cum se prevede la art. 10 § 2 din Convenție, este un obiectiv a cărui pondere semnificativă trebuie luată în considerare în mod corespunzător atunci când sunt puse în balanță valorile conflictuale în cauzele care privesc libertatea de exprimare.</w:t>
      </w:r>
    </w:p>
    <w:p w14:paraId="305A034E" w14:textId="77777777" w:rsidR="00EB029B" w:rsidRPr="00C7421A" w:rsidRDefault="003C73E4" w:rsidP="00C7421A">
      <w:pPr>
        <w:pStyle w:val="JuPara"/>
      </w:pPr>
      <w:r>
        <w:t xml:space="preserve">7.  Majoritatea [citând </w:t>
      </w:r>
      <w:proofErr w:type="spellStart"/>
      <w:r>
        <w:rPr>
          <w:i/>
        </w:rPr>
        <w:t>Morice</w:t>
      </w:r>
      <w:proofErr w:type="spellEnd"/>
      <w:r>
        <w:rPr>
          <w:i/>
        </w:rPr>
        <w:t xml:space="preserve"> împotriva Franței</w:t>
      </w:r>
      <w:r>
        <w:t xml:space="preserve"> (MC), nr. 29369/10, pct. 128, CEDO 2015] pare să limiteze protecția oferită judecătorilor și procurorilor la „atacuri care produc prejudicii grave și care sunt în esență nefondate” (a se vedea pct. 113 și 135). În opinia noastră, o astfel de interpretare restrictivă a motivării cauzei </w:t>
      </w:r>
      <w:proofErr w:type="spellStart"/>
      <w:r>
        <w:rPr>
          <w:i/>
        </w:rPr>
        <w:t>Morice</w:t>
      </w:r>
      <w:proofErr w:type="spellEnd"/>
      <w:r>
        <w:t xml:space="preserve"> nu este justificată și nu ar trebui să fie limitată la atacuri care produc prejudicii grave, ci ar trebui să fie extinsă la alte declarații factuale neadevărate sau la judecăți de valoare excesive care prejudiciază reputația judecătorilor și a procurorilor, în cazul în care astfel de declarații și judecăți de valoare sunt lipsite de o bază factuală suficientă.</w:t>
      </w:r>
    </w:p>
    <w:p w14:paraId="3C497075" w14:textId="77777777" w:rsidR="00EB029B" w:rsidRPr="00C7421A" w:rsidRDefault="003C73E4" w:rsidP="00C7421A">
      <w:pPr>
        <w:pStyle w:val="JuPara"/>
      </w:pPr>
      <w:r>
        <w:t xml:space="preserve">8.  Majoritatea reproșează instanțelor interne o serie de deficiențe în motivările lor și se bazează în special pe următoarele argumente (a se vedea pct. 139): „Curtea nu este convinsă că Curtea de apel a motivat în mod suficient această abordare selectivă în interpretarea declarațiilor în litigiu sau pentru a concluziona că aceste declarații nu aveau niciun suport </w:t>
      </w:r>
      <w:proofErr w:type="spellStart"/>
      <w:r>
        <w:t>factual</w:t>
      </w:r>
      <w:proofErr w:type="spellEnd"/>
      <w:r>
        <w:t xml:space="preserve">. Procedând astfel, Curtea de apel a ignorat faptul că declarațiile în litigiu făceau parte dintr-o descriere și o analiză extinsă și detaliată a circumstanțelor [...]”. În interpretarea noastră, hotărârile interne, în motivările lor, deși se </w:t>
      </w:r>
      <w:r>
        <w:lastRenderedPageBreak/>
        <w:t>concentrează asupra impactului câtorva declarații specifice, nu au trecut deloc cu vederea acest context mai amplu (a se vedea în special pct. 62-64). În plus, acest context mai amplu nu pare să atenueze forța prejudiciabilă a declarațiilor în litigiu. Ar trebui să observăm aici că declarațiile din articol care au fost identificate de instanța de ultim grad ca fiind problematice (a se vedea pct. 67) au fost analizate în contextul circumstanțelor care au înconjurat urmărirea penală în dosarul domnului N.T. și al rolurilor jucate de fiecare dintre cei doi procurori implicați în instrumentarea dosarului, precum și al atribuțiile acestora, al gradului de responsabilitate asociat acestui caz și al deficiențelor procedurale care au afectat rezultatul acestuia (a se vedea în special rezumatul hotărârii interne furnizat la pct. 68).</w:t>
      </w:r>
    </w:p>
    <w:p w14:paraId="11B5B1ED" w14:textId="26DD7169" w:rsidR="00EB029B" w:rsidRPr="00C7421A" w:rsidRDefault="00E302CF" w:rsidP="00C7421A">
      <w:pPr>
        <w:pStyle w:val="JuPara"/>
      </w:pPr>
      <w:r>
        <w:t>Majoritatea acordă o importanță deosebită faptului că „deși doamna O.S.H. pare să fi beneficiat de mai multe ocazii oferite de cotidian pentru a comenta informațiile publicate și susținerile formulate cu privire la dosarul domnului N.T., ea nu a făcut nicio încercare aparentă de a le folosi” (pct. 145). Considerăm că această parte a motivării nu este convingătoare. Deși respectarea dreptului la replică poate fi o circumstanță importantă în anumite cazuri, indicând astfel că au fost respectate principiile jurnalismului responsabil, acest aspect nu pare relevant în prezenta cauză. Faptul că persoana în cauză a refuzat să răspundă unei publicații de presă nu extinde (</w:t>
      </w:r>
      <w:r>
        <w:rPr>
          <w:i/>
        </w:rPr>
        <w:t>ex post</w:t>
      </w:r>
      <w:r>
        <w:t>) domeniul de aplicare al libertății de exprimare a jurnaliștilor și nu face ca baza factuală să fie mai solidă.</w:t>
      </w:r>
    </w:p>
    <w:p w14:paraId="3CE99B4D" w14:textId="18800C34" w:rsidR="00EB029B" w:rsidRPr="00C7421A" w:rsidRDefault="00E302CF" w:rsidP="00C7421A">
      <w:pPr>
        <w:pStyle w:val="JuPara"/>
      </w:pPr>
      <w:r>
        <w:t>Având în vedere probele disponibile, nu vedem niciun motiv pentru a pune sub semnul întrebării aprecierea generală a Curții de apel sau constatarea specifică a acesteia potrivit căreia declarațiile în litigiu ale reclamanților nu erau susținute de o bază factuală suficientă și puteau fi considerate a constitui un potențial atac care produce prejudicii grave. La un nivel mai general, considerăm că această cauză a fost examinată în detaliu de instanțele interne, care au oferit argumente ample și convingătoare în sprijinul hotărârilor lor și nu vedem motive suficiente pentru ca Curtea să substituie opiniile instanțelor naționale cu propriile opinii.</w:t>
      </w:r>
    </w:p>
    <w:p w14:paraId="00744B2D" w14:textId="38A5974B" w:rsidR="00EB029B" w:rsidRPr="00C7421A" w:rsidRDefault="003C73E4" w:rsidP="00C7421A">
      <w:pPr>
        <w:pStyle w:val="JuPara"/>
      </w:pPr>
      <w:r>
        <w:t>9.  Majoritatea subliniază la pct. 148 că „în aceste circumstanțe, sancțiunea aplicată a fost de natură să aibă un efect descurajator asupra exercitării dreptului la libertatea de exprimare al reclamanților”. Cu respect, nu suntem de acord. Sancțiunea aplicată a fost una de natură pur civilă, nu pare excesivă în circumstanțe cauzei și nu a fost de natură a avea un efect „descurajator”. Inversând argumentul care se referă la acest efect, observăm în acest context că lipsa unei sancțiuni adecvate pentru discurs abuziv poate avea un „efect încurajator” și poate contribui la brutalizarea dezbaterii publice.</w:t>
      </w:r>
    </w:p>
    <w:p w14:paraId="7CC7E1D1" w14:textId="69FDC886" w:rsidR="00EB029B" w:rsidRPr="00C7421A" w:rsidRDefault="003C73E4" w:rsidP="00C7421A">
      <w:pPr>
        <w:pStyle w:val="JuPara"/>
      </w:pPr>
      <w:r>
        <w:t xml:space="preserve">10.  Majoritatea admite, pe bună dreptate, la punctul 144, următoarele aspecte cruciale: (i) „formularea specifică utilizată în declarațiile în litigiu era imprecisă și putea fi interpretată ca sugerând în mod eronat responsabilitatea doamnei O.S.H. pentru un eveniment pentru care nu era, de fapt, </w:t>
      </w:r>
      <w:r>
        <w:lastRenderedPageBreak/>
        <w:t>responsabilă”, (ii) au fost „formulate într-o formă inadecvat de categorică” și (iii) au fost redactate cu un anumit „grad de exagerare”.</w:t>
      </w:r>
    </w:p>
    <w:p w14:paraId="6072CBE8" w14:textId="65BC9593" w:rsidR="00A7333B" w:rsidRPr="00C7421A" w:rsidRDefault="00E302CF" w:rsidP="00C7421A">
      <w:pPr>
        <w:pStyle w:val="JuPara"/>
      </w:pPr>
      <w:r>
        <w:t>În aprecierea noastră, deși procurorilor li se aplică limite mai largi în ceea ce privește o critică admisibilă și deși declarațiile și afirmațiile din articol nu erau lipsite de „o bază factuală reală”, acestea nu se bazaseră pe o bază factuală suficient de exactă și fiabilă sau proporțională cu natura și gradul conținutului lor și, prin urmare, au depășit limitele gradului de exagerare permis.</w:t>
      </w:r>
    </w:p>
    <w:sectPr w:rsidR="00A7333B" w:rsidRPr="00C7421A" w:rsidSect="00A81FFB">
      <w:headerReference w:type="even" r:id="rId19"/>
      <w:headerReference w:type="default" r:id="rId20"/>
      <w:footerReference w:type="even" r:id="rId21"/>
      <w:footerReference w:type="default" r:id="rId22"/>
      <w:footnotePr>
        <w:numRestart w:val="eachSect"/>
      </w:footnotePr>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4D1E1" w14:textId="77777777" w:rsidR="00380BCD" w:rsidRPr="00E67565" w:rsidRDefault="00380BCD" w:rsidP="0098410D">
      <w:r w:rsidRPr="00E67565">
        <w:separator/>
      </w:r>
    </w:p>
  </w:endnote>
  <w:endnote w:type="continuationSeparator" w:id="0">
    <w:p w14:paraId="5974BB4C" w14:textId="77777777" w:rsidR="00380BCD" w:rsidRPr="00E67565" w:rsidRDefault="00380BCD"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D258" w14:textId="2BB7C2B2" w:rsidR="00E35BE5" w:rsidRPr="00150BFA" w:rsidRDefault="00E35BE5" w:rsidP="00C44F49">
    <w:pPr>
      <w:jc w:val="center"/>
    </w:pPr>
    <w:r>
      <w:rPr>
        <w:noProof/>
        <w:lang w:eastAsia="ro-RO"/>
      </w:rPr>
      <w:drawing>
        <wp:inline distT="0" distB="0" distL="0" distR="0" wp14:anchorId="0CE9DF0B" wp14:editId="031E5DF9">
          <wp:extent cx="771525" cy="619125"/>
          <wp:effectExtent l="0" t="0" r="9525" b="9525"/>
          <wp:docPr id="40" name="Picture 4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785F389C" w14:textId="3F07DD0B" w:rsidR="00E35BE5" w:rsidRPr="00E67565" w:rsidRDefault="00E35BE5" w:rsidP="00C44F49">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17AD" w14:textId="5983885D" w:rsidR="00E35BE5" w:rsidRPr="00150BFA" w:rsidRDefault="00E35BE5" w:rsidP="00C44F49">
    <w:pPr>
      <w:jc w:val="center"/>
    </w:pPr>
    <w:r>
      <w:rPr>
        <w:noProof/>
        <w:lang w:eastAsia="ro-RO"/>
      </w:rPr>
      <w:drawing>
        <wp:inline distT="0" distB="0" distL="0" distR="0" wp14:anchorId="0FFF5E81" wp14:editId="52D94424">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414F7FB0" w14:textId="74180BA4" w:rsidR="00E35BE5" w:rsidRPr="00E67565" w:rsidRDefault="00E35BE5"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8EFEF" w14:textId="2B30F52E" w:rsidR="00E35BE5" w:rsidRDefault="00E35BE5" w:rsidP="009A115C">
    <w:pPr>
      <w:pStyle w:val="JuHeader"/>
    </w:pPr>
    <w:r>
      <w:rPr>
        <w:rStyle w:val="PageNumber"/>
      </w:rPr>
      <w:fldChar w:fldCharType="begin"/>
    </w:r>
    <w:r>
      <w:rPr>
        <w:rStyle w:val="PageNumber"/>
      </w:rPr>
      <w:instrText xml:space="preserve"> PAGE </w:instrText>
    </w:r>
    <w:r>
      <w:rPr>
        <w:rStyle w:val="PageNumber"/>
      </w:rPr>
      <w:fldChar w:fldCharType="separate"/>
    </w:r>
    <w:r w:rsidR="00022BDB">
      <w:rPr>
        <w:rStyle w:val="PageNumber"/>
        <w:noProof/>
      </w:rPr>
      <w:t>38</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C1EF" w14:textId="35E7F785" w:rsidR="00E35BE5" w:rsidRPr="000B7195" w:rsidRDefault="00E35BE5" w:rsidP="007D3701">
    <w:pPr>
      <w:pStyle w:val="JuHeader"/>
    </w:pPr>
    <w:r>
      <w:fldChar w:fldCharType="begin"/>
    </w:r>
    <w:r>
      <w:instrText xml:space="preserve"> PAGE </w:instrText>
    </w:r>
    <w:r>
      <w:fldChar w:fldCharType="separate"/>
    </w:r>
    <w:r w:rsidR="00022BDB">
      <w:rPr>
        <w:noProof/>
      </w:rPr>
      <w:t>39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1F302" w14:textId="6F72C70A" w:rsidR="00E35BE5" w:rsidRDefault="00E35BE5" w:rsidP="009A115C">
    <w:pPr>
      <w:pStyle w:val="JuHeader"/>
    </w:pPr>
    <w:r>
      <w:rPr>
        <w:rStyle w:val="PageNumber"/>
      </w:rPr>
      <w:fldChar w:fldCharType="begin"/>
    </w:r>
    <w:r>
      <w:rPr>
        <w:rStyle w:val="PageNumber"/>
      </w:rPr>
      <w:instrText xml:space="preserve"> PAGE </w:instrText>
    </w:r>
    <w:r>
      <w:rPr>
        <w:rStyle w:val="PageNumber"/>
      </w:rPr>
      <w:fldChar w:fldCharType="separate"/>
    </w:r>
    <w:r w:rsidR="00022BDB">
      <w:rPr>
        <w:rStyle w:val="PageNumber"/>
        <w:noProof/>
      </w:rPr>
      <w:t>42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F079" w14:textId="7F64E2DD" w:rsidR="00E35BE5" w:rsidRPr="000B7195" w:rsidRDefault="00E35BE5" w:rsidP="007D3701">
    <w:pPr>
      <w:pStyle w:val="JuHeader"/>
    </w:pPr>
    <w:r>
      <w:fldChar w:fldCharType="begin"/>
    </w:r>
    <w:r>
      <w:instrText xml:space="preserve"> PAGE </w:instrText>
    </w:r>
    <w:r>
      <w:fldChar w:fldCharType="separate"/>
    </w:r>
    <w:r w:rsidR="00022BDB">
      <w:rPr>
        <w:noProof/>
      </w:rPr>
      <w:t>41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BB93A" w14:textId="77777777" w:rsidR="00380BCD" w:rsidRPr="00E67565" w:rsidRDefault="00380BCD" w:rsidP="0098410D">
      <w:r w:rsidRPr="00E67565">
        <w:separator/>
      </w:r>
    </w:p>
  </w:footnote>
  <w:footnote w:type="continuationSeparator" w:id="0">
    <w:p w14:paraId="74C40038" w14:textId="77777777" w:rsidR="00380BCD" w:rsidRPr="00E67565" w:rsidRDefault="00380BCD" w:rsidP="0098410D">
      <w:r w:rsidRPr="00E675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01F9" w14:textId="29562135" w:rsidR="00E35BE5" w:rsidRPr="00A45145" w:rsidRDefault="00E35BE5" w:rsidP="00C44F49">
    <w:pPr>
      <w:jc w:val="center"/>
    </w:pPr>
    <w:r>
      <w:rPr>
        <w:noProof/>
        <w:lang w:eastAsia="ro-RO"/>
      </w:rPr>
      <w:drawing>
        <wp:inline distT="0" distB="0" distL="0" distR="0" wp14:anchorId="48F85525" wp14:editId="79E73605">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D3A6B7F" w14:textId="361045E5" w:rsidR="00E35BE5" w:rsidRPr="00E67565" w:rsidRDefault="00E35BE5" w:rsidP="00C44F49">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E87D" w14:textId="77777777" w:rsidR="00E35BE5" w:rsidRPr="007B6E0D" w:rsidRDefault="00E35BE5" w:rsidP="00C44F49">
    <w:pPr>
      <w:jc w:val="right"/>
      <w:rPr>
        <w:i/>
        <w:noProof/>
      </w:rPr>
    </w:pPr>
    <w:r>
      <w:rPr>
        <w:i/>
      </w:rPr>
      <w:t>Tradus și revizuit de IER (http://ier.gov.ro/)</w:t>
    </w:r>
  </w:p>
  <w:p w14:paraId="2BC16468" w14:textId="77777777" w:rsidR="00E35BE5" w:rsidRDefault="00E35BE5" w:rsidP="00C44F49">
    <w:pPr>
      <w:jc w:val="center"/>
      <w:rPr>
        <w:noProof/>
        <w:lang w:eastAsia="ro-RO"/>
      </w:rPr>
    </w:pPr>
  </w:p>
  <w:p w14:paraId="2FF83F6C" w14:textId="7AA1C9A3" w:rsidR="00E35BE5" w:rsidRPr="00A45145" w:rsidRDefault="00E35BE5" w:rsidP="00C44F49">
    <w:pPr>
      <w:jc w:val="center"/>
    </w:pPr>
    <w:r>
      <w:rPr>
        <w:noProof/>
        <w:lang w:eastAsia="ro-RO"/>
      </w:rPr>
      <w:drawing>
        <wp:inline distT="0" distB="0" distL="0" distR="0" wp14:anchorId="34DFEC44" wp14:editId="0D77BB9B">
          <wp:extent cx="2962275" cy="1219200"/>
          <wp:effectExtent l="0" t="0" r="9525" b="0"/>
          <wp:docPr id="35" name="Picture 3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CF3BCE0" w14:textId="4564E70D" w:rsidR="00E35BE5" w:rsidRPr="00E67565" w:rsidRDefault="00E35BE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4B6BA" w14:textId="4D2F50A0" w:rsidR="00E35BE5" w:rsidRPr="004D0EC7" w:rsidRDefault="00E35BE5" w:rsidP="004D0EC7">
    <w:pPr>
      <w:pStyle w:val="JuHeader"/>
    </w:pPr>
    <w:r>
      <w:t>HOTĂRÂREA STANCU ȘI ALȚII ÎMPOTRIVA ROMÂNIEI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96FDB" w14:textId="5F36E559" w:rsidR="00E35BE5" w:rsidRPr="00882CD5" w:rsidRDefault="00E35BE5" w:rsidP="007D3701">
    <w:pPr>
      <w:pStyle w:val="JuHeader"/>
    </w:pPr>
    <w:r>
      <w:t>HOTĂRÂREA STANCU ȘI ALȚII ÎMPOTRIVA ROMÂNIEI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9651" w14:textId="31A91086" w:rsidR="00E35BE5" w:rsidRPr="004D0EC7" w:rsidRDefault="00E35BE5" w:rsidP="004D0EC7">
    <w:pPr>
      <w:pStyle w:val="JuHeader"/>
    </w:pPr>
    <w:r>
      <w:t>HOTĂRÂREA STANCU ȘI ALȚII ÎMPOTRIVA ROMÂNIEI – OPINIE SEPARATĂ</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BEF0" w14:textId="3DEBA0C6" w:rsidR="00E35BE5" w:rsidRPr="00882CD5" w:rsidRDefault="00E35BE5" w:rsidP="007D3701">
    <w:pPr>
      <w:pStyle w:val="JuHeader"/>
    </w:pPr>
    <w:r>
      <w:t>HOTĂRÂREA STANCU ȘI ALȚII ÎMPOTRIVA ROMÂNIEI – OPINIE SEPARATĂ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16cid:durableId="1686057672">
    <w:abstractNumId w:val="17"/>
  </w:num>
  <w:num w:numId="2" w16cid:durableId="330110745">
    <w:abstractNumId w:val="19"/>
  </w:num>
  <w:num w:numId="3" w16cid:durableId="3675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4952035">
    <w:abstractNumId w:val="14"/>
  </w:num>
  <w:num w:numId="5" w16cid:durableId="1094327692">
    <w:abstractNumId w:val="12"/>
  </w:num>
  <w:num w:numId="6" w16cid:durableId="698701276">
    <w:abstractNumId w:val="11"/>
  </w:num>
  <w:num w:numId="7" w16cid:durableId="2134470717">
    <w:abstractNumId w:val="18"/>
  </w:num>
  <w:num w:numId="8" w16cid:durableId="1945455753">
    <w:abstractNumId w:val="7"/>
  </w:num>
  <w:num w:numId="9" w16cid:durableId="419447558">
    <w:abstractNumId w:val="6"/>
  </w:num>
  <w:num w:numId="10" w16cid:durableId="1732116515">
    <w:abstractNumId w:val="5"/>
  </w:num>
  <w:num w:numId="11" w16cid:durableId="128791268">
    <w:abstractNumId w:val="4"/>
  </w:num>
  <w:num w:numId="12" w16cid:durableId="413019407">
    <w:abstractNumId w:val="8"/>
  </w:num>
  <w:num w:numId="13" w16cid:durableId="2136869678">
    <w:abstractNumId w:val="3"/>
  </w:num>
  <w:num w:numId="14" w16cid:durableId="1682775761">
    <w:abstractNumId w:val="2"/>
  </w:num>
  <w:num w:numId="15" w16cid:durableId="1071463150">
    <w:abstractNumId w:val="1"/>
  </w:num>
  <w:num w:numId="16" w16cid:durableId="163976403">
    <w:abstractNumId w:val="0"/>
  </w:num>
  <w:num w:numId="17" w16cid:durableId="1732075867">
    <w:abstractNumId w:val="15"/>
  </w:num>
  <w:num w:numId="18" w16cid:durableId="1202280562">
    <w:abstractNumId w:val="13"/>
  </w:num>
  <w:num w:numId="19" w16cid:durableId="1249345123">
    <w:abstractNumId w:val="16"/>
  </w:num>
  <w:num w:numId="20" w16cid:durableId="1969165576">
    <w:abstractNumId w:val="15"/>
  </w:num>
  <w:num w:numId="21" w16cid:durableId="1105465680">
    <w:abstractNumId w:val="16"/>
  </w:num>
  <w:num w:numId="22" w16cid:durableId="1216160126">
    <w:abstractNumId w:val="10"/>
  </w:num>
  <w:num w:numId="23" w16cid:durableId="488517341">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EMM" w:val="0"/>
    <w:docVar w:name="NBEMMDOC" w:val="0"/>
    <w:docVar w:name="Plural" w:val="3"/>
  </w:docVars>
  <w:rsids>
    <w:rsidRoot w:val="009A5F22"/>
    <w:rsid w:val="00000FB0"/>
    <w:rsid w:val="000041F8"/>
    <w:rsid w:val="000042A8"/>
    <w:rsid w:val="00004308"/>
    <w:rsid w:val="00005BF0"/>
    <w:rsid w:val="0000617D"/>
    <w:rsid w:val="00007154"/>
    <w:rsid w:val="000103AE"/>
    <w:rsid w:val="00011D69"/>
    <w:rsid w:val="00012AD3"/>
    <w:rsid w:val="00015C2D"/>
    <w:rsid w:val="00015F00"/>
    <w:rsid w:val="00022BDB"/>
    <w:rsid w:val="00022C1D"/>
    <w:rsid w:val="00031428"/>
    <w:rsid w:val="00034987"/>
    <w:rsid w:val="00041560"/>
    <w:rsid w:val="000602DF"/>
    <w:rsid w:val="00061B05"/>
    <w:rsid w:val="000632D5"/>
    <w:rsid w:val="000644EE"/>
    <w:rsid w:val="0007780A"/>
    <w:rsid w:val="00084CD8"/>
    <w:rsid w:val="00085457"/>
    <w:rsid w:val="000925AD"/>
    <w:rsid w:val="00096FE1"/>
    <w:rsid w:val="00097A62"/>
    <w:rsid w:val="000A24EB"/>
    <w:rsid w:val="000B686A"/>
    <w:rsid w:val="000B6923"/>
    <w:rsid w:val="000B7195"/>
    <w:rsid w:val="000C5F3C"/>
    <w:rsid w:val="000C6DCC"/>
    <w:rsid w:val="000D1F9A"/>
    <w:rsid w:val="000D47AA"/>
    <w:rsid w:val="000D721F"/>
    <w:rsid w:val="000E069B"/>
    <w:rsid w:val="000E0E82"/>
    <w:rsid w:val="000E1DC5"/>
    <w:rsid w:val="000E223F"/>
    <w:rsid w:val="000E46B8"/>
    <w:rsid w:val="000E7D45"/>
    <w:rsid w:val="000F7851"/>
    <w:rsid w:val="00101505"/>
    <w:rsid w:val="00104E23"/>
    <w:rsid w:val="00110DA8"/>
    <w:rsid w:val="00111B0C"/>
    <w:rsid w:val="00114643"/>
    <w:rsid w:val="00120D6C"/>
    <w:rsid w:val="001257EC"/>
    <w:rsid w:val="00133D33"/>
    <w:rsid w:val="00134B6A"/>
    <w:rsid w:val="00134D64"/>
    <w:rsid w:val="00135A30"/>
    <w:rsid w:val="0013612C"/>
    <w:rsid w:val="00137FF6"/>
    <w:rsid w:val="00141650"/>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6B5"/>
    <w:rsid w:val="001C2A42"/>
    <w:rsid w:val="001D63ED"/>
    <w:rsid w:val="001D7348"/>
    <w:rsid w:val="001E035B"/>
    <w:rsid w:val="001E0961"/>
    <w:rsid w:val="001E3EAE"/>
    <w:rsid w:val="001E6857"/>
    <w:rsid w:val="001E6F32"/>
    <w:rsid w:val="001F2145"/>
    <w:rsid w:val="001F6262"/>
    <w:rsid w:val="001F67B0"/>
    <w:rsid w:val="001F7B3D"/>
    <w:rsid w:val="002012FB"/>
    <w:rsid w:val="00202752"/>
    <w:rsid w:val="0020335A"/>
    <w:rsid w:val="002052BC"/>
    <w:rsid w:val="00205F9F"/>
    <w:rsid w:val="00210338"/>
    <w:rsid w:val="002115FC"/>
    <w:rsid w:val="0021423C"/>
    <w:rsid w:val="00230D00"/>
    <w:rsid w:val="00231DF7"/>
    <w:rsid w:val="00231FD1"/>
    <w:rsid w:val="002339E0"/>
    <w:rsid w:val="00233CF8"/>
    <w:rsid w:val="0023575D"/>
    <w:rsid w:val="00236F71"/>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A7AED"/>
    <w:rsid w:val="002B444B"/>
    <w:rsid w:val="002B5887"/>
    <w:rsid w:val="002C0E27"/>
    <w:rsid w:val="002C3040"/>
    <w:rsid w:val="002C3F37"/>
    <w:rsid w:val="002C4433"/>
    <w:rsid w:val="002C5ADD"/>
    <w:rsid w:val="002C7826"/>
    <w:rsid w:val="002D022D"/>
    <w:rsid w:val="002D24BB"/>
    <w:rsid w:val="002D2FA7"/>
    <w:rsid w:val="002D41A5"/>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0BCD"/>
    <w:rsid w:val="00385A36"/>
    <w:rsid w:val="00385F3D"/>
    <w:rsid w:val="0038740C"/>
    <w:rsid w:val="00387B9D"/>
    <w:rsid w:val="00387C70"/>
    <w:rsid w:val="00390294"/>
    <w:rsid w:val="0039364F"/>
    <w:rsid w:val="00396686"/>
    <w:rsid w:val="0039778E"/>
    <w:rsid w:val="003B1F76"/>
    <w:rsid w:val="003B4941"/>
    <w:rsid w:val="003B5D0C"/>
    <w:rsid w:val="003C5714"/>
    <w:rsid w:val="003C6B9F"/>
    <w:rsid w:val="003C6E2A"/>
    <w:rsid w:val="003C73E4"/>
    <w:rsid w:val="003D0299"/>
    <w:rsid w:val="003E6D80"/>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E7E4D"/>
    <w:rsid w:val="004F10AF"/>
    <w:rsid w:val="004F11A4"/>
    <w:rsid w:val="004F2389"/>
    <w:rsid w:val="004F304D"/>
    <w:rsid w:val="004F4290"/>
    <w:rsid w:val="004F443A"/>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4369"/>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43524"/>
    <w:rsid w:val="0064393B"/>
    <w:rsid w:val="00645CF2"/>
    <w:rsid w:val="006545C4"/>
    <w:rsid w:val="00660741"/>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566E"/>
    <w:rsid w:val="00763602"/>
    <w:rsid w:val="00764D4E"/>
    <w:rsid w:val="00765A1F"/>
    <w:rsid w:val="00775B6D"/>
    <w:rsid w:val="00776D68"/>
    <w:rsid w:val="007809D6"/>
    <w:rsid w:val="0078323E"/>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B02DC"/>
    <w:rsid w:val="008B092C"/>
    <w:rsid w:val="008B57CE"/>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747"/>
    <w:rsid w:val="00941EFB"/>
    <w:rsid w:val="00944E68"/>
    <w:rsid w:val="00947AFB"/>
    <w:rsid w:val="00951AA3"/>
    <w:rsid w:val="00951D7D"/>
    <w:rsid w:val="00956D0C"/>
    <w:rsid w:val="009619D1"/>
    <w:rsid w:val="009630C7"/>
    <w:rsid w:val="00972B55"/>
    <w:rsid w:val="009743B7"/>
    <w:rsid w:val="009811F7"/>
    <w:rsid w:val="0098228B"/>
    <w:rsid w:val="009828DA"/>
    <w:rsid w:val="0098410D"/>
    <w:rsid w:val="00985BAB"/>
    <w:rsid w:val="00986B3C"/>
    <w:rsid w:val="00991FB8"/>
    <w:rsid w:val="009A115C"/>
    <w:rsid w:val="009A5F22"/>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7333B"/>
    <w:rsid w:val="00A81FFB"/>
    <w:rsid w:val="00A82359"/>
    <w:rsid w:val="00A865D2"/>
    <w:rsid w:val="00A90BCD"/>
    <w:rsid w:val="00A94C20"/>
    <w:rsid w:val="00A96219"/>
    <w:rsid w:val="00AA1B09"/>
    <w:rsid w:val="00AA227F"/>
    <w:rsid w:val="00AA3BC7"/>
    <w:rsid w:val="00AA754A"/>
    <w:rsid w:val="00AB099E"/>
    <w:rsid w:val="00AB4328"/>
    <w:rsid w:val="00AC4CD4"/>
    <w:rsid w:val="00AE0A2E"/>
    <w:rsid w:val="00AE354C"/>
    <w:rsid w:val="00AF4B07"/>
    <w:rsid w:val="00AF6186"/>
    <w:rsid w:val="00AF7A3A"/>
    <w:rsid w:val="00B02587"/>
    <w:rsid w:val="00B049D1"/>
    <w:rsid w:val="00B160DB"/>
    <w:rsid w:val="00B20836"/>
    <w:rsid w:val="00B235BB"/>
    <w:rsid w:val="00B27A44"/>
    <w:rsid w:val="00B30BBF"/>
    <w:rsid w:val="00B33C03"/>
    <w:rsid w:val="00B4421F"/>
    <w:rsid w:val="00B44E56"/>
    <w:rsid w:val="00B45917"/>
    <w:rsid w:val="00B46543"/>
    <w:rsid w:val="00B47D33"/>
    <w:rsid w:val="00B52BE0"/>
    <w:rsid w:val="00B54133"/>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6BBF"/>
    <w:rsid w:val="00BD1572"/>
    <w:rsid w:val="00BE14E3"/>
    <w:rsid w:val="00BE3774"/>
    <w:rsid w:val="00BE41E5"/>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37347"/>
    <w:rsid w:val="00C41974"/>
    <w:rsid w:val="00C44A2C"/>
    <w:rsid w:val="00C44F09"/>
    <w:rsid w:val="00C44F49"/>
    <w:rsid w:val="00C477F7"/>
    <w:rsid w:val="00C509A6"/>
    <w:rsid w:val="00C53F4A"/>
    <w:rsid w:val="00C54125"/>
    <w:rsid w:val="00C55B54"/>
    <w:rsid w:val="00C6098E"/>
    <w:rsid w:val="00C6152C"/>
    <w:rsid w:val="00C66FCB"/>
    <w:rsid w:val="00C7421A"/>
    <w:rsid w:val="00C74810"/>
    <w:rsid w:val="00C82C34"/>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8008E"/>
    <w:rsid w:val="00D82C45"/>
    <w:rsid w:val="00D908A8"/>
    <w:rsid w:val="00D977B6"/>
    <w:rsid w:val="00DA1223"/>
    <w:rsid w:val="00DA4A31"/>
    <w:rsid w:val="00DA7B04"/>
    <w:rsid w:val="00DB36C2"/>
    <w:rsid w:val="00DC10A9"/>
    <w:rsid w:val="00DC169B"/>
    <w:rsid w:val="00DC2AB9"/>
    <w:rsid w:val="00DC63F0"/>
    <w:rsid w:val="00DC7CBA"/>
    <w:rsid w:val="00DD37EA"/>
    <w:rsid w:val="00DD5431"/>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02CF"/>
    <w:rsid w:val="00E32AB1"/>
    <w:rsid w:val="00E35BE5"/>
    <w:rsid w:val="00E36C71"/>
    <w:rsid w:val="00E40404"/>
    <w:rsid w:val="00E4126A"/>
    <w:rsid w:val="00E42A06"/>
    <w:rsid w:val="00E459C6"/>
    <w:rsid w:val="00E47589"/>
    <w:rsid w:val="00E63EC7"/>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7396"/>
    <w:rsid w:val="00EA185E"/>
    <w:rsid w:val="00EA592A"/>
    <w:rsid w:val="00EB029B"/>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227"/>
    <w:rsid w:val="00EF36C5"/>
    <w:rsid w:val="00EF3DB4"/>
    <w:rsid w:val="00EF6EE3"/>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266FB"/>
    <w:rsid w:val="00F32269"/>
    <w:rsid w:val="00F35B7A"/>
    <w:rsid w:val="00F56A6F"/>
    <w:rsid w:val="00F5709C"/>
    <w:rsid w:val="00F60B85"/>
    <w:rsid w:val="00F64EF1"/>
    <w:rsid w:val="00F72B14"/>
    <w:rsid w:val="00F7349B"/>
    <w:rsid w:val="00F8765F"/>
    <w:rsid w:val="00F90767"/>
    <w:rsid w:val="00F9263C"/>
    <w:rsid w:val="00FA1637"/>
    <w:rsid w:val="00FA5EBB"/>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B61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084CD8"/>
    <w:rPr>
      <w:sz w:val="24"/>
      <w:szCs w:val="24"/>
    </w:rPr>
  </w:style>
  <w:style w:type="paragraph" w:styleId="Heading1">
    <w:name w:val="heading 1"/>
    <w:basedOn w:val="Normal"/>
    <w:next w:val="Normal"/>
    <w:link w:val="Heading1Char"/>
    <w:uiPriority w:val="98"/>
    <w:semiHidden/>
    <w:rsid w:val="000D1F9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0D1F9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0D1F9A"/>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0D1F9A"/>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0D1F9A"/>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0D1F9A"/>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0D1F9A"/>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0D1F9A"/>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0D1F9A"/>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0D1F9A"/>
    <w:rPr>
      <w:rFonts w:ascii="Tahoma" w:hAnsi="Tahoma" w:cs="Tahoma"/>
      <w:sz w:val="16"/>
      <w:szCs w:val="16"/>
    </w:rPr>
  </w:style>
  <w:style w:type="character" w:customStyle="1" w:styleId="BalloonTextChar">
    <w:name w:val="Balloon Text Char"/>
    <w:basedOn w:val="DefaultParagraphFont"/>
    <w:link w:val="BalloonText"/>
    <w:uiPriority w:val="98"/>
    <w:semiHidden/>
    <w:rsid w:val="000D1F9A"/>
    <w:rPr>
      <w:rFonts w:ascii="Tahoma" w:hAnsi="Tahoma" w:cs="Tahoma"/>
      <w:sz w:val="16"/>
      <w:szCs w:val="16"/>
      <w:lang w:val="ro-RO"/>
    </w:rPr>
  </w:style>
  <w:style w:type="character" w:styleId="BookTitle">
    <w:name w:val="Book Title"/>
    <w:uiPriority w:val="98"/>
    <w:semiHidden/>
    <w:qFormat/>
    <w:rsid w:val="000D1F9A"/>
    <w:rPr>
      <w:i/>
      <w:iCs/>
      <w:smallCaps/>
      <w:spacing w:val="5"/>
    </w:rPr>
  </w:style>
  <w:style w:type="paragraph" w:customStyle="1" w:styleId="JuHeader">
    <w:name w:val="Ju_Header"/>
    <w:aliases w:val="_Header"/>
    <w:basedOn w:val="Header"/>
    <w:uiPriority w:val="29"/>
    <w:qFormat/>
    <w:rsid w:val="000D1F9A"/>
    <w:pPr>
      <w:tabs>
        <w:tab w:val="clear" w:pos="4536"/>
        <w:tab w:val="clear" w:pos="9072"/>
      </w:tabs>
      <w:jc w:val="center"/>
    </w:pPr>
    <w:rPr>
      <w:sz w:val="18"/>
    </w:rPr>
  </w:style>
  <w:style w:type="paragraph" w:customStyle="1" w:styleId="NormalJustified">
    <w:name w:val="Normal_Justified"/>
    <w:basedOn w:val="Normal"/>
    <w:semiHidden/>
    <w:rsid w:val="000D1F9A"/>
    <w:pPr>
      <w:jc w:val="both"/>
    </w:pPr>
  </w:style>
  <w:style w:type="character" w:styleId="Strong">
    <w:name w:val="Strong"/>
    <w:uiPriority w:val="98"/>
    <w:semiHidden/>
    <w:qFormat/>
    <w:rsid w:val="000D1F9A"/>
    <w:rPr>
      <w:b/>
      <w:bCs/>
    </w:rPr>
  </w:style>
  <w:style w:type="paragraph" w:styleId="NoSpacing">
    <w:name w:val="No Spacing"/>
    <w:basedOn w:val="Normal"/>
    <w:link w:val="NoSpacingChar"/>
    <w:uiPriority w:val="98"/>
    <w:semiHidden/>
    <w:qFormat/>
    <w:rsid w:val="000D1F9A"/>
  </w:style>
  <w:style w:type="character" w:customStyle="1" w:styleId="NoSpacingChar">
    <w:name w:val="No Spacing Char"/>
    <w:basedOn w:val="DefaultParagraphFont"/>
    <w:link w:val="NoSpacing"/>
    <w:uiPriority w:val="98"/>
    <w:semiHidden/>
    <w:rsid w:val="000D1F9A"/>
    <w:rPr>
      <w:sz w:val="24"/>
      <w:szCs w:val="24"/>
      <w:lang w:val="ro-RO"/>
    </w:rPr>
  </w:style>
  <w:style w:type="paragraph" w:customStyle="1" w:styleId="JuQuot">
    <w:name w:val="Ju_Quot"/>
    <w:aliases w:val="_Quote"/>
    <w:basedOn w:val="NormalJustified"/>
    <w:link w:val="JuQuotChar"/>
    <w:uiPriority w:val="20"/>
    <w:qFormat/>
    <w:rsid w:val="000D1F9A"/>
    <w:pPr>
      <w:spacing w:before="120" w:after="120"/>
      <w:ind w:left="425" w:firstLine="142"/>
    </w:pPr>
    <w:rPr>
      <w:sz w:val="20"/>
    </w:rPr>
  </w:style>
  <w:style w:type="paragraph" w:customStyle="1" w:styleId="DummyStyle">
    <w:name w:val="Dummy_Style"/>
    <w:aliases w:val="_Dummy"/>
    <w:basedOn w:val="Normal"/>
    <w:semiHidden/>
    <w:qFormat/>
    <w:rsid w:val="000D1F9A"/>
    <w:rPr>
      <w:color w:val="00B050"/>
      <w:sz w:val="22"/>
    </w:rPr>
  </w:style>
  <w:style w:type="paragraph" w:customStyle="1" w:styleId="JuList">
    <w:name w:val="Ju_List"/>
    <w:aliases w:val="_List_1"/>
    <w:basedOn w:val="NormalJustified"/>
    <w:link w:val="JuListChar"/>
    <w:uiPriority w:val="23"/>
    <w:qFormat/>
    <w:rsid w:val="000D1F9A"/>
    <w:pPr>
      <w:numPr>
        <w:numId w:val="23"/>
      </w:numPr>
      <w:spacing w:before="280" w:after="60"/>
    </w:pPr>
  </w:style>
  <w:style w:type="paragraph" w:customStyle="1" w:styleId="JuLista">
    <w:name w:val="Ju_List_a"/>
    <w:aliases w:val="_List_2"/>
    <w:basedOn w:val="NormalJustified"/>
    <w:uiPriority w:val="23"/>
    <w:rsid w:val="000D1F9A"/>
    <w:pPr>
      <w:numPr>
        <w:ilvl w:val="1"/>
        <w:numId w:val="23"/>
      </w:numPr>
    </w:pPr>
  </w:style>
  <w:style w:type="paragraph" w:customStyle="1" w:styleId="JuListi">
    <w:name w:val="Ju_List_i"/>
    <w:aliases w:val="_List_3"/>
    <w:basedOn w:val="NormalJustified"/>
    <w:uiPriority w:val="23"/>
    <w:rsid w:val="000D1F9A"/>
    <w:pPr>
      <w:numPr>
        <w:ilvl w:val="2"/>
        <w:numId w:val="23"/>
      </w:numPr>
    </w:pPr>
  </w:style>
  <w:style w:type="paragraph" w:customStyle="1" w:styleId="JuHArticle">
    <w:name w:val="Ju_H_Article"/>
    <w:aliases w:val="_Title_Quote"/>
    <w:basedOn w:val="Normal"/>
    <w:next w:val="JuQuot"/>
    <w:uiPriority w:val="19"/>
    <w:qFormat/>
    <w:rsid w:val="000D1F9A"/>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0D1F9A"/>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0D1F9A"/>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0D1F9A"/>
    <w:pPr>
      <w:keepNext/>
      <w:keepLines/>
      <w:numPr>
        <w:numId w:val="22"/>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0D1F9A"/>
    <w:pPr>
      <w:numPr>
        <w:numId w:val="17"/>
      </w:numPr>
    </w:pPr>
  </w:style>
  <w:style w:type="paragraph" w:customStyle="1" w:styleId="JuSigned">
    <w:name w:val="Ju_Signed"/>
    <w:aliases w:val="_Signature"/>
    <w:basedOn w:val="Normal"/>
    <w:next w:val="JuPara"/>
    <w:uiPriority w:val="31"/>
    <w:qFormat/>
    <w:rsid w:val="000D1F9A"/>
    <w:pPr>
      <w:tabs>
        <w:tab w:val="center" w:pos="1418"/>
        <w:tab w:val="center" w:pos="5954"/>
      </w:tabs>
      <w:spacing w:before="720"/>
    </w:pPr>
  </w:style>
  <w:style w:type="paragraph" w:styleId="Title">
    <w:name w:val="Title"/>
    <w:basedOn w:val="Normal"/>
    <w:next w:val="Normal"/>
    <w:link w:val="TitleChar"/>
    <w:uiPriority w:val="98"/>
    <w:semiHidden/>
    <w:qFormat/>
    <w:rsid w:val="000D1F9A"/>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0D1F9A"/>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0D1F9A"/>
    <w:pPr>
      <w:numPr>
        <w:numId w:val="18"/>
      </w:numPr>
    </w:pPr>
  </w:style>
  <w:style w:type="numbering" w:customStyle="1" w:styleId="ECHRA1StyleNumberedList">
    <w:name w:val="ECHR_A1_Style_Numbered_List"/>
    <w:basedOn w:val="NoList"/>
    <w:rsid w:val="000D1F9A"/>
    <w:pPr>
      <w:numPr>
        <w:numId w:val="19"/>
      </w:numPr>
    </w:pPr>
  </w:style>
  <w:style w:type="table" w:customStyle="1" w:styleId="ECHRTable2019">
    <w:name w:val="ECHR_Table_2019"/>
    <w:basedOn w:val="TableNormal"/>
    <w:uiPriority w:val="99"/>
    <w:rsid w:val="000D1F9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0D1F9A"/>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0D1F9A"/>
    <w:pPr>
      <w:keepNext/>
      <w:keepLines/>
      <w:numPr>
        <w:ilvl w:val="1"/>
        <w:numId w:val="2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0D1F9A"/>
    <w:pPr>
      <w:keepNext/>
      <w:keepLines/>
      <w:numPr>
        <w:ilvl w:val="2"/>
        <w:numId w:val="2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0D1F9A"/>
    <w:pPr>
      <w:keepNext/>
      <w:keepLines/>
      <w:numPr>
        <w:ilvl w:val="3"/>
        <w:numId w:val="22"/>
      </w:numPr>
      <w:spacing w:before="100" w:beforeAutospacing="1" w:after="120"/>
      <w:jc w:val="both"/>
    </w:pPr>
    <w:rPr>
      <w:b w:val="0"/>
      <w:color w:val="auto"/>
      <w:sz w:val="24"/>
    </w:rPr>
  </w:style>
  <w:style w:type="paragraph" w:styleId="Header">
    <w:name w:val="header"/>
    <w:basedOn w:val="Normal"/>
    <w:link w:val="HeaderChar"/>
    <w:uiPriority w:val="98"/>
    <w:semiHidden/>
    <w:rsid w:val="000D1F9A"/>
    <w:pPr>
      <w:tabs>
        <w:tab w:val="center" w:pos="4536"/>
        <w:tab w:val="right" w:pos="9072"/>
      </w:tabs>
    </w:pPr>
  </w:style>
  <w:style w:type="character" w:customStyle="1" w:styleId="HeaderChar">
    <w:name w:val="Header Char"/>
    <w:basedOn w:val="DefaultParagraphFont"/>
    <w:link w:val="Header"/>
    <w:uiPriority w:val="98"/>
    <w:semiHidden/>
    <w:rsid w:val="000D1F9A"/>
    <w:rPr>
      <w:sz w:val="24"/>
      <w:szCs w:val="24"/>
      <w:lang w:val="ro-RO"/>
    </w:rPr>
  </w:style>
  <w:style w:type="character" w:customStyle="1" w:styleId="Heading1Char">
    <w:name w:val="Heading 1 Char"/>
    <w:basedOn w:val="DefaultParagraphFont"/>
    <w:link w:val="Heading1"/>
    <w:uiPriority w:val="98"/>
    <w:semiHidden/>
    <w:rsid w:val="000D1F9A"/>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0D1F9A"/>
    <w:pPr>
      <w:keepNext/>
      <w:keepLines/>
      <w:numPr>
        <w:ilvl w:val="4"/>
        <w:numId w:val="22"/>
      </w:numPr>
      <w:spacing w:before="100" w:beforeAutospacing="1" w:after="120"/>
      <w:jc w:val="both"/>
    </w:pPr>
    <w:rPr>
      <w:color w:val="auto"/>
      <w:sz w:val="20"/>
    </w:rPr>
  </w:style>
  <w:style w:type="paragraph" w:customStyle="1" w:styleId="JuHi">
    <w:name w:val="Ju_H_i"/>
    <w:aliases w:val="_Head_6"/>
    <w:basedOn w:val="Heading6"/>
    <w:next w:val="JuPara"/>
    <w:uiPriority w:val="17"/>
    <w:rsid w:val="000D1F9A"/>
    <w:pPr>
      <w:keepNext/>
      <w:keepLines/>
      <w:numPr>
        <w:ilvl w:val="5"/>
        <w:numId w:val="22"/>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0D1F9A"/>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0D1F9A"/>
    <w:pPr>
      <w:keepNext/>
      <w:keepLines/>
      <w:numPr>
        <w:ilvl w:val="6"/>
        <w:numId w:val="2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0D1F9A"/>
    <w:pPr>
      <w:keepNext/>
      <w:keepLines/>
      <w:numPr>
        <w:ilvl w:val="7"/>
        <w:numId w:val="22"/>
      </w:numPr>
      <w:spacing w:before="100" w:beforeAutospacing="1" w:after="120"/>
      <w:jc w:val="both"/>
    </w:pPr>
    <w:rPr>
      <w:i/>
    </w:rPr>
  </w:style>
  <w:style w:type="character" w:customStyle="1" w:styleId="Heading3Char">
    <w:name w:val="Heading 3 Char"/>
    <w:basedOn w:val="DefaultParagraphFont"/>
    <w:link w:val="Heading3"/>
    <w:uiPriority w:val="98"/>
    <w:semiHidden/>
    <w:rsid w:val="000D1F9A"/>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0D1F9A"/>
    <w:pPr>
      <w:keepNext/>
      <w:keepLines/>
      <w:spacing w:before="240" w:after="240"/>
      <w:ind w:firstLine="284"/>
    </w:pPr>
  </w:style>
  <w:style w:type="paragraph" w:customStyle="1" w:styleId="JuJudges">
    <w:name w:val="Ju_Judges"/>
    <w:aliases w:val="_Judges"/>
    <w:basedOn w:val="Normal"/>
    <w:uiPriority w:val="32"/>
    <w:qFormat/>
    <w:rsid w:val="000D1F9A"/>
    <w:pPr>
      <w:tabs>
        <w:tab w:val="left" w:pos="567"/>
        <w:tab w:val="left" w:pos="1134"/>
      </w:tabs>
    </w:pPr>
  </w:style>
  <w:style w:type="character" w:customStyle="1" w:styleId="Heading4Char">
    <w:name w:val="Heading 4 Char"/>
    <w:basedOn w:val="DefaultParagraphFont"/>
    <w:link w:val="Heading4"/>
    <w:uiPriority w:val="98"/>
    <w:semiHidden/>
    <w:rsid w:val="000D1F9A"/>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0D1F9A"/>
    <w:pPr>
      <w:tabs>
        <w:tab w:val="center" w:pos="6407"/>
      </w:tabs>
      <w:spacing w:before="720"/>
      <w:jc w:val="right"/>
    </w:pPr>
  </w:style>
  <w:style w:type="character" w:customStyle="1" w:styleId="Heading5Char">
    <w:name w:val="Heading 5 Char"/>
    <w:basedOn w:val="DefaultParagraphFont"/>
    <w:link w:val="Heading5"/>
    <w:uiPriority w:val="98"/>
    <w:semiHidden/>
    <w:rsid w:val="000D1F9A"/>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0D1F9A"/>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0D1F9A"/>
    <w:rPr>
      <w:caps w:val="0"/>
      <w:smallCaps/>
    </w:rPr>
  </w:style>
  <w:style w:type="character" w:styleId="SubtleEmphasis">
    <w:name w:val="Subtle Emphasis"/>
    <w:uiPriority w:val="98"/>
    <w:semiHidden/>
    <w:qFormat/>
    <w:rsid w:val="000D1F9A"/>
    <w:rPr>
      <w:i/>
      <w:iCs/>
    </w:rPr>
  </w:style>
  <w:style w:type="table" w:customStyle="1" w:styleId="ECHRTable">
    <w:name w:val="ECHR_Table"/>
    <w:basedOn w:val="TableNormal"/>
    <w:rsid w:val="000D1F9A"/>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0D1F9A"/>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0D1F9A"/>
    <w:rPr>
      <w:b/>
      <w:bCs/>
      <w:i/>
      <w:iCs/>
      <w:spacing w:val="10"/>
      <w:bdr w:val="none" w:sz="0" w:space="0" w:color="auto"/>
      <w:shd w:val="clear" w:color="auto" w:fill="auto"/>
    </w:rPr>
  </w:style>
  <w:style w:type="paragraph" w:styleId="Footer0">
    <w:name w:val="footer"/>
    <w:basedOn w:val="Normal"/>
    <w:link w:val="FooterChar"/>
    <w:uiPriority w:val="98"/>
    <w:semiHidden/>
    <w:rsid w:val="000D1F9A"/>
    <w:pPr>
      <w:tabs>
        <w:tab w:val="center" w:pos="3686"/>
        <w:tab w:val="right" w:pos="7371"/>
      </w:tabs>
    </w:pPr>
  </w:style>
  <w:style w:type="character" w:customStyle="1" w:styleId="FooterChar">
    <w:name w:val="Footer Char"/>
    <w:basedOn w:val="DefaultParagraphFont"/>
    <w:link w:val="Footer0"/>
    <w:uiPriority w:val="98"/>
    <w:semiHidden/>
    <w:rsid w:val="000D1F9A"/>
    <w:rPr>
      <w:sz w:val="24"/>
      <w:szCs w:val="24"/>
      <w:lang w:val="ro-RO"/>
    </w:rPr>
  </w:style>
  <w:style w:type="character" w:styleId="FootnoteReference">
    <w:name w:val="footnote reference"/>
    <w:basedOn w:val="DefaultParagraphFont"/>
    <w:uiPriority w:val="98"/>
    <w:semiHidden/>
    <w:rsid w:val="000D1F9A"/>
    <w:rPr>
      <w:vertAlign w:val="superscript"/>
    </w:rPr>
  </w:style>
  <w:style w:type="paragraph" w:styleId="FootnoteText">
    <w:name w:val="footnote text"/>
    <w:basedOn w:val="NormalJustified"/>
    <w:link w:val="FootnoteTextChar"/>
    <w:uiPriority w:val="98"/>
    <w:semiHidden/>
    <w:rsid w:val="000D1F9A"/>
    <w:rPr>
      <w:sz w:val="20"/>
      <w:szCs w:val="20"/>
    </w:rPr>
  </w:style>
  <w:style w:type="character" w:customStyle="1" w:styleId="FootnoteTextChar">
    <w:name w:val="Footnote Text Char"/>
    <w:basedOn w:val="DefaultParagraphFont"/>
    <w:link w:val="FootnoteText"/>
    <w:uiPriority w:val="98"/>
    <w:semiHidden/>
    <w:rsid w:val="000D1F9A"/>
    <w:rPr>
      <w:sz w:val="20"/>
      <w:szCs w:val="20"/>
      <w:lang w:val="ro-RO"/>
    </w:rPr>
  </w:style>
  <w:style w:type="character" w:customStyle="1" w:styleId="Heading6Char">
    <w:name w:val="Heading 6 Char"/>
    <w:basedOn w:val="DefaultParagraphFont"/>
    <w:link w:val="Heading6"/>
    <w:uiPriority w:val="98"/>
    <w:semiHidden/>
    <w:rsid w:val="000D1F9A"/>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0D1F9A"/>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0D1F9A"/>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0D1F9A"/>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0D1F9A"/>
    <w:rPr>
      <w:color w:val="0072BC" w:themeColor="hyperlink"/>
      <w:u w:val="single"/>
    </w:rPr>
  </w:style>
  <w:style w:type="character" w:styleId="IntenseEmphasis">
    <w:name w:val="Intense Emphasis"/>
    <w:uiPriority w:val="98"/>
    <w:semiHidden/>
    <w:qFormat/>
    <w:rsid w:val="000D1F9A"/>
    <w:rPr>
      <w:b/>
      <w:bCs/>
    </w:rPr>
  </w:style>
  <w:style w:type="paragraph" w:styleId="IntenseQuote">
    <w:name w:val="Intense Quote"/>
    <w:basedOn w:val="Normal"/>
    <w:next w:val="Normal"/>
    <w:link w:val="IntenseQuoteChar"/>
    <w:uiPriority w:val="98"/>
    <w:semiHidden/>
    <w:qFormat/>
    <w:rsid w:val="000D1F9A"/>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0D1F9A"/>
    <w:rPr>
      <w:b/>
      <w:bCs/>
      <w:i/>
      <w:iCs/>
      <w:sz w:val="24"/>
      <w:szCs w:val="24"/>
      <w:lang w:val="ro-RO" w:bidi="en-US"/>
    </w:rPr>
  </w:style>
  <w:style w:type="character" w:styleId="IntenseReference">
    <w:name w:val="Intense Reference"/>
    <w:uiPriority w:val="98"/>
    <w:semiHidden/>
    <w:qFormat/>
    <w:rsid w:val="000D1F9A"/>
    <w:rPr>
      <w:smallCaps/>
      <w:spacing w:val="5"/>
      <w:u w:val="single"/>
    </w:rPr>
  </w:style>
  <w:style w:type="paragraph" w:styleId="ListParagraph">
    <w:name w:val="List Paragraph"/>
    <w:basedOn w:val="Normal"/>
    <w:uiPriority w:val="98"/>
    <w:semiHidden/>
    <w:qFormat/>
    <w:rsid w:val="000D1F9A"/>
    <w:pPr>
      <w:ind w:left="720"/>
      <w:contextualSpacing/>
    </w:pPr>
  </w:style>
  <w:style w:type="table" w:customStyle="1" w:styleId="LtrTableAddress">
    <w:name w:val="Ltr_Table_Address"/>
    <w:aliases w:val="ECHR_Ltr_Table_Address"/>
    <w:basedOn w:val="TableNormal"/>
    <w:uiPriority w:val="99"/>
    <w:rsid w:val="000D1F9A"/>
    <w:rPr>
      <w:sz w:val="24"/>
      <w:szCs w:val="24"/>
    </w:rPr>
    <w:tblPr>
      <w:tblInd w:w="5103" w:type="dxa"/>
    </w:tblPr>
  </w:style>
  <w:style w:type="paragraph" w:styleId="Quote">
    <w:name w:val="Quote"/>
    <w:basedOn w:val="Normal"/>
    <w:next w:val="Normal"/>
    <w:link w:val="QuoteChar"/>
    <w:uiPriority w:val="98"/>
    <w:semiHidden/>
    <w:qFormat/>
    <w:rsid w:val="000D1F9A"/>
    <w:pPr>
      <w:spacing w:before="200"/>
      <w:ind w:left="360" w:right="360"/>
    </w:pPr>
    <w:rPr>
      <w:i/>
      <w:iCs/>
      <w:lang w:bidi="en-US"/>
    </w:rPr>
  </w:style>
  <w:style w:type="character" w:customStyle="1" w:styleId="QuoteChar">
    <w:name w:val="Quote Char"/>
    <w:basedOn w:val="DefaultParagraphFont"/>
    <w:link w:val="Quote"/>
    <w:uiPriority w:val="98"/>
    <w:semiHidden/>
    <w:rsid w:val="000D1F9A"/>
    <w:rPr>
      <w:i/>
      <w:iCs/>
      <w:sz w:val="24"/>
      <w:szCs w:val="24"/>
      <w:lang w:val="ro-RO" w:bidi="en-US"/>
    </w:rPr>
  </w:style>
  <w:style w:type="character" w:styleId="SubtleReference">
    <w:name w:val="Subtle Reference"/>
    <w:uiPriority w:val="98"/>
    <w:semiHidden/>
    <w:qFormat/>
    <w:rsid w:val="000D1F9A"/>
    <w:rPr>
      <w:smallCaps/>
    </w:rPr>
  </w:style>
  <w:style w:type="table" w:styleId="TableGrid">
    <w:name w:val="Table Grid"/>
    <w:basedOn w:val="TableNormal"/>
    <w:uiPriority w:val="59"/>
    <w:semiHidden/>
    <w:rsid w:val="000D1F9A"/>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0D1F9A"/>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0D1F9A"/>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0D1F9A"/>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0D1F9A"/>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0D1F9A"/>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0D1F9A"/>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0D1F9A"/>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0D1F9A"/>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0D1F9A"/>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0D1F9A"/>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0D1F9A"/>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0D1F9A"/>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0D1F9A"/>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0D1F9A"/>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0D1F9A"/>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0D1F9A"/>
    <w:pPr>
      <w:numPr>
        <w:numId w:val="4"/>
      </w:numPr>
    </w:pPr>
  </w:style>
  <w:style w:type="paragraph" w:customStyle="1" w:styleId="JuPara">
    <w:name w:val="Ju_Para"/>
    <w:aliases w:val="_Para"/>
    <w:basedOn w:val="NormalJustified"/>
    <w:link w:val="JuParaChar"/>
    <w:uiPriority w:val="4"/>
    <w:qFormat/>
    <w:rsid w:val="000D1F9A"/>
    <w:pPr>
      <w:ind w:firstLine="284"/>
    </w:pPr>
  </w:style>
  <w:style w:type="numbering" w:styleId="1ai">
    <w:name w:val="Outline List 1"/>
    <w:basedOn w:val="NoList"/>
    <w:uiPriority w:val="99"/>
    <w:semiHidden/>
    <w:unhideWhenUsed/>
    <w:rsid w:val="000D1F9A"/>
    <w:pPr>
      <w:numPr>
        <w:numId w:val="5"/>
      </w:numPr>
    </w:pPr>
  </w:style>
  <w:style w:type="table" w:customStyle="1" w:styleId="ECHRTableSimpleBox">
    <w:name w:val="ECHR_Table_Simple_Box"/>
    <w:basedOn w:val="TableNormal"/>
    <w:uiPriority w:val="99"/>
    <w:rsid w:val="000D1F9A"/>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0D1F9A"/>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0D1F9A"/>
    <w:pPr>
      <w:numPr>
        <w:numId w:val="6"/>
      </w:numPr>
    </w:pPr>
  </w:style>
  <w:style w:type="table" w:customStyle="1" w:styleId="ECHRTableForInternalUse">
    <w:name w:val="ECHR_Table_For_Internal_Use"/>
    <w:basedOn w:val="TableNormal"/>
    <w:uiPriority w:val="99"/>
    <w:rsid w:val="000D1F9A"/>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D1F9A"/>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0D1F9A"/>
  </w:style>
  <w:style w:type="paragraph" w:styleId="BlockText">
    <w:name w:val="Block Text"/>
    <w:basedOn w:val="Normal"/>
    <w:uiPriority w:val="98"/>
    <w:semiHidden/>
    <w:rsid w:val="000D1F9A"/>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0D1F9A"/>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0D1F9A"/>
    <w:pPr>
      <w:spacing w:after="120"/>
    </w:pPr>
  </w:style>
  <w:style w:type="character" w:customStyle="1" w:styleId="BodyTextChar">
    <w:name w:val="Body Text Char"/>
    <w:basedOn w:val="DefaultParagraphFont"/>
    <w:link w:val="BodyText"/>
    <w:uiPriority w:val="98"/>
    <w:semiHidden/>
    <w:rsid w:val="000D1F9A"/>
    <w:rPr>
      <w:sz w:val="24"/>
      <w:szCs w:val="24"/>
      <w:lang w:val="ro-RO"/>
    </w:rPr>
  </w:style>
  <w:style w:type="table" w:customStyle="1" w:styleId="ECHRTableOddBanded">
    <w:name w:val="ECHR_Table_Odd_Banded"/>
    <w:basedOn w:val="TableNormal"/>
    <w:uiPriority w:val="99"/>
    <w:rsid w:val="000D1F9A"/>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0D1F9A"/>
    <w:pPr>
      <w:spacing w:after="120" w:line="480" w:lineRule="auto"/>
    </w:pPr>
  </w:style>
  <w:style w:type="table" w:customStyle="1" w:styleId="ECHRHeaderTableReduced">
    <w:name w:val="ECHR_Header_Table_Reduced"/>
    <w:basedOn w:val="TableNormal"/>
    <w:uiPriority w:val="99"/>
    <w:rsid w:val="000D1F9A"/>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0D1F9A"/>
    <w:pPr>
      <w:ind w:firstLine="284"/>
    </w:pPr>
    <w:rPr>
      <w:b/>
    </w:rPr>
  </w:style>
  <w:style w:type="character" w:styleId="PageNumber">
    <w:name w:val="page number"/>
    <w:uiPriority w:val="98"/>
    <w:semiHidden/>
    <w:rsid w:val="000D1F9A"/>
    <w:rPr>
      <w:sz w:val="18"/>
    </w:rPr>
  </w:style>
  <w:style w:type="paragraph" w:styleId="ListBullet">
    <w:name w:val="List Bullet"/>
    <w:basedOn w:val="Normal"/>
    <w:uiPriority w:val="98"/>
    <w:semiHidden/>
    <w:rsid w:val="000D1F9A"/>
    <w:pPr>
      <w:numPr>
        <w:numId w:val="7"/>
      </w:numPr>
    </w:pPr>
  </w:style>
  <w:style w:type="paragraph" w:styleId="ListBullet3">
    <w:name w:val="List Bullet 3"/>
    <w:basedOn w:val="Normal"/>
    <w:uiPriority w:val="98"/>
    <w:semiHidden/>
    <w:rsid w:val="000D1F9A"/>
    <w:pPr>
      <w:numPr>
        <w:numId w:val="9"/>
      </w:numPr>
      <w:contextualSpacing/>
    </w:pPr>
  </w:style>
  <w:style w:type="character" w:customStyle="1" w:styleId="BodyText2Char">
    <w:name w:val="Body Text 2 Char"/>
    <w:basedOn w:val="DefaultParagraphFont"/>
    <w:link w:val="BodyText2"/>
    <w:uiPriority w:val="98"/>
    <w:semiHidden/>
    <w:rsid w:val="000D1F9A"/>
    <w:rPr>
      <w:sz w:val="24"/>
      <w:szCs w:val="24"/>
      <w:lang w:val="ro-RO"/>
    </w:rPr>
  </w:style>
  <w:style w:type="paragraph" w:styleId="BodyText3">
    <w:name w:val="Body Text 3"/>
    <w:basedOn w:val="Normal"/>
    <w:link w:val="BodyText3Char"/>
    <w:uiPriority w:val="98"/>
    <w:semiHidden/>
    <w:rsid w:val="000D1F9A"/>
    <w:pPr>
      <w:spacing w:after="120"/>
    </w:pPr>
    <w:rPr>
      <w:sz w:val="16"/>
      <w:szCs w:val="16"/>
    </w:rPr>
  </w:style>
  <w:style w:type="character" w:customStyle="1" w:styleId="BodyText3Char">
    <w:name w:val="Body Text 3 Char"/>
    <w:basedOn w:val="DefaultParagraphFont"/>
    <w:link w:val="BodyText3"/>
    <w:uiPriority w:val="98"/>
    <w:semiHidden/>
    <w:rsid w:val="000D1F9A"/>
    <w:rPr>
      <w:sz w:val="16"/>
      <w:szCs w:val="16"/>
      <w:lang w:val="ro-RO"/>
    </w:rPr>
  </w:style>
  <w:style w:type="paragraph" w:styleId="BodyTextFirstIndent">
    <w:name w:val="Body Text First Indent"/>
    <w:basedOn w:val="BodyText"/>
    <w:link w:val="BodyTextFirstIndentChar"/>
    <w:uiPriority w:val="98"/>
    <w:semiHidden/>
    <w:rsid w:val="000D1F9A"/>
    <w:pPr>
      <w:spacing w:after="0"/>
      <w:ind w:firstLine="360"/>
    </w:pPr>
  </w:style>
  <w:style w:type="character" w:customStyle="1" w:styleId="BodyTextFirstIndentChar">
    <w:name w:val="Body Text First Indent Char"/>
    <w:basedOn w:val="BodyTextChar"/>
    <w:link w:val="BodyTextFirstIndent"/>
    <w:uiPriority w:val="98"/>
    <w:semiHidden/>
    <w:rsid w:val="000D1F9A"/>
    <w:rPr>
      <w:sz w:val="24"/>
      <w:szCs w:val="24"/>
      <w:lang w:val="ro-RO"/>
    </w:rPr>
  </w:style>
  <w:style w:type="paragraph" w:styleId="BodyTextIndent">
    <w:name w:val="Body Text Indent"/>
    <w:basedOn w:val="Normal"/>
    <w:link w:val="BodyTextIndentChar"/>
    <w:uiPriority w:val="98"/>
    <w:semiHidden/>
    <w:rsid w:val="000D1F9A"/>
    <w:pPr>
      <w:spacing w:after="120"/>
      <w:ind w:left="283"/>
    </w:pPr>
  </w:style>
  <w:style w:type="character" w:customStyle="1" w:styleId="BodyTextIndentChar">
    <w:name w:val="Body Text Indent Char"/>
    <w:basedOn w:val="DefaultParagraphFont"/>
    <w:link w:val="BodyTextIndent"/>
    <w:uiPriority w:val="98"/>
    <w:semiHidden/>
    <w:rsid w:val="000D1F9A"/>
    <w:rPr>
      <w:sz w:val="24"/>
      <w:szCs w:val="24"/>
      <w:lang w:val="ro-RO"/>
    </w:rPr>
  </w:style>
  <w:style w:type="paragraph" w:styleId="BodyTextFirstIndent2">
    <w:name w:val="Body Text First Indent 2"/>
    <w:basedOn w:val="BodyTextIndent"/>
    <w:link w:val="BodyTextFirstIndent2Char"/>
    <w:uiPriority w:val="98"/>
    <w:semiHidden/>
    <w:rsid w:val="000D1F9A"/>
    <w:pPr>
      <w:spacing w:after="0"/>
      <w:ind w:left="360" w:firstLine="360"/>
    </w:pPr>
  </w:style>
  <w:style w:type="character" w:customStyle="1" w:styleId="BodyTextFirstIndent2Char">
    <w:name w:val="Body Text First Indent 2 Char"/>
    <w:basedOn w:val="BodyTextIndentChar"/>
    <w:link w:val="BodyTextFirstIndent2"/>
    <w:uiPriority w:val="98"/>
    <w:semiHidden/>
    <w:rsid w:val="000D1F9A"/>
    <w:rPr>
      <w:sz w:val="24"/>
      <w:szCs w:val="24"/>
      <w:lang w:val="ro-RO"/>
    </w:rPr>
  </w:style>
  <w:style w:type="paragraph" w:styleId="BodyTextIndent2">
    <w:name w:val="Body Text Indent 2"/>
    <w:basedOn w:val="Normal"/>
    <w:link w:val="BodyTextIndent2Char"/>
    <w:uiPriority w:val="98"/>
    <w:semiHidden/>
    <w:rsid w:val="000D1F9A"/>
    <w:pPr>
      <w:spacing w:after="120" w:line="480" w:lineRule="auto"/>
      <w:ind w:left="283"/>
    </w:pPr>
  </w:style>
  <w:style w:type="character" w:customStyle="1" w:styleId="BodyTextIndent2Char">
    <w:name w:val="Body Text Indent 2 Char"/>
    <w:basedOn w:val="DefaultParagraphFont"/>
    <w:link w:val="BodyTextIndent2"/>
    <w:uiPriority w:val="98"/>
    <w:semiHidden/>
    <w:rsid w:val="000D1F9A"/>
    <w:rPr>
      <w:sz w:val="24"/>
      <w:szCs w:val="24"/>
      <w:lang w:val="ro-RO"/>
    </w:rPr>
  </w:style>
  <w:style w:type="paragraph" w:styleId="BodyTextIndent3">
    <w:name w:val="Body Text Indent 3"/>
    <w:basedOn w:val="Normal"/>
    <w:link w:val="BodyTextIndent3Char"/>
    <w:uiPriority w:val="98"/>
    <w:semiHidden/>
    <w:rsid w:val="000D1F9A"/>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0D1F9A"/>
    <w:rPr>
      <w:sz w:val="16"/>
      <w:szCs w:val="16"/>
      <w:lang w:val="ro-RO"/>
    </w:rPr>
  </w:style>
  <w:style w:type="paragraph" w:styleId="Caption">
    <w:name w:val="caption"/>
    <w:basedOn w:val="Normal"/>
    <w:next w:val="Normal"/>
    <w:uiPriority w:val="98"/>
    <w:semiHidden/>
    <w:qFormat/>
    <w:rsid w:val="000D1F9A"/>
    <w:pPr>
      <w:spacing w:after="200"/>
    </w:pPr>
    <w:rPr>
      <w:b/>
      <w:bCs/>
      <w:color w:val="0072BC" w:themeColor="accent1"/>
      <w:sz w:val="18"/>
      <w:szCs w:val="18"/>
    </w:rPr>
  </w:style>
  <w:style w:type="paragraph" w:styleId="Closing">
    <w:name w:val="Closing"/>
    <w:basedOn w:val="Normal"/>
    <w:link w:val="ClosingChar"/>
    <w:uiPriority w:val="98"/>
    <w:semiHidden/>
    <w:rsid w:val="000D1F9A"/>
    <w:pPr>
      <w:ind w:left="4252"/>
    </w:pPr>
  </w:style>
  <w:style w:type="character" w:customStyle="1" w:styleId="ClosingChar">
    <w:name w:val="Closing Char"/>
    <w:basedOn w:val="DefaultParagraphFont"/>
    <w:link w:val="Closing"/>
    <w:uiPriority w:val="98"/>
    <w:semiHidden/>
    <w:rsid w:val="000D1F9A"/>
    <w:rPr>
      <w:sz w:val="24"/>
      <w:szCs w:val="24"/>
      <w:lang w:val="ro-RO"/>
    </w:rPr>
  </w:style>
  <w:style w:type="table" w:styleId="ColorfulGrid">
    <w:name w:val="Colorful Grid"/>
    <w:basedOn w:val="TableNormal"/>
    <w:uiPriority w:val="73"/>
    <w:semiHidden/>
    <w:rsid w:val="000D1F9A"/>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0D1F9A"/>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0D1F9A"/>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0D1F9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0D1F9A"/>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0D1F9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0D1F9A"/>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0D1F9A"/>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0D1F9A"/>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0D1F9A"/>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0D1F9A"/>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0D1F9A"/>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0D1F9A"/>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0D1F9A"/>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0D1F9A"/>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0D1F9A"/>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0D1F9A"/>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0D1F9A"/>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0D1F9A"/>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0D1F9A"/>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0D1F9A"/>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0D1F9A"/>
    <w:rPr>
      <w:sz w:val="16"/>
      <w:szCs w:val="16"/>
    </w:rPr>
  </w:style>
  <w:style w:type="paragraph" w:styleId="CommentText">
    <w:name w:val="annotation text"/>
    <w:basedOn w:val="Normal"/>
    <w:link w:val="CommentTextChar"/>
    <w:uiPriority w:val="98"/>
    <w:semiHidden/>
    <w:rsid w:val="000D1F9A"/>
    <w:rPr>
      <w:sz w:val="20"/>
      <w:szCs w:val="20"/>
    </w:rPr>
  </w:style>
  <w:style w:type="character" w:customStyle="1" w:styleId="CommentTextChar">
    <w:name w:val="Comment Text Char"/>
    <w:basedOn w:val="DefaultParagraphFont"/>
    <w:link w:val="CommentText"/>
    <w:uiPriority w:val="98"/>
    <w:semiHidden/>
    <w:rsid w:val="000D1F9A"/>
    <w:rPr>
      <w:sz w:val="20"/>
      <w:szCs w:val="20"/>
      <w:lang w:val="ro-RO"/>
    </w:rPr>
  </w:style>
  <w:style w:type="paragraph" w:styleId="CommentSubject">
    <w:name w:val="annotation subject"/>
    <w:basedOn w:val="CommentText"/>
    <w:next w:val="CommentText"/>
    <w:link w:val="CommentSubjectChar"/>
    <w:uiPriority w:val="98"/>
    <w:semiHidden/>
    <w:rsid w:val="000D1F9A"/>
    <w:rPr>
      <w:b/>
      <w:bCs/>
    </w:rPr>
  </w:style>
  <w:style w:type="character" w:customStyle="1" w:styleId="CommentSubjectChar">
    <w:name w:val="Comment Subject Char"/>
    <w:basedOn w:val="CommentTextChar"/>
    <w:link w:val="CommentSubject"/>
    <w:uiPriority w:val="98"/>
    <w:semiHidden/>
    <w:rsid w:val="000D1F9A"/>
    <w:rPr>
      <w:b/>
      <w:bCs/>
      <w:sz w:val="20"/>
      <w:szCs w:val="20"/>
      <w:lang w:val="ro-RO"/>
    </w:rPr>
  </w:style>
  <w:style w:type="table" w:styleId="DarkList">
    <w:name w:val="Dark List"/>
    <w:basedOn w:val="TableNormal"/>
    <w:uiPriority w:val="70"/>
    <w:semiHidden/>
    <w:rsid w:val="000D1F9A"/>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0D1F9A"/>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0D1F9A"/>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0D1F9A"/>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0D1F9A"/>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0D1F9A"/>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0D1F9A"/>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0D1F9A"/>
  </w:style>
  <w:style w:type="character" w:customStyle="1" w:styleId="DateChar">
    <w:name w:val="Date Char"/>
    <w:basedOn w:val="DefaultParagraphFont"/>
    <w:link w:val="Date"/>
    <w:uiPriority w:val="98"/>
    <w:semiHidden/>
    <w:rsid w:val="000D1F9A"/>
    <w:rPr>
      <w:sz w:val="24"/>
      <w:szCs w:val="24"/>
      <w:lang w:val="ro-RO"/>
    </w:rPr>
  </w:style>
  <w:style w:type="paragraph" w:styleId="DocumentMap">
    <w:name w:val="Document Map"/>
    <w:basedOn w:val="Normal"/>
    <w:link w:val="DocumentMapChar"/>
    <w:uiPriority w:val="98"/>
    <w:semiHidden/>
    <w:rsid w:val="000D1F9A"/>
    <w:rPr>
      <w:rFonts w:ascii="Tahoma" w:hAnsi="Tahoma" w:cs="Tahoma"/>
      <w:sz w:val="16"/>
      <w:szCs w:val="16"/>
    </w:rPr>
  </w:style>
  <w:style w:type="character" w:customStyle="1" w:styleId="DocumentMapChar">
    <w:name w:val="Document Map Char"/>
    <w:basedOn w:val="DefaultParagraphFont"/>
    <w:link w:val="DocumentMap"/>
    <w:uiPriority w:val="98"/>
    <w:semiHidden/>
    <w:rsid w:val="000D1F9A"/>
    <w:rPr>
      <w:rFonts w:ascii="Tahoma" w:hAnsi="Tahoma" w:cs="Tahoma"/>
      <w:sz w:val="16"/>
      <w:szCs w:val="16"/>
      <w:lang w:val="ro-RO"/>
    </w:rPr>
  </w:style>
  <w:style w:type="paragraph" w:styleId="E-mailSignature">
    <w:name w:val="E-mail Signature"/>
    <w:basedOn w:val="Normal"/>
    <w:link w:val="E-mailSignatureChar"/>
    <w:uiPriority w:val="98"/>
    <w:semiHidden/>
    <w:rsid w:val="000D1F9A"/>
  </w:style>
  <w:style w:type="character" w:customStyle="1" w:styleId="E-mailSignatureChar">
    <w:name w:val="E-mail Signature Char"/>
    <w:basedOn w:val="DefaultParagraphFont"/>
    <w:link w:val="E-mailSignature"/>
    <w:uiPriority w:val="98"/>
    <w:semiHidden/>
    <w:rsid w:val="000D1F9A"/>
    <w:rPr>
      <w:sz w:val="24"/>
      <w:szCs w:val="24"/>
      <w:lang w:val="ro-RO"/>
    </w:rPr>
  </w:style>
  <w:style w:type="character" w:styleId="EndnoteReference">
    <w:name w:val="endnote reference"/>
    <w:basedOn w:val="DefaultParagraphFont"/>
    <w:uiPriority w:val="98"/>
    <w:semiHidden/>
    <w:rsid w:val="000D1F9A"/>
    <w:rPr>
      <w:vertAlign w:val="superscript"/>
    </w:rPr>
  </w:style>
  <w:style w:type="paragraph" w:styleId="EndnoteText">
    <w:name w:val="endnote text"/>
    <w:basedOn w:val="Normal"/>
    <w:link w:val="EndnoteTextChar"/>
    <w:uiPriority w:val="98"/>
    <w:semiHidden/>
    <w:rsid w:val="000D1F9A"/>
    <w:rPr>
      <w:sz w:val="20"/>
      <w:szCs w:val="20"/>
    </w:rPr>
  </w:style>
  <w:style w:type="character" w:customStyle="1" w:styleId="EndnoteTextChar">
    <w:name w:val="Endnote Text Char"/>
    <w:basedOn w:val="DefaultParagraphFont"/>
    <w:link w:val="EndnoteText"/>
    <w:uiPriority w:val="98"/>
    <w:semiHidden/>
    <w:rsid w:val="000D1F9A"/>
    <w:rPr>
      <w:sz w:val="20"/>
      <w:szCs w:val="20"/>
      <w:lang w:val="ro-RO"/>
    </w:rPr>
  </w:style>
  <w:style w:type="paragraph" w:styleId="EnvelopeAddress">
    <w:name w:val="envelope address"/>
    <w:basedOn w:val="Normal"/>
    <w:uiPriority w:val="98"/>
    <w:semiHidden/>
    <w:rsid w:val="000D1F9A"/>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0D1F9A"/>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0D1F9A"/>
    <w:rPr>
      <w:color w:val="7030A0" w:themeColor="followedHyperlink"/>
      <w:u w:val="single"/>
    </w:rPr>
  </w:style>
  <w:style w:type="character" w:styleId="HTMLAcronym">
    <w:name w:val="HTML Acronym"/>
    <w:basedOn w:val="DefaultParagraphFont"/>
    <w:uiPriority w:val="98"/>
    <w:semiHidden/>
    <w:rsid w:val="000D1F9A"/>
  </w:style>
  <w:style w:type="paragraph" w:styleId="HTMLAddress">
    <w:name w:val="HTML Address"/>
    <w:basedOn w:val="Normal"/>
    <w:link w:val="HTMLAddressChar"/>
    <w:uiPriority w:val="98"/>
    <w:semiHidden/>
    <w:rsid w:val="000D1F9A"/>
    <w:rPr>
      <w:i/>
      <w:iCs/>
    </w:rPr>
  </w:style>
  <w:style w:type="character" w:customStyle="1" w:styleId="HTMLAddressChar">
    <w:name w:val="HTML Address Char"/>
    <w:basedOn w:val="DefaultParagraphFont"/>
    <w:link w:val="HTMLAddress"/>
    <w:uiPriority w:val="98"/>
    <w:semiHidden/>
    <w:rsid w:val="000D1F9A"/>
    <w:rPr>
      <w:i/>
      <w:iCs/>
      <w:sz w:val="24"/>
      <w:szCs w:val="24"/>
      <w:lang w:val="ro-RO"/>
    </w:rPr>
  </w:style>
  <w:style w:type="character" w:styleId="HTMLCite">
    <w:name w:val="HTML Cite"/>
    <w:basedOn w:val="DefaultParagraphFont"/>
    <w:uiPriority w:val="98"/>
    <w:semiHidden/>
    <w:rsid w:val="000D1F9A"/>
    <w:rPr>
      <w:i/>
      <w:iCs/>
    </w:rPr>
  </w:style>
  <w:style w:type="character" w:styleId="HTMLCode">
    <w:name w:val="HTML Code"/>
    <w:basedOn w:val="DefaultParagraphFont"/>
    <w:uiPriority w:val="98"/>
    <w:semiHidden/>
    <w:rsid w:val="000D1F9A"/>
    <w:rPr>
      <w:rFonts w:ascii="Consolas" w:hAnsi="Consolas" w:cs="Consolas"/>
      <w:sz w:val="20"/>
      <w:szCs w:val="20"/>
    </w:rPr>
  </w:style>
  <w:style w:type="character" w:styleId="HTMLDefinition">
    <w:name w:val="HTML Definition"/>
    <w:basedOn w:val="DefaultParagraphFont"/>
    <w:uiPriority w:val="98"/>
    <w:semiHidden/>
    <w:rsid w:val="000D1F9A"/>
    <w:rPr>
      <w:i/>
      <w:iCs/>
    </w:rPr>
  </w:style>
  <w:style w:type="character" w:styleId="HTMLKeyboard">
    <w:name w:val="HTML Keyboard"/>
    <w:basedOn w:val="DefaultParagraphFont"/>
    <w:uiPriority w:val="98"/>
    <w:semiHidden/>
    <w:rsid w:val="000D1F9A"/>
    <w:rPr>
      <w:rFonts w:ascii="Consolas" w:hAnsi="Consolas" w:cs="Consolas"/>
      <w:sz w:val="20"/>
      <w:szCs w:val="20"/>
    </w:rPr>
  </w:style>
  <w:style w:type="paragraph" w:styleId="HTMLPreformatted">
    <w:name w:val="HTML Preformatted"/>
    <w:basedOn w:val="Normal"/>
    <w:link w:val="HTMLPreformattedChar"/>
    <w:uiPriority w:val="98"/>
    <w:semiHidden/>
    <w:rsid w:val="000D1F9A"/>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0D1F9A"/>
    <w:rPr>
      <w:rFonts w:ascii="Consolas" w:hAnsi="Consolas" w:cs="Consolas"/>
      <w:sz w:val="20"/>
      <w:szCs w:val="20"/>
      <w:lang w:val="ro-RO"/>
    </w:rPr>
  </w:style>
  <w:style w:type="character" w:styleId="HTMLSample">
    <w:name w:val="HTML Sample"/>
    <w:basedOn w:val="DefaultParagraphFont"/>
    <w:uiPriority w:val="98"/>
    <w:semiHidden/>
    <w:rsid w:val="000D1F9A"/>
    <w:rPr>
      <w:rFonts w:ascii="Consolas" w:hAnsi="Consolas" w:cs="Consolas"/>
      <w:sz w:val="24"/>
      <w:szCs w:val="24"/>
    </w:rPr>
  </w:style>
  <w:style w:type="character" w:styleId="HTMLTypewriter">
    <w:name w:val="HTML Typewriter"/>
    <w:basedOn w:val="DefaultParagraphFont"/>
    <w:uiPriority w:val="98"/>
    <w:semiHidden/>
    <w:rsid w:val="000D1F9A"/>
    <w:rPr>
      <w:rFonts w:ascii="Consolas" w:hAnsi="Consolas" w:cs="Consolas"/>
      <w:sz w:val="20"/>
      <w:szCs w:val="20"/>
    </w:rPr>
  </w:style>
  <w:style w:type="character" w:styleId="HTMLVariable">
    <w:name w:val="HTML Variable"/>
    <w:basedOn w:val="DefaultParagraphFont"/>
    <w:uiPriority w:val="98"/>
    <w:semiHidden/>
    <w:rsid w:val="000D1F9A"/>
    <w:rPr>
      <w:i/>
      <w:iCs/>
    </w:rPr>
  </w:style>
  <w:style w:type="paragraph" w:styleId="Index1">
    <w:name w:val="index 1"/>
    <w:basedOn w:val="Normal"/>
    <w:next w:val="Normal"/>
    <w:autoRedefine/>
    <w:uiPriority w:val="98"/>
    <w:semiHidden/>
    <w:rsid w:val="000D1F9A"/>
    <w:pPr>
      <w:ind w:left="240" w:hanging="240"/>
    </w:pPr>
  </w:style>
  <w:style w:type="paragraph" w:styleId="Index2">
    <w:name w:val="index 2"/>
    <w:basedOn w:val="Normal"/>
    <w:next w:val="Normal"/>
    <w:autoRedefine/>
    <w:uiPriority w:val="98"/>
    <w:semiHidden/>
    <w:rsid w:val="000D1F9A"/>
    <w:pPr>
      <w:ind w:left="480" w:hanging="240"/>
    </w:pPr>
  </w:style>
  <w:style w:type="paragraph" w:styleId="Index3">
    <w:name w:val="index 3"/>
    <w:basedOn w:val="Normal"/>
    <w:next w:val="Normal"/>
    <w:autoRedefine/>
    <w:uiPriority w:val="98"/>
    <w:semiHidden/>
    <w:rsid w:val="000D1F9A"/>
    <w:pPr>
      <w:ind w:left="720" w:hanging="240"/>
    </w:pPr>
  </w:style>
  <w:style w:type="paragraph" w:styleId="Index4">
    <w:name w:val="index 4"/>
    <w:basedOn w:val="Normal"/>
    <w:next w:val="Normal"/>
    <w:autoRedefine/>
    <w:uiPriority w:val="98"/>
    <w:semiHidden/>
    <w:rsid w:val="000D1F9A"/>
    <w:pPr>
      <w:ind w:left="960" w:hanging="240"/>
    </w:pPr>
  </w:style>
  <w:style w:type="paragraph" w:styleId="Index5">
    <w:name w:val="index 5"/>
    <w:basedOn w:val="Normal"/>
    <w:next w:val="Normal"/>
    <w:autoRedefine/>
    <w:uiPriority w:val="98"/>
    <w:semiHidden/>
    <w:rsid w:val="000D1F9A"/>
    <w:pPr>
      <w:ind w:left="1200" w:hanging="240"/>
    </w:pPr>
  </w:style>
  <w:style w:type="paragraph" w:styleId="Index6">
    <w:name w:val="index 6"/>
    <w:basedOn w:val="Normal"/>
    <w:next w:val="Normal"/>
    <w:autoRedefine/>
    <w:uiPriority w:val="98"/>
    <w:semiHidden/>
    <w:rsid w:val="000D1F9A"/>
    <w:pPr>
      <w:ind w:left="1440" w:hanging="240"/>
    </w:pPr>
  </w:style>
  <w:style w:type="paragraph" w:styleId="Index7">
    <w:name w:val="index 7"/>
    <w:basedOn w:val="Normal"/>
    <w:next w:val="Normal"/>
    <w:autoRedefine/>
    <w:uiPriority w:val="98"/>
    <w:semiHidden/>
    <w:rsid w:val="000D1F9A"/>
    <w:pPr>
      <w:ind w:left="1680" w:hanging="240"/>
    </w:pPr>
  </w:style>
  <w:style w:type="paragraph" w:styleId="Index8">
    <w:name w:val="index 8"/>
    <w:basedOn w:val="Normal"/>
    <w:next w:val="Normal"/>
    <w:autoRedefine/>
    <w:uiPriority w:val="98"/>
    <w:semiHidden/>
    <w:rsid w:val="000D1F9A"/>
    <w:pPr>
      <w:ind w:left="1920" w:hanging="240"/>
    </w:pPr>
  </w:style>
  <w:style w:type="paragraph" w:styleId="Index9">
    <w:name w:val="index 9"/>
    <w:basedOn w:val="Normal"/>
    <w:next w:val="Normal"/>
    <w:autoRedefine/>
    <w:uiPriority w:val="98"/>
    <w:semiHidden/>
    <w:rsid w:val="000D1F9A"/>
    <w:pPr>
      <w:ind w:left="2160" w:hanging="240"/>
    </w:pPr>
  </w:style>
  <w:style w:type="paragraph" w:styleId="IndexHeading">
    <w:name w:val="index heading"/>
    <w:basedOn w:val="Normal"/>
    <w:next w:val="Index1"/>
    <w:uiPriority w:val="98"/>
    <w:semiHidden/>
    <w:rsid w:val="000D1F9A"/>
    <w:rPr>
      <w:rFonts w:asciiTheme="majorHAnsi" w:eastAsiaTheme="majorEastAsia" w:hAnsiTheme="majorHAnsi" w:cstheme="majorBidi"/>
      <w:b/>
      <w:bCs/>
    </w:rPr>
  </w:style>
  <w:style w:type="table" w:styleId="LightGrid">
    <w:name w:val="Light Grid"/>
    <w:basedOn w:val="TableNormal"/>
    <w:uiPriority w:val="62"/>
    <w:semiHidden/>
    <w:rsid w:val="000D1F9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0D1F9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0D1F9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0D1F9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0D1F9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0D1F9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0D1F9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0D1F9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0D1F9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0D1F9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0D1F9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0D1F9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0D1F9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0D1F9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0D1F9A"/>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0D1F9A"/>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0D1F9A"/>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0D1F9A"/>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0D1F9A"/>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0D1F9A"/>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0D1F9A"/>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0D1F9A"/>
  </w:style>
  <w:style w:type="paragraph" w:styleId="List">
    <w:name w:val="List"/>
    <w:basedOn w:val="Normal"/>
    <w:uiPriority w:val="98"/>
    <w:semiHidden/>
    <w:rsid w:val="000D1F9A"/>
    <w:pPr>
      <w:ind w:left="283" w:hanging="283"/>
      <w:contextualSpacing/>
    </w:pPr>
  </w:style>
  <w:style w:type="paragraph" w:styleId="List2">
    <w:name w:val="List 2"/>
    <w:basedOn w:val="Normal"/>
    <w:uiPriority w:val="98"/>
    <w:semiHidden/>
    <w:rsid w:val="000D1F9A"/>
    <w:pPr>
      <w:ind w:left="566" w:hanging="283"/>
      <w:contextualSpacing/>
    </w:pPr>
  </w:style>
  <w:style w:type="paragraph" w:styleId="List3">
    <w:name w:val="List 3"/>
    <w:basedOn w:val="Normal"/>
    <w:uiPriority w:val="98"/>
    <w:semiHidden/>
    <w:rsid w:val="000D1F9A"/>
    <w:pPr>
      <w:ind w:left="849" w:hanging="283"/>
      <w:contextualSpacing/>
    </w:pPr>
  </w:style>
  <w:style w:type="paragraph" w:styleId="List4">
    <w:name w:val="List 4"/>
    <w:basedOn w:val="Normal"/>
    <w:uiPriority w:val="98"/>
    <w:semiHidden/>
    <w:rsid w:val="000D1F9A"/>
    <w:pPr>
      <w:ind w:left="1132" w:hanging="283"/>
      <w:contextualSpacing/>
    </w:pPr>
  </w:style>
  <w:style w:type="paragraph" w:styleId="List5">
    <w:name w:val="List 5"/>
    <w:basedOn w:val="Normal"/>
    <w:uiPriority w:val="98"/>
    <w:semiHidden/>
    <w:rsid w:val="000D1F9A"/>
    <w:pPr>
      <w:ind w:left="1415" w:hanging="283"/>
      <w:contextualSpacing/>
    </w:pPr>
  </w:style>
  <w:style w:type="paragraph" w:styleId="ListBullet2">
    <w:name w:val="List Bullet 2"/>
    <w:basedOn w:val="Normal"/>
    <w:uiPriority w:val="98"/>
    <w:semiHidden/>
    <w:rsid w:val="000D1F9A"/>
    <w:pPr>
      <w:numPr>
        <w:numId w:val="8"/>
      </w:numPr>
      <w:contextualSpacing/>
    </w:pPr>
  </w:style>
  <w:style w:type="paragraph" w:styleId="ListBullet4">
    <w:name w:val="List Bullet 4"/>
    <w:basedOn w:val="Normal"/>
    <w:uiPriority w:val="98"/>
    <w:semiHidden/>
    <w:rsid w:val="000D1F9A"/>
    <w:pPr>
      <w:numPr>
        <w:numId w:val="10"/>
      </w:numPr>
      <w:contextualSpacing/>
    </w:pPr>
  </w:style>
  <w:style w:type="paragraph" w:styleId="ListBullet5">
    <w:name w:val="List Bullet 5"/>
    <w:basedOn w:val="Normal"/>
    <w:uiPriority w:val="98"/>
    <w:semiHidden/>
    <w:rsid w:val="000D1F9A"/>
    <w:pPr>
      <w:numPr>
        <w:numId w:val="11"/>
      </w:numPr>
      <w:contextualSpacing/>
    </w:pPr>
  </w:style>
  <w:style w:type="paragraph" w:styleId="ListContinue">
    <w:name w:val="List Continue"/>
    <w:basedOn w:val="Normal"/>
    <w:uiPriority w:val="98"/>
    <w:semiHidden/>
    <w:rsid w:val="000D1F9A"/>
    <w:pPr>
      <w:spacing w:after="120"/>
      <w:ind w:left="283"/>
      <w:contextualSpacing/>
    </w:pPr>
  </w:style>
  <w:style w:type="paragraph" w:styleId="ListContinue2">
    <w:name w:val="List Continue 2"/>
    <w:basedOn w:val="Normal"/>
    <w:uiPriority w:val="98"/>
    <w:semiHidden/>
    <w:rsid w:val="000D1F9A"/>
    <w:pPr>
      <w:spacing w:after="120"/>
      <w:ind w:left="566"/>
      <w:contextualSpacing/>
    </w:pPr>
  </w:style>
  <w:style w:type="paragraph" w:styleId="ListContinue3">
    <w:name w:val="List Continue 3"/>
    <w:basedOn w:val="Normal"/>
    <w:uiPriority w:val="98"/>
    <w:semiHidden/>
    <w:rsid w:val="000D1F9A"/>
    <w:pPr>
      <w:spacing w:after="120"/>
      <w:ind w:left="849"/>
      <w:contextualSpacing/>
    </w:pPr>
  </w:style>
  <w:style w:type="paragraph" w:styleId="ListContinue4">
    <w:name w:val="List Continue 4"/>
    <w:basedOn w:val="Normal"/>
    <w:uiPriority w:val="98"/>
    <w:semiHidden/>
    <w:rsid w:val="000D1F9A"/>
    <w:pPr>
      <w:spacing w:after="120"/>
      <w:ind w:left="1132"/>
      <w:contextualSpacing/>
    </w:pPr>
  </w:style>
  <w:style w:type="paragraph" w:styleId="ListContinue5">
    <w:name w:val="List Continue 5"/>
    <w:basedOn w:val="Normal"/>
    <w:uiPriority w:val="98"/>
    <w:semiHidden/>
    <w:rsid w:val="000D1F9A"/>
    <w:pPr>
      <w:spacing w:after="120"/>
      <w:ind w:left="1415"/>
      <w:contextualSpacing/>
    </w:pPr>
  </w:style>
  <w:style w:type="paragraph" w:styleId="ListNumber">
    <w:name w:val="List Number"/>
    <w:basedOn w:val="Normal"/>
    <w:uiPriority w:val="98"/>
    <w:semiHidden/>
    <w:rsid w:val="000D1F9A"/>
    <w:pPr>
      <w:numPr>
        <w:numId w:val="12"/>
      </w:numPr>
      <w:contextualSpacing/>
    </w:pPr>
  </w:style>
  <w:style w:type="paragraph" w:styleId="ListNumber2">
    <w:name w:val="List Number 2"/>
    <w:basedOn w:val="Normal"/>
    <w:uiPriority w:val="98"/>
    <w:semiHidden/>
    <w:rsid w:val="000D1F9A"/>
    <w:pPr>
      <w:numPr>
        <w:numId w:val="13"/>
      </w:numPr>
      <w:contextualSpacing/>
    </w:pPr>
  </w:style>
  <w:style w:type="paragraph" w:styleId="ListNumber3">
    <w:name w:val="List Number 3"/>
    <w:basedOn w:val="Normal"/>
    <w:uiPriority w:val="98"/>
    <w:semiHidden/>
    <w:rsid w:val="000D1F9A"/>
    <w:pPr>
      <w:numPr>
        <w:numId w:val="14"/>
      </w:numPr>
      <w:contextualSpacing/>
    </w:pPr>
  </w:style>
  <w:style w:type="paragraph" w:styleId="ListNumber4">
    <w:name w:val="List Number 4"/>
    <w:basedOn w:val="Normal"/>
    <w:uiPriority w:val="98"/>
    <w:semiHidden/>
    <w:rsid w:val="000D1F9A"/>
    <w:pPr>
      <w:numPr>
        <w:numId w:val="15"/>
      </w:numPr>
      <w:contextualSpacing/>
    </w:pPr>
  </w:style>
  <w:style w:type="paragraph" w:styleId="ListNumber5">
    <w:name w:val="List Number 5"/>
    <w:basedOn w:val="Normal"/>
    <w:uiPriority w:val="98"/>
    <w:semiHidden/>
    <w:rsid w:val="000D1F9A"/>
    <w:pPr>
      <w:numPr>
        <w:numId w:val="16"/>
      </w:numPr>
      <w:contextualSpacing/>
    </w:pPr>
  </w:style>
  <w:style w:type="paragraph" w:styleId="MacroText">
    <w:name w:val="macro"/>
    <w:link w:val="MacroTextChar"/>
    <w:uiPriority w:val="98"/>
    <w:semiHidden/>
    <w:rsid w:val="000D1F9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0D1F9A"/>
    <w:rPr>
      <w:rFonts w:ascii="Consolas" w:eastAsiaTheme="minorEastAsia" w:hAnsi="Consolas" w:cs="Consolas"/>
      <w:sz w:val="20"/>
      <w:szCs w:val="20"/>
    </w:rPr>
  </w:style>
  <w:style w:type="table" w:styleId="MediumGrid1">
    <w:name w:val="Medium Grid 1"/>
    <w:basedOn w:val="TableNormal"/>
    <w:uiPriority w:val="67"/>
    <w:semiHidden/>
    <w:rsid w:val="000D1F9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0D1F9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0D1F9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0D1F9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0D1F9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0D1F9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0D1F9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0D1F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0D1F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0D1F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0D1F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0D1F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0D1F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0D1F9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0D1F9A"/>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0D1F9A"/>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0D1F9A"/>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0D1F9A"/>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0D1F9A"/>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0D1F9A"/>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0D1F9A"/>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0D1F9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0D1F9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D1F9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0D1F9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0D1F9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0D1F9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0D1F9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0D1F9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D1F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0D1F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0D1F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0D1F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0D1F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0D1F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0D1F9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0D1F9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0D1F9A"/>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0D1F9A"/>
    <w:rPr>
      <w:rFonts w:ascii="Times New Roman" w:hAnsi="Times New Roman" w:cs="Times New Roman"/>
    </w:rPr>
  </w:style>
  <w:style w:type="paragraph" w:styleId="NormalIndent">
    <w:name w:val="Normal Indent"/>
    <w:basedOn w:val="Normal"/>
    <w:uiPriority w:val="98"/>
    <w:semiHidden/>
    <w:rsid w:val="000D1F9A"/>
    <w:pPr>
      <w:ind w:left="720"/>
    </w:pPr>
  </w:style>
  <w:style w:type="paragraph" w:styleId="NoteHeading">
    <w:name w:val="Note Heading"/>
    <w:basedOn w:val="Normal"/>
    <w:next w:val="Normal"/>
    <w:link w:val="NoteHeadingChar"/>
    <w:uiPriority w:val="98"/>
    <w:semiHidden/>
    <w:rsid w:val="000D1F9A"/>
  </w:style>
  <w:style w:type="character" w:customStyle="1" w:styleId="NoteHeadingChar">
    <w:name w:val="Note Heading Char"/>
    <w:basedOn w:val="DefaultParagraphFont"/>
    <w:link w:val="NoteHeading"/>
    <w:uiPriority w:val="98"/>
    <w:semiHidden/>
    <w:rsid w:val="000D1F9A"/>
    <w:rPr>
      <w:sz w:val="24"/>
      <w:szCs w:val="24"/>
      <w:lang w:val="ro-RO"/>
    </w:rPr>
  </w:style>
  <w:style w:type="character" w:styleId="PlaceholderText">
    <w:name w:val="Placeholder Text"/>
    <w:basedOn w:val="DefaultParagraphFont"/>
    <w:uiPriority w:val="98"/>
    <w:rsid w:val="000D1F9A"/>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0D1F9A"/>
    <w:rPr>
      <w:rFonts w:ascii="Consolas" w:hAnsi="Consolas" w:cs="Consolas"/>
      <w:sz w:val="21"/>
      <w:szCs w:val="21"/>
    </w:rPr>
  </w:style>
  <w:style w:type="character" w:customStyle="1" w:styleId="PlainTextChar">
    <w:name w:val="Plain Text Char"/>
    <w:basedOn w:val="DefaultParagraphFont"/>
    <w:link w:val="PlainText"/>
    <w:uiPriority w:val="98"/>
    <w:semiHidden/>
    <w:rsid w:val="000D1F9A"/>
    <w:rPr>
      <w:rFonts w:ascii="Consolas" w:hAnsi="Consolas" w:cs="Consolas"/>
      <w:sz w:val="21"/>
      <w:szCs w:val="21"/>
      <w:lang w:val="ro-RO"/>
    </w:rPr>
  </w:style>
  <w:style w:type="paragraph" w:styleId="Salutation">
    <w:name w:val="Salutation"/>
    <w:basedOn w:val="Normal"/>
    <w:next w:val="Normal"/>
    <w:link w:val="SalutationChar"/>
    <w:uiPriority w:val="98"/>
    <w:semiHidden/>
    <w:rsid w:val="000D1F9A"/>
  </w:style>
  <w:style w:type="character" w:customStyle="1" w:styleId="SalutationChar">
    <w:name w:val="Salutation Char"/>
    <w:basedOn w:val="DefaultParagraphFont"/>
    <w:link w:val="Salutation"/>
    <w:uiPriority w:val="98"/>
    <w:semiHidden/>
    <w:rsid w:val="000D1F9A"/>
    <w:rPr>
      <w:sz w:val="24"/>
      <w:szCs w:val="24"/>
      <w:lang w:val="ro-RO"/>
    </w:rPr>
  </w:style>
  <w:style w:type="paragraph" w:styleId="Signature">
    <w:name w:val="Signature"/>
    <w:basedOn w:val="Normal"/>
    <w:link w:val="SignatureChar"/>
    <w:uiPriority w:val="98"/>
    <w:semiHidden/>
    <w:rsid w:val="000D1F9A"/>
    <w:pPr>
      <w:ind w:left="4252"/>
    </w:pPr>
  </w:style>
  <w:style w:type="character" w:customStyle="1" w:styleId="SignatureChar">
    <w:name w:val="Signature Char"/>
    <w:basedOn w:val="DefaultParagraphFont"/>
    <w:link w:val="Signature"/>
    <w:uiPriority w:val="98"/>
    <w:semiHidden/>
    <w:rsid w:val="000D1F9A"/>
    <w:rPr>
      <w:sz w:val="24"/>
      <w:szCs w:val="24"/>
      <w:lang w:val="ro-RO"/>
    </w:rPr>
  </w:style>
  <w:style w:type="table" w:styleId="Table3Deffects1">
    <w:name w:val="Table 3D effects 1"/>
    <w:basedOn w:val="TableNormal"/>
    <w:uiPriority w:val="99"/>
    <w:semiHidden/>
    <w:unhideWhenUsed/>
    <w:rsid w:val="000D1F9A"/>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D1F9A"/>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D1F9A"/>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D1F9A"/>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D1F9A"/>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D1F9A"/>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D1F9A"/>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D1F9A"/>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D1F9A"/>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D1F9A"/>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D1F9A"/>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D1F9A"/>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D1F9A"/>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D1F9A"/>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D1F9A"/>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D1F9A"/>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D1F9A"/>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D1F9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D1F9A"/>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D1F9A"/>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D1F9A"/>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D1F9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D1F9A"/>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D1F9A"/>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D1F9A"/>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D1F9A"/>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D1F9A"/>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D1F9A"/>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D1F9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D1F9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D1F9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D1F9A"/>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D1F9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0D1F9A"/>
    <w:pPr>
      <w:ind w:left="240" w:hanging="240"/>
    </w:pPr>
  </w:style>
  <w:style w:type="paragraph" w:styleId="TableofFigures">
    <w:name w:val="table of figures"/>
    <w:basedOn w:val="Normal"/>
    <w:next w:val="Normal"/>
    <w:uiPriority w:val="98"/>
    <w:semiHidden/>
    <w:rsid w:val="000D1F9A"/>
  </w:style>
  <w:style w:type="table" w:styleId="TableProfessional">
    <w:name w:val="Table Professional"/>
    <w:basedOn w:val="TableNormal"/>
    <w:uiPriority w:val="99"/>
    <w:semiHidden/>
    <w:unhideWhenUsed/>
    <w:rsid w:val="000D1F9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D1F9A"/>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D1F9A"/>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D1F9A"/>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D1F9A"/>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D1F9A"/>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D1F9A"/>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D1F9A"/>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D1F9A"/>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D1F9A"/>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0D1F9A"/>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0D1F9A"/>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0D1F9A"/>
    <w:pPr>
      <w:spacing w:after="100"/>
      <w:ind w:left="1680"/>
    </w:pPr>
  </w:style>
  <w:style w:type="paragraph" w:styleId="TOC9">
    <w:name w:val="toc 9"/>
    <w:basedOn w:val="Normal"/>
    <w:next w:val="Normal"/>
    <w:autoRedefine/>
    <w:uiPriority w:val="98"/>
    <w:semiHidden/>
    <w:rsid w:val="000D1F9A"/>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0D1F9A"/>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0D1F9A"/>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0D1F9A"/>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0D1F9A"/>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0D1F9A"/>
    <w:pPr>
      <w:numPr>
        <w:numId w:val="20"/>
      </w:numPr>
      <w:spacing w:before="60" w:after="60"/>
    </w:pPr>
  </w:style>
  <w:style w:type="paragraph" w:customStyle="1" w:styleId="ECHRBullet2">
    <w:name w:val="ECHR_Bullet_2"/>
    <w:aliases w:val="_Bul_2"/>
    <w:basedOn w:val="ECHRBullet1"/>
    <w:uiPriority w:val="23"/>
    <w:semiHidden/>
    <w:rsid w:val="000D1F9A"/>
    <w:pPr>
      <w:numPr>
        <w:ilvl w:val="1"/>
      </w:numPr>
    </w:pPr>
  </w:style>
  <w:style w:type="paragraph" w:customStyle="1" w:styleId="ECHRBullet3">
    <w:name w:val="ECHR_Bullet_3"/>
    <w:aliases w:val="_Bul_3"/>
    <w:basedOn w:val="ECHRBullet2"/>
    <w:uiPriority w:val="23"/>
    <w:semiHidden/>
    <w:rsid w:val="000D1F9A"/>
    <w:pPr>
      <w:numPr>
        <w:ilvl w:val="2"/>
      </w:numPr>
    </w:pPr>
  </w:style>
  <w:style w:type="paragraph" w:customStyle="1" w:styleId="ECHRBullet4">
    <w:name w:val="ECHR_Bullet_4"/>
    <w:aliases w:val="_Bul_4"/>
    <w:basedOn w:val="ECHRBullet3"/>
    <w:uiPriority w:val="23"/>
    <w:semiHidden/>
    <w:rsid w:val="000D1F9A"/>
    <w:pPr>
      <w:numPr>
        <w:ilvl w:val="3"/>
      </w:numPr>
    </w:pPr>
  </w:style>
  <w:style w:type="paragraph" w:customStyle="1" w:styleId="ECHRConfidential">
    <w:name w:val="ECHR_Confidential"/>
    <w:aliases w:val="_Confidential"/>
    <w:basedOn w:val="Normal"/>
    <w:next w:val="Normal"/>
    <w:uiPriority w:val="42"/>
    <w:semiHidden/>
    <w:qFormat/>
    <w:rsid w:val="000D1F9A"/>
    <w:pPr>
      <w:jc w:val="right"/>
    </w:pPr>
    <w:rPr>
      <w:color w:val="C00000"/>
      <w:sz w:val="20"/>
    </w:rPr>
  </w:style>
  <w:style w:type="paragraph" w:customStyle="1" w:styleId="ECHRDecisionBody">
    <w:name w:val="ECHR_Decision_Body"/>
    <w:aliases w:val="_Decision_Body"/>
    <w:basedOn w:val="NormalJustified"/>
    <w:uiPriority w:val="54"/>
    <w:semiHidden/>
    <w:rsid w:val="000D1F9A"/>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0D1F9A"/>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0D1F9A"/>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0D1F9A"/>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0D1F9A"/>
    <w:pPr>
      <w:jc w:val="right"/>
    </w:pPr>
    <w:rPr>
      <w:sz w:val="20"/>
    </w:rPr>
  </w:style>
  <w:style w:type="paragraph" w:customStyle="1" w:styleId="ECHRHeaderRefIt">
    <w:name w:val="ECHR_Header_Ref_It"/>
    <w:aliases w:val="_Ref_Ital"/>
    <w:basedOn w:val="Normal"/>
    <w:next w:val="ECHRHeaderDate"/>
    <w:uiPriority w:val="43"/>
    <w:qFormat/>
    <w:rsid w:val="000D1F9A"/>
    <w:pPr>
      <w:jc w:val="right"/>
    </w:pPr>
    <w:rPr>
      <w:i/>
      <w:sz w:val="20"/>
    </w:rPr>
  </w:style>
  <w:style w:type="paragraph" w:customStyle="1" w:styleId="ECHRHeading9">
    <w:name w:val="ECHR_Heading_9"/>
    <w:aliases w:val="_Head_9"/>
    <w:basedOn w:val="Heading9"/>
    <w:uiPriority w:val="17"/>
    <w:semiHidden/>
    <w:rsid w:val="000D1F9A"/>
    <w:pPr>
      <w:keepNext/>
      <w:keepLines/>
      <w:numPr>
        <w:ilvl w:val="8"/>
        <w:numId w:val="22"/>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0D1F9A"/>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0D1F9A"/>
    <w:pPr>
      <w:numPr>
        <w:numId w:val="21"/>
      </w:numPr>
      <w:spacing w:before="60" w:after="60"/>
    </w:pPr>
  </w:style>
  <w:style w:type="paragraph" w:customStyle="1" w:styleId="ECHRNumberedList2">
    <w:name w:val="ECHR_Numbered_List_2"/>
    <w:aliases w:val="_Num_2"/>
    <w:basedOn w:val="ECHRNumberedList1"/>
    <w:uiPriority w:val="23"/>
    <w:semiHidden/>
    <w:rsid w:val="000D1F9A"/>
    <w:pPr>
      <w:numPr>
        <w:ilvl w:val="1"/>
      </w:numPr>
    </w:pPr>
  </w:style>
  <w:style w:type="paragraph" w:customStyle="1" w:styleId="ECHRNumberedList3">
    <w:name w:val="ECHR_Numbered_List_3"/>
    <w:aliases w:val="_Num_3"/>
    <w:basedOn w:val="ECHRNumberedList2"/>
    <w:uiPriority w:val="23"/>
    <w:semiHidden/>
    <w:rsid w:val="000D1F9A"/>
    <w:pPr>
      <w:numPr>
        <w:ilvl w:val="2"/>
      </w:numPr>
    </w:pPr>
  </w:style>
  <w:style w:type="paragraph" w:customStyle="1" w:styleId="ECHRParaHanging">
    <w:name w:val="ECHR_Para_Hanging"/>
    <w:aliases w:val="_Hanging"/>
    <w:basedOn w:val="NormalJustified"/>
    <w:uiPriority w:val="8"/>
    <w:semiHidden/>
    <w:qFormat/>
    <w:rsid w:val="000D1F9A"/>
    <w:pPr>
      <w:ind w:left="567" w:hanging="567"/>
    </w:pPr>
  </w:style>
  <w:style w:type="paragraph" w:customStyle="1" w:styleId="ECHRParaIndent">
    <w:name w:val="ECHR_Para_Indent"/>
    <w:aliases w:val="_Indent"/>
    <w:basedOn w:val="NormalJustified"/>
    <w:uiPriority w:val="7"/>
    <w:semiHidden/>
    <w:qFormat/>
    <w:rsid w:val="000D1F9A"/>
    <w:pPr>
      <w:spacing w:before="120" w:after="120"/>
      <w:ind w:left="284"/>
    </w:pPr>
  </w:style>
  <w:style w:type="character" w:customStyle="1" w:styleId="ECHRRed">
    <w:name w:val="ECHR_Red"/>
    <w:aliases w:val="_Red"/>
    <w:basedOn w:val="DefaultParagraphFont"/>
    <w:uiPriority w:val="15"/>
    <w:semiHidden/>
    <w:qFormat/>
    <w:rsid w:val="000D1F9A"/>
    <w:rPr>
      <w:color w:val="C00000" w:themeColor="accent2"/>
    </w:rPr>
  </w:style>
  <w:style w:type="paragraph" w:customStyle="1" w:styleId="DecList">
    <w:name w:val="Dec_List"/>
    <w:aliases w:val="_List"/>
    <w:basedOn w:val="JuList"/>
    <w:uiPriority w:val="22"/>
    <w:rsid w:val="000D1F9A"/>
    <w:pPr>
      <w:numPr>
        <w:numId w:val="0"/>
      </w:numPr>
      <w:ind w:left="284"/>
    </w:pPr>
  </w:style>
  <w:style w:type="table" w:customStyle="1" w:styleId="ECHRTable2">
    <w:name w:val="ECHR_Table_2"/>
    <w:basedOn w:val="TableNormal"/>
    <w:uiPriority w:val="99"/>
    <w:rsid w:val="000D1F9A"/>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0D1F9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0D1F9A"/>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0D1F9A"/>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0D1F9A"/>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0D1F9A"/>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0D1F9A"/>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0D1F9A"/>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0D1F9A"/>
    <w:pPr>
      <w:outlineLvl w:val="0"/>
    </w:pPr>
  </w:style>
  <w:style w:type="paragraph" w:customStyle="1" w:styleId="ECHRTitleTOC1">
    <w:name w:val="ECHR_Title_TOC_1"/>
    <w:aliases w:val="_Title_L_TOC"/>
    <w:basedOn w:val="ECHRTitle1"/>
    <w:next w:val="Normal"/>
    <w:uiPriority w:val="27"/>
    <w:semiHidden/>
    <w:qFormat/>
    <w:rsid w:val="000D1F9A"/>
    <w:pPr>
      <w:outlineLvl w:val="0"/>
    </w:pPr>
  </w:style>
  <w:style w:type="paragraph" w:customStyle="1" w:styleId="ECHRPlaceholder">
    <w:name w:val="ECHR_Placeholder"/>
    <w:aliases w:val="_Placeholder"/>
    <w:basedOn w:val="JuSigned"/>
    <w:uiPriority w:val="31"/>
    <w:rsid w:val="000D1F9A"/>
    <w:rPr>
      <w:color w:val="FFFFFF"/>
    </w:rPr>
  </w:style>
  <w:style w:type="paragraph" w:customStyle="1" w:styleId="ECHRSpacer">
    <w:name w:val="ECHR_Spacer"/>
    <w:aliases w:val="_Spacer"/>
    <w:basedOn w:val="Normal"/>
    <w:uiPriority w:val="45"/>
    <w:semiHidden/>
    <w:rsid w:val="000D1F9A"/>
    <w:rPr>
      <w:sz w:val="4"/>
    </w:rPr>
  </w:style>
  <w:style w:type="table" w:customStyle="1" w:styleId="ECHRTableGrey">
    <w:name w:val="ECHR_Table_Grey"/>
    <w:basedOn w:val="TableNormal"/>
    <w:uiPriority w:val="99"/>
    <w:rsid w:val="000D1F9A"/>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0D1F9A"/>
    <w:rPr>
      <w:color w:val="605E5C"/>
      <w:shd w:val="clear" w:color="auto" w:fill="E1DFDD"/>
    </w:rPr>
  </w:style>
  <w:style w:type="character" w:customStyle="1" w:styleId="JuParaChar">
    <w:name w:val="Ju_Para Char"/>
    <w:aliases w:val="_Para Char"/>
    <w:link w:val="JuPara"/>
    <w:uiPriority w:val="4"/>
    <w:rsid w:val="009A5F22"/>
    <w:rPr>
      <w:sz w:val="24"/>
      <w:szCs w:val="24"/>
      <w:lang w:val="ro-RO"/>
    </w:rPr>
  </w:style>
  <w:style w:type="table" w:styleId="GridTable1Light">
    <w:name w:val="Grid Table 1 Light"/>
    <w:basedOn w:val="TableNormal"/>
    <w:uiPriority w:val="46"/>
    <w:semiHidden/>
    <w:rsid w:val="009A5F2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JuNames0">
    <w:name w:val="Ju_Names"/>
    <w:rsid w:val="009A5F22"/>
    <w:rPr>
      <w:smallCaps/>
    </w:rPr>
  </w:style>
  <w:style w:type="paragraph" w:customStyle="1" w:styleId="JuList4">
    <w:name w:val="Ju_List_4"/>
    <w:aliases w:val="N_Bul_4"/>
    <w:basedOn w:val="JuListi"/>
    <w:uiPriority w:val="19"/>
    <w:rsid w:val="009A5F22"/>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9A5F22"/>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A5F22"/>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A5F22"/>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A5F22"/>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A5F22"/>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A5F22"/>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A5F2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9A5F22"/>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9A5F22"/>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9A5F22"/>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9A5F22"/>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9A5F22"/>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9A5F22"/>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9A5F2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9A5F2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9A5F2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9A5F2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9A5F2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9A5F2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9A5F2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9A5F2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9A5F2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9A5F2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9A5F2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9A5F2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9A5F2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9A5F2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9A5F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9A5F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9A5F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9A5F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9A5F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9A5F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9A5F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9A5F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9A5F2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9A5F2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9A5F22"/>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9A5F2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9A5F2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9A5F2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9A5F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9A5F2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9A5F2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9A5F22"/>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9A5F2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9A5F2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9A5F2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9A5F22"/>
    <w:rPr>
      <w:color w:val="2B579A"/>
      <w:shd w:val="clear" w:color="auto" w:fill="E1DFDD"/>
    </w:rPr>
  </w:style>
  <w:style w:type="table" w:styleId="ListTable1Light">
    <w:name w:val="List Table 1 Light"/>
    <w:basedOn w:val="TableNormal"/>
    <w:uiPriority w:val="46"/>
    <w:semiHidden/>
    <w:rsid w:val="009A5F2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9A5F22"/>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9A5F22"/>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9A5F22"/>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9A5F22"/>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9A5F22"/>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9A5F22"/>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9A5F2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9A5F22"/>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9A5F22"/>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9A5F22"/>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9A5F22"/>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9A5F22"/>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9A5F22"/>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9A5F2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9A5F22"/>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9A5F22"/>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9A5F22"/>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9A5F22"/>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9A5F22"/>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9A5F22"/>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9A5F2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9A5F2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9A5F2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9A5F2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9A5F2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9A5F2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9A5F2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9A5F22"/>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A5F22"/>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A5F22"/>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A5F22"/>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A5F22"/>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A5F22"/>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A5F22"/>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A5F2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9A5F22"/>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9A5F22"/>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9A5F22"/>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9A5F22"/>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9A5F22"/>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9A5F22"/>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9A5F2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A5F22"/>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A5F22"/>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A5F22"/>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A5F22"/>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A5F22"/>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A5F22"/>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9A5F22"/>
    <w:rPr>
      <w:color w:val="2B579A"/>
      <w:shd w:val="clear" w:color="auto" w:fill="E1DFDD"/>
    </w:rPr>
  </w:style>
  <w:style w:type="table" w:styleId="PlainTable1">
    <w:name w:val="Plain Table 1"/>
    <w:basedOn w:val="TableNormal"/>
    <w:uiPriority w:val="41"/>
    <w:semiHidden/>
    <w:rsid w:val="009A5F22"/>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9A5F2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9A5F2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A5F2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9A5F2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9A5F22"/>
    <w:rPr>
      <w:u w:val="dotted"/>
    </w:rPr>
  </w:style>
  <w:style w:type="character" w:customStyle="1" w:styleId="SmartLink1">
    <w:name w:val="SmartLink1"/>
    <w:basedOn w:val="DefaultParagraphFont"/>
    <w:uiPriority w:val="99"/>
    <w:semiHidden/>
    <w:unhideWhenUsed/>
    <w:rsid w:val="009A5F22"/>
    <w:rPr>
      <w:color w:val="0000FF"/>
      <w:u w:val="single"/>
      <w:shd w:val="clear" w:color="auto" w:fill="F3F2F1"/>
    </w:rPr>
  </w:style>
  <w:style w:type="table" w:styleId="TableGridLight">
    <w:name w:val="Grid Table Light"/>
    <w:basedOn w:val="TableNormal"/>
    <w:uiPriority w:val="40"/>
    <w:semiHidden/>
    <w:rsid w:val="009A5F22"/>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JuQuotChar">
    <w:name w:val="Ju_Quot Char"/>
    <w:basedOn w:val="DefaultParagraphFont"/>
    <w:link w:val="JuQuot"/>
    <w:uiPriority w:val="20"/>
    <w:rsid w:val="009A5F22"/>
    <w:rPr>
      <w:sz w:val="20"/>
      <w:szCs w:val="24"/>
      <w:lang w:val="ro-RO"/>
    </w:rPr>
  </w:style>
  <w:style w:type="paragraph" w:styleId="Revision">
    <w:name w:val="Revision"/>
    <w:hidden/>
    <w:uiPriority w:val="99"/>
    <w:semiHidden/>
    <w:rsid w:val="009A5F22"/>
    <w:rPr>
      <w:sz w:val="24"/>
      <w:szCs w:val="24"/>
    </w:rPr>
  </w:style>
  <w:style w:type="character" w:customStyle="1" w:styleId="JuListChar">
    <w:name w:val="Ju_List Char"/>
    <w:link w:val="JuList"/>
    <w:uiPriority w:val="23"/>
    <w:rsid w:val="009A5F22"/>
    <w:rPr>
      <w:sz w:val="24"/>
      <w:szCs w:val="24"/>
      <w:lang w:val="ro-RO"/>
    </w:rPr>
  </w:style>
  <w:style w:type="paragraph" w:customStyle="1" w:styleId="jupara0">
    <w:name w:val="jupara"/>
    <w:basedOn w:val="Normal"/>
    <w:rsid w:val="00F266FB"/>
    <w:pPr>
      <w:ind w:firstLine="284"/>
      <w:jc w:val="both"/>
    </w:pPr>
    <w:rPr>
      <w:rFonts w:ascii="Times New Roman" w:eastAsia="Times New Roman" w:hAnsi="Times New Roman" w:cs="Times New Roman"/>
      <w:lang w:eastAsia="en-GB"/>
    </w:rPr>
  </w:style>
  <w:style w:type="paragraph" w:customStyle="1" w:styleId="jucase0">
    <w:name w:val="jucase"/>
    <w:basedOn w:val="Normal"/>
    <w:rsid w:val="00F266FB"/>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0F26C7-CE44-46F1-90B2-C66EF444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CAEE917-C16A-484E-BB41-B8EF1ED6665D}">
  <ds:schemaRefs>
    <ds:schemaRef ds:uri="http://schemas.openxmlformats.org/officeDocument/2006/bibliography"/>
  </ds:schemaRefs>
</ds:datastoreItem>
</file>

<file path=customXml/itemProps3.xml><?xml version="1.0" encoding="utf-8"?>
<ds:datastoreItem xmlns:ds="http://schemas.openxmlformats.org/officeDocument/2006/customXml" ds:itemID="{3974632E-5F87-4C01-83C7-D736AC426FF2}">
  <ds:schemaRefs>
    <ds:schemaRef ds:uri="http://schemas.microsoft.com/sharepoint/v3/contenttype/forms"/>
  </ds:schemaRefs>
</ds:datastoreItem>
</file>

<file path=customXml/itemProps4.xml><?xml version="1.0" encoding="utf-8"?>
<ds:datastoreItem xmlns:ds="http://schemas.openxmlformats.org/officeDocument/2006/customXml" ds:itemID="{7860513D-E0FF-470C-B0C6-32AA4C3002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19930</Words>
  <Characters>115594</Characters>
  <Application>Microsoft Office Word</Application>
  <DocSecurity>0</DocSecurity>
  <Lines>963</Lines>
  <Paragraphs>270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135254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2023-03-31T09:10:00Z</dcterms:created>
  <dcterms:modified xsi:type="dcterms:W3CDTF">2023-03-31T10:24:00Z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22953/16</vt:lpwstr>
  </property>
  <property fmtid="{D5CDD505-2E9C-101B-9397-08002B2CF9AE}" pid="4" name="CASEID">
    <vt:lpwstr>1196451</vt:lpwstr>
  </property>
  <property fmtid="{D5CDD505-2E9C-101B-9397-08002B2CF9AE}" pid="5" name="ContentTypeId">
    <vt:lpwstr>0x010100558EB02BDB9E204AB350EDD385B68E10</vt:lpwstr>
  </property>
</Properties>
</file>