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BF4" w:rsidRPr="00421BF4" w:rsidRDefault="00A1586D" w:rsidP="00421BF4">
      <w:pPr>
        <w:pStyle w:val="DecHCase"/>
        <w:spacing w:after="120"/>
      </w:pPr>
      <w:r>
        <w:br/>
        <w:t>CURTEA EUROPEANĂ A DREPTURILOR OMULUI</w:t>
      </w:r>
    </w:p>
    <w:p w:rsidR="00DC4033" w:rsidRPr="00421BF4" w:rsidRDefault="00A1586D" w:rsidP="00421BF4">
      <w:pPr>
        <w:pStyle w:val="DecHCase"/>
      </w:pPr>
      <w:r>
        <w:t>COLEGIUL MARII CAMERE</w:t>
      </w:r>
    </w:p>
    <w:p w:rsidR="00964E92" w:rsidRPr="00421BF4" w:rsidRDefault="00A1586D" w:rsidP="00421BF4">
      <w:pPr>
        <w:pStyle w:val="JuTitle"/>
      </w:pPr>
      <w:r>
        <w:t>DECIZIE</w:t>
      </w:r>
    </w:p>
    <w:p w:rsidR="0031071C" w:rsidRPr="00421BF4" w:rsidRDefault="00A1586D" w:rsidP="00421BF4">
      <w:pPr>
        <w:jc w:val="center"/>
        <w:rPr>
          <w:i/>
          <w:iCs/>
        </w:rPr>
      </w:pPr>
      <w:r>
        <w:rPr>
          <w:i/>
        </w:rPr>
        <w:t>privind o cerere de aviz consultativ, formulată în temeiul Protocolului nr. 16, referito</w:t>
      </w:r>
      <w:r w:rsidR="00565754">
        <w:rPr>
          <w:i/>
        </w:rPr>
        <w:t>a</w:t>
      </w:r>
      <w:r>
        <w:rPr>
          <w:i/>
        </w:rPr>
        <w:t>r</w:t>
      </w:r>
      <w:r w:rsidR="00565754">
        <w:rPr>
          <w:i/>
        </w:rPr>
        <w:t>e</w:t>
      </w:r>
      <w:r>
        <w:rPr>
          <w:i/>
        </w:rPr>
        <w:t xml:space="preserve"> la interpretarea și aplicarea art. 8 din Convenție</w:t>
      </w:r>
    </w:p>
    <w:p w:rsidR="0031071C" w:rsidRPr="00421BF4" w:rsidRDefault="0031071C" w:rsidP="00421BF4">
      <w:pPr>
        <w:jc w:val="center"/>
      </w:pPr>
    </w:p>
    <w:p w:rsidR="001D5438" w:rsidRPr="00421BF4" w:rsidRDefault="00A1586D" w:rsidP="00421BF4">
      <w:pPr>
        <w:jc w:val="center"/>
        <w:rPr>
          <w:b/>
          <w:bCs/>
        </w:rPr>
      </w:pPr>
      <w:r>
        <w:rPr>
          <w:b/>
        </w:rPr>
        <w:t>Cerere formulată de</w:t>
      </w:r>
    </w:p>
    <w:p w:rsidR="0031071C" w:rsidRPr="00421BF4" w:rsidRDefault="00A1586D" w:rsidP="00421BF4">
      <w:pPr>
        <w:jc w:val="center"/>
      </w:pPr>
      <w:r>
        <w:t>Înalta Curte de Casație și Justiție a României</w:t>
      </w:r>
    </w:p>
    <w:p w:rsidR="0031071C" w:rsidRPr="00421BF4" w:rsidRDefault="0031071C" w:rsidP="00421BF4">
      <w:pPr>
        <w:jc w:val="center"/>
      </w:pPr>
    </w:p>
    <w:p w:rsidR="00DC4033" w:rsidRPr="00421BF4" w:rsidRDefault="00A1586D" w:rsidP="00421BF4">
      <w:pPr>
        <w:pStyle w:val="ECHRCoverTitle4"/>
      </w:pPr>
      <w:r>
        <w:t>(Cererea nr. P16-2024-002)</w:t>
      </w:r>
    </w:p>
    <w:p w:rsidR="00DC4033" w:rsidRPr="00421BF4" w:rsidRDefault="00DC4033" w:rsidP="00421BF4">
      <w:pPr>
        <w:jc w:val="center"/>
        <w:rPr>
          <w:rFonts w:ascii="Times New Roman" w:hAnsi="Times New Roman" w:cs="Times New Roman"/>
        </w:rPr>
      </w:pPr>
    </w:p>
    <w:p w:rsidR="00DC4033" w:rsidRPr="00421BF4" w:rsidRDefault="00DC4033" w:rsidP="00421BF4">
      <w:pPr>
        <w:pStyle w:val="DecHCase"/>
      </w:pPr>
    </w:p>
    <w:p w:rsidR="00DC4033" w:rsidRPr="00421BF4" w:rsidRDefault="00DC4033" w:rsidP="00421BF4">
      <w:pPr>
        <w:pStyle w:val="DecHCase"/>
      </w:pPr>
      <w:bookmarkStart w:id="0" w:name="_GoBack"/>
      <w:bookmarkEnd w:id="0"/>
    </w:p>
    <w:p w:rsidR="00964E92" w:rsidRPr="00421BF4" w:rsidRDefault="00964E92" w:rsidP="00421BF4">
      <w:pPr>
        <w:pStyle w:val="DecHCase"/>
      </w:pPr>
    </w:p>
    <w:p w:rsidR="00F2308A" w:rsidRPr="00421BF4" w:rsidRDefault="00F2308A" w:rsidP="00421BF4">
      <w:pPr>
        <w:pStyle w:val="DecHCase"/>
      </w:pPr>
    </w:p>
    <w:p w:rsidR="00964E92" w:rsidRPr="00421BF4" w:rsidRDefault="00964E92" w:rsidP="00421BF4">
      <w:pPr>
        <w:pStyle w:val="DecHCase"/>
        <w:rPr>
          <w:rFonts w:ascii="Times New Roman" w:hAnsi="Times New Roman" w:cs="Times New Roman"/>
        </w:rPr>
      </w:pPr>
    </w:p>
    <w:p w:rsidR="00DC4033" w:rsidRPr="00421BF4" w:rsidRDefault="00A1586D" w:rsidP="00421BF4">
      <w:pPr>
        <w:pStyle w:val="DecHCase"/>
      </w:pPr>
      <w:r>
        <w:t>STRASBOURG</w:t>
      </w:r>
    </w:p>
    <w:p w:rsidR="00DC4033" w:rsidRPr="00421BF4" w:rsidRDefault="00A1586D" w:rsidP="00421BF4">
      <w:pPr>
        <w:pStyle w:val="DecHCase"/>
      </w:pPr>
      <w:r>
        <w:t>20 decembrie 2024</w:t>
      </w:r>
    </w:p>
    <w:p w:rsidR="00DC4033" w:rsidRPr="00421BF4" w:rsidRDefault="00DC4033" w:rsidP="00421BF4">
      <w:pPr>
        <w:jc w:val="center"/>
        <w:rPr>
          <w:rFonts w:ascii="Times New Roman" w:hAnsi="Times New Roman" w:cs="Times New Roman"/>
        </w:rPr>
      </w:pPr>
    </w:p>
    <w:p w:rsidR="00DC4033" w:rsidRPr="00421BF4" w:rsidRDefault="00DC4033" w:rsidP="00421BF4">
      <w:pPr>
        <w:jc w:val="center"/>
        <w:rPr>
          <w:rFonts w:ascii="Times New Roman" w:hAnsi="Times New Roman" w:cs="Times New Roman"/>
        </w:rPr>
      </w:pPr>
    </w:p>
    <w:p w:rsidR="00421BF4" w:rsidRPr="00421BF4" w:rsidRDefault="00421BF4" w:rsidP="00421BF4">
      <w:pPr>
        <w:jc w:val="center"/>
        <w:rPr>
          <w:rFonts w:ascii="Times New Roman" w:hAnsi="Times New Roman" w:cs="Times New Roman"/>
        </w:rPr>
      </w:pPr>
    </w:p>
    <w:p w:rsidR="00643E3E" w:rsidRPr="00421BF4" w:rsidRDefault="00A1586D" w:rsidP="00421BF4">
      <w:pPr>
        <w:jc w:val="center"/>
        <w:rPr>
          <w:rFonts w:ascii="Times New Roman" w:hAnsi="Times New Roman" w:cs="Times New Roman"/>
        </w:rPr>
      </w:pPr>
      <w:r>
        <w:rPr>
          <w:i/>
        </w:rPr>
        <w:t>Această decizie este definitivă. Poate suferi modificări de formă.</w:t>
      </w:r>
    </w:p>
    <w:p w:rsidR="006B0F25" w:rsidRPr="00421BF4" w:rsidRDefault="006B0F25" w:rsidP="00421BF4">
      <w:pPr>
        <w:rPr>
          <w:rFonts w:ascii="Times New Roman" w:hAnsi="Times New Roman" w:cs="Times New Roman"/>
          <w:i/>
          <w:sz w:val="22"/>
        </w:rPr>
      </w:pPr>
    </w:p>
    <w:p w:rsidR="00DC4033" w:rsidRPr="00421BF4" w:rsidRDefault="00DC4033" w:rsidP="00421BF4">
      <w:pPr>
        <w:rPr>
          <w:rFonts w:ascii="Times New Roman" w:hAnsi="Times New Roman" w:cs="Times New Roman"/>
          <w:sz w:val="22"/>
        </w:rPr>
        <w:sectPr w:rsidR="00DC4033" w:rsidRPr="00421BF4" w:rsidSect="001F1CD9">
          <w:headerReference w:type="default" r:id="rId9"/>
          <w:footerReference w:type="default" r:id="rId10"/>
          <w:footnotePr>
            <w:numRestart w:val="eachSect"/>
          </w:footnotePr>
          <w:pgSz w:w="11906" w:h="16838" w:code="9"/>
          <w:pgMar w:top="2274" w:right="2274" w:bottom="2274" w:left="2274" w:header="1701" w:footer="720" w:gutter="0"/>
          <w:pgNumType w:start="1"/>
          <w:cols w:space="720"/>
          <w:noEndnote/>
        </w:sectPr>
      </w:pPr>
    </w:p>
    <w:p w:rsidR="00416DDD" w:rsidRPr="00421BF4" w:rsidRDefault="00A1586D" w:rsidP="00421BF4">
      <w:pPr>
        <w:pStyle w:val="JuPara"/>
      </w:pPr>
      <w:r>
        <w:lastRenderedPageBreak/>
        <w:t>Curtea Europeană a Drepturilor Omului, reunită într-un colegiu al Marii Camere compus din:</w:t>
      </w:r>
    </w:p>
    <w:p w:rsidR="00130787" w:rsidRPr="00421BF4" w:rsidRDefault="00A1586D" w:rsidP="00421BF4">
      <w:pPr>
        <w:pStyle w:val="JuJudges"/>
      </w:pPr>
      <w:r>
        <w:tab/>
        <w:t xml:space="preserve">Marko Bošnjak, </w:t>
      </w:r>
      <w:r>
        <w:rPr>
          <w:i/>
        </w:rPr>
        <w:t>președinte,</w:t>
      </w:r>
    </w:p>
    <w:p w:rsidR="00130787" w:rsidRPr="00421BF4" w:rsidRDefault="00A1586D" w:rsidP="00421BF4">
      <w:pPr>
        <w:pStyle w:val="JuJudges"/>
      </w:pPr>
      <w:r>
        <w:tab/>
        <w:t>Ivana Jelić</w:t>
      </w:r>
    </w:p>
    <w:p w:rsidR="00130787" w:rsidRPr="00421BF4" w:rsidRDefault="00A1586D" w:rsidP="00421BF4">
      <w:pPr>
        <w:pStyle w:val="JuJudges"/>
      </w:pPr>
      <w:r>
        <w:tab/>
        <w:t>Ioannis Ktistakis</w:t>
      </w:r>
    </w:p>
    <w:p w:rsidR="00130787" w:rsidRPr="00421BF4" w:rsidRDefault="00A1586D" w:rsidP="00421BF4">
      <w:pPr>
        <w:pStyle w:val="JuJudges"/>
      </w:pPr>
      <w:r>
        <w:tab/>
        <w:t>Anne Louise Bormann</w:t>
      </w:r>
    </w:p>
    <w:p w:rsidR="00416DDD" w:rsidRPr="00421BF4" w:rsidRDefault="00A1586D" w:rsidP="00421BF4">
      <w:pPr>
        <w:pStyle w:val="JuJudges"/>
      </w:pPr>
      <w:r>
        <w:tab/>
        <w:t>Sebastian Răduleţu</w:t>
      </w:r>
      <w:r>
        <w:rPr>
          <w:rStyle w:val="JuNames0"/>
        </w:rPr>
        <w:t xml:space="preserve">, </w:t>
      </w:r>
      <w:r>
        <w:rPr>
          <w:i/>
        </w:rPr>
        <w:t>judecători</w:t>
      </w:r>
      <w:r>
        <w:t>,</w:t>
      </w:r>
      <w:r>
        <w:br/>
        <w:t xml:space="preserve">și Søren Prebensen, </w:t>
      </w:r>
      <w:r>
        <w:rPr>
          <w:i/>
        </w:rPr>
        <w:t>grefier adjunct al Marii Camere</w:t>
      </w:r>
      <w:r>
        <w:t>,</w:t>
      </w:r>
    </w:p>
    <w:p w:rsidR="001B471A" w:rsidRPr="00421BF4" w:rsidRDefault="00A1586D" w:rsidP="00421BF4">
      <w:pPr>
        <w:pStyle w:val="JuPara"/>
      </w:pPr>
      <w:r>
        <w:t>După ce a deliberat în camera de consiliu la 16 decembrie 2024,</w:t>
      </w:r>
    </w:p>
    <w:p w:rsidR="00416DDD" w:rsidRPr="00421BF4" w:rsidRDefault="00A1586D" w:rsidP="00421BF4">
      <w:pPr>
        <w:pStyle w:val="JuPara"/>
      </w:pPr>
      <w:r>
        <w:t>Pronunță următoarea decizie:</w:t>
      </w:r>
    </w:p>
    <w:p w:rsidR="00CE02F9" w:rsidRPr="00421BF4" w:rsidRDefault="00A1586D" w:rsidP="00421BF4">
      <w:pPr>
        <w:pStyle w:val="JuHHead"/>
        <w:rPr>
          <w:rFonts w:ascii="Times New Roman" w:hAnsi="Times New Roman" w:cs="Times New Roman"/>
        </w:rPr>
      </w:pPr>
      <w:r>
        <w:rPr>
          <w:rFonts w:ascii="Times New Roman" w:hAnsi="Times New Roman"/>
        </w:rPr>
        <w:t>PROCEDURA</w:t>
      </w:r>
    </w:p>
    <w:p w:rsidR="005B790A" w:rsidRPr="00421BF4" w:rsidRDefault="00AB4375" w:rsidP="00421BF4">
      <w:pPr>
        <w:pStyle w:val="JuPara"/>
      </w:pPr>
      <w:r>
        <w:fldChar w:fldCharType="begin"/>
      </w:r>
      <w:r>
        <w:instrText xml:space="preserve"> SEQ level0 \*arabic \r1 </w:instrText>
      </w:r>
      <w:r>
        <w:fldChar w:fldCharType="separate"/>
      </w:r>
      <w:r>
        <w:rPr>
          <w:noProof/>
        </w:rPr>
        <w:t>1</w:t>
      </w:r>
      <w:r>
        <w:rPr>
          <w:noProof/>
        </w:rPr>
        <w:fldChar w:fldCharType="end"/>
      </w:r>
      <w:r w:rsidR="00A1586D">
        <w:t>.</w:t>
      </w:r>
      <w:r w:rsidR="00565754">
        <w:t xml:space="preserve"> </w:t>
      </w:r>
      <w:r w:rsidR="00A1586D">
        <w:t xml:space="preserve">Prin scrisoarea din 31 octombrie 2024, primită de Curtea Europeană a Drepturilor Omului („Curtea”) la 13 noiembrie 2024, Înalta Curte de Casație și Justiție a României („Înalta Curte”; „instanța solicitantă”) a adresat Curții, în temeiul art. 1 din Protocolul nr. 16 la Convenția pentru apărarea drepturilor omului și a libertăților fundamentale („Protocolul nr. 16”), o cerere pentru emiterea unui aviz consultativ cu privire la întrebările formulate la pct. 2 </w:t>
      </w:r>
      <w:r w:rsidR="00A1586D">
        <w:rPr>
          <w:i/>
          <w:iCs/>
        </w:rPr>
        <w:t>infra</w:t>
      </w:r>
      <w:r w:rsidR="00A1586D">
        <w:t>.</w:t>
      </w:r>
    </w:p>
    <w:p w:rsidR="00EB447C" w:rsidRPr="00421BF4" w:rsidRDefault="00A1586D" w:rsidP="00421BF4">
      <w:pPr>
        <w:pStyle w:val="JuHHead"/>
        <w:rPr>
          <w:rFonts w:ascii="Times New Roman" w:hAnsi="Times New Roman" w:cs="Times New Roman"/>
        </w:rPr>
      </w:pPr>
      <w:r>
        <w:rPr>
          <w:rFonts w:ascii="Times New Roman" w:hAnsi="Times New Roman"/>
        </w:rPr>
        <w:t>ÎNTREBĂRILE ADRESATE</w:t>
      </w:r>
    </w:p>
    <w:p w:rsidR="00416DDD" w:rsidRPr="00421BF4" w:rsidRDefault="00A1586D" w:rsidP="00421BF4">
      <w:pPr>
        <w:pStyle w:val="JuPara"/>
      </w:pPr>
      <w:r w:rsidRPr="00421BF4">
        <w:rPr>
          <w:rFonts w:ascii="Times New Roman" w:hAnsi="Times New Roman" w:cs="Times New Roman"/>
        </w:rPr>
        <w:fldChar w:fldCharType="begin"/>
      </w:r>
      <w:r w:rsidRPr="00421BF4">
        <w:rPr>
          <w:rFonts w:ascii="Times New Roman" w:hAnsi="Times New Roman" w:cs="Times New Roman"/>
        </w:rPr>
        <w:instrText xml:space="preserve"> SEQ level0 \*arabic \* MERGEFORMAT </w:instrText>
      </w:r>
      <w:r w:rsidRPr="00421BF4">
        <w:rPr>
          <w:rFonts w:ascii="Times New Roman" w:hAnsi="Times New Roman" w:cs="Times New Roman"/>
        </w:rPr>
        <w:fldChar w:fldCharType="separate"/>
      </w:r>
      <w:bookmarkStart w:id="1" w:name="paragraph00002"/>
      <w:r w:rsidR="00AB4375">
        <w:rPr>
          <w:rFonts w:ascii="Times New Roman" w:hAnsi="Times New Roman" w:cs="Times New Roman"/>
          <w:noProof/>
        </w:rPr>
        <w:t>2</w:t>
      </w:r>
      <w:bookmarkEnd w:id="1"/>
      <w:r w:rsidRPr="00421BF4">
        <w:rPr>
          <w:rFonts w:ascii="Times New Roman" w:hAnsi="Times New Roman" w:cs="Times New Roman"/>
        </w:rPr>
        <w:fldChar w:fldCharType="end"/>
      </w:r>
      <w:r>
        <w:rPr>
          <w:rFonts w:ascii="Times New Roman" w:hAnsi="Times New Roman"/>
        </w:rPr>
        <w:t>.</w:t>
      </w:r>
      <w:r w:rsidR="00565754">
        <w:t xml:space="preserve"> </w:t>
      </w:r>
      <w:r>
        <w:t>Întrebările adresate în cererea de aviz consultativ erau formulate astfel:</w:t>
      </w:r>
    </w:p>
    <w:p w:rsidR="001D5438" w:rsidRPr="00421BF4" w:rsidRDefault="00A1586D" w:rsidP="00421BF4">
      <w:pPr>
        <w:pStyle w:val="JuQuot"/>
      </w:pPr>
      <w:r>
        <w:t>„1. Art. 8 din Convenția pentru apărarea drepturilor omului și a libertăților fundamentale se aplică în ceea ce privește o pretinsă încălcare a dreptului unei persoane la respectarea vieții private, ca urmare a eliberării sale din funcția de judecător pentru neprezentarea la o expertiză de specialitate menită să stabilească în ce măsură suferă de o boală psihică de natură să o împiedice să își exercite atribuțiile în mod corespunzător?</w:t>
      </w:r>
    </w:p>
    <w:p w:rsidR="0076761C" w:rsidRPr="00421BF4" w:rsidRDefault="00A1586D" w:rsidP="00421BF4">
      <w:pPr>
        <w:pStyle w:val="JuQuot"/>
      </w:pPr>
      <w:r>
        <w:rPr>
          <w:rStyle w:val="sbb9ee52a"/>
        </w:rPr>
        <w:t>2. În cazul unui răspuns afirmativ la prima întrebare, sunt îndeplinite cerințele specifice ale unei legi – și anume accesibilitatea, precizia și previzibilitatea – în cazul în care norma juridică aplicabilă nu prevede în mod expres că, pe durata suspendării din funcția de judecător, autoritatea competentă trebuie să ia primele măsuri prin trimiterea către judecătorul în cauză a unei noi citații de a se prezenta la expertiza de specialitate, chiar dacă o astfel de citație a fost trimisă inițial, iar refuzul persoanei în cauză de a se conforma acestei prime citații a avut ca efect suspendarea din funcția de judecător sus-menționată; în plus, dacă se dovedește util pentru formularea unui răspuns, se poate deduce din spiritul legii că judecătorul suspendat are obligația de a da dovadă de un minim de diligență, indicându-și disponibilitatea de a se prezenta la expertiză și, în acest scop, precizând una sau mai multe date sau un termen pentru această prezentare, ca un prim pas în vederea finalizării procedurii de expertiză? </w:t>
      </w:r>
      <w:r>
        <w:t>”</w:t>
      </w:r>
    </w:p>
    <w:p w:rsidR="0076761C" w:rsidRPr="00421BF4" w:rsidRDefault="00A1586D" w:rsidP="00421BF4">
      <w:pPr>
        <w:pStyle w:val="JuHHead"/>
      </w:pPr>
      <w:r>
        <w:lastRenderedPageBreak/>
        <w:t>CONTEXTUL ȘI PROCEDURA INTERNĂ LA ORIGINEA CERERII</w:t>
      </w:r>
    </w:p>
    <w:p w:rsidR="00935495" w:rsidRPr="00421BF4" w:rsidRDefault="00A1586D" w:rsidP="00421BF4">
      <w:pPr>
        <w:pStyle w:val="JuHIRoman"/>
      </w:pPr>
      <w:r>
        <w:t>SISTEMUL INSTITUIT ÎN ROMÂNIA</w:t>
      </w:r>
    </w:p>
    <w:p w:rsidR="001D5438" w:rsidRPr="00421BF4" w:rsidRDefault="00AB4375" w:rsidP="00421BF4">
      <w:pPr>
        <w:pStyle w:val="JuPara"/>
      </w:pPr>
      <w:r>
        <w:fldChar w:fldCharType="begin"/>
      </w:r>
      <w:r>
        <w:instrText xml:space="preserve"> SEQ level0 \*arabic \* MERGEFORMAT </w:instrText>
      </w:r>
      <w:r>
        <w:fldChar w:fldCharType="separate"/>
      </w:r>
      <w:r>
        <w:rPr>
          <w:noProof/>
        </w:rPr>
        <w:t>3</w:t>
      </w:r>
      <w:r>
        <w:rPr>
          <w:noProof/>
        </w:rPr>
        <w:fldChar w:fldCharType="end"/>
      </w:r>
      <w:r w:rsidR="00A1586D">
        <w:t>.</w:t>
      </w:r>
      <w:r w:rsidR="00565754">
        <w:t xml:space="preserve"> </w:t>
      </w:r>
      <w:r w:rsidR="00A1586D">
        <w:t>În conformitate cu legislația română, Legea nr. 303/2004 privind statutul judecătorilor și procurorilor reglementează cazurile în care un magistrat poate fi suspendat și eliberat din funcție.</w:t>
      </w:r>
    </w:p>
    <w:p w:rsidR="007F3711" w:rsidRPr="00421BF4" w:rsidRDefault="00AB4375" w:rsidP="00421BF4">
      <w:pPr>
        <w:pStyle w:val="JuPara"/>
      </w:pPr>
      <w:r>
        <w:fldChar w:fldCharType="begin"/>
      </w:r>
      <w:r>
        <w:instrText xml:space="preserve"> SEQ level0 \*arabic \* MERGEFORMAT </w:instrText>
      </w:r>
      <w:r>
        <w:fldChar w:fldCharType="separate"/>
      </w:r>
      <w:r>
        <w:rPr>
          <w:noProof/>
        </w:rPr>
        <w:t>4</w:t>
      </w:r>
      <w:r>
        <w:rPr>
          <w:noProof/>
        </w:rPr>
        <w:fldChar w:fldCharType="end"/>
      </w:r>
      <w:r w:rsidR="00A1586D">
        <w:t>.</w:t>
      </w:r>
      <w:r w:rsidR="00565754">
        <w:t xml:space="preserve"> </w:t>
      </w:r>
      <w:r w:rsidR="00A1586D">
        <w:t>Art. 62 alin. (1) lit. b) din Legea nr. 303/2004 prevede că un magistrat este suspendat din funcție în cazul când suferă de o boală psihică, care îl împiedică să-și exercite funcția în mod corespunzător, până la însănătoșire.</w:t>
      </w:r>
    </w:p>
    <w:p w:rsidR="001254E6" w:rsidRPr="00421BF4" w:rsidRDefault="00AB4375" w:rsidP="00421BF4">
      <w:pPr>
        <w:pStyle w:val="JuPara"/>
      </w:pPr>
      <w:r>
        <w:fldChar w:fldCharType="begin"/>
      </w:r>
      <w:r>
        <w:instrText xml:space="preserve"> SEQ level0 \*arabic \* MERGEFORMAT </w:instrText>
      </w:r>
      <w:r>
        <w:fldChar w:fldCharType="separate"/>
      </w:r>
      <w:r>
        <w:rPr>
          <w:noProof/>
        </w:rPr>
        <w:t>5</w:t>
      </w:r>
      <w:r>
        <w:rPr>
          <w:noProof/>
        </w:rPr>
        <w:fldChar w:fldCharType="end"/>
      </w:r>
      <w:r w:rsidR="00A1586D">
        <w:t>.</w:t>
      </w:r>
      <w:r w:rsidR="00565754">
        <w:t xml:space="preserve"> </w:t>
      </w:r>
      <w:r w:rsidR="00A1586D">
        <w:t>Pentru a stabili dacă un magistrat suferă de o boală psihică, Consiliul Superior al Magistraturii („CSM”) dispune, la sesizarea președintelui instanței, prezentarea magistratului la o expertiză de specialitate efectuată de o comisie medicală [art. 64 alin. (1) din Legea nr. 303/2004]. În cazul în care magistratul refuză în mod nejustificat să se prezinte la expertiza de specialitate, secția corespunzătoare a CSM dispune suspendarea din funcție a acestuia pe o perioadă de un an [art. 64 alin. (4) din Legea nr. 303/2004]. În cazul în care magistratul nu s-a prezentat în mod nejustificat la expertiza de specialitate până la împlinirea duratei suspendării sale din funcție, acesta este eliberat din funcție prin decret al Președintelui României, la propunerea CSM [art. 65 alin. (1) lit. h) și (2) din Legea nr. 303/2004].</w:t>
      </w:r>
    </w:p>
    <w:p w:rsidR="003A4350" w:rsidRPr="00421BF4" w:rsidRDefault="00A1586D" w:rsidP="00421BF4">
      <w:pPr>
        <w:pStyle w:val="JuHIRoman"/>
      </w:pPr>
      <w:r>
        <w:t>FAPTELE CARE AU STAT LA BAZA CERERII DE AVIZ CONSULTATIV</w:t>
      </w:r>
    </w:p>
    <w:p w:rsidR="001254E6" w:rsidRPr="00421BF4" w:rsidRDefault="00AB4375" w:rsidP="00421BF4">
      <w:pPr>
        <w:pStyle w:val="JuPara"/>
      </w:pPr>
      <w:r>
        <w:fldChar w:fldCharType="begin"/>
      </w:r>
      <w:r>
        <w:instrText xml:space="preserve"> SEQ level0 \*arabic \* MERGEFORMAT </w:instrText>
      </w:r>
      <w:r>
        <w:fldChar w:fldCharType="separate"/>
      </w:r>
      <w:r>
        <w:rPr>
          <w:noProof/>
        </w:rPr>
        <w:t>6</w:t>
      </w:r>
      <w:r>
        <w:rPr>
          <w:noProof/>
        </w:rPr>
        <w:fldChar w:fldCharType="end"/>
      </w:r>
      <w:r w:rsidR="00A1586D">
        <w:t>.</w:t>
      </w:r>
      <w:r w:rsidR="00565754">
        <w:t xml:space="preserve"> </w:t>
      </w:r>
      <w:r w:rsidR="00A1586D">
        <w:t>Prin hotărârea din 10 aprilie 2019, secția pentru judecători în materie disciplinară a CSM a dispus ca o judecătoare să fie supusă unei expertize medicale pentru evaluarea stării sale de sănătate mintală, în conformitate cu art. 64 alin. (1) din Legea nr. 303/2004.</w:t>
      </w:r>
    </w:p>
    <w:p w:rsidR="001254E6" w:rsidRPr="00421BF4" w:rsidRDefault="00AB4375" w:rsidP="00421BF4">
      <w:pPr>
        <w:pStyle w:val="JuPara"/>
      </w:pPr>
      <w:r>
        <w:fldChar w:fldCharType="begin"/>
      </w:r>
      <w:r>
        <w:instrText xml:space="preserve"> SEQ level0 \*arabic \* MERGEFORMAT </w:instrText>
      </w:r>
      <w:r>
        <w:fldChar w:fldCharType="separate"/>
      </w:r>
      <w:r>
        <w:rPr>
          <w:noProof/>
        </w:rPr>
        <w:t>7</w:t>
      </w:r>
      <w:r>
        <w:rPr>
          <w:noProof/>
        </w:rPr>
        <w:fldChar w:fldCharType="end"/>
      </w:r>
      <w:r w:rsidR="00A1586D">
        <w:t>.</w:t>
      </w:r>
      <w:r w:rsidR="00565754">
        <w:t xml:space="preserve"> </w:t>
      </w:r>
      <w:r w:rsidR="00A1586D">
        <w:t>Prin hotărârea din 7 mai 2020, în temeiul art. 64 alin. (4) din Legea nr. 303/2004, secția pentru judecători în materie disciplinară a CSM a constatat neprezentarea nejustificată a judecătoarei în cauză în fața comisiei medicale pentru efectuarea expertizei medicale de specialitate și a dispus suspendarea acesteia din funcție pentru o perioadă de un an.</w:t>
      </w:r>
    </w:p>
    <w:p w:rsidR="001D5438" w:rsidRPr="00421BF4" w:rsidRDefault="00AB4375" w:rsidP="00421BF4">
      <w:pPr>
        <w:pStyle w:val="JuPara"/>
      </w:pPr>
      <w:r>
        <w:fldChar w:fldCharType="begin"/>
      </w:r>
      <w:r>
        <w:instrText xml:space="preserve"> SEQ level0 \*arabic \* MER</w:instrText>
      </w:r>
      <w:r>
        <w:instrText xml:space="preserve">GEFORMAT </w:instrText>
      </w:r>
      <w:r>
        <w:fldChar w:fldCharType="separate"/>
      </w:r>
      <w:r>
        <w:rPr>
          <w:noProof/>
        </w:rPr>
        <w:t>8</w:t>
      </w:r>
      <w:r>
        <w:rPr>
          <w:noProof/>
        </w:rPr>
        <w:fldChar w:fldCharType="end"/>
      </w:r>
      <w:r w:rsidR="00A1586D">
        <w:t>.</w:t>
      </w:r>
      <w:r w:rsidR="00565754">
        <w:t xml:space="preserve"> </w:t>
      </w:r>
      <w:r w:rsidR="00A1586D">
        <w:t>Prin hotărârea din 13 mai 2021, constatând că perioada de suspendare de un an s-a încheiat fără ca expertiza să fie efectuată, secția pentru judecători în materie disciplinară a CSM a propus Președintelui României eliberarea din funcție a judecătoarei, în temeiul art. 65 alin. (1) lit. h) și (2) din Legea nr. 303/2004.</w:t>
      </w:r>
    </w:p>
    <w:p w:rsidR="001254E6" w:rsidRPr="00421BF4" w:rsidRDefault="00AB4375" w:rsidP="00421BF4">
      <w:pPr>
        <w:pStyle w:val="JuPara"/>
      </w:pPr>
      <w:r>
        <w:fldChar w:fldCharType="begin"/>
      </w:r>
      <w:r>
        <w:instrText xml:space="preserve"> SEQ level0 \*arabic \* MERGEFORMAT </w:instrText>
      </w:r>
      <w:r>
        <w:fldChar w:fldCharType="separate"/>
      </w:r>
      <w:bookmarkStart w:id="2" w:name="paragraph00010"/>
      <w:r>
        <w:rPr>
          <w:noProof/>
        </w:rPr>
        <w:t>9</w:t>
      </w:r>
      <w:bookmarkEnd w:id="2"/>
      <w:r>
        <w:rPr>
          <w:noProof/>
        </w:rPr>
        <w:fldChar w:fldCharType="end"/>
      </w:r>
      <w:r w:rsidR="00A1586D">
        <w:t>.</w:t>
      </w:r>
      <w:r w:rsidR="00565754">
        <w:t xml:space="preserve"> </w:t>
      </w:r>
      <w:r w:rsidR="00A1586D">
        <w:t xml:space="preserve">Judecătoarea a sesizat Curtea de Apel Timișoara cu o acțiune în contencios administrativ, solicitând anularea hotărârii CSM din 13 mai 2021. Aceasta a susținut că hotărârea nu avea un temei juridic precis și previzibil, întrucât legea nu prevedea dacă îi revenea obligația de a întreprinde demersuri </w:t>
      </w:r>
      <w:r w:rsidR="00A1586D">
        <w:lastRenderedPageBreak/>
        <w:t>în vederea efectuării expertizei medicale de specialitate în timpul suspendării sale din funcție sau dacă autoritățile trebuiau să întreprindă mai întâi aceste demersuri, trimițându-i o nouă citație de a se prezenta în fața comisiei medicale pentru expertiză. Prin hotărârea din 8 noiembrie 2022, curtea de apel a respins acțiunea ca nefondată.</w:t>
      </w:r>
    </w:p>
    <w:p w:rsidR="001254E6" w:rsidRPr="00421BF4" w:rsidRDefault="00AB4375" w:rsidP="00421BF4">
      <w:pPr>
        <w:pStyle w:val="JuPara"/>
      </w:pPr>
      <w:r>
        <w:fldChar w:fldCharType="begin"/>
      </w:r>
      <w:r>
        <w:instrText xml:space="preserve"> </w:instrText>
      </w:r>
      <w:r>
        <w:instrText xml:space="preserve">SEQ level0 \*arabic \* MERGEFORMAT </w:instrText>
      </w:r>
      <w:r>
        <w:fldChar w:fldCharType="separate"/>
      </w:r>
      <w:r>
        <w:rPr>
          <w:noProof/>
        </w:rPr>
        <w:t>10</w:t>
      </w:r>
      <w:r>
        <w:rPr>
          <w:noProof/>
        </w:rPr>
        <w:fldChar w:fldCharType="end"/>
      </w:r>
      <w:r w:rsidR="00A1586D">
        <w:t>.</w:t>
      </w:r>
      <w:r w:rsidR="00565754">
        <w:t xml:space="preserve"> </w:t>
      </w:r>
      <w:r w:rsidR="00A1586D">
        <w:t xml:space="preserve">Prin încheierea din 3 octombrie 2024, Înalta Curte, sesizată cu recurs împotriva hotărârii curții de apel din 8 noiembrie 2022, a decis din oficiu să suspende procedura și să solicite Curții un aviz consultativ, adresând cele două întrebări citate </w:t>
      </w:r>
      <w:r w:rsidR="00A1586D">
        <w:rPr>
          <w:i/>
          <w:iCs/>
        </w:rPr>
        <w:t>supra</w:t>
      </w:r>
      <w:r w:rsidR="00A1586D">
        <w:t xml:space="preserve">, pct. </w:t>
      </w:r>
      <w:r w:rsidR="00A1586D" w:rsidRPr="00421BF4">
        <w:fldChar w:fldCharType="begin"/>
      </w:r>
      <w:r w:rsidR="00A1586D" w:rsidRPr="00421BF4">
        <w:instrText xml:space="preserve"> REF paragraph00002 \h  \* CharFormat </w:instrText>
      </w:r>
      <w:r w:rsidR="00C26DD5" w:rsidRPr="00421BF4">
        <w:instrText xml:space="preserve"> \* MERGEFORMAT </w:instrText>
      </w:r>
      <w:r w:rsidR="00A1586D" w:rsidRPr="00421BF4">
        <w:fldChar w:fldCharType="separate"/>
      </w:r>
      <w:r w:rsidRPr="00AB4375">
        <w:t>2</w:t>
      </w:r>
      <w:r w:rsidR="00A1586D" w:rsidRPr="00421BF4">
        <w:fldChar w:fldCharType="end"/>
      </w:r>
      <w:r w:rsidR="00A1586D">
        <w:t>.</w:t>
      </w:r>
    </w:p>
    <w:bookmarkStart w:id="3" w:name="paragraph00013"/>
    <w:p w:rsidR="001D5438" w:rsidRPr="00421BF4" w:rsidRDefault="00A1586D" w:rsidP="00421BF4">
      <w:pPr>
        <w:pStyle w:val="JuPara"/>
      </w:pPr>
      <w:r w:rsidRPr="00421BF4">
        <w:fldChar w:fldCharType="begin"/>
      </w:r>
      <w:r w:rsidRPr="00421BF4">
        <w:instrText xml:space="preserve"> SEQ level0 \*arabic \* MERGEFORMAT </w:instrText>
      </w:r>
      <w:r w:rsidRPr="00421BF4">
        <w:fldChar w:fldCharType="separate"/>
      </w:r>
      <w:r w:rsidR="00AB4375">
        <w:rPr>
          <w:noProof/>
        </w:rPr>
        <w:t>11</w:t>
      </w:r>
      <w:r w:rsidRPr="00421BF4">
        <w:fldChar w:fldCharType="end"/>
      </w:r>
      <w:bookmarkEnd w:id="3"/>
      <w:r w:rsidR="00565754">
        <w:t xml:space="preserve"> </w:t>
      </w:r>
      <w:r>
        <w:t xml:space="preserve">În ceea ce privește prima întrebare, Înalta Curte a observat că fusese sesizată cu o cauză care viza eliberarea din funcție a unui judecător, spre deosebire de situația reclamanților din cauzele </w:t>
      </w:r>
      <w:r>
        <w:rPr>
          <w:i/>
          <w:iCs/>
        </w:rPr>
        <w:t>Camelia Bogdan împotriva României</w:t>
      </w:r>
      <w:r>
        <w:t xml:space="preserve"> (nr. 36889/18, pct. 83-84, 20 octombrie 2020) și </w:t>
      </w:r>
      <w:r>
        <w:rPr>
          <w:i/>
          <w:iCs/>
        </w:rPr>
        <w:t>Denisov împotriva Ucrainei</w:t>
      </w:r>
      <w:r>
        <w:t xml:space="preserve"> [(MC), nr. 76639/11, 25 septembrie 2018), care vizau, de asemenea, aplicabilitatea art. 8 din Convenție în litigii profesionale, dar în care reclamanții, judecători de profesie, nu fuseseră eliberați din funcție.</w:t>
      </w:r>
    </w:p>
    <w:p w:rsidR="001D5438" w:rsidRPr="00421BF4" w:rsidRDefault="00AB4375" w:rsidP="00421BF4">
      <w:pPr>
        <w:pStyle w:val="JuPara"/>
      </w:pPr>
      <w:r>
        <w:fldChar w:fldCharType="begin"/>
      </w:r>
      <w:r>
        <w:instrText xml:space="preserve"> SEQ level0 \*arabic \* MERGEFORMAT </w:instrText>
      </w:r>
      <w:r>
        <w:fldChar w:fldCharType="separate"/>
      </w:r>
      <w:bookmarkStart w:id="4" w:name="paragraph00014"/>
      <w:r>
        <w:rPr>
          <w:noProof/>
        </w:rPr>
        <w:t>12</w:t>
      </w:r>
      <w:bookmarkEnd w:id="4"/>
      <w:r>
        <w:rPr>
          <w:noProof/>
        </w:rPr>
        <w:fldChar w:fldCharType="end"/>
      </w:r>
      <w:r w:rsidR="00A1586D">
        <w:t>.</w:t>
      </w:r>
      <w:r w:rsidR="00565754">
        <w:t xml:space="preserve"> </w:t>
      </w:r>
      <w:r w:rsidR="00A1586D">
        <w:t xml:space="preserve">În ceea ce privește a doua întrebare, Înalta Curte, făcând trimitere la hotărârile </w:t>
      </w:r>
      <w:r w:rsidR="00A1586D">
        <w:rPr>
          <w:i/>
          <w:iCs/>
        </w:rPr>
        <w:t>Păduraru împotriva României</w:t>
      </w:r>
      <w:r w:rsidR="00A1586D">
        <w:t xml:space="preserve"> [nr. 63252/00, pct. 77, CEDO 2005-XII (extrase)], </w:t>
      </w:r>
      <w:r w:rsidR="00A1586D">
        <w:rPr>
          <w:i/>
          <w:iCs/>
        </w:rPr>
        <w:t>Hentrich împotriva Franței</w:t>
      </w:r>
      <w:r w:rsidR="00A1586D">
        <w:t xml:space="preserve"> (22 septembrie 1994, pct. 42, seria A nr. 296-A) și </w:t>
      </w:r>
      <w:r w:rsidR="00A1586D">
        <w:rPr>
          <w:i/>
          <w:iCs/>
        </w:rPr>
        <w:t>Lithgow și alții împotriva Regatului Unit</w:t>
      </w:r>
      <w:r w:rsidR="00A1586D">
        <w:t xml:space="preserve"> (8 iulie 1986, pct. 110, seria A nr. 102), a reținut că, pentru a îndeplini condiția de legalitate prevăzută la art. 8 § 2 din Convenție, dispozițiile legale aplicabile trebuiau formulate cu suficientă precizie pentru a permite persoanelor interesate să prevadă, într-o măsură rezonabilă în circumstanțele cauzei, consecințele pe care le-ar putea avea o anumită acțiune și să își reglementeze conduita. Înalta Curte a explicat că a fost chemată să decidă, ca răspuns la argumentul judecătoarei invocat în recursul său, de nelegalitate a eliberării sale din funcție (supra, pct. </w:t>
      </w:r>
      <w:r w:rsidR="00CC5073" w:rsidRPr="00421BF4">
        <w:fldChar w:fldCharType="begin"/>
      </w:r>
      <w:r w:rsidR="00CC5073" w:rsidRPr="00421BF4">
        <w:instrText xml:space="preserve"> REF paragraph00010 \h  \* CharFormat  \* MERGEFORMAT </w:instrText>
      </w:r>
      <w:r w:rsidR="00CC5073" w:rsidRPr="00421BF4">
        <w:fldChar w:fldCharType="separate"/>
      </w:r>
      <w:r>
        <w:t>9</w:t>
      </w:r>
      <w:r w:rsidR="00CC5073" w:rsidRPr="00421BF4">
        <w:fldChar w:fldCharType="end"/>
      </w:r>
      <w:r w:rsidR="00A1586D">
        <w:t>), dacă contextul juridic aplicabil faptelor din speță era suficient de accesibil, precis și previzibil.</w:t>
      </w:r>
    </w:p>
    <w:p w:rsidR="00416DDD" w:rsidRPr="00421BF4" w:rsidRDefault="00A1586D" w:rsidP="00421BF4">
      <w:pPr>
        <w:pStyle w:val="JuHHead"/>
      </w:pPr>
      <w:r>
        <w:t>MOTIVAREA CURȚII</w:t>
      </w:r>
    </w:p>
    <w:p w:rsidR="005C16D8" w:rsidRPr="00421BF4" w:rsidRDefault="00AB4375" w:rsidP="00421BF4">
      <w:pPr>
        <w:pStyle w:val="JuPara"/>
      </w:pPr>
      <w:r>
        <w:fldChar w:fldCharType="begin"/>
      </w:r>
      <w:r>
        <w:instrText xml:space="preserve"> SEQ level0 \*arabic \* MERGEFORMAT </w:instrText>
      </w:r>
      <w:r>
        <w:fldChar w:fldCharType="separate"/>
      </w:r>
      <w:r>
        <w:rPr>
          <w:noProof/>
        </w:rPr>
        <w:t>13</w:t>
      </w:r>
      <w:r>
        <w:rPr>
          <w:noProof/>
        </w:rPr>
        <w:fldChar w:fldCharType="end"/>
      </w:r>
      <w:r w:rsidR="00A1586D">
        <w:t>.</w:t>
      </w:r>
      <w:r w:rsidR="00565754">
        <w:t xml:space="preserve"> </w:t>
      </w:r>
      <w:r w:rsidR="00A1586D">
        <w:t>Curtea este chemată să examineze dacă prezenta cerere de aviz consultativ îndeplinește condițiile prevăzute la art. 1 din Protocolul nr. 16 și să decidă dacă aceasta trebuie sau nu să fie admisă spre examinare de către Marea Cameră (art. 2 din Protocol</w:t>
      </w:r>
      <w:r w:rsidR="00565754">
        <w:t>ul nr. 16</w:t>
      </w:r>
      <w:r w:rsidR="00A1586D">
        <w:t xml:space="preserve"> și art. 93 din Regulamentul Curții).</w:t>
      </w:r>
    </w:p>
    <w:p w:rsidR="005C16D8" w:rsidRPr="00421BF4" w:rsidRDefault="00AB4375" w:rsidP="00421BF4">
      <w:pPr>
        <w:pStyle w:val="JuPara"/>
      </w:pPr>
      <w:r>
        <w:fldChar w:fldCharType="begin"/>
      </w:r>
      <w:r>
        <w:instrText xml:space="preserve"> SEQ level0 \*arabic \* MERGEFORMAT </w:instrText>
      </w:r>
      <w:r>
        <w:fldChar w:fldCharType="separate"/>
      </w:r>
      <w:r>
        <w:rPr>
          <w:noProof/>
        </w:rPr>
        <w:t>14</w:t>
      </w:r>
      <w:r>
        <w:rPr>
          <w:noProof/>
        </w:rPr>
        <w:fldChar w:fldCharType="end"/>
      </w:r>
      <w:r w:rsidR="00A1586D">
        <w:t>.</w:t>
      </w:r>
      <w:r w:rsidR="00565754">
        <w:t xml:space="preserve"> </w:t>
      </w:r>
      <w:r w:rsidR="00A1586D">
        <w:t>Nu există nicio îndoială că prima, a treia și a patra condiție de admisibilitate prevăzute la art. 1 din Protocolul nr. 16 sunt îndeplinite în prezenta cauză. Într-adevăr, prezenta cerere:</w:t>
      </w:r>
    </w:p>
    <w:p w:rsidR="001D5438" w:rsidRPr="00421BF4" w:rsidRDefault="00A1586D" w:rsidP="00421BF4">
      <w:pPr>
        <w:pStyle w:val="JuPara"/>
      </w:pPr>
      <w:r>
        <w:t>a)</w:t>
      </w:r>
      <w:r w:rsidR="00565754">
        <w:t xml:space="preserve"> </w:t>
      </w:r>
      <w:r>
        <w:t>este emisă de un complet al Înaltei Curți, care reprezintă instanța supremă pe care România a desemnat-o în conformitate cu art. 10 din</w:t>
      </w:r>
      <w:r w:rsidR="00565754">
        <w:t xml:space="preserve"> Protocolul nr. 16 (art. 1 § 1)</w:t>
      </w:r>
      <w:r>
        <w:t>;</w:t>
      </w:r>
    </w:p>
    <w:p w:rsidR="005C16D8" w:rsidRPr="00421BF4" w:rsidRDefault="00A1586D" w:rsidP="00421BF4">
      <w:pPr>
        <w:pStyle w:val="JuPara"/>
      </w:pPr>
      <w:r>
        <w:t>b)</w:t>
      </w:r>
      <w:r w:rsidR="00565754">
        <w:t xml:space="preserve"> </w:t>
      </w:r>
      <w:r>
        <w:t xml:space="preserve">a fost formulată în legătură cu o cauză pendinte în fața acestei instanțe (art. 1 § 2); </w:t>
      </w:r>
    </w:p>
    <w:p w:rsidR="005C16D8" w:rsidRPr="00421BF4" w:rsidRDefault="00A1586D" w:rsidP="00421BF4">
      <w:pPr>
        <w:pStyle w:val="JuPara"/>
      </w:pPr>
      <w:r>
        <w:lastRenderedPageBreak/>
        <w:t>c)</w:t>
      </w:r>
      <w:r w:rsidR="00565754">
        <w:t xml:space="preserve"> </w:t>
      </w:r>
      <w:r>
        <w:t>este motivată și prezintă elementele relevante ale contextului juridic și de fapt al cauzei pendinte (art. 1 § 3).</w:t>
      </w:r>
    </w:p>
    <w:p w:rsidR="00BA5F38" w:rsidRPr="00421BF4" w:rsidRDefault="00AB4375" w:rsidP="00421BF4">
      <w:pPr>
        <w:pStyle w:val="JuPara"/>
      </w:pPr>
      <w:r>
        <w:fldChar w:fldCharType="begin"/>
      </w:r>
      <w:r>
        <w:instrText xml:space="preserve"> SEQ level0 \*arabic \* MERGEFORMAT </w:instrText>
      </w:r>
      <w:r>
        <w:fldChar w:fldCharType="separate"/>
      </w:r>
      <w:r>
        <w:rPr>
          <w:noProof/>
        </w:rPr>
        <w:t>15</w:t>
      </w:r>
      <w:r>
        <w:rPr>
          <w:noProof/>
        </w:rPr>
        <w:fldChar w:fldCharType="end"/>
      </w:r>
      <w:r w:rsidR="00A1586D">
        <w:t>.</w:t>
      </w:r>
      <w:r w:rsidR="00565754">
        <w:t xml:space="preserve"> </w:t>
      </w:r>
      <w:r w:rsidR="00A1586D">
        <w:t>Prin urmare, rămâne doar de stabilit</w:t>
      </w:r>
      <w:r w:rsidR="00565754">
        <w:t xml:space="preserve"> </w:t>
      </w:r>
      <w:r w:rsidR="00A1586D">
        <w:t>d</w:t>
      </w:r>
      <w:r w:rsidR="00565754">
        <w:t>acă cererea îndeplinește cea de</w:t>
      </w:r>
      <w:r w:rsidR="00565754">
        <w:noBreakHyphen/>
      </w:r>
      <w:r w:rsidR="00A1586D">
        <w:t>a doua condiție de admisibilitate. În această privință, Curtea este chemată să stabilească dacă cererea privește „chestiuni de principiu referitoare la interpretarea sau aplicarea drepturilor și libertăților definite în Convenție sau în protocoalele la aceasta” (art. 1 § 1 din Protocolul nr. 16).</w:t>
      </w:r>
    </w:p>
    <w:p w:rsidR="001A22D3" w:rsidRPr="00421BF4" w:rsidRDefault="00565754" w:rsidP="00421BF4">
      <w:pPr>
        <w:pStyle w:val="JuPara"/>
        <w:rPr>
          <w:rFonts w:ascii="TimesNewRomanPS-BoldMT" w:hAnsi="TimesNewRomanPS-BoldMT" w:cs="TimesNewRomanPS-BoldMT"/>
          <w:color w:val="2F2F2F"/>
        </w:rPr>
      </w:pPr>
      <w:r>
        <w:t xml:space="preserve"> </w:t>
      </w:r>
      <w:r w:rsidR="00A1586D">
        <w:t>Astfel cum a arătat deja Curtea, „chestiunile de principiu” în sensul art. 1 § 1 din Protocolul nr. 16 sunt cele care, prin natura lor, prin gradul lor de noutate și/sau prin complexitatea lor, sau din alte motive, vizează un aspect cu privire la care instanța solicitantă ar avea nevoie de îndrumarea Curții prin intermediul unui aviz consultativ, pentru a-i permite să asigure respectarea drepturilor garantate de Convenție atunci când soluționează cauza [</w:t>
      </w:r>
      <w:r w:rsidR="00A1586D">
        <w:rPr>
          <w:i/>
          <w:iCs/>
        </w:rPr>
        <w:t>Decizie privind o cerere de aviz consultativ</w:t>
      </w:r>
      <w:r>
        <w:rPr>
          <w:i/>
          <w:iCs/>
        </w:rPr>
        <w:t xml:space="preserve"> în temeiul Protocolului nr. 16</w:t>
      </w:r>
      <w:r w:rsidR="00A1586D">
        <w:rPr>
          <w:i/>
          <w:iCs/>
        </w:rPr>
        <w:t xml:space="preserve"> referito</w:t>
      </w:r>
      <w:r>
        <w:rPr>
          <w:i/>
          <w:iCs/>
        </w:rPr>
        <w:t>are</w:t>
      </w:r>
      <w:r w:rsidR="00A1586D">
        <w:rPr>
          <w:i/>
          <w:iCs/>
        </w:rPr>
        <w:t xml:space="preserve"> la interpretarea art. 4 din Protocolul nr. 7 la Convenție</w:t>
      </w:r>
      <w:r w:rsidR="00A1586D">
        <w:t>, nr. P16</w:t>
      </w:r>
      <w:r w:rsidR="00A1586D">
        <w:noBreakHyphen/>
        <w:t>2023</w:t>
      </w:r>
      <w:r w:rsidR="00A1586D">
        <w:noBreakHyphen/>
        <w:t xml:space="preserve">002, </w:t>
      </w:r>
      <w:r w:rsidR="00A1586D">
        <w:rPr>
          <w:i/>
          <w:iCs/>
        </w:rPr>
        <w:t>Curtea Supremă a Estoniei</w:t>
      </w:r>
      <w:r w:rsidR="00A1586D">
        <w:t>, pct. 20, 19 februarie 2024 (</w:t>
      </w:r>
      <w:r w:rsidR="00A1586D">
        <w:rPr>
          <w:i/>
          <w:iCs/>
        </w:rPr>
        <w:t>decizia nr. P16</w:t>
      </w:r>
      <w:r w:rsidR="00A1586D">
        <w:rPr>
          <w:i/>
          <w:iCs/>
        </w:rPr>
        <w:noBreakHyphen/>
        <w:t>2023-002</w:t>
      </w:r>
      <w:r w:rsidR="00A1586D">
        <w:t xml:space="preserve">), cu trimitere la pct. 23 din </w:t>
      </w:r>
      <w:r w:rsidR="00A1586D">
        <w:rPr>
          <w:i/>
          <w:iCs/>
        </w:rPr>
        <w:t>Decizia privind o cerere de aviz consultativ referito</w:t>
      </w:r>
      <w:r>
        <w:rPr>
          <w:i/>
          <w:iCs/>
        </w:rPr>
        <w:t>are</w:t>
      </w:r>
      <w:r w:rsidR="00A1586D">
        <w:rPr>
          <w:i/>
          <w:iCs/>
        </w:rPr>
        <w:t xml:space="preserve"> la interpretarea art. 2, 3 și 6 din Convenție</w:t>
      </w:r>
      <w:r w:rsidR="00A1586D">
        <w:t>, nr. P16</w:t>
      </w:r>
      <w:r w:rsidR="00A1586D">
        <w:noBreakHyphen/>
        <w:t xml:space="preserve">2020-001, </w:t>
      </w:r>
      <w:r w:rsidR="00A1586D">
        <w:rPr>
          <w:i/>
          <w:iCs/>
        </w:rPr>
        <w:t>Curtea Supremă a Republicii Slovace</w:t>
      </w:r>
      <w:r w:rsidR="00A1586D">
        <w:t xml:space="preserve"> (</w:t>
      </w:r>
      <w:r w:rsidR="00A1586D">
        <w:rPr>
          <w:i/>
          <w:iCs/>
        </w:rPr>
        <w:t>decizia nr. P16-2020-001</w:t>
      </w:r>
      <w:r w:rsidR="00A1586D">
        <w:t xml:space="preserve">)] și pct. 7 din orientări; a se vedea, de asemenea, </w:t>
      </w:r>
      <w:r w:rsidR="00A1586D">
        <w:rPr>
          <w:i/>
          <w:iCs/>
        </w:rPr>
        <w:t>Decizia privind o cerere de aviz consultativ formulată în temeiul Protocolului nr. 16 referito</w:t>
      </w:r>
      <w:r>
        <w:rPr>
          <w:i/>
          <w:iCs/>
        </w:rPr>
        <w:t>are</w:t>
      </w:r>
      <w:r w:rsidR="00A1586D">
        <w:rPr>
          <w:i/>
          <w:iCs/>
        </w:rPr>
        <w:t xml:space="preserve"> la interpretarea sau aplicarea art. 6 din Convenție și a art. 1 din Protocolul nr. 1 la Convenție</w:t>
      </w:r>
      <w:r w:rsidR="00A1586D">
        <w:t xml:space="preserve">, nr. P16-2024-001, </w:t>
      </w:r>
      <w:r w:rsidR="00A1586D">
        <w:rPr>
          <w:i/>
          <w:iCs/>
        </w:rPr>
        <w:t>Înalta Curte de Casație și Justiție a României</w:t>
      </w:r>
      <w:r w:rsidR="00A1586D">
        <w:t>, pct. 29, 28 iunie 2024 (</w:t>
      </w:r>
      <w:r w:rsidR="00A1586D">
        <w:rPr>
          <w:i/>
          <w:iCs/>
        </w:rPr>
        <w:t>decizia nr. P16-2024-001</w:t>
      </w:r>
      <w:r w:rsidR="00A1586D">
        <w:t>).</w:t>
      </w:r>
    </w:p>
    <w:p w:rsidR="00951050" w:rsidRPr="00421BF4" w:rsidRDefault="00AB4375" w:rsidP="00421BF4">
      <w:pPr>
        <w:pStyle w:val="JuPara"/>
      </w:pPr>
      <w:r>
        <w:fldChar w:fldCharType="begin"/>
      </w:r>
      <w:r>
        <w:instrText xml:space="preserve"> SEQ level0 \*arabic \* MERGEFORMAT </w:instrText>
      </w:r>
      <w:r>
        <w:fldChar w:fldCharType="separate"/>
      </w:r>
      <w:r>
        <w:rPr>
          <w:noProof/>
        </w:rPr>
        <w:t>16</w:t>
      </w:r>
      <w:r>
        <w:rPr>
          <w:noProof/>
        </w:rPr>
        <w:fldChar w:fldCharType="end"/>
      </w:r>
      <w:r w:rsidR="00A1586D">
        <w:t>.</w:t>
      </w:r>
      <w:r w:rsidR="00565754">
        <w:t xml:space="preserve"> </w:t>
      </w:r>
      <w:r w:rsidR="00A1586D">
        <w:t>În ceea ce privește prezenta cerere de aviz, trebuie remarcat faptul că întrebările formulate se înscriu în jurisprudența extinsă a Curții, din care mai multe aspecte sunt judicios citate de instanța solicitantă în decizia sa de a sesiza Curtea (</w:t>
      </w:r>
      <w:r w:rsidR="00A1586D">
        <w:rPr>
          <w:i/>
          <w:iCs/>
        </w:rPr>
        <w:t>supra</w:t>
      </w:r>
      <w:r w:rsidR="00A1586D">
        <w:t xml:space="preserve">, pct. </w:t>
      </w:r>
      <w:r w:rsidR="00A1586D" w:rsidRPr="00421BF4">
        <w:fldChar w:fldCharType="begin"/>
      </w:r>
      <w:r w:rsidR="00A1586D" w:rsidRPr="00421BF4">
        <w:instrText xml:space="preserve"> REF paragraph00013 \h  \* CharFormat </w:instrText>
      </w:r>
      <w:r w:rsidR="00A1586D" w:rsidRPr="00421BF4">
        <w:fldChar w:fldCharType="separate"/>
      </w:r>
      <w:r>
        <w:t>11</w:t>
      </w:r>
      <w:r w:rsidR="00A1586D" w:rsidRPr="00421BF4">
        <w:fldChar w:fldCharType="end"/>
      </w:r>
      <w:r w:rsidR="00A1586D">
        <w:t xml:space="preserve"> și </w:t>
      </w:r>
      <w:r w:rsidR="00A1586D" w:rsidRPr="00421BF4">
        <w:fldChar w:fldCharType="begin"/>
      </w:r>
      <w:r w:rsidR="00A1586D" w:rsidRPr="00421BF4">
        <w:instrText xml:space="preserve"> REF paragraph00014 \h  \* CharFormat </w:instrText>
      </w:r>
      <w:r w:rsidR="00A1586D" w:rsidRPr="00421BF4">
        <w:fldChar w:fldCharType="separate"/>
      </w:r>
      <w:r>
        <w:t>12</w:t>
      </w:r>
      <w:r w:rsidR="00A1586D" w:rsidRPr="00421BF4">
        <w:fldChar w:fldCharType="end"/>
      </w:r>
      <w:r w:rsidR="00A1586D">
        <w:t>).</w:t>
      </w:r>
    </w:p>
    <w:bookmarkStart w:id="5" w:name="L_question"/>
    <w:p w:rsidR="003A04CB" w:rsidRPr="00421BF4" w:rsidRDefault="00A1586D" w:rsidP="00421BF4">
      <w:pPr>
        <w:pStyle w:val="JuPara"/>
        <w:rPr>
          <w:rStyle w:val="sbb9ee52a"/>
          <w:rFonts w:cstheme="minorHAnsi"/>
          <w:color w:val="000000"/>
        </w:rPr>
      </w:pPr>
      <w:r w:rsidRPr="00421BF4">
        <w:rPr>
          <w:rFonts w:cstheme="minorHAnsi"/>
          <w:color w:val="2F2F2F"/>
        </w:rPr>
        <w:fldChar w:fldCharType="begin"/>
      </w:r>
      <w:r w:rsidRPr="00421BF4">
        <w:rPr>
          <w:rFonts w:cstheme="minorHAnsi"/>
          <w:color w:val="2F2F2F"/>
        </w:rPr>
        <w:instrText xml:space="preserve"> SEQ level0 \*arabic \* MERGEFORMAT </w:instrText>
      </w:r>
      <w:r w:rsidRPr="00421BF4">
        <w:rPr>
          <w:rFonts w:cstheme="minorHAnsi"/>
          <w:color w:val="2F2F2F"/>
        </w:rPr>
        <w:fldChar w:fldCharType="separate"/>
      </w:r>
      <w:r w:rsidR="00AB4375">
        <w:rPr>
          <w:rFonts w:cstheme="minorHAnsi"/>
          <w:noProof/>
          <w:color w:val="2F2F2F"/>
        </w:rPr>
        <w:t>17</w:t>
      </w:r>
      <w:r w:rsidRPr="00421BF4">
        <w:rPr>
          <w:rFonts w:cstheme="minorHAnsi"/>
          <w:color w:val="2F2F2F"/>
        </w:rPr>
        <w:fldChar w:fldCharType="end"/>
      </w:r>
      <w:bookmarkEnd w:id="5"/>
      <w:r>
        <w:rPr>
          <w:color w:val="2F2F2F"/>
        </w:rPr>
        <w:t>.</w:t>
      </w:r>
      <w:r w:rsidR="00565754">
        <w:rPr>
          <w:color w:val="2F2F2F"/>
        </w:rPr>
        <w:t xml:space="preserve"> </w:t>
      </w:r>
      <w:r>
        <w:t>Astfel, prima întrebare adresată de Înalta Curte se referă la aplicabilitatea art. 8 din Convenție litigiilor care au ca obiect eliberarea din funcție a unui judecător (</w:t>
      </w:r>
      <w:r>
        <w:rPr>
          <w:i/>
          <w:iCs/>
        </w:rPr>
        <w:t>supra</w:t>
      </w:r>
      <w:r>
        <w:t xml:space="preserve">, pct. </w:t>
      </w:r>
      <w:r w:rsidR="00A61AF6" w:rsidRPr="00421BF4">
        <w:rPr>
          <w:rFonts w:cstheme="minorHAnsi"/>
        </w:rPr>
        <w:fldChar w:fldCharType="begin"/>
      </w:r>
      <w:r w:rsidR="00A61AF6" w:rsidRPr="00421BF4">
        <w:rPr>
          <w:rFonts w:cstheme="minorHAnsi"/>
        </w:rPr>
        <w:instrText xml:space="preserve"> REF paragraph00002 \h  \* CharFormat </w:instrText>
      </w:r>
      <w:r w:rsidR="00782F1C" w:rsidRPr="00421BF4">
        <w:rPr>
          <w:rFonts w:cstheme="minorHAnsi"/>
        </w:rPr>
        <w:instrText xml:space="preserve"> \* MERGEFORMAT </w:instrText>
      </w:r>
      <w:r w:rsidR="00A61AF6" w:rsidRPr="00421BF4">
        <w:rPr>
          <w:rFonts w:cstheme="minorHAnsi"/>
        </w:rPr>
      </w:r>
      <w:r w:rsidR="00A61AF6" w:rsidRPr="00421BF4">
        <w:rPr>
          <w:rFonts w:cstheme="minorHAnsi"/>
        </w:rPr>
        <w:fldChar w:fldCharType="separate"/>
      </w:r>
      <w:r w:rsidR="00AB4375" w:rsidRPr="00AB4375">
        <w:rPr>
          <w:rFonts w:cstheme="minorHAnsi"/>
        </w:rPr>
        <w:t>2</w:t>
      </w:r>
      <w:r w:rsidR="00A61AF6" w:rsidRPr="00421BF4">
        <w:rPr>
          <w:rFonts w:cstheme="minorHAnsi"/>
        </w:rPr>
        <w:fldChar w:fldCharType="end"/>
      </w:r>
      <w:r>
        <w:t>). În general, Curtea reamintește faptul că noțiunea de „viață privată” este una largă, care nu poate face obiectul unei definiții exhaustive și, prin urmare, poate cuprinde multiple aspecte ale identității fizice și sociale a unei persoane [</w:t>
      </w:r>
      <w:r>
        <w:rPr>
          <w:i/>
          <w:iCs/>
        </w:rPr>
        <w:t>Fernández Martínez împotriva Spaniei</w:t>
      </w:r>
      <w:r>
        <w:t xml:space="preserve"> (MC), nr. 56030/07, pct. 110, CEDO 2014 (extrase), și </w:t>
      </w:r>
      <w:r>
        <w:rPr>
          <w:i/>
          <w:iCs/>
        </w:rPr>
        <w:t>Bărbulescu împotriva României</w:t>
      </w:r>
      <w:r>
        <w:t xml:space="preserve"> (MC), nr. 61496/08, pct. 71, 5 septembrie 2017]. D</w:t>
      </w:r>
      <w:r>
        <w:rPr>
          <w:rStyle w:val="sbb9ee52a"/>
          <w:color w:val="000000"/>
        </w:rPr>
        <w:t>eși din art. 8 nu derivă niciun drept general la un loc de muncă, conceptul de „viață privată”, în sens larg, nu exclude în principiu activitățile de natură profesională (</w:t>
      </w:r>
      <w:bookmarkStart w:id="6" w:name="_cl12849APPRÉCIATIONDELACOUR"/>
      <w:r>
        <w:rPr>
          <w:rStyle w:val="sbb9ee52a"/>
          <w:i/>
          <w:color w:val="000000"/>
        </w:rPr>
        <w:t>Niemietz împotriva Germaniei</w:t>
      </w:r>
      <w:bookmarkEnd w:id="6"/>
      <w:r>
        <w:rPr>
          <w:color w:val="000000"/>
        </w:rPr>
        <w:t xml:space="preserve">, 16 decembrie 1992, pct. 29, seria A nr. 251-B, și </w:t>
      </w:r>
      <w:bookmarkStart w:id="7" w:name="_cl40341APPRÉCIATIONDELACOUR"/>
      <w:r>
        <w:rPr>
          <w:i/>
        </w:rPr>
        <w:t>Oleksandr Volkov împotriva Ucrainei</w:t>
      </w:r>
      <w:bookmarkEnd w:id="7"/>
      <w:r>
        <w:t>, nr. 21722/11, pct. 165, 9 ianuarie 2013</w:t>
      </w:r>
      <w:r>
        <w:rPr>
          <w:rStyle w:val="sbb9ee52a"/>
          <w:color w:val="000000"/>
        </w:rPr>
        <w:t>).</w:t>
      </w:r>
    </w:p>
    <w:p w:rsidR="001D5438" w:rsidRPr="00421BF4" w:rsidRDefault="00A1586D" w:rsidP="00421BF4">
      <w:pPr>
        <w:pStyle w:val="JuPara"/>
        <w:rPr>
          <w:rFonts w:cstheme="minorHAnsi"/>
        </w:rPr>
      </w:pPr>
      <w:r w:rsidRPr="00421BF4">
        <w:rPr>
          <w:rFonts w:cstheme="minorHAnsi"/>
        </w:rPr>
        <w:fldChar w:fldCharType="begin"/>
      </w:r>
      <w:r w:rsidRPr="00421BF4">
        <w:rPr>
          <w:rFonts w:cstheme="minorHAnsi"/>
        </w:rPr>
        <w:instrText xml:space="preserve"> SEQ level0 \*arabic \* MERGEFORMAT </w:instrText>
      </w:r>
      <w:r w:rsidRPr="00421BF4">
        <w:rPr>
          <w:rFonts w:cstheme="minorHAnsi"/>
        </w:rPr>
        <w:fldChar w:fldCharType="separate"/>
      </w:r>
      <w:bookmarkStart w:id="8" w:name="paragraph00019"/>
      <w:r w:rsidR="00AB4375">
        <w:rPr>
          <w:rFonts w:cstheme="minorHAnsi"/>
          <w:noProof/>
        </w:rPr>
        <w:t>18</w:t>
      </w:r>
      <w:bookmarkEnd w:id="8"/>
      <w:r w:rsidRPr="00421BF4">
        <w:rPr>
          <w:rFonts w:cstheme="minorHAnsi"/>
        </w:rPr>
        <w:fldChar w:fldCharType="end"/>
      </w:r>
      <w:r>
        <w:t>.</w:t>
      </w:r>
      <w:r w:rsidR="00565754">
        <w:t xml:space="preserve"> </w:t>
      </w:r>
      <w:r>
        <w:t>Litigiile profesionale nu sunt prin natura lor excluse din sfera de aplicare a noțiunii de „viață privată” în sensul art.</w:t>
      </w:r>
      <w:r w:rsidR="0049362E">
        <w:t xml:space="preserve"> </w:t>
      </w:r>
      <w:r>
        <w:t xml:space="preserve">8 din Convenție. În astfel de litigii, concedierea, retrogradarea, interzicerea accesului la o profesie sau </w:t>
      </w:r>
      <w:r>
        <w:lastRenderedPageBreak/>
        <w:t>alte măsuri la fel de nefavorabile pot avea repercusiuni asupra anumitor aspecte tipice ale vieții private a persoanei în cauză. În cauzele care intră în această categorie, Curtea aplică conceptul de „viață privată” urmând două abordări diferite: α) constatarea existenței unei probleme legate de „viața privată” ca motiv al litigiului (abordarea bazată pe motive); β) deducerea existenței unei probleme legate de „viața privată” din consecințele măsurii criticate (abordarea bazată pe consecințe).</w:t>
      </w:r>
    </w:p>
    <w:p w:rsidR="001D5438" w:rsidRPr="00421BF4" w:rsidRDefault="00A1586D" w:rsidP="00421BF4">
      <w:pPr>
        <w:pStyle w:val="JuPara"/>
      </w:pPr>
      <w:r w:rsidRPr="00421BF4">
        <w:rPr>
          <w:rFonts w:cstheme="minorHAnsi"/>
        </w:rPr>
        <w:fldChar w:fldCharType="begin"/>
      </w:r>
      <w:r w:rsidRPr="00421BF4">
        <w:rPr>
          <w:rFonts w:cstheme="minorHAnsi"/>
        </w:rPr>
        <w:instrText xml:space="preserve"> SEQ level0 \*arabic \* MERGEFORMAT </w:instrText>
      </w:r>
      <w:r w:rsidRPr="00421BF4">
        <w:rPr>
          <w:rFonts w:cstheme="minorHAnsi"/>
        </w:rPr>
        <w:fldChar w:fldCharType="separate"/>
      </w:r>
      <w:r w:rsidR="00AB4375">
        <w:rPr>
          <w:rFonts w:cstheme="minorHAnsi"/>
          <w:noProof/>
        </w:rPr>
        <w:t>19</w:t>
      </w:r>
      <w:r w:rsidRPr="00421BF4">
        <w:rPr>
          <w:rFonts w:cstheme="minorHAnsi"/>
        </w:rPr>
        <w:fldChar w:fldCharType="end"/>
      </w:r>
      <w:r>
        <w:t>.</w:t>
      </w:r>
      <w:r w:rsidR="00565754">
        <w:t xml:space="preserve"> </w:t>
      </w:r>
      <w:r>
        <w:t xml:space="preserve">Conform primei abordări, Curtea a considerat că capetele de cerere legate de exercitarea funcțiilor profesionale se încadrează în noțiunea de „viață privată” atunci când elementele legate de viața privată sunt considerate criterii de calificare pentru funcția în cauză, iar măsura contestată se bazează pe motive care afectează libertatea de alegere a persoanei în sfera vieții private. Cu alte cuvinte, atunci când motivele care stau la baza măsurii contestate care afectează viața profesională au o legătură cu viața privată a persoanei, aceste motive în sine pot face ca art. 8 să fie aplicabil. Potrivit celei de a doua abordări, atunci când motivele care au stat la baza adoptării unei măsuri care afectează viața profesională a unei persoane nu au nicio legătură cu viața privată a acesteia, se poate totuși pune problema în temeiul art. 8 dacă această măsură a avut sau poate avea consecințe negative grave asupra vieții private a persoanei respective. În această privință, Curtea a luat în considerare consecințele negative i) asupra „cercului intim” al persoanei în cauză, în special atunci când există repercusiuni materiale grave, ii) asupra oportunităților acesteia „de a stabili și dezvolta relații cu alții” și iii) asupra reputației sale [a se vedea </w:t>
      </w:r>
      <w:r>
        <w:rPr>
          <w:i/>
        </w:rPr>
        <w:t xml:space="preserve">Denisov împotriva Ucrainei </w:t>
      </w:r>
      <w:r>
        <w:t>[(MC), nr. 76639/11, pct.</w:t>
      </w:r>
      <w:r w:rsidR="00296BF8">
        <w:t xml:space="preserve"> </w:t>
      </w:r>
      <w:r>
        <w:t>102-115, 25 septembrie 2018, cu exemplele citate].</w:t>
      </w:r>
    </w:p>
    <w:p w:rsidR="00B519C6" w:rsidRPr="00421BF4" w:rsidRDefault="00A1586D" w:rsidP="00421BF4">
      <w:pPr>
        <w:pStyle w:val="JuPara"/>
        <w:rPr>
          <w:rFonts w:cstheme="minorHAnsi"/>
        </w:rPr>
      </w:pPr>
      <w:r w:rsidRPr="00421BF4">
        <w:rPr>
          <w:rFonts w:cstheme="minorHAnsi"/>
        </w:rPr>
        <w:fldChar w:fldCharType="begin"/>
      </w:r>
      <w:r w:rsidRPr="00421BF4">
        <w:rPr>
          <w:rFonts w:cstheme="minorHAnsi"/>
        </w:rPr>
        <w:instrText xml:space="preserve"> SEQ level0 \*arabic \* MERGEFORMAT </w:instrText>
      </w:r>
      <w:r w:rsidRPr="00421BF4">
        <w:rPr>
          <w:rFonts w:cstheme="minorHAnsi"/>
        </w:rPr>
        <w:fldChar w:fldCharType="separate"/>
      </w:r>
      <w:bookmarkStart w:id="9" w:name="paragraph00020"/>
      <w:r w:rsidR="00AB4375">
        <w:rPr>
          <w:rFonts w:cstheme="minorHAnsi"/>
          <w:noProof/>
        </w:rPr>
        <w:t>20</w:t>
      </w:r>
      <w:bookmarkEnd w:id="9"/>
      <w:r w:rsidRPr="00421BF4">
        <w:rPr>
          <w:rFonts w:cstheme="minorHAnsi"/>
        </w:rPr>
        <w:fldChar w:fldCharType="end"/>
      </w:r>
      <w:r>
        <w:t>.</w:t>
      </w:r>
      <w:r w:rsidR="00565754">
        <w:t xml:space="preserve"> </w:t>
      </w:r>
      <w:r>
        <w:t>În cazul în care este urmată abordarea bazată pe consecințe, pentru ca art. 8 din Convenție să fie aplicabil, este esențial să existe un anumit nivel de gravitate al consecințelor măsurii contestate asupra unui aspect al „vieții private” a persoanei vizate (</w:t>
      </w:r>
      <w:r>
        <w:rPr>
          <w:i/>
        </w:rPr>
        <w:t xml:space="preserve">Denisov, </w:t>
      </w:r>
      <w:r>
        <w:t>citată anterior, pct. 116; a se vedea,</w:t>
      </w:r>
      <w:bookmarkStart w:id="10" w:name="_cl5330APPRÉCIATIONDELACOUR"/>
      <w:r>
        <w:t xml:space="preserve"> de asemenea, </w:t>
      </w:r>
      <w:r>
        <w:rPr>
          <w:i/>
        </w:rPr>
        <w:t>Erményi împotriva Ungariei</w:t>
      </w:r>
      <w:bookmarkEnd w:id="10"/>
      <w:r>
        <w:t>, nr. 22254/14, pct. 31, 22 noiembrie 2016</w:t>
      </w:r>
      <w:r>
        <w:rPr>
          <w:rStyle w:val="sbb9ee52a"/>
          <w:color w:val="000000"/>
        </w:rPr>
        <w:t xml:space="preserve">, și </w:t>
      </w:r>
      <w:r>
        <w:rPr>
          <w:i/>
        </w:rPr>
        <w:t>Gražulevičiūtė împotriva Lituaniei</w:t>
      </w:r>
      <w:r>
        <w:t>, nr. 53176/17, pct. 101-111, 14 decembrie 2021). De asemenea, Curtea a statuat că art. 8 nu poate fi invocat pentru a se plânge de o atingere adusă reputației unei persoane, care a fost rezultatul previzibil al propriilor acțiuni, cum ar fi o infracțiune [</w:t>
      </w:r>
      <w:r>
        <w:rPr>
          <w:i/>
        </w:rPr>
        <w:t>Gillberg împotriva Suediei</w:t>
      </w:r>
      <w:r>
        <w:t xml:space="preserve"> (MC), nr. 41723/06, pct. 68, 3 aprilie 2012, și </w:t>
      </w:r>
      <w:r>
        <w:rPr>
          <w:i/>
        </w:rPr>
        <w:t>Denisov</w:t>
      </w:r>
      <w:r>
        <w:t xml:space="preserve">, citată anterior, pct. 98 și 121; a se vedea, de asemenea, </w:t>
      </w:r>
      <w:r>
        <w:rPr>
          <w:i/>
        </w:rPr>
        <w:t>Gražulevičiūtė</w:t>
      </w:r>
      <w:r>
        <w:t xml:space="preserve">, citată anterior, pct. 102, </w:t>
      </w:r>
      <w:r>
        <w:rPr>
          <w:i/>
        </w:rPr>
        <w:t>Ballıktaş Bingöllü împotriva Turciei</w:t>
      </w:r>
      <w:r>
        <w:t xml:space="preserve">, nr. 76730/12, pct. 54, 22 iunie 2021, și </w:t>
      </w:r>
      <w:r>
        <w:rPr>
          <w:i/>
        </w:rPr>
        <w:t>Amar împotriva Franței</w:t>
      </w:r>
      <w:r>
        <w:t xml:space="preserve"> (dec.), nr. 4028/23, pct. 33, 16 aprilie 2024]. În opinia Curții, acest principiu de excludere al art. 8 vizează nu numai infracțiunile, ci și neregulile de altă natură, care angajează într-un fel sau altul răspunderea juridică a unei persoane și au consecințe negative previzibile asupra „vieții private” a acesteia (</w:t>
      </w:r>
      <w:r>
        <w:rPr>
          <w:i/>
        </w:rPr>
        <w:t>Denisov</w:t>
      </w:r>
      <w:r>
        <w:t>, citată anterior, pct. 98).</w:t>
      </w:r>
    </w:p>
    <w:p w:rsidR="00600DE6" w:rsidRPr="00421BF4" w:rsidRDefault="00AB4375" w:rsidP="00421BF4">
      <w:pPr>
        <w:pStyle w:val="JuPara"/>
      </w:pPr>
      <w:r>
        <w:fldChar w:fldCharType="begin"/>
      </w:r>
      <w:r>
        <w:instrText xml:space="preserve"> SEQ level0 \*arabic \* MERGEFORMAT </w:instrText>
      </w:r>
      <w:r>
        <w:fldChar w:fldCharType="separate"/>
      </w:r>
      <w:r>
        <w:rPr>
          <w:noProof/>
        </w:rPr>
        <w:t>21</w:t>
      </w:r>
      <w:r>
        <w:rPr>
          <w:noProof/>
        </w:rPr>
        <w:fldChar w:fldCharType="end"/>
      </w:r>
      <w:r w:rsidR="00A1586D">
        <w:t>.</w:t>
      </w:r>
      <w:r w:rsidR="00565754">
        <w:t xml:space="preserve"> </w:t>
      </w:r>
      <w:r w:rsidR="00A1586D">
        <w:t xml:space="preserve">Curtea a stabilit, de asemenea, o serie de principii și criterii pentru evaluarea seriozității sau gravității consecințelor măsurii aflate la originea </w:t>
      </w:r>
      <w:r w:rsidR="00A1586D">
        <w:lastRenderedPageBreak/>
        <w:t>litigiului, în scopul aplicabilității art. 8 din Convenție: o astfel de analiză trebuie să cuprindă atât consecințele materiale, cât și cele morale ale măsurii în cauză (</w:t>
      </w:r>
      <w:r w:rsidR="00A1586D">
        <w:rPr>
          <w:i/>
          <w:iCs/>
        </w:rPr>
        <w:t>Denisov</w:t>
      </w:r>
      <w:r w:rsidR="00A1586D">
        <w:t>, citată anterior, pct. 117); prejudiciul suferit de reclamantă trebuie evaluat în raport cu viața sa înainte și după măsura respectivă, iar percepția subiectivă a reclamantei poate fi, de asemenea, luată în considerare (</w:t>
      </w:r>
      <w:r w:rsidR="00A1586D">
        <w:rPr>
          <w:i/>
        </w:rPr>
        <w:t>ibidem</w:t>
      </w:r>
      <w:r w:rsidR="00A1586D">
        <w:t>, pct. 117). Reclamantului îi revine sarcina de a stabili în mod convingător că pragul de gravitate a fost atins în cazul său, prin prezentarea de dovezi privind consecințele măsurii în cauză [</w:t>
      </w:r>
      <w:r w:rsidR="00A1586D">
        <w:rPr>
          <w:i/>
        </w:rPr>
        <w:t>ibidem</w:t>
      </w:r>
      <w:r w:rsidR="00A1586D">
        <w:t xml:space="preserve">, pct. 116; a se vedea, de asemenea, </w:t>
      </w:r>
      <w:r w:rsidR="00A1586D">
        <w:rPr>
          <w:i/>
        </w:rPr>
        <w:t>J.B. și alții împotriva Ungariei</w:t>
      </w:r>
      <w:r w:rsidR="00A1586D">
        <w:t xml:space="preserve"> (dec.), nr. 45434/12 și alte două cereri, pct. 128-129, 27 noiembrie 2018).</w:t>
      </w:r>
      <w:r w:rsidR="00565754">
        <w:t xml:space="preserve"> </w:t>
      </w:r>
      <w:r w:rsidR="00A1586D">
        <w:t>Art. 8 poate fi aplicat numai dacă aceste consecințe sunt foarte grave și aduc atingere vieții private într-un mod deosebit de semnificativ (</w:t>
      </w:r>
      <w:r w:rsidR="00A1586D">
        <w:rPr>
          <w:i/>
        </w:rPr>
        <w:t xml:space="preserve">Denisov, </w:t>
      </w:r>
      <w:r w:rsidR="00A1586D">
        <w:t xml:space="preserve">citată anterior, pct. 116). </w:t>
      </w:r>
    </w:p>
    <w:p w:rsidR="001D5438" w:rsidRPr="00421BF4" w:rsidRDefault="00AB4375" w:rsidP="00421BF4">
      <w:pPr>
        <w:pStyle w:val="JuPara"/>
      </w:pPr>
      <w:r>
        <w:fldChar w:fldCharType="begin"/>
      </w:r>
      <w:r>
        <w:instrText xml:space="preserve"> SEQ level0 \*arabic \* MERGEFORMAT </w:instrText>
      </w:r>
      <w:r>
        <w:fldChar w:fldCharType="separate"/>
      </w:r>
      <w:r>
        <w:rPr>
          <w:noProof/>
        </w:rPr>
        <w:t>22</w:t>
      </w:r>
      <w:r>
        <w:rPr>
          <w:noProof/>
        </w:rPr>
        <w:fldChar w:fldCharType="end"/>
      </w:r>
      <w:r w:rsidR="00A1586D">
        <w:t>.</w:t>
      </w:r>
      <w:r w:rsidR="00565754">
        <w:t xml:space="preserve"> </w:t>
      </w:r>
      <w:r w:rsidR="00A1586D">
        <w:t>De exemplu, Curtea a considerat că eliberarea din funcție a unui judecător pentru neîndeplinirea obligațiilor sale profesionale, și anume printr</w:t>
      </w:r>
      <w:r w:rsidR="00CC55BA">
        <w:noBreakHyphen/>
      </w:r>
      <w:r w:rsidR="00A1586D">
        <w:t>o încălcare a jurământului, a afectat o gamă largă de relații profesionale și de altă natură ale acestuia și a avut, de asemenea, un impact asupra „cercului său intim” ca urmare a pierderii de venituri, precum și asupra reputației sale; așadar art. 8 din Convenție era aplicabil (</w:t>
      </w:r>
      <w:r w:rsidR="00A1586D">
        <w:rPr>
          <w:i/>
        </w:rPr>
        <w:t>Oleksandr Volkov</w:t>
      </w:r>
      <w:r w:rsidR="00A1586D">
        <w:t>, citată anterior, pct. 166).</w:t>
      </w:r>
    </w:p>
    <w:p w:rsidR="001D5438" w:rsidRPr="00421BF4" w:rsidRDefault="00AB4375" w:rsidP="00421BF4">
      <w:pPr>
        <w:pStyle w:val="JuPara"/>
      </w:pPr>
      <w:r>
        <w:fldChar w:fldCharType="begin"/>
      </w:r>
      <w:r>
        <w:instrText xml:space="preserve"> SEQ level0 \*arabic \* MERGEFORMAT </w:instrText>
      </w:r>
      <w:r>
        <w:fldChar w:fldCharType="separate"/>
      </w:r>
      <w:r>
        <w:rPr>
          <w:noProof/>
        </w:rPr>
        <w:t>23</w:t>
      </w:r>
      <w:r>
        <w:rPr>
          <w:noProof/>
        </w:rPr>
        <w:fldChar w:fldCharType="end"/>
      </w:r>
      <w:r w:rsidR="00A1586D">
        <w:t>.</w:t>
      </w:r>
      <w:r w:rsidR="00565754">
        <w:t xml:space="preserve"> </w:t>
      </w:r>
      <w:r w:rsidR="00A1586D">
        <w:t>În alte cauze privind eliberarea sau suspendarea din funcție a judecătorilor, Curtea a constatat că consecințele financiare pentru persoanele vizate atingeau nivelul de gravitate necesar pentru a face aplicabil art. 8 din Convenție (</w:t>
      </w:r>
      <w:bookmarkStart w:id="11" w:name="_cl42261APPRÉCIATIONDELACOUR"/>
      <w:r w:rsidR="00A1586D">
        <w:rPr>
          <w:i/>
        </w:rPr>
        <w:t>Ovciarenko și Kolos împotriva Ucrainei</w:t>
      </w:r>
      <w:bookmarkEnd w:id="11"/>
      <w:r w:rsidR="00A1586D">
        <w:t xml:space="preserve">, nr. 27276/15 și 33692/15, pct. 86 12 ianuarie 2023, privind eliberarea din funcție a doi judecători, </w:t>
      </w:r>
      <w:bookmarkStart w:id="12" w:name="_cl42045APPRÉCIATIONDELACOUR"/>
      <w:r w:rsidR="00A1586D">
        <w:rPr>
          <w:i/>
        </w:rPr>
        <w:t>Juszczyszyn împotriva Poloniei</w:t>
      </w:r>
      <w:bookmarkEnd w:id="12"/>
      <w:r w:rsidR="00A1586D">
        <w:t>, nr. 35599/20, pct. 228-237, 6 octombrie 2022,</w:t>
      </w:r>
      <w:r w:rsidR="00A1586D">
        <w:rPr>
          <w:rStyle w:val="sbb9ee52a"/>
        </w:rPr>
        <w:t xml:space="preserve"> </w:t>
      </w:r>
      <w:r w:rsidR="00A1586D">
        <w:rPr>
          <w:rStyle w:val="sbb9ee52a"/>
          <w:color w:val="000000"/>
        </w:rPr>
        <w:t>privind suspendarea din funcție a unui judecător pentru o perioadă de aproximativ doi ani și trei luni)</w:t>
      </w:r>
      <w:r w:rsidR="00A1586D">
        <w:rPr>
          <w:rStyle w:val="sbb9ee52a"/>
        </w:rPr>
        <w:t>.</w:t>
      </w:r>
      <w:r w:rsidR="00A1586D">
        <w:rPr>
          <w:rStyle w:val="sbb9ee52a"/>
          <w:color w:val="000000"/>
        </w:rPr>
        <w:t xml:space="preserve"> </w:t>
      </w:r>
      <w:r w:rsidR="00A1586D">
        <w:t>Curtea a considerat că art. 8 din Convenție era aplicabil și într-un litigiu profesional privind un procuror care fusese eliberat din funcție, de această dată pe baza unei analize combinate a motivelor măsurii în cauză și a consecințelor acesteia (</w:t>
      </w:r>
      <w:r w:rsidR="00A1586D">
        <w:rPr>
          <w:i/>
        </w:rPr>
        <w:t>Guliev împotriva Azerbai</w:t>
      </w:r>
      <w:r w:rsidR="00565754">
        <w:rPr>
          <w:i/>
        </w:rPr>
        <w:t>d</w:t>
      </w:r>
      <w:r w:rsidR="00A1586D">
        <w:rPr>
          <w:i/>
        </w:rPr>
        <w:t>janului</w:t>
      </w:r>
      <w:r w:rsidR="00A1586D">
        <w:t>, nr. 54588/13, pct. 43, 6 iulie 2023).</w:t>
      </w:r>
    </w:p>
    <w:p w:rsidR="001D5438" w:rsidRPr="00421BF4" w:rsidRDefault="00AB4375" w:rsidP="00421BF4">
      <w:pPr>
        <w:pStyle w:val="JuPara"/>
      </w:pPr>
      <w:r>
        <w:fldChar w:fldCharType="begin"/>
      </w:r>
      <w:r>
        <w:instrText xml:space="preserve"> SEQ level0 \*arabic \* MERGEFORMAT </w:instrText>
      </w:r>
      <w:r>
        <w:fldChar w:fldCharType="separate"/>
      </w:r>
      <w:r>
        <w:rPr>
          <w:noProof/>
        </w:rPr>
        <w:t>24</w:t>
      </w:r>
      <w:r>
        <w:rPr>
          <w:noProof/>
        </w:rPr>
        <w:fldChar w:fldCharType="end"/>
      </w:r>
      <w:r w:rsidR="00A1586D">
        <w:t>.</w:t>
      </w:r>
      <w:r w:rsidR="00565754">
        <w:t xml:space="preserve"> </w:t>
      </w:r>
      <w:r w:rsidR="00A1586D">
        <w:t xml:space="preserve">În schimb, în alte cauze, Curtea a considerat, având în vedere circumstanțele particulare ale speței, că nu a fost atins nivelul minim de gravitate necesar pentru a face aplicabil art. 8 din Convenție (a se vedea, de exemplu, </w:t>
      </w:r>
      <w:r w:rsidR="00A1586D">
        <w:rPr>
          <w:i/>
        </w:rPr>
        <w:t>Camelia Bogdan împotriva României</w:t>
      </w:r>
      <w:r w:rsidR="00A1586D">
        <w:t>, nr. 36889/18, pct. 83</w:t>
      </w:r>
      <w:r w:rsidR="00A1586D">
        <w:noBreakHyphen/>
        <w:t xml:space="preserve">92, 20 octombrie 2020, privind suspendarea din funcție a unei judecătoare pentru o anumită durată, și </w:t>
      </w:r>
      <w:r w:rsidR="00A1586D">
        <w:rPr>
          <w:i/>
        </w:rPr>
        <w:t>Miroslava Todorova împotriva Bulgariei</w:t>
      </w:r>
      <w:r w:rsidR="00A1586D">
        <w:t>, nr. 40072/13, pct. 136-145, 19 octombrie 2021, cu privire la eliberarea din funcție, ulterior anulată, a unei judecătoare).</w:t>
      </w:r>
    </w:p>
    <w:p w:rsidR="001D5438" w:rsidRPr="00421BF4" w:rsidRDefault="00AB4375" w:rsidP="00421BF4">
      <w:pPr>
        <w:pStyle w:val="JuPara"/>
      </w:pPr>
      <w:r>
        <w:fldChar w:fldCharType="begin"/>
      </w:r>
      <w:r>
        <w:instrText xml:space="preserve"> SEQ level0 \*arabic \* MERGEFORMAT </w:instrText>
      </w:r>
      <w:r>
        <w:fldChar w:fldCharType="separate"/>
      </w:r>
      <w:r>
        <w:rPr>
          <w:noProof/>
        </w:rPr>
        <w:t>25</w:t>
      </w:r>
      <w:r>
        <w:rPr>
          <w:noProof/>
        </w:rPr>
        <w:fldChar w:fldCharType="end"/>
      </w:r>
      <w:r w:rsidR="00A1586D">
        <w:t>.</w:t>
      </w:r>
      <w:r w:rsidR="00565754">
        <w:t xml:space="preserve"> </w:t>
      </w:r>
      <w:r w:rsidR="00A1586D">
        <w:t xml:space="preserve">În sfârșit, Curtea precizează că, în cazul în care există îndoieli cu privire la aplicabilitatea art. 8 din Convenție într-o anumită situație, această întrebare poate fi lăsată deschisă atunci când, în orice caz, condițiile prevăzute la art. 8 § 2 din Convenție, </w:t>
      </w:r>
      <w:r w:rsidR="00A1586D">
        <w:rPr>
          <w:rFonts w:ascii="Symbol" w:hAnsi="Symbol"/>
        </w:rPr>
        <w:sym w:font="Symbol" w:char="F02D"/>
      </w:r>
      <w:r w:rsidR="00A1586D">
        <w:t xml:space="preserve"> care includ cerința ca ingerința să fie „prevăzută de lege”, </w:t>
      </w:r>
      <w:r w:rsidR="00A1586D">
        <w:rPr>
          <w:rFonts w:ascii="Symbol" w:hAnsi="Symbol"/>
        </w:rPr>
        <w:sym w:font="Symbol" w:char="F02D"/>
      </w:r>
      <w:r w:rsidR="00A1586D">
        <w:t xml:space="preserve"> sunt considerate a fi îndeplinite [a se vedea, de exemplu, </w:t>
      </w:r>
      <w:r w:rsidR="00A1586D">
        <w:rPr>
          <w:i/>
        </w:rPr>
        <w:t xml:space="preserve">Paterson </w:t>
      </w:r>
      <w:r w:rsidR="00A1586D">
        <w:rPr>
          <w:i/>
        </w:rPr>
        <w:lastRenderedPageBreak/>
        <w:t>împotriva Regatului Unit</w:t>
      </w:r>
      <w:r w:rsidR="00A1586D">
        <w:t xml:space="preserve"> (dec.), nr. 23570/22, pct. 61, 62 și 70, 3 septembrie 2024, și </w:t>
      </w:r>
      <w:r w:rsidR="00A1586D">
        <w:rPr>
          <w:i/>
        </w:rPr>
        <w:t>Sandrén împotriva Suediei</w:t>
      </w:r>
      <w:r w:rsidR="00A1586D">
        <w:t>, nr. 29033/95, decizia Comisiei, 16 octombrie 1996]. În consecință</w:t>
      </w:r>
      <w:r w:rsidR="00A729E5">
        <w:t>,</w:t>
      </w:r>
      <w:r w:rsidR="00A1586D">
        <w:t xml:space="preserve"> Curtea va examina, de asemenea, dacă a doua întrebare adresată de Înalta Curte, referitoare la gradul de precizie al dreptului intern care a servit drept temei juridic pentru măsura de eliberare din funcție contestată în cadrul procedurii interne pendinte, privește „o chestiune de principiu”.</w:t>
      </w:r>
    </w:p>
    <w:p w:rsidR="001D5438" w:rsidRPr="00421BF4" w:rsidRDefault="00AB4375" w:rsidP="00421BF4">
      <w:pPr>
        <w:pStyle w:val="JuPara"/>
      </w:pPr>
      <w:r>
        <w:fldChar w:fldCharType="begin"/>
      </w:r>
      <w:r>
        <w:instrText xml:space="preserve"> SEQ level0 \*arabic \* MERGEFORMAT </w:instrText>
      </w:r>
      <w:r>
        <w:fldChar w:fldCharType="separate"/>
      </w:r>
      <w:r>
        <w:rPr>
          <w:noProof/>
        </w:rPr>
        <w:t>26</w:t>
      </w:r>
      <w:r>
        <w:rPr>
          <w:noProof/>
        </w:rPr>
        <w:fldChar w:fldCharType="end"/>
      </w:r>
      <w:r w:rsidR="00A1586D">
        <w:t>.</w:t>
      </w:r>
      <w:r w:rsidR="00565754">
        <w:t xml:space="preserve"> </w:t>
      </w:r>
      <w:r w:rsidR="00A1586D">
        <w:t xml:space="preserve">Curtea reiterează jurisprudența sa potrivit căreia expresia „prevăzută de lege” de la art. 8-11 din Convenție impune nu numai ca măsura incriminată să aibă un temei în dreptul intern, ci se referă și la calitatea legii în cauză: prin urmare, aceasta trebuie să fie accesibilă justițiabililor și previzibilă în ceea ce privește efectele sale [a se vedea, de exemplu, </w:t>
      </w:r>
      <w:r w:rsidR="00A1586D">
        <w:rPr>
          <w:i/>
        </w:rPr>
        <w:t>Rotaru împotriva României</w:t>
      </w:r>
      <w:r w:rsidR="00A1586D">
        <w:t xml:space="preserve"> (MC), nr. 28341/95, pct. 55, CEDO 2000-V, și </w:t>
      </w:r>
      <w:r w:rsidR="00A1586D">
        <w:rPr>
          <w:i/>
        </w:rPr>
        <w:t>S. și Marper împotriva Regatului Unit</w:t>
      </w:r>
      <w:r w:rsidR="00A1586D">
        <w:t xml:space="preserve"> (MC), nr. 30562/04 și 30566/04, pct. 95, CEDO 2008]. O normă nu poate fi considerată „lege” decât dacă este formulată cu suficientă precizie pentru a permite cetățeanului să își reglementeze conduita; dacă este necesar, cu ajutorul unor sfaturi adecvate, acesta trebuie să fie capabil să prevadă, într-un grad rezonabil în funcție de circumstanțe, consecințele care pot decurge dintr-o anumită acțiune [a se vedea, printre altele, </w:t>
      </w:r>
      <w:r w:rsidR="00A1586D">
        <w:rPr>
          <w:i/>
        </w:rPr>
        <w:t xml:space="preserve">Kudrevičius și alții împotriva Lituaniei </w:t>
      </w:r>
      <w:r w:rsidR="00A1586D">
        <w:t>(MC), nr. 37553/05, pct. 109, CEDO 2015, și trimiterile citate].</w:t>
      </w:r>
    </w:p>
    <w:p w:rsidR="000B5B2C" w:rsidRPr="00421BF4" w:rsidRDefault="00A1586D" w:rsidP="00421BF4">
      <w:pPr>
        <w:pStyle w:val="JuPara"/>
      </w:pPr>
      <w:r w:rsidRPr="00421BF4">
        <w:fldChar w:fldCharType="begin"/>
      </w:r>
      <w:r>
        <w:instrText xml:space="preserve"> SEQ level0 \*arabic \* MERGEFORMAT </w:instrText>
      </w:r>
      <w:r w:rsidRPr="00421BF4">
        <w:fldChar w:fldCharType="separate"/>
      </w:r>
      <w:r w:rsidR="00AB4375">
        <w:rPr>
          <w:noProof/>
        </w:rPr>
        <w:t>27</w:t>
      </w:r>
      <w:r w:rsidRPr="00421BF4">
        <w:fldChar w:fldCharType="end"/>
      </w:r>
      <w:r>
        <w:t>.</w:t>
      </w:r>
      <w:r w:rsidR="00565754">
        <w:t xml:space="preserve"> </w:t>
      </w:r>
      <w:r>
        <w:t>Cu toate acestea, experiența arată că este imposibil să se atingă o precizie absolută în formularea legilor, în special în domeniile în care datele se schimbă odată cu evoluția opiniilor societății. În special, nu este nevoie ca aceste consecințe să fie previzibile cu o certitudine absolută: experiența arată că o astfel de certitudine nu poate fi atinsă. În plus, deși mult dorită, certitudinea este uneori însoțită de o rigiditate excesivă, iar legea trebuie să se poată adapta la schimbările de situație. Prin urmare, multe legi sunt obligate să utilizeze formule mai mult sau mai puțin vagi, a căror interpretare și aplicare depind de practică [</w:t>
      </w:r>
      <w:r>
        <w:rPr>
          <w:i/>
        </w:rPr>
        <w:t>Kudrevičius și alții</w:t>
      </w:r>
      <w:r>
        <w:t xml:space="preserve">, citată anterior, pct. 109, CEDO 2015, </w:t>
      </w:r>
      <w:r>
        <w:rPr>
          <w:i/>
        </w:rPr>
        <w:t>Navalnîi împotriva Rusiei</w:t>
      </w:r>
      <w:r>
        <w:t xml:space="preserve"> (MC), nr. 29580/12 și alte patru, pct. 114, 15 noiembrie 2018, și trimiterile citate; a se vedea, de asemenea </w:t>
      </w:r>
      <w:r>
        <w:rPr>
          <w:i/>
        </w:rPr>
        <w:t>Michaud împotriva Franței</w:t>
      </w:r>
      <w:r>
        <w:t xml:space="preserve">, nr. 12323/11, pct. 96, 6 decembrie 2012, și </w:t>
      </w:r>
      <w:r>
        <w:rPr>
          <w:i/>
        </w:rPr>
        <w:t>Klaus Müller împotriva Germaniei</w:t>
      </w:r>
      <w:r>
        <w:t>, nr. 24173/18, pct. 50, 19 noiembrie 2020].</w:t>
      </w:r>
    </w:p>
    <w:p w:rsidR="001D5438" w:rsidRPr="00421BF4" w:rsidRDefault="00A1586D" w:rsidP="00421BF4">
      <w:pPr>
        <w:pStyle w:val="JuPara"/>
      </w:pPr>
      <w:r w:rsidRPr="00421BF4">
        <w:fldChar w:fldCharType="begin"/>
      </w:r>
      <w:r>
        <w:instrText xml:space="preserve"> SEQ level0 \*arabic \* MERGEFORMAT </w:instrText>
      </w:r>
      <w:r w:rsidRPr="00421BF4">
        <w:fldChar w:fldCharType="separate"/>
      </w:r>
      <w:r w:rsidR="00AB4375">
        <w:rPr>
          <w:noProof/>
        </w:rPr>
        <w:t>28</w:t>
      </w:r>
      <w:r w:rsidRPr="00421BF4">
        <w:fldChar w:fldCharType="end"/>
      </w:r>
      <w:r>
        <w:t>.</w:t>
      </w:r>
      <w:r w:rsidR="00565754">
        <w:t xml:space="preserve"> </w:t>
      </w:r>
      <w:r>
        <w:t>Cerința de previzibilitate nu exclude posibilitatea ca o anumită normă juridică să fie aplicată într-o zi pentru prima dată (</w:t>
      </w:r>
      <w:r>
        <w:rPr>
          <w:i/>
          <w:iCs/>
        </w:rPr>
        <w:t>Kudrevičius</w:t>
      </w:r>
      <w:r>
        <w:t>, citată anterior, pct. 115). Funcția decizională încredințată instanțelor naționale are tocmai rolul de a risipi îndoielile care ar putea rămâne cu privire la interpretarea normelor. În plus, nivelul de precizie cerut legislației interne – care nu poate în niciun caz să anticipeze orice ipoteză – depinde în mare măsură de conținutul instrumentului în cauză, de domeniul pe care acesta este destinat să îl acopere, precum și de numărul și statutul celor cărora li se adresează (</w:t>
      </w:r>
      <w:r>
        <w:rPr>
          <w:i/>
        </w:rPr>
        <w:t>ibidem</w:t>
      </w:r>
      <w:r>
        <w:t xml:space="preserve">, pct. 110). </w:t>
      </w:r>
    </w:p>
    <w:p w:rsidR="00692254" w:rsidRPr="00421BF4" w:rsidRDefault="00AB4375" w:rsidP="00421BF4">
      <w:pPr>
        <w:pStyle w:val="JuPara"/>
      </w:pPr>
      <w:r>
        <w:lastRenderedPageBreak/>
        <w:fldChar w:fldCharType="begin"/>
      </w:r>
      <w:r>
        <w:instrText xml:space="preserve"> SEQ level0 \*arab</w:instrText>
      </w:r>
      <w:r>
        <w:instrText xml:space="preserve">ic \* MERGEFORMAT </w:instrText>
      </w:r>
      <w:r>
        <w:fldChar w:fldCharType="separate"/>
      </w:r>
      <w:bookmarkStart w:id="13" w:name="paragraph00030"/>
      <w:r>
        <w:rPr>
          <w:noProof/>
        </w:rPr>
        <w:t>29</w:t>
      </w:r>
      <w:bookmarkEnd w:id="13"/>
      <w:r>
        <w:rPr>
          <w:noProof/>
        </w:rPr>
        <w:fldChar w:fldCharType="end"/>
      </w:r>
      <w:r w:rsidR="00A1586D">
        <w:t>.</w:t>
      </w:r>
      <w:r w:rsidR="00565754">
        <w:t xml:space="preserve"> </w:t>
      </w:r>
      <w:r w:rsidR="00A1586D">
        <w:t>De asemenea, Curtea reamintește că, pentru a îndeplini cerințele privind calitatea legii, dreptul intern trebuie să ofere o anumită protecție împotriva ingerințelor arbitrare ale autorităților publice în drepturile garantate de Convenție. În materie de drepturi fundamentale, ar fi contrar statului de drept, unul dintre principiile de bază ale unei societăți democratice consacrate de Convenție, ca legea să nu indice cu suficientă claritate domeniul de aplicare și modalitățile de exercitare a puterii conferite autorităților competente [</w:t>
      </w:r>
      <w:r w:rsidR="00A1586D">
        <w:rPr>
          <w:i/>
        </w:rPr>
        <w:t>S. și Marper</w:t>
      </w:r>
      <w:r w:rsidR="00A1586D">
        <w:t xml:space="preserve">, citată anterior, pct. 95; </w:t>
      </w:r>
      <w:r w:rsidR="00A1586D">
        <w:rPr>
          <w:i/>
        </w:rPr>
        <w:t>Hassan și Tchaouch împotriva Bulgariei</w:t>
      </w:r>
      <w:r w:rsidR="00A1586D">
        <w:t xml:space="preserve"> (MC), nr. 30985/96, pct. 84, CEDO 2000-XI, și </w:t>
      </w:r>
      <w:r w:rsidR="00A1586D">
        <w:rPr>
          <w:i/>
        </w:rPr>
        <w:t xml:space="preserve">Navalnîi, </w:t>
      </w:r>
      <w:r w:rsidR="00A1586D">
        <w:t>citată anterior, pct. 115, cu trimiterile citate].</w:t>
      </w:r>
    </w:p>
    <w:p w:rsidR="00E65790" w:rsidRPr="00421BF4" w:rsidRDefault="00A1586D" w:rsidP="00421BF4">
      <w:pPr>
        <w:pStyle w:val="JuPara"/>
        <w:rPr>
          <w:rFonts w:cstheme="minorHAnsi"/>
        </w:rPr>
      </w:pPr>
      <w:r w:rsidRPr="00421BF4">
        <w:rPr>
          <w:rFonts w:cstheme="minorHAnsi"/>
        </w:rPr>
        <w:fldChar w:fldCharType="begin"/>
      </w:r>
      <w:r w:rsidRPr="00421BF4">
        <w:rPr>
          <w:rFonts w:cstheme="minorHAnsi"/>
        </w:rPr>
        <w:instrText xml:space="preserve"> SEQ level0 \*arabic \* MERGEFORMAT </w:instrText>
      </w:r>
      <w:r w:rsidRPr="00421BF4">
        <w:rPr>
          <w:rFonts w:cstheme="minorHAnsi"/>
        </w:rPr>
        <w:fldChar w:fldCharType="separate"/>
      </w:r>
      <w:r w:rsidR="00AB4375">
        <w:rPr>
          <w:rFonts w:cstheme="minorHAnsi"/>
          <w:noProof/>
        </w:rPr>
        <w:t>30</w:t>
      </w:r>
      <w:r w:rsidRPr="00421BF4">
        <w:rPr>
          <w:rFonts w:cstheme="minorHAnsi"/>
        </w:rPr>
        <w:fldChar w:fldCharType="end"/>
      </w:r>
      <w:r>
        <w:t>.</w:t>
      </w:r>
      <w:r w:rsidR="00565754">
        <w:t xml:space="preserve"> </w:t>
      </w:r>
      <w:r>
        <w:t xml:space="preserve">Interpretarea și aplicarea dreptului intern revine în primul rând autorităților naționale, în special instanțelor judecătorești (a se vedea, printre altele, </w:t>
      </w:r>
      <w:r>
        <w:rPr>
          <w:i/>
          <w:iCs/>
        </w:rPr>
        <w:t>Kruslin împotriva Franței</w:t>
      </w:r>
      <w:r>
        <w:t xml:space="preserve">, 24 aprilie 1990, pct. 29, seria A nr. 176 A, </w:t>
      </w:r>
      <w:r>
        <w:rPr>
          <w:i/>
          <w:iCs/>
        </w:rPr>
        <w:t>Kudrevičius și alții</w:t>
      </w:r>
      <w:r>
        <w:t xml:space="preserve">, citată anterior, pct. 109, și </w:t>
      </w:r>
      <w:r>
        <w:rPr>
          <w:i/>
          <w:iCs/>
        </w:rPr>
        <w:t>Paradiso și Campanelli</w:t>
      </w:r>
      <w:r>
        <w:t>, nr. 25358/12, pct. 169, 24 ianuarie 2017), ceea ce înseamnă, în speță, că Înalta Curte trebuie să stabilească dacă legislația națională îndeplinește sau nu cerința de previzibilitate prevăzută la art. 8 § 2 din Convenție, pe baza jurisprudenței existente și în raport cu dreptul intern relevant și cu faptele cauzei pendinte în fața sa. Scopul procedurii privind Protocolul nr. 16 nu este de a transfera litigiul în fața Curții, ci de a oferi instanței de la care provine cererea mijloacele necesare pentru a asigura respectarea drepturilor protejate de Convenție atunci când se pronunță asupra litigiului pendinte [</w:t>
      </w:r>
      <w:r>
        <w:rPr>
          <w:i/>
          <w:iCs/>
        </w:rPr>
        <w:t>Aviz consultativ privind refuzul de a autoriza o persoană să exercite profesia de agent de securitate sau de paznic din cauza apropierii sau apartenenței sale la o mișcare religioasă</w:t>
      </w:r>
      <w:r>
        <w:t xml:space="preserve"> (MC), cererea nr. P16-2023-001, </w:t>
      </w:r>
      <w:r>
        <w:rPr>
          <w:i/>
          <w:iCs/>
        </w:rPr>
        <w:t>Consiliul de stat al Belgiei, pct. 61</w:t>
      </w:r>
      <w:r>
        <w:t xml:space="preserve">, 14 decembrie 2023, și </w:t>
      </w:r>
      <w:r>
        <w:rPr>
          <w:i/>
        </w:rPr>
        <w:t>Decizia nr.</w:t>
      </w:r>
      <w:r>
        <w:t xml:space="preserve"> </w:t>
      </w:r>
      <w:r>
        <w:rPr>
          <w:i/>
        </w:rPr>
        <w:t>P16-2023-002</w:t>
      </w:r>
      <w:r>
        <w:t>, citată anterior, pct. 19].</w:t>
      </w:r>
    </w:p>
    <w:p w:rsidR="001D5438" w:rsidRPr="00421BF4" w:rsidRDefault="00A1586D" w:rsidP="00421BF4">
      <w:pPr>
        <w:pStyle w:val="JuPara"/>
      </w:pPr>
      <w:r w:rsidRPr="00421BF4">
        <w:fldChar w:fldCharType="begin"/>
      </w:r>
      <w:r>
        <w:instrText xml:space="preserve"> SEQ level0 \*arabic \* MERGEFORMAT </w:instrText>
      </w:r>
      <w:r w:rsidRPr="00421BF4">
        <w:fldChar w:fldCharType="separate"/>
      </w:r>
      <w:r w:rsidR="00AB4375">
        <w:rPr>
          <w:noProof/>
        </w:rPr>
        <w:t>31</w:t>
      </w:r>
      <w:r w:rsidRPr="00421BF4">
        <w:fldChar w:fldCharType="end"/>
      </w:r>
      <w:r>
        <w:t>.</w:t>
      </w:r>
      <w:r w:rsidR="00565754">
        <w:t xml:space="preserve"> </w:t>
      </w:r>
      <w:r>
        <w:t xml:space="preserve">Privirea de ansamblu asupra jurisprudenței Curții, expusă </w:t>
      </w:r>
      <w:r>
        <w:rPr>
          <w:i/>
          <w:iCs/>
        </w:rPr>
        <w:t>supra</w:t>
      </w:r>
      <w:r>
        <w:t xml:space="preserve">, pct. </w:t>
      </w:r>
      <w:r w:rsidR="004561C4" w:rsidRPr="00421BF4">
        <w:fldChar w:fldCharType="begin"/>
      </w:r>
      <w:r w:rsidR="004561C4" w:rsidRPr="00421BF4">
        <w:instrText xml:space="preserve"> REF L_question \h  \* CharFormat </w:instrText>
      </w:r>
      <w:r w:rsidR="004561C4" w:rsidRPr="00421BF4">
        <w:fldChar w:fldCharType="separate"/>
      </w:r>
      <w:r w:rsidR="00AB4375" w:rsidRPr="00AB4375">
        <w:t>17</w:t>
      </w:r>
      <w:r w:rsidR="004561C4" w:rsidRPr="00421BF4">
        <w:fldChar w:fldCharType="end"/>
      </w:r>
      <w:r>
        <w:t>-</w:t>
      </w:r>
      <w:r w:rsidR="00692254" w:rsidRPr="00421BF4">
        <w:fldChar w:fldCharType="begin"/>
      </w:r>
      <w:r w:rsidR="00692254" w:rsidRPr="00421BF4">
        <w:instrText xml:space="preserve"> REF paragraph00030 \h  \* CharFormat </w:instrText>
      </w:r>
      <w:r w:rsidR="00692254" w:rsidRPr="00421BF4">
        <w:fldChar w:fldCharType="separate"/>
      </w:r>
      <w:r w:rsidR="00AB4375">
        <w:t>29</w:t>
      </w:r>
      <w:r w:rsidR="00692254" w:rsidRPr="00421BF4">
        <w:fldChar w:fldCharType="end"/>
      </w:r>
      <w:r>
        <w:t>, demonstrează că instanța solicitantă dispune de mijloacele necesare pentru a asigura respectarea drepturilor protejate de Convenție atunci când se va pronunța asupra litigiului pendinte. Curtea nu vede niciun motiv pentru care ar trebui să clarifice în continuare principiile existente.</w:t>
      </w:r>
    </w:p>
    <w:p w:rsidR="00652010" w:rsidRPr="00421BF4" w:rsidRDefault="00A1586D" w:rsidP="00421BF4">
      <w:pPr>
        <w:pStyle w:val="JuHHead"/>
      </w:pPr>
      <w:r>
        <w:t>Concluzie</w:t>
      </w:r>
    </w:p>
    <w:p w:rsidR="009216A0" w:rsidRPr="00421BF4" w:rsidRDefault="00AB4375" w:rsidP="00421BF4">
      <w:pPr>
        <w:pStyle w:val="JuPara"/>
      </w:pPr>
      <w:r>
        <w:fldChar w:fldCharType="begin"/>
      </w:r>
      <w:r>
        <w:instrText xml:space="preserve"> SEQ level0 \*arabic \* MERGEFORMAT </w:instrText>
      </w:r>
      <w:r>
        <w:fldChar w:fldCharType="separate"/>
      </w:r>
      <w:r>
        <w:rPr>
          <w:noProof/>
        </w:rPr>
        <w:t>32</w:t>
      </w:r>
      <w:r>
        <w:rPr>
          <w:noProof/>
        </w:rPr>
        <w:fldChar w:fldCharType="end"/>
      </w:r>
      <w:r w:rsidR="00A1586D">
        <w:t>.</w:t>
      </w:r>
      <w:r w:rsidR="00565754">
        <w:t xml:space="preserve"> </w:t>
      </w:r>
      <w:r w:rsidR="00A1586D">
        <w:t>Având în vedere cele de mai sus, Curtea concluzionează că prezenta cerere de aviz consultativ nu privește o chestiune de principiu în sensul art. 1 § 1 din Protocolul nr. 16 care să justifice o examinare de către Marea Cameră a Curții.</w:t>
      </w:r>
    </w:p>
    <w:p w:rsidR="009216A0" w:rsidRPr="00421BF4" w:rsidRDefault="00AB4375" w:rsidP="00421BF4">
      <w:pPr>
        <w:pStyle w:val="JuPara"/>
      </w:pPr>
      <w:r>
        <w:fldChar w:fldCharType="begin"/>
      </w:r>
      <w:r>
        <w:instrText xml:space="preserve"> SEQ level0 \*arabic \* MERGEFORMAT </w:instrText>
      </w:r>
      <w:r>
        <w:fldChar w:fldCharType="separate"/>
      </w:r>
      <w:r>
        <w:rPr>
          <w:noProof/>
        </w:rPr>
        <w:t>33</w:t>
      </w:r>
      <w:r>
        <w:rPr>
          <w:noProof/>
        </w:rPr>
        <w:fldChar w:fldCharType="end"/>
      </w:r>
      <w:r w:rsidR="00A1586D">
        <w:t>.</w:t>
      </w:r>
      <w:r w:rsidR="00565754">
        <w:t xml:space="preserve"> </w:t>
      </w:r>
      <w:r w:rsidR="00A1586D">
        <w:t>Prin urmare, aceasta decide să nu accepte cererea.</w:t>
      </w:r>
    </w:p>
    <w:p w:rsidR="00416DDD" w:rsidRPr="00421BF4" w:rsidRDefault="00A1586D" w:rsidP="00421BF4">
      <w:pPr>
        <w:pStyle w:val="JuParaLast"/>
      </w:pPr>
      <w:r>
        <w:t>Pentru aceste motive, cu majoritate, Curtea</w:t>
      </w:r>
    </w:p>
    <w:p w:rsidR="00416DDD" w:rsidRPr="00421BF4" w:rsidRDefault="00A1586D" w:rsidP="00421BF4">
      <w:pPr>
        <w:pStyle w:val="DecList"/>
      </w:pPr>
      <w:r>
        <w:rPr>
          <w:i/>
          <w:iCs/>
        </w:rPr>
        <w:t>Decide</w:t>
      </w:r>
      <w:r>
        <w:t xml:space="preserve"> să nu accepte cererea.</w:t>
      </w:r>
    </w:p>
    <w:p w:rsidR="00416DDD" w:rsidRPr="00421BF4" w:rsidRDefault="00A1586D" w:rsidP="00421BF4">
      <w:pPr>
        <w:pStyle w:val="JuParaLast"/>
      </w:pPr>
      <w:r>
        <w:lastRenderedPageBreak/>
        <w:t>Redactată în limba franceză, apoi tradusă în limba engleză și comunicată în scris la 28 iunie 2024.</w:t>
      </w:r>
    </w:p>
    <w:p w:rsidR="00416DDD" w:rsidRPr="00421BF4" w:rsidRDefault="00A1586D" w:rsidP="00421BF4">
      <w:pPr>
        <w:pStyle w:val="JuSigned"/>
        <w:tabs>
          <w:tab w:val="center" w:pos="1701"/>
        </w:tabs>
      </w:pPr>
      <w:r>
        <w:tab/>
      </w:r>
      <w:proofErr w:type="spellStart"/>
      <w:r>
        <w:t>Søren</w:t>
      </w:r>
      <w:proofErr w:type="spellEnd"/>
      <w:r>
        <w:t xml:space="preserve"> </w:t>
      </w:r>
      <w:proofErr w:type="spellStart"/>
      <w:r>
        <w:t>Prebensen</w:t>
      </w:r>
      <w:proofErr w:type="spellEnd"/>
      <w:r>
        <w:tab/>
        <w:t xml:space="preserve">Marko </w:t>
      </w:r>
      <w:proofErr w:type="spellStart"/>
      <w:r>
        <w:t>Bošnjak</w:t>
      </w:r>
      <w:proofErr w:type="spellEnd"/>
      <w:r>
        <w:br/>
        <w:t>Grefier adjunct</w:t>
      </w:r>
      <w:r>
        <w:tab/>
      </w:r>
      <w:r w:rsidR="00A01EB4">
        <w:tab/>
      </w:r>
      <w:r>
        <w:t>Președinte</w:t>
      </w:r>
    </w:p>
    <w:p w:rsidR="00416DDD" w:rsidRPr="00421BF4" w:rsidRDefault="00416DDD" w:rsidP="00421BF4"/>
    <w:sectPr w:rsidR="00416DDD" w:rsidRPr="00421BF4" w:rsidSect="001F5CE1">
      <w:headerReference w:type="even" r:id="rId11"/>
      <w:headerReference w:type="default" r:id="rId12"/>
      <w:footerReference w:type="default" r:id="rId13"/>
      <w:footnotePr>
        <w:numRestart w:val="eachSect"/>
      </w:footnotePr>
      <w:pgSz w:w="11906" w:h="16838" w:code="9"/>
      <w:pgMar w:top="2274" w:right="2274" w:bottom="2274" w:left="2274" w:header="1701"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05B" w:rsidRDefault="00FC405B">
      <w:r>
        <w:separator/>
      </w:r>
    </w:p>
  </w:endnote>
  <w:endnote w:type="continuationSeparator" w:id="0">
    <w:p w:rsidR="00FC405B" w:rsidRDefault="00FC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71C" w:rsidRPr="00150BFA" w:rsidRDefault="00A1586D" w:rsidP="0020718E">
    <w:pPr>
      <w:jc w:val="center"/>
    </w:pPr>
    <w:r>
      <w:rPr>
        <w:noProof/>
        <w:lang w:eastAsia="ro-RO"/>
      </w:rPr>
      <w:drawing>
        <wp:inline distT="0" distB="0" distL="0" distR="0">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AE33D5" w:rsidRPr="00DB5104" w:rsidRDefault="00AE33D5" w:rsidP="00A737D1">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3D5" w:rsidRPr="00F6348B" w:rsidRDefault="00A1586D" w:rsidP="001F5CE1">
    <w:pPr>
      <w:pStyle w:val="JuHeader"/>
    </w:pPr>
    <w:r>
      <w:fldChar w:fldCharType="begin"/>
    </w:r>
    <w:r>
      <w:instrText xml:space="preserve"> PAGE  \* MERGEFORMAT </w:instrText>
    </w:r>
    <w:r>
      <w:fldChar w:fldCharType="separate"/>
    </w:r>
    <w:r w:rsidR="00AB4375">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05B" w:rsidRDefault="00FC405B">
      <w:r>
        <w:separator/>
      </w:r>
    </w:p>
  </w:footnote>
  <w:footnote w:type="continuationSeparator" w:id="0">
    <w:p w:rsidR="00FC405B" w:rsidRDefault="00FC40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86E" w:rsidRDefault="009E786E" w:rsidP="009E786E">
    <w:pPr>
      <w:jc w:val="right"/>
      <w:rPr>
        <w:rFonts w:ascii="Trebuchet MS" w:hAnsi="Trebuchet MS"/>
        <w:sz w:val="20"/>
        <w:szCs w:val="20"/>
      </w:rPr>
    </w:pPr>
    <w:r w:rsidRPr="009E786E">
      <w:rPr>
        <w:rFonts w:ascii="Trebuchet MS" w:hAnsi="Trebuchet MS"/>
        <w:sz w:val="20"/>
        <w:szCs w:val="20"/>
      </w:rPr>
      <w:t xml:space="preserve">Tradus </w:t>
    </w:r>
    <w:r>
      <w:rPr>
        <w:rFonts w:ascii="Trebuchet MS" w:hAnsi="Trebuchet MS"/>
        <w:sz w:val="20"/>
        <w:szCs w:val="20"/>
      </w:rPr>
      <w:t>ș</w:t>
    </w:r>
    <w:r w:rsidRPr="009E786E">
      <w:rPr>
        <w:rFonts w:ascii="Trebuchet MS" w:hAnsi="Trebuchet MS"/>
        <w:sz w:val="20"/>
        <w:szCs w:val="20"/>
      </w:rPr>
      <w:t>i revizuit de IER</w:t>
    </w:r>
    <w:r>
      <w:rPr>
        <w:rFonts w:ascii="Trebuchet MS" w:hAnsi="Trebuchet MS"/>
        <w:sz w:val="20"/>
        <w:szCs w:val="20"/>
      </w:rPr>
      <w:t xml:space="preserve"> (</w:t>
    </w:r>
    <w:hyperlink r:id="rId1" w:history="1">
      <w:r w:rsidRPr="002E461D">
        <w:rPr>
          <w:rStyle w:val="Hyperlink"/>
          <w:rFonts w:ascii="Trebuchet MS" w:hAnsi="Trebuchet MS"/>
          <w:sz w:val="20"/>
          <w:szCs w:val="20"/>
        </w:rPr>
        <w:t>http://ier.gov.ro/</w:t>
      </w:r>
    </w:hyperlink>
    <w:r>
      <w:rPr>
        <w:rFonts w:ascii="Trebuchet MS" w:hAnsi="Trebuchet MS"/>
        <w:sz w:val="20"/>
        <w:szCs w:val="20"/>
      </w:rPr>
      <w:t>)</w:t>
    </w:r>
  </w:p>
  <w:p w:rsidR="0031071C" w:rsidRPr="00A45145" w:rsidRDefault="00A1586D"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AE33D5" w:rsidRPr="00DB5104" w:rsidRDefault="00AE33D5" w:rsidP="000C7EB0">
    <w:pP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3D5" w:rsidRPr="001B471A" w:rsidRDefault="00A1586D" w:rsidP="006A1F8B">
    <w:pPr>
      <w:pStyle w:val="JuHeader"/>
    </w:pPr>
    <w:r>
      <w:fldChar w:fldCharType="begin"/>
    </w:r>
    <w:r>
      <w:instrText xml:space="preserve"> PAGE  \* MERGEFORMAT </w:instrText>
    </w:r>
    <w:r>
      <w:fldChar w:fldCharType="separate"/>
    </w:r>
    <w:r>
      <w:rPr>
        <w:noProof/>
      </w:rPr>
      <w:t>1</w:t>
    </w:r>
    <w:r>
      <w:fldChar w:fldCharType="end"/>
    </w:r>
    <w:r>
      <w:tab/>
      <w:t>DECIZIA P16-2024-002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3D5" w:rsidRPr="00F5788B" w:rsidRDefault="00A1586D" w:rsidP="00DC4033">
    <w:pPr>
      <w:pStyle w:val="JuHeader"/>
    </w:pPr>
    <w:r>
      <w:t>DECIZIA P16-2024-002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BD4E09BA">
      <w:start w:val="1"/>
      <w:numFmt w:val="bullet"/>
      <w:pStyle w:val="ListBullet"/>
      <w:lvlText w:val=""/>
      <w:lvlJc w:val="left"/>
      <w:pPr>
        <w:tabs>
          <w:tab w:val="num" w:pos="851"/>
        </w:tabs>
        <w:ind w:left="568" w:firstLine="0"/>
      </w:pPr>
      <w:rPr>
        <w:rFonts w:ascii="Wingdings" w:hAnsi="Wingdings" w:hint="default"/>
        <w:color w:val="808080"/>
        <w:sz w:val="16"/>
      </w:rPr>
    </w:lvl>
    <w:lvl w:ilvl="1" w:tplc="A91E619A" w:tentative="1">
      <w:start w:val="1"/>
      <w:numFmt w:val="bullet"/>
      <w:lvlText w:val="o"/>
      <w:lvlJc w:val="left"/>
      <w:pPr>
        <w:tabs>
          <w:tab w:val="num" w:pos="1724"/>
        </w:tabs>
        <w:ind w:left="1724" w:hanging="360"/>
      </w:pPr>
      <w:rPr>
        <w:rFonts w:ascii="Courier New" w:hAnsi="Courier New" w:cs="Courier New" w:hint="default"/>
      </w:rPr>
    </w:lvl>
    <w:lvl w:ilvl="2" w:tplc="AFF24BFA" w:tentative="1">
      <w:start w:val="1"/>
      <w:numFmt w:val="bullet"/>
      <w:lvlText w:val=""/>
      <w:lvlJc w:val="left"/>
      <w:pPr>
        <w:tabs>
          <w:tab w:val="num" w:pos="2444"/>
        </w:tabs>
        <w:ind w:left="2444" w:hanging="360"/>
      </w:pPr>
      <w:rPr>
        <w:rFonts w:ascii="Wingdings" w:hAnsi="Wingdings" w:hint="default"/>
      </w:rPr>
    </w:lvl>
    <w:lvl w:ilvl="3" w:tplc="1ACC57E8" w:tentative="1">
      <w:start w:val="1"/>
      <w:numFmt w:val="bullet"/>
      <w:lvlText w:val=""/>
      <w:lvlJc w:val="left"/>
      <w:pPr>
        <w:tabs>
          <w:tab w:val="num" w:pos="3164"/>
        </w:tabs>
        <w:ind w:left="3164" w:hanging="360"/>
      </w:pPr>
      <w:rPr>
        <w:rFonts w:ascii="Symbol" w:hAnsi="Symbol" w:hint="default"/>
      </w:rPr>
    </w:lvl>
    <w:lvl w:ilvl="4" w:tplc="CCD6C25E" w:tentative="1">
      <w:start w:val="1"/>
      <w:numFmt w:val="bullet"/>
      <w:lvlText w:val="o"/>
      <w:lvlJc w:val="left"/>
      <w:pPr>
        <w:tabs>
          <w:tab w:val="num" w:pos="3884"/>
        </w:tabs>
        <w:ind w:left="3884" w:hanging="360"/>
      </w:pPr>
      <w:rPr>
        <w:rFonts w:ascii="Courier New" w:hAnsi="Courier New" w:cs="Courier New" w:hint="default"/>
      </w:rPr>
    </w:lvl>
    <w:lvl w:ilvl="5" w:tplc="092066A6" w:tentative="1">
      <w:start w:val="1"/>
      <w:numFmt w:val="bullet"/>
      <w:lvlText w:val=""/>
      <w:lvlJc w:val="left"/>
      <w:pPr>
        <w:tabs>
          <w:tab w:val="num" w:pos="4604"/>
        </w:tabs>
        <w:ind w:left="4604" w:hanging="360"/>
      </w:pPr>
      <w:rPr>
        <w:rFonts w:ascii="Wingdings" w:hAnsi="Wingdings" w:hint="default"/>
      </w:rPr>
    </w:lvl>
    <w:lvl w:ilvl="6" w:tplc="5456E980" w:tentative="1">
      <w:start w:val="1"/>
      <w:numFmt w:val="bullet"/>
      <w:lvlText w:val=""/>
      <w:lvlJc w:val="left"/>
      <w:pPr>
        <w:tabs>
          <w:tab w:val="num" w:pos="5324"/>
        </w:tabs>
        <w:ind w:left="5324" w:hanging="360"/>
      </w:pPr>
      <w:rPr>
        <w:rFonts w:ascii="Symbol" w:hAnsi="Symbol" w:hint="default"/>
      </w:rPr>
    </w:lvl>
    <w:lvl w:ilvl="7" w:tplc="500E9118" w:tentative="1">
      <w:start w:val="1"/>
      <w:numFmt w:val="bullet"/>
      <w:lvlText w:val="o"/>
      <w:lvlJc w:val="left"/>
      <w:pPr>
        <w:tabs>
          <w:tab w:val="num" w:pos="6044"/>
        </w:tabs>
        <w:ind w:left="6044" w:hanging="360"/>
      </w:pPr>
      <w:rPr>
        <w:rFonts w:ascii="Courier New" w:hAnsi="Courier New" w:cs="Courier New" w:hint="default"/>
      </w:rPr>
    </w:lvl>
    <w:lvl w:ilvl="8" w:tplc="D9006026"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3"/>
  </w:num>
  <w:num w:numId="3">
    <w:abstractNumId w:val="11"/>
  </w:num>
  <w:num w:numId="4">
    <w:abstractNumId w:val="10"/>
  </w:num>
  <w:num w:numId="5">
    <w:abstractNumId w:val="14"/>
  </w:num>
  <w:num w:numId="6">
    <w:abstractNumId w:val="12"/>
  </w:num>
  <w:num w:numId="7">
    <w:abstractNumId w:val="15"/>
  </w:num>
  <w:num w:numId="8">
    <w:abstractNumId w:val="16"/>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P16-DF01 "/>
  </w:docVars>
  <w:rsids>
    <w:rsidRoot w:val="0031071C"/>
    <w:rsid w:val="000041F8"/>
    <w:rsid w:val="000042A8"/>
    <w:rsid w:val="00004308"/>
    <w:rsid w:val="00005BF0"/>
    <w:rsid w:val="0000639D"/>
    <w:rsid w:val="00007154"/>
    <w:rsid w:val="00007A11"/>
    <w:rsid w:val="000103AE"/>
    <w:rsid w:val="00011D69"/>
    <w:rsid w:val="0001298E"/>
    <w:rsid w:val="00012AD3"/>
    <w:rsid w:val="000159D8"/>
    <w:rsid w:val="00015C2D"/>
    <w:rsid w:val="00015F00"/>
    <w:rsid w:val="00021EAA"/>
    <w:rsid w:val="00022C1D"/>
    <w:rsid w:val="00022E3B"/>
    <w:rsid w:val="0003300B"/>
    <w:rsid w:val="00034987"/>
    <w:rsid w:val="000432C9"/>
    <w:rsid w:val="00043C45"/>
    <w:rsid w:val="000477C3"/>
    <w:rsid w:val="0005287C"/>
    <w:rsid w:val="000602DF"/>
    <w:rsid w:val="00061B05"/>
    <w:rsid w:val="000632D5"/>
    <w:rsid w:val="00063B99"/>
    <w:rsid w:val="000644EE"/>
    <w:rsid w:val="00065F6F"/>
    <w:rsid w:val="00071C50"/>
    <w:rsid w:val="00072269"/>
    <w:rsid w:val="00073B64"/>
    <w:rsid w:val="00076B0D"/>
    <w:rsid w:val="000831DE"/>
    <w:rsid w:val="00083782"/>
    <w:rsid w:val="00086FE9"/>
    <w:rsid w:val="000901F8"/>
    <w:rsid w:val="000925AD"/>
    <w:rsid w:val="00095FDE"/>
    <w:rsid w:val="000A2353"/>
    <w:rsid w:val="000A24EB"/>
    <w:rsid w:val="000A31B4"/>
    <w:rsid w:val="000B206D"/>
    <w:rsid w:val="000B3919"/>
    <w:rsid w:val="000B48CC"/>
    <w:rsid w:val="000B5315"/>
    <w:rsid w:val="000B5B2C"/>
    <w:rsid w:val="000B6923"/>
    <w:rsid w:val="000B7350"/>
    <w:rsid w:val="000C5F3C"/>
    <w:rsid w:val="000C6DCC"/>
    <w:rsid w:val="000C7EB0"/>
    <w:rsid w:val="000D47AA"/>
    <w:rsid w:val="000D721F"/>
    <w:rsid w:val="000E069B"/>
    <w:rsid w:val="000E0A99"/>
    <w:rsid w:val="000E0E82"/>
    <w:rsid w:val="000E1DC5"/>
    <w:rsid w:val="000E223F"/>
    <w:rsid w:val="000E6139"/>
    <w:rsid w:val="000E7D45"/>
    <w:rsid w:val="000F13CC"/>
    <w:rsid w:val="000F1963"/>
    <w:rsid w:val="000F3588"/>
    <w:rsid w:val="000F647A"/>
    <w:rsid w:val="000F7851"/>
    <w:rsid w:val="001040A1"/>
    <w:rsid w:val="00104E23"/>
    <w:rsid w:val="001054DF"/>
    <w:rsid w:val="00111B0C"/>
    <w:rsid w:val="001147E7"/>
    <w:rsid w:val="0011579F"/>
    <w:rsid w:val="00120D6C"/>
    <w:rsid w:val="001254E6"/>
    <w:rsid w:val="001257EC"/>
    <w:rsid w:val="00130787"/>
    <w:rsid w:val="00131A20"/>
    <w:rsid w:val="00133ABC"/>
    <w:rsid w:val="00133D33"/>
    <w:rsid w:val="00134D64"/>
    <w:rsid w:val="00135A30"/>
    <w:rsid w:val="0013612C"/>
    <w:rsid w:val="001370CC"/>
    <w:rsid w:val="00137FF6"/>
    <w:rsid w:val="00140018"/>
    <w:rsid w:val="00141650"/>
    <w:rsid w:val="00143650"/>
    <w:rsid w:val="00145FCB"/>
    <w:rsid w:val="001501EA"/>
    <w:rsid w:val="00150BFA"/>
    <w:rsid w:val="0015282A"/>
    <w:rsid w:val="00154819"/>
    <w:rsid w:val="00157F3C"/>
    <w:rsid w:val="00162A12"/>
    <w:rsid w:val="00164C30"/>
    <w:rsid w:val="00166530"/>
    <w:rsid w:val="00174423"/>
    <w:rsid w:val="00174DDC"/>
    <w:rsid w:val="00180436"/>
    <w:rsid w:val="001832BD"/>
    <w:rsid w:val="00192004"/>
    <w:rsid w:val="0019278A"/>
    <w:rsid w:val="00192C2F"/>
    <w:rsid w:val="001943B5"/>
    <w:rsid w:val="00194E93"/>
    <w:rsid w:val="00195134"/>
    <w:rsid w:val="00195743"/>
    <w:rsid w:val="001A145B"/>
    <w:rsid w:val="001A22D3"/>
    <w:rsid w:val="001A674C"/>
    <w:rsid w:val="001B1F76"/>
    <w:rsid w:val="001B3B24"/>
    <w:rsid w:val="001B471A"/>
    <w:rsid w:val="001C0F98"/>
    <w:rsid w:val="001C2A42"/>
    <w:rsid w:val="001D4D28"/>
    <w:rsid w:val="001D5438"/>
    <w:rsid w:val="001D63ED"/>
    <w:rsid w:val="001D7348"/>
    <w:rsid w:val="001E035B"/>
    <w:rsid w:val="001E0961"/>
    <w:rsid w:val="001E0F4A"/>
    <w:rsid w:val="001E3EAE"/>
    <w:rsid w:val="001E6F32"/>
    <w:rsid w:val="001F1563"/>
    <w:rsid w:val="001F1CD9"/>
    <w:rsid w:val="001F2145"/>
    <w:rsid w:val="001F4DF2"/>
    <w:rsid w:val="001F53C3"/>
    <w:rsid w:val="001F5CE1"/>
    <w:rsid w:val="001F6262"/>
    <w:rsid w:val="001F67B0"/>
    <w:rsid w:val="001F7B3D"/>
    <w:rsid w:val="00201ACD"/>
    <w:rsid w:val="00205F9F"/>
    <w:rsid w:val="0020718E"/>
    <w:rsid w:val="00210338"/>
    <w:rsid w:val="002115FC"/>
    <w:rsid w:val="00213A87"/>
    <w:rsid w:val="0021423C"/>
    <w:rsid w:val="00216D47"/>
    <w:rsid w:val="00230712"/>
    <w:rsid w:val="002309D2"/>
    <w:rsid w:val="00230D00"/>
    <w:rsid w:val="00231333"/>
    <w:rsid w:val="00231DF7"/>
    <w:rsid w:val="00231FD1"/>
    <w:rsid w:val="002339E0"/>
    <w:rsid w:val="00233CF8"/>
    <w:rsid w:val="002346BC"/>
    <w:rsid w:val="0023575D"/>
    <w:rsid w:val="00237148"/>
    <w:rsid w:val="0024222D"/>
    <w:rsid w:val="00244B0E"/>
    <w:rsid w:val="00244F6C"/>
    <w:rsid w:val="002532C5"/>
    <w:rsid w:val="0025646A"/>
    <w:rsid w:val="00260C03"/>
    <w:rsid w:val="00262E9A"/>
    <w:rsid w:val="00263851"/>
    <w:rsid w:val="00263EEA"/>
    <w:rsid w:val="0026540E"/>
    <w:rsid w:val="002663E8"/>
    <w:rsid w:val="002674B8"/>
    <w:rsid w:val="00271EAA"/>
    <w:rsid w:val="002739C4"/>
    <w:rsid w:val="00274B51"/>
    <w:rsid w:val="00275123"/>
    <w:rsid w:val="00282240"/>
    <w:rsid w:val="00290A22"/>
    <w:rsid w:val="002921D7"/>
    <w:rsid w:val="002948AD"/>
    <w:rsid w:val="00296BF8"/>
    <w:rsid w:val="002A01CC"/>
    <w:rsid w:val="002A61B1"/>
    <w:rsid w:val="002A663C"/>
    <w:rsid w:val="002B12F9"/>
    <w:rsid w:val="002B444B"/>
    <w:rsid w:val="002B5887"/>
    <w:rsid w:val="002B5DC8"/>
    <w:rsid w:val="002C0E27"/>
    <w:rsid w:val="002C3040"/>
    <w:rsid w:val="002C31BE"/>
    <w:rsid w:val="002C6453"/>
    <w:rsid w:val="002D022D"/>
    <w:rsid w:val="002D1CB1"/>
    <w:rsid w:val="002D24BB"/>
    <w:rsid w:val="002D7531"/>
    <w:rsid w:val="002F2AF7"/>
    <w:rsid w:val="002F34E8"/>
    <w:rsid w:val="002F4AD8"/>
    <w:rsid w:val="002F6269"/>
    <w:rsid w:val="002F6420"/>
    <w:rsid w:val="002F7E1C"/>
    <w:rsid w:val="003006BF"/>
    <w:rsid w:val="00301A75"/>
    <w:rsid w:val="00302F70"/>
    <w:rsid w:val="0030336F"/>
    <w:rsid w:val="0030375E"/>
    <w:rsid w:val="0030763E"/>
    <w:rsid w:val="0031071C"/>
    <w:rsid w:val="00312A30"/>
    <w:rsid w:val="00313602"/>
    <w:rsid w:val="003175A2"/>
    <w:rsid w:val="00320F72"/>
    <w:rsid w:val="00322112"/>
    <w:rsid w:val="0032463E"/>
    <w:rsid w:val="00326224"/>
    <w:rsid w:val="003311CF"/>
    <w:rsid w:val="00336879"/>
    <w:rsid w:val="00337EE4"/>
    <w:rsid w:val="00340FFD"/>
    <w:rsid w:val="0034173A"/>
    <w:rsid w:val="0034383F"/>
    <w:rsid w:val="00347309"/>
    <w:rsid w:val="003506B1"/>
    <w:rsid w:val="00352E41"/>
    <w:rsid w:val="00356AC7"/>
    <w:rsid w:val="00357E76"/>
    <w:rsid w:val="003609FA"/>
    <w:rsid w:val="00361A0A"/>
    <w:rsid w:val="0036581A"/>
    <w:rsid w:val="00365B2D"/>
    <w:rsid w:val="003670F6"/>
    <w:rsid w:val="00370D37"/>
    <w:rsid w:val="003710C8"/>
    <w:rsid w:val="00371D96"/>
    <w:rsid w:val="003750BE"/>
    <w:rsid w:val="0038408F"/>
    <w:rsid w:val="00387B9D"/>
    <w:rsid w:val="00391F4F"/>
    <w:rsid w:val="0039364F"/>
    <w:rsid w:val="00396686"/>
    <w:rsid w:val="0039778E"/>
    <w:rsid w:val="003A04CB"/>
    <w:rsid w:val="003A3C2A"/>
    <w:rsid w:val="003A4350"/>
    <w:rsid w:val="003B4941"/>
    <w:rsid w:val="003C3F8E"/>
    <w:rsid w:val="003C5714"/>
    <w:rsid w:val="003C5AC6"/>
    <w:rsid w:val="003C62C4"/>
    <w:rsid w:val="003C6B9F"/>
    <w:rsid w:val="003C6E2A"/>
    <w:rsid w:val="003D0299"/>
    <w:rsid w:val="003D2CEE"/>
    <w:rsid w:val="003D315E"/>
    <w:rsid w:val="003D5F20"/>
    <w:rsid w:val="003E2BB0"/>
    <w:rsid w:val="003E38F3"/>
    <w:rsid w:val="003E5E3F"/>
    <w:rsid w:val="003E699F"/>
    <w:rsid w:val="003E6D80"/>
    <w:rsid w:val="003F05FA"/>
    <w:rsid w:val="003F1A26"/>
    <w:rsid w:val="003F243B"/>
    <w:rsid w:val="003F244A"/>
    <w:rsid w:val="003F30B8"/>
    <w:rsid w:val="003F4C45"/>
    <w:rsid w:val="003F5F7B"/>
    <w:rsid w:val="003F7D64"/>
    <w:rsid w:val="00406940"/>
    <w:rsid w:val="00407347"/>
    <w:rsid w:val="00414300"/>
    <w:rsid w:val="00415298"/>
    <w:rsid w:val="00416DDD"/>
    <w:rsid w:val="00421BF4"/>
    <w:rsid w:val="004233D5"/>
    <w:rsid w:val="00423EEA"/>
    <w:rsid w:val="00425C67"/>
    <w:rsid w:val="00427E7A"/>
    <w:rsid w:val="00434D64"/>
    <w:rsid w:val="00436C49"/>
    <w:rsid w:val="00440C97"/>
    <w:rsid w:val="0044509C"/>
    <w:rsid w:val="00445366"/>
    <w:rsid w:val="0044582E"/>
    <w:rsid w:val="00447F5B"/>
    <w:rsid w:val="004561C4"/>
    <w:rsid w:val="0045649E"/>
    <w:rsid w:val="00457168"/>
    <w:rsid w:val="00457EB1"/>
    <w:rsid w:val="00461DB0"/>
    <w:rsid w:val="00463926"/>
    <w:rsid w:val="00464C9A"/>
    <w:rsid w:val="00465841"/>
    <w:rsid w:val="004676A9"/>
    <w:rsid w:val="0047065C"/>
    <w:rsid w:val="004713E0"/>
    <w:rsid w:val="00474F3D"/>
    <w:rsid w:val="00476854"/>
    <w:rsid w:val="00477E3A"/>
    <w:rsid w:val="00483E5F"/>
    <w:rsid w:val="00485E98"/>
    <w:rsid w:val="00485FF9"/>
    <w:rsid w:val="004907F0"/>
    <w:rsid w:val="0049140B"/>
    <w:rsid w:val="004923A5"/>
    <w:rsid w:val="0049362E"/>
    <w:rsid w:val="00496BFB"/>
    <w:rsid w:val="004A15C7"/>
    <w:rsid w:val="004A523E"/>
    <w:rsid w:val="004B013B"/>
    <w:rsid w:val="004B0D47"/>
    <w:rsid w:val="004B112B"/>
    <w:rsid w:val="004B15B6"/>
    <w:rsid w:val="004B2C7B"/>
    <w:rsid w:val="004B4CA4"/>
    <w:rsid w:val="004C01E4"/>
    <w:rsid w:val="004C070C"/>
    <w:rsid w:val="004C086C"/>
    <w:rsid w:val="004C1F56"/>
    <w:rsid w:val="004C27BC"/>
    <w:rsid w:val="004D15F3"/>
    <w:rsid w:val="004D52EF"/>
    <w:rsid w:val="004D5311"/>
    <w:rsid w:val="004D5DCC"/>
    <w:rsid w:val="004F10AF"/>
    <w:rsid w:val="004F11A4"/>
    <w:rsid w:val="004F2389"/>
    <w:rsid w:val="004F304D"/>
    <w:rsid w:val="004F61BE"/>
    <w:rsid w:val="004F66B1"/>
    <w:rsid w:val="005002AC"/>
    <w:rsid w:val="005037EE"/>
    <w:rsid w:val="00511C07"/>
    <w:rsid w:val="005173A6"/>
    <w:rsid w:val="00520BAA"/>
    <w:rsid w:val="00525208"/>
    <w:rsid w:val="005257A5"/>
    <w:rsid w:val="00526394"/>
    <w:rsid w:val="005264C0"/>
    <w:rsid w:val="00526A8A"/>
    <w:rsid w:val="00527F92"/>
    <w:rsid w:val="00531DF2"/>
    <w:rsid w:val="00533C33"/>
    <w:rsid w:val="0053494A"/>
    <w:rsid w:val="005442EE"/>
    <w:rsid w:val="00547353"/>
    <w:rsid w:val="005474BB"/>
    <w:rsid w:val="005474E7"/>
    <w:rsid w:val="005512A3"/>
    <w:rsid w:val="005578CE"/>
    <w:rsid w:val="00562781"/>
    <w:rsid w:val="00565754"/>
    <w:rsid w:val="005657F7"/>
    <w:rsid w:val="0057271C"/>
    <w:rsid w:val="00572845"/>
    <w:rsid w:val="00576B7B"/>
    <w:rsid w:val="005815B8"/>
    <w:rsid w:val="005834B5"/>
    <w:rsid w:val="0058646E"/>
    <w:rsid w:val="00592772"/>
    <w:rsid w:val="00592D0F"/>
    <w:rsid w:val="0059574A"/>
    <w:rsid w:val="00597A44"/>
    <w:rsid w:val="005A1B9B"/>
    <w:rsid w:val="005A4289"/>
    <w:rsid w:val="005A452E"/>
    <w:rsid w:val="005A6751"/>
    <w:rsid w:val="005B092E"/>
    <w:rsid w:val="005B152C"/>
    <w:rsid w:val="005B1EE0"/>
    <w:rsid w:val="005B2B24"/>
    <w:rsid w:val="005B3977"/>
    <w:rsid w:val="005B4425"/>
    <w:rsid w:val="005B4B94"/>
    <w:rsid w:val="005B790A"/>
    <w:rsid w:val="005C16D8"/>
    <w:rsid w:val="005C3EE8"/>
    <w:rsid w:val="005C580B"/>
    <w:rsid w:val="005D1C6D"/>
    <w:rsid w:val="005D1CCB"/>
    <w:rsid w:val="005D34F9"/>
    <w:rsid w:val="005D4190"/>
    <w:rsid w:val="005D67A3"/>
    <w:rsid w:val="005E2988"/>
    <w:rsid w:val="005E3085"/>
    <w:rsid w:val="005E6CA3"/>
    <w:rsid w:val="005F3E1D"/>
    <w:rsid w:val="005F444C"/>
    <w:rsid w:val="005F51E1"/>
    <w:rsid w:val="005F7034"/>
    <w:rsid w:val="00600DE6"/>
    <w:rsid w:val="006012FD"/>
    <w:rsid w:val="00611C80"/>
    <w:rsid w:val="00613157"/>
    <w:rsid w:val="00616A58"/>
    <w:rsid w:val="00620594"/>
    <w:rsid w:val="00620692"/>
    <w:rsid w:val="006242CA"/>
    <w:rsid w:val="0062572A"/>
    <w:rsid w:val="00626DCD"/>
    <w:rsid w:val="00626DFC"/>
    <w:rsid w:val="00627507"/>
    <w:rsid w:val="00633717"/>
    <w:rsid w:val="006344E1"/>
    <w:rsid w:val="00637151"/>
    <w:rsid w:val="00643E3E"/>
    <w:rsid w:val="00643FCF"/>
    <w:rsid w:val="00647A75"/>
    <w:rsid w:val="00652010"/>
    <w:rsid w:val="006545C4"/>
    <w:rsid w:val="00660F49"/>
    <w:rsid w:val="00661971"/>
    <w:rsid w:val="00661CE8"/>
    <w:rsid w:val="006623D9"/>
    <w:rsid w:val="0066550C"/>
    <w:rsid w:val="00665B15"/>
    <w:rsid w:val="006716F2"/>
    <w:rsid w:val="00673436"/>
    <w:rsid w:val="00675907"/>
    <w:rsid w:val="0068255A"/>
    <w:rsid w:val="00682BF2"/>
    <w:rsid w:val="006859CE"/>
    <w:rsid w:val="0068679A"/>
    <w:rsid w:val="00691270"/>
    <w:rsid w:val="00692254"/>
    <w:rsid w:val="00694BA8"/>
    <w:rsid w:val="00695D29"/>
    <w:rsid w:val="006A037C"/>
    <w:rsid w:val="006A1F8B"/>
    <w:rsid w:val="006A2DBE"/>
    <w:rsid w:val="006A36F4"/>
    <w:rsid w:val="006A406F"/>
    <w:rsid w:val="006A4FC4"/>
    <w:rsid w:val="006A5D3A"/>
    <w:rsid w:val="006B09FE"/>
    <w:rsid w:val="006B0F25"/>
    <w:rsid w:val="006B25CE"/>
    <w:rsid w:val="006B4C74"/>
    <w:rsid w:val="006B5978"/>
    <w:rsid w:val="006C13D3"/>
    <w:rsid w:val="006C23D4"/>
    <w:rsid w:val="006C7BB0"/>
    <w:rsid w:val="006D3237"/>
    <w:rsid w:val="006E2E37"/>
    <w:rsid w:val="006E36AC"/>
    <w:rsid w:val="006E3CF1"/>
    <w:rsid w:val="006E5D6F"/>
    <w:rsid w:val="006E7E80"/>
    <w:rsid w:val="006F279F"/>
    <w:rsid w:val="006F48CA"/>
    <w:rsid w:val="006F64DD"/>
    <w:rsid w:val="007058D5"/>
    <w:rsid w:val="007072A7"/>
    <w:rsid w:val="00712C69"/>
    <w:rsid w:val="00712D0A"/>
    <w:rsid w:val="007137DA"/>
    <w:rsid w:val="00715127"/>
    <w:rsid w:val="00715E8E"/>
    <w:rsid w:val="00720128"/>
    <w:rsid w:val="00720AD1"/>
    <w:rsid w:val="0072345E"/>
    <w:rsid w:val="00723580"/>
    <w:rsid w:val="00723755"/>
    <w:rsid w:val="007264C0"/>
    <w:rsid w:val="00730C0D"/>
    <w:rsid w:val="0073136C"/>
    <w:rsid w:val="00731F0F"/>
    <w:rsid w:val="00733250"/>
    <w:rsid w:val="00736B9F"/>
    <w:rsid w:val="00740747"/>
    <w:rsid w:val="00741404"/>
    <w:rsid w:val="007449E5"/>
    <w:rsid w:val="00746A6F"/>
    <w:rsid w:val="00747FF0"/>
    <w:rsid w:val="00750613"/>
    <w:rsid w:val="0075537B"/>
    <w:rsid w:val="007610EF"/>
    <w:rsid w:val="00764D4E"/>
    <w:rsid w:val="00765A1F"/>
    <w:rsid w:val="0076761C"/>
    <w:rsid w:val="00767AD3"/>
    <w:rsid w:val="0077111F"/>
    <w:rsid w:val="0077491B"/>
    <w:rsid w:val="00775B6D"/>
    <w:rsid w:val="00776D68"/>
    <w:rsid w:val="00781750"/>
    <w:rsid w:val="00781F37"/>
    <w:rsid w:val="00782F1C"/>
    <w:rsid w:val="007832BC"/>
    <w:rsid w:val="007850EE"/>
    <w:rsid w:val="00785B95"/>
    <w:rsid w:val="00790E96"/>
    <w:rsid w:val="00792D83"/>
    <w:rsid w:val="00793366"/>
    <w:rsid w:val="0079616C"/>
    <w:rsid w:val="00797DF0"/>
    <w:rsid w:val="007A22BD"/>
    <w:rsid w:val="007A70AB"/>
    <w:rsid w:val="007A716F"/>
    <w:rsid w:val="007B270A"/>
    <w:rsid w:val="007B3B40"/>
    <w:rsid w:val="007B574B"/>
    <w:rsid w:val="007B72E5"/>
    <w:rsid w:val="007C0695"/>
    <w:rsid w:val="007C1C33"/>
    <w:rsid w:val="007C419A"/>
    <w:rsid w:val="007C4589"/>
    <w:rsid w:val="007C4CC8"/>
    <w:rsid w:val="007C5426"/>
    <w:rsid w:val="007C5798"/>
    <w:rsid w:val="007D4832"/>
    <w:rsid w:val="007D6B3E"/>
    <w:rsid w:val="007E21B2"/>
    <w:rsid w:val="007E2C4E"/>
    <w:rsid w:val="007E5504"/>
    <w:rsid w:val="007F1905"/>
    <w:rsid w:val="007F3711"/>
    <w:rsid w:val="007F4E8F"/>
    <w:rsid w:val="007F50C9"/>
    <w:rsid w:val="00802C64"/>
    <w:rsid w:val="00802E81"/>
    <w:rsid w:val="0080401B"/>
    <w:rsid w:val="00805E52"/>
    <w:rsid w:val="008061D0"/>
    <w:rsid w:val="00810B38"/>
    <w:rsid w:val="00810D1C"/>
    <w:rsid w:val="00816BAF"/>
    <w:rsid w:val="0081788E"/>
    <w:rsid w:val="008204C7"/>
    <w:rsid w:val="00820992"/>
    <w:rsid w:val="00823602"/>
    <w:rsid w:val="008236DF"/>
    <w:rsid w:val="008255F5"/>
    <w:rsid w:val="0083014E"/>
    <w:rsid w:val="00830D7A"/>
    <w:rsid w:val="0083214A"/>
    <w:rsid w:val="00834220"/>
    <w:rsid w:val="00845723"/>
    <w:rsid w:val="00845E48"/>
    <w:rsid w:val="0085123E"/>
    <w:rsid w:val="00851EF9"/>
    <w:rsid w:val="008577FD"/>
    <w:rsid w:val="0086072E"/>
    <w:rsid w:val="00860B03"/>
    <w:rsid w:val="00860D1A"/>
    <w:rsid w:val="00863596"/>
    <w:rsid w:val="0086497A"/>
    <w:rsid w:val="00866349"/>
    <w:rsid w:val="008713A1"/>
    <w:rsid w:val="008754AB"/>
    <w:rsid w:val="0087793F"/>
    <w:rsid w:val="00880044"/>
    <w:rsid w:val="0088060C"/>
    <w:rsid w:val="00893576"/>
    <w:rsid w:val="00893E73"/>
    <w:rsid w:val="008945EE"/>
    <w:rsid w:val="00895CC2"/>
    <w:rsid w:val="00896972"/>
    <w:rsid w:val="008A4D89"/>
    <w:rsid w:val="008A5BB5"/>
    <w:rsid w:val="008A6DCA"/>
    <w:rsid w:val="008A7D3C"/>
    <w:rsid w:val="008B02DC"/>
    <w:rsid w:val="008B2457"/>
    <w:rsid w:val="008B57CE"/>
    <w:rsid w:val="008C26DE"/>
    <w:rsid w:val="008C4F50"/>
    <w:rsid w:val="008C5EDA"/>
    <w:rsid w:val="008C74A5"/>
    <w:rsid w:val="008C7DB1"/>
    <w:rsid w:val="008D2225"/>
    <w:rsid w:val="008D4752"/>
    <w:rsid w:val="008D4BEA"/>
    <w:rsid w:val="008E271C"/>
    <w:rsid w:val="008E2D31"/>
    <w:rsid w:val="008E418E"/>
    <w:rsid w:val="008E5445"/>
    <w:rsid w:val="008E55F5"/>
    <w:rsid w:val="008E5BC6"/>
    <w:rsid w:val="008E6A25"/>
    <w:rsid w:val="008F05E2"/>
    <w:rsid w:val="008F0DC7"/>
    <w:rsid w:val="008F1C66"/>
    <w:rsid w:val="008F5193"/>
    <w:rsid w:val="008F64B5"/>
    <w:rsid w:val="0090025E"/>
    <w:rsid w:val="009013A7"/>
    <w:rsid w:val="009017FB"/>
    <w:rsid w:val="009017FC"/>
    <w:rsid w:val="00902BD7"/>
    <w:rsid w:val="0090506B"/>
    <w:rsid w:val="009050C9"/>
    <w:rsid w:val="009066FC"/>
    <w:rsid w:val="0091086A"/>
    <w:rsid w:val="00913075"/>
    <w:rsid w:val="009140A3"/>
    <w:rsid w:val="009144A2"/>
    <w:rsid w:val="0091510C"/>
    <w:rsid w:val="00917527"/>
    <w:rsid w:val="009216A0"/>
    <w:rsid w:val="009252DC"/>
    <w:rsid w:val="009259AC"/>
    <w:rsid w:val="00925E4B"/>
    <w:rsid w:val="00926F38"/>
    <w:rsid w:val="00927DBB"/>
    <w:rsid w:val="00930308"/>
    <w:rsid w:val="00934301"/>
    <w:rsid w:val="00935495"/>
    <w:rsid w:val="00936581"/>
    <w:rsid w:val="009366CB"/>
    <w:rsid w:val="00936CD1"/>
    <w:rsid w:val="009401BB"/>
    <w:rsid w:val="00940DF8"/>
    <w:rsid w:val="00941747"/>
    <w:rsid w:val="00941EFB"/>
    <w:rsid w:val="00945824"/>
    <w:rsid w:val="00947AFB"/>
    <w:rsid w:val="00951050"/>
    <w:rsid w:val="009517C1"/>
    <w:rsid w:val="00951D7D"/>
    <w:rsid w:val="00952F92"/>
    <w:rsid w:val="00960FF6"/>
    <w:rsid w:val="009630C7"/>
    <w:rsid w:val="00964E92"/>
    <w:rsid w:val="00972B55"/>
    <w:rsid w:val="009743B7"/>
    <w:rsid w:val="00975F98"/>
    <w:rsid w:val="00980FE1"/>
    <w:rsid w:val="0098228B"/>
    <w:rsid w:val="009828DA"/>
    <w:rsid w:val="009853CD"/>
    <w:rsid w:val="00985BAB"/>
    <w:rsid w:val="0099609F"/>
    <w:rsid w:val="00996347"/>
    <w:rsid w:val="00996DAA"/>
    <w:rsid w:val="009A1326"/>
    <w:rsid w:val="009A390C"/>
    <w:rsid w:val="009A3C78"/>
    <w:rsid w:val="009A60D9"/>
    <w:rsid w:val="009B1B5F"/>
    <w:rsid w:val="009B6673"/>
    <w:rsid w:val="009C191B"/>
    <w:rsid w:val="009C2BD6"/>
    <w:rsid w:val="009C3D41"/>
    <w:rsid w:val="009D123B"/>
    <w:rsid w:val="009D2FAE"/>
    <w:rsid w:val="009D3C4B"/>
    <w:rsid w:val="009D4F95"/>
    <w:rsid w:val="009E0462"/>
    <w:rsid w:val="009E1F32"/>
    <w:rsid w:val="009E2E8A"/>
    <w:rsid w:val="009E30A7"/>
    <w:rsid w:val="009E776C"/>
    <w:rsid w:val="009E786E"/>
    <w:rsid w:val="009F0838"/>
    <w:rsid w:val="009F4346"/>
    <w:rsid w:val="00A00D64"/>
    <w:rsid w:val="00A01EB4"/>
    <w:rsid w:val="00A0352E"/>
    <w:rsid w:val="00A1586D"/>
    <w:rsid w:val="00A15DD4"/>
    <w:rsid w:val="00A1726E"/>
    <w:rsid w:val="00A204CF"/>
    <w:rsid w:val="00A213C2"/>
    <w:rsid w:val="00A2209B"/>
    <w:rsid w:val="00A23D49"/>
    <w:rsid w:val="00A27004"/>
    <w:rsid w:val="00A30C29"/>
    <w:rsid w:val="00A31EFE"/>
    <w:rsid w:val="00A34076"/>
    <w:rsid w:val="00A34DD6"/>
    <w:rsid w:val="00A3665E"/>
    <w:rsid w:val="00A36819"/>
    <w:rsid w:val="00A36989"/>
    <w:rsid w:val="00A43628"/>
    <w:rsid w:val="00A45145"/>
    <w:rsid w:val="00A46A1D"/>
    <w:rsid w:val="00A54192"/>
    <w:rsid w:val="00A6035E"/>
    <w:rsid w:val="00A6144C"/>
    <w:rsid w:val="00A61AF6"/>
    <w:rsid w:val="00A66617"/>
    <w:rsid w:val="00A671F8"/>
    <w:rsid w:val="00A673A4"/>
    <w:rsid w:val="00A71439"/>
    <w:rsid w:val="00A7147F"/>
    <w:rsid w:val="00A723D3"/>
    <w:rsid w:val="00A724AE"/>
    <w:rsid w:val="00A729E5"/>
    <w:rsid w:val="00A73329"/>
    <w:rsid w:val="00A737D1"/>
    <w:rsid w:val="00A82359"/>
    <w:rsid w:val="00A828AC"/>
    <w:rsid w:val="00A83932"/>
    <w:rsid w:val="00A865D2"/>
    <w:rsid w:val="00A87C5C"/>
    <w:rsid w:val="00A94C20"/>
    <w:rsid w:val="00A95D2F"/>
    <w:rsid w:val="00A97C04"/>
    <w:rsid w:val="00AA227F"/>
    <w:rsid w:val="00AA3BC7"/>
    <w:rsid w:val="00AA754A"/>
    <w:rsid w:val="00AB099E"/>
    <w:rsid w:val="00AB0B07"/>
    <w:rsid w:val="00AB4328"/>
    <w:rsid w:val="00AB4375"/>
    <w:rsid w:val="00AC1D34"/>
    <w:rsid w:val="00AC2B02"/>
    <w:rsid w:val="00AC6E94"/>
    <w:rsid w:val="00AD3E77"/>
    <w:rsid w:val="00AD7224"/>
    <w:rsid w:val="00AE0A2E"/>
    <w:rsid w:val="00AE33D5"/>
    <w:rsid w:val="00AE354C"/>
    <w:rsid w:val="00AE5645"/>
    <w:rsid w:val="00AF4603"/>
    <w:rsid w:val="00AF4B07"/>
    <w:rsid w:val="00AF5C1F"/>
    <w:rsid w:val="00AF6186"/>
    <w:rsid w:val="00AF6EE4"/>
    <w:rsid w:val="00AF7A3A"/>
    <w:rsid w:val="00B03DB0"/>
    <w:rsid w:val="00B043D1"/>
    <w:rsid w:val="00B121F1"/>
    <w:rsid w:val="00B160DB"/>
    <w:rsid w:val="00B20836"/>
    <w:rsid w:val="00B235BB"/>
    <w:rsid w:val="00B27A44"/>
    <w:rsid w:val="00B30BBF"/>
    <w:rsid w:val="00B33637"/>
    <w:rsid w:val="00B33C03"/>
    <w:rsid w:val="00B353AC"/>
    <w:rsid w:val="00B40634"/>
    <w:rsid w:val="00B437C6"/>
    <w:rsid w:val="00B44E56"/>
    <w:rsid w:val="00B46543"/>
    <w:rsid w:val="00B47D33"/>
    <w:rsid w:val="00B519C6"/>
    <w:rsid w:val="00B52BE0"/>
    <w:rsid w:val="00B53ED1"/>
    <w:rsid w:val="00B54133"/>
    <w:rsid w:val="00B5596D"/>
    <w:rsid w:val="00B56CF1"/>
    <w:rsid w:val="00B63205"/>
    <w:rsid w:val="00B6412A"/>
    <w:rsid w:val="00B66F4A"/>
    <w:rsid w:val="00B701ED"/>
    <w:rsid w:val="00B70B2A"/>
    <w:rsid w:val="00B71BDC"/>
    <w:rsid w:val="00B8086C"/>
    <w:rsid w:val="00B8207A"/>
    <w:rsid w:val="00B861B4"/>
    <w:rsid w:val="00B86DFE"/>
    <w:rsid w:val="00B90990"/>
    <w:rsid w:val="00B91336"/>
    <w:rsid w:val="00B922FF"/>
    <w:rsid w:val="00B9281E"/>
    <w:rsid w:val="00B93925"/>
    <w:rsid w:val="00B943ED"/>
    <w:rsid w:val="00B95187"/>
    <w:rsid w:val="00BA2D55"/>
    <w:rsid w:val="00BA58A9"/>
    <w:rsid w:val="00BA5F38"/>
    <w:rsid w:val="00BA71B1"/>
    <w:rsid w:val="00BB0637"/>
    <w:rsid w:val="00BB345F"/>
    <w:rsid w:val="00BB68EA"/>
    <w:rsid w:val="00BB7891"/>
    <w:rsid w:val="00BC047C"/>
    <w:rsid w:val="00BC1C27"/>
    <w:rsid w:val="00BC6BBF"/>
    <w:rsid w:val="00BD1572"/>
    <w:rsid w:val="00BD43A1"/>
    <w:rsid w:val="00BE14E3"/>
    <w:rsid w:val="00BE3774"/>
    <w:rsid w:val="00BE41E5"/>
    <w:rsid w:val="00BE5B18"/>
    <w:rsid w:val="00BF4109"/>
    <w:rsid w:val="00BF4CC3"/>
    <w:rsid w:val="00BF5346"/>
    <w:rsid w:val="00C054C7"/>
    <w:rsid w:val="00C0560A"/>
    <w:rsid w:val="00C057B5"/>
    <w:rsid w:val="00C167CE"/>
    <w:rsid w:val="00C22687"/>
    <w:rsid w:val="00C25DF4"/>
    <w:rsid w:val="00C26DD5"/>
    <w:rsid w:val="00C30ED5"/>
    <w:rsid w:val="00C30FD3"/>
    <w:rsid w:val="00C32686"/>
    <w:rsid w:val="00C32E4D"/>
    <w:rsid w:val="00C333A0"/>
    <w:rsid w:val="00C36A81"/>
    <w:rsid w:val="00C379B0"/>
    <w:rsid w:val="00C41974"/>
    <w:rsid w:val="00C53F4A"/>
    <w:rsid w:val="00C54125"/>
    <w:rsid w:val="00C55B54"/>
    <w:rsid w:val="00C5642D"/>
    <w:rsid w:val="00C569DA"/>
    <w:rsid w:val="00C6098E"/>
    <w:rsid w:val="00C6141A"/>
    <w:rsid w:val="00C6152C"/>
    <w:rsid w:val="00C71DEC"/>
    <w:rsid w:val="00C74810"/>
    <w:rsid w:val="00C77C3B"/>
    <w:rsid w:val="00C806F9"/>
    <w:rsid w:val="00C85D67"/>
    <w:rsid w:val="00C90D68"/>
    <w:rsid w:val="00C939FE"/>
    <w:rsid w:val="00C94838"/>
    <w:rsid w:val="00CA3A7B"/>
    <w:rsid w:val="00CA4BDA"/>
    <w:rsid w:val="00CA6A67"/>
    <w:rsid w:val="00CB033D"/>
    <w:rsid w:val="00CB1241"/>
    <w:rsid w:val="00CB136C"/>
    <w:rsid w:val="00CB15FE"/>
    <w:rsid w:val="00CB1F66"/>
    <w:rsid w:val="00CB2951"/>
    <w:rsid w:val="00CC1580"/>
    <w:rsid w:val="00CC34C9"/>
    <w:rsid w:val="00CC5073"/>
    <w:rsid w:val="00CC55BA"/>
    <w:rsid w:val="00CD0A55"/>
    <w:rsid w:val="00CD282B"/>
    <w:rsid w:val="00CD3FB6"/>
    <w:rsid w:val="00CD4C35"/>
    <w:rsid w:val="00CD7369"/>
    <w:rsid w:val="00CE02F9"/>
    <w:rsid w:val="00CE0B0E"/>
    <w:rsid w:val="00CE0DDC"/>
    <w:rsid w:val="00CE3831"/>
    <w:rsid w:val="00CF019D"/>
    <w:rsid w:val="00CF05FB"/>
    <w:rsid w:val="00CF1067"/>
    <w:rsid w:val="00CF69E7"/>
    <w:rsid w:val="00CF71E9"/>
    <w:rsid w:val="00D00ABB"/>
    <w:rsid w:val="00D02EEC"/>
    <w:rsid w:val="00D03551"/>
    <w:rsid w:val="00D06A63"/>
    <w:rsid w:val="00D07E0E"/>
    <w:rsid w:val="00D11478"/>
    <w:rsid w:val="00D15ED0"/>
    <w:rsid w:val="00D21B3E"/>
    <w:rsid w:val="00D21FED"/>
    <w:rsid w:val="00D24251"/>
    <w:rsid w:val="00D2530D"/>
    <w:rsid w:val="00D342E9"/>
    <w:rsid w:val="00D343E2"/>
    <w:rsid w:val="00D361A2"/>
    <w:rsid w:val="00D436CD"/>
    <w:rsid w:val="00D437C5"/>
    <w:rsid w:val="00D44C2E"/>
    <w:rsid w:val="00D45414"/>
    <w:rsid w:val="00D566BD"/>
    <w:rsid w:val="00D57A4D"/>
    <w:rsid w:val="00D60AA7"/>
    <w:rsid w:val="00D61F8A"/>
    <w:rsid w:val="00D6435F"/>
    <w:rsid w:val="00D71223"/>
    <w:rsid w:val="00D729A2"/>
    <w:rsid w:val="00D74B61"/>
    <w:rsid w:val="00D75E28"/>
    <w:rsid w:val="00D772C2"/>
    <w:rsid w:val="00D8008E"/>
    <w:rsid w:val="00D82C45"/>
    <w:rsid w:val="00D847D2"/>
    <w:rsid w:val="00D908A8"/>
    <w:rsid w:val="00D9243E"/>
    <w:rsid w:val="00D93124"/>
    <w:rsid w:val="00D977B6"/>
    <w:rsid w:val="00DA03A0"/>
    <w:rsid w:val="00DA4A31"/>
    <w:rsid w:val="00DA6E94"/>
    <w:rsid w:val="00DA7B04"/>
    <w:rsid w:val="00DB265E"/>
    <w:rsid w:val="00DB36C2"/>
    <w:rsid w:val="00DB4233"/>
    <w:rsid w:val="00DB5104"/>
    <w:rsid w:val="00DB6688"/>
    <w:rsid w:val="00DC1489"/>
    <w:rsid w:val="00DC169B"/>
    <w:rsid w:val="00DC2AB9"/>
    <w:rsid w:val="00DC4033"/>
    <w:rsid w:val="00DC451D"/>
    <w:rsid w:val="00DC63F0"/>
    <w:rsid w:val="00DD6EE5"/>
    <w:rsid w:val="00DE09AC"/>
    <w:rsid w:val="00DE130F"/>
    <w:rsid w:val="00DE2D71"/>
    <w:rsid w:val="00DE386C"/>
    <w:rsid w:val="00DE46ED"/>
    <w:rsid w:val="00DE4D35"/>
    <w:rsid w:val="00DF098B"/>
    <w:rsid w:val="00DF11C4"/>
    <w:rsid w:val="00DF210C"/>
    <w:rsid w:val="00DF46B4"/>
    <w:rsid w:val="00DF4B6A"/>
    <w:rsid w:val="00E00673"/>
    <w:rsid w:val="00E00A82"/>
    <w:rsid w:val="00E024B3"/>
    <w:rsid w:val="00E02C09"/>
    <w:rsid w:val="00E04D59"/>
    <w:rsid w:val="00E07DA1"/>
    <w:rsid w:val="00E123CB"/>
    <w:rsid w:val="00E13871"/>
    <w:rsid w:val="00E157A3"/>
    <w:rsid w:val="00E20347"/>
    <w:rsid w:val="00E209BD"/>
    <w:rsid w:val="00E20E13"/>
    <w:rsid w:val="00E21C44"/>
    <w:rsid w:val="00E21DBC"/>
    <w:rsid w:val="00E275D7"/>
    <w:rsid w:val="00E27DBE"/>
    <w:rsid w:val="00E30AFA"/>
    <w:rsid w:val="00E32AB1"/>
    <w:rsid w:val="00E358FD"/>
    <w:rsid w:val="00E36C71"/>
    <w:rsid w:val="00E37C5E"/>
    <w:rsid w:val="00E40404"/>
    <w:rsid w:val="00E459C6"/>
    <w:rsid w:val="00E47589"/>
    <w:rsid w:val="00E50D9A"/>
    <w:rsid w:val="00E63FCB"/>
    <w:rsid w:val="00E64617"/>
    <w:rsid w:val="00E64915"/>
    <w:rsid w:val="00E6563B"/>
    <w:rsid w:val="00E65790"/>
    <w:rsid w:val="00E661D4"/>
    <w:rsid w:val="00E6749E"/>
    <w:rsid w:val="00E70091"/>
    <w:rsid w:val="00E720F5"/>
    <w:rsid w:val="00E721FD"/>
    <w:rsid w:val="00E76D47"/>
    <w:rsid w:val="00E80BB5"/>
    <w:rsid w:val="00E81F8F"/>
    <w:rsid w:val="00E849F7"/>
    <w:rsid w:val="00E90302"/>
    <w:rsid w:val="00E934D6"/>
    <w:rsid w:val="00E9660B"/>
    <w:rsid w:val="00E97396"/>
    <w:rsid w:val="00EA185E"/>
    <w:rsid w:val="00EA266A"/>
    <w:rsid w:val="00EA592A"/>
    <w:rsid w:val="00EB14E4"/>
    <w:rsid w:val="00EB32A5"/>
    <w:rsid w:val="00EB34ED"/>
    <w:rsid w:val="00EB447C"/>
    <w:rsid w:val="00EB7BE0"/>
    <w:rsid w:val="00EC0C60"/>
    <w:rsid w:val="00EC315E"/>
    <w:rsid w:val="00ED077C"/>
    <w:rsid w:val="00ED1190"/>
    <w:rsid w:val="00ED3770"/>
    <w:rsid w:val="00ED487A"/>
    <w:rsid w:val="00ED6544"/>
    <w:rsid w:val="00EE0277"/>
    <w:rsid w:val="00EE3E00"/>
    <w:rsid w:val="00EE5DD2"/>
    <w:rsid w:val="00EF2BB7"/>
    <w:rsid w:val="00EF67A3"/>
    <w:rsid w:val="00F00A79"/>
    <w:rsid w:val="00F00E86"/>
    <w:rsid w:val="00F0459C"/>
    <w:rsid w:val="00F06A9B"/>
    <w:rsid w:val="00F07C1E"/>
    <w:rsid w:val="00F105DB"/>
    <w:rsid w:val="00F132BC"/>
    <w:rsid w:val="00F13D80"/>
    <w:rsid w:val="00F1590A"/>
    <w:rsid w:val="00F16AAA"/>
    <w:rsid w:val="00F21161"/>
    <w:rsid w:val="00F218EF"/>
    <w:rsid w:val="00F21BC7"/>
    <w:rsid w:val="00F2308A"/>
    <w:rsid w:val="00F24B06"/>
    <w:rsid w:val="00F266A2"/>
    <w:rsid w:val="00F2681A"/>
    <w:rsid w:val="00F32269"/>
    <w:rsid w:val="00F326C0"/>
    <w:rsid w:val="00F41738"/>
    <w:rsid w:val="00F427AD"/>
    <w:rsid w:val="00F502D4"/>
    <w:rsid w:val="00F52848"/>
    <w:rsid w:val="00F56A6F"/>
    <w:rsid w:val="00F5709C"/>
    <w:rsid w:val="00F5788B"/>
    <w:rsid w:val="00F6348B"/>
    <w:rsid w:val="00F64EF1"/>
    <w:rsid w:val="00F66889"/>
    <w:rsid w:val="00F71261"/>
    <w:rsid w:val="00F72C32"/>
    <w:rsid w:val="00F73ADE"/>
    <w:rsid w:val="00F74CAD"/>
    <w:rsid w:val="00F75CED"/>
    <w:rsid w:val="00F76D79"/>
    <w:rsid w:val="00F8765F"/>
    <w:rsid w:val="00F90767"/>
    <w:rsid w:val="00FA03FF"/>
    <w:rsid w:val="00FA685B"/>
    <w:rsid w:val="00FB0C01"/>
    <w:rsid w:val="00FB6AF5"/>
    <w:rsid w:val="00FC18F2"/>
    <w:rsid w:val="00FC26F5"/>
    <w:rsid w:val="00FC39E5"/>
    <w:rsid w:val="00FC3A78"/>
    <w:rsid w:val="00FC405B"/>
    <w:rsid w:val="00FC509A"/>
    <w:rsid w:val="00FD1005"/>
    <w:rsid w:val="00FD10FC"/>
    <w:rsid w:val="00FD5078"/>
    <w:rsid w:val="00FD6C75"/>
    <w:rsid w:val="00FE2B2C"/>
    <w:rsid w:val="00FE71B3"/>
    <w:rsid w:val="00FF42C5"/>
    <w:rsid w:val="00FF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E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E5445"/>
    <w:rPr>
      <w:sz w:val="24"/>
      <w:szCs w:val="24"/>
    </w:rPr>
  </w:style>
  <w:style w:type="paragraph" w:styleId="Heading1">
    <w:name w:val="heading 1"/>
    <w:basedOn w:val="Normal"/>
    <w:next w:val="Normal"/>
    <w:link w:val="Heading1Char"/>
    <w:uiPriority w:val="98"/>
    <w:semiHidden/>
    <w:rsid w:val="008E544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E544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E544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E544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E544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E544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E544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E544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E544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E5445"/>
    <w:rPr>
      <w:rFonts w:ascii="Tahoma" w:hAnsi="Tahoma" w:cs="Tahoma"/>
      <w:sz w:val="16"/>
      <w:szCs w:val="16"/>
    </w:rPr>
  </w:style>
  <w:style w:type="character" w:customStyle="1" w:styleId="BalloonTextChar">
    <w:name w:val="Balloon Text Char"/>
    <w:basedOn w:val="DefaultParagraphFont"/>
    <w:link w:val="BalloonText"/>
    <w:uiPriority w:val="98"/>
    <w:semiHidden/>
    <w:rsid w:val="008E5445"/>
    <w:rPr>
      <w:rFonts w:ascii="Tahoma" w:hAnsi="Tahoma" w:cs="Tahoma"/>
      <w:sz w:val="16"/>
      <w:szCs w:val="16"/>
      <w:lang w:val="ro-RO"/>
    </w:rPr>
  </w:style>
  <w:style w:type="character" w:styleId="BookTitle">
    <w:name w:val="Book Title"/>
    <w:uiPriority w:val="98"/>
    <w:semiHidden/>
    <w:qFormat/>
    <w:rsid w:val="008E5445"/>
    <w:rPr>
      <w:i/>
      <w:iCs/>
      <w:smallCaps/>
      <w:spacing w:val="5"/>
    </w:rPr>
  </w:style>
  <w:style w:type="paragraph" w:customStyle="1" w:styleId="JuHeader">
    <w:name w:val="Ju_Header"/>
    <w:aliases w:val="_Header"/>
    <w:basedOn w:val="Header"/>
    <w:uiPriority w:val="29"/>
    <w:qFormat/>
    <w:rsid w:val="008E5445"/>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8E5445"/>
    <w:pPr>
      <w:numPr>
        <w:numId w:val="5"/>
      </w:numPr>
      <w:spacing w:before="60" w:after="60"/>
    </w:pPr>
  </w:style>
  <w:style w:type="character" w:styleId="Strong">
    <w:name w:val="Strong"/>
    <w:uiPriority w:val="98"/>
    <w:semiHidden/>
    <w:qFormat/>
    <w:rsid w:val="008E5445"/>
    <w:rPr>
      <w:b/>
      <w:bCs/>
    </w:rPr>
  </w:style>
  <w:style w:type="paragraph" w:styleId="NoSpacing">
    <w:name w:val="No Spacing"/>
    <w:basedOn w:val="Normal"/>
    <w:link w:val="NoSpacingChar"/>
    <w:uiPriority w:val="98"/>
    <w:semiHidden/>
    <w:qFormat/>
    <w:rsid w:val="008E5445"/>
  </w:style>
  <w:style w:type="character" w:customStyle="1" w:styleId="NoSpacingChar">
    <w:name w:val="No Spacing Char"/>
    <w:basedOn w:val="DefaultParagraphFont"/>
    <w:link w:val="NoSpacing"/>
    <w:uiPriority w:val="98"/>
    <w:semiHidden/>
    <w:rsid w:val="008E5445"/>
    <w:rPr>
      <w:sz w:val="24"/>
      <w:szCs w:val="24"/>
      <w:lang w:val="ro-RO"/>
    </w:rPr>
  </w:style>
  <w:style w:type="paragraph" w:customStyle="1" w:styleId="JuQuot">
    <w:name w:val="Ju_Quot"/>
    <w:aliases w:val="_Quote"/>
    <w:basedOn w:val="NormalJustified"/>
    <w:uiPriority w:val="20"/>
    <w:qFormat/>
    <w:rsid w:val="008E5445"/>
    <w:pPr>
      <w:spacing w:before="120" w:after="120"/>
      <w:ind w:left="425" w:firstLine="142"/>
    </w:pPr>
    <w:rPr>
      <w:sz w:val="20"/>
    </w:rPr>
  </w:style>
  <w:style w:type="paragraph" w:customStyle="1" w:styleId="JuList">
    <w:name w:val="Ju_List"/>
    <w:aliases w:val="_List_1"/>
    <w:basedOn w:val="NormalJustified"/>
    <w:uiPriority w:val="23"/>
    <w:qFormat/>
    <w:rsid w:val="008E5445"/>
    <w:pPr>
      <w:numPr>
        <w:numId w:val="6"/>
      </w:numPr>
      <w:spacing w:before="280" w:after="60"/>
    </w:pPr>
  </w:style>
  <w:style w:type="paragraph" w:customStyle="1" w:styleId="JuListi">
    <w:name w:val="Ju_List_i"/>
    <w:aliases w:val="_List_3"/>
    <w:basedOn w:val="NormalJustified"/>
    <w:uiPriority w:val="23"/>
    <w:rsid w:val="008E5445"/>
    <w:pPr>
      <w:numPr>
        <w:ilvl w:val="2"/>
        <w:numId w:val="6"/>
      </w:numPr>
    </w:pPr>
  </w:style>
  <w:style w:type="paragraph" w:customStyle="1" w:styleId="DecHTitle">
    <w:name w:val="Dec_H_Title"/>
    <w:aliases w:val="_Title_1"/>
    <w:basedOn w:val="Normal"/>
    <w:next w:val="Normal"/>
    <w:uiPriority w:val="38"/>
    <w:qFormat/>
    <w:rsid w:val="008E5445"/>
    <w:pPr>
      <w:keepNext/>
      <w:keepLines/>
      <w:spacing w:after="240"/>
      <w:jc w:val="center"/>
      <w:outlineLvl w:val="0"/>
    </w:pPr>
    <w:rPr>
      <w:rFonts w:asciiTheme="majorHAnsi" w:hAnsiTheme="majorHAnsi"/>
      <w:sz w:val="28"/>
    </w:rPr>
  </w:style>
  <w:style w:type="paragraph" w:customStyle="1" w:styleId="JuTitle">
    <w:name w:val="Ju_Title"/>
    <w:aliases w:val="_Title_2"/>
    <w:basedOn w:val="Normal"/>
    <w:next w:val="Normal"/>
    <w:uiPriority w:val="38"/>
    <w:qFormat/>
    <w:rsid w:val="008E5445"/>
    <w:pPr>
      <w:keepNext/>
      <w:keepLines/>
      <w:spacing w:before="1320" w:after="280"/>
      <w:contextualSpacing/>
      <w:jc w:val="center"/>
    </w:pPr>
    <w:rPr>
      <w:b/>
    </w:rPr>
  </w:style>
  <w:style w:type="paragraph" w:customStyle="1" w:styleId="JuHArticle">
    <w:name w:val="Ju_H_Article"/>
    <w:aliases w:val="_Title_Quote"/>
    <w:basedOn w:val="Normal"/>
    <w:next w:val="JuQuot"/>
    <w:uiPriority w:val="19"/>
    <w:qFormat/>
    <w:rsid w:val="008E5445"/>
    <w:pPr>
      <w:keepNext/>
      <w:spacing w:before="100" w:beforeAutospacing="1" w:after="120"/>
      <w:contextualSpacing/>
      <w:jc w:val="center"/>
    </w:pPr>
    <w:rPr>
      <w:b/>
      <w:sz w:val="20"/>
    </w:rPr>
  </w:style>
  <w:style w:type="paragraph" w:customStyle="1" w:styleId="ECHRCoverTitle4">
    <w:name w:val="ECHR_Cover_Title_4"/>
    <w:aliases w:val="_Title_4"/>
    <w:basedOn w:val="Normal"/>
    <w:next w:val="Normal"/>
    <w:uiPriority w:val="38"/>
    <w:qFormat/>
    <w:rsid w:val="008E5445"/>
    <w:pPr>
      <w:keepNext/>
      <w:keepLines/>
      <w:tabs>
        <w:tab w:val="right" w:pos="7938"/>
      </w:tabs>
      <w:jc w:val="center"/>
    </w:pPr>
    <w:rPr>
      <w:i/>
    </w:rPr>
  </w:style>
  <w:style w:type="numbering" w:customStyle="1" w:styleId="ECHRA1StyleBulletedSquare">
    <w:name w:val="ECHR_A1_Style_Bulleted_Square"/>
    <w:basedOn w:val="NoList"/>
    <w:rsid w:val="008E5445"/>
    <w:pPr>
      <w:numPr>
        <w:numId w:val="5"/>
      </w:numPr>
    </w:pPr>
  </w:style>
  <w:style w:type="paragraph" w:customStyle="1" w:styleId="JuHHead">
    <w:name w:val="Ju_H_Head"/>
    <w:aliases w:val="_Head_1"/>
    <w:basedOn w:val="Heading1"/>
    <w:next w:val="Normal"/>
    <w:uiPriority w:val="17"/>
    <w:qFormat/>
    <w:rsid w:val="008E5445"/>
    <w:pPr>
      <w:keepNext/>
      <w:keepLines/>
      <w:numPr>
        <w:numId w:val="1"/>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8E5445"/>
    <w:pPr>
      <w:numPr>
        <w:numId w:val="6"/>
      </w:numPr>
    </w:pPr>
  </w:style>
  <w:style w:type="paragraph" w:customStyle="1" w:styleId="JuSigned">
    <w:name w:val="Ju_Signed"/>
    <w:aliases w:val="_Signature"/>
    <w:basedOn w:val="Normal"/>
    <w:next w:val="Normal"/>
    <w:uiPriority w:val="31"/>
    <w:qFormat/>
    <w:rsid w:val="008E5445"/>
    <w:pPr>
      <w:tabs>
        <w:tab w:val="center" w:pos="1418"/>
        <w:tab w:val="center" w:pos="5954"/>
      </w:tabs>
      <w:spacing w:before="720"/>
    </w:pPr>
  </w:style>
  <w:style w:type="paragraph" w:styleId="Title">
    <w:name w:val="Title"/>
    <w:basedOn w:val="Normal"/>
    <w:next w:val="Normal"/>
    <w:link w:val="TitleChar"/>
    <w:uiPriority w:val="98"/>
    <w:semiHidden/>
    <w:qFormat/>
    <w:rsid w:val="008E544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E5445"/>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8E5445"/>
    <w:pPr>
      <w:numPr>
        <w:numId w:val="7"/>
      </w:numPr>
    </w:pPr>
  </w:style>
  <w:style w:type="table" w:customStyle="1" w:styleId="ECHRTable2019">
    <w:name w:val="ECHR_Table_2019"/>
    <w:basedOn w:val="TableNormal"/>
    <w:uiPriority w:val="99"/>
    <w:rsid w:val="008E544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964E92"/>
    <w:rPr>
      <w:sz w:val="8"/>
    </w:rPr>
  </w:style>
  <w:style w:type="paragraph" w:customStyle="1" w:styleId="JuCase">
    <w:name w:val="Ju_Case"/>
    <w:aliases w:val="_Case_Name"/>
    <w:basedOn w:val="NormalJustified"/>
    <w:next w:val="Normal"/>
    <w:uiPriority w:val="32"/>
    <w:rsid w:val="008E5445"/>
    <w:pPr>
      <w:ind w:firstLine="284"/>
    </w:pPr>
    <w:rPr>
      <w:b/>
    </w:rPr>
  </w:style>
  <w:style w:type="paragraph" w:customStyle="1" w:styleId="JuCourt">
    <w:name w:val="Ju_Court"/>
    <w:aliases w:val="_Court_Names"/>
    <w:basedOn w:val="Normal"/>
    <w:next w:val="Normal"/>
    <w:uiPriority w:val="32"/>
    <w:qFormat/>
    <w:rsid w:val="008E5445"/>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Normal"/>
    <w:uiPriority w:val="17"/>
    <w:qFormat/>
    <w:rsid w:val="008E5445"/>
    <w:pPr>
      <w:keepNext/>
      <w:keepLines/>
      <w:numPr>
        <w:ilvl w:val="1"/>
        <w:numId w:val="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Normal"/>
    <w:uiPriority w:val="17"/>
    <w:qFormat/>
    <w:rsid w:val="008E5445"/>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Normal"/>
    <w:uiPriority w:val="17"/>
    <w:rsid w:val="008E5445"/>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8E5445"/>
    <w:pPr>
      <w:tabs>
        <w:tab w:val="center" w:pos="4536"/>
        <w:tab w:val="right" w:pos="9072"/>
      </w:tabs>
    </w:pPr>
  </w:style>
  <w:style w:type="character" w:customStyle="1" w:styleId="HeaderChar">
    <w:name w:val="Header Char"/>
    <w:basedOn w:val="DefaultParagraphFont"/>
    <w:link w:val="Header"/>
    <w:uiPriority w:val="98"/>
    <w:rsid w:val="008E5445"/>
    <w:rPr>
      <w:sz w:val="24"/>
      <w:szCs w:val="24"/>
      <w:lang w:val="ro-RO"/>
    </w:rPr>
  </w:style>
  <w:style w:type="character" w:customStyle="1" w:styleId="Heading1Char">
    <w:name w:val="Heading 1 Char"/>
    <w:basedOn w:val="DefaultParagraphFont"/>
    <w:link w:val="Heading1"/>
    <w:uiPriority w:val="98"/>
    <w:semiHidden/>
    <w:rsid w:val="008E5445"/>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Normal"/>
    <w:uiPriority w:val="17"/>
    <w:rsid w:val="008E5445"/>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Normal"/>
    <w:uiPriority w:val="17"/>
    <w:rsid w:val="008E5445"/>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E5445"/>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Normal"/>
    <w:uiPriority w:val="17"/>
    <w:rsid w:val="008E5445"/>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Normal"/>
    <w:uiPriority w:val="17"/>
    <w:rsid w:val="008E5445"/>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8E5445"/>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E5445"/>
    <w:pPr>
      <w:keepNext/>
      <w:keepLines/>
      <w:spacing w:before="240" w:after="240"/>
      <w:ind w:firstLine="284"/>
    </w:pPr>
  </w:style>
  <w:style w:type="paragraph" w:customStyle="1" w:styleId="JuJudges">
    <w:name w:val="Ju_Judges"/>
    <w:aliases w:val="_Judges"/>
    <w:basedOn w:val="Normal"/>
    <w:uiPriority w:val="32"/>
    <w:qFormat/>
    <w:rsid w:val="008E5445"/>
    <w:pPr>
      <w:tabs>
        <w:tab w:val="left" w:pos="567"/>
        <w:tab w:val="left" w:pos="1134"/>
      </w:tabs>
    </w:pPr>
  </w:style>
  <w:style w:type="character" w:customStyle="1" w:styleId="Heading4Char">
    <w:name w:val="Heading 4 Char"/>
    <w:basedOn w:val="DefaultParagraphFont"/>
    <w:link w:val="Heading4"/>
    <w:uiPriority w:val="98"/>
    <w:semiHidden/>
    <w:rsid w:val="008E5445"/>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8E5445"/>
    <w:pPr>
      <w:tabs>
        <w:tab w:val="center" w:pos="6407"/>
      </w:tabs>
      <w:spacing w:before="720"/>
      <w:jc w:val="right"/>
    </w:pPr>
  </w:style>
  <w:style w:type="character" w:customStyle="1" w:styleId="Heading5Char">
    <w:name w:val="Heading 5 Char"/>
    <w:basedOn w:val="DefaultParagraphFont"/>
    <w:link w:val="Heading5"/>
    <w:uiPriority w:val="98"/>
    <w:semiHidden/>
    <w:rsid w:val="008E5445"/>
    <w:rPr>
      <w:rFonts w:asciiTheme="majorHAnsi" w:eastAsiaTheme="majorEastAsia" w:hAnsiTheme="majorHAnsi" w:cstheme="majorBidi"/>
      <w:b/>
      <w:bCs/>
      <w:color w:val="808080"/>
      <w:lang w:val="ro-RO"/>
    </w:rPr>
  </w:style>
  <w:style w:type="paragraph" w:customStyle="1" w:styleId="JuLista">
    <w:name w:val="Ju_List_a"/>
    <w:aliases w:val="_List_2"/>
    <w:basedOn w:val="NormalJustified"/>
    <w:uiPriority w:val="23"/>
    <w:rsid w:val="008E5445"/>
    <w:pPr>
      <w:numPr>
        <w:ilvl w:val="1"/>
        <w:numId w:val="6"/>
      </w:numPr>
    </w:pPr>
  </w:style>
  <w:style w:type="character" w:customStyle="1" w:styleId="JuITMark">
    <w:name w:val="Ju_ITMark"/>
    <w:aliases w:val="_ITMark"/>
    <w:basedOn w:val="DefaultParagraphFont"/>
    <w:uiPriority w:val="54"/>
    <w:semiHidden/>
    <w:qFormat/>
    <w:rsid w:val="008E5445"/>
    <w:rPr>
      <w:vanish w:val="0"/>
      <w:color w:val="auto"/>
      <w:sz w:val="14"/>
      <w:bdr w:val="none" w:sz="0" w:space="0" w:color="auto"/>
      <w:shd w:val="clear" w:color="auto" w:fill="BEE5FF" w:themeFill="background1" w:themeFillTint="33"/>
    </w:rPr>
  </w:style>
  <w:style w:type="character" w:styleId="SubtleEmphasis">
    <w:name w:val="Subtle Emphasis"/>
    <w:uiPriority w:val="98"/>
    <w:semiHidden/>
    <w:qFormat/>
    <w:rsid w:val="008E5445"/>
    <w:rPr>
      <w:i/>
      <w:iCs/>
    </w:rPr>
  </w:style>
  <w:style w:type="character" w:customStyle="1" w:styleId="JUNAMES">
    <w:name w:val="JU_NAMES"/>
    <w:aliases w:val="_Ju_Names"/>
    <w:uiPriority w:val="33"/>
    <w:qFormat/>
    <w:rsid w:val="008E5445"/>
    <w:rPr>
      <w:caps w:val="0"/>
      <w:smallCaps/>
    </w:rPr>
  </w:style>
  <w:style w:type="table" w:customStyle="1" w:styleId="ECHRTable">
    <w:name w:val="ECHR_Table"/>
    <w:basedOn w:val="TableNormal"/>
    <w:rsid w:val="008E544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E544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NormalJustified">
    <w:name w:val="Normal_Justified"/>
    <w:basedOn w:val="Normal"/>
    <w:semiHidden/>
    <w:rsid w:val="008E5445"/>
    <w:pPr>
      <w:jc w:val="both"/>
    </w:pPr>
  </w:style>
  <w:style w:type="character" w:styleId="Emphasis">
    <w:name w:val="Emphasis"/>
    <w:uiPriority w:val="98"/>
    <w:semiHidden/>
    <w:qFormat/>
    <w:rsid w:val="008E5445"/>
    <w:rPr>
      <w:b/>
      <w:bCs/>
      <w:i/>
      <w:iCs/>
      <w:spacing w:val="10"/>
      <w:bdr w:val="none" w:sz="0" w:space="0" w:color="auto"/>
      <w:shd w:val="clear" w:color="auto" w:fill="auto"/>
    </w:rPr>
  </w:style>
  <w:style w:type="paragraph" w:styleId="Footer0">
    <w:name w:val="footer"/>
    <w:basedOn w:val="Normal"/>
    <w:link w:val="FooterChar"/>
    <w:uiPriority w:val="98"/>
    <w:semiHidden/>
    <w:rsid w:val="008E5445"/>
    <w:pPr>
      <w:tabs>
        <w:tab w:val="center" w:pos="3686"/>
        <w:tab w:val="right" w:pos="7371"/>
      </w:tabs>
    </w:pPr>
  </w:style>
  <w:style w:type="character" w:customStyle="1" w:styleId="FooterChar">
    <w:name w:val="Footer Char"/>
    <w:basedOn w:val="DefaultParagraphFont"/>
    <w:link w:val="Footer0"/>
    <w:uiPriority w:val="98"/>
    <w:semiHidden/>
    <w:rsid w:val="008E5445"/>
    <w:rPr>
      <w:sz w:val="24"/>
      <w:szCs w:val="24"/>
      <w:lang w:val="ro-RO"/>
    </w:rPr>
  </w:style>
  <w:style w:type="character" w:styleId="FootnoteReference">
    <w:name w:val="footnote reference"/>
    <w:basedOn w:val="DefaultParagraphFont"/>
    <w:uiPriority w:val="98"/>
    <w:semiHidden/>
    <w:rsid w:val="008E5445"/>
    <w:rPr>
      <w:vertAlign w:val="superscript"/>
    </w:rPr>
  </w:style>
  <w:style w:type="paragraph" w:styleId="FootnoteText">
    <w:name w:val="footnote text"/>
    <w:basedOn w:val="NormalJustified"/>
    <w:link w:val="FootnoteTextChar"/>
    <w:uiPriority w:val="98"/>
    <w:semiHidden/>
    <w:rsid w:val="008E5445"/>
    <w:rPr>
      <w:sz w:val="20"/>
      <w:szCs w:val="20"/>
    </w:rPr>
  </w:style>
  <w:style w:type="character" w:customStyle="1" w:styleId="FootnoteTextChar">
    <w:name w:val="Footnote Text Char"/>
    <w:basedOn w:val="DefaultParagraphFont"/>
    <w:link w:val="FootnoteText"/>
    <w:uiPriority w:val="98"/>
    <w:semiHidden/>
    <w:rsid w:val="008E5445"/>
    <w:rPr>
      <w:sz w:val="20"/>
      <w:szCs w:val="20"/>
      <w:lang w:val="ro-RO"/>
    </w:rPr>
  </w:style>
  <w:style w:type="character" w:customStyle="1" w:styleId="Heading6Char">
    <w:name w:val="Heading 6 Char"/>
    <w:basedOn w:val="DefaultParagraphFont"/>
    <w:link w:val="Heading6"/>
    <w:uiPriority w:val="98"/>
    <w:semiHidden/>
    <w:rsid w:val="008E5445"/>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E5445"/>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E5445"/>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E5445"/>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8E5445"/>
    <w:rPr>
      <w:color w:val="0072BC" w:themeColor="hyperlink"/>
      <w:u w:val="single"/>
    </w:rPr>
  </w:style>
  <w:style w:type="character" w:styleId="IntenseEmphasis">
    <w:name w:val="Intense Emphasis"/>
    <w:uiPriority w:val="98"/>
    <w:semiHidden/>
    <w:qFormat/>
    <w:rsid w:val="008E5445"/>
    <w:rPr>
      <w:b/>
      <w:bCs/>
    </w:rPr>
  </w:style>
  <w:style w:type="paragraph" w:styleId="IntenseQuote">
    <w:name w:val="Intense Quote"/>
    <w:basedOn w:val="Normal"/>
    <w:next w:val="Normal"/>
    <w:link w:val="IntenseQuoteChar"/>
    <w:uiPriority w:val="98"/>
    <w:semiHidden/>
    <w:qFormat/>
    <w:rsid w:val="008E544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E5445"/>
    <w:rPr>
      <w:b/>
      <w:bCs/>
      <w:i/>
      <w:iCs/>
      <w:sz w:val="24"/>
      <w:szCs w:val="24"/>
      <w:lang w:val="ro-RO" w:bidi="en-US"/>
    </w:rPr>
  </w:style>
  <w:style w:type="character" w:styleId="IntenseReference">
    <w:name w:val="Intense Reference"/>
    <w:uiPriority w:val="98"/>
    <w:semiHidden/>
    <w:qFormat/>
    <w:rsid w:val="008E5445"/>
    <w:rPr>
      <w:smallCaps/>
      <w:spacing w:val="5"/>
      <w:u w:val="single"/>
    </w:rPr>
  </w:style>
  <w:style w:type="paragraph" w:styleId="ListParagraph">
    <w:name w:val="List Paragraph"/>
    <w:basedOn w:val="Normal"/>
    <w:uiPriority w:val="98"/>
    <w:semiHidden/>
    <w:qFormat/>
    <w:rsid w:val="008E5445"/>
    <w:pPr>
      <w:ind w:left="720"/>
      <w:contextualSpacing/>
    </w:pPr>
  </w:style>
  <w:style w:type="table" w:customStyle="1" w:styleId="LtrTableAddress">
    <w:name w:val="Ltr_Table_Address"/>
    <w:aliases w:val="ECHR_Ltr_Table_Address"/>
    <w:basedOn w:val="TableNormal"/>
    <w:uiPriority w:val="99"/>
    <w:rsid w:val="008E5445"/>
    <w:rPr>
      <w:sz w:val="24"/>
      <w:szCs w:val="24"/>
    </w:rPr>
    <w:tblPr>
      <w:tblInd w:w="5103" w:type="dxa"/>
    </w:tblPr>
  </w:style>
  <w:style w:type="paragraph" w:styleId="Quote">
    <w:name w:val="Quote"/>
    <w:basedOn w:val="Normal"/>
    <w:next w:val="Normal"/>
    <w:link w:val="QuoteChar"/>
    <w:uiPriority w:val="98"/>
    <w:semiHidden/>
    <w:qFormat/>
    <w:rsid w:val="008E5445"/>
    <w:pPr>
      <w:spacing w:before="200"/>
      <w:ind w:left="360" w:right="360"/>
    </w:pPr>
    <w:rPr>
      <w:i/>
      <w:iCs/>
      <w:lang w:bidi="en-US"/>
    </w:rPr>
  </w:style>
  <w:style w:type="character" w:customStyle="1" w:styleId="QuoteChar">
    <w:name w:val="Quote Char"/>
    <w:basedOn w:val="DefaultParagraphFont"/>
    <w:link w:val="Quote"/>
    <w:uiPriority w:val="98"/>
    <w:semiHidden/>
    <w:rsid w:val="008E5445"/>
    <w:rPr>
      <w:i/>
      <w:iCs/>
      <w:sz w:val="24"/>
      <w:szCs w:val="24"/>
      <w:lang w:val="ro-RO" w:bidi="en-US"/>
    </w:rPr>
  </w:style>
  <w:style w:type="character" w:styleId="SubtleReference">
    <w:name w:val="Subtle Reference"/>
    <w:uiPriority w:val="98"/>
    <w:semiHidden/>
    <w:qFormat/>
    <w:rsid w:val="008E5445"/>
    <w:rPr>
      <w:smallCaps/>
    </w:rPr>
  </w:style>
  <w:style w:type="table" w:styleId="TableGrid">
    <w:name w:val="Table Grid"/>
    <w:basedOn w:val="TableNormal"/>
    <w:uiPriority w:val="59"/>
    <w:semiHidden/>
    <w:rsid w:val="008E544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E544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E544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E544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E544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E544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E5445"/>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8E544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E544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E544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E544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8E544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E544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E544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8E544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E5445"/>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E5445"/>
    <w:pPr>
      <w:numPr>
        <w:numId w:val="2"/>
      </w:numPr>
    </w:pPr>
  </w:style>
  <w:style w:type="paragraph" w:customStyle="1" w:styleId="JuPara">
    <w:name w:val="Ju_Para"/>
    <w:aliases w:val="ECHR_Para,N_Para,Para,_Para"/>
    <w:basedOn w:val="NormalJustified"/>
    <w:link w:val="ECHRParaChar"/>
    <w:uiPriority w:val="4"/>
    <w:qFormat/>
    <w:rsid w:val="008E5445"/>
    <w:pPr>
      <w:ind w:firstLine="284"/>
    </w:pPr>
  </w:style>
  <w:style w:type="numbering" w:styleId="1ai">
    <w:name w:val="Outline List 1"/>
    <w:basedOn w:val="NoList"/>
    <w:uiPriority w:val="99"/>
    <w:semiHidden/>
    <w:unhideWhenUsed/>
    <w:rsid w:val="008E5445"/>
    <w:pPr>
      <w:numPr>
        <w:numId w:val="3"/>
      </w:numPr>
    </w:pPr>
  </w:style>
  <w:style w:type="table" w:customStyle="1" w:styleId="ECHRTableSimpleBox">
    <w:name w:val="ECHR_Table_Simple_Box"/>
    <w:basedOn w:val="TableNormal"/>
    <w:uiPriority w:val="99"/>
    <w:rsid w:val="008E544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8E544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8E5445"/>
    <w:pPr>
      <w:numPr>
        <w:numId w:val="4"/>
      </w:numPr>
    </w:pPr>
  </w:style>
  <w:style w:type="table" w:customStyle="1" w:styleId="ECHRTableForInternalUse">
    <w:name w:val="ECHR_Table_For_Internal_Use"/>
    <w:basedOn w:val="TableNormal"/>
    <w:uiPriority w:val="99"/>
    <w:rsid w:val="008E544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E544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E5445"/>
  </w:style>
  <w:style w:type="paragraph" w:styleId="BlockText">
    <w:name w:val="Block Text"/>
    <w:basedOn w:val="Normal"/>
    <w:uiPriority w:val="98"/>
    <w:semiHidden/>
    <w:rsid w:val="008E544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E544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E5445"/>
    <w:pPr>
      <w:spacing w:after="120"/>
    </w:pPr>
  </w:style>
  <w:style w:type="character" w:customStyle="1" w:styleId="BodyTextChar">
    <w:name w:val="Body Text Char"/>
    <w:basedOn w:val="DefaultParagraphFont"/>
    <w:link w:val="BodyText"/>
    <w:uiPriority w:val="98"/>
    <w:semiHidden/>
    <w:rsid w:val="008E5445"/>
    <w:rPr>
      <w:sz w:val="24"/>
      <w:szCs w:val="24"/>
      <w:lang w:val="ro-RO"/>
    </w:rPr>
  </w:style>
  <w:style w:type="table" w:customStyle="1" w:styleId="ECHRTableOddBanded">
    <w:name w:val="ECHR_Table_Odd_Banded"/>
    <w:basedOn w:val="TableNormal"/>
    <w:uiPriority w:val="99"/>
    <w:rsid w:val="008E544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E5445"/>
    <w:pPr>
      <w:spacing w:after="120" w:line="480" w:lineRule="auto"/>
    </w:pPr>
  </w:style>
  <w:style w:type="table" w:customStyle="1" w:styleId="ECHRHeaderTableReduced">
    <w:name w:val="ECHR_Header_Table_Reduced"/>
    <w:basedOn w:val="TableNormal"/>
    <w:uiPriority w:val="99"/>
    <w:rsid w:val="008E544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8E5445"/>
    <w:rPr>
      <w:sz w:val="18"/>
    </w:rPr>
  </w:style>
  <w:style w:type="paragraph" w:styleId="ListBullet">
    <w:name w:val="List Bullet"/>
    <w:basedOn w:val="Normal"/>
    <w:uiPriority w:val="98"/>
    <w:semiHidden/>
    <w:rsid w:val="008E5445"/>
    <w:pPr>
      <w:numPr>
        <w:numId w:val="8"/>
      </w:numPr>
    </w:pPr>
  </w:style>
  <w:style w:type="character" w:customStyle="1" w:styleId="BodyText2Char">
    <w:name w:val="Body Text 2 Char"/>
    <w:basedOn w:val="DefaultParagraphFont"/>
    <w:link w:val="BodyText2"/>
    <w:uiPriority w:val="98"/>
    <w:semiHidden/>
    <w:rsid w:val="008E5445"/>
    <w:rPr>
      <w:sz w:val="24"/>
      <w:szCs w:val="24"/>
      <w:lang w:val="ro-RO"/>
    </w:rPr>
  </w:style>
  <w:style w:type="paragraph" w:styleId="BodyText3">
    <w:name w:val="Body Text 3"/>
    <w:basedOn w:val="Normal"/>
    <w:link w:val="BodyText3Char"/>
    <w:uiPriority w:val="98"/>
    <w:semiHidden/>
    <w:rsid w:val="008E5445"/>
    <w:pPr>
      <w:spacing w:after="120"/>
    </w:pPr>
    <w:rPr>
      <w:sz w:val="16"/>
      <w:szCs w:val="16"/>
    </w:rPr>
  </w:style>
  <w:style w:type="character" w:customStyle="1" w:styleId="BodyText3Char">
    <w:name w:val="Body Text 3 Char"/>
    <w:basedOn w:val="DefaultParagraphFont"/>
    <w:link w:val="BodyText3"/>
    <w:uiPriority w:val="98"/>
    <w:semiHidden/>
    <w:rsid w:val="008E5445"/>
    <w:rPr>
      <w:sz w:val="16"/>
      <w:szCs w:val="16"/>
      <w:lang w:val="ro-RO"/>
    </w:rPr>
  </w:style>
  <w:style w:type="paragraph" w:styleId="BodyTextFirstIndent">
    <w:name w:val="Body Text First Indent"/>
    <w:basedOn w:val="BodyText"/>
    <w:link w:val="BodyTextFirstIndentChar"/>
    <w:uiPriority w:val="98"/>
    <w:semiHidden/>
    <w:rsid w:val="008E5445"/>
    <w:pPr>
      <w:spacing w:after="0"/>
      <w:ind w:firstLine="360"/>
    </w:pPr>
  </w:style>
  <w:style w:type="character" w:customStyle="1" w:styleId="BodyTextFirstIndentChar">
    <w:name w:val="Body Text First Indent Char"/>
    <w:basedOn w:val="BodyTextChar"/>
    <w:link w:val="BodyTextFirstIndent"/>
    <w:uiPriority w:val="98"/>
    <w:semiHidden/>
    <w:rsid w:val="008E5445"/>
    <w:rPr>
      <w:sz w:val="24"/>
      <w:szCs w:val="24"/>
      <w:lang w:val="ro-RO"/>
    </w:rPr>
  </w:style>
  <w:style w:type="paragraph" w:styleId="BodyTextIndent">
    <w:name w:val="Body Text Indent"/>
    <w:basedOn w:val="Normal"/>
    <w:link w:val="BodyTextIndentChar"/>
    <w:uiPriority w:val="98"/>
    <w:semiHidden/>
    <w:rsid w:val="008E5445"/>
    <w:pPr>
      <w:spacing w:after="120"/>
      <w:ind w:left="283"/>
    </w:pPr>
  </w:style>
  <w:style w:type="character" w:customStyle="1" w:styleId="BodyTextIndentChar">
    <w:name w:val="Body Text Indent Char"/>
    <w:basedOn w:val="DefaultParagraphFont"/>
    <w:link w:val="BodyTextIndent"/>
    <w:uiPriority w:val="98"/>
    <w:semiHidden/>
    <w:rsid w:val="008E5445"/>
    <w:rPr>
      <w:sz w:val="24"/>
      <w:szCs w:val="24"/>
      <w:lang w:val="ro-RO"/>
    </w:rPr>
  </w:style>
  <w:style w:type="paragraph" w:styleId="BodyTextFirstIndent2">
    <w:name w:val="Body Text First Indent 2"/>
    <w:basedOn w:val="BodyTextIndent"/>
    <w:link w:val="BodyTextFirstIndent2Char"/>
    <w:uiPriority w:val="98"/>
    <w:semiHidden/>
    <w:rsid w:val="008E5445"/>
    <w:pPr>
      <w:spacing w:after="0"/>
      <w:ind w:left="360" w:firstLine="360"/>
    </w:pPr>
  </w:style>
  <w:style w:type="character" w:customStyle="1" w:styleId="BodyTextFirstIndent2Char">
    <w:name w:val="Body Text First Indent 2 Char"/>
    <w:basedOn w:val="BodyTextIndentChar"/>
    <w:link w:val="BodyTextFirstIndent2"/>
    <w:uiPriority w:val="98"/>
    <w:semiHidden/>
    <w:rsid w:val="008E5445"/>
    <w:rPr>
      <w:sz w:val="24"/>
      <w:szCs w:val="24"/>
      <w:lang w:val="ro-RO"/>
    </w:rPr>
  </w:style>
  <w:style w:type="paragraph" w:styleId="BodyTextIndent2">
    <w:name w:val="Body Text Indent 2"/>
    <w:basedOn w:val="Normal"/>
    <w:link w:val="BodyTextIndent2Char"/>
    <w:uiPriority w:val="98"/>
    <w:semiHidden/>
    <w:rsid w:val="008E5445"/>
    <w:pPr>
      <w:spacing w:after="120" w:line="480" w:lineRule="auto"/>
      <w:ind w:left="283"/>
    </w:pPr>
  </w:style>
  <w:style w:type="character" w:customStyle="1" w:styleId="BodyTextIndent2Char">
    <w:name w:val="Body Text Indent 2 Char"/>
    <w:basedOn w:val="DefaultParagraphFont"/>
    <w:link w:val="BodyTextIndent2"/>
    <w:uiPriority w:val="98"/>
    <w:semiHidden/>
    <w:rsid w:val="008E5445"/>
    <w:rPr>
      <w:sz w:val="24"/>
      <w:szCs w:val="24"/>
      <w:lang w:val="ro-RO"/>
    </w:rPr>
  </w:style>
  <w:style w:type="paragraph" w:styleId="BodyTextIndent3">
    <w:name w:val="Body Text Indent 3"/>
    <w:basedOn w:val="Normal"/>
    <w:link w:val="BodyTextIndent3Char"/>
    <w:uiPriority w:val="98"/>
    <w:semiHidden/>
    <w:rsid w:val="008E544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E5445"/>
    <w:rPr>
      <w:sz w:val="16"/>
      <w:szCs w:val="16"/>
      <w:lang w:val="ro-RO"/>
    </w:rPr>
  </w:style>
  <w:style w:type="paragraph" w:styleId="Caption">
    <w:name w:val="caption"/>
    <w:basedOn w:val="Normal"/>
    <w:next w:val="Normal"/>
    <w:uiPriority w:val="98"/>
    <w:semiHidden/>
    <w:qFormat/>
    <w:rsid w:val="008E5445"/>
    <w:pPr>
      <w:spacing w:after="200"/>
    </w:pPr>
    <w:rPr>
      <w:b/>
      <w:bCs/>
      <w:color w:val="0072BC" w:themeColor="accent1"/>
      <w:sz w:val="18"/>
      <w:szCs w:val="18"/>
    </w:rPr>
  </w:style>
  <w:style w:type="paragraph" w:styleId="Closing">
    <w:name w:val="Closing"/>
    <w:basedOn w:val="Normal"/>
    <w:link w:val="ClosingChar"/>
    <w:uiPriority w:val="98"/>
    <w:semiHidden/>
    <w:rsid w:val="008E5445"/>
    <w:pPr>
      <w:ind w:left="4252"/>
    </w:pPr>
  </w:style>
  <w:style w:type="character" w:customStyle="1" w:styleId="ClosingChar">
    <w:name w:val="Closing Char"/>
    <w:basedOn w:val="DefaultParagraphFont"/>
    <w:link w:val="Closing"/>
    <w:uiPriority w:val="98"/>
    <w:semiHidden/>
    <w:rsid w:val="008E5445"/>
    <w:rPr>
      <w:sz w:val="24"/>
      <w:szCs w:val="24"/>
      <w:lang w:val="ro-RO"/>
    </w:rPr>
  </w:style>
  <w:style w:type="table" w:styleId="ColorfulGrid">
    <w:name w:val="Colorful Grid"/>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E544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E544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E544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E544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8E544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E544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E544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E544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E544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E544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E544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8E544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E544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E544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8E5445"/>
    <w:rPr>
      <w:sz w:val="16"/>
      <w:szCs w:val="16"/>
    </w:rPr>
  </w:style>
  <w:style w:type="paragraph" w:styleId="CommentText">
    <w:name w:val="annotation text"/>
    <w:basedOn w:val="Normal"/>
    <w:link w:val="CommentTextChar"/>
    <w:uiPriority w:val="98"/>
    <w:semiHidden/>
    <w:rsid w:val="008E5445"/>
    <w:rPr>
      <w:sz w:val="20"/>
      <w:szCs w:val="20"/>
    </w:rPr>
  </w:style>
  <w:style w:type="character" w:customStyle="1" w:styleId="CommentTextChar">
    <w:name w:val="Comment Text Char"/>
    <w:basedOn w:val="DefaultParagraphFont"/>
    <w:link w:val="CommentText"/>
    <w:uiPriority w:val="98"/>
    <w:semiHidden/>
    <w:rsid w:val="008E5445"/>
    <w:rPr>
      <w:sz w:val="20"/>
      <w:szCs w:val="20"/>
      <w:lang w:val="ro-RO"/>
    </w:rPr>
  </w:style>
  <w:style w:type="paragraph" w:styleId="CommentSubject">
    <w:name w:val="annotation subject"/>
    <w:basedOn w:val="CommentText"/>
    <w:next w:val="CommentText"/>
    <w:link w:val="CommentSubjectChar"/>
    <w:uiPriority w:val="98"/>
    <w:semiHidden/>
    <w:rsid w:val="008E5445"/>
    <w:rPr>
      <w:b/>
      <w:bCs/>
    </w:rPr>
  </w:style>
  <w:style w:type="character" w:customStyle="1" w:styleId="CommentSubjectChar">
    <w:name w:val="Comment Subject Char"/>
    <w:basedOn w:val="CommentTextChar"/>
    <w:link w:val="CommentSubject"/>
    <w:uiPriority w:val="98"/>
    <w:semiHidden/>
    <w:rsid w:val="008E5445"/>
    <w:rPr>
      <w:b/>
      <w:bCs/>
      <w:sz w:val="20"/>
      <w:szCs w:val="20"/>
      <w:lang w:val="ro-RO"/>
    </w:rPr>
  </w:style>
  <w:style w:type="table" w:styleId="DarkList">
    <w:name w:val="Dark List"/>
    <w:basedOn w:val="TableNormal"/>
    <w:uiPriority w:val="70"/>
    <w:semiHidden/>
    <w:rsid w:val="008E544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E544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E544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E544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8E544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E544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E544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E5445"/>
  </w:style>
  <w:style w:type="character" w:customStyle="1" w:styleId="DateChar">
    <w:name w:val="Date Char"/>
    <w:basedOn w:val="DefaultParagraphFont"/>
    <w:link w:val="Date"/>
    <w:uiPriority w:val="98"/>
    <w:semiHidden/>
    <w:rsid w:val="008E5445"/>
    <w:rPr>
      <w:sz w:val="24"/>
      <w:szCs w:val="24"/>
      <w:lang w:val="ro-RO"/>
    </w:rPr>
  </w:style>
  <w:style w:type="paragraph" w:styleId="DocumentMap">
    <w:name w:val="Document Map"/>
    <w:basedOn w:val="Normal"/>
    <w:link w:val="DocumentMapChar"/>
    <w:uiPriority w:val="98"/>
    <w:semiHidden/>
    <w:rsid w:val="008E5445"/>
    <w:rPr>
      <w:rFonts w:ascii="Tahoma" w:hAnsi="Tahoma" w:cs="Tahoma"/>
      <w:sz w:val="16"/>
      <w:szCs w:val="16"/>
    </w:rPr>
  </w:style>
  <w:style w:type="character" w:customStyle="1" w:styleId="DocumentMapChar">
    <w:name w:val="Document Map Char"/>
    <w:basedOn w:val="DefaultParagraphFont"/>
    <w:link w:val="DocumentMap"/>
    <w:uiPriority w:val="98"/>
    <w:semiHidden/>
    <w:rsid w:val="008E5445"/>
    <w:rPr>
      <w:rFonts w:ascii="Tahoma" w:hAnsi="Tahoma" w:cs="Tahoma"/>
      <w:sz w:val="16"/>
      <w:szCs w:val="16"/>
      <w:lang w:val="ro-RO"/>
    </w:rPr>
  </w:style>
  <w:style w:type="paragraph" w:styleId="E-mailSignature">
    <w:name w:val="E-mail Signature"/>
    <w:basedOn w:val="Normal"/>
    <w:link w:val="E-mailSignatureChar"/>
    <w:uiPriority w:val="98"/>
    <w:semiHidden/>
    <w:rsid w:val="008E5445"/>
  </w:style>
  <w:style w:type="character" w:customStyle="1" w:styleId="E-mailSignatureChar">
    <w:name w:val="E-mail Signature Char"/>
    <w:basedOn w:val="DefaultParagraphFont"/>
    <w:link w:val="E-mailSignature"/>
    <w:uiPriority w:val="98"/>
    <w:semiHidden/>
    <w:rsid w:val="008E5445"/>
    <w:rPr>
      <w:sz w:val="24"/>
      <w:szCs w:val="24"/>
      <w:lang w:val="ro-RO"/>
    </w:rPr>
  </w:style>
  <w:style w:type="character" w:styleId="EndnoteReference">
    <w:name w:val="endnote reference"/>
    <w:basedOn w:val="DefaultParagraphFont"/>
    <w:uiPriority w:val="98"/>
    <w:semiHidden/>
    <w:rsid w:val="008E5445"/>
    <w:rPr>
      <w:vertAlign w:val="superscript"/>
    </w:rPr>
  </w:style>
  <w:style w:type="paragraph" w:styleId="EndnoteText">
    <w:name w:val="endnote text"/>
    <w:basedOn w:val="Normal"/>
    <w:link w:val="EndnoteTextChar"/>
    <w:uiPriority w:val="98"/>
    <w:semiHidden/>
    <w:rsid w:val="008E5445"/>
    <w:rPr>
      <w:sz w:val="20"/>
      <w:szCs w:val="20"/>
    </w:rPr>
  </w:style>
  <w:style w:type="character" w:customStyle="1" w:styleId="EndnoteTextChar">
    <w:name w:val="Endnote Text Char"/>
    <w:basedOn w:val="DefaultParagraphFont"/>
    <w:link w:val="EndnoteText"/>
    <w:uiPriority w:val="98"/>
    <w:semiHidden/>
    <w:rsid w:val="008E5445"/>
    <w:rPr>
      <w:sz w:val="20"/>
      <w:szCs w:val="20"/>
      <w:lang w:val="ro-RO"/>
    </w:rPr>
  </w:style>
  <w:style w:type="paragraph" w:styleId="EnvelopeAddress">
    <w:name w:val="envelope address"/>
    <w:basedOn w:val="Normal"/>
    <w:uiPriority w:val="98"/>
    <w:semiHidden/>
    <w:rsid w:val="008E544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E544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E5445"/>
    <w:rPr>
      <w:color w:val="7030A0" w:themeColor="followedHyperlink"/>
      <w:u w:val="single"/>
    </w:rPr>
  </w:style>
  <w:style w:type="character" w:styleId="HTMLAcronym">
    <w:name w:val="HTML Acronym"/>
    <w:basedOn w:val="DefaultParagraphFont"/>
    <w:uiPriority w:val="98"/>
    <w:semiHidden/>
    <w:rsid w:val="008E5445"/>
  </w:style>
  <w:style w:type="paragraph" w:styleId="HTMLAddress">
    <w:name w:val="HTML Address"/>
    <w:basedOn w:val="Normal"/>
    <w:link w:val="HTMLAddressChar"/>
    <w:uiPriority w:val="98"/>
    <w:semiHidden/>
    <w:rsid w:val="008E5445"/>
    <w:rPr>
      <w:i/>
      <w:iCs/>
    </w:rPr>
  </w:style>
  <w:style w:type="character" w:customStyle="1" w:styleId="HTMLAddressChar">
    <w:name w:val="HTML Address Char"/>
    <w:basedOn w:val="DefaultParagraphFont"/>
    <w:link w:val="HTMLAddress"/>
    <w:uiPriority w:val="98"/>
    <w:semiHidden/>
    <w:rsid w:val="008E5445"/>
    <w:rPr>
      <w:i/>
      <w:iCs/>
      <w:sz w:val="24"/>
      <w:szCs w:val="24"/>
      <w:lang w:val="ro-RO"/>
    </w:rPr>
  </w:style>
  <w:style w:type="character" w:styleId="HTMLCite">
    <w:name w:val="HTML Cite"/>
    <w:basedOn w:val="DefaultParagraphFont"/>
    <w:uiPriority w:val="98"/>
    <w:semiHidden/>
    <w:rsid w:val="008E5445"/>
    <w:rPr>
      <w:i/>
      <w:iCs/>
    </w:rPr>
  </w:style>
  <w:style w:type="character" w:styleId="HTMLCode">
    <w:name w:val="HTML Code"/>
    <w:basedOn w:val="DefaultParagraphFont"/>
    <w:uiPriority w:val="98"/>
    <w:semiHidden/>
    <w:rsid w:val="008E5445"/>
    <w:rPr>
      <w:rFonts w:ascii="Consolas" w:hAnsi="Consolas" w:cs="Consolas"/>
      <w:sz w:val="20"/>
      <w:szCs w:val="20"/>
    </w:rPr>
  </w:style>
  <w:style w:type="character" w:styleId="HTMLDefinition">
    <w:name w:val="HTML Definition"/>
    <w:basedOn w:val="DefaultParagraphFont"/>
    <w:uiPriority w:val="98"/>
    <w:semiHidden/>
    <w:rsid w:val="008E5445"/>
    <w:rPr>
      <w:i/>
      <w:iCs/>
    </w:rPr>
  </w:style>
  <w:style w:type="character" w:styleId="HTMLKeyboard">
    <w:name w:val="HTML Keyboard"/>
    <w:basedOn w:val="DefaultParagraphFont"/>
    <w:uiPriority w:val="98"/>
    <w:semiHidden/>
    <w:rsid w:val="008E5445"/>
    <w:rPr>
      <w:rFonts w:ascii="Consolas" w:hAnsi="Consolas" w:cs="Consolas"/>
      <w:sz w:val="20"/>
      <w:szCs w:val="20"/>
    </w:rPr>
  </w:style>
  <w:style w:type="paragraph" w:styleId="HTMLPreformatted">
    <w:name w:val="HTML Preformatted"/>
    <w:basedOn w:val="Normal"/>
    <w:link w:val="HTMLPreformattedChar"/>
    <w:uiPriority w:val="98"/>
    <w:semiHidden/>
    <w:rsid w:val="008E544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E5445"/>
    <w:rPr>
      <w:rFonts w:ascii="Consolas" w:hAnsi="Consolas" w:cs="Consolas"/>
      <w:sz w:val="20"/>
      <w:szCs w:val="20"/>
      <w:lang w:val="ro-RO"/>
    </w:rPr>
  </w:style>
  <w:style w:type="character" w:styleId="HTMLSample">
    <w:name w:val="HTML Sample"/>
    <w:basedOn w:val="DefaultParagraphFont"/>
    <w:uiPriority w:val="98"/>
    <w:semiHidden/>
    <w:rsid w:val="008E5445"/>
    <w:rPr>
      <w:rFonts w:ascii="Consolas" w:hAnsi="Consolas" w:cs="Consolas"/>
      <w:sz w:val="24"/>
      <w:szCs w:val="24"/>
    </w:rPr>
  </w:style>
  <w:style w:type="character" w:styleId="HTMLTypewriter">
    <w:name w:val="HTML Typewriter"/>
    <w:basedOn w:val="DefaultParagraphFont"/>
    <w:uiPriority w:val="98"/>
    <w:semiHidden/>
    <w:rsid w:val="008E5445"/>
    <w:rPr>
      <w:rFonts w:ascii="Consolas" w:hAnsi="Consolas" w:cs="Consolas"/>
      <w:sz w:val="20"/>
      <w:szCs w:val="20"/>
    </w:rPr>
  </w:style>
  <w:style w:type="character" w:styleId="HTMLVariable">
    <w:name w:val="HTML Variable"/>
    <w:basedOn w:val="DefaultParagraphFont"/>
    <w:uiPriority w:val="98"/>
    <w:semiHidden/>
    <w:rsid w:val="008E5445"/>
    <w:rPr>
      <w:i/>
      <w:iCs/>
    </w:rPr>
  </w:style>
  <w:style w:type="paragraph" w:styleId="Index1">
    <w:name w:val="index 1"/>
    <w:basedOn w:val="Normal"/>
    <w:next w:val="Normal"/>
    <w:autoRedefine/>
    <w:uiPriority w:val="98"/>
    <w:semiHidden/>
    <w:rsid w:val="008E5445"/>
    <w:pPr>
      <w:ind w:left="240" w:hanging="240"/>
    </w:pPr>
  </w:style>
  <w:style w:type="paragraph" w:styleId="Index2">
    <w:name w:val="index 2"/>
    <w:basedOn w:val="Normal"/>
    <w:next w:val="Normal"/>
    <w:autoRedefine/>
    <w:uiPriority w:val="98"/>
    <w:semiHidden/>
    <w:rsid w:val="008E5445"/>
    <w:pPr>
      <w:ind w:left="480" w:hanging="240"/>
    </w:pPr>
  </w:style>
  <w:style w:type="paragraph" w:styleId="Index3">
    <w:name w:val="index 3"/>
    <w:basedOn w:val="Normal"/>
    <w:next w:val="Normal"/>
    <w:autoRedefine/>
    <w:uiPriority w:val="98"/>
    <w:semiHidden/>
    <w:rsid w:val="008E5445"/>
    <w:pPr>
      <w:ind w:left="720" w:hanging="240"/>
    </w:pPr>
  </w:style>
  <w:style w:type="paragraph" w:styleId="Index4">
    <w:name w:val="index 4"/>
    <w:basedOn w:val="Normal"/>
    <w:next w:val="Normal"/>
    <w:autoRedefine/>
    <w:uiPriority w:val="98"/>
    <w:semiHidden/>
    <w:rsid w:val="008E5445"/>
    <w:pPr>
      <w:ind w:left="960" w:hanging="240"/>
    </w:pPr>
  </w:style>
  <w:style w:type="paragraph" w:styleId="Index5">
    <w:name w:val="index 5"/>
    <w:basedOn w:val="Normal"/>
    <w:next w:val="Normal"/>
    <w:autoRedefine/>
    <w:uiPriority w:val="98"/>
    <w:semiHidden/>
    <w:rsid w:val="008E5445"/>
    <w:pPr>
      <w:ind w:left="1200" w:hanging="240"/>
    </w:pPr>
  </w:style>
  <w:style w:type="paragraph" w:styleId="Index6">
    <w:name w:val="index 6"/>
    <w:basedOn w:val="Normal"/>
    <w:next w:val="Normal"/>
    <w:autoRedefine/>
    <w:uiPriority w:val="98"/>
    <w:semiHidden/>
    <w:rsid w:val="008E5445"/>
    <w:pPr>
      <w:ind w:left="1440" w:hanging="240"/>
    </w:pPr>
  </w:style>
  <w:style w:type="paragraph" w:styleId="Index7">
    <w:name w:val="index 7"/>
    <w:basedOn w:val="Normal"/>
    <w:next w:val="Normal"/>
    <w:autoRedefine/>
    <w:uiPriority w:val="98"/>
    <w:semiHidden/>
    <w:rsid w:val="008E5445"/>
    <w:pPr>
      <w:ind w:left="1680" w:hanging="240"/>
    </w:pPr>
  </w:style>
  <w:style w:type="paragraph" w:styleId="Index8">
    <w:name w:val="index 8"/>
    <w:basedOn w:val="Normal"/>
    <w:next w:val="Normal"/>
    <w:autoRedefine/>
    <w:uiPriority w:val="98"/>
    <w:semiHidden/>
    <w:rsid w:val="008E5445"/>
    <w:pPr>
      <w:ind w:left="1920" w:hanging="240"/>
    </w:pPr>
  </w:style>
  <w:style w:type="paragraph" w:styleId="Index9">
    <w:name w:val="index 9"/>
    <w:basedOn w:val="Normal"/>
    <w:next w:val="Normal"/>
    <w:autoRedefine/>
    <w:uiPriority w:val="98"/>
    <w:semiHidden/>
    <w:rsid w:val="008E5445"/>
    <w:pPr>
      <w:ind w:left="2160" w:hanging="240"/>
    </w:pPr>
  </w:style>
  <w:style w:type="paragraph" w:styleId="IndexHeading">
    <w:name w:val="index heading"/>
    <w:basedOn w:val="Normal"/>
    <w:next w:val="Index1"/>
    <w:uiPriority w:val="98"/>
    <w:semiHidden/>
    <w:rsid w:val="008E5445"/>
    <w:rPr>
      <w:rFonts w:asciiTheme="majorHAnsi" w:eastAsiaTheme="majorEastAsia" w:hAnsiTheme="majorHAnsi" w:cstheme="majorBidi"/>
      <w:b/>
      <w:bCs/>
    </w:rPr>
  </w:style>
  <w:style w:type="table" w:styleId="LightGrid">
    <w:name w:val="Light Grid"/>
    <w:basedOn w:val="TableNormal"/>
    <w:uiPriority w:val="62"/>
    <w:semiHidden/>
    <w:rsid w:val="008E544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E544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E544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E544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8E544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E544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E544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E544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E544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E544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E544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8E544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E544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E544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E544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E544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E544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E544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8E544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E544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E544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E5445"/>
  </w:style>
  <w:style w:type="paragraph" w:styleId="List">
    <w:name w:val="List"/>
    <w:basedOn w:val="Normal"/>
    <w:uiPriority w:val="98"/>
    <w:semiHidden/>
    <w:rsid w:val="008E5445"/>
    <w:pPr>
      <w:ind w:left="283" w:hanging="283"/>
      <w:contextualSpacing/>
    </w:pPr>
  </w:style>
  <w:style w:type="paragraph" w:styleId="List2">
    <w:name w:val="List 2"/>
    <w:basedOn w:val="Normal"/>
    <w:uiPriority w:val="98"/>
    <w:semiHidden/>
    <w:rsid w:val="008E5445"/>
    <w:pPr>
      <w:ind w:left="566" w:hanging="283"/>
      <w:contextualSpacing/>
    </w:pPr>
  </w:style>
  <w:style w:type="paragraph" w:styleId="List3">
    <w:name w:val="List 3"/>
    <w:basedOn w:val="Normal"/>
    <w:uiPriority w:val="98"/>
    <w:semiHidden/>
    <w:rsid w:val="008E5445"/>
    <w:pPr>
      <w:ind w:left="849" w:hanging="283"/>
      <w:contextualSpacing/>
    </w:pPr>
  </w:style>
  <w:style w:type="paragraph" w:styleId="List4">
    <w:name w:val="List 4"/>
    <w:basedOn w:val="Normal"/>
    <w:uiPriority w:val="98"/>
    <w:semiHidden/>
    <w:rsid w:val="008E5445"/>
    <w:pPr>
      <w:ind w:left="1132" w:hanging="283"/>
      <w:contextualSpacing/>
    </w:pPr>
  </w:style>
  <w:style w:type="paragraph" w:styleId="List5">
    <w:name w:val="List 5"/>
    <w:basedOn w:val="Normal"/>
    <w:uiPriority w:val="98"/>
    <w:semiHidden/>
    <w:rsid w:val="008E5445"/>
    <w:pPr>
      <w:ind w:left="1415" w:hanging="283"/>
      <w:contextualSpacing/>
    </w:pPr>
  </w:style>
  <w:style w:type="paragraph" w:styleId="ListBullet2">
    <w:name w:val="List Bullet 2"/>
    <w:basedOn w:val="Normal"/>
    <w:uiPriority w:val="98"/>
    <w:semiHidden/>
    <w:rsid w:val="008E5445"/>
    <w:pPr>
      <w:numPr>
        <w:numId w:val="9"/>
      </w:numPr>
      <w:contextualSpacing/>
    </w:pPr>
  </w:style>
  <w:style w:type="paragraph" w:styleId="ListBullet3">
    <w:name w:val="List Bullet 3"/>
    <w:basedOn w:val="Normal"/>
    <w:uiPriority w:val="98"/>
    <w:semiHidden/>
    <w:rsid w:val="008E5445"/>
    <w:pPr>
      <w:numPr>
        <w:numId w:val="10"/>
      </w:numPr>
      <w:contextualSpacing/>
    </w:pPr>
  </w:style>
  <w:style w:type="paragraph" w:styleId="ListBullet4">
    <w:name w:val="List Bullet 4"/>
    <w:basedOn w:val="Normal"/>
    <w:uiPriority w:val="98"/>
    <w:semiHidden/>
    <w:rsid w:val="008E5445"/>
    <w:pPr>
      <w:numPr>
        <w:numId w:val="11"/>
      </w:numPr>
      <w:contextualSpacing/>
    </w:pPr>
  </w:style>
  <w:style w:type="paragraph" w:styleId="ListBullet5">
    <w:name w:val="List Bullet 5"/>
    <w:basedOn w:val="Normal"/>
    <w:uiPriority w:val="98"/>
    <w:semiHidden/>
    <w:rsid w:val="008E5445"/>
    <w:pPr>
      <w:numPr>
        <w:numId w:val="12"/>
      </w:numPr>
      <w:contextualSpacing/>
    </w:pPr>
  </w:style>
  <w:style w:type="paragraph" w:styleId="ListContinue">
    <w:name w:val="List Continue"/>
    <w:basedOn w:val="Normal"/>
    <w:uiPriority w:val="98"/>
    <w:semiHidden/>
    <w:rsid w:val="008E5445"/>
    <w:pPr>
      <w:spacing w:after="120"/>
      <w:ind w:left="283"/>
      <w:contextualSpacing/>
    </w:pPr>
  </w:style>
  <w:style w:type="paragraph" w:styleId="ListContinue2">
    <w:name w:val="List Continue 2"/>
    <w:basedOn w:val="Normal"/>
    <w:uiPriority w:val="98"/>
    <w:semiHidden/>
    <w:rsid w:val="008E5445"/>
    <w:pPr>
      <w:spacing w:after="120"/>
      <w:ind w:left="566"/>
      <w:contextualSpacing/>
    </w:pPr>
  </w:style>
  <w:style w:type="paragraph" w:styleId="ListContinue3">
    <w:name w:val="List Continue 3"/>
    <w:basedOn w:val="Normal"/>
    <w:uiPriority w:val="98"/>
    <w:semiHidden/>
    <w:rsid w:val="008E5445"/>
    <w:pPr>
      <w:spacing w:after="120"/>
      <w:ind w:left="849"/>
      <w:contextualSpacing/>
    </w:pPr>
  </w:style>
  <w:style w:type="paragraph" w:styleId="ListContinue4">
    <w:name w:val="List Continue 4"/>
    <w:basedOn w:val="Normal"/>
    <w:uiPriority w:val="98"/>
    <w:semiHidden/>
    <w:rsid w:val="008E5445"/>
    <w:pPr>
      <w:spacing w:after="120"/>
      <w:ind w:left="1132"/>
      <w:contextualSpacing/>
    </w:pPr>
  </w:style>
  <w:style w:type="paragraph" w:styleId="ListContinue5">
    <w:name w:val="List Continue 5"/>
    <w:basedOn w:val="Normal"/>
    <w:uiPriority w:val="98"/>
    <w:semiHidden/>
    <w:rsid w:val="008E5445"/>
    <w:pPr>
      <w:spacing w:after="120"/>
      <w:ind w:left="1415"/>
      <w:contextualSpacing/>
    </w:pPr>
  </w:style>
  <w:style w:type="paragraph" w:styleId="ListNumber">
    <w:name w:val="List Number"/>
    <w:basedOn w:val="Normal"/>
    <w:uiPriority w:val="98"/>
    <w:semiHidden/>
    <w:rsid w:val="008E5445"/>
    <w:pPr>
      <w:numPr>
        <w:numId w:val="13"/>
      </w:numPr>
      <w:contextualSpacing/>
    </w:pPr>
  </w:style>
  <w:style w:type="paragraph" w:styleId="ListNumber2">
    <w:name w:val="List Number 2"/>
    <w:basedOn w:val="Normal"/>
    <w:uiPriority w:val="98"/>
    <w:semiHidden/>
    <w:rsid w:val="008E5445"/>
    <w:pPr>
      <w:numPr>
        <w:numId w:val="14"/>
      </w:numPr>
      <w:contextualSpacing/>
    </w:pPr>
  </w:style>
  <w:style w:type="paragraph" w:styleId="ListNumber3">
    <w:name w:val="List Number 3"/>
    <w:basedOn w:val="Normal"/>
    <w:uiPriority w:val="98"/>
    <w:semiHidden/>
    <w:rsid w:val="008E5445"/>
    <w:pPr>
      <w:numPr>
        <w:numId w:val="15"/>
      </w:numPr>
      <w:contextualSpacing/>
    </w:pPr>
  </w:style>
  <w:style w:type="paragraph" w:styleId="ListNumber4">
    <w:name w:val="List Number 4"/>
    <w:basedOn w:val="Normal"/>
    <w:uiPriority w:val="98"/>
    <w:semiHidden/>
    <w:rsid w:val="008E5445"/>
    <w:pPr>
      <w:numPr>
        <w:numId w:val="16"/>
      </w:numPr>
      <w:contextualSpacing/>
    </w:pPr>
  </w:style>
  <w:style w:type="paragraph" w:styleId="ListNumber5">
    <w:name w:val="List Number 5"/>
    <w:basedOn w:val="Normal"/>
    <w:uiPriority w:val="98"/>
    <w:semiHidden/>
    <w:rsid w:val="008E5445"/>
    <w:pPr>
      <w:numPr>
        <w:numId w:val="17"/>
      </w:numPr>
      <w:contextualSpacing/>
    </w:pPr>
  </w:style>
  <w:style w:type="paragraph" w:styleId="MacroText">
    <w:name w:val="macro"/>
    <w:link w:val="MacroTextChar"/>
    <w:uiPriority w:val="98"/>
    <w:semiHidden/>
    <w:rsid w:val="008E544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E5445"/>
    <w:rPr>
      <w:rFonts w:ascii="Consolas" w:eastAsiaTheme="minorEastAsia" w:hAnsi="Consolas" w:cs="Consolas"/>
      <w:sz w:val="20"/>
      <w:szCs w:val="20"/>
    </w:rPr>
  </w:style>
  <w:style w:type="table" w:styleId="MediumGrid1">
    <w:name w:val="Medium Grid 1"/>
    <w:basedOn w:val="TableNormal"/>
    <w:uiPriority w:val="67"/>
    <w:semiHidden/>
    <w:rsid w:val="008E544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E544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E544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E544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8E544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E544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E544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8E544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E544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E544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E544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8E544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E544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E544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8E544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E544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E544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E544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E544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E544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E544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E544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E5445"/>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8E5445"/>
    <w:rPr>
      <w:rFonts w:ascii="Times New Roman" w:hAnsi="Times New Roman" w:cs="Times New Roman"/>
    </w:rPr>
  </w:style>
  <w:style w:type="paragraph" w:styleId="NormalIndent">
    <w:name w:val="Normal Indent"/>
    <w:basedOn w:val="Normal"/>
    <w:uiPriority w:val="98"/>
    <w:semiHidden/>
    <w:rsid w:val="008E5445"/>
    <w:pPr>
      <w:ind w:left="720"/>
    </w:pPr>
  </w:style>
  <w:style w:type="paragraph" w:styleId="NoteHeading">
    <w:name w:val="Note Heading"/>
    <w:basedOn w:val="Normal"/>
    <w:next w:val="Normal"/>
    <w:link w:val="NoteHeadingChar"/>
    <w:uiPriority w:val="98"/>
    <w:semiHidden/>
    <w:rsid w:val="008E5445"/>
  </w:style>
  <w:style w:type="character" w:customStyle="1" w:styleId="NoteHeadingChar">
    <w:name w:val="Note Heading Char"/>
    <w:basedOn w:val="DefaultParagraphFont"/>
    <w:link w:val="NoteHeading"/>
    <w:uiPriority w:val="98"/>
    <w:semiHidden/>
    <w:rsid w:val="008E5445"/>
    <w:rPr>
      <w:sz w:val="24"/>
      <w:szCs w:val="24"/>
      <w:lang w:val="ro-RO"/>
    </w:rPr>
  </w:style>
  <w:style w:type="character" w:styleId="PlaceholderText">
    <w:name w:val="Placeholder Text"/>
    <w:basedOn w:val="DefaultParagraphFont"/>
    <w:uiPriority w:val="98"/>
    <w:semiHidden/>
    <w:rsid w:val="008E544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E5445"/>
    <w:rPr>
      <w:rFonts w:ascii="Consolas" w:hAnsi="Consolas" w:cs="Consolas"/>
      <w:sz w:val="21"/>
      <w:szCs w:val="21"/>
    </w:rPr>
  </w:style>
  <w:style w:type="character" w:customStyle="1" w:styleId="PlainTextChar">
    <w:name w:val="Plain Text Char"/>
    <w:basedOn w:val="DefaultParagraphFont"/>
    <w:link w:val="PlainText"/>
    <w:uiPriority w:val="98"/>
    <w:semiHidden/>
    <w:rsid w:val="008E5445"/>
    <w:rPr>
      <w:rFonts w:ascii="Consolas" w:hAnsi="Consolas" w:cs="Consolas"/>
      <w:sz w:val="21"/>
      <w:szCs w:val="21"/>
      <w:lang w:val="ro-RO"/>
    </w:rPr>
  </w:style>
  <w:style w:type="paragraph" w:styleId="Salutation">
    <w:name w:val="Salutation"/>
    <w:basedOn w:val="Normal"/>
    <w:next w:val="Normal"/>
    <w:link w:val="SalutationChar"/>
    <w:uiPriority w:val="98"/>
    <w:semiHidden/>
    <w:rsid w:val="008E5445"/>
  </w:style>
  <w:style w:type="character" w:customStyle="1" w:styleId="SalutationChar">
    <w:name w:val="Salutation Char"/>
    <w:basedOn w:val="DefaultParagraphFont"/>
    <w:link w:val="Salutation"/>
    <w:uiPriority w:val="98"/>
    <w:semiHidden/>
    <w:rsid w:val="008E5445"/>
    <w:rPr>
      <w:sz w:val="24"/>
      <w:szCs w:val="24"/>
      <w:lang w:val="ro-RO"/>
    </w:rPr>
  </w:style>
  <w:style w:type="paragraph" w:styleId="Signature">
    <w:name w:val="Signature"/>
    <w:basedOn w:val="Normal"/>
    <w:link w:val="SignatureChar"/>
    <w:uiPriority w:val="98"/>
    <w:semiHidden/>
    <w:rsid w:val="008E5445"/>
    <w:pPr>
      <w:ind w:left="4252"/>
    </w:pPr>
  </w:style>
  <w:style w:type="character" w:customStyle="1" w:styleId="SignatureChar">
    <w:name w:val="Signature Char"/>
    <w:basedOn w:val="DefaultParagraphFont"/>
    <w:link w:val="Signature"/>
    <w:uiPriority w:val="98"/>
    <w:semiHidden/>
    <w:rsid w:val="008E5445"/>
    <w:rPr>
      <w:sz w:val="24"/>
      <w:szCs w:val="24"/>
      <w:lang w:val="ro-RO"/>
    </w:rPr>
  </w:style>
  <w:style w:type="table" w:styleId="Table3Deffects1">
    <w:name w:val="Table 3D effects 1"/>
    <w:basedOn w:val="TableNormal"/>
    <w:uiPriority w:val="99"/>
    <w:semiHidden/>
    <w:unhideWhenUsed/>
    <w:rsid w:val="008E544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544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544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544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544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544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544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544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544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544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544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544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544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544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544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544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544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544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544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544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544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544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544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544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544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544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544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544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544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544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E5445"/>
    <w:pPr>
      <w:ind w:left="240" w:hanging="240"/>
    </w:pPr>
  </w:style>
  <w:style w:type="paragraph" w:styleId="TableofFigures">
    <w:name w:val="table of figures"/>
    <w:basedOn w:val="Normal"/>
    <w:next w:val="Normal"/>
    <w:uiPriority w:val="98"/>
    <w:semiHidden/>
    <w:rsid w:val="008E5445"/>
  </w:style>
  <w:style w:type="table" w:styleId="TableProfessional">
    <w:name w:val="Table Professional"/>
    <w:basedOn w:val="TableNormal"/>
    <w:uiPriority w:val="99"/>
    <w:semiHidden/>
    <w:unhideWhenUsed/>
    <w:rsid w:val="008E544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544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544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544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544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544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544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544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544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E544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E544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E5445"/>
    <w:pPr>
      <w:spacing w:after="100"/>
      <w:ind w:left="1680"/>
    </w:pPr>
  </w:style>
  <w:style w:type="paragraph" w:styleId="TOC9">
    <w:name w:val="toc 9"/>
    <w:basedOn w:val="Normal"/>
    <w:next w:val="Normal"/>
    <w:autoRedefine/>
    <w:uiPriority w:val="98"/>
    <w:semiHidden/>
    <w:rsid w:val="008E5445"/>
    <w:pPr>
      <w:spacing w:after="100"/>
      <w:ind w:left="1920"/>
    </w:pPr>
  </w:style>
  <w:style w:type="paragraph" w:customStyle="1" w:styleId="ECHRFooter">
    <w:name w:val="ECHR_Footer"/>
    <w:aliases w:val="Footer_ECHR"/>
    <w:basedOn w:val="Footer0"/>
    <w:uiPriority w:val="57"/>
    <w:semiHidden/>
    <w:rsid w:val="0045649E"/>
    <w:rPr>
      <w:sz w:val="8"/>
    </w:rPr>
  </w:style>
  <w:style w:type="paragraph" w:customStyle="1" w:styleId="ECHRFooterLine">
    <w:name w:val="ECHR_Footer_Line"/>
    <w:aliases w:val="_Footer_Line"/>
    <w:basedOn w:val="Normal"/>
    <w:next w:val="Normal"/>
    <w:uiPriority w:val="29"/>
    <w:semiHidden/>
    <w:rsid w:val="008E544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Normal"/>
    <w:next w:val="Normal"/>
    <w:uiPriority w:val="38"/>
    <w:qFormat/>
    <w:rsid w:val="008E5445"/>
    <w:pPr>
      <w:keepNext/>
      <w:keepLines/>
      <w:spacing w:after="280"/>
      <w:jc w:val="center"/>
    </w:pPr>
    <w:rPr>
      <w:rFonts w:asciiTheme="majorHAnsi" w:hAnsiTheme="majorHAnsi"/>
    </w:rPr>
  </w:style>
  <w:style w:type="character" w:customStyle="1" w:styleId="JuNames0">
    <w:name w:val="Ju_Names"/>
    <w:basedOn w:val="DefaultParagraphFont"/>
    <w:rsid w:val="00416DDD"/>
    <w:rPr>
      <w:rFonts w:ascii="Times New Roman" w:hAnsi="Times New Roman"/>
      <w:smallCaps/>
      <w:noProof w:val="0"/>
      <w:sz w:val="24"/>
      <w:vertAlign w:val="baseline"/>
      <w:lang w:val="ro-RO"/>
    </w:rPr>
  </w:style>
  <w:style w:type="paragraph" w:customStyle="1" w:styleId="ECHRBullet2">
    <w:name w:val="ECHR_Bullet_2"/>
    <w:aliases w:val="_Bul_2"/>
    <w:basedOn w:val="ECHRBullet1"/>
    <w:uiPriority w:val="23"/>
    <w:semiHidden/>
    <w:rsid w:val="008E5445"/>
    <w:pPr>
      <w:numPr>
        <w:ilvl w:val="1"/>
      </w:numPr>
    </w:pPr>
  </w:style>
  <w:style w:type="paragraph" w:customStyle="1" w:styleId="ECHRBullet3">
    <w:name w:val="ECHR_Bullet_3"/>
    <w:aliases w:val="_Bul_3"/>
    <w:basedOn w:val="ECHRBullet2"/>
    <w:uiPriority w:val="23"/>
    <w:semiHidden/>
    <w:rsid w:val="008E5445"/>
    <w:pPr>
      <w:numPr>
        <w:ilvl w:val="2"/>
      </w:numPr>
    </w:pPr>
  </w:style>
  <w:style w:type="paragraph" w:customStyle="1" w:styleId="ECHRBullet4">
    <w:name w:val="ECHR_Bullet_4"/>
    <w:aliases w:val="_Bul_4"/>
    <w:basedOn w:val="ECHRBullet3"/>
    <w:uiPriority w:val="23"/>
    <w:semiHidden/>
    <w:rsid w:val="008E5445"/>
    <w:pPr>
      <w:numPr>
        <w:ilvl w:val="3"/>
      </w:numPr>
    </w:pPr>
  </w:style>
  <w:style w:type="paragraph" w:customStyle="1" w:styleId="ECHRConfidential">
    <w:name w:val="ECHR_Confidential"/>
    <w:aliases w:val="_Confidential"/>
    <w:basedOn w:val="Normal"/>
    <w:next w:val="Normal"/>
    <w:uiPriority w:val="42"/>
    <w:semiHidden/>
    <w:qFormat/>
    <w:rsid w:val="008E5445"/>
    <w:pPr>
      <w:jc w:val="right"/>
    </w:pPr>
    <w:rPr>
      <w:color w:val="C00000"/>
      <w:sz w:val="20"/>
    </w:rPr>
  </w:style>
  <w:style w:type="paragraph" w:customStyle="1" w:styleId="ECHRDecisionBody">
    <w:name w:val="ECHR_Decision_Body"/>
    <w:aliases w:val="_Decision_Body"/>
    <w:basedOn w:val="NormalJustified"/>
    <w:uiPriority w:val="54"/>
    <w:semiHidden/>
    <w:rsid w:val="008E544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E544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E5445"/>
    <w:rPr>
      <w:rFonts w:ascii="Arial" w:hAnsi="Arial"/>
      <w:i/>
      <w:color w:val="002856"/>
      <w:sz w:val="32"/>
      <w:szCs w:val="24"/>
      <w:lang w:val="ro-RO"/>
    </w:rPr>
  </w:style>
  <w:style w:type="paragraph" w:customStyle="1" w:styleId="DummyStyle">
    <w:name w:val="Dummy_Style"/>
    <w:aliases w:val="_Dummy"/>
    <w:basedOn w:val="Normal"/>
    <w:semiHidden/>
    <w:qFormat/>
    <w:rsid w:val="008E5445"/>
    <w:rPr>
      <w:color w:val="00B050"/>
      <w:sz w:val="22"/>
    </w:rPr>
  </w:style>
  <w:style w:type="paragraph" w:customStyle="1" w:styleId="ECHRFooterLineLandscape">
    <w:name w:val="ECHR_Footer_Line_Landscape"/>
    <w:aliases w:val="_Footer_Line_Landscape"/>
    <w:basedOn w:val="Normal"/>
    <w:uiPriority w:val="29"/>
    <w:semiHidden/>
    <w:rsid w:val="008E544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8E5445"/>
    <w:pPr>
      <w:ind w:left="567" w:hanging="567"/>
    </w:pPr>
  </w:style>
  <w:style w:type="paragraph" w:customStyle="1" w:styleId="ECHRHeading9">
    <w:name w:val="ECHR_Heading_9"/>
    <w:aliases w:val="_Head_9"/>
    <w:basedOn w:val="Heading9"/>
    <w:uiPriority w:val="17"/>
    <w:semiHidden/>
    <w:rsid w:val="008E5445"/>
    <w:pPr>
      <w:keepNext/>
      <w:keepLines/>
      <w:numPr>
        <w:ilvl w:val="8"/>
        <w:numId w:val="1"/>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8E5445"/>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8E5445"/>
    <w:pPr>
      <w:spacing w:before="120" w:after="120"/>
      <w:ind w:left="567"/>
    </w:pPr>
  </w:style>
  <w:style w:type="paragraph" w:customStyle="1" w:styleId="ECHRLine">
    <w:name w:val="ECHR_Line"/>
    <w:aliases w:val="_Line"/>
    <w:basedOn w:val="NormalJustified"/>
    <w:next w:val="Normal"/>
    <w:uiPriority w:val="46"/>
    <w:semiHidden/>
    <w:rsid w:val="008E5445"/>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8E5445"/>
    <w:pPr>
      <w:numPr>
        <w:numId w:val="0"/>
      </w:numPr>
      <w:ind w:left="284"/>
    </w:pPr>
  </w:style>
  <w:style w:type="paragraph" w:customStyle="1" w:styleId="ECHRNumberedList1">
    <w:name w:val="ECHR_Numbered_List_1"/>
    <w:aliases w:val="_Num_1"/>
    <w:basedOn w:val="NormalJustified"/>
    <w:uiPriority w:val="23"/>
    <w:semiHidden/>
    <w:qFormat/>
    <w:rsid w:val="008E5445"/>
    <w:pPr>
      <w:numPr>
        <w:numId w:val="7"/>
      </w:numPr>
      <w:spacing w:before="60" w:after="60"/>
    </w:pPr>
  </w:style>
  <w:style w:type="paragraph" w:customStyle="1" w:styleId="ECHRNumberedList2">
    <w:name w:val="ECHR_Numbered_List_2"/>
    <w:aliases w:val="_Num_2"/>
    <w:basedOn w:val="ECHRNumberedList1"/>
    <w:uiPriority w:val="23"/>
    <w:semiHidden/>
    <w:rsid w:val="008E5445"/>
    <w:pPr>
      <w:numPr>
        <w:ilvl w:val="1"/>
      </w:numPr>
    </w:pPr>
  </w:style>
  <w:style w:type="paragraph" w:customStyle="1" w:styleId="ECHRNumberedList3">
    <w:name w:val="ECHR_Numbered_List_3"/>
    <w:aliases w:val="_Num_3"/>
    <w:basedOn w:val="ECHRNumberedList2"/>
    <w:uiPriority w:val="23"/>
    <w:semiHidden/>
    <w:rsid w:val="008E5445"/>
    <w:pPr>
      <w:numPr>
        <w:ilvl w:val="2"/>
      </w:numPr>
    </w:pPr>
  </w:style>
  <w:style w:type="paragraph" w:customStyle="1" w:styleId="ECHRPlaceholder">
    <w:name w:val="ECHR_Placeholder"/>
    <w:aliases w:val="_Placeholder"/>
    <w:basedOn w:val="JuSigned"/>
    <w:uiPriority w:val="31"/>
    <w:rsid w:val="008E5445"/>
    <w:rPr>
      <w:color w:val="FFFFFF"/>
    </w:rPr>
  </w:style>
  <w:style w:type="character" w:customStyle="1" w:styleId="ECHRRed">
    <w:name w:val="ECHR_Red"/>
    <w:aliases w:val="_Red"/>
    <w:basedOn w:val="DefaultParagraphFont"/>
    <w:uiPriority w:val="15"/>
    <w:semiHidden/>
    <w:qFormat/>
    <w:rsid w:val="008E5445"/>
    <w:rPr>
      <w:color w:val="C00000" w:themeColor="accent2"/>
    </w:rPr>
  </w:style>
  <w:style w:type="paragraph" w:customStyle="1" w:styleId="ECHRHeaderDate">
    <w:name w:val="ECHR_Header_Date"/>
    <w:aliases w:val="_Ref_Date"/>
    <w:basedOn w:val="Normal"/>
    <w:uiPriority w:val="44"/>
    <w:semiHidden/>
    <w:qFormat/>
    <w:rsid w:val="008E5445"/>
    <w:pPr>
      <w:jc w:val="right"/>
    </w:pPr>
    <w:rPr>
      <w:sz w:val="20"/>
    </w:rPr>
  </w:style>
  <w:style w:type="paragraph" w:customStyle="1" w:styleId="ECHRHeaderRefIt">
    <w:name w:val="ECHR_Header_Ref_It"/>
    <w:aliases w:val="_Ref_Ital"/>
    <w:basedOn w:val="Normal"/>
    <w:next w:val="ECHRHeaderDate"/>
    <w:uiPriority w:val="43"/>
    <w:semiHidden/>
    <w:qFormat/>
    <w:rsid w:val="008E5445"/>
    <w:pPr>
      <w:jc w:val="right"/>
    </w:pPr>
    <w:rPr>
      <w:i/>
      <w:sz w:val="20"/>
    </w:rPr>
  </w:style>
  <w:style w:type="paragraph" w:customStyle="1" w:styleId="ECHRSpacer">
    <w:name w:val="ECHR_Spacer"/>
    <w:aliases w:val="_Spacer"/>
    <w:basedOn w:val="Normal"/>
    <w:uiPriority w:val="45"/>
    <w:semiHidden/>
    <w:rsid w:val="008E5445"/>
    <w:rPr>
      <w:sz w:val="4"/>
    </w:rPr>
  </w:style>
  <w:style w:type="paragraph" w:customStyle="1" w:styleId="ECHRTitleCentre1">
    <w:name w:val="ECHR_Title_Centre_1"/>
    <w:aliases w:val="_Title_C_1"/>
    <w:basedOn w:val="Normal"/>
    <w:next w:val="Normal"/>
    <w:uiPriority w:val="26"/>
    <w:semiHidden/>
    <w:qFormat/>
    <w:rsid w:val="008E544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8E544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8E544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8E5445"/>
    <w:pPr>
      <w:outlineLvl w:val="0"/>
    </w:pPr>
  </w:style>
  <w:style w:type="paragraph" w:customStyle="1" w:styleId="ECHRTitle1">
    <w:name w:val="ECHR_Title_1"/>
    <w:aliases w:val="_Title_L_1"/>
    <w:basedOn w:val="Normal"/>
    <w:next w:val="Normal"/>
    <w:uiPriority w:val="28"/>
    <w:semiHidden/>
    <w:qFormat/>
    <w:rsid w:val="008E544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8E544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8E544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8E5445"/>
    <w:pPr>
      <w:outlineLvl w:val="0"/>
    </w:pPr>
  </w:style>
  <w:style w:type="table" w:customStyle="1" w:styleId="ECHRTable2">
    <w:name w:val="ECHR_Table_2"/>
    <w:basedOn w:val="TableNormal"/>
    <w:uiPriority w:val="99"/>
    <w:rsid w:val="008E544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E544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8E544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styleId="GridTable1Light">
    <w:name w:val="Grid Table 1 Light"/>
    <w:basedOn w:val="TableNormal"/>
    <w:uiPriority w:val="46"/>
    <w:semiHidden/>
    <w:rsid w:val="008E54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8E544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8E544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8E5445"/>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8E544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8E544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8E544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8E54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8E544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8E544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8E5445"/>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8E544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8E544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8E544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8E54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8E54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8E54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8E54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8E54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8E54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8E54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8E54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8E54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8E54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8E54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8E54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8E54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8E54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8E54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8E544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8E544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8E544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8E544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8E544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8E544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8E54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8E544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8E544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8E544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8E544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8E544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8E544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8E5445"/>
    <w:rPr>
      <w:color w:val="2B579A"/>
      <w:shd w:val="clear" w:color="auto" w:fill="E1DFDD"/>
    </w:rPr>
  </w:style>
  <w:style w:type="table" w:styleId="ListTable1Light">
    <w:name w:val="List Table 1 Light"/>
    <w:basedOn w:val="TableNormal"/>
    <w:uiPriority w:val="46"/>
    <w:semiHidden/>
    <w:rsid w:val="008E54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8E544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8E544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8E5445"/>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8E544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8E544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8E544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8E54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8E544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8E544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8E5445"/>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8E544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8E544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8E544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8E54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8E544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8E544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8E5445"/>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8E544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8E544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8E544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8E54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8E54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8E54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8E54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8E54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8E54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8E54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8E5445"/>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8E5445"/>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8E5445"/>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8E5445"/>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8E5445"/>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8E5445"/>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8E5445"/>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8E54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8E544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8E544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8E5445"/>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8E544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8E544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8E544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8E544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8E544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8E544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8E5445"/>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8E544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8E544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8E544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8E5445"/>
    <w:rPr>
      <w:color w:val="2B579A"/>
      <w:shd w:val="clear" w:color="auto" w:fill="E1DFDD"/>
    </w:rPr>
  </w:style>
  <w:style w:type="table" w:styleId="PlainTable1">
    <w:name w:val="Plain Table 1"/>
    <w:basedOn w:val="TableNormal"/>
    <w:uiPriority w:val="41"/>
    <w:semiHidden/>
    <w:rsid w:val="008E5445"/>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8E54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8E54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8E54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8E54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8E5445"/>
    <w:rPr>
      <w:u w:val="dotted"/>
    </w:rPr>
  </w:style>
  <w:style w:type="character" w:customStyle="1" w:styleId="SmartLink">
    <w:name w:val="Smart Link"/>
    <w:basedOn w:val="DefaultParagraphFont"/>
    <w:uiPriority w:val="99"/>
    <w:semiHidden/>
    <w:unhideWhenUsed/>
    <w:rsid w:val="008E5445"/>
    <w:rPr>
      <w:color w:val="0000FF"/>
      <w:u w:val="single"/>
      <w:shd w:val="clear" w:color="auto" w:fill="F3F2F1"/>
    </w:rPr>
  </w:style>
  <w:style w:type="table" w:styleId="TableGridLight">
    <w:name w:val="Grid Table Light"/>
    <w:basedOn w:val="TableNormal"/>
    <w:uiPriority w:val="40"/>
    <w:semiHidden/>
    <w:rsid w:val="008E5445"/>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
    <w:name w:val="Unresolved Mention"/>
    <w:basedOn w:val="DefaultParagraphFont"/>
    <w:uiPriority w:val="99"/>
    <w:semiHidden/>
    <w:unhideWhenUsed/>
    <w:rsid w:val="008E5445"/>
    <w:rPr>
      <w:color w:val="605E5C"/>
      <w:shd w:val="clear" w:color="auto" w:fill="E1DFDD"/>
    </w:rPr>
  </w:style>
  <w:style w:type="character" w:customStyle="1" w:styleId="sbb9ee52a">
    <w:name w:val="sbb9ee52a"/>
    <w:basedOn w:val="DefaultParagraphFont"/>
    <w:rsid w:val="008A7D3C"/>
  </w:style>
  <w:style w:type="character" w:customStyle="1" w:styleId="ECHRParaChar">
    <w:name w:val="ECHR_Para Char"/>
    <w:aliases w:val="Ju_Para Char,_Para Char"/>
    <w:link w:val="JuPara"/>
    <w:uiPriority w:val="4"/>
    <w:rsid w:val="00792D83"/>
    <w:rPr>
      <w:sz w:val="24"/>
      <w:szCs w:val="24"/>
      <w:lang w:val="ro-RO"/>
    </w:rPr>
  </w:style>
  <w:style w:type="paragraph" w:styleId="Revision">
    <w:name w:val="Revision"/>
    <w:hidden/>
    <w:uiPriority w:val="99"/>
    <w:semiHidden/>
    <w:rsid w:val="005815B8"/>
    <w:rPr>
      <w:sz w:val="24"/>
      <w:szCs w:val="24"/>
    </w:rPr>
  </w:style>
  <w:style w:type="paragraph" w:customStyle="1" w:styleId="s9793a85b">
    <w:name w:val="s9793a85b"/>
    <w:basedOn w:val="Normal"/>
    <w:rsid w:val="00782F1C"/>
    <w:pPr>
      <w:spacing w:before="100" w:beforeAutospacing="1" w:after="100" w:afterAutospacing="1"/>
    </w:pPr>
    <w:rPr>
      <w:rFonts w:ascii="Times New Roman" w:eastAsia="Times New Roman" w:hAnsi="Times New Roman" w:cs="Times New Roman"/>
      <w:lang w:eastAsia="fr-FR"/>
    </w:rPr>
  </w:style>
  <w:style w:type="character" w:customStyle="1" w:styleId="sa36b60a1">
    <w:name w:val="sa36b60a1"/>
    <w:basedOn w:val="DefaultParagraphFont"/>
    <w:rsid w:val="00782F1C"/>
  </w:style>
  <w:style w:type="character" w:customStyle="1" w:styleId="s83be5c30">
    <w:name w:val="s83be5c30"/>
    <w:basedOn w:val="DefaultParagraphFont"/>
    <w:rsid w:val="007A22BD"/>
  </w:style>
  <w:style w:type="character" w:customStyle="1" w:styleId="cf01">
    <w:name w:val="cf01"/>
    <w:basedOn w:val="DefaultParagraphFont"/>
    <w:rsid w:val="00361A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 P 1 6 D F 0 1 < / C o d e >  
     < T i t l e > P 1 6 D F 0 1   A v i s   c o n s u l t a t i f   D e c i s i o n < / T i t l e >  
     < L a n g u a g e s >  
         < s t r i n g > F R E < / s t r i n g >  
     < / L a n g u a g e s >  
     < T h e m e > A D V _ O P I < / T h e m e >  
     < T y p e > C O M M O N _ D O C < / T y p e >  
     < C a t e g o r y > O T H E R < / C a t e g o r y >  
     < D e s c r i p t i o n > P 1 6 D E 0 1   A d v i s o r y   o p i n i o n .   ( D r a f t )   D e c i s i o n . < / D e s c r i p t i o n >  
     < I n s t r u c t i o n s > F o l l o w   u p   l i s t :   # 5 2 6 1 3 7 2 .   M a n u a l :   # 5 9 0 9 7 3 9 < / I n s t r u c t i o n s >  
     < W a r n i n g s / >  
     < I s L e g a l T e m p l a t e > f a l s e < / I s L e g a l T e m p l a t e >  
     < I n d e x D a t e   x s i : n i l = " t r u e " / >  
     < E d i t D a t e   x s i : n i l = " t r u e " / >  
     < T a g s >  
         < s t r i n g > p r o j e t < / s t r i n g >  
         < s t r i n g > d e c i s i o n < / s t r i n g >  
         < s t r i n g > a v i s < / s t r i n g >  
         < s t r i n g > c o n s u l t a t i f < / s t r i n g >  
     < / T a g s > 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711AB-7B8E-47BA-A9A9-4A8993E64560}">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0A553730-DD68-472E-8FD7-2267ECCF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3792</Words>
  <Characters>21995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Decizie de aviz consultativ - art. 8 din Conventie</dc:title>
  <dc:subject>DC</dc:subject>
  <dc:creator/>
  <cp:lastModifiedBy/>
  <cp:revision>1</cp:revision>
  <cp:lastPrinted>2024-12-04T11:50:00Z</cp:lastPrinted>
  <dcterms:created xsi:type="dcterms:W3CDTF">2024-12-20T08:40:00Z</dcterms:created>
  <dcterms:modified xsi:type="dcterms:W3CDTF">2025-01-03T08:12:00Z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ies>
</file>