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284" w:rsidRPr="001D655C" w:rsidRDefault="00A26284" w:rsidP="001D655C">
      <w:pPr>
        <w:jc w:val="center"/>
        <w:rPr>
          <w:lang w:val="fr-FR"/>
        </w:rPr>
      </w:pPr>
    </w:p>
    <w:p w:rsidR="003E0E31" w:rsidRPr="001D655C" w:rsidRDefault="002F2F08" w:rsidP="002F2F08">
      <w:pPr>
        <w:jc w:val="center"/>
      </w:pPr>
      <w:r>
        <w:t>CURTEA EUROPEANĂ A DREPTURILOR OMULUI</w:t>
      </w:r>
    </w:p>
    <w:p w:rsidR="003E0E31" w:rsidRPr="001D655C" w:rsidRDefault="003E0E31" w:rsidP="001D655C">
      <w:pPr>
        <w:jc w:val="center"/>
        <w:rPr>
          <w:lang w:val="fr-FR"/>
        </w:rPr>
      </w:pPr>
    </w:p>
    <w:p w:rsidR="00A26284" w:rsidRPr="001D655C" w:rsidRDefault="003E0E31" w:rsidP="001D655C">
      <w:pPr>
        <w:jc w:val="center"/>
      </w:pPr>
      <w:r>
        <w:t>FOSTA SECȚIE A TREIA</w:t>
      </w:r>
    </w:p>
    <w:p w:rsidR="003E0E31" w:rsidRPr="001D655C" w:rsidRDefault="003E0E31" w:rsidP="001D655C">
      <w:pPr>
        <w:jc w:val="center"/>
        <w:rPr>
          <w:lang w:val="fr-FR"/>
        </w:rPr>
      </w:pPr>
    </w:p>
    <w:p w:rsidR="003E0E31" w:rsidRPr="001D655C" w:rsidRDefault="003E0E31" w:rsidP="001D655C">
      <w:pPr>
        <w:jc w:val="center"/>
        <w:rPr>
          <w:lang w:val="fr-FR"/>
        </w:rPr>
      </w:pPr>
    </w:p>
    <w:p w:rsidR="003E0E31" w:rsidRPr="001D655C" w:rsidRDefault="003E0E31" w:rsidP="001D655C">
      <w:pPr>
        <w:jc w:val="center"/>
        <w:rPr>
          <w:lang w:val="fr-FR"/>
        </w:rPr>
      </w:pPr>
    </w:p>
    <w:p w:rsidR="003E0E31" w:rsidRPr="001D655C" w:rsidRDefault="003E0E31" w:rsidP="001D655C">
      <w:pPr>
        <w:jc w:val="center"/>
        <w:rPr>
          <w:lang w:val="fr-FR"/>
        </w:rPr>
      </w:pPr>
    </w:p>
    <w:p w:rsidR="003E0E31" w:rsidRPr="001D655C" w:rsidRDefault="003E0E31" w:rsidP="001D655C">
      <w:pPr>
        <w:jc w:val="center"/>
        <w:rPr>
          <w:lang w:val="fr-FR"/>
        </w:rPr>
      </w:pPr>
    </w:p>
    <w:p w:rsidR="00A26284" w:rsidRPr="001D655C" w:rsidRDefault="00A26284" w:rsidP="001D655C">
      <w:pPr>
        <w:jc w:val="center"/>
        <w:rPr>
          <w:b/>
        </w:rPr>
      </w:pPr>
      <w:r>
        <w:rPr>
          <w:b/>
        </w:rPr>
        <w:t>CAUZA PETROIU ÎMPOTRIVA ROMÂNIEI</w:t>
      </w:r>
    </w:p>
    <w:p w:rsidR="00A26284" w:rsidRPr="001D655C" w:rsidRDefault="00A26284" w:rsidP="001D655C">
      <w:pPr>
        <w:jc w:val="center"/>
        <w:rPr>
          <w:lang w:val="fr-FR"/>
        </w:rPr>
      </w:pPr>
    </w:p>
    <w:p w:rsidR="003E0E31" w:rsidRPr="001D655C" w:rsidRDefault="00A26284" w:rsidP="001D655C">
      <w:pPr>
        <w:jc w:val="center"/>
        <w:rPr>
          <w:szCs w:val="24"/>
        </w:rPr>
      </w:pPr>
      <w:r>
        <w:rPr>
          <w:i/>
        </w:rPr>
        <w:t>(Cererea nr. 33055/09)</w:t>
      </w:r>
    </w:p>
    <w:p w:rsidR="003E0E31" w:rsidRPr="001D655C" w:rsidRDefault="003E0E31" w:rsidP="001D655C">
      <w:pPr>
        <w:jc w:val="center"/>
        <w:rPr>
          <w:lang w:val="fr-FR"/>
        </w:rPr>
      </w:pPr>
    </w:p>
    <w:p w:rsidR="003E0E31" w:rsidRPr="001D655C" w:rsidRDefault="003E0E31" w:rsidP="001D655C">
      <w:pPr>
        <w:jc w:val="center"/>
        <w:rPr>
          <w:lang w:val="fr-FR"/>
        </w:rPr>
      </w:pPr>
    </w:p>
    <w:p w:rsidR="003E0E31" w:rsidRPr="001D655C" w:rsidRDefault="003E0E31" w:rsidP="001D655C">
      <w:pPr>
        <w:jc w:val="center"/>
        <w:rPr>
          <w:lang w:val="fr-FR"/>
        </w:rPr>
      </w:pPr>
    </w:p>
    <w:p w:rsidR="003E0E31" w:rsidRPr="001D655C" w:rsidRDefault="003E0E31" w:rsidP="001D655C">
      <w:pPr>
        <w:jc w:val="center"/>
        <w:rPr>
          <w:szCs w:val="24"/>
        </w:rPr>
      </w:pPr>
      <w:r>
        <w:t>HOTĂRÂRE</w:t>
      </w:r>
    </w:p>
    <w:p w:rsidR="003E0E31" w:rsidRPr="001D655C" w:rsidRDefault="003E0E31" w:rsidP="001D655C">
      <w:pPr>
        <w:jc w:val="center"/>
        <w:rPr>
          <w:szCs w:val="24"/>
        </w:rPr>
      </w:pPr>
      <w:r>
        <w:rPr>
          <w:rFonts w:ascii="Times New Roman" w:hAnsi="Times New Roman"/>
          <w:color w:val="000000"/>
        </w:rPr>
        <w:t>(Revizuire)</w:t>
      </w:r>
    </w:p>
    <w:p w:rsidR="003E0E31" w:rsidRPr="001D655C" w:rsidRDefault="003E0E31" w:rsidP="001D655C">
      <w:pPr>
        <w:jc w:val="center"/>
        <w:rPr>
          <w:b/>
          <w:szCs w:val="24"/>
          <w:lang w:val="fr-FR"/>
        </w:rPr>
      </w:pPr>
    </w:p>
    <w:p w:rsidR="003E0E31" w:rsidRPr="001D655C" w:rsidRDefault="003E0E31" w:rsidP="001D655C">
      <w:pPr>
        <w:jc w:val="center"/>
        <w:rPr>
          <w:b/>
          <w:szCs w:val="24"/>
          <w:lang w:val="fr-FR"/>
        </w:rPr>
      </w:pPr>
    </w:p>
    <w:p w:rsidR="003E0E31" w:rsidRPr="001D655C" w:rsidRDefault="003E0E31" w:rsidP="001D655C">
      <w:pPr>
        <w:jc w:val="center"/>
        <w:rPr>
          <w:b/>
          <w:szCs w:val="24"/>
          <w:lang w:val="fr-FR"/>
        </w:rPr>
      </w:pPr>
    </w:p>
    <w:p w:rsidR="003E0E31" w:rsidRPr="001D655C" w:rsidRDefault="003E0E31" w:rsidP="001D655C">
      <w:pPr>
        <w:jc w:val="center"/>
        <w:rPr>
          <w:szCs w:val="24"/>
        </w:rPr>
      </w:pPr>
      <w:r>
        <w:t>STRASBOURG</w:t>
      </w:r>
    </w:p>
    <w:p w:rsidR="003E0E31" w:rsidRPr="001D655C" w:rsidRDefault="003E0E31" w:rsidP="001D655C">
      <w:pPr>
        <w:jc w:val="center"/>
        <w:rPr>
          <w:szCs w:val="24"/>
          <w:lang w:val="fr-FR"/>
        </w:rPr>
      </w:pPr>
    </w:p>
    <w:p w:rsidR="003E0E31" w:rsidRPr="001D655C" w:rsidRDefault="00152B2A" w:rsidP="001D655C">
      <w:pPr>
        <w:jc w:val="center"/>
        <w:rPr>
          <w:szCs w:val="24"/>
        </w:rPr>
      </w:pPr>
      <w:r>
        <w:t>7 februarie 2017</w:t>
      </w:r>
    </w:p>
    <w:p w:rsidR="003E0E31" w:rsidRPr="001D655C" w:rsidRDefault="003E0E31" w:rsidP="001D655C">
      <w:pPr>
        <w:jc w:val="center"/>
        <w:rPr>
          <w:b/>
          <w:szCs w:val="24"/>
          <w:lang w:val="fr-FR"/>
        </w:rPr>
      </w:pPr>
    </w:p>
    <w:p w:rsidR="001D655C" w:rsidRPr="001D655C" w:rsidRDefault="001D655C" w:rsidP="001D655C">
      <w:pPr>
        <w:pStyle w:val="jucase0"/>
        <w:ind w:firstLine="0"/>
        <w:jc w:val="center"/>
        <w:rPr>
          <w:color w:val="FF0000"/>
          <w:sz w:val="28"/>
          <w:szCs w:val="28"/>
          <w:u w:val="single"/>
        </w:rPr>
      </w:pPr>
      <w:r>
        <w:rPr>
          <w:color w:val="FF0000"/>
          <w:sz w:val="28"/>
          <w:u w:val="single"/>
        </w:rPr>
        <w:t>DEFINITIVĂ</w:t>
      </w:r>
    </w:p>
    <w:p w:rsidR="001D655C" w:rsidRPr="001D655C" w:rsidRDefault="001D655C" w:rsidP="001D655C">
      <w:pPr>
        <w:pStyle w:val="jupara"/>
        <w:tabs>
          <w:tab w:val="left" w:pos="3450"/>
        </w:tabs>
        <w:ind w:firstLine="0"/>
        <w:jc w:val="center"/>
        <w:rPr>
          <w:color w:val="FF0000"/>
          <w:sz w:val="28"/>
          <w:szCs w:val="28"/>
          <w:lang w:val="fr-FR"/>
        </w:rPr>
      </w:pPr>
    </w:p>
    <w:p w:rsidR="001D655C" w:rsidRDefault="001D655C" w:rsidP="001D655C">
      <w:pPr>
        <w:pStyle w:val="jupara"/>
        <w:ind w:firstLine="0"/>
        <w:jc w:val="center"/>
        <w:rPr>
          <w:color w:val="FF0000"/>
          <w:sz w:val="28"/>
        </w:rPr>
      </w:pPr>
      <w:r>
        <w:rPr>
          <w:color w:val="FF0000"/>
          <w:sz w:val="28"/>
        </w:rPr>
        <w:t>3 iulie 2017</w:t>
      </w:r>
    </w:p>
    <w:p w:rsidR="00B70256" w:rsidRPr="001D655C" w:rsidRDefault="00B70256" w:rsidP="001D655C">
      <w:pPr>
        <w:pStyle w:val="jupara"/>
        <w:ind w:firstLine="0"/>
        <w:jc w:val="center"/>
        <w:rPr>
          <w:color w:val="FF0000"/>
          <w:sz w:val="28"/>
          <w:szCs w:val="28"/>
        </w:rPr>
      </w:pPr>
    </w:p>
    <w:p w:rsidR="001D655C" w:rsidRDefault="001D655C" w:rsidP="00B70256">
      <w:pPr>
        <w:rPr>
          <w:i/>
          <w:sz w:val="22"/>
        </w:rPr>
      </w:pPr>
      <w:r>
        <w:rPr>
          <w:i/>
          <w:sz w:val="22"/>
        </w:rPr>
        <w:t>Hotărârea a rămas definitivă în temeiul art. 44 § 2 din Convenție. Poate suferi modificări de formă.</w:t>
      </w:r>
    </w:p>
    <w:p w:rsidR="00B70256" w:rsidRPr="001D655C" w:rsidRDefault="00B70256" w:rsidP="00B70256">
      <w:pPr>
        <w:rPr>
          <w:i/>
          <w:iCs/>
          <w:sz w:val="22"/>
        </w:rPr>
      </w:pPr>
    </w:p>
    <w:p w:rsidR="003E0E31" w:rsidRPr="001D655C" w:rsidRDefault="003E0E31" w:rsidP="00B70256">
      <w:pPr>
        <w:pStyle w:val="JuCase"/>
        <w:ind w:firstLine="0"/>
        <w:rPr>
          <w:lang w:val="fr-FR"/>
        </w:rPr>
        <w:sectPr w:rsidR="003E0E31" w:rsidRPr="001D655C" w:rsidSect="00B70256">
          <w:headerReference w:type="default" r:id="rId11"/>
          <w:headerReference w:type="first" r:id="rId12"/>
          <w:footerReference w:type="first" r:id="rId13"/>
          <w:footnotePr>
            <w:numRestart w:val="eachSect"/>
          </w:footnotePr>
          <w:pgSz w:w="11906" w:h="16838" w:code="9"/>
          <w:pgMar w:top="2274" w:right="2274" w:bottom="2274" w:left="2274" w:header="1701" w:footer="720" w:gutter="0"/>
          <w:pgNumType w:start="1"/>
          <w:cols w:space="720"/>
          <w:titlePg/>
          <w:docGrid w:linePitch="326"/>
        </w:sectPr>
      </w:pPr>
    </w:p>
    <w:p w:rsidR="00A26284" w:rsidRPr="001D655C" w:rsidRDefault="00A26284" w:rsidP="00B70256">
      <w:pPr>
        <w:pStyle w:val="JuCase"/>
        <w:pageBreakBefore/>
        <w:ind w:firstLine="0"/>
      </w:pPr>
      <w:r>
        <w:lastRenderedPageBreak/>
        <w:t>În cauza Petroiu împotriva României (cerere de revizuire a hotărârilor din 24 noiembrie 2009 și 25 martie 2014),</w:t>
      </w:r>
    </w:p>
    <w:p w:rsidR="00A26284" w:rsidRPr="001D655C" w:rsidRDefault="00A26284" w:rsidP="001D655C">
      <w:pPr>
        <w:pStyle w:val="ECHRPara"/>
      </w:pPr>
      <w:r>
        <w:t>Curtea Europeană a Drepturilor Omului (fosta Secție a treia), reunită într-o cameră compusă din:</w:t>
      </w:r>
    </w:p>
    <w:p w:rsidR="00A26284" w:rsidRPr="001D655C" w:rsidRDefault="00152B2A" w:rsidP="001D655C">
      <w:pPr>
        <w:pStyle w:val="ECHRDecisionBody"/>
      </w:pPr>
      <w:r>
        <w:tab/>
        <w:t>Luis López Guerra,</w:t>
      </w:r>
      <w:r>
        <w:rPr>
          <w:i/>
        </w:rPr>
        <w:t xml:space="preserve"> președinte,</w:t>
      </w:r>
      <w:r>
        <w:rPr>
          <w:i/>
        </w:rPr>
        <w:br/>
      </w:r>
      <w:r>
        <w:tab/>
        <w:t>Kristina Pardalos,</w:t>
      </w:r>
      <w:r>
        <w:rPr>
          <w:i/>
        </w:rPr>
        <w:br/>
      </w:r>
      <w:r>
        <w:tab/>
        <w:t>Helen Keller,</w:t>
      </w:r>
      <w:r>
        <w:rPr>
          <w:i/>
        </w:rPr>
        <w:br/>
      </w:r>
      <w:r>
        <w:tab/>
        <w:t>Iulia Motoc,</w:t>
      </w:r>
      <w:r>
        <w:rPr>
          <w:i/>
        </w:rPr>
        <w:br/>
      </w:r>
      <w:r>
        <w:tab/>
        <w:t>Branko Lubarda,</w:t>
      </w:r>
      <w:r>
        <w:rPr>
          <w:i/>
        </w:rPr>
        <w:br/>
      </w:r>
      <w:r>
        <w:tab/>
        <w:t>Pere Pastor Vilanova,</w:t>
      </w:r>
      <w:r>
        <w:rPr>
          <w:i/>
        </w:rPr>
        <w:br/>
      </w:r>
      <w:r>
        <w:tab/>
        <w:t>Georgios A. Serghides,</w:t>
      </w:r>
      <w:r>
        <w:rPr>
          <w:i/>
        </w:rPr>
        <w:t xml:space="preserve"> judecători,</w:t>
      </w:r>
      <w:r>
        <w:br/>
        <w:t xml:space="preserve">și Stephen Phillips, </w:t>
      </w:r>
      <w:r>
        <w:rPr>
          <w:i/>
        </w:rPr>
        <w:t>grefier de secție</w:t>
      </w:r>
      <w:r>
        <w:t>,</w:t>
      </w:r>
    </w:p>
    <w:p w:rsidR="00A26284" w:rsidRPr="001D655C" w:rsidRDefault="00A26284" w:rsidP="001D655C">
      <w:pPr>
        <w:pStyle w:val="ECHRPara"/>
      </w:pPr>
      <w:r>
        <w:t>după ce a deliberat în camera de consiliu, la 17 ianuarie 2017,</w:t>
      </w:r>
    </w:p>
    <w:p w:rsidR="00A26284" w:rsidRPr="001D655C" w:rsidRDefault="00A26284" w:rsidP="001D655C">
      <w:pPr>
        <w:pStyle w:val="ECHRPara"/>
      </w:pPr>
      <w:r>
        <w:t>pronunță prezenta hotărâre, adoptată la aceeași dată:</w:t>
      </w:r>
    </w:p>
    <w:p w:rsidR="00A26284" w:rsidRPr="001D655C" w:rsidRDefault="00A26284" w:rsidP="001D655C">
      <w:pPr>
        <w:pStyle w:val="ECHRTitle1"/>
      </w:pPr>
      <w:r>
        <w:t>PROCEDURA</w:t>
      </w:r>
    </w:p>
    <w:p w:rsidR="004D2086" w:rsidRPr="001D655C" w:rsidRDefault="004D2086" w:rsidP="001D655C">
      <w:pPr>
        <w:pStyle w:val="ECHRPara"/>
      </w:pPr>
      <w:fldSimple w:instr=" SEQ level0 \*arabic ">
        <w:r w:rsidR="00B70256">
          <w:rPr>
            <w:noProof/>
          </w:rPr>
          <w:t>1</w:t>
        </w:r>
      </w:fldSimple>
      <w:r>
        <w:t>.  La originea cauzei se află o cerere (nr. 33055/09) îndreptată împotriva României, prin care o resortisantă a acestui stat, doamna Florica</w:t>
      </w:r>
      <w:r>
        <w:noBreakHyphen/>
        <w:t>Maria Petroiu („reclamanta”), a sesizat Curtea la 5 august 2005, în temeiul art. 34 din Convenția pentru apărarea drepturilor omului și a libertăților fundamentale („Convenția”).</w:t>
      </w:r>
    </w:p>
    <w:bookmarkStart w:id="0" w:name="data_comunicarii"/>
    <w:p w:rsidR="00107079" w:rsidRPr="001D655C" w:rsidRDefault="00107079" w:rsidP="001D655C">
      <w:pPr>
        <w:pStyle w:val="ECHRPara"/>
      </w:pPr>
      <w:r w:rsidRPr="001D655C">
        <w:fldChar w:fldCharType="begin"/>
      </w:r>
      <w:r w:rsidRPr="001D655C">
        <w:instrText xml:space="preserve"> SEQ level0 \*arabic </w:instrText>
      </w:r>
      <w:r w:rsidRPr="001D655C">
        <w:fldChar w:fldCharType="separate"/>
      </w:r>
      <w:r w:rsidR="00B70256">
        <w:rPr>
          <w:noProof/>
        </w:rPr>
        <w:t>2</w:t>
      </w:r>
      <w:r w:rsidRPr="001D655C">
        <w:fldChar w:fldCharType="end"/>
      </w:r>
      <w:bookmarkEnd w:id="0"/>
      <w:r>
        <w:t>.  La 10 noiembrie 2006, cauza a fost comunicată guvernului pârât („Guvernul”), care și-a prezentat observațiile cu privire la admisibilitatea și fondul cererii la 13 aprilie 2007.</w:t>
      </w:r>
    </w:p>
    <w:p w:rsidR="00ED0A1D" w:rsidRPr="001D655C" w:rsidRDefault="004D2086" w:rsidP="001D655C">
      <w:pPr>
        <w:pStyle w:val="ECHRPara"/>
      </w:pPr>
      <w:fldSimple w:instr=" SEQ level0 \*arabic ">
        <w:r w:rsidR="00B70256">
          <w:rPr>
            <w:noProof/>
          </w:rPr>
          <w:t>3</w:t>
        </w:r>
      </w:fldSimple>
      <w:r>
        <w:t>.  Prin hotărârea din 24 noiembrie 2009, Curtea a constatat încălcarea art. 1 din Protocolul nr. 1 la Convenție ca urmare a neacordării unei despăgubiri pentru privarea de proprietate cauzată reclamantei. De asemenea, Curtea a rezervat pronunțarea privind reparația echitabilă, aspect care nu se afla în stare de judecată.</w:t>
      </w:r>
    </w:p>
    <w:p w:rsidR="00ED0A1D" w:rsidRPr="001D655C" w:rsidRDefault="00ED0A1D" w:rsidP="001D655C">
      <w:pPr>
        <w:pStyle w:val="ECHRPara"/>
      </w:pPr>
      <w:fldSimple w:instr=" SEQ level0 \*arabic ">
        <w:r w:rsidR="00B70256">
          <w:rPr>
            <w:noProof/>
          </w:rPr>
          <w:t>4</w:t>
        </w:r>
      </w:fldSimple>
      <w:r>
        <w:t>.  Prin hotărârea din 25 martie 2014, Curtea a decis să acorde reclamantei suma de 462 000 EUR cu titlu de prejudiciu material și moral și suma de 2 025 EUR pentru cheltuielile de judecată și a respins cererea de acordare a unei reparații echitabile pentru celelalte capete de cerere.</w:t>
      </w:r>
    </w:p>
    <w:p w:rsidR="00CA2901" w:rsidRPr="001D655C" w:rsidRDefault="00CA2901" w:rsidP="001D655C">
      <w:pPr>
        <w:pStyle w:val="ECHRPara"/>
      </w:pPr>
      <w:fldSimple w:instr=" SEQ level0 \*arabic ">
        <w:r w:rsidR="00B70256">
          <w:rPr>
            <w:noProof/>
          </w:rPr>
          <w:t>5</w:t>
        </w:r>
      </w:fldSimple>
      <w:r>
        <w:t>.  La 13 iunie 2014, Guvernul a solicitat revizuirea hotărârilor pronunțate la 24 noiembrie 2009 și la 25 martie 2014, în temeiul art. 80 din Regulamentul Curții („Regulamentul”), susținând că au apărut fapte noi. În opinia sa, aceste fapte, prin natura lor, ar fi putut avea o influență decisivă asupra soluționării cauzei și, la momentul pronunțării hotărârilor, nu erau cunoscute Curții și nu ar fi putut fi cunoscute în mod rezonabil de către Guvern.</w:t>
      </w:r>
    </w:p>
    <w:p w:rsidR="004D557F" w:rsidRPr="001D655C" w:rsidRDefault="0071675E" w:rsidP="001D655C">
      <w:pPr>
        <w:pStyle w:val="ECHRPara"/>
      </w:pPr>
      <w:fldSimple w:instr=" SEQ level0 \*arabic ">
        <w:r w:rsidR="00B70256">
          <w:rPr>
            <w:noProof/>
          </w:rPr>
          <w:t>6</w:t>
        </w:r>
      </w:fldSimple>
      <w:r>
        <w:t>.  La 8 iulie 2014, Curtea a examinat cererea de revizuire și a decis să acorde reprezentantului reclamantei un termen pentru a prezenta observații. Acestea au fost primite la 31 iulie 2014.</w:t>
      </w:r>
    </w:p>
    <w:p w:rsidR="00A26284" w:rsidRPr="001D655C" w:rsidRDefault="009628F7" w:rsidP="001D655C">
      <w:pPr>
        <w:pStyle w:val="ECHRPara"/>
      </w:pPr>
      <w:r>
        <w:t>La 3 octombrie 2014, Guvernul a prezentat observații suplimentare. La 17 octombrie și 24 noiembrie 2014, părțile au informat Curtea că Guvernul își îndeplinise obligațiile pecuniare în sarcina sa în prezenta cauză. La 18 decembrie 2014, 19 ianuarie și 11 decembrie 2015, reprezentantul reclamantei a depus observații suplimentare. Guvernul a făcut același lucru la 11 martie 2016, iar reprezentantul reclamantei a răspuns la 29 martie 2016.</w:t>
      </w:r>
    </w:p>
    <w:p w:rsidR="00A26284" w:rsidRPr="001D655C" w:rsidRDefault="00A26284" w:rsidP="001D655C">
      <w:pPr>
        <w:pStyle w:val="ECHRTitle1"/>
      </w:pPr>
      <w:r>
        <w:t>ÎN DREPT</w:t>
      </w:r>
    </w:p>
    <w:p w:rsidR="00A26284" w:rsidRPr="001D655C" w:rsidRDefault="00A26284" w:rsidP="001D655C">
      <w:pPr>
        <w:pStyle w:val="ECHRHeading1"/>
      </w:pPr>
      <w:r>
        <w:tab/>
        <w:t>PRIVIND CEREREA DE REVIZUIRE</w:t>
      </w:r>
    </w:p>
    <w:p w:rsidR="00644368" w:rsidRPr="001D655C" w:rsidRDefault="00FD2BD8" w:rsidP="001D655C">
      <w:pPr>
        <w:pStyle w:val="ECHRHeading2"/>
      </w:pPr>
      <w:r>
        <w:t>A. Argumentele părților</w:t>
      </w:r>
    </w:p>
    <w:bookmarkStart w:id="1" w:name="argumGuv1"/>
    <w:p w:rsidR="00AC13DD" w:rsidRPr="001D655C" w:rsidRDefault="004D2086" w:rsidP="001D655C">
      <w:pPr>
        <w:pStyle w:val="ECHRPara"/>
      </w:pPr>
      <w:r w:rsidRPr="001D655C">
        <w:fldChar w:fldCharType="begin"/>
      </w:r>
      <w:r w:rsidRPr="001D655C">
        <w:instrText xml:space="preserve"> SEQ level0 \*arabic </w:instrText>
      </w:r>
      <w:r w:rsidRPr="001D655C">
        <w:fldChar w:fldCharType="separate"/>
      </w:r>
      <w:r w:rsidR="00B70256">
        <w:rPr>
          <w:noProof/>
        </w:rPr>
        <w:t>7</w:t>
      </w:r>
      <w:r w:rsidRPr="001D655C">
        <w:fldChar w:fldCharType="end"/>
      </w:r>
      <w:bookmarkEnd w:id="1"/>
      <w:r>
        <w:t>.  </w:t>
      </w:r>
      <w:r>
        <w:rPr>
          <w:snapToGrid w:val="0"/>
        </w:rPr>
        <w:t xml:space="preserve">Guvernul </w:t>
      </w:r>
      <w:r>
        <w:t>solicită revizuirea hotărârilor din 24 noiembrie 2009 și 25</w:t>
      </w:r>
      <w:r w:rsidR="00B70256">
        <w:t> </w:t>
      </w:r>
      <w:r>
        <w:t>martie 2014. Acesta precizează că a fost informat că, prin decizia din 12</w:t>
      </w:r>
      <w:r w:rsidR="00B70256">
        <w:t> </w:t>
      </w:r>
      <w:r>
        <w:t>noiembrie 2007, Curtea de Apel București a admis acțiunea în revendicare a imobilului în litigiu formulată de reclamantă împotriva Consiliului General al Municipiului București, împotriva societății care administrează imobilul și împotriva terților cumpărători. Guvernul arată că, la 17 iunie 2008, reclamanta a intrat în posesia imobilului și a obținut, cu ajutorul unui executor judecătoresc, evacuarea terților care locuiau în imobil și că, la 30 iunie 2009, dreptul său de proprietate a fost înscris în cartea funciară, astfel încât nu mai poate fi considerată victima unei ingerințe în dreptul său de proprietate, astfel cum a fost recunoscută de Curte în hotărârea pronunțată în acțiunea principală la 24 noiembrie 2009.</w:t>
      </w:r>
    </w:p>
    <w:bookmarkStart w:id="2" w:name="argumGuv2"/>
    <w:bookmarkStart w:id="3" w:name="argumGuv_termen"/>
    <w:p w:rsidR="00E12B22" w:rsidRPr="001D655C" w:rsidRDefault="00361D92" w:rsidP="001D655C">
      <w:pPr>
        <w:pStyle w:val="ECHRPara"/>
      </w:pPr>
      <w:r w:rsidRPr="001D655C">
        <w:fldChar w:fldCharType="begin"/>
      </w:r>
      <w:r w:rsidRPr="001D655C">
        <w:instrText xml:space="preserve"> SEQ level0 \*arabic </w:instrText>
      </w:r>
      <w:r w:rsidRPr="001D655C">
        <w:fldChar w:fldCharType="separate"/>
      </w:r>
      <w:r w:rsidR="00B70256">
        <w:rPr>
          <w:noProof/>
        </w:rPr>
        <w:t>8</w:t>
      </w:r>
      <w:r w:rsidRPr="001D655C">
        <w:fldChar w:fldCharType="end"/>
      </w:r>
      <w:bookmarkEnd w:id="2"/>
      <w:bookmarkEnd w:id="3"/>
      <w:r>
        <w:t>.  Guvernul consideră că punerea în posesie invocată reprezintă un fapt care ar fi putut exercita o influență decisivă asupra prezentei cauze. De asemenea, acesta afirmă că a luat cunoștință de acțiunea în revendicare menționată, prin intermediul avocatului terților cumpărători, după ce Curtea a pronunțat hotărârea privind reparația echitabilă.</w:t>
      </w:r>
    </w:p>
    <w:p w:rsidR="00AC13DD" w:rsidRPr="001D655C" w:rsidRDefault="00361D92" w:rsidP="001D655C">
      <w:pPr>
        <w:pStyle w:val="ECHRPara"/>
      </w:pPr>
      <w:fldSimple w:instr=" SEQ level0 \*arabic ">
        <w:r w:rsidR="00B70256">
          <w:rPr>
            <w:noProof/>
          </w:rPr>
          <w:t>9</w:t>
        </w:r>
      </w:fldSimple>
      <w:r>
        <w:t>.  Guvernul îi critică în mai multe rânduri pe reclamantă și pe reprezentantul acesteia, invocând reaua lor credință. Acesta le reproșează că nu au informat Curtea cu privire la realitatea faptelor și consideră că cererea este abuzivă.</w:t>
      </w:r>
    </w:p>
    <w:p w:rsidR="00F57727" w:rsidRPr="001D655C" w:rsidRDefault="00F57727" w:rsidP="001D655C">
      <w:pPr>
        <w:pStyle w:val="ECHRPara"/>
      </w:pPr>
      <w:fldSimple w:instr=" SEQ level0 \*arabic ">
        <w:r w:rsidR="00B70256">
          <w:rPr>
            <w:noProof/>
          </w:rPr>
          <w:t>10</w:t>
        </w:r>
      </w:fldSimple>
      <w:r>
        <w:t xml:space="preserve">.  Guvernul arată, printre altele, că s-a conformat hotărârii privind reparația echitabilă și că și-a îndeplinit obligațiile pecuniare în termenul prevăzut de hotărârea Curții. Adăugă că reclamanta a fost informată că, în cazul în care Curtea ar admite prezenta cerere de revizuire, Guvernul, </w:t>
      </w:r>
      <w:r>
        <w:lastRenderedPageBreak/>
        <w:t>reprezentat de Ministerul Finanțelor Publice, intenționează să introducă o acțiune în restituirea plății nedatorate.</w:t>
      </w:r>
    </w:p>
    <w:p w:rsidR="00817A20" w:rsidRPr="001D655C" w:rsidRDefault="005527A8" w:rsidP="001D655C">
      <w:pPr>
        <w:pStyle w:val="ECHRPara"/>
      </w:pPr>
      <w:r w:rsidRPr="001D655C">
        <w:rPr>
          <w:snapToGrid w:val="0"/>
        </w:rPr>
        <w:fldChar w:fldCharType="begin"/>
      </w:r>
      <w:r w:rsidRPr="001D655C">
        <w:rPr>
          <w:snapToGrid w:val="0"/>
        </w:rPr>
        <w:instrText xml:space="preserve"> SEQ level0 \*arabic </w:instrText>
      </w:r>
      <w:r w:rsidRPr="001D655C">
        <w:rPr>
          <w:snapToGrid w:val="0"/>
        </w:rPr>
        <w:fldChar w:fldCharType="separate"/>
      </w:r>
      <w:r w:rsidR="00B70256">
        <w:rPr>
          <w:noProof/>
          <w:snapToGrid w:val="0"/>
        </w:rPr>
        <w:t>11</w:t>
      </w:r>
      <w:r w:rsidRPr="001D655C">
        <w:rPr>
          <w:snapToGrid w:val="0"/>
        </w:rPr>
        <w:fldChar w:fldCharType="end"/>
      </w:r>
      <w:r>
        <w:rPr>
          <w:snapToGrid w:val="0"/>
        </w:rPr>
        <w:t>.  Referindu-se la datele la care a fost pronunțată decizia Curții</w:t>
      </w:r>
      <w:r>
        <w:t xml:space="preserve"> de Apel București și la care dreptul în litigiu a fost înscris în cartea funciară - și anume, 12 noiembrie 2007 și, respectiv, 30 iunie 2009 - reprezentantul reclamantei susține că cererea Guvernului de revizuire este tardivă. Cu privire la fond, acesta consideră că atât el, cât și clienta sa, au dat dovadă de bună-credință și se bazează, în această privință, pe acordul reclamantei pentru o soluționare amiabilă, care a fost transmis Curții. De asemenea, acesta susține că dreptul de proprietate al reclamantei este lipsit de orice conținut, întrucât titlurile de proprietate ale terților cumpărători au rămas valabile: în fapt, curtea de apel nu a examinat validitatea acestor titluri în baza autorității de lucru judecat.</w:t>
      </w:r>
    </w:p>
    <w:p w:rsidR="00644368" w:rsidRPr="001D655C" w:rsidRDefault="005527A8" w:rsidP="001D655C">
      <w:pPr>
        <w:pStyle w:val="ECHRPara"/>
      </w:pPr>
      <w:fldSimple w:instr=" SEQ level0 \*arabic ">
        <w:r w:rsidR="00B70256">
          <w:rPr>
            <w:noProof/>
          </w:rPr>
          <w:t>12</w:t>
        </w:r>
      </w:fldSimple>
      <w:r>
        <w:t>.  În observațiile sale suplimentare, Guvernul susține că cererea sa de revizuire nu este tardivă și că nu este rezonabil să i se ceară să obțină periodic informații cu privire la înscrierile efectuate în registrul funciar. În opinia sa, era de datoria reclamantei să informeze Curtea cu privire la toate evoluțiile din cauza sa. Guvernul contestă și afirmațiile reclamantei potrivit cărora dreptul de proprietate în cauză ar fi lipsit de orice conținut, întrucât procesele-verbale aflate la dosar ar dovedi că partea în cauză a intrat în posesia imobilului în litigiu și că dreptul de proprietate al terților cumpărători a fost radiat din cartea funciară. În sfârșit, Guvernul invită Curtea să examineze posibilitatea îmbogățirii fără justă cauză a reclamantei.</w:t>
      </w:r>
    </w:p>
    <w:p w:rsidR="005527A8" w:rsidRPr="001D655C" w:rsidRDefault="00644368" w:rsidP="001D655C">
      <w:pPr>
        <w:pStyle w:val="ECHRPara"/>
      </w:pPr>
      <w:fldSimple w:instr=" SEQ level0 \*arabic ">
        <w:r w:rsidR="00B70256">
          <w:rPr>
            <w:noProof/>
          </w:rPr>
          <w:t>13</w:t>
        </w:r>
      </w:fldSimple>
      <w:r>
        <w:t>.  În observațiile sale suplimentare, reprezentantul reclamantei susține că rezultatul acțiunii în revendicare sus-menționate nu poate fi analizat ca un fapt, în sensul art. 80 din Regulament, ci mai degrabă ca un act jurisdicțional care a fost făcut public și de care Guvernul ar fi putut lua notă dând dovadă de o minimă diligență. În continuare, consideră că același raționament ar trebui să se aplice înscrierii dreptului reclamantei în cartea funciară, care era de competența unei autorități publice.</w:t>
      </w:r>
    </w:p>
    <w:p w:rsidR="00816DDC" w:rsidRPr="001D655C" w:rsidRDefault="00816DDC" w:rsidP="001D655C">
      <w:pPr>
        <w:pStyle w:val="ECHRPara"/>
      </w:pPr>
      <w:fldSimple w:instr=" SEQ level0 \*arabic ">
        <w:r w:rsidR="00B70256">
          <w:rPr>
            <w:noProof/>
          </w:rPr>
          <w:t>14</w:t>
        </w:r>
      </w:fldSimple>
      <w:r>
        <w:t>.  Totodată, reprezentantul reclamantei declară că imobilul nu poate fi deținut</w:t>
      </w:r>
      <w:r w:rsidR="00B70256">
        <w:t xml:space="preserve"> sau utilizat</w:t>
      </w:r>
      <w:r>
        <w:t>. În sprijinul afirmațiilor sale, susține că imobilul se află în stare de degradare și că ultimul locatar, o societate comercială care a încheiat un contract de comodat cu unul dintre terții cumpărători, nu a fost evacuat decât la 30 august 2011.</w:t>
      </w:r>
    </w:p>
    <w:p w:rsidR="007B5E7F" w:rsidRPr="001D655C" w:rsidRDefault="007B5E7F" w:rsidP="001D655C">
      <w:pPr>
        <w:pStyle w:val="ECHRPara"/>
      </w:pPr>
      <w:fldSimple w:instr=" SEQ level0 \*arabic ">
        <w:r w:rsidR="00B70256">
          <w:rPr>
            <w:noProof/>
          </w:rPr>
          <w:t>15</w:t>
        </w:r>
      </w:fldSimple>
      <w:r>
        <w:t>.  În sfârșit, reprezentantul reclamantei solicită rambursarea cheltuielilor de judecată ocazionate de procedura de revizuire a hotărârilor Curții. Acesta face trimitere la cheltuielile poștale, la cheltuielile de traducere și la onorariile avocaților, însă nu cuantifică cererea sa și nu transmite documente justificative în sprijinul acesteia.</w:t>
      </w:r>
    </w:p>
    <w:p w:rsidR="005527A8" w:rsidRPr="001D655C" w:rsidRDefault="006F44D7" w:rsidP="001D655C">
      <w:pPr>
        <w:pStyle w:val="ECHRHeading2"/>
      </w:pPr>
      <w:r>
        <w:t>B. Motivarea Curții</w:t>
      </w:r>
    </w:p>
    <w:p w:rsidR="00817A20" w:rsidRPr="001D655C" w:rsidRDefault="00817A20" w:rsidP="001D655C">
      <w:pPr>
        <w:pStyle w:val="ECHRPara"/>
      </w:pPr>
      <w:fldSimple w:instr=" SEQ level0 \*arabic ">
        <w:r w:rsidR="00B70256">
          <w:rPr>
            <w:noProof/>
          </w:rPr>
          <w:t>16</w:t>
        </w:r>
      </w:fldSimple>
      <w:r>
        <w:t xml:space="preserve">.  Curtea reamintește că, în temeiul art. 44 din Convenție, hotărârile sale sunt definitive și că, în măsura în care se repune în discuție acest caracter </w:t>
      </w:r>
      <w:r>
        <w:lastRenderedPageBreak/>
        <w:t>definitiv, procedura de revizuire, care nu este prevăzută de Convenție, dar care a fost introdusă prin Regulamentul său, are un caracter excepțional, rezultând astfel necesitatea unei examinări stricte a admisibilității oricărei cereri de revizuire a uneia dintre hotărârile sale în cadrul unei astfel de proceduri [</w:t>
      </w:r>
      <w:r>
        <w:rPr>
          <w:i/>
          <w:iCs/>
        </w:rPr>
        <w:t xml:space="preserve">Pardo împotriva Franței </w:t>
      </w:r>
      <w:r>
        <w:t>(revizuire</w:t>
      </w:r>
      <w:r>
        <w:noBreakHyphen/>
        <w:t xml:space="preserve">admisibilitate), 10 iulie 1996, pct. 21, </w:t>
      </w:r>
      <w:r>
        <w:rPr>
          <w:i/>
          <w:iCs/>
        </w:rPr>
        <w:t>Culegere de hotărâri și decizii</w:t>
      </w:r>
      <w:r>
        <w:t xml:space="preserve"> 1996</w:t>
      </w:r>
      <w:r>
        <w:noBreakHyphen/>
        <w:t xml:space="preserve">III, </w:t>
      </w:r>
      <w:r>
        <w:rPr>
          <w:i/>
          <w:iCs/>
        </w:rPr>
        <w:t>Gustafsson împotriva Suediei</w:t>
      </w:r>
      <w:r>
        <w:t xml:space="preserve"> (revizuire-fond), 30 iulie 1998, pct. 25, </w:t>
      </w:r>
      <w:r>
        <w:rPr>
          <w:i/>
          <w:iCs/>
        </w:rPr>
        <w:t xml:space="preserve">Culegere </w:t>
      </w:r>
      <w:r>
        <w:t>1998</w:t>
      </w:r>
      <w:r>
        <w:noBreakHyphen/>
        <w:t xml:space="preserve">V, și </w:t>
      </w:r>
      <w:r>
        <w:rPr>
          <w:i/>
          <w:iCs/>
        </w:rPr>
        <w:t>Stoicescu împotriva României</w:t>
      </w:r>
      <w:r>
        <w:t xml:space="preserve"> (revizuire), nr. 31551/96, pct. 33, 21 septembrie 2004].</w:t>
      </w:r>
    </w:p>
    <w:p w:rsidR="00F032B4" w:rsidRPr="001D655C" w:rsidRDefault="00F032B4" w:rsidP="001D655C">
      <w:pPr>
        <w:pStyle w:val="ECHRPara"/>
        <w:rPr>
          <w:i/>
        </w:rPr>
      </w:pPr>
      <w:fldSimple w:instr=" SEQ level0 \*arabic ">
        <w:r w:rsidR="00B70256">
          <w:rPr>
            <w:noProof/>
          </w:rPr>
          <w:t>17</w:t>
        </w:r>
      </w:fldSimple>
      <w:r>
        <w:t xml:space="preserve">.  De asemenea, </w:t>
      </w:r>
      <w:r w:rsidR="00B70256">
        <w:t>Curtea</w:t>
      </w:r>
      <w:r>
        <w:t xml:space="preserve"> reamintește că o cerere poate fi respinsă ca abuzivă, în sensul art. 35 § 3 din Convenție, dacă a fost întemeiată cu bună știință pe fapte false (</w:t>
      </w:r>
      <w:r>
        <w:rPr>
          <w:i/>
          <w:iCs/>
        </w:rPr>
        <w:t>Gross împotriva Elveției</w:t>
      </w:r>
      <w:r>
        <w:t xml:space="preserve"> [MC]</w:t>
      </w:r>
      <w:r>
        <w:rPr>
          <w:snapToGrid w:val="0"/>
        </w:rPr>
        <w:t>, nr.</w:t>
      </w:r>
      <w:r>
        <w:t xml:space="preserve"> 67810/10, pct. 28, CEDO 2014). O informație incompletă și, așadar, înșelătoare poate fi, de asemenea, calificată ca un abuz al dreptului de a introduce o cerere individuală, în special atunci când privește nucleul cauzei și când reclamantul nu explică suficient nefurnizarea informațiilor relevante [</w:t>
      </w:r>
      <w:r>
        <w:rPr>
          <w:i/>
        </w:rPr>
        <w:t xml:space="preserve">Gardean și S.C. Grup 95 SA împotriva României </w:t>
      </w:r>
      <w:r>
        <w:t>(revizuire), nr. 25787/04</w:t>
      </w:r>
      <w:r>
        <w:rPr>
          <w:snapToGrid w:val="0"/>
        </w:rPr>
        <w:t xml:space="preserve">, pct. 11, </w:t>
      </w:r>
      <w:r>
        <w:t>30</w:t>
      </w:r>
      <w:r>
        <w:rPr>
          <w:snapToGrid w:val="0"/>
        </w:rPr>
        <w:t xml:space="preserve"> </w:t>
      </w:r>
      <w:r>
        <w:t>aprilie</w:t>
      </w:r>
      <w:r>
        <w:rPr>
          <w:snapToGrid w:val="0"/>
        </w:rPr>
        <w:t xml:space="preserve"> 2013</w:t>
      </w:r>
      <w:r>
        <w:t>].</w:t>
      </w:r>
    </w:p>
    <w:p w:rsidR="00817A20" w:rsidRPr="001D655C" w:rsidRDefault="00817A20" w:rsidP="001D655C">
      <w:pPr>
        <w:pStyle w:val="ECHRPara"/>
      </w:pPr>
      <w:fldSimple w:instr=" SEQ level0 \*arabic ">
        <w:r w:rsidR="00B70256">
          <w:rPr>
            <w:noProof/>
          </w:rPr>
          <w:t>18</w:t>
        </w:r>
      </w:fldSimple>
      <w:r>
        <w:t>.  Prin urmare, Curtea trebuie să examineze dacă, în speță, hotărârile sale din 24 noiembrie 2009 și 25 martie 2014 ar trebui revizuite prin aplicarea art. 80 din Regulament, care, în părțile sale relevante pentru prezenta cauză, prevede următoarele:</w:t>
      </w:r>
    </w:p>
    <w:p w:rsidR="00A26284" w:rsidRPr="001D655C" w:rsidRDefault="00A26284" w:rsidP="001D655C">
      <w:pPr>
        <w:pStyle w:val="ECHRParaQuote"/>
      </w:pPr>
      <w:r>
        <w:t>„În cazul descoperirii unui fapt care, prin natura sa, ar fi putut exercita o influență decisivă cu privire la soluția unei cauze judecate deja și care, la epoca pronunțării hotărârii nu era cunoscut de Curte și nu putea, în mod rezonabil, să fie cunoscut de parte, aceasta din urmă poate, într-un termen de șase luni calculat de la data la care a luat cunoștință de faptul respectiv, să sesizeze Curtea cu o cerere de revizuire a hotărârii respective [...]”.</w:t>
      </w:r>
    </w:p>
    <w:p w:rsidR="00636BCD" w:rsidRPr="001D655C" w:rsidRDefault="002B4540" w:rsidP="001D655C">
      <w:pPr>
        <w:pStyle w:val="ECHRPara"/>
      </w:pPr>
      <w:fldSimple w:instr=" SEQ level0 \*arabic ">
        <w:r w:rsidR="00B70256">
          <w:rPr>
            <w:noProof/>
          </w:rPr>
          <w:t>19</w:t>
        </w:r>
      </w:fldSimple>
      <w:r>
        <w:t>.  Prin urmare, trebuie să se stabilească dacă faptele în cauză ar fi putut avea o influență decisivă asupra soluției unei cauze judecate deja, dacă acestea nu ar fi putut fi cunoscute în mod rezonabil de Guvern înainte de pronunțarea hotărârilor sus-menționate și dacă cererea de revizuire a fost formulată în termenul legal (</w:t>
      </w:r>
      <w:r>
        <w:rPr>
          <w:i/>
          <w:iCs/>
        </w:rPr>
        <w:t>Stoicescu</w:t>
      </w:r>
      <w:r>
        <w:t xml:space="preserve">, </w:t>
      </w:r>
      <w:r>
        <w:rPr>
          <w:i/>
          <w:iCs/>
        </w:rPr>
        <w:t>ibidem</w:t>
      </w:r>
      <w:r>
        <w:t>, citată anterior).</w:t>
      </w:r>
    </w:p>
    <w:p w:rsidR="006A62DE" w:rsidRPr="001D655C" w:rsidRDefault="00636BCD" w:rsidP="001D655C">
      <w:pPr>
        <w:pStyle w:val="ECHRPara"/>
        <w:rPr>
          <w:snapToGrid w:val="0"/>
        </w:rPr>
      </w:pPr>
      <w:fldSimple w:instr=" SEQ level0 \*arabic ">
        <w:r w:rsidR="00B70256">
          <w:rPr>
            <w:noProof/>
          </w:rPr>
          <w:t>20</w:t>
        </w:r>
      </w:fldSimple>
      <w:r>
        <w:t>.  În ceea ce privește prima condiție prevăzută la art. 80 din Regulament, Curtea amintește că, pentru a determina dacă faptele care stau la baza unei cereri de revizuire „ar fi putut exercita o influență decisivă” în sensul primului alineat al dispoziției respective, acestea trebuie să fie examinate în raport cu decizia a cărei revizuire este solicitată (</w:t>
      </w:r>
      <w:r>
        <w:rPr>
          <w:i/>
          <w:iCs/>
        </w:rPr>
        <w:t>Pardo</w:t>
      </w:r>
      <w:r>
        <w:t>, citată anterior, pct. 22). În speță, Curtea observă că, în hotărârea sa din 24 noiembrie 2009, a considerat că vânzarea de către stat a imobilului pe care reclamanta îl moștenise de la autor, chiar înainte ca problema dreptului de proprietate să fi fost soluționată definitiv de instanțele interne, echivala cu o privare de proprietate și a concluzionat, în lipsa unei despăgubiri în favoarea reclamantei, că a existat o încălcare a art. 1 din Protocolul nr. 1 la Convenție (</w:t>
      </w:r>
      <w:r>
        <w:rPr>
          <w:i/>
          <w:iCs/>
        </w:rPr>
        <w:t>Petroiu împotriva României</w:t>
      </w:r>
      <w:r>
        <w:t>, nr. 33055/09</w:t>
      </w:r>
      <w:r>
        <w:rPr>
          <w:snapToGrid w:val="0"/>
        </w:rPr>
        <w:t xml:space="preserve">, pct. 22 și 25, 24 </w:t>
      </w:r>
      <w:r>
        <w:t>noiembrie</w:t>
      </w:r>
      <w:r>
        <w:rPr>
          <w:snapToGrid w:val="0"/>
        </w:rPr>
        <w:t xml:space="preserve"> 2009).</w:t>
      </w:r>
    </w:p>
    <w:p w:rsidR="009B32AD" w:rsidRPr="001D655C" w:rsidRDefault="009B32AD" w:rsidP="001D655C">
      <w:pPr>
        <w:pStyle w:val="ECHRPara"/>
        <w:rPr>
          <w:i/>
        </w:rPr>
      </w:pPr>
      <w:r w:rsidRPr="001D655C">
        <w:rPr>
          <w:snapToGrid w:val="0"/>
        </w:rPr>
        <w:lastRenderedPageBreak/>
        <w:fldChar w:fldCharType="begin"/>
      </w:r>
      <w:r w:rsidRPr="001D655C">
        <w:rPr>
          <w:snapToGrid w:val="0"/>
        </w:rPr>
        <w:instrText xml:space="preserve"> SEQ level0 \*arabic </w:instrText>
      </w:r>
      <w:r w:rsidRPr="001D655C">
        <w:rPr>
          <w:snapToGrid w:val="0"/>
        </w:rPr>
        <w:fldChar w:fldCharType="separate"/>
      </w:r>
      <w:r w:rsidR="00B70256">
        <w:rPr>
          <w:noProof/>
          <w:snapToGrid w:val="0"/>
        </w:rPr>
        <w:t>21</w:t>
      </w:r>
      <w:r w:rsidRPr="001D655C">
        <w:rPr>
          <w:snapToGrid w:val="0"/>
        </w:rPr>
        <w:fldChar w:fldCharType="end"/>
      </w:r>
      <w:r>
        <w:rPr>
          <w:snapToGrid w:val="0"/>
        </w:rPr>
        <w:t>.  Curtea observă că, potrivit informațiilor furnizate de Guvern și necontestate de reclamantă, la data pronunțării hotărârii din 24 noiembrie 2009 fusese deja pronunțată o hotărâre judecătorească definitivă în favoarea reclamantei, ceea ce i-a permis acesteia să intre în posesia efectivă a imobilului în litigiu înainte de data respectivă. În opinia Curții, este, într</w:t>
      </w:r>
      <w:r w:rsidR="0054423C">
        <w:rPr>
          <w:snapToGrid w:val="0"/>
        </w:rPr>
        <w:noBreakHyphen/>
      </w:r>
      <w:r>
        <w:rPr>
          <w:snapToGrid w:val="0"/>
        </w:rPr>
        <w:t>adevăr, vorba despre fapte care „ar fi putut exercita o influență decisivă” asupra soluționării cauzei.</w:t>
      </w:r>
    </w:p>
    <w:bookmarkStart w:id="4" w:name="par19"/>
    <w:p w:rsidR="00636BCD" w:rsidRPr="001D655C" w:rsidRDefault="009B32AD" w:rsidP="001D655C">
      <w:pPr>
        <w:pStyle w:val="ECHRPara"/>
      </w:pPr>
      <w:r w:rsidRPr="001D655C">
        <w:fldChar w:fldCharType="begin"/>
      </w:r>
      <w:r w:rsidRPr="001D655C">
        <w:instrText xml:space="preserve"> SEQ level0 \*arabic </w:instrText>
      </w:r>
      <w:r w:rsidRPr="001D655C">
        <w:fldChar w:fldCharType="separate"/>
      </w:r>
      <w:r w:rsidR="00B70256">
        <w:rPr>
          <w:noProof/>
        </w:rPr>
        <w:t>22</w:t>
      </w:r>
      <w:r w:rsidRPr="001D655C">
        <w:fldChar w:fldCharType="end"/>
      </w:r>
      <w:bookmarkEnd w:id="4"/>
      <w:r>
        <w:t>.  În acest stadiu al examinării sale, Curtea consideră util să reamintească faptul că, în conformitate cu art. 47 § 7 din Regulament, reclamantul este obligat să o informeze cu privire la „orice fapt relevant privitor la examinarea cererii sale”.</w:t>
      </w:r>
    </w:p>
    <w:p w:rsidR="00A511BC" w:rsidRPr="001D655C" w:rsidRDefault="00694FF0" w:rsidP="001D655C">
      <w:pPr>
        <w:pStyle w:val="ECHRPara"/>
      </w:pPr>
      <w:fldSimple w:instr=" SEQ level0 \*arabic ">
        <w:r w:rsidR="00B70256">
          <w:rPr>
            <w:noProof/>
          </w:rPr>
          <w:t>23</w:t>
        </w:r>
      </w:fldSimple>
      <w:r>
        <w:t>.  Curtea observă</w:t>
      </w:r>
      <w:r w:rsidR="0054423C">
        <w:t>,</w:t>
      </w:r>
      <w:r>
        <w:t xml:space="preserve"> în speță</w:t>
      </w:r>
      <w:r w:rsidR="0054423C">
        <w:t>,</w:t>
      </w:r>
      <w:r>
        <w:t xml:space="preserve"> comportamentul inadecvat al reprezentantului reclamantei, întrucât acesta nu a informat Curtea cu privire la faptul că clienta sa a obținut o decizie definitivă favorabilă și că intrase într-adevăr în posesia imobilului [a se vedea, </w:t>
      </w:r>
      <w:r>
        <w:rPr>
          <w:i/>
          <w:iCs/>
        </w:rPr>
        <w:t>mutatis mutandis</w:t>
      </w:r>
      <w:r>
        <w:t xml:space="preserve">, </w:t>
      </w:r>
      <w:r>
        <w:rPr>
          <w:i/>
          <w:iCs/>
        </w:rPr>
        <w:t>Bugajny și alții împotriva Poloniei</w:t>
      </w:r>
      <w:r>
        <w:t xml:space="preserve"> (revizuire), nr. 22531/05, pct. 24, 15 decembrie 2009].</w:t>
      </w:r>
    </w:p>
    <w:p w:rsidR="00F032B4" w:rsidRPr="001D655C" w:rsidRDefault="00377DDD" w:rsidP="001D655C">
      <w:pPr>
        <w:pStyle w:val="ECHRPara"/>
      </w:pPr>
      <w:fldSimple w:instr=" SEQ level0 \*arabic ">
        <w:r w:rsidR="00B70256">
          <w:rPr>
            <w:noProof/>
          </w:rPr>
          <w:t>24</w:t>
        </w:r>
      </w:fldSimple>
      <w:r>
        <w:t>.  În aceste condiții, Curtea nu poate decât să concluzioneze că reclamanta nu și-a respectat obligația, prevăzută la art. 44C § 1 și la art. 47</w:t>
      </w:r>
      <w:r w:rsidR="0054423C">
        <w:t> </w:t>
      </w:r>
      <w:r>
        <w:t>§</w:t>
      </w:r>
      <w:r w:rsidR="0054423C">
        <w:t> </w:t>
      </w:r>
      <w:r>
        <w:t>7 din Regulament, de a informa Curtea cu privire la toate faptele relevante pentru examinarea cererii, și nici obligația de a coopera cu Curtea în vederea bunei administrări a justiției, prevăzută la art. 44A (</w:t>
      </w:r>
      <w:r>
        <w:rPr>
          <w:i/>
          <w:iCs/>
        </w:rPr>
        <w:t>Gardean și S.C. Grup 95 SA</w:t>
      </w:r>
      <w:r>
        <w:t>, citată anterior, pct. 20).</w:t>
      </w:r>
    </w:p>
    <w:p w:rsidR="00F032B4" w:rsidRPr="001D655C" w:rsidRDefault="006D3BAA" w:rsidP="001D655C">
      <w:pPr>
        <w:pStyle w:val="ECHRPara"/>
      </w:pPr>
      <w:fldSimple w:instr=" SEQ level0 \*arabic ">
        <w:r w:rsidR="00B70256">
          <w:rPr>
            <w:noProof/>
          </w:rPr>
          <w:t>25</w:t>
        </w:r>
      </w:fldSimple>
      <w:r>
        <w:t xml:space="preserve">.  Curtea subliniază, de asemenea, că trebuie evitat ca hotărârile sale să conducă la o îmbogățire fără justă cauză. Acest lucru s-ar putea întâmpla în speță dacă reclamanta ar obține ulterior, pe lângă intrarea în posesia imobilului, o sumă cu titlu de reparație echitabilă pentru prejudiciul material, calculată pe baza valorii acestui imobil: în fapt, reclamanta ar obține în acest caz de două ori valoarea bunului respectiv [a se vedea, în acest sens, </w:t>
      </w:r>
      <w:r>
        <w:rPr>
          <w:i/>
          <w:iCs/>
        </w:rPr>
        <w:t>Pennino împotriva Italiei</w:t>
      </w:r>
      <w:r>
        <w:t xml:space="preserve"> (revizuire)</w:t>
      </w:r>
      <w:r>
        <w:rPr>
          <w:snapToGrid w:val="0"/>
        </w:rPr>
        <w:t xml:space="preserve">, </w:t>
      </w:r>
      <w:r>
        <w:t>nr. 43892/04</w:t>
      </w:r>
      <w:r>
        <w:rPr>
          <w:snapToGrid w:val="0"/>
        </w:rPr>
        <w:t xml:space="preserve">, pct. 16, 8 </w:t>
      </w:r>
      <w:r>
        <w:t>iulie</w:t>
      </w:r>
      <w:r>
        <w:rPr>
          <w:snapToGrid w:val="0"/>
        </w:rPr>
        <w:t xml:space="preserve"> 2014</w:t>
      </w:r>
      <w:r>
        <w:t>].</w:t>
      </w:r>
    </w:p>
    <w:p w:rsidR="00667082" w:rsidRPr="001D655C" w:rsidRDefault="00667082" w:rsidP="001D655C">
      <w:pPr>
        <w:pStyle w:val="ECHRPara"/>
        <w:rPr>
          <w:i/>
        </w:rPr>
      </w:pPr>
      <w:fldSimple w:instr=" SEQ level0 \*arabic ">
        <w:r w:rsidR="00B70256">
          <w:rPr>
            <w:noProof/>
          </w:rPr>
          <w:t>26</w:t>
        </w:r>
      </w:fldSimple>
      <w:r>
        <w:t>.  În consecință, Curtea consideră că reclamanta a omis cu bună știință să îi aducă la cunoștință existența noii situații, ceea ce constituie un abuz din partea sa în cadrul procedurii în fața Curții.</w:t>
      </w:r>
    </w:p>
    <w:p w:rsidR="002B4540" w:rsidRPr="001D655C" w:rsidRDefault="008D7855" w:rsidP="001D655C">
      <w:pPr>
        <w:pStyle w:val="ECHRPara"/>
      </w:pPr>
      <w:fldSimple w:instr=" SEQ level0 \*arabic ">
        <w:r w:rsidR="00B70256">
          <w:rPr>
            <w:noProof/>
          </w:rPr>
          <w:t>27</w:t>
        </w:r>
      </w:fldSimple>
      <w:r>
        <w:t>.  În ceea ce privește cea de a doua condiție impusă de art. 80 din Regulament, și anume „necunoașterea faptelor descoperite”, Curtea observă că hotărârea judecătorească definitivă în cauză a fost pronunțată în contradictoriu, printre alții, împotriva Consiliului General al Municipiului București și că reclamanta a obținut ulterior înscrierea dreptului său de proprietate în cartea funciară, acțiune care era de competența unei autorități publice (</w:t>
      </w:r>
      <w:r>
        <w:rPr>
          <w:i/>
          <w:iCs/>
        </w:rPr>
        <w:t>supra</w:t>
      </w:r>
      <w:r>
        <w:t xml:space="preserve">, pct. </w:t>
      </w:r>
      <w:r w:rsidR="002B4540" w:rsidRPr="001D655C">
        <w:fldChar w:fldCharType="begin"/>
      </w:r>
      <w:r w:rsidR="002B4540" w:rsidRPr="001D655C">
        <w:instrText xml:space="preserve"> REF argumGuv1 \h  \* MERGEFORMAT </w:instrText>
      </w:r>
      <w:r w:rsidR="002B4540" w:rsidRPr="001D655C">
        <w:fldChar w:fldCharType="separate"/>
      </w:r>
      <w:r w:rsidR="00B70256">
        <w:t>7</w:t>
      </w:r>
      <w:r w:rsidR="002B4540" w:rsidRPr="001D655C">
        <w:fldChar w:fldCharType="end"/>
      </w:r>
      <w:r>
        <w:t>). În această privință, Curtea amintește că, în principiu, guvernului pârât îi revine sarcina de a se adresa autorităților publice pentru a obține orice informație relevantă sau de a le solicita să îl informeze în cel mai scurt timp cu privire la orice evoluție semnificativă în cauză [</w:t>
      </w:r>
      <w:r>
        <w:rPr>
          <w:i/>
          <w:iCs/>
        </w:rPr>
        <w:t>idem</w:t>
      </w:r>
      <w:r>
        <w:t xml:space="preserve">, pct. 17, și </w:t>
      </w:r>
      <w:r>
        <w:rPr>
          <w:i/>
          <w:iCs/>
        </w:rPr>
        <w:t>De Luca împotriva Italiei</w:t>
      </w:r>
      <w:r>
        <w:t xml:space="preserve"> (revizuire), nr. 43870/04, pct. 17, 8 iulie 2014]. În </w:t>
      </w:r>
      <w:r>
        <w:lastRenderedPageBreak/>
        <w:t>speță, Curtea observă că faptele în cauză au intervenit după 13 aprilie 2007, data depunerii de către Guvern a observațiilor privind admisibilitatea și fondul cererii (</w:t>
      </w:r>
      <w:r>
        <w:rPr>
          <w:i/>
          <w:iCs/>
        </w:rPr>
        <w:t>supra</w:t>
      </w:r>
      <w:r>
        <w:t xml:space="preserve">, pct. </w:t>
      </w:r>
      <w:r w:rsidR="00107079" w:rsidRPr="001D655C">
        <w:fldChar w:fldCharType="begin"/>
      </w:r>
      <w:r w:rsidR="00107079" w:rsidRPr="001D655C">
        <w:instrText xml:space="preserve"> REF data_comunicarii \h </w:instrText>
      </w:r>
      <w:r w:rsidR="00107079" w:rsidRPr="001D655C">
        <w:fldChar w:fldCharType="separate"/>
      </w:r>
      <w:r w:rsidR="00B70256">
        <w:rPr>
          <w:noProof/>
        </w:rPr>
        <w:t>2</w:t>
      </w:r>
      <w:r w:rsidR="00107079" w:rsidRPr="001D655C">
        <w:fldChar w:fldCharType="end"/>
      </w:r>
      <w:r>
        <w:t xml:space="preserve">; a se vedea, de asemenea, </w:t>
      </w:r>
      <w:r>
        <w:rPr>
          <w:i/>
          <w:iCs/>
        </w:rPr>
        <w:t>Gardean și S.C. Grup 95 SA</w:t>
      </w:r>
      <w:r>
        <w:t>, citată anterior, pct. 17).</w:t>
      </w:r>
      <w:r>
        <w:rPr>
          <w:i/>
        </w:rPr>
        <w:t xml:space="preserve"> </w:t>
      </w:r>
      <w:r>
        <w:t xml:space="preserve"> De asemenea, aceasta acordă o mare importanță comportamentului reclamantei de a nu o informa cu bună știință cu privire la aceste fapte (</w:t>
      </w:r>
      <w:r>
        <w:rPr>
          <w:i/>
          <w:iCs/>
        </w:rPr>
        <w:t>idem</w:t>
      </w:r>
      <w:r>
        <w:t>, pct. 18). În aceste condiții și având în vedere natura specifică a cauzei, Curtea concluzionează că Guvernului nu i se poate reproșa „în mod rezonabil” faptul că nu a avut cunoștință de faptele în cauză.</w:t>
      </w:r>
    </w:p>
    <w:p w:rsidR="002B4540" w:rsidRPr="001D655C" w:rsidRDefault="002B4540" w:rsidP="001D655C">
      <w:pPr>
        <w:pStyle w:val="ECHRPara"/>
      </w:pPr>
      <w:fldSimple w:instr=" SEQ level0 \*arabic ">
        <w:r w:rsidR="00B70256">
          <w:rPr>
            <w:noProof/>
          </w:rPr>
          <w:t>28</w:t>
        </w:r>
      </w:fldSimple>
      <w:r>
        <w:t>.  În sfârșit, Curtea reține că Guvernul declară că a luat cunoștință de acțiunea în revendicare sus-menționată prin intermediul avocatului terților cumpărători ai imobilului, după pronunțarea hotărârii privind reparația echitabilă, și anume după 25 martie 2014 (</w:t>
      </w:r>
      <w:r>
        <w:rPr>
          <w:i/>
          <w:iCs/>
        </w:rPr>
        <w:t>supra</w:t>
      </w:r>
      <w:r>
        <w:t xml:space="preserve">, pct. </w:t>
      </w:r>
      <w:r w:rsidRPr="001D655C">
        <w:fldChar w:fldCharType="begin"/>
      </w:r>
      <w:r w:rsidRPr="001D655C">
        <w:instrText xml:space="preserve"> REF argumGuv_termen \h </w:instrText>
      </w:r>
      <w:r w:rsidRPr="001D655C">
        <w:fldChar w:fldCharType="separate"/>
      </w:r>
      <w:r w:rsidR="00B70256">
        <w:rPr>
          <w:noProof/>
        </w:rPr>
        <w:t>8</w:t>
      </w:r>
      <w:r w:rsidRPr="001D655C">
        <w:fldChar w:fldCharType="end"/>
      </w:r>
      <w:r>
        <w:t>)</w:t>
      </w:r>
      <w:r w:rsidR="0054423C">
        <w:t>,</w:t>
      </w:r>
      <w:bookmarkStart w:id="5" w:name="_GoBack"/>
      <w:bookmarkEnd w:id="5"/>
      <w:r>
        <w:t xml:space="preserve"> și că a formulat cererea de revizuire la 13 iunie 2014. Prin urmare, consideră că Guvernul a formulat cererea în termenul de șase luni prevăzut la art. 80 din Regulament și a respectat astfel cea de a treia condiție prevăzută de această dispoziție.</w:t>
      </w:r>
    </w:p>
    <w:p w:rsidR="00377DDD" w:rsidRPr="001D655C" w:rsidRDefault="00A060F7" w:rsidP="001D655C">
      <w:pPr>
        <w:pStyle w:val="ECHRPara"/>
      </w:pPr>
      <w:fldSimple w:instr=" SEQ level0 \*arabic ">
        <w:r w:rsidR="00B70256">
          <w:rPr>
            <w:noProof/>
          </w:rPr>
          <w:t>29</w:t>
        </w:r>
      </w:fldSimple>
      <w:r>
        <w:t>.  Având în vedere cele de mai sus, Curtea consideră că hotărârile pronunțate la 24 noiembrie 2009 și la 25 martie 2014 ar trebui revizuite în întregime, în temeiul art. 80 din Regulament.</w:t>
      </w:r>
    </w:p>
    <w:p w:rsidR="00377DDD" w:rsidRPr="001D655C" w:rsidRDefault="00377DDD" w:rsidP="001D655C">
      <w:pPr>
        <w:pStyle w:val="ECHRPara"/>
      </w:pPr>
      <w:fldSimple w:instr=" SEQ level0 \*arabic ">
        <w:r w:rsidR="00B70256">
          <w:rPr>
            <w:noProof/>
          </w:rPr>
          <w:t>30</w:t>
        </w:r>
      </w:fldSimple>
      <w:r>
        <w:t>.  Prin urmare, este necesar să se declare cererea inadmisibilă ca fiind abuzivă în sensul art. 35 § 3 din Convenție.</w:t>
      </w:r>
    </w:p>
    <w:p w:rsidR="00A26284" w:rsidRPr="001D655C" w:rsidRDefault="00A26284" w:rsidP="001D655C">
      <w:pPr>
        <w:pStyle w:val="ECHRTitle1"/>
      </w:pPr>
      <w:r>
        <w:t>PENTRU ACESTE MOTIVE, CURTEA, ÎN UNANIMITATE,</w:t>
      </w:r>
    </w:p>
    <w:p w:rsidR="00A26284" w:rsidRPr="001D655C" w:rsidRDefault="009747BA" w:rsidP="001D655C">
      <w:pPr>
        <w:pStyle w:val="JuList"/>
      </w:pPr>
      <w:r>
        <w:rPr>
          <w:i/>
          <w:iCs/>
        </w:rPr>
        <w:t>Decide</w:t>
      </w:r>
      <w:r>
        <w:t xml:space="preserve"> să admită cererea de revizuire a hotărârilor pronunțate la 24 noiembrie 2009 și la 25 martie 2014.</w:t>
      </w:r>
    </w:p>
    <w:p w:rsidR="009747BA" w:rsidRPr="001D655C" w:rsidRDefault="009747BA" w:rsidP="001D655C">
      <w:pPr>
        <w:pStyle w:val="JuList"/>
        <w:rPr>
          <w:lang w:val="fr-FR"/>
        </w:rPr>
      </w:pPr>
    </w:p>
    <w:p w:rsidR="009747BA" w:rsidRPr="001D655C" w:rsidRDefault="009747BA" w:rsidP="001D655C">
      <w:pPr>
        <w:pStyle w:val="JuList"/>
      </w:pPr>
      <w:r>
        <w:t>în consecință</w:t>
      </w:r>
    </w:p>
    <w:p w:rsidR="00A54012" w:rsidRPr="001D655C" w:rsidRDefault="00A54012" w:rsidP="001D655C">
      <w:pPr>
        <w:pStyle w:val="JuList"/>
        <w:ind w:firstLine="0"/>
        <w:rPr>
          <w:lang w:val="fr-FR"/>
        </w:rPr>
      </w:pPr>
    </w:p>
    <w:p w:rsidR="009747BA" w:rsidRPr="001D655C" w:rsidRDefault="009747BA" w:rsidP="001D655C">
      <w:pPr>
        <w:pStyle w:val="JuList"/>
      </w:pPr>
      <w:r>
        <w:rPr>
          <w:i/>
          <w:iCs/>
        </w:rPr>
        <w:t>Declară</w:t>
      </w:r>
      <w:r>
        <w:t xml:space="preserve"> cererea inadmisibilă.</w:t>
      </w:r>
    </w:p>
    <w:p w:rsidR="00A26284" w:rsidRPr="001D655C" w:rsidRDefault="00A26284" w:rsidP="001D655C">
      <w:pPr>
        <w:pStyle w:val="JuParaLast"/>
      </w:pPr>
      <w:r>
        <w:t>Redactată în limba franceză, apoi comunicată în scris la 7 februarie 2017, în temeiul art. 77 § 2 și 3 din Regulamentul Curții.</w:t>
      </w:r>
    </w:p>
    <w:p w:rsidR="00A26284" w:rsidRPr="001D655C" w:rsidRDefault="004D2086" w:rsidP="001D655C">
      <w:pPr>
        <w:pStyle w:val="JuSigned"/>
      </w:pPr>
      <w:r>
        <w:tab/>
        <w:t>Stephen Phillips</w:t>
      </w:r>
      <w:r>
        <w:tab/>
        <w:t>Luis López Guerra</w:t>
      </w:r>
      <w:r>
        <w:br/>
      </w:r>
      <w:r>
        <w:tab/>
        <w:t>Grefier</w:t>
      </w:r>
      <w:r>
        <w:tab/>
        <w:t>Președinte</w:t>
      </w:r>
    </w:p>
    <w:sectPr w:rsidR="00A26284" w:rsidRPr="001D655C" w:rsidSect="003E0E31">
      <w:headerReference w:type="even" r:id="rId14"/>
      <w:head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0AF" w:rsidRDefault="00D050AF" w:rsidP="00A26284">
      <w:r>
        <w:separator/>
      </w:r>
    </w:p>
  </w:endnote>
  <w:endnote w:type="continuationSeparator" w:id="0">
    <w:p w:rsidR="00D050AF" w:rsidRDefault="00D050AF" w:rsidP="00A26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31" w:rsidRPr="00150BFA" w:rsidRDefault="003E0E31" w:rsidP="0020718E">
    <w:pPr>
      <w:jc w:val="center"/>
    </w:pPr>
    <w:r>
      <w:rPr>
        <w:noProof/>
        <w:lang w:val="en-US"/>
      </w:rPr>
      <w:drawing>
        <wp:inline distT="0" distB="0" distL="0" distR="0" wp14:anchorId="0A08C4EF" wp14:editId="0D77B77B">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3E0E31" w:rsidRDefault="003E0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0AF" w:rsidRDefault="00D050AF" w:rsidP="00A26284">
      <w:r>
        <w:separator/>
      </w:r>
    </w:p>
  </w:footnote>
  <w:footnote w:type="continuationSeparator" w:id="0">
    <w:p w:rsidR="00D050AF" w:rsidRDefault="00D050AF" w:rsidP="00A26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FB5" w:rsidRPr="003E0E31" w:rsidRDefault="00A27FB5" w:rsidP="003E0E3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256" w:rsidRDefault="00B70256" w:rsidP="00B70256">
    <w:pPr>
      <w:jc w:val="right"/>
      <w:rPr>
        <w:i/>
        <w:iCs/>
      </w:rPr>
    </w:pPr>
    <w:r>
      <w:rPr>
        <w:i/>
        <w:iCs/>
      </w:rPr>
      <w:t>Tradus și revizuit de IER (</w:t>
    </w:r>
    <w:hyperlink r:id="rId1" w:history="1">
      <w:r>
        <w:rPr>
          <w:i/>
        </w:rPr>
        <w:t>http://ier.gov.ro/</w:t>
      </w:r>
    </w:hyperlink>
    <w:r>
      <w:rPr>
        <w:i/>
        <w:iCs/>
      </w:rPr>
      <w:t>)</w:t>
    </w:r>
  </w:p>
  <w:p w:rsidR="00B70256" w:rsidRPr="00A45145" w:rsidRDefault="00B70256" w:rsidP="00B70256">
    <w:pPr>
      <w:jc w:val="center"/>
    </w:pPr>
    <w:r>
      <w:rPr>
        <w:noProof/>
        <w:lang w:val="en-US"/>
      </w:rPr>
      <w:drawing>
        <wp:inline distT="0" distB="0" distL="0" distR="0" wp14:anchorId="3F0FAE3F" wp14:editId="579C8140">
          <wp:extent cx="2962275" cy="1219200"/>
          <wp:effectExtent l="0" t="0" r="9525" b="0"/>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B70256" w:rsidRPr="00047F17" w:rsidRDefault="00B70256" w:rsidP="00B70256"/>
  <w:p w:rsidR="00B70256" w:rsidRDefault="00B70256" w:rsidP="00B70256">
    <w:pPr>
      <w:pStyle w:val="Header"/>
    </w:pPr>
  </w:p>
  <w:p w:rsidR="00B70256" w:rsidRPr="00A17F03" w:rsidRDefault="00B70256" w:rsidP="00B70256">
    <w:pPr>
      <w:jc w:val="center"/>
      <w:rPr>
        <w:sz w:val="18"/>
      </w:rPr>
    </w:pPr>
  </w:p>
  <w:p w:rsidR="00B70256" w:rsidRPr="00331C20" w:rsidRDefault="00B70256" w:rsidP="00B70256">
    <w:pPr>
      <w:pStyle w:val="Header"/>
    </w:pPr>
  </w:p>
  <w:p w:rsidR="00A27FB5" w:rsidRPr="00B70256" w:rsidRDefault="00A27FB5" w:rsidP="00B702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31" w:rsidRPr="00CE354D" w:rsidRDefault="003E0E31" w:rsidP="00CE354D">
    <w:pPr>
      <w:pStyle w:val="ECHRHeader"/>
    </w:pPr>
    <w:r>
      <w:rPr>
        <w:rStyle w:val="PageNumber"/>
      </w:rPr>
      <w:fldChar w:fldCharType="begin"/>
    </w:r>
    <w:r w:rsidRPr="004D2086">
      <w:rPr>
        <w:rStyle w:val="PageNumber"/>
      </w:rPr>
      <w:instrText xml:space="preserve"> PAGE </w:instrText>
    </w:r>
    <w:r>
      <w:rPr>
        <w:rStyle w:val="PageNumber"/>
      </w:rPr>
      <w:fldChar w:fldCharType="separate"/>
    </w:r>
    <w:r w:rsidR="0054423C">
      <w:rPr>
        <w:rStyle w:val="PageNumber"/>
        <w:noProof/>
      </w:rPr>
      <w:t>6</w:t>
    </w:r>
    <w:r>
      <w:rPr>
        <w:rStyle w:val="PageNumber"/>
      </w:rPr>
      <w:fldChar w:fldCharType="end"/>
    </w:r>
    <w:r>
      <w:tab/>
      <w:t>HOTĂRÂREA PETROIU ÎMPOTRIVA ROMÂNIEI (REVIZUIRE)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31" w:rsidRPr="00CE354D" w:rsidRDefault="003E0E31" w:rsidP="00CE354D">
    <w:pPr>
      <w:pStyle w:val="ECHRHeader"/>
    </w:pPr>
    <w:r>
      <w:tab/>
    </w:r>
    <w:r>
      <w:t>HOTĂRÂREA PETROIU ÎMPOTRIVA ROMÂNIEI (REVIZUIRE)</w:t>
    </w:r>
    <w:r>
      <w:tab/>
    </w:r>
    <w:r>
      <w:rPr>
        <w:rStyle w:val="PageNumber"/>
        <w:rFonts w:asciiTheme="minorHAnsi" w:hAnsiTheme="minorHAnsi" w:cstheme="minorBidi"/>
      </w:rPr>
      <w:fldChar w:fldCharType="begin"/>
    </w:r>
    <w:r>
      <w:rPr>
        <w:rStyle w:val="PageNumber"/>
        <w:rFonts w:asciiTheme="minorHAnsi" w:hAnsiTheme="minorHAnsi" w:cstheme="minorBidi"/>
      </w:rPr>
      <w:instrText xml:space="preserve"> PAGE </w:instrText>
    </w:r>
    <w:r>
      <w:rPr>
        <w:rStyle w:val="PageNumber"/>
        <w:rFonts w:asciiTheme="minorHAnsi" w:hAnsiTheme="minorHAnsi" w:cstheme="minorBidi"/>
      </w:rPr>
      <w:fldChar w:fldCharType="separate"/>
    </w:r>
    <w:r w:rsidR="0054423C">
      <w:rPr>
        <w:rStyle w:val="PageNumber"/>
        <w:rFonts w:asciiTheme="minorHAnsi" w:hAnsiTheme="minorHAnsi" w:cstheme="minorBidi"/>
        <w:noProof/>
      </w:rPr>
      <w:t>5</w:t>
    </w:r>
    <w:r>
      <w:rPr>
        <w:rStyle w:val="PageNumber"/>
        <w:rFonts w:asciiTheme="minorHAnsi" w:hAnsiTheme="minorHAnsi" w:cstheme="minorBid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FD4758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3A4DD2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48FB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976C73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0A08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2"/>
    <w:multiLevelType w:val="singleLevel"/>
    <w:tmpl w:val="B7AA92D4"/>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71EEE5A"/>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F1E5AA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CDA51D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B0E292B"/>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32E115C0"/>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1ED43BC"/>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0"/>
  </w:num>
  <w:num w:numId="12">
    <w:abstractNumId w:val="9"/>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PAR VOIE ÉLECTRONIQUE UNIQUEMENT"/>
    <w:docVar w:name="L4_1Annex" w:val="0"/>
    <w:docVar w:name="L4_1Anonymity" w:val="0"/>
    <w:docVar w:name="NBEMMDOC" w:val="0"/>
    <w:docVar w:name="SignForeName" w:val="0"/>
  </w:docVars>
  <w:rsids>
    <w:rsidRoot w:val="004D2086"/>
    <w:rsid w:val="000041F8"/>
    <w:rsid w:val="000042A8"/>
    <w:rsid w:val="00004308"/>
    <w:rsid w:val="00005BF0"/>
    <w:rsid w:val="00005DD2"/>
    <w:rsid w:val="00007154"/>
    <w:rsid w:val="000103AE"/>
    <w:rsid w:val="00011D69"/>
    <w:rsid w:val="00012AD3"/>
    <w:rsid w:val="00015C2D"/>
    <w:rsid w:val="00015F00"/>
    <w:rsid w:val="00020D86"/>
    <w:rsid w:val="00022C1D"/>
    <w:rsid w:val="00034987"/>
    <w:rsid w:val="00045D35"/>
    <w:rsid w:val="000602DF"/>
    <w:rsid w:val="00061B05"/>
    <w:rsid w:val="000632D5"/>
    <w:rsid w:val="000644EE"/>
    <w:rsid w:val="00065CE8"/>
    <w:rsid w:val="00067F86"/>
    <w:rsid w:val="000814B2"/>
    <w:rsid w:val="000925AD"/>
    <w:rsid w:val="000A24EB"/>
    <w:rsid w:val="000B0D9E"/>
    <w:rsid w:val="000B6923"/>
    <w:rsid w:val="000C5F3C"/>
    <w:rsid w:val="000C6DCC"/>
    <w:rsid w:val="000D47AA"/>
    <w:rsid w:val="000D721F"/>
    <w:rsid w:val="000E069B"/>
    <w:rsid w:val="000E0E82"/>
    <w:rsid w:val="000E1DC5"/>
    <w:rsid w:val="000E223F"/>
    <w:rsid w:val="000E7D45"/>
    <w:rsid w:val="000F49B6"/>
    <w:rsid w:val="000F7851"/>
    <w:rsid w:val="00102EA0"/>
    <w:rsid w:val="00104E23"/>
    <w:rsid w:val="001050D2"/>
    <w:rsid w:val="00107079"/>
    <w:rsid w:val="00111B0C"/>
    <w:rsid w:val="00120D6C"/>
    <w:rsid w:val="00122E00"/>
    <w:rsid w:val="001257EC"/>
    <w:rsid w:val="00131050"/>
    <w:rsid w:val="00133D33"/>
    <w:rsid w:val="00134D64"/>
    <w:rsid w:val="00135A30"/>
    <w:rsid w:val="0013612C"/>
    <w:rsid w:val="00137FF6"/>
    <w:rsid w:val="00141650"/>
    <w:rsid w:val="00151B3C"/>
    <w:rsid w:val="00152B2A"/>
    <w:rsid w:val="00153DFE"/>
    <w:rsid w:val="00162A12"/>
    <w:rsid w:val="00166530"/>
    <w:rsid w:val="00170169"/>
    <w:rsid w:val="00173E79"/>
    <w:rsid w:val="001832BD"/>
    <w:rsid w:val="001943B5"/>
    <w:rsid w:val="00195134"/>
    <w:rsid w:val="001A145B"/>
    <w:rsid w:val="001A674C"/>
    <w:rsid w:val="001B3B24"/>
    <w:rsid w:val="001C0F98"/>
    <w:rsid w:val="001C2A42"/>
    <w:rsid w:val="001D1D46"/>
    <w:rsid w:val="001D63ED"/>
    <w:rsid w:val="001D655C"/>
    <w:rsid w:val="001D7348"/>
    <w:rsid w:val="001E035B"/>
    <w:rsid w:val="001E0961"/>
    <w:rsid w:val="001E3EAE"/>
    <w:rsid w:val="001E6F32"/>
    <w:rsid w:val="001F2145"/>
    <w:rsid w:val="001F6262"/>
    <w:rsid w:val="001F67B0"/>
    <w:rsid w:val="001F7B3D"/>
    <w:rsid w:val="00205F9F"/>
    <w:rsid w:val="00210338"/>
    <w:rsid w:val="002115FC"/>
    <w:rsid w:val="0021423C"/>
    <w:rsid w:val="002145E3"/>
    <w:rsid w:val="00227CC8"/>
    <w:rsid w:val="00230D00"/>
    <w:rsid w:val="00231DF7"/>
    <w:rsid w:val="00231FD1"/>
    <w:rsid w:val="002339E0"/>
    <w:rsid w:val="00233CF8"/>
    <w:rsid w:val="0023575D"/>
    <w:rsid w:val="00237148"/>
    <w:rsid w:val="0024222D"/>
    <w:rsid w:val="00244B0E"/>
    <w:rsid w:val="00244F6C"/>
    <w:rsid w:val="002471E8"/>
    <w:rsid w:val="002532C5"/>
    <w:rsid w:val="00257C2F"/>
    <w:rsid w:val="00260C03"/>
    <w:rsid w:val="0026540E"/>
    <w:rsid w:val="00275123"/>
    <w:rsid w:val="00282240"/>
    <w:rsid w:val="002948AD"/>
    <w:rsid w:val="002A01CC"/>
    <w:rsid w:val="002A61B1"/>
    <w:rsid w:val="002A663C"/>
    <w:rsid w:val="002A7CFB"/>
    <w:rsid w:val="002B444B"/>
    <w:rsid w:val="002B4540"/>
    <w:rsid w:val="002B5887"/>
    <w:rsid w:val="002C0E27"/>
    <w:rsid w:val="002C0F20"/>
    <w:rsid w:val="002C3040"/>
    <w:rsid w:val="002D022D"/>
    <w:rsid w:val="002D1DC0"/>
    <w:rsid w:val="002D24BB"/>
    <w:rsid w:val="002F2AF7"/>
    <w:rsid w:val="002F2F08"/>
    <w:rsid w:val="002F7E1C"/>
    <w:rsid w:val="00301A75"/>
    <w:rsid w:val="00302F70"/>
    <w:rsid w:val="0030336F"/>
    <w:rsid w:val="0030375E"/>
    <w:rsid w:val="00312A30"/>
    <w:rsid w:val="00314B2A"/>
    <w:rsid w:val="00320F72"/>
    <w:rsid w:val="0032463E"/>
    <w:rsid w:val="00326224"/>
    <w:rsid w:val="003312C6"/>
    <w:rsid w:val="00337EE4"/>
    <w:rsid w:val="00340FFD"/>
    <w:rsid w:val="003506B1"/>
    <w:rsid w:val="00356AC7"/>
    <w:rsid w:val="00357908"/>
    <w:rsid w:val="003609FA"/>
    <w:rsid w:val="00361D92"/>
    <w:rsid w:val="003710C8"/>
    <w:rsid w:val="003750BE"/>
    <w:rsid w:val="003755E4"/>
    <w:rsid w:val="00377DDD"/>
    <w:rsid w:val="00387B9D"/>
    <w:rsid w:val="00392945"/>
    <w:rsid w:val="0039364F"/>
    <w:rsid w:val="00396686"/>
    <w:rsid w:val="0039778E"/>
    <w:rsid w:val="003B4941"/>
    <w:rsid w:val="003C5714"/>
    <w:rsid w:val="003C6B9F"/>
    <w:rsid w:val="003C6E2A"/>
    <w:rsid w:val="003D0299"/>
    <w:rsid w:val="003E02AE"/>
    <w:rsid w:val="003E0E31"/>
    <w:rsid w:val="003E6D80"/>
    <w:rsid w:val="003F05FA"/>
    <w:rsid w:val="003F244A"/>
    <w:rsid w:val="003F30B8"/>
    <w:rsid w:val="003F4C45"/>
    <w:rsid w:val="003F5F7B"/>
    <w:rsid w:val="003F7D64"/>
    <w:rsid w:val="00414300"/>
    <w:rsid w:val="00417316"/>
    <w:rsid w:val="00425C67"/>
    <w:rsid w:val="00427E7A"/>
    <w:rsid w:val="00431EA0"/>
    <w:rsid w:val="00436C49"/>
    <w:rsid w:val="00445366"/>
    <w:rsid w:val="00447F5B"/>
    <w:rsid w:val="00461DB0"/>
    <w:rsid w:val="00463926"/>
    <w:rsid w:val="004639C4"/>
    <w:rsid w:val="00464C9A"/>
    <w:rsid w:val="00474F3D"/>
    <w:rsid w:val="00477E3A"/>
    <w:rsid w:val="00483E5F"/>
    <w:rsid w:val="00484303"/>
    <w:rsid w:val="00485FF9"/>
    <w:rsid w:val="004907F0"/>
    <w:rsid w:val="0049140B"/>
    <w:rsid w:val="004923A5"/>
    <w:rsid w:val="00496BFB"/>
    <w:rsid w:val="004A15C7"/>
    <w:rsid w:val="004A1E14"/>
    <w:rsid w:val="004A45F1"/>
    <w:rsid w:val="004B013B"/>
    <w:rsid w:val="004B112B"/>
    <w:rsid w:val="004C01E4"/>
    <w:rsid w:val="004C086C"/>
    <w:rsid w:val="004C1F56"/>
    <w:rsid w:val="004C27BC"/>
    <w:rsid w:val="004D15F3"/>
    <w:rsid w:val="004D2086"/>
    <w:rsid w:val="004D3F07"/>
    <w:rsid w:val="004D5311"/>
    <w:rsid w:val="004D557F"/>
    <w:rsid w:val="004D5DCC"/>
    <w:rsid w:val="004D6EB0"/>
    <w:rsid w:val="004F10AF"/>
    <w:rsid w:val="004F11A4"/>
    <w:rsid w:val="004F2389"/>
    <w:rsid w:val="004F304D"/>
    <w:rsid w:val="004F61BE"/>
    <w:rsid w:val="004F66B1"/>
    <w:rsid w:val="00511C07"/>
    <w:rsid w:val="005156A2"/>
    <w:rsid w:val="005173A6"/>
    <w:rsid w:val="00517B78"/>
    <w:rsid w:val="00520BAA"/>
    <w:rsid w:val="00525189"/>
    <w:rsid w:val="00525208"/>
    <w:rsid w:val="005257A5"/>
    <w:rsid w:val="005264C0"/>
    <w:rsid w:val="00526A8A"/>
    <w:rsid w:val="00531DF2"/>
    <w:rsid w:val="0054423C"/>
    <w:rsid w:val="005442EE"/>
    <w:rsid w:val="00547353"/>
    <w:rsid w:val="005474E7"/>
    <w:rsid w:val="005512A3"/>
    <w:rsid w:val="005527A8"/>
    <w:rsid w:val="005578CE"/>
    <w:rsid w:val="00562781"/>
    <w:rsid w:val="005639F0"/>
    <w:rsid w:val="00565EED"/>
    <w:rsid w:val="0057271C"/>
    <w:rsid w:val="00572845"/>
    <w:rsid w:val="00592772"/>
    <w:rsid w:val="0059466C"/>
    <w:rsid w:val="0059574A"/>
    <w:rsid w:val="005964DE"/>
    <w:rsid w:val="005A1B9B"/>
    <w:rsid w:val="005A6751"/>
    <w:rsid w:val="005B092E"/>
    <w:rsid w:val="005B152C"/>
    <w:rsid w:val="005B1EE0"/>
    <w:rsid w:val="005B2B24"/>
    <w:rsid w:val="005B4425"/>
    <w:rsid w:val="005B4B94"/>
    <w:rsid w:val="005C3EE8"/>
    <w:rsid w:val="005D34F9"/>
    <w:rsid w:val="005D4190"/>
    <w:rsid w:val="005D67A3"/>
    <w:rsid w:val="005E2988"/>
    <w:rsid w:val="005E3085"/>
    <w:rsid w:val="005F51E1"/>
    <w:rsid w:val="006008ED"/>
    <w:rsid w:val="00611C80"/>
    <w:rsid w:val="00620692"/>
    <w:rsid w:val="006218B8"/>
    <w:rsid w:val="006242CA"/>
    <w:rsid w:val="00626A4B"/>
    <w:rsid w:val="00627507"/>
    <w:rsid w:val="00633717"/>
    <w:rsid w:val="006344E1"/>
    <w:rsid w:val="00636BCD"/>
    <w:rsid w:val="00644368"/>
    <w:rsid w:val="006545C4"/>
    <w:rsid w:val="00657ABC"/>
    <w:rsid w:val="00661971"/>
    <w:rsid w:val="00661CE8"/>
    <w:rsid w:val="006623D9"/>
    <w:rsid w:val="006640CC"/>
    <w:rsid w:val="0066550C"/>
    <w:rsid w:val="00667082"/>
    <w:rsid w:val="006716F2"/>
    <w:rsid w:val="00671C87"/>
    <w:rsid w:val="0067799F"/>
    <w:rsid w:val="00682BF2"/>
    <w:rsid w:val="006859CE"/>
    <w:rsid w:val="00691270"/>
    <w:rsid w:val="00694BA8"/>
    <w:rsid w:val="00694FF0"/>
    <w:rsid w:val="006A037C"/>
    <w:rsid w:val="006A36F4"/>
    <w:rsid w:val="006A406F"/>
    <w:rsid w:val="006A4606"/>
    <w:rsid w:val="006A5D3A"/>
    <w:rsid w:val="006A62DE"/>
    <w:rsid w:val="006B502B"/>
    <w:rsid w:val="006C23D4"/>
    <w:rsid w:val="006C27FF"/>
    <w:rsid w:val="006C7252"/>
    <w:rsid w:val="006C7BB0"/>
    <w:rsid w:val="006D1381"/>
    <w:rsid w:val="006D3237"/>
    <w:rsid w:val="006D3BAA"/>
    <w:rsid w:val="006E2E37"/>
    <w:rsid w:val="006E3CF1"/>
    <w:rsid w:val="006E7E80"/>
    <w:rsid w:val="006F1F2D"/>
    <w:rsid w:val="006F44D7"/>
    <w:rsid w:val="006F48CA"/>
    <w:rsid w:val="006F4B96"/>
    <w:rsid w:val="006F64DD"/>
    <w:rsid w:val="00702604"/>
    <w:rsid w:val="007072FC"/>
    <w:rsid w:val="00713F0F"/>
    <w:rsid w:val="00715127"/>
    <w:rsid w:val="00715E8E"/>
    <w:rsid w:val="0071675E"/>
    <w:rsid w:val="0072274F"/>
    <w:rsid w:val="00723580"/>
    <w:rsid w:val="00723755"/>
    <w:rsid w:val="0073136C"/>
    <w:rsid w:val="00731F0F"/>
    <w:rsid w:val="00733250"/>
    <w:rsid w:val="00741404"/>
    <w:rsid w:val="0074174B"/>
    <w:rsid w:val="007449E5"/>
    <w:rsid w:val="00747FF0"/>
    <w:rsid w:val="007617BE"/>
    <w:rsid w:val="0076388E"/>
    <w:rsid w:val="00764D4E"/>
    <w:rsid w:val="00765A1F"/>
    <w:rsid w:val="007707D5"/>
    <w:rsid w:val="00775B6D"/>
    <w:rsid w:val="0077629E"/>
    <w:rsid w:val="00776D68"/>
    <w:rsid w:val="007850EE"/>
    <w:rsid w:val="00785B95"/>
    <w:rsid w:val="00790E96"/>
    <w:rsid w:val="00793366"/>
    <w:rsid w:val="007A6564"/>
    <w:rsid w:val="007A716F"/>
    <w:rsid w:val="007B270A"/>
    <w:rsid w:val="007B5E7F"/>
    <w:rsid w:val="007C0695"/>
    <w:rsid w:val="007C419A"/>
    <w:rsid w:val="007C4CC8"/>
    <w:rsid w:val="007C5426"/>
    <w:rsid w:val="007C5798"/>
    <w:rsid w:val="007D4832"/>
    <w:rsid w:val="007E21B2"/>
    <w:rsid w:val="007E2C4E"/>
    <w:rsid w:val="007F1905"/>
    <w:rsid w:val="00801300"/>
    <w:rsid w:val="00801EB7"/>
    <w:rsid w:val="00802C64"/>
    <w:rsid w:val="00805E52"/>
    <w:rsid w:val="008061D0"/>
    <w:rsid w:val="00807A7B"/>
    <w:rsid w:val="00810052"/>
    <w:rsid w:val="00810B38"/>
    <w:rsid w:val="00816DDC"/>
    <w:rsid w:val="00817A20"/>
    <w:rsid w:val="008204C7"/>
    <w:rsid w:val="00820992"/>
    <w:rsid w:val="00823602"/>
    <w:rsid w:val="008255F5"/>
    <w:rsid w:val="0083014E"/>
    <w:rsid w:val="0083214A"/>
    <w:rsid w:val="00832340"/>
    <w:rsid w:val="00834220"/>
    <w:rsid w:val="00845723"/>
    <w:rsid w:val="00851EF9"/>
    <w:rsid w:val="008577FD"/>
    <w:rsid w:val="00860B03"/>
    <w:rsid w:val="0086497A"/>
    <w:rsid w:val="008713A1"/>
    <w:rsid w:val="008754AB"/>
    <w:rsid w:val="0088060C"/>
    <w:rsid w:val="00883800"/>
    <w:rsid w:val="0088506A"/>
    <w:rsid w:val="00886F70"/>
    <w:rsid w:val="00893576"/>
    <w:rsid w:val="00893E73"/>
    <w:rsid w:val="008A0D7D"/>
    <w:rsid w:val="008B02DC"/>
    <w:rsid w:val="008B0605"/>
    <w:rsid w:val="008B57CE"/>
    <w:rsid w:val="008C26DE"/>
    <w:rsid w:val="008C6B7B"/>
    <w:rsid w:val="008D2225"/>
    <w:rsid w:val="008D4752"/>
    <w:rsid w:val="008D7855"/>
    <w:rsid w:val="008E271C"/>
    <w:rsid w:val="008E418E"/>
    <w:rsid w:val="008E581A"/>
    <w:rsid w:val="008E5BC6"/>
    <w:rsid w:val="008E6A25"/>
    <w:rsid w:val="008F5193"/>
    <w:rsid w:val="009013A7"/>
    <w:rsid w:val="009017FB"/>
    <w:rsid w:val="009017FC"/>
    <w:rsid w:val="0090506B"/>
    <w:rsid w:val="009050C9"/>
    <w:rsid w:val="009066FC"/>
    <w:rsid w:val="00911AAB"/>
    <w:rsid w:val="009138C5"/>
    <w:rsid w:val="009140A3"/>
    <w:rsid w:val="009144A2"/>
    <w:rsid w:val="0091510C"/>
    <w:rsid w:val="009259AC"/>
    <w:rsid w:val="00926F38"/>
    <w:rsid w:val="00934301"/>
    <w:rsid w:val="00936CD1"/>
    <w:rsid w:val="00941747"/>
    <w:rsid w:val="00941EFB"/>
    <w:rsid w:val="00946557"/>
    <w:rsid w:val="00947AFB"/>
    <w:rsid w:val="00951D7D"/>
    <w:rsid w:val="009628F7"/>
    <w:rsid w:val="009630C7"/>
    <w:rsid w:val="00972B55"/>
    <w:rsid w:val="009743B7"/>
    <w:rsid w:val="009747BA"/>
    <w:rsid w:val="0098228B"/>
    <w:rsid w:val="009828DA"/>
    <w:rsid w:val="00985BAB"/>
    <w:rsid w:val="0098613D"/>
    <w:rsid w:val="00990790"/>
    <w:rsid w:val="009B1B5F"/>
    <w:rsid w:val="009B32AD"/>
    <w:rsid w:val="009B6673"/>
    <w:rsid w:val="009C191B"/>
    <w:rsid w:val="009C2BD6"/>
    <w:rsid w:val="009E1F32"/>
    <w:rsid w:val="009E776C"/>
    <w:rsid w:val="00A060F7"/>
    <w:rsid w:val="00A12640"/>
    <w:rsid w:val="00A16487"/>
    <w:rsid w:val="00A17002"/>
    <w:rsid w:val="00A1726E"/>
    <w:rsid w:val="00A204CF"/>
    <w:rsid w:val="00A23D49"/>
    <w:rsid w:val="00A26284"/>
    <w:rsid w:val="00A27004"/>
    <w:rsid w:val="00A27FB5"/>
    <w:rsid w:val="00A30C29"/>
    <w:rsid w:val="00A320AD"/>
    <w:rsid w:val="00A34DD6"/>
    <w:rsid w:val="00A36819"/>
    <w:rsid w:val="00A36989"/>
    <w:rsid w:val="00A43628"/>
    <w:rsid w:val="00A511BC"/>
    <w:rsid w:val="00A54012"/>
    <w:rsid w:val="00A54192"/>
    <w:rsid w:val="00A6035E"/>
    <w:rsid w:val="00A61324"/>
    <w:rsid w:val="00A6144C"/>
    <w:rsid w:val="00A66617"/>
    <w:rsid w:val="00A671F8"/>
    <w:rsid w:val="00A6736F"/>
    <w:rsid w:val="00A673A4"/>
    <w:rsid w:val="00A724AE"/>
    <w:rsid w:val="00A73329"/>
    <w:rsid w:val="00A806D6"/>
    <w:rsid w:val="00A82359"/>
    <w:rsid w:val="00A84573"/>
    <w:rsid w:val="00A865D2"/>
    <w:rsid w:val="00A93BF8"/>
    <w:rsid w:val="00A94C20"/>
    <w:rsid w:val="00AA227F"/>
    <w:rsid w:val="00AA3BC7"/>
    <w:rsid w:val="00AA3C42"/>
    <w:rsid w:val="00AA754A"/>
    <w:rsid w:val="00AB099E"/>
    <w:rsid w:val="00AB4328"/>
    <w:rsid w:val="00AC0904"/>
    <w:rsid w:val="00AC13DD"/>
    <w:rsid w:val="00AE0A2E"/>
    <w:rsid w:val="00AE354C"/>
    <w:rsid w:val="00AE6CC8"/>
    <w:rsid w:val="00AF4B07"/>
    <w:rsid w:val="00AF4F76"/>
    <w:rsid w:val="00AF6186"/>
    <w:rsid w:val="00AF7A3A"/>
    <w:rsid w:val="00B160DB"/>
    <w:rsid w:val="00B20836"/>
    <w:rsid w:val="00B235BB"/>
    <w:rsid w:val="00B27A44"/>
    <w:rsid w:val="00B30BBF"/>
    <w:rsid w:val="00B33C03"/>
    <w:rsid w:val="00B44E56"/>
    <w:rsid w:val="00B46543"/>
    <w:rsid w:val="00B47D33"/>
    <w:rsid w:val="00B5020F"/>
    <w:rsid w:val="00B52BE0"/>
    <w:rsid w:val="00B54133"/>
    <w:rsid w:val="00B67F9F"/>
    <w:rsid w:val="00B701ED"/>
    <w:rsid w:val="00B70256"/>
    <w:rsid w:val="00B8086C"/>
    <w:rsid w:val="00B861B4"/>
    <w:rsid w:val="00B86DFE"/>
    <w:rsid w:val="00B90990"/>
    <w:rsid w:val="00B922FF"/>
    <w:rsid w:val="00B9281E"/>
    <w:rsid w:val="00B93925"/>
    <w:rsid w:val="00B95187"/>
    <w:rsid w:val="00BA2D55"/>
    <w:rsid w:val="00BA71B1"/>
    <w:rsid w:val="00BB0637"/>
    <w:rsid w:val="00BB345F"/>
    <w:rsid w:val="00BB68EA"/>
    <w:rsid w:val="00BC1C27"/>
    <w:rsid w:val="00BC6BBF"/>
    <w:rsid w:val="00BD1572"/>
    <w:rsid w:val="00BE14E3"/>
    <w:rsid w:val="00BE3774"/>
    <w:rsid w:val="00BE41E5"/>
    <w:rsid w:val="00BF4109"/>
    <w:rsid w:val="00BF4CC3"/>
    <w:rsid w:val="00C054C7"/>
    <w:rsid w:val="00C057B5"/>
    <w:rsid w:val="00C13262"/>
    <w:rsid w:val="00C22687"/>
    <w:rsid w:val="00C32E4D"/>
    <w:rsid w:val="00C333A0"/>
    <w:rsid w:val="00C36408"/>
    <w:rsid w:val="00C36A81"/>
    <w:rsid w:val="00C41974"/>
    <w:rsid w:val="00C53F4A"/>
    <w:rsid w:val="00C54125"/>
    <w:rsid w:val="00C55B54"/>
    <w:rsid w:val="00C56A36"/>
    <w:rsid w:val="00C6097D"/>
    <w:rsid w:val="00C6098E"/>
    <w:rsid w:val="00C6152C"/>
    <w:rsid w:val="00C73462"/>
    <w:rsid w:val="00C73BA2"/>
    <w:rsid w:val="00C74810"/>
    <w:rsid w:val="00C75087"/>
    <w:rsid w:val="00C7754F"/>
    <w:rsid w:val="00C90D68"/>
    <w:rsid w:val="00C939FE"/>
    <w:rsid w:val="00CA2901"/>
    <w:rsid w:val="00CA4BDA"/>
    <w:rsid w:val="00CB1F66"/>
    <w:rsid w:val="00CB2951"/>
    <w:rsid w:val="00CB37FB"/>
    <w:rsid w:val="00CD282B"/>
    <w:rsid w:val="00CD284A"/>
    <w:rsid w:val="00CD4C35"/>
    <w:rsid w:val="00CD7369"/>
    <w:rsid w:val="00CE0B0E"/>
    <w:rsid w:val="00CE354D"/>
    <w:rsid w:val="00CE3831"/>
    <w:rsid w:val="00D00ABB"/>
    <w:rsid w:val="00D01310"/>
    <w:rsid w:val="00D02EEC"/>
    <w:rsid w:val="00D03551"/>
    <w:rsid w:val="00D050AF"/>
    <w:rsid w:val="00D06A63"/>
    <w:rsid w:val="00D07E0E"/>
    <w:rsid w:val="00D11478"/>
    <w:rsid w:val="00D15ED0"/>
    <w:rsid w:val="00D21B3E"/>
    <w:rsid w:val="00D21FED"/>
    <w:rsid w:val="00D24251"/>
    <w:rsid w:val="00D343E2"/>
    <w:rsid w:val="00D361A2"/>
    <w:rsid w:val="00D44C2E"/>
    <w:rsid w:val="00D45414"/>
    <w:rsid w:val="00D566BD"/>
    <w:rsid w:val="00D57A4D"/>
    <w:rsid w:val="00D60AA7"/>
    <w:rsid w:val="00D6435F"/>
    <w:rsid w:val="00D75E28"/>
    <w:rsid w:val="00D772C2"/>
    <w:rsid w:val="00D8008E"/>
    <w:rsid w:val="00D82C45"/>
    <w:rsid w:val="00D908A8"/>
    <w:rsid w:val="00D922A4"/>
    <w:rsid w:val="00D977B6"/>
    <w:rsid w:val="00DA4A31"/>
    <w:rsid w:val="00DA7B04"/>
    <w:rsid w:val="00DB36C2"/>
    <w:rsid w:val="00DC169B"/>
    <w:rsid w:val="00DC1FE1"/>
    <w:rsid w:val="00DC2AB9"/>
    <w:rsid w:val="00DC63F0"/>
    <w:rsid w:val="00DD6EE5"/>
    <w:rsid w:val="00DE386C"/>
    <w:rsid w:val="00DE4D35"/>
    <w:rsid w:val="00DF098B"/>
    <w:rsid w:val="00DF11C4"/>
    <w:rsid w:val="00DF18EA"/>
    <w:rsid w:val="00DF210C"/>
    <w:rsid w:val="00DF4B6A"/>
    <w:rsid w:val="00DF5071"/>
    <w:rsid w:val="00E02C09"/>
    <w:rsid w:val="00E04D59"/>
    <w:rsid w:val="00E07DA1"/>
    <w:rsid w:val="00E123CB"/>
    <w:rsid w:val="00E12B22"/>
    <w:rsid w:val="00E14849"/>
    <w:rsid w:val="00E20E13"/>
    <w:rsid w:val="00E21DBC"/>
    <w:rsid w:val="00E275D7"/>
    <w:rsid w:val="00E27DBE"/>
    <w:rsid w:val="00E3198B"/>
    <w:rsid w:val="00E32AB1"/>
    <w:rsid w:val="00E36C71"/>
    <w:rsid w:val="00E40404"/>
    <w:rsid w:val="00E437C8"/>
    <w:rsid w:val="00E459C6"/>
    <w:rsid w:val="00E47589"/>
    <w:rsid w:val="00E54852"/>
    <w:rsid w:val="00E64915"/>
    <w:rsid w:val="00E661D4"/>
    <w:rsid w:val="00E70091"/>
    <w:rsid w:val="00E720F5"/>
    <w:rsid w:val="00E76D47"/>
    <w:rsid w:val="00E849F7"/>
    <w:rsid w:val="00E90302"/>
    <w:rsid w:val="00E9170F"/>
    <w:rsid w:val="00E96F5D"/>
    <w:rsid w:val="00E97396"/>
    <w:rsid w:val="00EA185E"/>
    <w:rsid w:val="00EA592A"/>
    <w:rsid w:val="00EB14E4"/>
    <w:rsid w:val="00EB32A5"/>
    <w:rsid w:val="00EB34ED"/>
    <w:rsid w:val="00EB4C19"/>
    <w:rsid w:val="00EB7BE0"/>
    <w:rsid w:val="00EC315E"/>
    <w:rsid w:val="00EC7006"/>
    <w:rsid w:val="00ED077C"/>
    <w:rsid w:val="00ED0A1D"/>
    <w:rsid w:val="00ED1190"/>
    <w:rsid w:val="00ED2F63"/>
    <w:rsid w:val="00ED6544"/>
    <w:rsid w:val="00EE0277"/>
    <w:rsid w:val="00EE3E00"/>
    <w:rsid w:val="00EE5DD2"/>
    <w:rsid w:val="00F00A79"/>
    <w:rsid w:val="00F00E86"/>
    <w:rsid w:val="00F032B4"/>
    <w:rsid w:val="00F07C1E"/>
    <w:rsid w:val="00F105DB"/>
    <w:rsid w:val="00F12CB8"/>
    <w:rsid w:val="00F132BC"/>
    <w:rsid w:val="00F13D80"/>
    <w:rsid w:val="00F16AAA"/>
    <w:rsid w:val="00F21161"/>
    <w:rsid w:val="00F218EF"/>
    <w:rsid w:val="00F21BC7"/>
    <w:rsid w:val="00F266A2"/>
    <w:rsid w:val="00F32269"/>
    <w:rsid w:val="00F37710"/>
    <w:rsid w:val="00F50C4C"/>
    <w:rsid w:val="00F56A6F"/>
    <w:rsid w:val="00F5709C"/>
    <w:rsid w:val="00F57727"/>
    <w:rsid w:val="00F64EF1"/>
    <w:rsid w:val="00F842D8"/>
    <w:rsid w:val="00F85E85"/>
    <w:rsid w:val="00F8765F"/>
    <w:rsid w:val="00F90767"/>
    <w:rsid w:val="00FA685B"/>
    <w:rsid w:val="00FB0C01"/>
    <w:rsid w:val="00FB30F4"/>
    <w:rsid w:val="00FB6D5E"/>
    <w:rsid w:val="00FC18F2"/>
    <w:rsid w:val="00FC39E5"/>
    <w:rsid w:val="00FC3A78"/>
    <w:rsid w:val="00FD1005"/>
    <w:rsid w:val="00FD2BD8"/>
    <w:rsid w:val="00FD34B6"/>
    <w:rsid w:val="00FD3BC4"/>
    <w:rsid w:val="00FD5604"/>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17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A511BC"/>
    <w:pPr>
      <w:jc w:val="both"/>
    </w:pPr>
    <w:rPr>
      <w:rFonts w:eastAsiaTheme="minorEastAsia"/>
      <w:sz w:val="24"/>
    </w:rPr>
  </w:style>
  <w:style w:type="paragraph" w:styleId="Heading1">
    <w:name w:val="heading 1"/>
    <w:basedOn w:val="Normal"/>
    <w:next w:val="Normal"/>
    <w:link w:val="Heading1Char"/>
    <w:uiPriority w:val="99"/>
    <w:semiHidden/>
    <w:rsid w:val="00A511B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A511B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A511BC"/>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A511BC"/>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A511BC"/>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A511BC"/>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A511BC"/>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A511B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A511B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511BC"/>
    <w:rPr>
      <w:rFonts w:ascii="Tahoma" w:hAnsi="Tahoma" w:cs="Tahoma"/>
      <w:sz w:val="16"/>
      <w:szCs w:val="16"/>
    </w:rPr>
  </w:style>
  <w:style w:type="character" w:customStyle="1" w:styleId="BalloonTextChar">
    <w:name w:val="Balloon Text Char"/>
    <w:basedOn w:val="DefaultParagraphFont"/>
    <w:link w:val="BalloonText"/>
    <w:uiPriority w:val="99"/>
    <w:semiHidden/>
    <w:rsid w:val="00A511BC"/>
    <w:rPr>
      <w:rFonts w:ascii="Tahoma" w:eastAsiaTheme="minorEastAsia" w:hAnsi="Tahoma" w:cs="Tahoma"/>
      <w:sz w:val="16"/>
      <w:szCs w:val="16"/>
    </w:rPr>
  </w:style>
  <w:style w:type="character" w:styleId="BookTitle">
    <w:name w:val="Book Title"/>
    <w:uiPriority w:val="99"/>
    <w:semiHidden/>
    <w:qFormat/>
    <w:rsid w:val="00A511BC"/>
    <w:rPr>
      <w:i/>
      <w:iCs/>
      <w:smallCaps/>
      <w:spacing w:val="5"/>
    </w:rPr>
  </w:style>
  <w:style w:type="paragraph" w:customStyle="1" w:styleId="ECHRHeader">
    <w:name w:val="ECHR_Header"/>
    <w:aliases w:val="Ju_Header"/>
    <w:basedOn w:val="Header"/>
    <w:uiPriority w:val="4"/>
    <w:qFormat/>
    <w:rsid w:val="00A511BC"/>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A511BC"/>
    <w:pPr>
      <w:jc w:val="left"/>
    </w:pPr>
    <w:rPr>
      <w:sz w:val="8"/>
    </w:rPr>
  </w:style>
  <w:style w:type="character" w:styleId="Strong">
    <w:name w:val="Strong"/>
    <w:uiPriority w:val="99"/>
    <w:semiHidden/>
    <w:qFormat/>
    <w:rsid w:val="00A511BC"/>
    <w:rPr>
      <w:b/>
      <w:bCs/>
    </w:rPr>
  </w:style>
  <w:style w:type="paragraph" w:styleId="NoSpacing">
    <w:name w:val="No Spacing"/>
    <w:basedOn w:val="Normal"/>
    <w:link w:val="NoSpacingChar"/>
    <w:semiHidden/>
    <w:qFormat/>
    <w:rsid w:val="00A511BC"/>
    <w:rPr>
      <w:sz w:val="22"/>
    </w:rPr>
  </w:style>
  <w:style w:type="character" w:customStyle="1" w:styleId="NoSpacingChar">
    <w:name w:val="No Spacing Char"/>
    <w:basedOn w:val="DefaultParagraphFont"/>
    <w:link w:val="NoSpacing"/>
    <w:semiHidden/>
    <w:rsid w:val="00A511BC"/>
    <w:rPr>
      <w:rFonts w:eastAsiaTheme="minorEastAsia"/>
    </w:rPr>
  </w:style>
  <w:style w:type="paragraph" w:customStyle="1" w:styleId="ECHRFooterLine">
    <w:name w:val="ECHR_Footer_Line"/>
    <w:aliases w:val="Footer_Line"/>
    <w:basedOn w:val="Normal"/>
    <w:next w:val="ECHRFooter"/>
    <w:uiPriority w:val="57"/>
    <w:semiHidden/>
    <w:rsid w:val="00A511BC"/>
    <w:pPr>
      <w:pBdr>
        <w:top w:val="single" w:sz="6" w:space="1" w:color="5F5F5F"/>
      </w:pBdr>
      <w:tabs>
        <w:tab w:val="center" w:pos="4536"/>
        <w:tab w:val="right" w:pos="9696"/>
      </w:tabs>
      <w:ind w:left="-680" w:right="-680"/>
      <w:jc w:val="left"/>
    </w:pPr>
    <w:rPr>
      <w:color w:val="5F5F5F"/>
    </w:rPr>
  </w:style>
  <w:style w:type="paragraph" w:customStyle="1" w:styleId="DecHTitle">
    <w:name w:val="Dec_H_Title"/>
    <w:basedOn w:val="ECHRTitleCentre1"/>
    <w:uiPriority w:val="7"/>
    <w:semiHidden/>
    <w:qFormat/>
    <w:rsid w:val="00A511BC"/>
  </w:style>
  <w:style w:type="paragraph" w:customStyle="1" w:styleId="DecList">
    <w:name w:val="Dec_List"/>
    <w:basedOn w:val="Normal"/>
    <w:uiPriority w:val="9"/>
    <w:semiHidden/>
    <w:qFormat/>
    <w:rsid w:val="00A511BC"/>
    <w:pPr>
      <w:spacing w:before="240"/>
      <w:ind w:left="284"/>
    </w:pPr>
  </w:style>
  <w:style w:type="paragraph" w:customStyle="1" w:styleId="DummyStyle">
    <w:name w:val="Dummy_Style"/>
    <w:basedOn w:val="Normal"/>
    <w:semiHidden/>
    <w:qFormat/>
    <w:rsid w:val="00A511BC"/>
    <w:rPr>
      <w:color w:val="00B050"/>
    </w:rPr>
  </w:style>
  <w:style w:type="paragraph" w:customStyle="1" w:styleId="ECHRTitleCentre3">
    <w:name w:val="ECHR_Title_Centre_3"/>
    <w:aliases w:val="Ju_H_Article"/>
    <w:basedOn w:val="Normal"/>
    <w:next w:val="ECHRParaQuote"/>
    <w:uiPriority w:val="27"/>
    <w:qFormat/>
    <w:rsid w:val="00A511BC"/>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A511BC"/>
    <w:pPr>
      <w:keepNext/>
      <w:keepLines/>
      <w:spacing w:after="240"/>
      <w:jc w:val="center"/>
      <w:outlineLvl w:val="0"/>
    </w:pPr>
    <w:rPr>
      <w:rFonts w:asciiTheme="majorHAnsi" w:hAnsiTheme="majorHAnsi"/>
      <w:sz w:val="28"/>
    </w:rPr>
  </w:style>
  <w:style w:type="paragraph" w:customStyle="1" w:styleId="JuAppQuestion">
    <w:name w:val="Ju_App_Question"/>
    <w:basedOn w:val="Normal"/>
    <w:uiPriority w:val="5"/>
    <w:semiHidden/>
    <w:qFormat/>
    <w:rsid w:val="00A511BC"/>
    <w:pPr>
      <w:numPr>
        <w:numId w:val="13"/>
      </w:numPr>
      <w:jc w:val="left"/>
    </w:pPr>
    <w:rPr>
      <w:b/>
    </w:rPr>
  </w:style>
  <w:style w:type="paragraph" w:customStyle="1" w:styleId="JuCourt">
    <w:name w:val="Ju_Court"/>
    <w:basedOn w:val="Normal"/>
    <w:next w:val="Normal"/>
    <w:uiPriority w:val="16"/>
    <w:qFormat/>
    <w:rsid w:val="00A511BC"/>
    <w:pPr>
      <w:tabs>
        <w:tab w:val="left" w:pos="907"/>
        <w:tab w:val="left" w:pos="1701"/>
        <w:tab w:val="right" w:pos="7371"/>
      </w:tabs>
      <w:spacing w:before="240"/>
      <w:ind w:left="397" w:hanging="397"/>
      <w:jc w:val="left"/>
    </w:pPr>
    <w:rPr>
      <w:lang w:bidi="en-US"/>
    </w:rPr>
  </w:style>
  <w:style w:type="paragraph" w:customStyle="1" w:styleId="JuHeaderLandscape">
    <w:name w:val="Ju_Header_Landscape"/>
    <w:basedOn w:val="ECHRHeader"/>
    <w:uiPriority w:val="4"/>
    <w:qFormat/>
    <w:rsid w:val="00A511BC"/>
    <w:pPr>
      <w:tabs>
        <w:tab w:val="clear" w:pos="3686"/>
        <w:tab w:val="clear" w:pos="7371"/>
        <w:tab w:val="center" w:pos="6146"/>
        <w:tab w:val="right" w:pos="12293"/>
      </w:tabs>
    </w:pPr>
  </w:style>
  <w:style w:type="paragraph" w:customStyle="1" w:styleId="ECHRTitleCentre2">
    <w:name w:val="ECHR_Title_Centre_2"/>
    <w:aliases w:val="Dec_H_Case"/>
    <w:basedOn w:val="Normal"/>
    <w:next w:val="ECHRPara"/>
    <w:uiPriority w:val="8"/>
    <w:qFormat/>
    <w:rsid w:val="00A511BC"/>
    <w:pPr>
      <w:spacing w:after="240"/>
      <w:jc w:val="center"/>
      <w:outlineLvl w:val="0"/>
    </w:pPr>
    <w:rPr>
      <w:rFonts w:asciiTheme="majorHAnsi" w:hAnsiTheme="majorHAnsi"/>
    </w:rPr>
  </w:style>
  <w:style w:type="paragraph" w:customStyle="1" w:styleId="JuInitialled">
    <w:name w:val="Ju_Initialled"/>
    <w:basedOn w:val="Normal"/>
    <w:uiPriority w:val="31"/>
    <w:qFormat/>
    <w:rsid w:val="00A511BC"/>
    <w:pPr>
      <w:tabs>
        <w:tab w:val="center" w:pos="6407"/>
      </w:tabs>
      <w:spacing w:before="720"/>
      <w:jc w:val="right"/>
    </w:pPr>
  </w:style>
  <w:style w:type="paragraph" w:styleId="Title">
    <w:name w:val="Title"/>
    <w:basedOn w:val="Normal"/>
    <w:next w:val="Normal"/>
    <w:link w:val="TitleChar"/>
    <w:uiPriority w:val="99"/>
    <w:semiHidden/>
    <w:qFormat/>
    <w:rsid w:val="00A511B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A511BC"/>
    <w:rPr>
      <w:rFonts w:asciiTheme="majorHAnsi" w:eastAsiaTheme="majorEastAsia" w:hAnsiTheme="majorHAnsi" w:cstheme="majorBidi"/>
      <w:spacing w:val="5"/>
      <w:sz w:val="52"/>
      <w:szCs w:val="52"/>
      <w:lang w:bidi="en-US"/>
    </w:rPr>
  </w:style>
  <w:style w:type="character" w:customStyle="1" w:styleId="JuITMark">
    <w:name w:val="Ju_ITMark"/>
    <w:basedOn w:val="DefaultParagraphFont"/>
    <w:uiPriority w:val="38"/>
    <w:qFormat/>
    <w:rsid w:val="00A511BC"/>
    <w:rPr>
      <w:vanish w:val="0"/>
      <w:color w:val="auto"/>
      <w:sz w:val="14"/>
      <w:bdr w:val="none" w:sz="0" w:space="0" w:color="auto"/>
      <w:shd w:val="clear" w:color="auto" w:fill="BEE5FF" w:themeFill="background1" w:themeFillTint="33"/>
    </w:rPr>
  </w:style>
  <w:style w:type="paragraph" w:customStyle="1" w:styleId="ECHRHeading2">
    <w:name w:val="ECHR_Heading_2"/>
    <w:aliases w:val="Ju_H_A"/>
    <w:basedOn w:val="Heading2"/>
    <w:next w:val="ECHRPara"/>
    <w:uiPriority w:val="20"/>
    <w:qFormat/>
    <w:rsid w:val="00A511BC"/>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Heading3"/>
    <w:next w:val="ECHRPara"/>
    <w:uiPriority w:val="21"/>
    <w:qFormat/>
    <w:rsid w:val="00A511BC"/>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A511BC"/>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A511BC"/>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A511BC"/>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A511BC"/>
    <w:pPr>
      <w:keepNext/>
      <w:keepLines/>
      <w:spacing w:before="240" w:after="120"/>
      <w:ind w:left="1236"/>
    </w:pPr>
    <w:rPr>
      <w:sz w:val="20"/>
    </w:rPr>
  </w:style>
  <w:style w:type="paragraph" w:customStyle="1" w:styleId="JuLista">
    <w:name w:val="Ju_List_a"/>
    <w:basedOn w:val="JuList"/>
    <w:uiPriority w:val="28"/>
    <w:qFormat/>
    <w:rsid w:val="00A511BC"/>
    <w:pPr>
      <w:ind w:left="346" w:firstLine="0"/>
    </w:pPr>
  </w:style>
  <w:style w:type="paragraph" w:styleId="Header">
    <w:name w:val="header"/>
    <w:basedOn w:val="Normal"/>
    <w:link w:val="HeaderChar"/>
    <w:uiPriority w:val="99"/>
    <w:rsid w:val="00A511BC"/>
    <w:pPr>
      <w:tabs>
        <w:tab w:val="center" w:pos="4536"/>
        <w:tab w:val="right" w:pos="9072"/>
      </w:tabs>
    </w:pPr>
    <w:rPr>
      <w:rFonts w:eastAsiaTheme="minorHAnsi"/>
    </w:rPr>
  </w:style>
  <w:style w:type="character" w:customStyle="1" w:styleId="HeaderChar">
    <w:name w:val="Header Char"/>
    <w:basedOn w:val="DefaultParagraphFont"/>
    <w:link w:val="Header"/>
    <w:uiPriority w:val="99"/>
    <w:rsid w:val="00A511BC"/>
    <w:rPr>
      <w:sz w:val="24"/>
    </w:rPr>
  </w:style>
  <w:style w:type="character" w:customStyle="1" w:styleId="Heading1Char">
    <w:name w:val="Heading 1 Char"/>
    <w:basedOn w:val="DefaultParagraphFont"/>
    <w:link w:val="Heading1"/>
    <w:uiPriority w:val="99"/>
    <w:semiHidden/>
    <w:rsid w:val="00A511BC"/>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A511BC"/>
    <w:pPr>
      <w:keepNext/>
      <w:keepLines/>
      <w:tabs>
        <w:tab w:val="left" w:pos="357"/>
      </w:tabs>
      <w:spacing w:before="360" w:after="240"/>
      <w:ind w:left="357" w:hanging="357"/>
      <w:contextualSpacing w:val="0"/>
    </w:pPr>
    <w:rPr>
      <w:b w:val="0"/>
      <w:color w:val="auto"/>
      <w:sz w:val="24"/>
    </w:rPr>
  </w:style>
  <w:style w:type="paragraph" w:customStyle="1" w:styleId="JuListi">
    <w:name w:val="Ju_List_i"/>
    <w:basedOn w:val="Normal"/>
    <w:next w:val="JuLista"/>
    <w:uiPriority w:val="28"/>
    <w:qFormat/>
    <w:rsid w:val="00A511BC"/>
    <w:pPr>
      <w:ind w:left="794"/>
    </w:pPr>
  </w:style>
  <w:style w:type="character" w:customStyle="1" w:styleId="Heading2Char">
    <w:name w:val="Heading 2 Char"/>
    <w:basedOn w:val="DefaultParagraphFont"/>
    <w:link w:val="Heading2"/>
    <w:uiPriority w:val="99"/>
    <w:semiHidden/>
    <w:rsid w:val="00A511BC"/>
    <w:rPr>
      <w:rFonts w:asciiTheme="majorHAnsi" w:eastAsiaTheme="majorEastAsia" w:hAnsiTheme="majorHAnsi" w:cstheme="majorBidi"/>
      <w:b/>
      <w:bCs/>
      <w:color w:val="4D4D4D"/>
      <w:sz w:val="26"/>
      <w:szCs w:val="26"/>
    </w:rPr>
  </w:style>
  <w:style w:type="character" w:customStyle="1" w:styleId="JUNAMES">
    <w:name w:val="JU_NAMES"/>
    <w:uiPriority w:val="17"/>
    <w:qFormat/>
    <w:rsid w:val="00A511BC"/>
    <w:rPr>
      <w:caps w:val="0"/>
      <w:smallCaps/>
    </w:rPr>
  </w:style>
  <w:style w:type="paragraph" w:customStyle="1" w:styleId="JuParaSub">
    <w:name w:val="Ju_Para_Sub"/>
    <w:basedOn w:val="ECHRPara"/>
    <w:uiPriority w:val="13"/>
    <w:qFormat/>
    <w:rsid w:val="00A511BC"/>
    <w:pPr>
      <w:ind w:left="284"/>
    </w:pPr>
  </w:style>
  <w:style w:type="character" w:customStyle="1" w:styleId="Heading3Char">
    <w:name w:val="Heading 3 Char"/>
    <w:basedOn w:val="DefaultParagraphFont"/>
    <w:link w:val="Heading3"/>
    <w:uiPriority w:val="99"/>
    <w:semiHidden/>
    <w:rsid w:val="00A511BC"/>
    <w:rPr>
      <w:rFonts w:asciiTheme="majorHAnsi" w:eastAsiaTheme="majorEastAsia" w:hAnsiTheme="majorHAnsi" w:cstheme="majorBidi"/>
      <w:b/>
      <w:bCs/>
      <w:color w:val="5F5F5F"/>
      <w:sz w:val="24"/>
    </w:rPr>
  </w:style>
  <w:style w:type="paragraph" w:customStyle="1" w:styleId="JuQuotSub">
    <w:name w:val="Ju_Quot_Sub"/>
    <w:basedOn w:val="ECHRParaQuote"/>
    <w:uiPriority w:val="15"/>
    <w:qFormat/>
    <w:rsid w:val="00A511BC"/>
    <w:pPr>
      <w:ind w:left="567"/>
    </w:pPr>
  </w:style>
  <w:style w:type="paragraph" w:customStyle="1" w:styleId="ECHRDecisionBody">
    <w:name w:val="ECHR_Decision_Body"/>
    <w:aliases w:val="Ju_Judges"/>
    <w:basedOn w:val="Normal"/>
    <w:uiPriority w:val="11"/>
    <w:qFormat/>
    <w:rsid w:val="00A511BC"/>
    <w:pPr>
      <w:tabs>
        <w:tab w:val="left" w:pos="567"/>
        <w:tab w:val="left" w:pos="1134"/>
      </w:tabs>
      <w:jc w:val="left"/>
    </w:pPr>
  </w:style>
  <w:style w:type="character" w:customStyle="1" w:styleId="Heading4Char">
    <w:name w:val="Heading 4 Char"/>
    <w:basedOn w:val="DefaultParagraphFont"/>
    <w:link w:val="Heading4"/>
    <w:uiPriority w:val="99"/>
    <w:semiHidden/>
    <w:rsid w:val="00A511BC"/>
    <w:rPr>
      <w:rFonts w:asciiTheme="majorHAnsi" w:eastAsiaTheme="majorEastAsia" w:hAnsiTheme="majorHAnsi" w:cstheme="majorBidi"/>
      <w:b/>
      <w:bCs/>
      <w:i/>
      <w:iCs/>
      <w:color w:val="777777"/>
      <w:sz w:val="24"/>
    </w:rPr>
  </w:style>
  <w:style w:type="paragraph" w:customStyle="1" w:styleId="ECHRPara">
    <w:name w:val="ECHR_Para"/>
    <w:aliases w:val="Ju_Para"/>
    <w:basedOn w:val="Normal"/>
    <w:link w:val="ECHRParaChar"/>
    <w:uiPriority w:val="12"/>
    <w:qFormat/>
    <w:rsid w:val="00A511BC"/>
    <w:pPr>
      <w:ind w:firstLine="284"/>
    </w:pPr>
  </w:style>
  <w:style w:type="character" w:customStyle="1" w:styleId="Heading5Char">
    <w:name w:val="Heading 5 Char"/>
    <w:basedOn w:val="DefaultParagraphFont"/>
    <w:link w:val="Heading5"/>
    <w:uiPriority w:val="99"/>
    <w:semiHidden/>
    <w:rsid w:val="00A511BC"/>
    <w:rPr>
      <w:rFonts w:asciiTheme="majorHAnsi" w:eastAsiaTheme="majorEastAsia" w:hAnsiTheme="majorHAnsi" w:cstheme="majorBidi"/>
      <w:b/>
      <w:bCs/>
      <w:color w:val="808080"/>
    </w:rPr>
  </w:style>
  <w:style w:type="paragraph" w:customStyle="1" w:styleId="JuSigned">
    <w:name w:val="Ju_Signed"/>
    <w:basedOn w:val="Normal"/>
    <w:next w:val="JuParaLast"/>
    <w:uiPriority w:val="32"/>
    <w:qFormat/>
    <w:rsid w:val="00A511BC"/>
    <w:pPr>
      <w:tabs>
        <w:tab w:val="center" w:pos="851"/>
        <w:tab w:val="center" w:pos="6407"/>
      </w:tabs>
      <w:spacing w:before="720"/>
      <w:jc w:val="left"/>
    </w:pPr>
  </w:style>
  <w:style w:type="character" w:styleId="SubtleEmphasis">
    <w:name w:val="Subtle Emphasis"/>
    <w:uiPriority w:val="99"/>
    <w:semiHidden/>
    <w:qFormat/>
    <w:rsid w:val="00A511BC"/>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A511BC"/>
    <w:pPr>
      <w:keepNext/>
      <w:keepLines/>
      <w:spacing w:before="720" w:after="240"/>
      <w:outlineLvl w:val="0"/>
    </w:pPr>
    <w:rPr>
      <w:rFonts w:asciiTheme="majorHAnsi" w:hAnsiTheme="majorHAnsi"/>
      <w:sz w:val="28"/>
    </w:rPr>
  </w:style>
  <w:style w:type="character" w:styleId="Emphasis">
    <w:name w:val="Emphasis"/>
    <w:uiPriority w:val="99"/>
    <w:semiHidden/>
    <w:qFormat/>
    <w:rsid w:val="00A511BC"/>
    <w:rPr>
      <w:b/>
      <w:bCs/>
      <w:i/>
      <w:iCs/>
      <w:spacing w:val="10"/>
      <w:bdr w:val="none" w:sz="0" w:space="0" w:color="auto"/>
      <w:shd w:val="clear" w:color="auto" w:fill="auto"/>
    </w:rPr>
  </w:style>
  <w:style w:type="paragraph" w:styleId="Footer">
    <w:name w:val="footer"/>
    <w:basedOn w:val="Normal"/>
    <w:link w:val="FooterChar"/>
    <w:uiPriority w:val="57"/>
    <w:semiHidden/>
    <w:rsid w:val="00A511BC"/>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A511BC"/>
    <w:rPr>
      <w:sz w:val="24"/>
    </w:rPr>
  </w:style>
  <w:style w:type="character" w:styleId="FootnoteReference">
    <w:name w:val="footnote reference"/>
    <w:basedOn w:val="DefaultParagraphFont"/>
    <w:uiPriority w:val="99"/>
    <w:semiHidden/>
    <w:rsid w:val="00A511BC"/>
    <w:rPr>
      <w:vertAlign w:val="superscript"/>
    </w:rPr>
  </w:style>
  <w:style w:type="paragraph" w:styleId="FootnoteText">
    <w:name w:val="footnote text"/>
    <w:basedOn w:val="Normal"/>
    <w:link w:val="FootnoteTextChar"/>
    <w:uiPriority w:val="99"/>
    <w:semiHidden/>
    <w:rsid w:val="00A511BC"/>
    <w:rPr>
      <w:sz w:val="20"/>
      <w:szCs w:val="20"/>
    </w:rPr>
  </w:style>
  <w:style w:type="character" w:customStyle="1" w:styleId="FootnoteTextChar">
    <w:name w:val="Footnote Text Char"/>
    <w:basedOn w:val="DefaultParagraphFont"/>
    <w:link w:val="FootnoteText"/>
    <w:uiPriority w:val="99"/>
    <w:semiHidden/>
    <w:rsid w:val="00A511BC"/>
    <w:rPr>
      <w:rFonts w:eastAsiaTheme="minorEastAsia"/>
      <w:sz w:val="20"/>
      <w:szCs w:val="20"/>
    </w:rPr>
  </w:style>
  <w:style w:type="character" w:customStyle="1" w:styleId="Heading6Char">
    <w:name w:val="Heading 6 Char"/>
    <w:basedOn w:val="DefaultParagraphFont"/>
    <w:link w:val="Heading6"/>
    <w:uiPriority w:val="99"/>
    <w:semiHidden/>
    <w:rsid w:val="00A511BC"/>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A511BC"/>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A511BC"/>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A511BC"/>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A511BC"/>
    <w:rPr>
      <w:color w:val="0072BC" w:themeColor="hyperlink"/>
      <w:u w:val="single"/>
    </w:rPr>
  </w:style>
  <w:style w:type="character" w:styleId="IntenseEmphasis">
    <w:name w:val="Intense Emphasis"/>
    <w:uiPriority w:val="99"/>
    <w:semiHidden/>
    <w:qFormat/>
    <w:rsid w:val="00A511BC"/>
    <w:rPr>
      <w:b/>
      <w:bCs/>
    </w:rPr>
  </w:style>
  <w:style w:type="paragraph" w:styleId="IntenseQuote">
    <w:name w:val="Intense Quote"/>
    <w:basedOn w:val="Normal"/>
    <w:next w:val="Normal"/>
    <w:link w:val="IntenseQuoteChar"/>
    <w:uiPriority w:val="99"/>
    <w:semiHidden/>
    <w:qFormat/>
    <w:rsid w:val="00A511BC"/>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A511BC"/>
    <w:rPr>
      <w:rFonts w:eastAsiaTheme="minorEastAsia"/>
      <w:b/>
      <w:bCs/>
      <w:i/>
      <w:iCs/>
      <w:lang w:bidi="en-US"/>
    </w:rPr>
  </w:style>
  <w:style w:type="character" w:styleId="IntenseReference">
    <w:name w:val="Intense Reference"/>
    <w:uiPriority w:val="99"/>
    <w:semiHidden/>
    <w:qFormat/>
    <w:rsid w:val="00A511BC"/>
    <w:rPr>
      <w:smallCaps/>
      <w:spacing w:val="5"/>
      <w:u w:val="single"/>
    </w:rPr>
  </w:style>
  <w:style w:type="paragraph" w:styleId="ListParagraph">
    <w:name w:val="List Paragraph"/>
    <w:basedOn w:val="Normal"/>
    <w:uiPriority w:val="99"/>
    <w:semiHidden/>
    <w:qFormat/>
    <w:rsid w:val="00A511BC"/>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A511BC"/>
    <w:pPr>
      <w:spacing w:before="200"/>
      <w:ind w:left="360" w:right="360"/>
    </w:pPr>
    <w:rPr>
      <w:i/>
      <w:iCs/>
      <w:sz w:val="22"/>
      <w:lang w:bidi="en-US"/>
    </w:rPr>
  </w:style>
  <w:style w:type="character" w:customStyle="1" w:styleId="QuoteChar">
    <w:name w:val="Quote Char"/>
    <w:basedOn w:val="DefaultParagraphFont"/>
    <w:link w:val="Quote"/>
    <w:uiPriority w:val="99"/>
    <w:semiHidden/>
    <w:rsid w:val="00A511BC"/>
    <w:rPr>
      <w:rFonts w:eastAsiaTheme="minorEastAsia"/>
      <w:i/>
      <w:iCs/>
      <w:lang w:bidi="en-US"/>
    </w:rPr>
  </w:style>
  <w:style w:type="character" w:styleId="SubtleReference">
    <w:name w:val="Subtle Reference"/>
    <w:uiPriority w:val="99"/>
    <w:semiHidden/>
    <w:qFormat/>
    <w:rsid w:val="00A511BC"/>
    <w:rPr>
      <w:smallCaps/>
    </w:rPr>
  </w:style>
  <w:style w:type="table" w:styleId="TableGrid">
    <w:name w:val="Table Grid"/>
    <w:basedOn w:val="TableNormal"/>
    <w:uiPriority w:val="59"/>
    <w:semiHidden/>
    <w:rsid w:val="00A511B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A511BC"/>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A511BC"/>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A511BC"/>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A511BC"/>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A511BC"/>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A511BC"/>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A511BC"/>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ECHRParaQuote">
    <w:name w:val="ECHR_Para_Quote"/>
    <w:aliases w:val="Ju_Quot"/>
    <w:basedOn w:val="Normal"/>
    <w:uiPriority w:val="14"/>
    <w:qFormat/>
    <w:rsid w:val="00A511BC"/>
    <w:pPr>
      <w:spacing w:before="120" w:after="120"/>
      <w:ind w:left="425" w:firstLine="142"/>
    </w:pPr>
    <w:rPr>
      <w:sz w:val="20"/>
    </w:r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A511BC"/>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ParaLast">
    <w:name w:val="Ju_Para_Last"/>
    <w:basedOn w:val="Normal"/>
    <w:next w:val="ECHRPara"/>
    <w:uiPriority w:val="30"/>
    <w:qFormat/>
    <w:rsid w:val="00A511BC"/>
    <w:pPr>
      <w:keepNext/>
      <w:keepLines/>
      <w:spacing w:before="240"/>
      <w:ind w:firstLine="284"/>
    </w:pPr>
  </w:style>
  <w:style w:type="paragraph" w:customStyle="1" w:styleId="JuCase">
    <w:name w:val="Ju_Case"/>
    <w:basedOn w:val="Normal"/>
    <w:next w:val="ECHRPara"/>
    <w:uiPriority w:val="10"/>
    <w:rsid w:val="00A511BC"/>
    <w:pPr>
      <w:ind w:firstLine="284"/>
    </w:pPr>
    <w:rPr>
      <w:b/>
    </w:rPr>
  </w:style>
  <w:style w:type="paragraph" w:customStyle="1" w:styleId="JuList">
    <w:name w:val="Ju_List"/>
    <w:basedOn w:val="Normal"/>
    <w:uiPriority w:val="28"/>
    <w:qFormat/>
    <w:rsid w:val="00A511BC"/>
    <w:pPr>
      <w:ind w:left="340" w:hanging="340"/>
    </w:pPr>
  </w:style>
  <w:style w:type="character" w:styleId="PageNumber">
    <w:name w:val="page number"/>
    <w:uiPriority w:val="99"/>
    <w:semiHidden/>
    <w:rsid w:val="00A26284"/>
    <w:rPr>
      <w:rFonts w:ascii="Times New Roman" w:hAnsi="Times New Roman" w:cs="Times New Roman"/>
      <w:sz w:val="18"/>
    </w:rPr>
  </w:style>
  <w:style w:type="paragraph" w:customStyle="1" w:styleId="JuTitle">
    <w:name w:val="Ju_Title"/>
    <w:basedOn w:val="Normal"/>
    <w:next w:val="ECHRPara"/>
    <w:uiPriority w:val="3"/>
    <w:semiHidden/>
    <w:qFormat/>
    <w:rsid w:val="00A511BC"/>
    <w:pPr>
      <w:spacing w:before="720" w:after="240"/>
      <w:jc w:val="center"/>
      <w:outlineLvl w:val="0"/>
    </w:pPr>
    <w:rPr>
      <w:rFonts w:asciiTheme="majorHAnsi" w:hAnsiTheme="majorHAnsi"/>
      <w:b/>
      <w:caps/>
    </w:rPr>
  </w:style>
  <w:style w:type="character" w:styleId="CommentReference">
    <w:name w:val="annotation reference"/>
    <w:uiPriority w:val="99"/>
    <w:semiHidden/>
    <w:rsid w:val="00A26284"/>
    <w:rPr>
      <w:sz w:val="16"/>
    </w:rPr>
  </w:style>
  <w:style w:type="paragraph" w:styleId="CommentText">
    <w:name w:val="annotation text"/>
    <w:basedOn w:val="Normal"/>
    <w:link w:val="CommentTextChar"/>
    <w:uiPriority w:val="99"/>
    <w:semiHidden/>
    <w:rsid w:val="00A26284"/>
    <w:rPr>
      <w:sz w:val="20"/>
    </w:rPr>
  </w:style>
  <w:style w:type="character" w:customStyle="1" w:styleId="CommentTextChar">
    <w:name w:val="Comment Text Char"/>
    <w:basedOn w:val="DefaultParagraphFont"/>
    <w:link w:val="CommentText"/>
    <w:uiPriority w:val="99"/>
    <w:semiHidden/>
    <w:rsid w:val="00A26284"/>
    <w:rPr>
      <w:rFonts w:eastAsiaTheme="minorEastAsia"/>
      <w:sz w:val="20"/>
    </w:rPr>
  </w:style>
  <w:style w:type="paragraph" w:styleId="CommentSubject">
    <w:name w:val="annotation subject"/>
    <w:basedOn w:val="CommentText"/>
    <w:next w:val="CommentText"/>
    <w:link w:val="CommentSubjectChar"/>
    <w:uiPriority w:val="99"/>
    <w:semiHidden/>
    <w:rsid w:val="00A26284"/>
    <w:rPr>
      <w:b/>
      <w:bCs/>
    </w:rPr>
  </w:style>
  <w:style w:type="character" w:customStyle="1" w:styleId="CommentSubjectChar">
    <w:name w:val="Comment Subject Char"/>
    <w:basedOn w:val="CommentTextChar"/>
    <w:link w:val="CommentSubject"/>
    <w:uiPriority w:val="99"/>
    <w:semiHidden/>
    <w:rsid w:val="00A26284"/>
    <w:rPr>
      <w:rFonts w:eastAsiaTheme="minorEastAsia"/>
      <w:b/>
      <w:bCs/>
      <w:sz w:val="20"/>
    </w:rPr>
  </w:style>
  <w:style w:type="character" w:styleId="EndnoteReference">
    <w:name w:val="endnote reference"/>
    <w:uiPriority w:val="99"/>
    <w:semiHidden/>
    <w:rsid w:val="00A26284"/>
    <w:rPr>
      <w:rFonts w:ascii="Times New Roman" w:hAnsi="Times New Roman" w:cs="Times New Roman"/>
      <w:vertAlign w:val="superscript"/>
    </w:rPr>
  </w:style>
  <w:style w:type="paragraph" w:styleId="EndnoteText">
    <w:name w:val="endnote text"/>
    <w:basedOn w:val="Normal"/>
    <w:link w:val="EndnoteTextChar"/>
    <w:uiPriority w:val="99"/>
    <w:semiHidden/>
    <w:rsid w:val="00A26284"/>
    <w:rPr>
      <w:sz w:val="20"/>
    </w:rPr>
  </w:style>
  <w:style w:type="character" w:customStyle="1" w:styleId="EndnoteTextChar">
    <w:name w:val="Endnote Text Char"/>
    <w:basedOn w:val="DefaultParagraphFont"/>
    <w:link w:val="EndnoteText"/>
    <w:uiPriority w:val="99"/>
    <w:semiHidden/>
    <w:rsid w:val="00A26284"/>
    <w:rPr>
      <w:rFonts w:eastAsiaTheme="minorEastAsia"/>
      <w:sz w:val="20"/>
    </w:rPr>
  </w:style>
  <w:style w:type="character" w:styleId="FollowedHyperlink">
    <w:name w:val="FollowedHyperlink"/>
    <w:uiPriority w:val="99"/>
    <w:semiHidden/>
    <w:rsid w:val="00A26284"/>
    <w:rPr>
      <w:rFonts w:ascii="Times New Roman" w:hAnsi="Times New Roman" w:cs="Times New Roman"/>
      <w:color w:val="800080"/>
      <w:u w:val="single"/>
    </w:rPr>
  </w:style>
  <w:style w:type="paragraph" w:styleId="DocumentMap">
    <w:name w:val="Document Map"/>
    <w:basedOn w:val="Normal"/>
    <w:link w:val="DocumentMapChar"/>
    <w:uiPriority w:val="99"/>
    <w:semiHidden/>
    <w:rsid w:val="00A26284"/>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A26284"/>
    <w:rPr>
      <w:rFonts w:ascii="Tahoma" w:eastAsiaTheme="minorEastAsia" w:hAnsi="Tahoma" w:cs="Tahoma"/>
      <w:sz w:val="20"/>
      <w:shd w:val="clear" w:color="auto" w:fill="000080"/>
    </w:rPr>
  </w:style>
  <w:style w:type="paragraph" w:styleId="ListBullet">
    <w:name w:val="List Bullet"/>
    <w:basedOn w:val="Normal"/>
    <w:uiPriority w:val="99"/>
    <w:semiHidden/>
    <w:rsid w:val="00A26284"/>
    <w:pPr>
      <w:numPr>
        <w:numId w:val="1"/>
      </w:numPr>
    </w:pPr>
  </w:style>
  <w:style w:type="paragraph" w:customStyle="1" w:styleId="OpiH1">
    <w:name w:val="Opi_H_1"/>
    <w:basedOn w:val="ECHRHeading2"/>
    <w:uiPriority w:val="42"/>
    <w:qFormat/>
    <w:rsid w:val="00A511BC"/>
    <w:pPr>
      <w:ind w:left="635" w:hanging="357"/>
      <w:outlineLvl w:val="2"/>
    </w:pPr>
  </w:style>
  <w:style w:type="paragraph" w:styleId="Subtitle">
    <w:name w:val="Subtitle"/>
    <w:basedOn w:val="Normal"/>
    <w:next w:val="Normal"/>
    <w:link w:val="SubtitleChar"/>
    <w:uiPriority w:val="99"/>
    <w:semiHidden/>
    <w:qFormat/>
    <w:rsid w:val="00A511BC"/>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A511BC"/>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A26284"/>
    <w:pPr>
      <w:numPr>
        <w:numId w:val="10"/>
      </w:numPr>
    </w:pPr>
  </w:style>
  <w:style w:type="numbering" w:styleId="1ai">
    <w:name w:val="Outline List 1"/>
    <w:basedOn w:val="NoList"/>
    <w:uiPriority w:val="99"/>
    <w:semiHidden/>
    <w:rsid w:val="00A26284"/>
    <w:pPr>
      <w:numPr>
        <w:numId w:val="11"/>
      </w:numPr>
    </w:pPr>
  </w:style>
  <w:style w:type="numbering" w:styleId="ArticleSection">
    <w:name w:val="Outline List 3"/>
    <w:basedOn w:val="NoList"/>
    <w:uiPriority w:val="99"/>
    <w:semiHidden/>
    <w:rsid w:val="00A26284"/>
    <w:pPr>
      <w:numPr>
        <w:numId w:val="12"/>
      </w:numPr>
    </w:pPr>
  </w:style>
  <w:style w:type="paragraph" w:styleId="Bibliography">
    <w:name w:val="Bibliography"/>
    <w:basedOn w:val="Normal"/>
    <w:next w:val="Normal"/>
    <w:uiPriority w:val="99"/>
    <w:semiHidden/>
    <w:unhideWhenUsed/>
    <w:rsid w:val="00A26284"/>
  </w:style>
  <w:style w:type="paragraph" w:styleId="BlockText">
    <w:name w:val="Block Text"/>
    <w:basedOn w:val="Normal"/>
    <w:uiPriority w:val="99"/>
    <w:semiHidden/>
    <w:rsid w:val="00A26284"/>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A26284"/>
    <w:pPr>
      <w:spacing w:after="120"/>
    </w:pPr>
  </w:style>
  <w:style w:type="character" w:customStyle="1" w:styleId="BodyTextChar">
    <w:name w:val="Body Text Char"/>
    <w:basedOn w:val="DefaultParagraphFont"/>
    <w:link w:val="BodyText"/>
    <w:uiPriority w:val="99"/>
    <w:semiHidden/>
    <w:rsid w:val="00A26284"/>
    <w:rPr>
      <w:rFonts w:eastAsiaTheme="minorEastAsia"/>
      <w:sz w:val="24"/>
    </w:rPr>
  </w:style>
  <w:style w:type="paragraph" w:styleId="BodyText2">
    <w:name w:val="Body Text 2"/>
    <w:basedOn w:val="Normal"/>
    <w:link w:val="BodyText2Char"/>
    <w:uiPriority w:val="99"/>
    <w:semiHidden/>
    <w:rsid w:val="00A26284"/>
    <w:pPr>
      <w:spacing w:after="120" w:line="480" w:lineRule="auto"/>
    </w:pPr>
  </w:style>
  <w:style w:type="character" w:customStyle="1" w:styleId="BodyText2Char">
    <w:name w:val="Body Text 2 Char"/>
    <w:basedOn w:val="DefaultParagraphFont"/>
    <w:link w:val="BodyText2"/>
    <w:uiPriority w:val="99"/>
    <w:semiHidden/>
    <w:rsid w:val="00A26284"/>
    <w:rPr>
      <w:rFonts w:eastAsiaTheme="minorEastAsia"/>
      <w:sz w:val="24"/>
    </w:rPr>
  </w:style>
  <w:style w:type="paragraph" w:styleId="BodyText3">
    <w:name w:val="Body Text 3"/>
    <w:basedOn w:val="Normal"/>
    <w:link w:val="BodyText3Char"/>
    <w:uiPriority w:val="99"/>
    <w:semiHidden/>
    <w:rsid w:val="00A26284"/>
    <w:pPr>
      <w:spacing w:after="120"/>
    </w:pPr>
    <w:rPr>
      <w:sz w:val="16"/>
      <w:szCs w:val="16"/>
    </w:rPr>
  </w:style>
  <w:style w:type="character" w:customStyle="1" w:styleId="BodyText3Char">
    <w:name w:val="Body Text 3 Char"/>
    <w:basedOn w:val="DefaultParagraphFont"/>
    <w:link w:val="BodyText3"/>
    <w:uiPriority w:val="99"/>
    <w:semiHidden/>
    <w:rsid w:val="00A26284"/>
    <w:rPr>
      <w:rFonts w:eastAsiaTheme="minorEastAsia"/>
      <w:sz w:val="16"/>
      <w:szCs w:val="16"/>
    </w:rPr>
  </w:style>
  <w:style w:type="paragraph" w:styleId="BodyTextFirstIndent">
    <w:name w:val="Body Text First Indent"/>
    <w:basedOn w:val="BodyText"/>
    <w:link w:val="BodyTextFirstIndentChar"/>
    <w:uiPriority w:val="99"/>
    <w:semiHidden/>
    <w:rsid w:val="00A26284"/>
    <w:pPr>
      <w:spacing w:after="0"/>
      <w:ind w:firstLine="360"/>
    </w:pPr>
  </w:style>
  <w:style w:type="character" w:customStyle="1" w:styleId="BodyTextFirstIndentChar">
    <w:name w:val="Body Text First Indent Char"/>
    <w:basedOn w:val="BodyTextChar"/>
    <w:link w:val="BodyTextFirstIndent"/>
    <w:uiPriority w:val="99"/>
    <w:semiHidden/>
    <w:rsid w:val="00A26284"/>
    <w:rPr>
      <w:rFonts w:eastAsiaTheme="minorEastAsia"/>
      <w:sz w:val="24"/>
    </w:rPr>
  </w:style>
  <w:style w:type="paragraph" w:styleId="BodyTextIndent">
    <w:name w:val="Body Text Indent"/>
    <w:basedOn w:val="Normal"/>
    <w:link w:val="BodyTextIndentChar"/>
    <w:uiPriority w:val="99"/>
    <w:semiHidden/>
    <w:rsid w:val="00A26284"/>
    <w:pPr>
      <w:spacing w:after="120"/>
      <w:ind w:left="283"/>
    </w:pPr>
  </w:style>
  <w:style w:type="character" w:customStyle="1" w:styleId="BodyTextIndentChar">
    <w:name w:val="Body Text Indent Char"/>
    <w:basedOn w:val="DefaultParagraphFont"/>
    <w:link w:val="BodyTextIndent"/>
    <w:uiPriority w:val="99"/>
    <w:semiHidden/>
    <w:rsid w:val="00A26284"/>
    <w:rPr>
      <w:rFonts w:eastAsiaTheme="minorEastAsia"/>
      <w:sz w:val="24"/>
    </w:rPr>
  </w:style>
  <w:style w:type="paragraph" w:styleId="BodyTextFirstIndent2">
    <w:name w:val="Body Text First Indent 2"/>
    <w:basedOn w:val="BodyTextIndent"/>
    <w:link w:val="BodyTextFirstIndent2Char"/>
    <w:uiPriority w:val="99"/>
    <w:semiHidden/>
    <w:rsid w:val="00A26284"/>
    <w:pPr>
      <w:spacing w:after="0"/>
      <w:ind w:left="360" w:firstLine="360"/>
    </w:pPr>
  </w:style>
  <w:style w:type="character" w:customStyle="1" w:styleId="BodyTextFirstIndent2Char">
    <w:name w:val="Body Text First Indent 2 Char"/>
    <w:basedOn w:val="BodyTextIndentChar"/>
    <w:link w:val="BodyTextFirstIndent2"/>
    <w:uiPriority w:val="99"/>
    <w:semiHidden/>
    <w:rsid w:val="00A26284"/>
    <w:rPr>
      <w:rFonts w:eastAsiaTheme="minorEastAsia"/>
      <w:sz w:val="24"/>
    </w:rPr>
  </w:style>
  <w:style w:type="paragraph" w:styleId="BodyTextIndent2">
    <w:name w:val="Body Text Indent 2"/>
    <w:basedOn w:val="Normal"/>
    <w:link w:val="BodyTextIndent2Char"/>
    <w:uiPriority w:val="99"/>
    <w:semiHidden/>
    <w:rsid w:val="00A26284"/>
    <w:pPr>
      <w:spacing w:after="120" w:line="480" w:lineRule="auto"/>
      <w:ind w:left="283"/>
    </w:pPr>
  </w:style>
  <w:style w:type="character" w:customStyle="1" w:styleId="BodyTextIndent2Char">
    <w:name w:val="Body Text Indent 2 Char"/>
    <w:basedOn w:val="DefaultParagraphFont"/>
    <w:link w:val="BodyTextIndent2"/>
    <w:uiPriority w:val="99"/>
    <w:semiHidden/>
    <w:rsid w:val="00A26284"/>
    <w:rPr>
      <w:rFonts w:eastAsiaTheme="minorEastAsia"/>
      <w:sz w:val="24"/>
    </w:rPr>
  </w:style>
  <w:style w:type="paragraph" w:styleId="BodyTextIndent3">
    <w:name w:val="Body Text Indent 3"/>
    <w:basedOn w:val="Normal"/>
    <w:link w:val="BodyTextIndent3Char"/>
    <w:uiPriority w:val="99"/>
    <w:semiHidden/>
    <w:rsid w:val="00A2628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26284"/>
    <w:rPr>
      <w:rFonts w:eastAsiaTheme="minorEastAsia"/>
      <w:sz w:val="16"/>
      <w:szCs w:val="16"/>
    </w:rPr>
  </w:style>
  <w:style w:type="paragraph" w:styleId="Caption">
    <w:name w:val="caption"/>
    <w:basedOn w:val="Normal"/>
    <w:next w:val="Normal"/>
    <w:uiPriority w:val="99"/>
    <w:semiHidden/>
    <w:qFormat/>
    <w:rsid w:val="00A26284"/>
    <w:pPr>
      <w:spacing w:after="200"/>
    </w:pPr>
    <w:rPr>
      <w:b/>
      <w:bCs/>
      <w:color w:val="0072BC" w:themeColor="accent1"/>
      <w:sz w:val="18"/>
      <w:szCs w:val="18"/>
    </w:rPr>
  </w:style>
  <w:style w:type="paragraph" w:styleId="Closing">
    <w:name w:val="Closing"/>
    <w:basedOn w:val="Normal"/>
    <w:link w:val="ClosingChar"/>
    <w:uiPriority w:val="99"/>
    <w:semiHidden/>
    <w:rsid w:val="00A26284"/>
    <w:pPr>
      <w:ind w:left="4252"/>
    </w:pPr>
  </w:style>
  <w:style w:type="character" w:customStyle="1" w:styleId="ClosingChar">
    <w:name w:val="Closing Char"/>
    <w:basedOn w:val="DefaultParagraphFont"/>
    <w:link w:val="Closing"/>
    <w:uiPriority w:val="99"/>
    <w:semiHidden/>
    <w:rsid w:val="00A26284"/>
    <w:rPr>
      <w:rFonts w:eastAsiaTheme="minorEastAsia"/>
      <w:sz w:val="24"/>
    </w:rPr>
  </w:style>
  <w:style w:type="table" w:styleId="ColorfulGrid">
    <w:name w:val="Colorful Grid"/>
    <w:basedOn w:val="TableNormal"/>
    <w:uiPriority w:val="99"/>
    <w:semiHidden/>
    <w:rsid w:val="00A26284"/>
    <w:rPr>
      <w:color w:val="000000" w:themeColor="text1"/>
      <w:lang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A26284"/>
    <w:rPr>
      <w:color w:val="000000" w:themeColor="text1"/>
      <w:lang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A26284"/>
    <w:rPr>
      <w:color w:val="000000" w:themeColor="text1"/>
      <w:lang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A26284"/>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A26284"/>
    <w:rPr>
      <w:color w:val="000000" w:themeColor="text1"/>
      <w:lang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A26284"/>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A26284"/>
    <w:rPr>
      <w:color w:val="000000" w:themeColor="text1"/>
      <w:lang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A26284"/>
    <w:rPr>
      <w:color w:val="000000" w:themeColor="text1"/>
      <w:lang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A26284"/>
    <w:rPr>
      <w:color w:val="000000" w:themeColor="text1"/>
      <w:lang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A26284"/>
    <w:rPr>
      <w:color w:val="000000" w:themeColor="text1"/>
      <w:lang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A26284"/>
    <w:rPr>
      <w:color w:val="000000" w:themeColor="text1"/>
      <w:lang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A26284"/>
    <w:rPr>
      <w:color w:val="000000" w:themeColor="text1"/>
      <w:lang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A26284"/>
    <w:rPr>
      <w:color w:val="000000" w:themeColor="text1"/>
      <w:lang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A26284"/>
    <w:rPr>
      <w:color w:val="000000" w:themeColor="text1"/>
      <w:lang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A26284"/>
    <w:rPr>
      <w:color w:val="000000" w:themeColor="text1"/>
      <w:lang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A26284"/>
    <w:rPr>
      <w:color w:val="000000" w:themeColor="text1"/>
      <w:lang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A26284"/>
    <w:rPr>
      <w:color w:val="000000" w:themeColor="text1"/>
      <w:lang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A26284"/>
    <w:rPr>
      <w:color w:val="000000" w:themeColor="text1"/>
      <w:lang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A26284"/>
    <w:rPr>
      <w:color w:val="000000" w:themeColor="text1"/>
      <w:lang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A26284"/>
    <w:rPr>
      <w:color w:val="000000" w:themeColor="text1"/>
      <w:lang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A26284"/>
    <w:rPr>
      <w:color w:val="000000" w:themeColor="text1"/>
      <w:lang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A26284"/>
    <w:rPr>
      <w:color w:val="0072BC" w:themeColor="background1"/>
      <w:lang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A26284"/>
    <w:rPr>
      <w:color w:val="0072BC" w:themeColor="background1"/>
      <w:lang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A26284"/>
    <w:rPr>
      <w:color w:val="0072BC" w:themeColor="background1"/>
      <w:lang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A26284"/>
    <w:rPr>
      <w:color w:val="0072BC" w:themeColor="background1"/>
      <w:lang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A26284"/>
    <w:rPr>
      <w:color w:val="0072BC" w:themeColor="background1"/>
      <w:lang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A26284"/>
    <w:rPr>
      <w:color w:val="0072BC" w:themeColor="background1"/>
      <w:lang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A26284"/>
    <w:rPr>
      <w:color w:val="0072BC" w:themeColor="background1"/>
      <w:lang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A26284"/>
  </w:style>
  <w:style w:type="character" w:customStyle="1" w:styleId="DateChar">
    <w:name w:val="Date Char"/>
    <w:basedOn w:val="DefaultParagraphFont"/>
    <w:link w:val="Date"/>
    <w:uiPriority w:val="99"/>
    <w:semiHidden/>
    <w:rsid w:val="00A26284"/>
    <w:rPr>
      <w:rFonts w:eastAsiaTheme="minorEastAsia"/>
      <w:sz w:val="24"/>
    </w:rPr>
  </w:style>
  <w:style w:type="paragraph" w:styleId="E-mailSignature">
    <w:name w:val="E-mail Signature"/>
    <w:basedOn w:val="Normal"/>
    <w:link w:val="E-mailSignatureChar"/>
    <w:uiPriority w:val="99"/>
    <w:semiHidden/>
    <w:rsid w:val="00A26284"/>
  </w:style>
  <w:style w:type="character" w:customStyle="1" w:styleId="E-mailSignatureChar">
    <w:name w:val="E-mail Signature Char"/>
    <w:basedOn w:val="DefaultParagraphFont"/>
    <w:link w:val="E-mailSignature"/>
    <w:uiPriority w:val="99"/>
    <w:semiHidden/>
    <w:rsid w:val="00A26284"/>
    <w:rPr>
      <w:rFonts w:eastAsiaTheme="minorEastAsia"/>
      <w:sz w:val="24"/>
    </w:rPr>
  </w:style>
  <w:style w:type="paragraph" w:styleId="EnvelopeAddress">
    <w:name w:val="envelope address"/>
    <w:basedOn w:val="Normal"/>
    <w:uiPriority w:val="99"/>
    <w:semiHidden/>
    <w:rsid w:val="00A26284"/>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A26284"/>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A26284"/>
  </w:style>
  <w:style w:type="paragraph" w:styleId="HTMLAddress">
    <w:name w:val="HTML Address"/>
    <w:basedOn w:val="Normal"/>
    <w:link w:val="HTMLAddressChar"/>
    <w:uiPriority w:val="99"/>
    <w:semiHidden/>
    <w:rsid w:val="00A26284"/>
    <w:rPr>
      <w:i/>
      <w:iCs/>
    </w:rPr>
  </w:style>
  <w:style w:type="character" w:customStyle="1" w:styleId="HTMLAddressChar">
    <w:name w:val="HTML Address Char"/>
    <w:basedOn w:val="DefaultParagraphFont"/>
    <w:link w:val="HTMLAddress"/>
    <w:uiPriority w:val="99"/>
    <w:semiHidden/>
    <w:rsid w:val="00A26284"/>
    <w:rPr>
      <w:rFonts w:eastAsiaTheme="minorEastAsia"/>
      <w:i/>
      <w:iCs/>
      <w:sz w:val="24"/>
    </w:rPr>
  </w:style>
  <w:style w:type="character" w:styleId="HTMLCite">
    <w:name w:val="HTML Cite"/>
    <w:basedOn w:val="DefaultParagraphFont"/>
    <w:uiPriority w:val="99"/>
    <w:semiHidden/>
    <w:rsid w:val="00A26284"/>
    <w:rPr>
      <w:i/>
      <w:iCs/>
    </w:rPr>
  </w:style>
  <w:style w:type="character" w:styleId="HTMLCode">
    <w:name w:val="HTML Code"/>
    <w:basedOn w:val="DefaultParagraphFont"/>
    <w:uiPriority w:val="99"/>
    <w:semiHidden/>
    <w:rsid w:val="00A26284"/>
    <w:rPr>
      <w:rFonts w:ascii="Consolas" w:hAnsi="Consolas" w:cs="Consolas"/>
      <w:sz w:val="20"/>
      <w:szCs w:val="20"/>
    </w:rPr>
  </w:style>
  <w:style w:type="character" w:styleId="HTMLDefinition">
    <w:name w:val="HTML Definition"/>
    <w:basedOn w:val="DefaultParagraphFont"/>
    <w:uiPriority w:val="99"/>
    <w:semiHidden/>
    <w:rsid w:val="00A26284"/>
    <w:rPr>
      <w:i/>
      <w:iCs/>
    </w:rPr>
  </w:style>
  <w:style w:type="character" w:styleId="HTMLKeyboard">
    <w:name w:val="HTML Keyboard"/>
    <w:basedOn w:val="DefaultParagraphFont"/>
    <w:uiPriority w:val="99"/>
    <w:semiHidden/>
    <w:rsid w:val="00A26284"/>
    <w:rPr>
      <w:rFonts w:ascii="Consolas" w:hAnsi="Consolas" w:cs="Consolas"/>
      <w:sz w:val="20"/>
      <w:szCs w:val="20"/>
    </w:rPr>
  </w:style>
  <w:style w:type="paragraph" w:styleId="HTMLPreformatted">
    <w:name w:val="HTML Preformatted"/>
    <w:basedOn w:val="Normal"/>
    <w:link w:val="HTMLPreformattedChar"/>
    <w:uiPriority w:val="99"/>
    <w:semiHidden/>
    <w:rsid w:val="00A26284"/>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26284"/>
    <w:rPr>
      <w:rFonts w:ascii="Consolas" w:eastAsiaTheme="minorEastAsia" w:hAnsi="Consolas" w:cs="Consolas"/>
      <w:sz w:val="20"/>
      <w:szCs w:val="20"/>
    </w:rPr>
  </w:style>
  <w:style w:type="character" w:styleId="HTMLSample">
    <w:name w:val="HTML Sample"/>
    <w:basedOn w:val="DefaultParagraphFont"/>
    <w:uiPriority w:val="99"/>
    <w:semiHidden/>
    <w:rsid w:val="00A26284"/>
    <w:rPr>
      <w:rFonts w:ascii="Consolas" w:hAnsi="Consolas" w:cs="Consolas"/>
      <w:sz w:val="24"/>
      <w:szCs w:val="24"/>
    </w:rPr>
  </w:style>
  <w:style w:type="character" w:styleId="HTMLTypewriter">
    <w:name w:val="HTML Typewriter"/>
    <w:basedOn w:val="DefaultParagraphFont"/>
    <w:uiPriority w:val="99"/>
    <w:semiHidden/>
    <w:rsid w:val="00A26284"/>
    <w:rPr>
      <w:rFonts w:ascii="Consolas" w:hAnsi="Consolas" w:cs="Consolas"/>
      <w:sz w:val="20"/>
      <w:szCs w:val="20"/>
    </w:rPr>
  </w:style>
  <w:style w:type="character" w:styleId="HTMLVariable">
    <w:name w:val="HTML Variable"/>
    <w:basedOn w:val="DefaultParagraphFont"/>
    <w:uiPriority w:val="99"/>
    <w:semiHidden/>
    <w:rsid w:val="00A26284"/>
    <w:rPr>
      <w:i/>
      <w:iCs/>
    </w:rPr>
  </w:style>
  <w:style w:type="paragraph" w:styleId="Index1">
    <w:name w:val="index 1"/>
    <w:basedOn w:val="Normal"/>
    <w:next w:val="Normal"/>
    <w:autoRedefine/>
    <w:uiPriority w:val="99"/>
    <w:semiHidden/>
    <w:rsid w:val="00A26284"/>
    <w:pPr>
      <w:ind w:left="240" w:hanging="240"/>
    </w:pPr>
  </w:style>
  <w:style w:type="paragraph" w:styleId="Index2">
    <w:name w:val="index 2"/>
    <w:basedOn w:val="Normal"/>
    <w:next w:val="Normal"/>
    <w:autoRedefine/>
    <w:uiPriority w:val="99"/>
    <w:semiHidden/>
    <w:rsid w:val="00A26284"/>
    <w:pPr>
      <w:ind w:left="480" w:hanging="240"/>
    </w:pPr>
  </w:style>
  <w:style w:type="paragraph" w:styleId="Index3">
    <w:name w:val="index 3"/>
    <w:basedOn w:val="Normal"/>
    <w:next w:val="Normal"/>
    <w:autoRedefine/>
    <w:uiPriority w:val="99"/>
    <w:semiHidden/>
    <w:rsid w:val="00A26284"/>
    <w:pPr>
      <w:ind w:left="720" w:hanging="240"/>
    </w:pPr>
  </w:style>
  <w:style w:type="paragraph" w:styleId="Index4">
    <w:name w:val="index 4"/>
    <w:basedOn w:val="Normal"/>
    <w:next w:val="Normal"/>
    <w:autoRedefine/>
    <w:uiPriority w:val="99"/>
    <w:semiHidden/>
    <w:rsid w:val="00A26284"/>
    <w:pPr>
      <w:ind w:left="960" w:hanging="240"/>
    </w:pPr>
  </w:style>
  <w:style w:type="paragraph" w:styleId="Index5">
    <w:name w:val="index 5"/>
    <w:basedOn w:val="Normal"/>
    <w:next w:val="Normal"/>
    <w:autoRedefine/>
    <w:uiPriority w:val="99"/>
    <w:semiHidden/>
    <w:rsid w:val="00A26284"/>
    <w:pPr>
      <w:ind w:left="1200" w:hanging="240"/>
    </w:pPr>
  </w:style>
  <w:style w:type="paragraph" w:styleId="Index6">
    <w:name w:val="index 6"/>
    <w:basedOn w:val="Normal"/>
    <w:next w:val="Normal"/>
    <w:autoRedefine/>
    <w:uiPriority w:val="99"/>
    <w:semiHidden/>
    <w:rsid w:val="00A26284"/>
    <w:pPr>
      <w:ind w:left="1440" w:hanging="240"/>
    </w:pPr>
  </w:style>
  <w:style w:type="paragraph" w:styleId="Index7">
    <w:name w:val="index 7"/>
    <w:basedOn w:val="Normal"/>
    <w:next w:val="Normal"/>
    <w:autoRedefine/>
    <w:uiPriority w:val="99"/>
    <w:semiHidden/>
    <w:rsid w:val="00A26284"/>
    <w:pPr>
      <w:ind w:left="1680" w:hanging="240"/>
    </w:pPr>
  </w:style>
  <w:style w:type="paragraph" w:styleId="Index8">
    <w:name w:val="index 8"/>
    <w:basedOn w:val="Normal"/>
    <w:next w:val="Normal"/>
    <w:autoRedefine/>
    <w:uiPriority w:val="99"/>
    <w:semiHidden/>
    <w:rsid w:val="00A26284"/>
    <w:pPr>
      <w:ind w:left="1920" w:hanging="240"/>
    </w:pPr>
  </w:style>
  <w:style w:type="paragraph" w:styleId="Index9">
    <w:name w:val="index 9"/>
    <w:basedOn w:val="Normal"/>
    <w:next w:val="Normal"/>
    <w:autoRedefine/>
    <w:uiPriority w:val="99"/>
    <w:semiHidden/>
    <w:rsid w:val="00A26284"/>
    <w:pPr>
      <w:ind w:left="2160" w:hanging="240"/>
    </w:pPr>
  </w:style>
  <w:style w:type="paragraph" w:styleId="IndexHeading">
    <w:name w:val="index heading"/>
    <w:basedOn w:val="Normal"/>
    <w:next w:val="Index1"/>
    <w:uiPriority w:val="99"/>
    <w:semiHidden/>
    <w:rsid w:val="00A26284"/>
    <w:rPr>
      <w:rFonts w:asciiTheme="majorHAnsi" w:eastAsiaTheme="majorEastAsia" w:hAnsiTheme="majorHAnsi" w:cstheme="majorBidi"/>
      <w:b/>
      <w:bCs/>
    </w:rPr>
  </w:style>
  <w:style w:type="table" w:styleId="LightGrid">
    <w:name w:val="Light Grid"/>
    <w:basedOn w:val="TableNormal"/>
    <w:uiPriority w:val="99"/>
    <w:semiHidden/>
    <w:rsid w:val="00A26284"/>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A26284"/>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A26284"/>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A26284"/>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A26284"/>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A26284"/>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A26284"/>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A26284"/>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A26284"/>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A26284"/>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A26284"/>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A26284"/>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A26284"/>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A26284"/>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A26284"/>
    <w:rPr>
      <w:color w:val="000000" w:themeColor="text1" w:themeShade="BF"/>
      <w:lang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A26284"/>
    <w:rPr>
      <w:color w:val="00548C" w:themeColor="accent1" w:themeShade="BF"/>
      <w:lang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A26284"/>
    <w:rPr>
      <w:color w:val="8F0000" w:themeColor="accent2" w:themeShade="BF"/>
      <w:lang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A26284"/>
    <w:rPr>
      <w:color w:val="474747" w:themeColor="accent3" w:themeShade="BF"/>
      <w:lang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A26284"/>
    <w:rPr>
      <w:color w:val="707070" w:themeColor="accent4" w:themeShade="BF"/>
      <w:lang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A26284"/>
    <w:rPr>
      <w:color w:val="474747" w:themeColor="accent5" w:themeShade="BF"/>
      <w:lang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A26284"/>
    <w:rPr>
      <w:color w:val="393939" w:themeColor="accent6" w:themeShade="BF"/>
      <w:lang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A26284"/>
  </w:style>
  <w:style w:type="paragraph" w:styleId="List">
    <w:name w:val="List"/>
    <w:basedOn w:val="Normal"/>
    <w:uiPriority w:val="99"/>
    <w:semiHidden/>
    <w:rsid w:val="00A26284"/>
    <w:pPr>
      <w:ind w:left="283" w:hanging="283"/>
      <w:contextualSpacing/>
    </w:pPr>
  </w:style>
  <w:style w:type="paragraph" w:styleId="List2">
    <w:name w:val="List 2"/>
    <w:basedOn w:val="Normal"/>
    <w:uiPriority w:val="99"/>
    <w:semiHidden/>
    <w:rsid w:val="00A26284"/>
    <w:pPr>
      <w:ind w:left="566" w:hanging="283"/>
      <w:contextualSpacing/>
    </w:pPr>
  </w:style>
  <w:style w:type="paragraph" w:styleId="List3">
    <w:name w:val="List 3"/>
    <w:basedOn w:val="Normal"/>
    <w:uiPriority w:val="99"/>
    <w:semiHidden/>
    <w:rsid w:val="00A26284"/>
    <w:pPr>
      <w:ind w:left="849" w:hanging="283"/>
      <w:contextualSpacing/>
    </w:pPr>
  </w:style>
  <w:style w:type="paragraph" w:styleId="List4">
    <w:name w:val="List 4"/>
    <w:basedOn w:val="Normal"/>
    <w:uiPriority w:val="99"/>
    <w:semiHidden/>
    <w:rsid w:val="00A26284"/>
    <w:pPr>
      <w:ind w:left="1132" w:hanging="283"/>
      <w:contextualSpacing/>
    </w:pPr>
  </w:style>
  <w:style w:type="paragraph" w:styleId="List5">
    <w:name w:val="List 5"/>
    <w:basedOn w:val="Normal"/>
    <w:uiPriority w:val="99"/>
    <w:semiHidden/>
    <w:rsid w:val="00A26284"/>
    <w:pPr>
      <w:ind w:left="1415" w:hanging="283"/>
      <w:contextualSpacing/>
    </w:pPr>
  </w:style>
  <w:style w:type="paragraph" w:styleId="ListBullet2">
    <w:name w:val="List Bullet 2"/>
    <w:basedOn w:val="Normal"/>
    <w:uiPriority w:val="99"/>
    <w:semiHidden/>
    <w:rsid w:val="00A26284"/>
    <w:pPr>
      <w:numPr>
        <w:numId w:val="2"/>
      </w:numPr>
      <w:contextualSpacing/>
    </w:pPr>
  </w:style>
  <w:style w:type="paragraph" w:styleId="ListBullet3">
    <w:name w:val="List Bullet 3"/>
    <w:basedOn w:val="Normal"/>
    <w:uiPriority w:val="99"/>
    <w:semiHidden/>
    <w:rsid w:val="00A26284"/>
    <w:pPr>
      <w:numPr>
        <w:numId w:val="3"/>
      </w:numPr>
      <w:contextualSpacing/>
    </w:pPr>
  </w:style>
  <w:style w:type="paragraph" w:styleId="ListBullet4">
    <w:name w:val="List Bullet 4"/>
    <w:basedOn w:val="Normal"/>
    <w:uiPriority w:val="99"/>
    <w:semiHidden/>
    <w:rsid w:val="00A26284"/>
    <w:pPr>
      <w:tabs>
        <w:tab w:val="num" w:pos="1209"/>
      </w:tabs>
      <w:ind w:left="1209" w:hanging="360"/>
      <w:contextualSpacing/>
    </w:pPr>
  </w:style>
  <w:style w:type="paragraph" w:styleId="ListBullet5">
    <w:name w:val="List Bullet 5"/>
    <w:basedOn w:val="Normal"/>
    <w:uiPriority w:val="99"/>
    <w:semiHidden/>
    <w:rsid w:val="00A26284"/>
    <w:pPr>
      <w:numPr>
        <w:numId w:val="4"/>
      </w:numPr>
      <w:contextualSpacing/>
    </w:pPr>
  </w:style>
  <w:style w:type="paragraph" w:styleId="ListContinue">
    <w:name w:val="List Continue"/>
    <w:basedOn w:val="Normal"/>
    <w:uiPriority w:val="99"/>
    <w:semiHidden/>
    <w:rsid w:val="00A26284"/>
    <w:pPr>
      <w:spacing w:after="120"/>
      <w:ind w:left="283"/>
      <w:contextualSpacing/>
    </w:pPr>
  </w:style>
  <w:style w:type="paragraph" w:styleId="ListContinue2">
    <w:name w:val="List Continue 2"/>
    <w:basedOn w:val="Normal"/>
    <w:uiPriority w:val="99"/>
    <w:semiHidden/>
    <w:rsid w:val="00A26284"/>
    <w:pPr>
      <w:spacing w:after="120"/>
      <w:ind w:left="566"/>
      <w:contextualSpacing/>
    </w:pPr>
  </w:style>
  <w:style w:type="paragraph" w:styleId="ListContinue3">
    <w:name w:val="List Continue 3"/>
    <w:basedOn w:val="Normal"/>
    <w:uiPriority w:val="99"/>
    <w:semiHidden/>
    <w:rsid w:val="00A26284"/>
    <w:pPr>
      <w:spacing w:after="120"/>
      <w:ind w:left="849"/>
      <w:contextualSpacing/>
    </w:pPr>
  </w:style>
  <w:style w:type="paragraph" w:styleId="ListContinue4">
    <w:name w:val="List Continue 4"/>
    <w:basedOn w:val="Normal"/>
    <w:uiPriority w:val="99"/>
    <w:semiHidden/>
    <w:rsid w:val="00A26284"/>
    <w:pPr>
      <w:spacing w:after="120"/>
      <w:ind w:left="1132"/>
      <w:contextualSpacing/>
    </w:pPr>
  </w:style>
  <w:style w:type="paragraph" w:styleId="ListContinue5">
    <w:name w:val="List Continue 5"/>
    <w:basedOn w:val="Normal"/>
    <w:uiPriority w:val="99"/>
    <w:semiHidden/>
    <w:rsid w:val="00A26284"/>
    <w:pPr>
      <w:spacing w:after="120"/>
      <w:ind w:left="1415"/>
      <w:contextualSpacing/>
    </w:pPr>
  </w:style>
  <w:style w:type="paragraph" w:styleId="ListNumber">
    <w:name w:val="List Number"/>
    <w:basedOn w:val="Normal"/>
    <w:uiPriority w:val="99"/>
    <w:semiHidden/>
    <w:rsid w:val="00A26284"/>
    <w:pPr>
      <w:numPr>
        <w:numId w:val="5"/>
      </w:numPr>
      <w:contextualSpacing/>
    </w:pPr>
  </w:style>
  <w:style w:type="paragraph" w:styleId="ListNumber2">
    <w:name w:val="List Number 2"/>
    <w:basedOn w:val="Normal"/>
    <w:uiPriority w:val="99"/>
    <w:semiHidden/>
    <w:rsid w:val="00A26284"/>
    <w:pPr>
      <w:numPr>
        <w:numId w:val="6"/>
      </w:numPr>
      <w:contextualSpacing/>
    </w:pPr>
  </w:style>
  <w:style w:type="paragraph" w:styleId="ListNumber3">
    <w:name w:val="List Number 3"/>
    <w:basedOn w:val="Normal"/>
    <w:uiPriority w:val="99"/>
    <w:semiHidden/>
    <w:rsid w:val="00A26284"/>
    <w:pPr>
      <w:numPr>
        <w:numId w:val="7"/>
      </w:numPr>
      <w:contextualSpacing/>
    </w:pPr>
  </w:style>
  <w:style w:type="paragraph" w:styleId="ListNumber4">
    <w:name w:val="List Number 4"/>
    <w:basedOn w:val="Normal"/>
    <w:uiPriority w:val="99"/>
    <w:semiHidden/>
    <w:rsid w:val="00A26284"/>
    <w:pPr>
      <w:numPr>
        <w:numId w:val="8"/>
      </w:numPr>
      <w:contextualSpacing/>
    </w:pPr>
  </w:style>
  <w:style w:type="paragraph" w:styleId="ListNumber5">
    <w:name w:val="List Number 5"/>
    <w:basedOn w:val="Normal"/>
    <w:uiPriority w:val="99"/>
    <w:semiHidden/>
    <w:rsid w:val="00A26284"/>
    <w:pPr>
      <w:numPr>
        <w:numId w:val="9"/>
      </w:numPr>
      <w:contextualSpacing/>
    </w:pPr>
  </w:style>
  <w:style w:type="paragraph" w:styleId="MacroText">
    <w:name w:val="macro"/>
    <w:link w:val="MacroTextChar"/>
    <w:uiPriority w:val="99"/>
    <w:semiHidden/>
    <w:rsid w:val="00A26284"/>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A26284"/>
    <w:rPr>
      <w:rFonts w:ascii="Consolas" w:eastAsiaTheme="minorEastAsia" w:hAnsi="Consolas" w:cs="Consolas"/>
      <w:sz w:val="20"/>
      <w:szCs w:val="20"/>
    </w:rPr>
  </w:style>
  <w:style w:type="table" w:styleId="MediumGrid1">
    <w:name w:val="Medium Grid 1"/>
    <w:basedOn w:val="TableNormal"/>
    <w:uiPriority w:val="99"/>
    <w:semiHidden/>
    <w:rsid w:val="00A26284"/>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A26284"/>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A26284"/>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A26284"/>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A26284"/>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A26284"/>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A26284"/>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A26284"/>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A26284"/>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A26284"/>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A26284"/>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A26284"/>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A26284"/>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A26284"/>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A26284"/>
    <w:rPr>
      <w:color w:val="000000" w:themeColor="text1"/>
      <w:lang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A26284"/>
    <w:rPr>
      <w:color w:val="000000" w:themeColor="text1"/>
      <w:lang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A26284"/>
    <w:rPr>
      <w:color w:val="000000" w:themeColor="text1"/>
      <w:lang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A26284"/>
    <w:rPr>
      <w:color w:val="000000" w:themeColor="text1"/>
      <w:lang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A26284"/>
    <w:rPr>
      <w:color w:val="000000" w:themeColor="text1"/>
      <w:lang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A26284"/>
    <w:rPr>
      <w:color w:val="000000" w:themeColor="text1"/>
      <w:lang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A26284"/>
    <w:rPr>
      <w:color w:val="000000" w:themeColor="text1"/>
      <w:lang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A26284"/>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A26284"/>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A26284"/>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A26284"/>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A26284"/>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A26284"/>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A26284"/>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A26284"/>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A26284"/>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A26284"/>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A26284"/>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A26284"/>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A26284"/>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A26284"/>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A26284"/>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A2628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A26284"/>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A26284"/>
    <w:rPr>
      <w:rFonts w:ascii="Times New Roman" w:hAnsi="Times New Roman" w:cs="Times New Roman"/>
      <w:szCs w:val="24"/>
    </w:rPr>
  </w:style>
  <w:style w:type="paragraph" w:styleId="NormalIndent">
    <w:name w:val="Normal Indent"/>
    <w:basedOn w:val="Normal"/>
    <w:uiPriority w:val="99"/>
    <w:semiHidden/>
    <w:rsid w:val="00A26284"/>
    <w:pPr>
      <w:ind w:left="720"/>
    </w:pPr>
  </w:style>
  <w:style w:type="paragraph" w:styleId="NoteHeading">
    <w:name w:val="Note Heading"/>
    <w:basedOn w:val="Normal"/>
    <w:next w:val="Normal"/>
    <w:link w:val="NoteHeadingChar"/>
    <w:uiPriority w:val="99"/>
    <w:semiHidden/>
    <w:rsid w:val="00A26284"/>
  </w:style>
  <w:style w:type="character" w:customStyle="1" w:styleId="NoteHeadingChar">
    <w:name w:val="Note Heading Char"/>
    <w:basedOn w:val="DefaultParagraphFont"/>
    <w:link w:val="NoteHeading"/>
    <w:uiPriority w:val="99"/>
    <w:semiHidden/>
    <w:rsid w:val="00A26284"/>
    <w:rPr>
      <w:rFonts w:eastAsiaTheme="minorEastAsia"/>
      <w:sz w:val="24"/>
    </w:rPr>
  </w:style>
  <w:style w:type="character" w:styleId="PlaceholderText">
    <w:name w:val="Placeholder Text"/>
    <w:basedOn w:val="DefaultParagraphFont"/>
    <w:uiPriority w:val="99"/>
    <w:semiHidden/>
    <w:rsid w:val="00A511BC"/>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A26284"/>
    <w:rPr>
      <w:rFonts w:ascii="Consolas" w:hAnsi="Consolas" w:cs="Consolas"/>
      <w:sz w:val="21"/>
      <w:szCs w:val="21"/>
    </w:rPr>
  </w:style>
  <w:style w:type="character" w:customStyle="1" w:styleId="PlainTextChar">
    <w:name w:val="Plain Text Char"/>
    <w:basedOn w:val="DefaultParagraphFont"/>
    <w:link w:val="PlainText"/>
    <w:uiPriority w:val="99"/>
    <w:semiHidden/>
    <w:rsid w:val="00A26284"/>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A26284"/>
  </w:style>
  <w:style w:type="character" w:customStyle="1" w:styleId="SalutationChar">
    <w:name w:val="Salutation Char"/>
    <w:basedOn w:val="DefaultParagraphFont"/>
    <w:link w:val="Salutation"/>
    <w:uiPriority w:val="99"/>
    <w:semiHidden/>
    <w:rsid w:val="00A26284"/>
    <w:rPr>
      <w:rFonts w:eastAsiaTheme="minorEastAsia"/>
      <w:sz w:val="24"/>
    </w:rPr>
  </w:style>
  <w:style w:type="paragraph" w:styleId="Signature">
    <w:name w:val="Signature"/>
    <w:basedOn w:val="Normal"/>
    <w:link w:val="SignatureChar"/>
    <w:uiPriority w:val="99"/>
    <w:semiHidden/>
    <w:rsid w:val="00A26284"/>
    <w:pPr>
      <w:ind w:left="4252"/>
    </w:pPr>
  </w:style>
  <w:style w:type="character" w:customStyle="1" w:styleId="SignatureChar">
    <w:name w:val="Signature Char"/>
    <w:basedOn w:val="DefaultParagraphFont"/>
    <w:link w:val="Signature"/>
    <w:uiPriority w:val="99"/>
    <w:semiHidden/>
    <w:rsid w:val="00A26284"/>
    <w:rPr>
      <w:rFonts w:eastAsiaTheme="minorEastAsia"/>
      <w:sz w:val="24"/>
    </w:rPr>
  </w:style>
  <w:style w:type="table" w:styleId="Table3Deffects1">
    <w:name w:val="Table 3D effects 1"/>
    <w:basedOn w:val="TableNormal"/>
    <w:uiPriority w:val="99"/>
    <w:semiHidden/>
    <w:rsid w:val="00A26284"/>
    <w:pPr>
      <w:jc w:val="both"/>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A26284"/>
    <w:pPr>
      <w:jc w:val="both"/>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A26284"/>
    <w:pPr>
      <w:jc w:val="both"/>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A26284"/>
    <w:pPr>
      <w:jc w:val="both"/>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A26284"/>
    <w:pPr>
      <w:jc w:val="both"/>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A26284"/>
    <w:pPr>
      <w:jc w:val="both"/>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A26284"/>
    <w:pPr>
      <w:jc w:val="both"/>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A26284"/>
    <w:pPr>
      <w:jc w:val="both"/>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A26284"/>
    <w:pPr>
      <w:jc w:val="both"/>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A26284"/>
    <w:pPr>
      <w:jc w:val="both"/>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A26284"/>
    <w:pPr>
      <w:jc w:val="both"/>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A26284"/>
    <w:pPr>
      <w:jc w:val="both"/>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A26284"/>
    <w:pPr>
      <w:jc w:val="both"/>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A26284"/>
    <w:pPr>
      <w:jc w:val="both"/>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A26284"/>
    <w:pPr>
      <w:jc w:val="both"/>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A26284"/>
    <w:pPr>
      <w:jc w:val="both"/>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A26284"/>
    <w:pPr>
      <w:jc w:val="both"/>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A26284"/>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A26284"/>
    <w:pPr>
      <w:jc w:val="both"/>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A26284"/>
    <w:pPr>
      <w:jc w:val="both"/>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A26284"/>
    <w:pPr>
      <w:jc w:val="both"/>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A26284"/>
    <w:pPr>
      <w:jc w:val="both"/>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A26284"/>
    <w:pPr>
      <w:jc w:val="both"/>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A26284"/>
    <w:pPr>
      <w:jc w:val="both"/>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A26284"/>
    <w:pPr>
      <w:jc w:val="both"/>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A26284"/>
    <w:pPr>
      <w:jc w:val="both"/>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A26284"/>
    <w:pPr>
      <w:jc w:val="both"/>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A26284"/>
    <w:pPr>
      <w:jc w:val="both"/>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A26284"/>
    <w:pPr>
      <w:jc w:val="both"/>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A26284"/>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A26284"/>
    <w:pPr>
      <w:jc w:val="both"/>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A26284"/>
    <w:pPr>
      <w:jc w:val="both"/>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A26284"/>
    <w:pPr>
      <w:jc w:val="both"/>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A26284"/>
    <w:pPr>
      <w:ind w:left="240" w:hanging="240"/>
    </w:pPr>
  </w:style>
  <w:style w:type="paragraph" w:styleId="TableofFigures">
    <w:name w:val="table of figures"/>
    <w:basedOn w:val="Normal"/>
    <w:next w:val="Normal"/>
    <w:uiPriority w:val="99"/>
    <w:semiHidden/>
    <w:rsid w:val="00A26284"/>
  </w:style>
  <w:style w:type="table" w:styleId="TableProfessional">
    <w:name w:val="Table Professional"/>
    <w:basedOn w:val="TableNormal"/>
    <w:uiPriority w:val="99"/>
    <w:semiHidden/>
    <w:rsid w:val="00A26284"/>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A26284"/>
    <w:pPr>
      <w:jc w:val="both"/>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A26284"/>
    <w:pPr>
      <w:jc w:val="both"/>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A26284"/>
    <w:pPr>
      <w:jc w:val="both"/>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A26284"/>
    <w:pPr>
      <w:jc w:val="both"/>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A26284"/>
    <w:pPr>
      <w:jc w:val="both"/>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A26284"/>
    <w:pPr>
      <w:jc w:val="both"/>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A26284"/>
    <w:pPr>
      <w:jc w:val="both"/>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A26284"/>
    <w:pPr>
      <w:jc w:val="both"/>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A26284"/>
    <w:pPr>
      <w:jc w:val="both"/>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A511BC"/>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A511BC"/>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A26284"/>
    <w:pPr>
      <w:spacing w:after="100"/>
      <w:ind w:left="1680"/>
    </w:pPr>
  </w:style>
  <w:style w:type="paragraph" w:styleId="TOC9">
    <w:name w:val="toc 9"/>
    <w:basedOn w:val="Normal"/>
    <w:next w:val="Normal"/>
    <w:autoRedefine/>
    <w:uiPriority w:val="99"/>
    <w:semiHidden/>
    <w:rsid w:val="00A26284"/>
    <w:pPr>
      <w:spacing w:after="100"/>
      <w:ind w:left="1920"/>
    </w:pPr>
  </w:style>
  <w:style w:type="paragraph" w:customStyle="1" w:styleId="OpiHa">
    <w:name w:val="Opi_H_a"/>
    <w:basedOn w:val="ECHRHeading3"/>
    <w:uiPriority w:val="43"/>
    <w:qFormat/>
    <w:rsid w:val="00A511BC"/>
    <w:pPr>
      <w:ind w:left="833" w:hanging="357"/>
      <w:outlineLvl w:val="3"/>
    </w:pPr>
    <w:rPr>
      <w:b/>
      <w:i w:val="0"/>
      <w:sz w:val="20"/>
    </w:rPr>
  </w:style>
  <w:style w:type="paragraph" w:customStyle="1" w:styleId="OpiHA0">
    <w:name w:val="Opi_H_A"/>
    <w:basedOn w:val="ECHRHeading1"/>
    <w:next w:val="OpiPara"/>
    <w:uiPriority w:val="41"/>
    <w:qFormat/>
    <w:rsid w:val="00A511BC"/>
    <w:pPr>
      <w:tabs>
        <w:tab w:val="clear" w:pos="357"/>
      </w:tabs>
      <w:outlineLvl w:val="1"/>
    </w:pPr>
    <w:rPr>
      <w:b/>
    </w:rPr>
  </w:style>
  <w:style w:type="paragraph" w:customStyle="1" w:styleId="OpiHi">
    <w:name w:val="Opi_H_i"/>
    <w:basedOn w:val="ECHRHeading4"/>
    <w:uiPriority w:val="44"/>
    <w:qFormat/>
    <w:rsid w:val="00A511BC"/>
    <w:pPr>
      <w:ind w:left="1037" w:hanging="357"/>
      <w:outlineLvl w:val="4"/>
    </w:pPr>
    <w:rPr>
      <w:b w:val="0"/>
      <w:i/>
    </w:rPr>
  </w:style>
  <w:style w:type="paragraph" w:customStyle="1" w:styleId="OpiPara">
    <w:name w:val="Opi_Para"/>
    <w:basedOn w:val="ECHRPara"/>
    <w:uiPriority w:val="46"/>
    <w:qFormat/>
    <w:rsid w:val="00A511BC"/>
  </w:style>
  <w:style w:type="paragraph" w:customStyle="1" w:styleId="OpiParaSub">
    <w:name w:val="Opi_Para_Sub"/>
    <w:basedOn w:val="JuParaSub"/>
    <w:uiPriority w:val="47"/>
    <w:qFormat/>
    <w:rsid w:val="00A511BC"/>
  </w:style>
  <w:style w:type="paragraph" w:customStyle="1" w:styleId="OpiQuot">
    <w:name w:val="Opi_Quot"/>
    <w:basedOn w:val="ECHRParaQuote"/>
    <w:uiPriority w:val="48"/>
    <w:qFormat/>
    <w:rsid w:val="00A511BC"/>
  </w:style>
  <w:style w:type="paragraph" w:customStyle="1" w:styleId="OpiQuotSub">
    <w:name w:val="Opi_Quot_Sub"/>
    <w:basedOn w:val="JuQuotSub"/>
    <w:uiPriority w:val="49"/>
    <w:qFormat/>
    <w:rsid w:val="00A511BC"/>
  </w:style>
  <w:style w:type="character" w:customStyle="1" w:styleId="ECHRParaChar">
    <w:name w:val="ECHR_Para Char"/>
    <w:aliases w:val="Ju_Para Char"/>
    <w:link w:val="ECHRPara"/>
    <w:uiPriority w:val="12"/>
    <w:rsid w:val="00C56A36"/>
    <w:rPr>
      <w:rFonts w:eastAsiaTheme="minorEastAsia"/>
      <w:sz w:val="24"/>
    </w:rPr>
  </w:style>
  <w:style w:type="paragraph" w:customStyle="1" w:styleId="OpiTranslation">
    <w:name w:val="Opi_Translation"/>
    <w:basedOn w:val="Normal"/>
    <w:next w:val="OpiPara"/>
    <w:uiPriority w:val="40"/>
    <w:qFormat/>
    <w:rsid w:val="00A511BC"/>
    <w:pPr>
      <w:jc w:val="center"/>
      <w:outlineLvl w:val="0"/>
    </w:pPr>
    <w:rPr>
      <w:i/>
    </w:rPr>
  </w:style>
  <w:style w:type="paragraph" w:customStyle="1" w:styleId="jupara">
    <w:name w:val="jupara"/>
    <w:basedOn w:val="Normal"/>
    <w:rsid w:val="001D655C"/>
    <w:pPr>
      <w:ind w:firstLine="284"/>
    </w:pPr>
    <w:rPr>
      <w:rFonts w:ascii="Times New Roman" w:eastAsia="Times New Roman" w:hAnsi="Times New Roman" w:cs="Times New Roman"/>
      <w:szCs w:val="24"/>
      <w:lang w:eastAsia="en-GB"/>
    </w:rPr>
  </w:style>
  <w:style w:type="paragraph" w:customStyle="1" w:styleId="jucase0">
    <w:name w:val="jucase"/>
    <w:basedOn w:val="Normal"/>
    <w:rsid w:val="001D655C"/>
    <w:pPr>
      <w:ind w:firstLine="284"/>
    </w:pPr>
    <w:rPr>
      <w:rFonts w:ascii="Times New Roman" w:eastAsia="Times New Roman" w:hAnsi="Times New Roman" w:cs="Times New Roman"/>
      <w:b/>
      <w:bC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FB6E0-DCDD-4781-AC95-5007422710F3}">
  <ds:schemaRefs>
    <ds:schemaRef ds:uri="http://schemas.microsoft.com/sharepoint/v3/contenttype/forms"/>
  </ds:schemaRefs>
</ds:datastoreItem>
</file>

<file path=customXml/itemProps2.xml><?xml version="1.0" encoding="utf-8"?>
<ds:datastoreItem xmlns:ds="http://schemas.openxmlformats.org/officeDocument/2006/customXml" ds:itemID="{0A5FC173-94A1-402E-A20E-D2050C205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6D1C81F-ED22-430D-9D11-72557D7750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862264-E3AB-4C6D-960B-69DD9EEE2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2519</Words>
  <Characters>14361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2024-11-08T15:17:00Z</dcterms:created>
  <dcterms:modified xsi:type="dcterms:W3CDTF">2024-11-13T09:44:00Z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