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2C62E" w14:textId="77777777" w:rsidR="007A4070" w:rsidRPr="001C2470" w:rsidRDefault="007A4070" w:rsidP="001C2470"/>
    <w:p w14:paraId="7BB9CA38" w14:textId="77777777" w:rsidR="00C83BBD" w:rsidRPr="00C83BBD" w:rsidRDefault="00C83BBD" w:rsidP="001C2470">
      <w:pPr>
        <w:pStyle w:val="DecHTitle"/>
        <w:rPr>
          <w:sz w:val="24"/>
        </w:rPr>
      </w:pPr>
      <w:r>
        <w:rPr>
          <w:sz w:val="24"/>
        </w:rPr>
        <w:t>CURTEA EUROPEANĂ A DREPTURILOR OMULUI</w:t>
      </w:r>
    </w:p>
    <w:p w14:paraId="218FBBC2" w14:textId="77777777" w:rsidR="007A4070" w:rsidRPr="001C2470" w:rsidRDefault="00F17402" w:rsidP="001C2470">
      <w:pPr>
        <w:pStyle w:val="DecHTitle"/>
      </w:pPr>
      <w:r>
        <w:t>SECȚIA A PATRA</w:t>
      </w:r>
    </w:p>
    <w:p w14:paraId="2222CD3B" w14:textId="77777777" w:rsidR="007A4070" w:rsidRPr="001C2470" w:rsidRDefault="00F17402" w:rsidP="001C2470">
      <w:pPr>
        <w:pStyle w:val="JuTitle"/>
        <w:spacing w:before="600"/>
      </w:pPr>
      <w:r>
        <w:t>CAUZA ALEXANDRU PĂTRAŞCU ÎMPOTRIVA ROMÂNIEI</w:t>
      </w:r>
    </w:p>
    <w:p w14:paraId="2C281C6A" w14:textId="77777777" w:rsidR="007A4070" w:rsidRPr="001C2470" w:rsidRDefault="00F17402" w:rsidP="001C2470">
      <w:pPr>
        <w:pStyle w:val="ECHRCoverTitle4"/>
      </w:pPr>
      <w:r>
        <w:t>(Cererea nr. 1847/21)</w:t>
      </w:r>
    </w:p>
    <w:p w14:paraId="19D6C908" w14:textId="77777777" w:rsidR="007A4070" w:rsidRPr="001C2470" w:rsidRDefault="007A4070" w:rsidP="001C2470">
      <w:pPr>
        <w:pStyle w:val="DecHCase"/>
      </w:pPr>
    </w:p>
    <w:p w14:paraId="5FEAE60F" w14:textId="77777777" w:rsidR="007A4070" w:rsidRPr="001C2470" w:rsidRDefault="00F17402" w:rsidP="001C2470">
      <w:pPr>
        <w:pStyle w:val="DecHCase"/>
      </w:pPr>
      <w:r>
        <w:t>HOTĂRÂRE</w:t>
      </w:r>
      <w:r>
        <w:br/>
      </w:r>
    </w:p>
    <w:p w14:paraId="5188C974" w14:textId="77777777" w:rsidR="00DF276D" w:rsidRPr="001C2470" w:rsidRDefault="00F17402" w:rsidP="001C2470">
      <w:pPr>
        <w:pBdr>
          <w:top w:val="single" w:sz="4" w:space="1" w:color="auto"/>
          <w:left w:val="single" w:sz="4" w:space="4" w:color="auto"/>
          <w:bottom w:val="single" w:sz="4" w:space="1" w:color="auto"/>
          <w:right w:val="single" w:sz="4" w:space="4" w:color="auto"/>
        </w:pBdr>
        <w:jc w:val="both"/>
        <w:rPr>
          <w:sz w:val="22"/>
          <w:szCs w:val="22"/>
        </w:rPr>
      </w:pPr>
      <w:r>
        <w:rPr>
          <w:sz w:val="22"/>
        </w:rPr>
        <w:t>Art. 10 • Libertatea de exprimare • Sentință civilă de obligare a unui cunoscut iubitor de operă la plata de despăgubiri pentru comentarii referitoare la conflictul izbucnit în cadrul Operei Naționale București publicate de el și de terțe persoane pe pagina sa de Facebook</w:t>
      </w:r>
    </w:p>
    <w:p w14:paraId="07A55896" w14:textId="77777777" w:rsidR="00DF276D" w:rsidRPr="001C2470" w:rsidRDefault="00F17402" w:rsidP="001C2470">
      <w:pPr>
        <w:pBdr>
          <w:top w:val="single" w:sz="4" w:space="1" w:color="auto"/>
          <w:left w:val="single" w:sz="4" w:space="4" w:color="auto"/>
          <w:bottom w:val="single" w:sz="4" w:space="1" w:color="auto"/>
          <w:right w:val="single" w:sz="4" w:space="4" w:color="auto"/>
        </w:pBdr>
        <w:jc w:val="both"/>
        <w:rPr>
          <w:sz w:val="22"/>
          <w:szCs w:val="22"/>
        </w:rPr>
      </w:pPr>
      <w:r>
        <w:rPr>
          <w:sz w:val="22"/>
        </w:rPr>
        <w:t>Comentarii făcute de însuși reclamantul • Autorități care nu au efectuat o veritabilă evaluare comparativă a intereselor aflate în joc pentru a demonstra că, prin pronunțarea unei sentințe împotriva reclamantului, se răspundea unei „nevoi sociale imperioase” și că această sentință era proporțională cu scopul legitim urmărit • Ingerință nenecesară într-o societate democratică</w:t>
      </w:r>
    </w:p>
    <w:p w14:paraId="6D44261E" w14:textId="77777777" w:rsidR="00DF276D" w:rsidRPr="001C2470" w:rsidRDefault="00F17402" w:rsidP="001C2470">
      <w:pPr>
        <w:pStyle w:val="JuPara"/>
        <w:pBdr>
          <w:top w:val="single" w:sz="4" w:space="1" w:color="auto"/>
          <w:left w:val="single" w:sz="4" w:space="4" w:color="auto"/>
          <w:bottom w:val="single" w:sz="4" w:space="1" w:color="auto"/>
          <w:right w:val="single" w:sz="4" w:space="4" w:color="auto"/>
        </w:pBdr>
        <w:ind w:firstLine="0"/>
        <w:rPr>
          <w:sz w:val="22"/>
          <w:szCs w:val="22"/>
        </w:rPr>
      </w:pPr>
      <w:r>
        <w:rPr>
          <w:sz w:val="22"/>
        </w:rPr>
        <w:t>Angajarea răspunderii reclamantului pentru comentarii publicate de terțe persoane • Temei legal care nu definește suficient de clar întinderea și modalitățile de exercitare a dreptului reclamantului la libertatea de exprimare prin deschiderea paginii sale de Facebook pentru comentariile terților • Reclamant care nu a putut beneficia de gradul de protecție impus de preeminența dreptului într-o societate democratică • Ingerință neprevăzută de lege</w:t>
      </w:r>
    </w:p>
    <w:p w14:paraId="6A772C81" w14:textId="77777777" w:rsidR="00DF276D" w:rsidRPr="001C2470" w:rsidRDefault="00DF276D" w:rsidP="001C2470">
      <w:pPr>
        <w:pStyle w:val="JuPara"/>
        <w:pBdr>
          <w:top w:val="single" w:sz="4" w:space="1" w:color="auto"/>
          <w:left w:val="single" w:sz="4" w:space="4" w:color="auto"/>
          <w:bottom w:val="single" w:sz="4" w:space="1" w:color="auto"/>
          <w:right w:val="single" w:sz="4" w:space="4" w:color="auto"/>
        </w:pBdr>
        <w:ind w:firstLine="0"/>
        <w:rPr>
          <w:sz w:val="22"/>
          <w:szCs w:val="22"/>
        </w:rPr>
      </w:pPr>
    </w:p>
    <w:p w14:paraId="78F3485F" w14:textId="77777777" w:rsidR="00DF276D" w:rsidRPr="001C2470" w:rsidRDefault="00F17402" w:rsidP="001C2470">
      <w:pPr>
        <w:pStyle w:val="JuPara"/>
        <w:pBdr>
          <w:top w:val="single" w:sz="4" w:space="1" w:color="auto"/>
          <w:left w:val="single" w:sz="4" w:space="4" w:color="auto"/>
          <w:bottom w:val="single" w:sz="4" w:space="1" w:color="auto"/>
          <w:right w:val="single" w:sz="4" w:space="4" w:color="auto"/>
        </w:pBdr>
        <w:ind w:firstLine="0"/>
        <w:jc w:val="center"/>
        <w:rPr>
          <w:bCs/>
          <w:sz w:val="18"/>
          <w:szCs w:val="18"/>
        </w:rPr>
      </w:pPr>
      <w:r>
        <w:rPr>
          <w:sz w:val="18"/>
        </w:rPr>
        <w:t>Întocmit de Grefă. Nu obligă Curtea.</w:t>
      </w:r>
    </w:p>
    <w:p w14:paraId="282C59DA" w14:textId="77777777" w:rsidR="00DF276D" w:rsidRPr="001C2470" w:rsidRDefault="00DF276D" w:rsidP="001C2470">
      <w:pPr>
        <w:pStyle w:val="JuPara"/>
      </w:pPr>
    </w:p>
    <w:p w14:paraId="487FC50E" w14:textId="77777777" w:rsidR="007A4070" w:rsidRPr="001C2470" w:rsidRDefault="00F17402" w:rsidP="001C2470">
      <w:pPr>
        <w:pStyle w:val="DecHCase"/>
      </w:pPr>
      <w:r>
        <w:t>STRASBOURG</w:t>
      </w:r>
    </w:p>
    <w:p w14:paraId="68B78127" w14:textId="77777777" w:rsidR="00920111" w:rsidRPr="001C2470" w:rsidRDefault="00F17402" w:rsidP="001C2470">
      <w:pPr>
        <w:pStyle w:val="DecHCase"/>
      </w:pPr>
      <w:r>
        <w:t>7 ianuarie 2025</w:t>
      </w:r>
    </w:p>
    <w:p w14:paraId="62E2918E" w14:textId="77777777" w:rsidR="001C2470" w:rsidRPr="001C2470" w:rsidRDefault="00F17402" w:rsidP="001C2470">
      <w:pPr>
        <w:pStyle w:val="jucase0"/>
        <w:ind w:firstLine="0"/>
        <w:jc w:val="center"/>
        <w:rPr>
          <w:color w:val="FF0000"/>
          <w:sz w:val="28"/>
          <w:szCs w:val="28"/>
          <w:u w:val="single"/>
        </w:rPr>
      </w:pPr>
      <w:r>
        <w:rPr>
          <w:color w:val="FF0000"/>
          <w:sz w:val="28"/>
          <w:u w:val="single"/>
        </w:rPr>
        <w:t>DEFINITIVĂ</w:t>
      </w:r>
    </w:p>
    <w:p w14:paraId="28F6CD01" w14:textId="77777777" w:rsidR="001C2470" w:rsidRPr="001C2470" w:rsidRDefault="001C2470" w:rsidP="001C2470">
      <w:pPr>
        <w:pStyle w:val="jucase0"/>
        <w:ind w:firstLine="0"/>
        <w:jc w:val="center"/>
        <w:rPr>
          <w:b w:val="0"/>
          <w:bCs w:val="0"/>
          <w:color w:val="FF0000"/>
          <w:u w:val="single"/>
          <w:lang w:val="fr-FR"/>
        </w:rPr>
      </w:pPr>
    </w:p>
    <w:p w14:paraId="1F235FBB" w14:textId="77777777" w:rsidR="001C2470" w:rsidRPr="001C2470" w:rsidRDefault="00F17402" w:rsidP="001C2470">
      <w:pPr>
        <w:pStyle w:val="jucase0"/>
        <w:ind w:firstLine="0"/>
        <w:jc w:val="center"/>
        <w:rPr>
          <w:b w:val="0"/>
          <w:color w:val="FF0000"/>
          <w:sz w:val="28"/>
          <w:szCs w:val="28"/>
        </w:rPr>
      </w:pPr>
      <w:r>
        <w:rPr>
          <w:b w:val="0"/>
          <w:color w:val="FF0000"/>
          <w:sz w:val="28"/>
        </w:rPr>
        <w:t>07/04/2025</w:t>
      </w:r>
    </w:p>
    <w:p w14:paraId="2B1C3D89" w14:textId="77777777" w:rsidR="001C2470" w:rsidRPr="001C2470" w:rsidRDefault="001C2470" w:rsidP="001C2470">
      <w:pPr>
        <w:pStyle w:val="jupara0"/>
        <w:ind w:firstLine="0"/>
        <w:jc w:val="center"/>
        <w:rPr>
          <w:u w:val="single"/>
          <w:lang w:val="fr-FR"/>
        </w:rPr>
      </w:pPr>
    </w:p>
    <w:p w14:paraId="757177E0" w14:textId="77777777" w:rsidR="00516B59" w:rsidRPr="001C2470" w:rsidRDefault="00F17402" w:rsidP="001C2470">
      <w:pPr>
        <w:jc w:val="center"/>
        <w:rPr>
          <w:rFonts w:ascii="Times New Roman" w:hAnsi="Times New Roman" w:cs="Times New Roman"/>
          <w:i/>
          <w:sz w:val="22"/>
        </w:rPr>
      </w:pPr>
      <w:r>
        <w:rPr>
          <w:i/>
          <w:sz w:val="22"/>
        </w:rPr>
        <w:t xml:space="preserve">Hotărârea devine definitivă în condițiile prevăzute la art. 44 § 2 din Convenție. </w:t>
      </w:r>
      <w:r>
        <w:rPr>
          <w:i/>
          <w:sz w:val="22"/>
        </w:rPr>
        <w:br/>
        <w:t>Aceasta poate suferi modificări de formă.</w:t>
      </w:r>
    </w:p>
    <w:p w14:paraId="1D10B4AD" w14:textId="77777777" w:rsidR="00516B59" w:rsidRPr="001C2470" w:rsidRDefault="00516B59" w:rsidP="001C2470">
      <w:pPr>
        <w:ind w:left="720"/>
        <w:jc w:val="center"/>
        <w:rPr>
          <w:rFonts w:ascii="Times New Roman" w:hAnsi="Times New Roman" w:cs="Times New Roman"/>
          <w:sz w:val="22"/>
        </w:rPr>
        <w:sectPr w:rsidR="00516B59" w:rsidRPr="001C2470" w:rsidSect="00657124">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134" w:bottom="1134" w:left="1701" w:header="1701" w:footer="720" w:gutter="0"/>
          <w:pgNumType w:start="1"/>
          <w:cols w:space="720"/>
          <w:noEndnote/>
          <w:titlePg/>
          <w:docGrid w:linePitch="326"/>
        </w:sectPr>
      </w:pPr>
    </w:p>
    <w:p w14:paraId="24F024B2" w14:textId="77777777" w:rsidR="004344E6" w:rsidRPr="001C2470" w:rsidRDefault="00F17402" w:rsidP="001C2470">
      <w:pPr>
        <w:pStyle w:val="JuCase"/>
      </w:pPr>
      <w:r>
        <w:lastRenderedPageBreak/>
        <w:t>În cauza Alexandru Pătrașcu împotriva României,</w:t>
      </w:r>
    </w:p>
    <w:p w14:paraId="2BBC7DF5" w14:textId="77777777" w:rsidR="004344E6" w:rsidRPr="001C2470" w:rsidRDefault="00F17402" w:rsidP="001C2470">
      <w:pPr>
        <w:pStyle w:val="JuPara"/>
      </w:pPr>
      <w:r>
        <w:t>Curtea Europeană a Drepturilor Omului (Secția a patra), reunită într-o cameră compusă din:</w:t>
      </w:r>
    </w:p>
    <w:p w14:paraId="7938E9CE" w14:textId="77777777" w:rsidR="004344E6" w:rsidRPr="001C2470" w:rsidRDefault="00F17402" w:rsidP="001C2470">
      <w:pPr>
        <w:pStyle w:val="JuJudges"/>
      </w:pPr>
      <w:r>
        <w:tab/>
        <w:t>Lado Chanturia</w:t>
      </w:r>
      <w:r>
        <w:rPr>
          <w:i/>
        </w:rPr>
        <w:t>, președinte</w:t>
      </w:r>
      <w:r>
        <w:t>,</w:t>
      </w:r>
      <w:r>
        <w:br/>
      </w:r>
      <w:r>
        <w:tab/>
        <w:t>Jolien Schukking,</w:t>
      </w:r>
      <w:r>
        <w:br/>
      </w:r>
      <w:r>
        <w:tab/>
        <w:t>Faris Vehabović,</w:t>
      </w:r>
      <w:r>
        <w:br/>
      </w:r>
      <w:r>
        <w:tab/>
        <w:t>Tim Eicke,</w:t>
      </w:r>
      <w:r>
        <w:br/>
      </w:r>
      <w:r>
        <w:tab/>
        <w:t>Lorraine Schembri Orland,</w:t>
      </w:r>
      <w:r>
        <w:br/>
      </w:r>
      <w:r>
        <w:tab/>
        <w:t>Ana Maria Guerra Martins,</w:t>
      </w:r>
      <w:r>
        <w:br/>
      </w:r>
      <w:r>
        <w:tab/>
        <w:t>Sebastian Rădulețu</w:t>
      </w:r>
      <w:r>
        <w:rPr>
          <w:i/>
        </w:rPr>
        <w:t>, judecători</w:t>
      </w:r>
      <w:r>
        <w:t>,</w:t>
      </w:r>
      <w:r>
        <w:br/>
        <w:t xml:space="preserve">și Simeon Petrovski, </w:t>
      </w:r>
      <w:r>
        <w:rPr>
          <w:i/>
        </w:rPr>
        <w:t>grefier adjunct de secție</w:t>
      </w:r>
      <w:r>
        <w:t>,</w:t>
      </w:r>
    </w:p>
    <w:p w14:paraId="176E80D2" w14:textId="77777777" w:rsidR="00920111" w:rsidRPr="001C2470" w:rsidRDefault="00F17402" w:rsidP="001C2470">
      <w:pPr>
        <w:pStyle w:val="JuPara"/>
      </w:pPr>
      <w:r>
        <w:t>având în vedere:</w:t>
      </w:r>
    </w:p>
    <w:p w14:paraId="0550AADF" w14:textId="77777777" w:rsidR="00920111" w:rsidRPr="001C2470" w:rsidRDefault="00F17402" w:rsidP="001C2470">
      <w:pPr>
        <w:pStyle w:val="JuPara"/>
      </w:pPr>
      <w:r>
        <w:t>cererea (nr. 1847/21) îndreptată împotriva României, prin care un resortisant al acestui stat, domnul Alexandru Pătrașcu („reclamantul”), a sesizat Curtea la 14 decembrie 2020, în temeiul art. 34 din Convenția pentru apărarea drepturilor omului și a libertăților fundamentale („Convenția”),</w:t>
      </w:r>
    </w:p>
    <w:p w14:paraId="02B7D16E" w14:textId="77777777" w:rsidR="00920111" w:rsidRPr="001C2470" w:rsidRDefault="00F17402" w:rsidP="001C2470">
      <w:pPr>
        <w:pStyle w:val="JuPara"/>
      </w:pPr>
      <w:r>
        <w:t>decizia de a aduce prezenta cerere la cunoștința Guvernului român („Guvernul”),</w:t>
      </w:r>
    </w:p>
    <w:p w14:paraId="60EA2713" w14:textId="77777777" w:rsidR="00920111" w:rsidRPr="001C2470" w:rsidRDefault="00F17402" w:rsidP="001C2470">
      <w:pPr>
        <w:pStyle w:val="JuPara"/>
      </w:pPr>
      <w:r>
        <w:t>observațiile părților,</w:t>
      </w:r>
    </w:p>
    <w:p w14:paraId="11E9F400" w14:textId="77777777" w:rsidR="00920111" w:rsidRPr="001C2470" w:rsidRDefault="00F17402" w:rsidP="001C2470">
      <w:pPr>
        <w:pStyle w:val="JuPara"/>
      </w:pPr>
      <w:r>
        <w:t>observațiile prezentate în comun de organizația Digital Security Lab Ukraine și de organizația neguvernamentală ARTICLE 19, autorizate de președinta secției să acționeze în calitate de terțe interveniente,</w:t>
      </w:r>
    </w:p>
    <w:p w14:paraId="5742644A" w14:textId="77777777" w:rsidR="004344E6" w:rsidRPr="001C2470" w:rsidRDefault="00F17402" w:rsidP="001C2470">
      <w:pPr>
        <w:pStyle w:val="JuPara"/>
      </w:pPr>
      <w:r>
        <w:t>după ce a deliberat în camera de consiliu, la 3 decembrie 2024,</w:t>
      </w:r>
    </w:p>
    <w:p w14:paraId="290E3EE1" w14:textId="77777777" w:rsidR="00876F03" w:rsidRPr="001C2470" w:rsidRDefault="00F17402" w:rsidP="001C2470">
      <w:pPr>
        <w:pStyle w:val="JuPara"/>
      </w:pPr>
      <w:r>
        <w:t>pronunță prezenta hotărâre, adoptată la aceeași dată:</w:t>
      </w:r>
    </w:p>
    <w:p w14:paraId="228F08F8" w14:textId="77777777" w:rsidR="00920111" w:rsidRPr="001C2470" w:rsidRDefault="00F17402" w:rsidP="001C2470">
      <w:pPr>
        <w:pStyle w:val="JuHHead"/>
      </w:pPr>
      <w:r>
        <w:t>INTRODUCERE</w:t>
      </w:r>
    </w:p>
    <w:p w14:paraId="6457D3A7" w14:textId="3A4A11D6" w:rsidR="00920111" w:rsidRPr="001C2470" w:rsidRDefault="001C2470" w:rsidP="001C2470">
      <w:pPr>
        <w:pStyle w:val="JuPara"/>
      </w:pPr>
      <w:fldSimple w:instr=" SEQ level0 \*arabic ">
        <w:r w:rsidR="00E0027B">
          <w:rPr>
            <w:noProof/>
          </w:rPr>
          <w:t>1</w:t>
        </w:r>
      </w:fldSimple>
      <w:r w:rsidR="00F17402">
        <w:t>. Cererea privește în special angajarea răspunderii reclamantului, în temeiul art. 10 și 6 din Convenție, pentru propriile afirmații și pentru comentariile publicate de terți pe pagina sa de Facebook și pe blogul său personal.</w:t>
      </w:r>
    </w:p>
    <w:p w14:paraId="185FAB66" w14:textId="77777777" w:rsidR="00920111" w:rsidRPr="001C2470" w:rsidRDefault="00F17402" w:rsidP="001C2470">
      <w:pPr>
        <w:pStyle w:val="JuHHead"/>
      </w:pPr>
      <w:r>
        <w:t>ÎN FAPT</w:t>
      </w:r>
    </w:p>
    <w:p w14:paraId="293F39F4" w14:textId="76834489" w:rsidR="00920111" w:rsidRPr="001C2470" w:rsidRDefault="001C2470" w:rsidP="001C2470">
      <w:pPr>
        <w:pStyle w:val="JuPara"/>
      </w:pPr>
      <w:fldSimple w:instr=" SEQ level0 \*arabic ">
        <w:r w:rsidR="00E0027B">
          <w:rPr>
            <w:noProof/>
          </w:rPr>
          <w:t>2</w:t>
        </w:r>
      </w:fldSimple>
      <w:r w:rsidR="00F17402">
        <w:t>. Reclamantul s-a născut în 1970 și locuiește în Ploiești. Acesta a fost reprezentat de doamna D. Hatneanu, avocat în București.</w:t>
      </w:r>
    </w:p>
    <w:p w14:paraId="799F0D92" w14:textId="7712598B" w:rsidR="00920111" w:rsidRPr="001C2470" w:rsidRDefault="001C2470" w:rsidP="001C2470">
      <w:pPr>
        <w:pStyle w:val="JuPara"/>
      </w:pPr>
      <w:fldSimple w:instr=" SEQ level0 \*arabic ">
        <w:r w:rsidR="00E0027B">
          <w:rPr>
            <w:noProof/>
          </w:rPr>
          <w:t>3</w:t>
        </w:r>
      </w:fldSimple>
      <w:r w:rsidR="00F17402">
        <w:t>. Guvernul a fost reprezentat de agentul guvernamental, doamna O.F. Ezer, din cadrul Ministerului Afacerilor Externe.</w:t>
      </w:r>
    </w:p>
    <w:p w14:paraId="65D88243" w14:textId="77777777" w:rsidR="00920111" w:rsidRPr="001C2470" w:rsidRDefault="00F17402" w:rsidP="001C2470">
      <w:pPr>
        <w:pStyle w:val="JuHIRoman"/>
      </w:pPr>
      <w:r>
        <w:t>Contextul cauzei</w:t>
      </w:r>
    </w:p>
    <w:p w14:paraId="3E0A37A8" w14:textId="63A09F5C" w:rsidR="00920111" w:rsidRPr="001C2470" w:rsidRDefault="00F17402" w:rsidP="001C2470">
      <w:pPr>
        <w:pStyle w:val="JuPara"/>
      </w:pPr>
      <w:fldSimple w:instr=" SEQ level0 \*arabic \* MERGEFORMAT ">
        <w:r w:rsidR="00E0027B">
          <w:rPr>
            <w:noProof/>
          </w:rPr>
          <w:t>4</w:t>
        </w:r>
      </w:fldSimple>
      <w:r w:rsidR="00DD77EF">
        <w:t>. Reclamantul, inginer IT român, este cunoscut ca fiind un mare iubitor de operă și muzică clasică. În această calitate, publică în mod regulat, de ani de zile, articole și comentarii despre operă, precum și critici privind actualitatea națională și internațională în acest domeniu, pe pagina sa de Facebook, pe blogul său intitulat „Despre Operă”, precum și în reviste naționale sau distribuite în străinătate, de exemplu în revista britanică „</w:t>
      </w:r>
      <w:r w:rsidR="00DD77EF">
        <w:rPr>
          <w:i/>
          <w:iCs/>
        </w:rPr>
        <w:t>Opera</w:t>
      </w:r>
      <w:r w:rsidR="00DD77EF">
        <w:t>”.</w:t>
      </w:r>
    </w:p>
    <w:p w14:paraId="2905F06A" w14:textId="77777777" w:rsidR="00920111" w:rsidRPr="001C2470" w:rsidRDefault="00F17402" w:rsidP="001C2470">
      <w:pPr>
        <w:pStyle w:val="JuPara"/>
      </w:pPr>
      <w:r>
        <w:t>Din 2015, o parte dintre articolele care apar pe blogul său sunt incluse în versiunea online a unui cunoscut cotidian național, „Adevărul”.</w:t>
      </w:r>
    </w:p>
    <w:p w14:paraId="63E4D7D1" w14:textId="77777777" w:rsidR="00920111" w:rsidRPr="001C2470" w:rsidRDefault="00F17402" w:rsidP="001C2470">
      <w:pPr>
        <w:pStyle w:val="JuPara"/>
      </w:pPr>
      <w:r>
        <w:t>În 2016, blogul reclamantului a câștigat premiul „Best Cultural Blog” („Cel mai bun blog cultural”), acordat de revista Elle în cadrul concursului „Elle Blogging Awards”.</w:t>
      </w:r>
    </w:p>
    <w:p w14:paraId="5D384770" w14:textId="34BB41F4" w:rsidR="00920111" w:rsidRPr="001C2470" w:rsidRDefault="00F17402" w:rsidP="001C2470">
      <w:pPr>
        <w:pStyle w:val="JuPara"/>
      </w:pPr>
      <w:fldSimple w:instr=" SEQ level0 \*arabic \* MERGEFORMAT ">
        <w:bookmarkStart w:id="0" w:name="paragraph00005"/>
        <w:r w:rsidR="00E0027B">
          <w:rPr>
            <w:noProof/>
          </w:rPr>
          <w:t>5</w:t>
        </w:r>
        <w:bookmarkEnd w:id="0"/>
      </w:fldSimple>
      <w:r w:rsidR="00DD77EF">
        <w:t xml:space="preserve">. În același an, la Opera Națională București („ONB”) a izbucnit un scandal în cadrul căruia membri români ai personalului Operei au participat la proteste și au cerut excluderea altor angajați, care erau cetățeni străini sau care lucraseră în străinătate. În acest context, într-o </w:t>
      </w:r>
      <w:r w:rsidR="00DD77EF">
        <w:lastRenderedPageBreak/>
        <w:t>perioadă scurtă de timp, au avut loc mai multe schimbări în ceea ce privește atât conducerea, cât și managementul ONB, pe fondul tensiunilor dintre angajați și diferitele persoane care s-au succedat la conducerea ONB, cât și pe fondul unor greve și proteste care au avut ca scop denunțarea practicilor manageriale ale conducerii ONB în ceea ce privește politica contractuală și alegerea artiștilor. Acest conflict, care a dus la anularea sau perturbarea mai multor spectacole și la încetarea colaborării cu mai mulți artiști, inclusiv dansatorii de renume internațional J.K. și A.C., precum și la demisia Ministrului Culturii, a fost intens mediatizat în plan intern, dar și internațional.</w:t>
      </w:r>
    </w:p>
    <w:bookmarkStart w:id="1" w:name="paragraph00006"/>
    <w:p w14:paraId="53197DB6" w14:textId="4A81602B"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r w:rsidR="00E0027B">
        <w:rPr>
          <w:noProof/>
        </w:rPr>
        <w:t>6</w:t>
      </w:r>
      <w:r w:rsidRPr="001C2470">
        <w:fldChar w:fldCharType="end"/>
      </w:r>
      <w:bookmarkEnd w:id="1"/>
      <w:r>
        <w:t>. Reclamantul a acoperit evenimentele în cauză pe pagina sa de Facebook și pe blogul său timp de aproximativ trei luni, scriind articole și mesaje despre acestea, printre alte subiecte abordate. Unele dintre aceste materiale publicate priveau personalități din rândul celor aproximativ 400 de demonstranți și semnatari ai unei petiții prin care s-a solicitat excluderea unor angajați străini (a se vedea supra, pct. </w:t>
      </w:r>
      <w:r w:rsidRPr="001C2470">
        <w:fldChar w:fldCharType="begin"/>
      </w:r>
      <w:r w:rsidRPr="001C2470">
        <w:instrText xml:space="preserve"> REF paragraph00005 \h </w:instrText>
      </w:r>
      <w:r w:rsidRPr="001C2470">
        <w:fldChar w:fldCharType="separate"/>
      </w:r>
      <w:r w:rsidR="00E0027B">
        <w:rPr>
          <w:noProof/>
        </w:rPr>
        <w:t>5</w:t>
      </w:r>
      <w:r w:rsidRPr="001C2470">
        <w:fldChar w:fldCharType="end"/>
      </w:r>
      <w:r>
        <w:t>), personalități precum soprana I.I. și dirijorul T.S., care fusese numit, de către Ministrul Culturii, director general interimar al ONB și care, ulterior, a fost retrogradat în funcția de director adjunct. Ca răspuns la aceste materiale publicate, numeroase comentarii, referitoare în special la I.I. și T.S., au fost postate de terțe persoane pe pagina de Facebook a reclamantului și pe blogul său.</w:t>
      </w:r>
    </w:p>
    <w:p w14:paraId="13F889C9" w14:textId="77777777" w:rsidR="00920111" w:rsidRPr="001C2470" w:rsidRDefault="00F17402" w:rsidP="001C2470">
      <w:pPr>
        <w:pStyle w:val="JuHIRoman"/>
      </w:pPr>
      <w:r>
        <w:t>Procedura judiciară</w:t>
      </w:r>
    </w:p>
    <w:p w14:paraId="40CA8F41" w14:textId="77777777" w:rsidR="00920111" w:rsidRPr="001C2470" w:rsidRDefault="00F17402" w:rsidP="001C2470">
      <w:pPr>
        <w:pStyle w:val="JuHA"/>
      </w:pPr>
      <w:r>
        <w:t>Sentința pronunțată de Tribunal</w:t>
      </w:r>
    </w:p>
    <w:p w14:paraId="35E68309" w14:textId="0EAF5D47" w:rsidR="00920111" w:rsidRPr="001C2470" w:rsidRDefault="00F17402" w:rsidP="001C2470">
      <w:pPr>
        <w:pStyle w:val="JuPara"/>
      </w:pPr>
      <w:fldSimple w:instr=" SEQ level0 \*arabic \* MERGEFORMAT ">
        <w:bookmarkStart w:id="2" w:name="paragraph00007"/>
        <w:r w:rsidR="00E0027B">
          <w:rPr>
            <w:noProof/>
          </w:rPr>
          <w:t>7</w:t>
        </w:r>
        <w:bookmarkEnd w:id="2"/>
      </w:fldSimple>
      <w:r w:rsidR="00DD77EF">
        <w:t>. La 5 iulie 2016, I.I. și T.S. au introdus în comun o acțiune în justiție, chemându-l pe reclamant în judecată în fața Tribunalului București („Tribunalul”). Ei au solicitat, pe de o parte, obligarea persoanei în cauză de a șterge toate comentariile și referirile cu conținut denigrator, defăimător și batjocoritor la adresa lor, găzduite de pagina de Facebook și de blogul acesteia, în perioada aprilie-iunie 2016, pe de altă parte, obligarea persoanei în cauză de a nu mai publica și de a nu mai găzdui pe viitor pe pagina acesteia astfel de comentarii și referiri și, în cele din urmă, obligarea persoanei în cauză la plata de despăgubiri pentru daunele morale aduse onoarei, demnității și reputației lor.</w:t>
      </w:r>
    </w:p>
    <w:p w14:paraId="673DC29D" w14:textId="775F107C" w:rsidR="00920111" w:rsidRPr="001C2470" w:rsidRDefault="00F17402" w:rsidP="001C2470">
      <w:pPr>
        <w:pStyle w:val="JuPara"/>
      </w:pPr>
      <w:fldSimple w:instr=" SEQ level0 \*arabic \* MERGEFORMAT ">
        <w:bookmarkStart w:id="3" w:name="paragraph00008"/>
        <w:r w:rsidR="00E0027B">
          <w:rPr>
            <w:noProof/>
          </w:rPr>
          <w:t>8</w:t>
        </w:r>
        <w:bookmarkEnd w:id="3"/>
      </w:fldSimple>
      <w:r w:rsidR="00DD77EF">
        <w:t>. Reclamantul s-a apărat, invocând contextul protestului angajaților Operei române împotriva înlăturării lui J.K. și A.C. (supra, pct. </w:t>
      </w:r>
      <w:r w:rsidRPr="001C2470">
        <w:fldChar w:fldCharType="begin"/>
      </w:r>
      <w:r w:rsidRPr="001C2470">
        <w:instrText xml:space="preserve"> REF paragraph00005 \h  \* CharFormat </w:instrText>
      </w:r>
      <w:r w:rsidRPr="001C2470">
        <w:fldChar w:fldCharType="separate"/>
      </w:r>
      <w:r w:rsidR="00E0027B">
        <w:t>5</w:t>
      </w:r>
      <w:r w:rsidRPr="001C2470">
        <w:fldChar w:fldCharType="end"/>
      </w:r>
      <w:r w:rsidR="00DD77EF">
        <w:t>), argumentând că nu a făcut altceva decât să își exprime opiniile în legătură cu situația creată, că nu era de acord cu protestul în cauză și nici cu conducerea exercitată de T.S., care, în opinia acestuia, a condus la decizii inadmisibile, precum anularea spectacolelor și ignorarea spectatorilor. În ceea ce privește acuzațiile legate de comentariile denigratoare și injuriile de pe pagina sa de Facebook, el a susținut că afirmațiile în litigiu nu au avut ca obiect contestarea calităților artistice ale celor două părți reclamante în procedura internă, ci modalitatea de implicare a acestora într-un conflict cu substrat politic. În această privință, a adăugat că afirmațiile sale s-au referit strict la activitățile și declarațiile acestora în calitate de persoane publice, neavând nicio legătură cu viața lor privată sau artistică.</w:t>
      </w:r>
    </w:p>
    <w:p w14:paraId="475FF2C7" w14:textId="0F7C7DB7" w:rsidR="00920111" w:rsidRPr="001C2470" w:rsidRDefault="00F17402" w:rsidP="001C2470">
      <w:pPr>
        <w:pStyle w:val="JuPara"/>
      </w:pPr>
      <w:fldSimple w:instr=" SEQ level0 \*arabic \* MERGEFORMAT ">
        <w:r w:rsidR="00E0027B">
          <w:rPr>
            <w:noProof/>
          </w:rPr>
          <w:t>9</w:t>
        </w:r>
      </w:fldSimple>
      <w:r w:rsidR="00DD77EF">
        <w:t>. Printr-o sentință din 19 iunie 2017, Tribunalul a admis acțiunea introdusă de I.I. și T.S.</w:t>
      </w:r>
    </w:p>
    <w:p w14:paraId="46F18BCB" w14:textId="17573A95" w:rsidR="00920111" w:rsidRPr="001C2470" w:rsidRDefault="00F17402" w:rsidP="001C2470">
      <w:pPr>
        <w:pStyle w:val="JuPara"/>
      </w:pPr>
      <w:fldSimple w:instr=" SEQ level0 \*arabic \* MERGEFORMAT ">
        <w:bookmarkStart w:id="4" w:name="paragraph00010"/>
        <w:r w:rsidR="00E0027B">
          <w:rPr>
            <w:noProof/>
          </w:rPr>
          <w:t>10</w:t>
        </w:r>
        <w:bookmarkEnd w:id="4"/>
      </w:fldSimple>
      <w:r w:rsidR="00DD77EF">
        <w:t>. Fără a identifica exact care dintre materialele publicate aparțineau reclamantului, instanța a considerat că niciunul dintre mesajele în litigiu, indiferent dacă au fost formulate de persoana interesată sau de terți, nu putea fi considerat o judecată de valoare susceptibilă să fie acceptată în exercitarea libertății de exprimare, apreciind că toate afirmațiile în cauză erau „expresii jignitoare, insultătoare, cu un profund caracter ofensator, de natură a afecta viața privată, respectiv dreptul la reputație și la demnitatea unei persoane”.</w:t>
      </w:r>
    </w:p>
    <w:p w14:paraId="3B8CB9DF" w14:textId="32E67664" w:rsidR="00920111" w:rsidRPr="001C2470" w:rsidRDefault="00F17402" w:rsidP="001C2470">
      <w:pPr>
        <w:pStyle w:val="JuPara"/>
      </w:pPr>
      <w:fldSimple w:instr=" SEQ level0 \*arabic \* MERGEFORMAT ">
        <w:bookmarkStart w:id="5" w:name="paragraph00011"/>
        <w:r w:rsidR="00E0027B">
          <w:rPr>
            <w:noProof/>
          </w:rPr>
          <w:t>11</w:t>
        </w:r>
        <w:bookmarkEnd w:id="5"/>
      </w:fldSimple>
      <w:r w:rsidR="00DD77EF">
        <w:t>. În sentința Tribunalului, care avea aproximativ 35 de pagini, se preciza că au fost publicate mai multe sute de comentarii injurioase la adresa lui I.I. și a lui T.S., în perioada aprilie</w:t>
      </w:r>
      <w:r w:rsidR="00DD77EF">
        <w:noBreakHyphen/>
        <w:t xml:space="preserve">iunie 2016, și că acestea se refereau atât la aspectul fizic, educația, numele, competența </w:t>
      </w:r>
      <w:r w:rsidR="00DD77EF">
        <w:lastRenderedPageBreak/>
        <w:t>și conduita profesională a lui I.I., cât și la educația, competența și conduita profesională a lui T.S. Tribunalul a apreciat, în primul rând, că aceste comentarii erau insultătoare și denigratoare și că aduceau atingere drepturilor părților reclamante în procedura internă la propria imagine, la demnitate și la respectarea vieții private, astfel cum erau garantate de art. 71</w:t>
      </w:r>
      <w:r w:rsidR="00DD77EF">
        <w:noBreakHyphen/>
        <w:t>73 din Codul civil („C. civ.” – infra, pct. </w:t>
      </w:r>
      <w:r w:rsidRPr="001C2470">
        <w:fldChar w:fldCharType="begin"/>
      </w:r>
      <w:r w:rsidRPr="001C2470">
        <w:instrText xml:space="preserve"> REF paragraph00029 \h  \* CharFormat </w:instrText>
      </w:r>
      <w:r w:rsidRPr="001C2470">
        <w:fldChar w:fldCharType="separate"/>
      </w:r>
      <w:r w:rsidR="00E0027B" w:rsidRPr="001C2470">
        <w:t>30</w:t>
      </w:r>
      <w:r w:rsidRPr="001C2470">
        <w:fldChar w:fldCharType="end"/>
      </w:r>
      <w:r w:rsidR="00DD77EF">
        <w:t>), și nu puteau fi justificate în sensul servirii interesului public sau a unor chestiuni generale care interesează societatea. Prin urmare, materialele publicate în litigiu constituiau o „faptă ilicită” în sensul art. 1.349 C. civ., care reglementa răspunderea civilă delictuală (infra, pct. </w:t>
      </w:r>
      <w:r w:rsidRPr="001C2470">
        <w:fldChar w:fldCharType="begin"/>
      </w:r>
      <w:r w:rsidRPr="001C2470">
        <w:instrText xml:space="preserve"> REF paragraph00031 \h  \* CharFormat </w:instrText>
      </w:r>
      <w:r w:rsidRPr="001C2470">
        <w:fldChar w:fldCharType="separate"/>
      </w:r>
      <w:r w:rsidR="00E0027B" w:rsidRPr="001C2470">
        <w:t>32</w:t>
      </w:r>
      <w:r w:rsidRPr="001C2470">
        <w:fldChar w:fldCharType="end"/>
      </w:r>
      <w:r w:rsidR="00DD77EF">
        <w:t>). În continuare, Tribunalul a considerat că reclamantul nu a acționat cu bună-credință, reținând că scopul materialelor publicate în litigiu nu era acela de a furniza publicului informații credibile, ci de a desfășura o veritabilă campanie de denigrare împotriva părților reclamante în procedura internă. În această privință, a apreciat că era „mai puțin important” faptul că majoritatea comentariilor nu aparțineau reclamantului, întrucât acestea au fost postate de terțe persoane pe site-ul și pe blogul acestuia, și că fapta „ilicită” consta în faptul că reclamantul a „găzduit” astfel de materiale. Tribunalul a constatat, de asemenea, că reclamantul a reacționat prin ștergerea unora dintre comentariile în litigiu și a concluzionat că acesta a acționat cu rea-credință deoarece nu a reacționat prompt, ștergând toate comentariile sau blocându-i pe cei care postau astfel de comentarii. Cu privire la acest aspect, a precizat că reclamantul avea o obligație similară celei a unui moderator de televiziune față de invitații care, în cadrul unei emisiuni, fac afirmații jignitoare la adresa altora și că, în calitate de critic muzical, ar fi trebuit să administreze pagina sa astfel încât să nu permită, sau să îngăduie prin inactivitate, orice tip de comentarii „care să arunce în derizoriu cele ce se discută”. Întrucât nu a făcut acest lucru, persoana în cauză era, potrivit tribunalului, pe deplin răspunzătoare pentru mesajele postate pe pagina sa ori pe blogul său.</w:t>
      </w:r>
    </w:p>
    <w:p w14:paraId="20C372A9" w14:textId="49494AA2" w:rsidR="00920111" w:rsidRPr="001C2470" w:rsidRDefault="00F17402" w:rsidP="001C2470">
      <w:pPr>
        <w:pStyle w:val="JuPara"/>
      </w:pPr>
      <w:fldSimple w:instr=" SEQ level0 \*arabic \* MERGEFORMAT ">
        <w:r w:rsidR="00E0027B">
          <w:rPr>
            <w:noProof/>
          </w:rPr>
          <w:t>12</w:t>
        </w:r>
      </w:fldSimple>
      <w:r w:rsidR="00DD77EF">
        <w:t>. Reclamantul a fost obligat la plata sumei de 20 000 de lei românești [RON – echivalentul a aproximativ 4 385 de euro (EUR) la momentul faptelor] către fiecare din cele două părți reclamante în procedura internă cu titlu de despăgubire pentru prejudiciul moral cauzat de numeroasele materiale publicate pe site-ul și pe blogul acestuia în perioada aprilie-iunie 2016 și considerate de Tribunal ca aducând atingere imaginii și onoarei persoanelor în cauză.</w:t>
      </w:r>
    </w:p>
    <w:p w14:paraId="05127E49" w14:textId="77777777" w:rsidR="00920111" w:rsidRPr="001C2470" w:rsidRDefault="00F17402" w:rsidP="001C2470">
      <w:pPr>
        <w:pStyle w:val="JuHA"/>
      </w:pPr>
      <w:r>
        <w:t>Decizia Curții de Apel</w:t>
      </w:r>
    </w:p>
    <w:p w14:paraId="31837589" w14:textId="7114ED13" w:rsidR="00920111" w:rsidRPr="001C2470" w:rsidRDefault="00F17402" w:rsidP="001C2470">
      <w:pPr>
        <w:pStyle w:val="JuPara"/>
      </w:pPr>
      <w:fldSimple w:instr=" SEQ level0 \*arabic \* MERGEFORMAT ">
        <w:bookmarkStart w:id="6" w:name="paragraph00013"/>
        <w:r w:rsidR="00E0027B">
          <w:rPr>
            <w:noProof/>
          </w:rPr>
          <w:t>13</w:t>
        </w:r>
        <w:bookmarkEnd w:id="6"/>
      </w:fldSimple>
      <w:r w:rsidR="00DD77EF">
        <w:t>. Reclamantul a declarat apel împotriva sentinței din 19 iunie 2017. Invocând art. 10 din Convenție, el a susținut că sentința Tribunalului constituia o ingerință în exercitarea libertății sale de exprimare și că această ingerință, deși urmărea scopul de a proteja reputația și drepturile părților reclamante în procedura internă, nu era nici prevăzută de lege, nici necesară într-o societate democratică. În special, reclamantul a considerat că dispozițiile Codului civil pe care s-a bazat Tribunalul, în special art. 1.349 (infra, pct. </w:t>
      </w:r>
      <w:r w:rsidRPr="001C2470">
        <w:fldChar w:fldCharType="begin"/>
      </w:r>
      <w:r w:rsidRPr="001C2470">
        <w:instrText xml:space="preserve"> REF paragraph00031 \h  \* CharFormat </w:instrText>
      </w:r>
      <w:r w:rsidRPr="001C2470">
        <w:fldChar w:fldCharType="separate"/>
      </w:r>
      <w:r w:rsidR="00E0027B" w:rsidRPr="001C2470">
        <w:t>32</w:t>
      </w:r>
      <w:r w:rsidRPr="001C2470">
        <w:fldChar w:fldCharType="end"/>
      </w:r>
      <w:r w:rsidR="00DD77EF">
        <w:t>), nu erau previzibile, întrucât nimic din conținutul lor nu-i permitea să concluzioneze că avea obligația să modifice comentariile postate de terțe persoane pe pagina sa de Facebook și, prin urmare, că inacțiunea care îi era imputată era de natură să angajeze răspunderea sa civilă delictuală în sensul Codului civil.</w:t>
      </w:r>
    </w:p>
    <w:p w14:paraId="1B40D965" w14:textId="77777777" w:rsidR="00920111" w:rsidRPr="001C2470" w:rsidRDefault="00F17402" w:rsidP="001C2470">
      <w:pPr>
        <w:pStyle w:val="JuPara"/>
      </w:pPr>
      <w:r>
        <w:t>Reclamantul a denunțat, de asemenea, următoarele:</w:t>
      </w:r>
    </w:p>
    <w:p w14:paraId="21E0BC41" w14:textId="77777777" w:rsidR="00920111" w:rsidRPr="001C2470" w:rsidRDefault="00F17402" w:rsidP="001C2470">
      <w:pPr>
        <w:pStyle w:val="JuPara"/>
      </w:pPr>
      <w:r>
        <w:t>a) neidentificarea comentariilor al căror autor era;</w:t>
      </w:r>
    </w:p>
    <w:p w14:paraId="45A2C4CE" w14:textId="77777777" w:rsidR="00920111" w:rsidRPr="001C2470" w:rsidRDefault="00F17402" w:rsidP="001C2470">
      <w:pPr>
        <w:pStyle w:val="JuPara"/>
      </w:pPr>
      <w:r>
        <w:t>b) o incoerență în raționamentul Tribunalului în ceea ce privește calitatea sa în raport de faptele care îi puteau fi imputate în temeiul art. 1.349 alin. (1) și (2) C. civ., care reglementau răspunderea pentru fapta proprie, și anume, atât calitatea de critic muzical asimilabil unui jurnalist, care îi oferea o protecție suplimentară în ceea ce privește libertatea sa de exprimare, cât și calitatea sa de utilizator al rețelelor de socializare, asimilabil unui moderator de televiziune;</w:t>
      </w:r>
    </w:p>
    <w:p w14:paraId="1064FFB6" w14:textId="77777777" w:rsidR="00920111" w:rsidRPr="001C2470" w:rsidRDefault="00F17402" w:rsidP="001C2470">
      <w:pPr>
        <w:pStyle w:val="JuPara"/>
      </w:pPr>
      <w:r>
        <w:lastRenderedPageBreak/>
        <w:t>c) lipsa de precizie a dispoziției legale invocate, în măsura în care i s-a imputat faptul că nu a șters cu promptitudine comentariile terților. În această privință, reclamantul a contestat că era supus unei astfel de obligații în calitate de simplu utilizator al Facebook;</w:t>
      </w:r>
    </w:p>
    <w:p w14:paraId="0DB299AD" w14:textId="77777777" w:rsidR="00920111" w:rsidRPr="001C2470" w:rsidRDefault="00F17402" w:rsidP="001C2470">
      <w:pPr>
        <w:pStyle w:val="JuPara"/>
      </w:pPr>
      <w:r>
        <w:t>d) lipsa de precizie a dispoziției legale invocate, în măsura în care i s-a imputat că a desfășurat o campanie de denigrare împotriva părților reclamante în procedura internă. În privința acestui aspect, reclamantul a adăugat că, în orice caz, Tribunalul nu a menționat și nici nu s-a dovedit în ce fel a acționat el în scopul anterior menționat, susținând că singurele sale acțiuni au fost de a posta și de a se angaja în discuții cu alte persoane, fără a le îndemna în niciun fel să folosească injurii la adresa părților reclamante în procedura internă;</w:t>
      </w:r>
    </w:p>
    <w:p w14:paraId="17BE29F0" w14:textId="288AB214" w:rsidR="00920111" w:rsidRPr="001C2470" w:rsidRDefault="00F17402" w:rsidP="001C2470">
      <w:pPr>
        <w:pStyle w:val="JuPara"/>
      </w:pPr>
      <w:r>
        <w:t>e) lipsa unor elemente care să coroboreze fapta ilicită reproșată în speță, în măsura în care, pentru a concluziona în sensul existenței acesteia, Tribunalul s-a întemeiat pe faptul că, înainte de incidentele referitoare la schimbările care au avut loc în conducerea Operei Naționale (supra, pct. </w:t>
      </w:r>
      <w:r w:rsidRPr="001C2470">
        <w:fldChar w:fldCharType="begin"/>
      </w:r>
      <w:r w:rsidRPr="001C2470">
        <w:instrText xml:space="preserve"> REF paragraph00005 \h  \* CharFormat </w:instrText>
      </w:r>
      <w:r w:rsidRPr="001C2470">
        <w:fldChar w:fldCharType="separate"/>
      </w:r>
      <w:r w:rsidR="00E0027B">
        <w:t>5</w:t>
      </w:r>
      <w:r w:rsidRPr="001C2470">
        <w:fldChar w:fldCharType="end"/>
      </w:r>
      <w:r>
        <w:t>), reclamantul a formulat comentarii cu un conținut laudativ la adresa părților reclamante în procedura internă;</w:t>
      </w:r>
    </w:p>
    <w:p w14:paraId="755B967B" w14:textId="77777777" w:rsidR="00920111" w:rsidRPr="001C2470" w:rsidRDefault="00F17402" w:rsidP="001C2470">
      <w:pPr>
        <w:pStyle w:val="JuPara"/>
      </w:pPr>
      <w:r>
        <w:t>f) lipsa de claritate a dispozitivului sentinței apelate în ceea ce privește obligațiile care i-au fost impuse. În această privință, reclamantul a susținut că Tribunalul, pe de o parte, l-a obligat să șteargă comentariile și referirile cu conținut „denigrator și defăimător”, fără a preciza însă care erau afirmațiile vizate, după ce furnizase, în această privință, doar câteva exemple, fără niciun fel de analiză, și, pe de altă parte, l-a obligat să șteargă orice comentarii și referiri cu conținut „denigrator și defăimător” care urmau să fie publicate în viitor, fără să fi efectuat niciun fel de analiză și fără să furnizeze indicații care să îi permită să identifice cu certitudine la ce tip de comentarii s-a referit Tribunalul. De asemenea, reclamantul a susținut că măsura în cauză implica obligația ca acesta să verifice constant comentariile postate ca răspuns la propriile sale materiale publicate, afirmând că o astfel de sarcină era imposibilă, având în vedere că, de obicei, erau postate foarte multe mesaje; și</w:t>
      </w:r>
    </w:p>
    <w:p w14:paraId="55A8D2A9" w14:textId="77777777" w:rsidR="00920111" w:rsidRPr="001C2470" w:rsidRDefault="00F17402" w:rsidP="001C2470">
      <w:pPr>
        <w:pStyle w:val="JuPara"/>
      </w:pPr>
      <w:r>
        <w:t>g) lipsa motivării de către Tribunal a constatărilor sale cu privire la existența unui prejudiciu.</w:t>
      </w:r>
    </w:p>
    <w:p w14:paraId="48A67F7A" w14:textId="77777777" w:rsidR="00920111" w:rsidRPr="001C2470" w:rsidRDefault="00F17402" w:rsidP="001C2470">
      <w:pPr>
        <w:pStyle w:val="JuPara"/>
      </w:pPr>
      <w:r>
        <w:t>În cele din urmă, reclamantul a invocat următoarele argumente:</w:t>
      </w:r>
    </w:p>
    <w:p w14:paraId="36753C3E" w14:textId="77777777" w:rsidR="00920111" w:rsidRPr="001C2470" w:rsidRDefault="00F17402" w:rsidP="001C2470">
      <w:pPr>
        <w:pStyle w:val="JuPara"/>
      </w:pPr>
      <w:r>
        <w:t>a) tot în ceea ce privește prejudiciul, el a susținut că afirmațiile și comentariile criticate au fost publicate pe pagina sa de Facebook și că, prin urmare, acestea nu apăreau în căutările efectuate pe motoarele de căutare. În continuare, a susținut că această particularitate tehnică a limitat drastic diseminarea comentariilor denunțate, precum și consecințele care au decurs din acestea, dar că reclamanta în procedura internă însăși a contribuit la răspândirea comentariilor în litigiu, prin reluarea multora dintre ele pe blogul acesteia. În această privință, a explicat că blogul respectiv fusese conceput ca o pagină indexată de Google și că, astfel, oricine efectua o căutare după numele doamnei I.I., folosind motorul de căutare Google, putea să vadă comentariile preluate de aceasta;</w:t>
      </w:r>
    </w:p>
    <w:p w14:paraId="4A94F6F5" w14:textId="77777777" w:rsidR="00920111" w:rsidRPr="001C2470" w:rsidRDefault="00F17402" w:rsidP="001C2470">
      <w:pPr>
        <w:pStyle w:val="JuPara"/>
      </w:pPr>
      <w:r>
        <w:t>b) în continuare, el a reproșat Tribunalului că nu a realizat o examinare a proporționalității măsurilor impuse cu privire la toate comentariile în litigiu, considerând că daunele acordate și obligațiile care i-au fost impuse erau disproporționate, având potențialul rezultat al reducerii sale la tăcere. În fapt, soluția pronunțată împotriva reclamantului nu numai că era disproporționată față de presupusele prejudicii suferite de părțile reclamante în procedura internă, dar, în plus, aceasta constituia și o încălcare nepermisă a dreptului fundamental la liberă exprimare și era de natură să afecteze acuratețea și scopul activității sale de critic muzical de specialitate, activitate care impunea ca acesta să nu fie influențat sub nicio formă, nici măcar prin teama de a fi supus plății unor daune către artiștii față de care și-a manifestat dezaprobarea.</w:t>
      </w:r>
    </w:p>
    <w:p w14:paraId="4FD2E613" w14:textId="77777777" w:rsidR="00920111" w:rsidRPr="001C2470" w:rsidRDefault="00F17402" w:rsidP="001C2470">
      <w:pPr>
        <w:pStyle w:val="JuPara"/>
      </w:pPr>
      <w:r>
        <w:t xml:space="preserve">c) în ceea ce privește afirmațiile făcute de reclamant, în opinia lui, acestea constituiau judecăți de valoare la adresa acțiunilor săvârșite de părțile reclamante în procedura internă în calitate de persoane publice și că, prin urmare, intrau sub incidența dreptului la libertatea de exprimare și de opinie. Acesta a susținut, în special, că declarațiile în cauză nu conțineau nici </w:t>
      </w:r>
      <w:r>
        <w:lastRenderedPageBreak/>
        <w:t>insulte, nici afirmații denigratoare și nu urmăreau să afecteze în vreun fel imaginea de persoane publice a celor două părți reclamante în procedura internă, ci se înscriau în categoria unei critici normale și sănătoase, din interiorul domeniului Operei; și</w:t>
      </w:r>
    </w:p>
    <w:p w14:paraId="68D15545" w14:textId="77777777" w:rsidR="00920111" w:rsidRPr="001C2470" w:rsidRDefault="00F17402" w:rsidP="001C2470">
      <w:pPr>
        <w:pStyle w:val="JuPara"/>
      </w:pPr>
      <w:r>
        <w:t>d) în cele din urmă, acesta a apreciat că părțile reclamante în procedura internă nu au demonstrat existența unui prejudiciu, că acesta nu era cert și că valoarea despăgubirilor acordate era exagerată.</w:t>
      </w:r>
    </w:p>
    <w:p w14:paraId="41C12743" w14:textId="6F6CB1DF" w:rsidR="00920111" w:rsidRPr="001C2470" w:rsidRDefault="00F17402" w:rsidP="001C2470">
      <w:pPr>
        <w:pStyle w:val="JuPara"/>
      </w:pPr>
      <w:fldSimple w:instr=" SEQ level0 \*arabic \* MERGEFORMAT ">
        <w:bookmarkStart w:id="7" w:name="paragraph00014"/>
        <w:r w:rsidR="00E0027B">
          <w:rPr>
            <w:noProof/>
          </w:rPr>
          <w:t>14</w:t>
        </w:r>
        <w:bookmarkEnd w:id="7"/>
      </w:fldSimple>
      <w:r w:rsidR="00DD77EF">
        <w:t>. Printr-o decizie din 11 martie 2019, Curtea de Apel a admis apelul declarat de reclamant și a schimbat în parte sentința apelată. Constatând mai întâi că analiza Tribunalului nu a avut ca obiect comentariile publicate pe blogul reclamantului, ci doar comentariile publicate pe pagina sa de Facebook, Curtea de Apel și-a limitat examinarea la acestea din urmă.</w:t>
      </w:r>
    </w:p>
    <w:p w14:paraId="2A0BFE19" w14:textId="027E6241" w:rsidR="00920111" w:rsidRPr="001C2470" w:rsidRDefault="00F17402" w:rsidP="001C2470">
      <w:pPr>
        <w:pStyle w:val="JuPara"/>
      </w:pPr>
      <w:fldSimple w:instr=" SEQ level0 \*arabic \* MERGEFORMAT ">
        <w:bookmarkStart w:id="8" w:name="paragraph00015"/>
        <w:r w:rsidR="00E0027B">
          <w:rPr>
            <w:noProof/>
          </w:rPr>
          <w:t>15</w:t>
        </w:r>
        <w:bookmarkEnd w:id="8"/>
      </w:fldSimple>
      <w:r w:rsidR="00DD77EF">
        <w:t>. În continuare, Curtea de Apel a rezumat contextul cauzei după cum urmează:</w:t>
      </w:r>
    </w:p>
    <w:p w14:paraId="291FC6DF" w14:textId="77777777" w:rsidR="00920111" w:rsidRPr="001C2470" w:rsidRDefault="00F17402" w:rsidP="001C2470">
      <w:pPr>
        <w:pStyle w:val="JuQuot"/>
      </w:pPr>
      <w:r>
        <w:t>„Reclamanta I.I., fiica baritonului D.I., este solist vocal-soprană, iar reclamantul T.S. este dirijor la Opera Națională București, în timp ce pârâtul se bucură de recunoașterea publică a calității de critic muzical de operă (categorie care, din perspectiva nomenclatorului de coduri de ocupații [...] este inclusă în grupa jurnaliștilor 2624). [...]</w:t>
      </w:r>
    </w:p>
    <w:p w14:paraId="431D1EEC" w14:textId="77777777" w:rsidR="00920111" w:rsidRPr="001C2470" w:rsidRDefault="00F17402" w:rsidP="001C2470">
      <w:pPr>
        <w:pStyle w:val="JuQuot"/>
      </w:pPr>
      <w:r>
        <w:t>Instanța reiterează aprecierea privind faptul că activitatea pârâtului este asimilabilă unei activități jurnalistice de tip freelancer în mediul virtual, inclusiv în privința paginii de Facebook (raportat la conținut, specializarea subiectelor, propria prezentare a paginii de socializare și numărul persoanelor care urmăresc postările pârâtului). Referirea făcută de prima instanță la situația unui moderator tv reprezintă o simplă comparație pentru înțelegerea mecanismului [descris], însă obligațiile [în cauză] incumbă pârâtului din administrarea unui spațiu public și din faptul că activitatea sa specializată în mediul virtual este asimilabilă activității jurnalistice.</w:t>
      </w:r>
    </w:p>
    <w:p w14:paraId="4F380944" w14:textId="77777777" w:rsidR="00920111" w:rsidRPr="001C2470" w:rsidRDefault="00F17402" w:rsidP="001C2470">
      <w:pPr>
        <w:pStyle w:val="JuQuot"/>
      </w:pPr>
      <w:r>
        <w:t>În această calitate, anterior perioadei de timp deduse judecății, a exprimat opinii pozitive la adresa celor doi reclamanți în privința prestațiilor lor artistice.</w:t>
      </w:r>
    </w:p>
    <w:p w14:paraId="33C8651F" w14:textId="77777777" w:rsidR="00920111" w:rsidRPr="001C2470" w:rsidRDefault="00F17402" w:rsidP="001C2470">
      <w:pPr>
        <w:pStyle w:val="JuQuot"/>
      </w:pPr>
      <w:r>
        <w:t>În anul 2016, la nivelul Operei Naționale, pe fondul nemulțumirilor angajaților referitoare la conducerea instituției de către fostul director R.D., a avut loc un adevărat scandal care a avut ca obiect protestele unei părți a angajaților operei referitor la încadrarea balerinului și coregrafului danez J.K., scandal care tindea la înlăturarea, și ca urmare a protestelor unei părți a angajaților operei, inclusiv a celor doi reclamanți, a acestuia și a balerinei A.C. Acest scandal a fost reflectat în presa de specialitate, și nu numai, atât internă și internațională, a avut implicații inclusiv politice, suscitând interes nu numai al publicului specializat meloman, ci constituind o temă a mass-media de interes general în acea perioadă. În acest context, atât pe blogul său, cât și pe pagina personală Facebook, pârâtul a început să exprime o poziție critică în legătura cu situația creată, exprimându-și dezacordul cu protestul angajaților lor și cu conducerea exercitată de T.S. (care a asigurat interimatul conducerii operei în aprilie 2016), cu anularea spectacolelor și ignorarea spectatorilor. Aceeași formă de comunicare publică a fost folosită și pentru exprimarea unei poziții de susținere a protestului pe grupul de Facebook «Forumul din interiorul Operei», chiar de către reclamantă. În perioada de interimat a conducerii operei, asigurată de reclamant, la sfârșitul lunii aprilie, a încetat și colaborarea pârâtului cu revista «Opera» editată de Opera Națională București, colaborare care, potrivit contractului din martie, trebuia să se deruleze până în luna mai 2016. ”</w:t>
      </w:r>
    </w:p>
    <w:p w14:paraId="29DC33EC" w14:textId="7CC33534" w:rsidR="00920111" w:rsidRPr="001C2470" w:rsidRDefault="00F17402" w:rsidP="001C2470">
      <w:pPr>
        <w:pStyle w:val="JuPara"/>
      </w:pPr>
      <w:fldSimple w:instr=" SEQ level0 \*arabic \* MERGEFORMAT ">
        <w:bookmarkStart w:id="9" w:name="paragraph00016"/>
        <w:r w:rsidR="00E0027B">
          <w:rPr>
            <w:noProof/>
          </w:rPr>
          <w:t>16</w:t>
        </w:r>
        <w:bookmarkEnd w:id="9"/>
      </w:fldSimple>
      <w:r w:rsidR="00DD77EF">
        <w:t>. În continuare, Curtea de Apel a identificat, pe pagina de Facebook a reclamantului, 41 de materiale pe care Tribunalul le-a considerat ca depășind limitele libertății de exprimare.</w:t>
      </w:r>
    </w:p>
    <w:p w14:paraId="7FC0C085" w14:textId="3F144406" w:rsidR="00920111" w:rsidRPr="001C2470" w:rsidRDefault="00F17402" w:rsidP="001C2470">
      <w:pPr>
        <w:pStyle w:val="JuPara"/>
      </w:pPr>
      <w:fldSimple w:instr=" SEQ level0 \*arabic \* MERGEFORMAT ">
        <w:r w:rsidR="00E0027B">
          <w:rPr>
            <w:noProof/>
          </w:rPr>
          <w:t>17</w:t>
        </w:r>
      </w:fldSimple>
      <w:r w:rsidR="00DD77EF">
        <w:t>. Aceasta a subliniat că, în jurisprudența Înaltei Curți de Casație și Justiție („Curtea de Casație”), rețeaua de socializare Facebook a fost considerată, raportat la natura și particularitățile acesteia, un spațiu public, întrucât utilizatorii nu dețin proprietatea spațiului efectiv de publicare, neputând controla întinderea acestui spațiu, care, astfel, capătă „caracter public și accesibilitate potențială”. A constatat de asemenea că pârâtul [în procedura internă] a ales să își facă pagina de Facebook accesibilă publicului prin utilizarea acestei funcții și că această pagină avea un caracter eminamente public, întrucât se referea, în principal, la activitatea culturală muzicală, existând „prea puține postări private” din cele existente pe pagina sa, reclamantul fiind „un meloman care se exprimă intens în mediul virtual referitor la subiecte din domeniu”.</w:t>
      </w:r>
    </w:p>
    <w:p w14:paraId="20A69BB7" w14:textId="77777777" w:rsidR="00920111" w:rsidRPr="001C2470" w:rsidRDefault="00F17402" w:rsidP="001C2470">
      <w:pPr>
        <w:pStyle w:val="JuPara"/>
      </w:pPr>
      <w:r>
        <w:lastRenderedPageBreak/>
        <w:t>În continuare, Curtea de Apel a expus atât conținutul unor dispoziții legale, cât și conținutul jurisprudenței interne și internaționale, inclusiv dreptul convențional, care sunt relevante în ceea ce privește libertatea de exprimare și care definesc condițiile de exercitare a acesteia, înainte de a le aplica în cauza cu care a fost sesizată.</w:t>
      </w:r>
    </w:p>
    <w:p w14:paraId="32B07673" w14:textId="75EC3E1F" w:rsidR="00920111" w:rsidRPr="001C2470" w:rsidRDefault="00F17402" w:rsidP="001C2470">
      <w:pPr>
        <w:pStyle w:val="JuPara"/>
      </w:pPr>
      <w:fldSimple w:instr=" SEQ level0 \*arabic \* MERGEFORMAT ">
        <w:bookmarkStart w:id="10" w:name="paragraph00018"/>
        <w:r w:rsidR="00E0027B">
          <w:rPr>
            <w:noProof/>
          </w:rPr>
          <w:t>18</w:t>
        </w:r>
        <w:bookmarkEnd w:id="10"/>
      </w:fldSimple>
      <w:r w:rsidR="00DD77EF">
        <w:t>. În această privință, instanța de apel a apreciat că 19 dintre cele 41 de comentarii menționate de Tribunal (supra, pct. </w:t>
      </w:r>
      <w:r w:rsidRPr="001C2470">
        <w:fldChar w:fldCharType="begin"/>
      </w:r>
      <w:r w:rsidRPr="001C2470">
        <w:instrText xml:space="preserve"> REF paragraph00016 \h  \* CharFormat </w:instrText>
      </w:r>
      <w:r w:rsidRPr="001C2470">
        <w:fldChar w:fldCharType="separate"/>
      </w:r>
      <w:r w:rsidR="00E0027B">
        <w:t>16</w:t>
      </w:r>
      <w:r w:rsidRPr="001C2470">
        <w:fldChar w:fldCharType="end"/>
      </w:r>
      <w:r w:rsidR="00DD77EF">
        <w:t>), dintre care unele fuseseră calificate drept „acide” și „ironice”, nu aveau un caracter ilicit și, prin urmare, nu puteau fi sancționate, fie pentru că nu depășeau limitele libertății de exprimare, care permitea o anumită doză de exagerare și „folosirea figurilor de stil în cadrul exprimărilor pseudo-jurnalistice”, fie pentru că reprezentau critici la adresa unor artiști, atât cu privire la prestațiile lor artistice, cât și cu privire la „activitățile de protest întreprinse de o parte a angajaților operei în detrimentul prestațiilor artistice”. Cu privire la acest aspect, instanța de apel a considerat că reclamantul și-a exprimat dezaprobarea nu în privința unor prestații de natură privată ale părților reclamante în procedura internă, ci în ceea ce privește prestația publică nu numai a părților reclamante în procedura internă, dar și a altor persoane, cum ar fi miniștri sau directori și artiști ai ONB, în contextul unui scandal mediatizat, „inclusiv de către reclamanți[i în procedura internă]”, privind această instituție publică și managementul său. Prin urmare, Curtea de Apel a concluzionat că afirmațiile în cauză, „deși [erau] de natură a leza pe reclamanți[i în procedura internă]”, nu [erau] ilicite, deoarece, prin însuși faptul că sunt artiști, „ei se supun celor mai subiective judecăți de valoare, criticii oricărui spectator, care, însă, cât timp este exprimată decent, nu poate fi cenzurată. ”</w:t>
      </w:r>
    </w:p>
    <w:p w14:paraId="36BCF1BE" w14:textId="0E5978AF" w:rsidR="00920111" w:rsidRPr="001C2470" w:rsidRDefault="00F17402" w:rsidP="001C2470">
      <w:pPr>
        <w:pStyle w:val="JuPara"/>
      </w:pPr>
      <w:fldSimple w:instr=" SEQ level0 \*arabic \* MERGEFORMAT ">
        <w:bookmarkStart w:id="11" w:name="paragraph00019"/>
        <w:r w:rsidR="00E0027B">
          <w:rPr>
            <w:noProof/>
          </w:rPr>
          <w:t>19</w:t>
        </w:r>
        <w:bookmarkEnd w:id="11"/>
      </w:fldSimple>
      <w:r w:rsidR="00DD77EF">
        <w:t>. Pe de altă parte, instanța de apel a constatat că 22 dintre comentariile publicate în perioada aprilie-iunie 2016, dintre cele 41 reținute de Tribunal (supra, pct. </w:t>
      </w:r>
      <w:r w:rsidRPr="001C2470">
        <w:fldChar w:fldCharType="begin"/>
      </w:r>
      <w:r w:rsidRPr="001C2470">
        <w:instrText xml:space="preserve"> REF paragraph00016 \h  \* CharFormat </w:instrText>
      </w:r>
      <w:r w:rsidRPr="001C2470">
        <w:fldChar w:fldCharType="separate"/>
      </w:r>
      <w:r w:rsidR="00E0027B">
        <w:t>16</w:t>
      </w:r>
      <w:r w:rsidRPr="001C2470">
        <w:fldChar w:fldCharType="end"/>
      </w:r>
      <w:r w:rsidR="00DD77EF">
        <w:t>), depășeau limitele libertății de exprimare și trebuiau sancționate. Patru dintre comentariile respective aparțineau reclamantului, și anume: „ciubucari prin parcuri”, „armată de maimuțe naționaliste”, „400 de cimpanzei care au învățat să se semneze” și „xenofobi”. Instanța de apel s-a pronunțat astfel:</w:t>
      </w:r>
    </w:p>
    <w:p w14:paraId="0992E94F" w14:textId="77777777" w:rsidR="00920111" w:rsidRPr="001C2470" w:rsidRDefault="00F17402" w:rsidP="001C2470">
      <w:pPr>
        <w:pStyle w:val="JuQuot"/>
      </w:pPr>
      <w:r>
        <w:t>„Curtea nu găsește nimic decent în următoarele exprimări, pe care le consideră ilicite, inclusiv din perspectiva discrepantei între conținutul formulărilor și mediul elevat al operei și al iubitorilor de operă, care nu ar trebui să conțină referințe zoologice sau alte derapaje de limbaj, confirmând raționamentul primei instanțe în calificarea acestora: «guitz»; «o circară extremistă» [...]; «isterică și suficientă»; «ciubucari prin parcuri»; [...] «curcănărie de galinacee invidioase»; «armată de maimuțe naționaliste»; «400 de cimpanzei care au învățat să se semneze»; «Maestrul S. și echipa nu ar fi admiși nici măcar să curețe toaletele la Teatro alla Scala»; «xenofobi»; [...] «vocile de cloșcă»; «cățele turbate»; «cadavre muzicale»;  [...] «frau S. von Subrettitz und Stupiditz». ”</w:t>
      </w:r>
    </w:p>
    <w:p w14:paraId="640D22A9" w14:textId="619C9ED4" w:rsidR="00920111" w:rsidRPr="001C2470" w:rsidRDefault="001C2470" w:rsidP="001C2470">
      <w:pPr>
        <w:pStyle w:val="JuPara"/>
      </w:pPr>
      <w:fldSimple w:instr=" SEQ level0 \*arabic \* MERGEFORMAT ">
        <w:bookmarkStart w:id="12" w:name="paragraph00020"/>
        <w:r w:rsidR="00E0027B">
          <w:rPr>
            <w:noProof/>
          </w:rPr>
          <w:t>20</w:t>
        </w:r>
        <w:bookmarkEnd w:id="12"/>
      </w:fldSimple>
      <w:r w:rsidR="00DD77EF">
        <w:t>. În ceea ce privește cele patru expresii folosite de reclamant (supra, pct. </w:t>
      </w:r>
      <w:r w:rsidR="00F17402" w:rsidRPr="001C2470">
        <w:fldChar w:fldCharType="begin"/>
      </w:r>
      <w:r w:rsidR="00F17402" w:rsidRPr="001C2470">
        <w:instrText xml:space="preserve"> REF paragraph00019 \h </w:instrText>
      </w:r>
      <w:r w:rsidR="00F17402" w:rsidRPr="001C2470">
        <w:fldChar w:fldCharType="separate"/>
      </w:r>
      <w:r w:rsidR="00E0027B">
        <w:rPr>
          <w:noProof/>
        </w:rPr>
        <w:t>19</w:t>
      </w:r>
      <w:r w:rsidR="00F17402" w:rsidRPr="001C2470">
        <w:fldChar w:fldCharType="end"/>
      </w:r>
      <w:r w:rsidR="00DD77EF">
        <w:t>), Curtea de Apel a constatat că, prin publicarea comentariilor în cauză, acesta a adus atingere drepturilor și intereselor legitime ale altor persoane și că, prin urmare, erau îndeplinite condițiile prevăzute la art. 1.357 C. civ. (infra, pct. </w:t>
      </w:r>
      <w:r w:rsidR="00F17402" w:rsidRPr="001C2470">
        <w:fldChar w:fldCharType="begin"/>
      </w:r>
      <w:r w:rsidR="00F17402" w:rsidRPr="001C2470">
        <w:instrText xml:space="preserve"> REF paragraph00032 \h  \* CharFormat </w:instrText>
      </w:r>
      <w:r w:rsidR="00F17402" w:rsidRPr="001C2470">
        <w:fldChar w:fldCharType="separate"/>
      </w:r>
      <w:r w:rsidR="00E0027B" w:rsidRPr="001C2470">
        <w:t>33</w:t>
      </w:r>
      <w:r w:rsidR="00F17402" w:rsidRPr="001C2470">
        <w:fldChar w:fldCharType="end"/>
      </w:r>
      <w:r w:rsidR="00DD77EF">
        <w:t>) pentru antrenarea răspunderii civile delictuale. Instanța a respins argumentul reclamantului potrivit căruia comentariile în cauză nu le vizau doar pe părțile reclamante în procedura internă, ci pe toți cei aproximativ 400 de protestatari și semnatari ai cererii de înlăturare a dansatorilor străini J.K. și A.C. (supra, pct. </w:t>
      </w:r>
      <w:r w:rsidR="00F17402" w:rsidRPr="001C2470">
        <w:fldChar w:fldCharType="begin"/>
      </w:r>
      <w:r w:rsidR="00F17402" w:rsidRPr="001C2470">
        <w:instrText xml:space="preserve"> REF paragraph00005 \h  \* CharFormat </w:instrText>
      </w:r>
      <w:r w:rsidR="00F17402" w:rsidRPr="001C2470">
        <w:fldChar w:fldCharType="separate"/>
      </w:r>
      <w:r w:rsidR="00E0027B">
        <w:t>5</w:t>
      </w:r>
      <w:r w:rsidR="00F17402" w:rsidRPr="001C2470">
        <w:fldChar w:fldCharType="end"/>
      </w:r>
      <w:r w:rsidR="00DD77EF">
        <w:t xml:space="preserve"> și </w:t>
      </w:r>
      <w:r w:rsidR="00F17402" w:rsidRPr="001C2470">
        <w:fldChar w:fldCharType="begin"/>
      </w:r>
      <w:r w:rsidR="00F17402" w:rsidRPr="001C2470">
        <w:instrText xml:space="preserve"> REF paragraph00006 \h </w:instrText>
      </w:r>
      <w:r w:rsidR="00F17402" w:rsidRPr="001C2470">
        <w:fldChar w:fldCharType="separate"/>
      </w:r>
      <w:r w:rsidR="00E0027B">
        <w:rPr>
          <w:noProof/>
        </w:rPr>
        <w:t>6</w:t>
      </w:r>
      <w:r w:rsidR="00F17402" w:rsidRPr="001C2470">
        <w:fldChar w:fldCharType="end"/>
      </w:r>
      <w:r w:rsidR="00DD77EF">
        <w:t>), considerând, în această privință, că I.I. și T.S. „se identific[au] cu ușurință în context ca fiind parte din grupul de persoane la care se refer[eau] aceste afirmații”.</w:t>
      </w:r>
    </w:p>
    <w:p w14:paraId="66F7989D" w14:textId="6317FDE8" w:rsidR="00920111" w:rsidRPr="001C2470" w:rsidRDefault="00F17402" w:rsidP="001C2470">
      <w:pPr>
        <w:pStyle w:val="JuPara"/>
      </w:pPr>
      <w:fldSimple w:instr=" SEQ level0 \*arabic \* MERGEFORMAT ">
        <w:bookmarkStart w:id="13" w:name="paragraph00021"/>
        <w:r w:rsidR="00E0027B">
          <w:rPr>
            <w:noProof/>
          </w:rPr>
          <w:t>21</w:t>
        </w:r>
        <w:bookmarkEnd w:id="13"/>
      </w:fldSimple>
      <w:r w:rsidR="00DD77EF">
        <w:t>. De altfel, Curtea de Apel a infirmat partea din sentință în care s-a constatat că reclamantul a desfășurat o campanie de denigrare (supra, pct. </w:t>
      </w:r>
      <w:r w:rsidRPr="001C2470">
        <w:fldChar w:fldCharType="begin"/>
      </w:r>
      <w:r w:rsidRPr="001C2470">
        <w:instrText xml:space="preserve"> REF paragraph00011 \h  \* CharFormat </w:instrText>
      </w:r>
      <w:r w:rsidRPr="001C2470">
        <w:fldChar w:fldCharType="separate"/>
      </w:r>
      <w:r w:rsidR="00E0027B">
        <w:t>11</w:t>
      </w:r>
      <w:r w:rsidRPr="001C2470">
        <w:fldChar w:fldCharType="end"/>
      </w:r>
      <w:r w:rsidR="00DD77EF">
        <w:t>), expunând următoarele motive:</w:t>
      </w:r>
    </w:p>
    <w:p w14:paraId="43A6BC77" w14:textId="77777777" w:rsidR="00920111" w:rsidRPr="001C2470" w:rsidRDefault="00F17402" w:rsidP="001C2470">
      <w:pPr>
        <w:pStyle w:val="JuQuot"/>
      </w:pPr>
      <w:r>
        <w:t xml:space="preserve">„[P]rin comentariile postate, apelantul-pârât [nu a incitat] nici direct, nici indirect la folosirea unui limbaj care să depășească bunul-simț. În general, postările apelantului au păstrat o manieră de exprimare acceptabilă din perspectiva libertății de exprimare. [...], astfel încât, deși apelantul-pârât a provocat discuții pe această temă, nu se poate reține că a incitat la folosirea unui limbaj ca cel reținut de instanță a fi ilicit. Prin urmare, </w:t>
      </w:r>
      <w:r>
        <w:lastRenderedPageBreak/>
        <w:t>Curtea nu identifică existența faptei ilicite, sub acest aspect, care să impună antrenarea răspunderii civile delictuale potrivit art. 1357 C. Civ., deoarece pârâtul a provocat comentarii referitoare la aspecte de interes pentru un anumit public, însă nu a instigat la folosirea de către terțe persoane a unui anumit limbaj ce depășește normele de conduită. ”</w:t>
      </w:r>
    </w:p>
    <w:p w14:paraId="6E98FD9D" w14:textId="392420D4" w:rsidR="00920111" w:rsidRPr="001C2470" w:rsidRDefault="00F17402" w:rsidP="001C2470">
      <w:pPr>
        <w:pStyle w:val="JuPara"/>
      </w:pPr>
      <w:fldSimple w:instr=" SEQ level0 \*arabic \* MERGEFORMAT ">
        <w:bookmarkStart w:id="14" w:name="paragraph00022"/>
        <w:r w:rsidR="00E0027B">
          <w:rPr>
            <w:noProof/>
          </w:rPr>
          <w:t>22</w:t>
        </w:r>
        <w:bookmarkEnd w:id="14"/>
      </w:fldSimple>
      <w:r w:rsidR="00DD77EF">
        <w:t>. În ceea ce privește comentariile postate de 11 terțe persoane, majoritatea aparținând lui A.U. și A.S.A., Curtea de Apel a apreciat că inacțiunea reclamantului a fost ilicită întrucât acesta nu a „suprimat [...] imediat, ci după ce i s-a adus la cunoștință de către reclamanți[i în procedura internă] natura ofensatoare a acestora)” [...] și „[a] toler[at] parțial [...] comentariile [în cauză]”, făcute de terți pe pagina sa de Facebook.</w:t>
      </w:r>
      <w:r w:rsidR="00DD77EF">
        <w:br/>
        <w:t xml:space="preserve"> În plus, aceasta a apreciat că răspunderea persoanei în cauză era angajată în temeiul dispozițiilor art. 1349 C. civ. (supra, pct. </w:t>
      </w:r>
      <w:r w:rsidRPr="001C2470">
        <w:fldChar w:fldCharType="begin"/>
      </w:r>
      <w:r w:rsidRPr="001C2470">
        <w:instrText xml:space="preserve"> REF paragraph00031 \h  \* CharFormat </w:instrText>
      </w:r>
      <w:r w:rsidRPr="001C2470">
        <w:fldChar w:fldCharType="separate"/>
      </w:r>
      <w:r w:rsidR="00E0027B" w:rsidRPr="001C2470">
        <w:t>32</w:t>
      </w:r>
      <w:r w:rsidRPr="001C2470">
        <w:fldChar w:fldCharType="end"/>
      </w:r>
      <w:r w:rsidR="00DD77EF">
        <w:t>) întrucât încălcase „obiceiul locului” (și anume Standardele comunității, care, potrivit instanței, putea fi stabilit în speță prin raportare la condițiile de utilizare ale rețelei de socializare Facebook, pe care aceasta le-a citat în decizia sa, în cadrul unui lung extras. În continuare, Curtea de Apel a definit obligația care îi revenea reclamantului, exprimându-se astfel:</w:t>
      </w:r>
    </w:p>
    <w:p w14:paraId="7E466ECF" w14:textId="77777777" w:rsidR="00920111" w:rsidRPr="001C2470" w:rsidRDefault="00F17402" w:rsidP="001C2470">
      <w:pPr>
        <w:pStyle w:val="JuQuot"/>
      </w:pPr>
      <w:r>
        <w:t>„[...] utilizatorii acestei rețele de socializare se supun condițiilor de utilizare Facebook, care implică auto-cenzură în primă fază, dar și o formă de cenzură post-factum chiar din partea platformei Facebook, atunci când inițializează utilizarea ei și acceptă condițiile. Din punct de vedere tehnic, este posibilă atât ștergerea/editarea propriilor comentarii, cât și ștergerea/raportarea la Facebook a comentariilor terțelor persoane, ceea ce înseamnă că este posibilă și o auto-cenzură post-factum, dar și o cenzurare ulterioară de către titularul paginii de Facebook a comentariilor terților postate pe aceasta.</w:t>
      </w:r>
    </w:p>
    <w:p w14:paraId="6F160849" w14:textId="77777777" w:rsidR="00920111" w:rsidRPr="001C2470" w:rsidRDefault="00F17402" w:rsidP="001C2470">
      <w:pPr>
        <w:pStyle w:val="JuQuot"/>
      </w:pPr>
      <w:r>
        <w:t>Fapta ce poate fi imputată pârâtului nu este necenzurarea imediată (deoarece într-adevăr nu există o obligație de monitorizare a comentariilor ulterioare unei postări [...] ci aceea de menținere a comentariilor terțelor persoane după data sesizării (în speță, data cererii de chemare în judecată, nefiind învederat că reclamanții ar fi solicitat anterior pârâtului revizuirea comentariilor insultătoare la adresa lor) pentru că obligația pe care utilizatorul titular al paginii Facebook o are este similară cu cea a platformei Facebook, care își asumă responsabilitatea pentru înlăturarea comentariilor care contravin standardelor comunității după momentul raportării postărilor (după momentul sesizării, în cazul utilizatorului). Din această perspectivă, se conturează și aspectul vinovăției în cauză (neputând fi reținută buna-credință a apelantului-pârât, care, după ce i s-a adus la cunoștință aspectul denigrator al anumitor comentarii, nu a procedat în consecință, unele comentarii fiind vizibile chiar la momentul pronunțării prezentei). ”</w:t>
      </w:r>
    </w:p>
    <w:p w14:paraId="3B48D9EC" w14:textId="5CBC621E" w:rsidR="00920111" w:rsidRPr="001C2470" w:rsidRDefault="00F17402" w:rsidP="001C2470">
      <w:pPr>
        <w:pStyle w:val="JuPara"/>
      </w:pPr>
      <w:fldSimple w:instr=" SEQ level0 \*arabic \* MERGEFORMAT ">
        <w:r w:rsidR="00E0027B">
          <w:rPr>
            <w:noProof/>
          </w:rPr>
          <w:t>23</w:t>
        </w:r>
      </w:fldSimple>
      <w:r w:rsidR="00DD77EF">
        <w:t>. În ceea ce privește prejudiciul, Curtea de Apel a considerat, în primul rând, că prejudiciul cauzat părților reclamante în procedura internă, prin lezarea dreptului lor la onoare și reputație, putea fi reparat prin obligarea reclamantului în prezenta cauză la plata unor despăgubiri cu un cuantum redus față de cel acordat de prima instanță, respectiv 8 000 RON (echivalentul a aproximativ 1 754 EUR la momentul faptelor) către reclamanta în procedura internă și 4 000 RON (echivalentul a aproximativ 877 EUR la momentul faptelor) către reclamantul în procedura internă. În această privință, Curtea de Apel a ținut seama de următoarele elemente: faptul că pagina de Facebook a reclamantului, deși era publică, era urmărită efectiv de un număr limitat de persoane, care însă, într-adevăr, puteau să redistribuie către alte persoane conținut de pe această pagină, în realitate, existând numai un grup constant și restrâns de persoane care au comentat efectiv; că, întrucât postările pe rețeaua de socializare Facebook nu apăreau în căutările pe Internet efectuate pe motoarele de căutare, vizibilitatea lor publică era limitată; că această limitare era inclusiv temporală, deoarece acestea „decădeau” ca urmare a noilor comentarii și postări făcute, ceea ce însemna că ele erau vizibile utilizatorilor care urmăreau în timp real discuția generată de o anumită postare; că părțile reclamante însele în procedura internă au stat în pasivitate până la introducerea acțiunii lor în justiție cu privire la comentariile postate, deoarece nu au făcut dovada că ar fi raportat ele însele către Facebook conținutul comentariilor apreciate ca injurioase; precum și faptul că o parte dintre comentariile reținute ca ilicite au fost șterse până la momentul examinării cauzei de către instanțele interne.</w:t>
      </w:r>
    </w:p>
    <w:p w14:paraId="74DD00E2" w14:textId="77DBECFE" w:rsidR="00920111" w:rsidRPr="001C2470" w:rsidRDefault="00F17402" w:rsidP="001C2470">
      <w:pPr>
        <w:pStyle w:val="JuPara"/>
      </w:pPr>
      <w:fldSimple w:instr=" SEQ level0 \*arabic \* MERGEFORMAT ">
        <w:bookmarkStart w:id="15" w:name="paragraph00024"/>
        <w:r w:rsidR="00E0027B">
          <w:rPr>
            <w:noProof/>
          </w:rPr>
          <w:t>24</w:t>
        </w:r>
        <w:bookmarkEnd w:id="15"/>
      </w:fldSimple>
      <w:r w:rsidR="00DD77EF">
        <w:t>. În sfârșit, Curtea de Apel a înlăturat obligația stabilită în sarcina  reclamantului în prezenta cauză (supra, pct. </w:t>
      </w:r>
      <w:r w:rsidRPr="001C2470">
        <w:fldChar w:fldCharType="begin"/>
      </w:r>
      <w:r w:rsidRPr="001C2470">
        <w:instrText xml:space="preserve"> REF paragraph00007 \h  \* CharFormat </w:instrText>
      </w:r>
      <w:r w:rsidRPr="001C2470">
        <w:fldChar w:fldCharType="separate"/>
      </w:r>
      <w:r w:rsidR="00E0027B">
        <w:t>7</w:t>
      </w:r>
      <w:r w:rsidRPr="001C2470">
        <w:fldChar w:fldCharType="end"/>
      </w:r>
      <w:r w:rsidR="00DD77EF">
        <w:t>) de a nu mai publica și găzdui pe viitor pe pagina sa personală de Facebook și pe blogul său personal comentarii și referiri cu conținut denigrator și defăimător la adresa părților reclamante în procedura internă, considerând că o astfel de obligație legală, negativă și generală, nu putea fi impusă printr-o hotărâre judecătorească.</w:t>
      </w:r>
    </w:p>
    <w:p w14:paraId="5D77C93F" w14:textId="77777777" w:rsidR="00920111" w:rsidRPr="001C2470" w:rsidRDefault="00F17402" w:rsidP="001C2470">
      <w:pPr>
        <w:pStyle w:val="JuHA"/>
      </w:pPr>
      <w:r>
        <w:t>Decizia Înaltei Curți de Casație și Justiție</w:t>
      </w:r>
    </w:p>
    <w:p w14:paraId="57706C7F" w14:textId="2A46E717" w:rsidR="00920111" w:rsidRPr="001C2470" w:rsidRDefault="00F17402" w:rsidP="001C2470">
      <w:pPr>
        <w:pStyle w:val="JuPara"/>
      </w:pPr>
      <w:fldSimple w:instr=" SEQ level0 \*arabic \* MERGEFORMAT ">
        <w:r w:rsidR="00E0027B">
          <w:rPr>
            <w:noProof/>
          </w:rPr>
          <w:t>25</w:t>
        </w:r>
      </w:fldSimple>
      <w:r w:rsidR="00DD77EF">
        <w:t>. Atât părțile reclamante în procedura internă, cât și reclamantul în prezenta cauză au declarat recurs în fața Curții de Casație. Reclamantul în prezenta cauză a criticat în special motivele cuprinse în decizia Curții de Apel, pe care le considera contradictorii, precum și nerespectarea, în primul rând, a dispozițiilor C. civ. referitoare la răspunderea civilă delictuală și, în al doilea rând, art. 10 din Convenție, printre altele din cauza unei ingerințe nejustificate și disproporționate în exercitarea libertății sale protejate de respectiva dispoziție a Convenției. Acesta a susținut în special: că a exprimat opinii cu caracter general la adresa unui grup vag determinat și, în consecință, nu putea fi tras la răspundere civilă în temeiul C. civ.; că unele exprimări au fost considerate de Curtea de Apel ca nedepășind limitele criticii acceptabile, în timp ce altele, de aceeași natură, au fost considerate de aceasta a nu se încadra în limitele criticii acceptabile, fără ca instanța respectivă să fi oferit precizări care să explice această diferență de apreciere; că impunerea utilizatorilor Facebook a unor obligații ce revin rețelei de socializare în sine nu avea niciun temei legal, atât din punct de vedere normativ, cât și cutumiar; în cele din urmă, că părțile reclamante în procedura internă nu au raportat Facebook comentariile denunțate în justiție.</w:t>
      </w:r>
    </w:p>
    <w:p w14:paraId="0EFF3296" w14:textId="0249ED97" w:rsidR="00920111" w:rsidRPr="001C2470" w:rsidRDefault="00F17402" w:rsidP="001C2470">
      <w:pPr>
        <w:pStyle w:val="JuPara"/>
      </w:pPr>
      <w:fldSimple w:instr=" SEQ level0 \*arabic \* MERGEFORMAT ">
        <w:bookmarkStart w:id="16" w:name="paragraph00026"/>
        <w:r w:rsidR="00E0027B">
          <w:rPr>
            <w:noProof/>
          </w:rPr>
          <w:t>26</w:t>
        </w:r>
        <w:bookmarkEnd w:id="16"/>
      </w:fldSimple>
      <w:r w:rsidR="00DD77EF">
        <w:t>. Printr-o decizie din 20 februarie 2020, Curtea de Casație a respins recursurile în cauză. Examinând argumentele reclamantului, aceasta a apreciat, în primul rând, că respectiva critică întemeiată pe absența unei analize a expresiilor și comentariilor considerate ofensatoare de Curtea de Apel se referea la fondul deciziei, în timp ce recursul avea ca obiect doar chestiuni de drept.</w:t>
      </w:r>
    </w:p>
    <w:p w14:paraId="6F444DED" w14:textId="77777777" w:rsidR="00920111" w:rsidRPr="001C2470" w:rsidRDefault="00F17402" w:rsidP="001C2470">
      <w:pPr>
        <w:pStyle w:val="JuPara"/>
      </w:pPr>
      <w:r>
        <w:t xml:space="preserve">În continuare, aceasta a considerat că obligația impusă reclamantului în prezenta cauză cu privire la comentariile publicate pe pagina lui de Facebook de către terțe persoane decurgea din principiile stabilite de Curtea Europeană a Drepturilor Omului în cauza </w:t>
      </w:r>
      <w:r>
        <w:rPr>
          <w:i/>
        </w:rPr>
        <w:t>Delfi AS împotriva Estoniei</w:t>
      </w:r>
      <w:r>
        <w:t xml:space="preserve"> [(MC) nr. 64569/09, CEDO 2015], exprimându-se astfel:</w:t>
      </w:r>
    </w:p>
    <w:p w14:paraId="2A6E6819" w14:textId="77777777" w:rsidR="00920111" w:rsidRPr="001C2470" w:rsidRDefault="00F17402" w:rsidP="001C2470">
      <w:pPr>
        <w:pStyle w:val="JuQuot"/>
      </w:pPr>
      <w:r>
        <w:t>„[...] Curtea [Europeană a Drepturilor Omului] a considerat că faptul de a impune societății reclamante obligația de a șterge din website, imediat după publicarea lor, comentariile care constituiau discurs instigator la ură și instigare la violență - despre care se putea înțelege la prima vedere că sunt vădit ilicite - nu constituie, în principiu, o ingerință disproporționată în exercitarea de către aceasta a libertății sale de exprimare.</w:t>
      </w:r>
    </w:p>
    <w:p w14:paraId="689C493E" w14:textId="77777777" w:rsidR="00920111" w:rsidRPr="001C2470" w:rsidRDefault="00F17402" w:rsidP="001C2470">
      <w:pPr>
        <w:pStyle w:val="JuQuot"/>
      </w:pPr>
      <w:r>
        <w:t>Chiar dacă speța de față nu privește un furnizor de știri, ca în cazul avut în vedere de către instanța de contencios european, se poate observa că rolul pârâtului în afișarea publică a comentariilor adăugate la articolele publicate în spațiul online îl depășea pe cel al unui furnizor pasiv de servicii pur tehnice, astfel că, în concordanță cu jurisprudența europeană, ca furnizor de servicii de conținut, se impunea intervenția sa în ștergerea comentariilor denigratoare, independent de raportarea conținutului ilicit de către reclamanți platformei [Facebook] și anterior intervenției acesteia.</w:t>
      </w:r>
    </w:p>
    <w:p w14:paraId="4EB2B846" w14:textId="77777777" w:rsidR="00920111" w:rsidRPr="001C2470" w:rsidRDefault="00F17402" w:rsidP="001C2470">
      <w:pPr>
        <w:pStyle w:val="JuQuot"/>
      </w:pPr>
      <w:r>
        <w:t>De altfel, fapta ce a fost imputată pârâtului de către Curtea de Apel nu este necenzurarea înainte și imediat după postare a comentariilor, ci aceea de menținere a comentariilor terțelor persoane după data sesizării (în speță, data cererii de chemare în judecată) pentru că obligația pe care utilizatorul titular al paginii [Facebook] o are este similară cu cea a platformei [Facebook], care își asumă responsabilitatea pentru înlăturarea comentariilor care contravin standardelor comunității, după momentul raportării postărilor, respectiv după momentul sesizării, în cazul utilizatorului. ”</w:t>
      </w:r>
    </w:p>
    <w:p w14:paraId="39542CB9" w14:textId="41E80F8E" w:rsidR="00920111" w:rsidRPr="001C2470" w:rsidRDefault="00F17402" w:rsidP="001C2470">
      <w:pPr>
        <w:pStyle w:val="JuPara"/>
      </w:pPr>
      <w:fldSimple w:instr=" SEQ level0 \*arabic \* MERGEFORMAT ">
        <w:bookmarkStart w:id="17" w:name="paragraph00027"/>
        <w:r w:rsidR="00E0027B">
          <w:rPr>
            <w:noProof/>
          </w:rPr>
          <w:t>27</w:t>
        </w:r>
        <w:bookmarkEnd w:id="17"/>
      </w:fldSimple>
      <w:r w:rsidR="00DD77EF">
        <w:t xml:space="preserve">. În cele din urmă, Curtea de Casație a confirmat abordarea reținută de Curtea de Apel, potrivit căreia obligația reclamantului în prezenta cauză de a șterge comentariile a luat naștere la data depunerii cererii de chemare în judecată de către părțile reclamante în procedura internă, </w:t>
      </w:r>
      <w:r w:rsidR="00DD77EF">
        <w:lastRenderedPageBreak/>
        <w:t>dată la care acestea i-au adus la cunoștință reclamantului caracterul ilicit al faptei constând în neștergerea comentariilor și care echivalează cu momentul de la care acestuia i se poate imputa o formă de vinovăție, aptă a-i angaja răspunderea civilă delictuală. În ceea ce privește argumentul reclamantului referitor la absența motivării deciziei pronunțate în apel cu privire la natura ofensatoare a anumitor expresii, Curtea Supremă s-a pronunțat astfel:</w:t>
      </w:r>
    </w:p>
    <w:p w14:paraId="6D448022" w14:textId="77777777" w:rsidR="00920111" w:rsidRPr="001C2470" w:rsidRDefault="00F17402" w:rsidP="001C2470">
      <w:pPr>
        <w:pStyle w:val="JuQuot"/>
      </w:pPr>
      <w:r>
        <w:t>„[...] susținerile recurentului nu sunt fondate, hotărârea recurată fiind corect argumentată în fapt și în drept, neexistând nicio contradictorialitate în motivarea soluției, dezlegarea dată de instanța de apel problemelor de drept deduse judecății, fiind pe deplin și coerent susținută de considerente ce nu se contrazic și care conduc la soluția din dispozitiv.</w:t>
      </w:r>
    </w:p>
    <w:p w14:paraId="77F48AC4" w14:textId="77777777" w:rsidR="00920111" w:rsidRPr="001C2470" w:rsidRDefault="00F17402" w:rsidP="001C2470">
      <w:pPr>
        <w:pStyle w:val="JuQuot"/>
      </w:pPr>
      <w:r>
        <w:t>Este cert, raportat la cele arătate mai sus și consemnate în considerentele hotărârii atacate, că instanța de apel și-a motivat în mod corespunzător soluția adoptată, aceasta fiind în concordanță cu actele și lucrările dosarului și textele legale incidente în cauză, procedând la analiza în mod detaliat a expresiilor folosite în comentariile de pe [Facebook], prin includerea lor în diferite categorii/tipologii și menționând pentru fiecare în parte care este motivul reținerii sau nu ca faptă ilicită. ”</w:t>
      </w:r>
    </w:p>
    <w:p w14:paraId="7B7C6920" w14:textId="17EF8038" w:rsidR="00920111" w:rsidRPr="001C2470" w:rsidRDefault="00F17402" w:rsidP="001C2470">
      <w:pPr>
        <w:pStyle w:val="JuPara"/>
      </w:pPr>
      <w:fldSimple w:instr=" SEQ level0 \*arabic \* MERGEFORMAT ">
        <w:r w:rsidR="00E0027B">
          <w:rPr>
            <w:noProof/>
          </w:rPr>
          <w:t>28</w:t>
        </w:r>
      </w:fldSimple>
      <w:r w:rsidR="00DD77EF">
        <w:t>. Decizia Înaltei Curți de Casație și Justiție a fost notificată reclamantului la 3 aprilie 2020.</w:t>
      </w:r>
    </w:p>
    <w:p w14:paraId="6ED9EE6D" w14:textId="77777777" w:rsidR="00920111" w:rsidRPr="001C2470" w:rsidRDefault="00F17402" w:rsidP="001C2470">
      <w:pPr>
        <w:pStyle w:val="JuHHead"/>
      </w:pPr>
      <w:r>
        <w:t>CADRUL JURIDIC RELEVANT</w:t>
      </w:r>
    </w:p>
    <w:p w14:paraId="399CCAE7" w14:textId="77777777" w:rsidR="00920111" w:rsidRPr="001C2470" w:rsidRDefault="00F17402" w:rsidP="001C2470">
      <w:pPr>
        <w:pStyle w:val="JuHIRoman"/>
      </w:pPr>
      <w:r>
        <w:t>Dreptul intern</w:t>
      </w:r>
    </w:p>
    <w:p w14:paraId="4F20CAC5" w14:textId="77777777" w:rsidR="00920111" w:rsidRPr="001C2470" w:rsidRDefault="00F17402" w:rsidP="001C2470">
      <w:pPr>
        <w:pStyle w:val="JuHA"/>
      </w:pPr>
      <w:r>
        <w:t>Constituția</w:t>
      </w:r>
    </w:p>
    <w:p w14:paraId="380FD304" w14:textId="12D1B76D" w:rsidR="00920111" w:rsidRPr="001C2470" w:rsidRDefault="00F17402" w:rsidP="001C2470">
      <w:pPr>
        <w:pStyle w:val="JuPara"/>
      </w:pPr>
      <w:fldSimple w:instr=" SEQ level0 \*arabic \* MERGEFORMAT ">
        <w:r w:rsidR="00E0027B">
          <w:rPr>
            <w:noProof/>
          </w:rPr>
          <w:t>29</w:t>
        </w:r>
      </w:fldSimple>
      <w:r w:rsidR="00DD77EF">
        <w:t>. Articolul 30 din Constituția României, intitulat „Libertatea de exprimare” se citește astfel, în părțile relevante în speță:</w:t>
      </w:r>
    </w:p>
    <w:p w14:paraId="521F0610" w14:textId="77777777" w:rsidR="00920111" w:rsidRPr="001C2470" w:rsidRDefault="00F17402" w:rsidP="001C2470">
      <w:pPr>
        <w:pStyle w:val="JuQuot"/>
      </w:pPr>
      <w:r>
        <w:t>„(1) Libertatea de exprimare a gândurilor, a opiniilor sau a credințelor și libertatea creațiilor de orice fel, prin viu grai, prin scris, prin imagini, prin sunete sau prin alte mijloace de comunicare în public, sunt inviolabile.</w:t>
      </w:r>
    </w:p>
    <w:p w14:paraId="0B3863D7" w14:textId="77777777" w:rsidR="00920111" w:rsidRPr="001C2470" w:rsidRDefault="00F17402" w:rsidP="001C2470">
      <w:pPr>
        <w:pStyle w:val="JuQuot"/>
      </w:pPr>
      <w:r>
        <w:t>(2) Cenzura de orice fel este interzisă.</w:t>
      </w:r>
    </w:p>
    <w:p w14:paraId="0D5AE249" w14:textId="77777777" w:rsidR="00920111" w:rsidRPr="001C2470" w:rsidRDefault="00F17402" w:rsidP="001C2470">
      <w:pPr>
        <w:pStyle w:val="JuQuot"/>
      </w:pPr>
      <w:r>
        <w:t>[...]</w:t>
      </w:r>
    </w:p>
    <w:p w14:paraId="72A7C051" w14:textId="77777777" w:rsidR="00920111" w:rsidRPr="001C2470" w:rsidRDefault="00F17402" w:rsidP="001C2470">
      <w:pPr>
        <w:pStyle w:val="JuQuot"/>
      </w:pPr>
      <w:r>
        <w:t>(6) Libertatea de exprimare nu poate prejudicia demnitatea, onoarea, viața particulară a persoanei și nici dreptul la propria imagine. [...]</w:t>
      </w:r>
    </w:p>
    <w:p w14:paraId="2889CD4D" w14:textId="77777777" w:rsidR="00920111" w:rsidRPr="001C2470" w:rsidRDefault="00F17402" w:rsidP="001C2470">
      <w:pPr>
        <w:pStyle w:val="JuQuot"/>
      </w:pPr>
      <w:r>
        <w:t>(8) Răspunderea civilă pentru informația sau pentru creația adusă la cunoștința publică revine editorului sau realizatorului, autorului, organizatorului manifestării artistice, proprietarului mijlocului de multiplicare, al postului de radio sau de televiziune, în condițiile legii. Delictele de presă se stabilesc prin lege. ”</w:t>
      </w:r>
    </w:p>
    <w:p w14:paraId="4995CFC6" w14:textId="77777777" w:rsidR="00920111" w:rsidRPr="001C2470" w:rsidRDefault="00F17402" w:rsidP="001C2470">
      <w:pPr>
        <w:pStyle w:val="JuHA"/>
      </w:pPr>
      <w:r>
        <w:t>Codul civil (C. civ.)</w:t>
      </w:r>
    </w:p>
    <w:bookmarkStart w:id="18" w:name="paragraph00030"/>
    <w:p w14:paraId="1350BFBD" w14:textId="7D900FA3"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bookmarkStart w:id="19" w:name="paragraph00029"/>
      <w:r w:rsidR="00E0027B">
        <w:rPr>
          <w:noProof/>
        </w:rPr>
        <w:t>30</w:t>
      </w:r>
      <w:bookmarkEnd w:id="19"/>
      <w:r w:rsidRPr="001C2470">
        <w:fldChar w:fldCharType="end"/>
      </w:r>
      <w:bookmarkEnd w:id="18"/>
      <w:r>
        <w:t>. Art. 71-74 C. civ. protejează, în limitele prevăzute la art. 75 din același cod, dreptul la respectarea vieții private, dreptul la demnitate, precum și dreptul la propria imagine.</w:t>
      </w:r>
    </w:p>
    <w:p w14:paraId="1BD88337" w14:textId="52221F2B" w:rsidR="00920111" w:rsidRPr="001C2470" w:rsidRDefault="00F17402" w:rsidP="001C2470">
      <w:pPr>
        <w:pStyle w:val="JuPara"/>
      </w:pPr>
      <w:fldSimple w:instr=" SEQ level0 \*arabic \* MERGEFORMAT ">
        <w:r w:rsidR="00E0027B">
          <w:rPr>
            <w:noProof/>
          </w:rPr>
          <w:t>31</w:t>
        </w:r>
      </w:fldSimple>
      <w:r w:rsidR="00DD77EF">
        <w:t>. Art. 75 C. civ. prevede că exercitarea drepturilor și libertăților constituționale cu bună-credință și cu respectarea pactelor și convențiilor internaționale la care România este parte nu constituie o încălcare a drepturilor prevăzute, printre altele, la art. 71-74 din același cod.</w:t>
      </w:r>
    </w:p>
    <w:p w14:paraId="5C2E8861" w14:textId="0490FDF4" w:rsidR="00920111" w:rsidRPr="001C2470" w:rsidRDefault="00F17402" w:rsidP="001C2470">
      <w:pPr>
        <w:pStyle w:val="JuPara"/>
      </w:pPr>
      <w:fldSimple w:instr=" SEQ level0 \*arabic \* MERGEFORMAT ">
        <w:bookmarkStart w:id="20" w:name="paragraph00031"/>
        <w:r w:rsidR="00E0027B">
          <w:rPr>
            <w:noProof/>
          </w:rPr>
          <w:t>32</w:t>
        </w:r>
        <w:bookmarkEnd w:id="20"/>
      </w:fldSimple>
      <w:r w:rsidR="00DD77EF">
        <w:t>. În conformitate cu art. 1.349 alin. (1) C. civ., orice persoană are îndatorirea să respecte regulile de conduită pe care legea sau obiceiul locului le impune și să nu aducă atingere, prin acțiunile ori inacțiunile sale, drepturilor sau intereselor legitime ale altor persoane. Art. 1.349 alin. (2) precizează că persoana care, având discernământ, încalcă această îndatorire răspunde de toate prejudiciile cauzate, fiind obligată să le repare integral. Potrivit alineatului (3) al aceluiași articol, în cazurile anume prevăzute de lege, o persoană este obligată să repare prejudiciul cauzat de fapta altuia.</w:t>
      </w:r>
    </w:p>
    <w:p w14:paraId="0032E24F" w14:textId="3939AF37" w:rsidR="00920111" w:rsidRPr="001C2470" w:rsidRDefault="00F17402" w:rsidP="001C2470">
      <w:pPr>
        <w:pStyle w:val="JuPara"/>
      </w:pPr>
      <w:fldSimple w:instr=" SEQ level0 \*arabic \* MERGEFORMAT ">
        <w:bookmarkStart w:id="21" w:name="paragraph00032"/>
        <w:r w:rsidR="00E0027B">
          <w:rPr>
            <w:noProof/>
          </w:rPr>
          <w:t>33</w:t>
        </w:r>
        <w:bookmarkEnd w:id="21"/>
      </w:fldSimple>
      <w:r w:rsidR="00DD77EF">
        <w:t>. Potrivit art. 1.357 C. civ., cel care cauzează altuia un prejudiciu printr-o faptă ilicită, săvârșită cu vinovăție, este obligat să îl repare și, potrivit art. 1.358 C. civ., pentru aprecierea vinovăției se va ține seama de împrejurările în care s-a produs prejudiciul, străine de persoana autorului faptei, precum și, dacă este cazul, de faptul că prejudiciul a fost cauzat de un profesionist în exploatarea unei întreprinderi.</w:t>
      </w:r>
    </w:p>
    <w:p w14:paraId="3B20A7D9" w14:textId="3E43E419" w:rsidR="00920111" w:rsidRPr="001C2470" w:rsidRDefault="00F17402" w:rsidP="001C2470">
      <w:pPr>
        <w:pStyle w:val="JuPara"/>
      </w:pPr>
      <w:fldSimple w:instr=" SEQ level0 \*arabic \* MERGEFORMAT ">
        <w:bookmarkStart w:id="22" w:name="paragraph00033"/>
        <w:r w:rsidR="00E0027B">
          <w:rPr>
            <w:noProof/>
          </w:rPr>
          <w:t>34</w:t>
        </w:r>
        <w:bookmarkEnd w:id="22"/>
      </w:fldSimple>
      <w:r w:rsidR="00DD77EF">
        <w:t>. Art. 253 este formulat astfel:</w:t>
      </w:r>
    </w:p>
    <w:p w14:paraId="6ED3FDAE" w14:textId="77777777" w:rsidR="00920111" w:rsidRPr="001C2470" w:rsidRDefault="00F17402" w:rsidP="001C2470">
      <w:pPr>
        <w:pStyle w:val="JuQuot"/>
      </w:pPr>
      <w:r>
        <w:t>„1) Persoana fizică ale cărei drepturi nepatrimoniale au fost încălcate ori amenințate poate cere oricând instanței:</w:t>
      </w:r>
    </w:p>
    <w:p w14:paraId="55B8003C" w14:textId="77777777" w:rsidR="00920111" w:rsidRPr="001C2470" w:rsidRDefault="00F17402" w:rsidP="001C2470">
      <w:pPr>
        <w:pStyle w:val="JuQuot"/>
      </w:pPr>
      <w:r>
        <w:t xml:space="preserve"> a) interzicerea săvârșirii faptei ilicite, dacă aceasta este iminentă;</w:t>
      </w:r>
    </w:p>
    <w:p w14:paraId="0EEDD9BD" w14:textId="77777777" w:rsidR="00920111" w:rsidRPr="001C2470" w:rsidRDefault="00F17402" w:rsidP="001C2470">
      <w:pPr>
        <w:pStyle w:val="JuQuot"/>
      </w:pPr>
      <w:r>
        <w:t xml:space="preserve"> b) încetarea încălcării și interzicerea pentru viitor, dacă aceasta durează încă;</w:t>
      </w:r>
    </w:p>
    <w:p w14:paraId="55C6D644" w14:textId="77777777" w:rsidR="00920111" w:rsidRPr="001C2470" w:rsidRDefault="00F17402" w:rsidP="001C2470">
      <w:pPr>
        <w:pStyle w:val="JuQuot"/>
      </w:pPr>
      <w:r>
        <w:t xml:space="preserve"> c) constatarea caracterului ilicit al faptei săvârșite, dacă tulburarea pe care a produs-o subzistă.</w:t>
      </w:r>
    </w:p>
    <w:p w14:paraId="4816C7CB" w14:textId="77777777" w:rsidR="00920111" w:rsidRPr="001C2470" w:rsidRDefault="00F17402" w:rsidP="001C2470">
      <w:pPr>
        <w:pStyle w:val="JuQuot"/>
      </w:pPr>
      <w:r>
        <w:t xml:space="preserve"> (2) Prin excepție de la prevederile alin. (1), în cazul încălcării drepturilor nepatrimoniale prin exercitarea dreptului la libera exprimare, instanța poate dispune numai măsurile prevăzute la alin. (1) lit. b) și c).</w:t>
      </w:r>
    </w:p>
    <w:p w14:paraId="2CFB8F76" w14:textId="77777777" w:rsidR="00920111" w:rsidRPr="001C2470" w:rsidRDefault="00F17402" w:rsidP="001C2470">
      <w:pPr>
        <w:pStyle w:val="JuQuot"/>
      </w:pPr>
      <w:r>
        <w:t xml:space="preserve"> (3) Totodată, cel care a suferit o încălcare a unor asemenea drepturi poate cere instanței să îl oblige pe autorul faptei să îndeplinească orice măsuri socotite necesare de către instanță spre a ajunge la restabilirea dreptului atins, cum sunt:</w:t>
      </w:r>
    </w:p>
    <w:p w14:paraId="49BB7E1B" w14:textId="77777777" w:rsidR="00920111" w:rsidRPr="001C2470" w:rsidRDefault="00F17402" w:rsidP="001C2470">
      <w:pPr>
        <w:pStyle w:val="JuQuot"/>
      </w:pPr>
      <w:r>
        <w:t xml:space="preserve"> a) obligarea autorului, pe cheltuiala sa, la publicarea hotărârii de condamnare;</w:t>
      </w:r>
    </w:p>
    <w:p w14:paraId="38E19C4A" w14:textId="77777777" w:rsidR="00920111" w:rsidRPr="001C2470" w:rsidRDefault="00F17402" w:rsidP="001C2470">
      <w:pPr>
        <w:pStyle w:val="JuQuot"/>
      </w:pPr>
      <w:r>
        <w:t xml:space="preserve"> b) orice alte măsuri necesare pentru încetarea faptei ilicite sau pentru repararea prejudiciului cauzat.</w:t>
      </w:r>
    </w:p>
    <w:p w14:paraId="42358B7D" w14:textId="77777777" w:rsidR="00920111" w:rsidRPr="001C2470" w:rsidRDefault="00F17402" w:rsidP="001C2470">
      <w:pPr>
        <w:pStyle w:val="JuQuot"/>
      </w:pPr>
      <w:r>
        <w:t xml:space="preserve"> (4) De asemenea, persoana prejudiciată poate cere despăgubiri sau, după caz, o reparație patrimonială pentru prejudiciul, chiar nepatrimonial, ce i-a fost cauzat, dacă vătămarea este imputabilă autorului faptei prejudiciabile. În aceste cazuri, dreptul la acțiune este supus prescripției extinctive. ”</w:t>
      </w:r>
    </w:p>
    <w:p w14:paraId="1B3514A0" w14:textId="77777777" w:rsidR="00920111" w:rsidRPr="001C2470" w:rsidRDefault="00F17402" w:rsidP="001C2470">
      <w:pPr>
        <w:pStyle w:val="JuHA"/>
      </w:pPr>
      <w:r>
        <w:t>Legea nr. 365/2002 privind comerțul electronic, intrată în vigoare la 5 iulie 2002</w:t>
      </w:r>
    </w:p>
    <w:p w14:paraId="5E650C46" w14:textId="51035FDC" w:rsidR="00920111" w:rsidRPr="001C2470" w:rsidRDefault="00F17402" w:rsidP="001C2470">
      <w:pPr>
        <w:pStyle w:val="JuPara"/>
      </w:pPr>
      <w:fldSimple w:instr=" SEQ level0 \*arabic \* MERGEFORMAT ">
        <w:bookmarkStart w:id="23" w:name="paragraph00034"/>
        <w:r w:rsidR="00E0027B">
          <w:rPr>
            <w:noProof/>
          </w:rPr>
          <w:t>35</w:t>
        </w:r>
        <w:bookmarkEnd w:id="23"/>
      </w:fldSimple>
      <w:r w:rsidR="00DD77EF">
        <w:t>. Articolul 1 din Legea nr. 365/2002, astfel cum era în vigoare la momentul faptelor, prevedea următoarele:</w:t>
      </w:r>
    </w:p>
    <w:p w14:paraId="6594C493" w14:textId="77777777" w:rsidR="00920111" w:rsidRPr="001C2470" w:rsidRDefault="00F17402" w:rsidP="001C2470">
      <w:pPr>
        <w:pStyle w:val="JuQuot"/>
      </w:pPr>
      <w:r>
        <w:t>„În înțelesul prezentei legi, următorii termeni se definesc astfel:</w:t>
      </w:r>
    </w:p>
    <w:p w14:paraId="174631DE" w14:textId="77777777" w:rsidR="00920111" w:rsidRPr="001C2470" w:rsidRDefault="00F17402" w:rsidP="001C2470">
      <w:pPr>
        <w:pStyle w:val="JuQuot"/>
      </w:pPr>
      <w:r>
        <w:t xml:space="preserve"> 1. serviciu al societății informaționale - orice serviciu care se efectuează utilizându-se mijloace electronice și prezintă următoarele caracteristici:</w:t>
      </w:r>
    </w:p>
    <w:p w14:paraId="7AF3CBCA" w14:textId="77777777" w:rsidR="00920111" w:rsidRPr="001C2470" w:rsidRDefault="00F17402" w:rsidP="001C2470">
      <w:pPr>
        <w:pStyle w:val="JuQuot"/>
      </w:pPr>
      <w:r>
        <w:t xml:space="preserve"> a) este efectuat în considerarea unui folos patrimonial, procurat ofertantului în mod obișnuit de către destinatar; </w:t>
      </w:r>
    </w:p>
    <w:p w14:paraId="75DE02C9" w14:textId="77777777" w:rsidR="00920111" w:rsidRPr="001C2470" w:rsidRDefault="00F17402" w:rsidP="001C2470">
      <w:pPr>
        <w:pStyle w:val="JuQuot"/>
      </w:pPr>
      <w:r>
        <w:t xml:space="preserve"> b) nu este necesar ca ofertantul și destinatarul să fie fizic prezenți simultan în același loc; </w:t>
      </w:r>
    </w:p>
    <w:p w14:paraId="611DC357" w14:textId="77777777" w:rsidR="00920111" w:rsidRPr="001C2470" w:rsidRDefault="00F17402" w:rsidP="001C2470">
      <w:pPr>
        <w:pStyle w:val="JuQuot"/>
      </w:pPr>
      <w:r>
        <w:t xml:space="preserve"> c) este efectuat prin transmiterea informației la cererea individuală a destinatarului;</w:t>
      </w:r>
    </w:p>
    <w:p w14:paraId="4DDBD737" w14:textId="77777777" w:rsidR="00920111" w:rsidRPr="001C2470" w:rsidRDefault="00F17402" w:rsidP="001C2470">
      <w:pPr>
        <w:pStyle w:val="JuQuot"/>
      </w:pPr>
      <w:r>
        <w:t>[...] ”</w:t>
      </w:r>
    </w:p>
    <w:p w14:paraId="05DC476E" w14:textId="77777777" w:rsidR="00920111" w:rsidRPr="001C2470" w:rsidRDefault="00F17402" w:rsidP="001C2470">
      <w:pPr>
        <w:pStyle w:val="JuHIRoman"/>
      </w:pPr>
      <w:r>
        <w:t>Instrumentele internaționale</w:t>
      </w:r>
    </w:p>
    <w:p w14:paraId="6EACF065" w14:textId="77777777" w:rsidR="00920111" w:rsidRPr="001C2470" w:rsidRDefault="00F17402" w:rsidP="001C2470">
      <w:pPr>
        <w:pStyle w:val="JuHA"/>
      </w:pPr>
      <w:r>
        <w:t>Consiliul Europei</w:t>
      </w:r>
    </w:p>
    <w:p w14:paraId="7B8F3DB0" w14:textId="7642B9C9" w:rsidR="00920111" w:rsidRPr="001C2470" w:rsidRDefault="00F17402" w:rsidP="001C2470">
      <w:pPr>
        <w:pStyle w:val="JuPara"/>
      </w:pPr>
      <w:fldSimple w:instr=" SEQ level0 \*arabic \* MERGEFORMAT ">
        <w:bookmarkStart w:id="24" w:name="paragraph00036"/>
        <w:r w:rsidR="00E0027B">
          <w:rPr>
            <w:noProof/>
          </w:rPr>
          <w:t>36</w:t>
        </w:r>
        <w:bookmarkEnd w:id="24"/>
      </w:fldSimple>
      <w:r w:rsidR="00DD77EF">
        <w:t>. La 28 mai 2003, Comitetul de Miniștri al Consiliului Europei a adoptat Declarația privind libertatea de comunicare pe Internet. Părțile relevante ale acestei declarații se citesc după cum urmează:</w:t>
      </w:r>
    </w:p>
    <w:p w14:paraId="413E7176" w14:textId="77777777" w:rsidR="00920111" w:rsidRPr="001C2470" w:rsidRDefault="00F17402" w:rsidP="001C2470">
      <w:pPr>
        <w:pStyle w:val="JuQuot"/>
      </w:pPr>
      <w:r>
        <w:t>„Statele membre ale Consiliului Europei,</w:t>
      </w:r>
    </w:p>
    <w:p w14:paraId="1393A4B2" w14:textId="77777777" w:rsidR="00920111" w:rsidRPr="001C2470" w:rsidRDefault="00F17402" w:rsidP="001C2470">
      <w:pPr>
        <w:pStyle w:val="JuQuot"/>
      </w:pPr>
      <w:r>
        <w:t>Reamintind angajamentul statelor membre față de dreptul fundamental la libertatea de exprimare și de informare, astfel cum este garantat de art. 10 din Convenția pentru apărarea drepturilor omului și a libertăților fundamentale;</w:t>
      </w:r>
    </w:p>
    <w:p w14:paraId="2221F890" w14:textId="77777777" w:rsidR="00920111" w:rsidRPr="001C2470" w:rsidRDefault="00F17402" w:rsidP="001C2470">
      <w:pPr>
        <w:pStyle w:val="JuQuot"/>
      </w:pPr>
      <w:r>
        <w:t>[...]</w:t>
      </w:r>
    </w:p>
    <w:p w14:paraId="0C497320" w14:textId="77777777" w:rsidR="00920111" w:rsidRPr="001C2470" w:rsidRDefault="00F17402" w:rsidP="001C2470">
      <w:pPr>
        <w:pStyle w:val="JuQuot"/>
      </w:pPr>
      <w:r>
        <w:lastRenderedPageBreak/>
        <w:t>Convinse că libertatea de a furniza servicii prin intermediul Internetului va contribui la garantarea dreptului utilizatorilor de a accesa conținut pluralist din diverse surse interne și externe,</w:t>
      </w:r>
    </w:p>
    <w:p w14:paraId="78D238AF" w14:textId="77777777" w:rsidR="00920111" w:rsidRPr="001C2470" w:rsidRDefault="00F17402" w:rsidP="001C2470">
      <w:pPr>
        <w:pStyle w:val="JuQuot"/>
      </w:pPr>
      <w:r>
        <w:t>Convinse, de asemenea, că este necesar să fie limitată răspunderea furnizorilor de servicii atunci când aceștia acționează ca simpli transmițători, sau atunci când, de bună-credință, asigură accesul la conținuturi create de terțe părți sau găzduiesc astfel de conținuturi;</w:t>
      </w:r>
    </w:p>
    <w:p w14:paraId="33D59C44" w14:textId="77777777" w:rsidR="00920111" w:rsidRPr="001C2470" w:rsidRDefault="00F17402" w:rsidP="001C2470">
      <w:pPr>
        <w:pStyle w:val="JuQuot"/>
      </w:pPr>
      <w:r>
        <w:t>Reamintind, în acest sens, Directiva 2000/31/CE a Parlamentului European și a Consiliului din 8 iunie 2000 privind anumite aspecte juridice ale serviciilor societății informaționale, în special ale comerțului electronic, pe piața internă (Directiva privind comerțul electronic);</w:t>
      </w:r>
    </w:p>
    <w:p w14:paraId="24D8BEF0" w14:textId="77777777" w:rsidR="00920111" w:rsidRPr="001C2470" w:rsidRDefault="00F17402" w:rsidP="001C2470">
      <w:pPr>
        <w:pStyle w:val="JuQuot"/>
      </w:pPr>
      <w:r>
        <w:t>Salutând eforturile depuse de furnizorii de servicii pentru a coopera cu autoritățile de aplicare a legii atunci când se confruntă cu conținut ilegal pe Internet;</w:t>
      </w:r>
    </w:p>
    <w:p w14:paraId="2A21B5AF" w14:textId="77777777" w:rsidR="00920111" w:rsidRPr="001C2470" w:rsidRDefault="00F17402" w:rsidP="001C2470">
      <w:pPr>
        <w:pStyle w:val="JuQuot"/>
      </w:pPr>
      <w:r>
        <w:t>Luând act de importanța cooperării dintre aceste autorități în combaterea unor astfel de conținuturi,</w:t>
      </w:r>
    </w:p>
    <w:p w14:paraId="6A43D2C3" w14:textId="77777777" w:rsidR="00920111" w:rsidRPr="001C2470" w:rsidRDefault="00F17402" w:rsidP="001C2470">
      <w:pPr>
        <w:pStyle w:val="JuQuot"/>
      </w:pPr>
      <w:r>
        <w:t>Declară că încearcă să respecte următoarele principii în domeniul comunicațiilor pe Internet:</w:t>
      </w:r>
    </w:p>
    <w:p w14:paraId="46F97B06" w14:textId="77777777" w:rsidR="00920111" w:rsidRPr="001C2470" w:rsidRDefault="00F17402" w:rsidP="001C2470">
      <w:pPr>
        <w:pStyle w:val="JuQuot"/>
      </w:pPr>
      <w:r>
        <w:t>[...]</w:t>
      </w:r>
    </w:p>
    <w:p w14:paraId="6BF17C81" w14:textId="77777777" w:rsidR="00920111" w:rsidRPr="001C2470" w:rsidRDefault="00F17402" w:rsidP="001C2470">
      <w:pPr>
        <w:pStyle w:val="JuQuot"/>
      </w:pPr>
      <w:r>
        <w:t>Principiul 3: Absența unui control prealabil din partea statului</w:t>
      </w:r>
    </w:p>
    <w:p w14:paraId="2A424D36" w14:textId="77777777" w:rsidR="00920111" w:rsidRPr="001C2470" w:rsidRDefault="00F17402" w:rsidP="001C2470">
      <w:pPr>
        <w:pStyle w:val="JuQuot"/>
      </w:pPr>
      <w:r>
        <w:t>Autoritățile publice nu ar trebui, prin măsuri generale de blocare sau filtrare, să refuze accesul publicului la informații sau alt tip de comunicare pe Internet, indiferent de frontiere. Aceasta nu împiedică instalarea de filtre de protecție pentru minori, în special în locurile accesibile acestora, cum ar fi școlile sau bibliotecile.</w:t>
      </w:r>
    </w:p>
    <w:p w14:paraId="4C98DD45" w14:textId="77777777" w:rsidR="00920111" w:rsidRPr="001C2470" w:rsidRDefault="00F17402" w:rsidP="001C2470">
      <w:pPr>
        <w:pStyle w:val="JuQuot"/>
      </w:pPr>
      <w:r>
        <w:t>Cu condiția respectării garanțiilor de la art. 10 § 2 din Convenția pentru apărarea drepturilor omului și a libertăților fundamentale, pot fi luate măsuri pentru a impune eliminarea conținutului clar identificabil de pe Internet sau, alternativ, blocarea accesului la acesta, dacă autoritățile naționale competente au luat o decizie provizorie sau definitivă privind ilegalitatea acestuia.</w:t>
      </w:r>
    </w:p>
    <w:p w14:paraId="1F6D72F0" w14:textId="77777777" w:rsidR="00920111" w:rsidRPr="001C2470" w:rsidRDefault="00F17402" w:rsidP="001C2470">
      <w:pPr>
        <w:pStyle w:val="JuQuot"/>
      </w:pPr>
      <w:r>
        <w:t>[...] ”</w:t>
      </w:r>
    </w:p>
    <w:p w14:paraId="44DF36FB" w14:textId="3D0030C8" w:rsidR="00920111" w:rsidRPr="001C2470" w:rsidRDefault="00F17402" w:rsidP="001C2470">
      <w:pPr>
        <w:pStyle w:val="JuPara"/>
      </w:pPr>
      <w:fldSimple w:instr=" SEQ level0 \*arabic \* MERGEFORMAT ">
        <w:r w:rsidR="00E0027B">
          <w:rPr>
            <w:noProof/>
          </w:rPr>
          <w:t>37</w:t>
        </w:r>
      </w:fldSimple>
      <w:r w:rsidR="00DD77EF">
        <w:t>. La 16 aprilie 2014, Comitetul de Miniștri a adoptat Recomandarea CM/Rec(2014)6 către statele membre cu privire la Ghidul drepturilor omului pentru utilizatorii de Internet. Părțile relevante din acest ghid sunt redactate după cum urmează:</w:t>
      </w:r>
    </w:p>
    <w:p w14:paraId="424D1433" w14:textId="77777777" w:rsidR="00920111" w:rsidRPr="001C2470" w:rsidRDefault="00F17402" w:rsidP="001C2470">
      <w:pPr>
        <w:pStyle w:val="JuHArticle"/>
      </w:pPr>
      <w:r>
        <w:t>Libertatea de exprimare și de informare</w:t>
      </w:r>
    </w:p>
    <w:p w14:paraId="220CBA47" w14:textId="77777777" w:rsidR="00920111" w:rsidRPr="001C2470" w:rsidRDefault="00F17402" w:rsidP="001C2470">
      <w:pPr>
        <w:pStyle w:val="JuQuot"/>
      </w:pPr>
      <w:r>
        <w:t>„Aveți dreptul de a căuta, obține și comunica informații și idei la liberă alegere, fără nicio ingerință și indiferent de frontiere. Aceasta înseamnă că:</w:t>
      </w:r>
    </w:p>
    <w:p w14:paraId="5D52EFC9" w14:textId="77777777" w:rsidR="00920111" w:rsidRPr="001C2470" w:rsidRDefault="00F17402" w:rsidP="001C2470">
      <w:pPr>
        <w:pStyle w:val="JuQuot"/>
      </w:pPr>
      <w:r>
        <w:t>1. aveți dreptul de a vă exprima online și de a accesa informațiile, opiniile și afirmațiile altor persoane. Acest drept este valabil și pentru discursurile politice, opiniile cu privire la religie, și convingerile și exprimările care sunt primite favorabil sau considerate inofensive, dar și pentru cele care îi pot ofensa, șoca sau deranja pe alții. Ar trebui să țineți seama în mod corespunzător de reputația sau drepturile altora, inclusiv dreptul acestora la viață privată;</w:t>
      </w:r>
    </w:p>
    <w:p w14:paraId="51C5E27C" w14:textId="77777777" w:rsidR="00920111" w:rsidRPr="001C2470" w:rsidRDefault="00F17402" w:rsidP="001C2470">
      <w:pPr>
        <w:pStyle w:val="JuQuot"/>
      </w:pPr>
      <w:r>
        <w:t>2. pot fi aplicate restricții expresiilor care instigă la discriminare, ură sau violență. Restricțiile trebuie să respecte cadrul legal, să fie definite strict și aplicate sub control judecătoresc;</w:t>
      </w:r>
    </w:p>
    <w:p w14:paraId="2F8EA18A" w14:textId="77777777" w:rsidR="00920111" w:rsidRPr="001C2470" w:rsidRDefault="00F17402" w:rsidP="001C2470">
      <w:pPr>
        <w:pStyle w:val="JuQuot"/>
      </w:pPr>
      <w:r>
        <w:t>[...] ”</w:t>
      </w:r>
    </w:p>
    <w:bookmarkStart w:id="25" w:name="paragraph00038"/>
    <w:p w14:paraId="0DD7F398" w14:textId="59EAC414"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r w:rsidR="00E0027B">
        <w:rPr>
          <w:noProof/>
        </w:rPr>
        <w:t>38</w:t>
      </w:r>
      <w:r w:rsidRPr="001C2470">
        <w:fldChar w:fldCharType="end"/>
      </w:r>
      <w:bookmarkEnd w:id="25"/>
      <w:r>
        <w:t>. În Recomandarea CM/Rec (2018) 2 către statele membre privind rolurile și responsabilitățile intermediarilor serviciilor de Internet, adoptată la 7 martie 2018, Comitetul de Miniștri a clarificat, de asemenea, semnificația sintagmei „intermediarii serviciilor de Internet”:</w:t>
      </w:r>
    </w:p>
    <w:p w14:paraId="30A8B422" w14:textId="77777777" w:rsidR="00920111" w:rsidRPr="001C2470" w:rsidRDefault="00F17402" w:rsidP="001C2470">
      <w:pPr>
        <w:pStyle w:val="JuQuot"/>
      </w:pPr>
      <w:r>
        <w:t>„4. O mare varietate de actori, denumiți în mod obișnuit «intermediarii serviciilor de Internet», al căror număr este în continuă creștere, facilitează interacțiunile pe internet între persoanele fizice și între persoanele fizice și juridice, îndeplinind diverse funcții și oferind diverse servicii. Unii conectează utilizatorii la Internet, asigură procesarea de informații și date sau găzduiesc servicii online, inclusiv pentru conținutul generat de utilizatori. Alții agregă informații și permit efectuarea de cercetări; oferă acces la conținuturi și servicii concepute sau gestionate de terți, găzduiesc și indexează astfel de conținuturi și servicii. Unele facilitează vânzarea de bunuri și servicii, inclusiv servicii audiovizuale, și permit alte tranzacții comerciale, inclusiv plăți.</w:t>
      </w:r>
    </w:p>
    <w:p w14:paraId="531352BE" w14:textId="77777777" w:rsidR="00920111" w:rsidRPr="001C2470" w:rsidRDefault="00F17402" w:rsidP="001C2470">
      <w:pPr>
        <w:pStyle w:val="JuQuot"/>
      </w:pPr>
      <w:r>
        <w:lastRenderedPageBreak/>
        <w:t>5. Intermediarii pot îndeplini mai multe funcții în paralel. De asemenea, aceștia pot controla și clasifica conținutul, inclusiv prin tehnici automatizate de prelucrare a datelor cu caracter personal, și, prin urmare, pot exercita anumite forme de control, care influențează accesul utilizatorilor la informații online, cum este cazul mass-mediei, sau pot îndeplini alte funcții similare celor ale editorilor. Serviciile intermediare pot fi furnizate, de asemenea, prin mijloace de comunicare tradiționale, de exemplu atunci când platformele acestora oferă spațiu pentru conținuturi generate de utilizatori. Cadrul de reglementare aplicabil funcției de intermediar nu exclude existența altor cadre aplicabile altor activități propuse de aceeași entitate. ”</w:t>
      </w:r>
    </w:p>
    <w:p w14:paraId="275A2D6C" w14:textId="77777777" w:rsidR="00920111" w:rsidRPr="001C2470" w:rsidRDefault="00F17402" w:rsidP="001C2470">
      <w:pPr>
        <w:pStyle w:val="JuHA"/>
      </w:pPr>
      <w:r>
        <w:t>Alte surse internaționale</w:t>
      </w:r>
    </w:p>
    <w:p w14:paraId="498D5F60" w14:textId="43BF7C23" w:rsidR="00920111" w:rsidRPr="001C2470" w:rsidRDefault="00F17402" w:rsidP="001C2470">
      <w:pPr>
        <w:pStyle w:val="JuPara"/>
      </w:pPr>
      <w:fldSimple w:instr=" SEQ level0 \*arabic \* MERGEFORMAT ">
        <w:r w:rsidR="00E0027B">
          <w:rPr>
            <w:noProof/>
          </w:rPr>
          <w:t>39</w:t>
        </w:r>
      </w:fldSimple>
      <w:r w:rsidR="00DD77EF">
        <w:t>. În Raportul din 16 mai 2011 către Consiliul drepturilor omului al Organizației Națiunilor Unite(A/HRC/17/27), Raportorul special al Organizației Națiunilor Unite pentru promovarea și protejarea dreptului la libertatea de opinie și de exprimare a declarat următoarele:</w:t>
      </w:r>
    </w:p>
    <w:p w14:paraId="4F90C93B" w14:textId="77777777" w:rsidR="00920111" w:rsidRPr="001C2470" w:rsidRDefault="00F17402" w:rsidP="001C2470">
      <w:pPr>
        <w:pStyle w:val="JuQuot"/>
      </w:pPr>
      <w:r>
        <w:t>„25. Tipurile legitime de informații care pot fi restricționate includ materialele pornografice cu minori (pentru a proteja drepturile copiilor), discursurile de instigare la ură (pentru a proteja drepturile comunităților vizate), calomnia (pentru a proteja drepturile și reputația altor persoane împotriva atacurilor nefondate), instigarea publică și directă la genocid (pentru a proteja drepturile altora) și apologia urii etnice, rasiale sau religioase, care constituie instigare la discriminare, ostilitate și violență (pentru a proteja drepturile altora, de exemplu dreptul la viață).</w:t>
      </w:r>
    </w:p>
    <w:p w14:paraId="0084B0BB" w14:textId="77777777" w:rsidR="00920111" w:rsidRPr="001C2470" w:rsidRDefault="00F17402" w:rsidP="001C2470">
      <w:pPr>
        <w:pStyle w:val="JuQuot"/>
      </w:pPr>
      <w:r>
        <w:t>[...]</w:t>
      </w:r>
    </w:p>
    <w:p w14:paraId="7D7CB6AB" w14:textId="77777777" w:rsidR="00920111" w:rsidRPr="001C2470" w:rsidRDefault="00F17402" w:rsidP="001C2470">
      <w:pPr>
        <w:pStyle w:val="JuQuot"/>
      </w:pPr>
      <w:r>
        <w:t>43. Raportorul special consideră că măsurile de cenzură nu ar trebui să fie delegate niciodată unei entități private și că nimeni nu ar trebui tras la răspundere pentru un conținut difuzat pe Internet dacă nu este autorul acestuia. Într-adevăr, niciun stat nu ar trebui să utilizeze intermediarii ori să îi oblige la aplicarea cenzurii în numele său [...] ”</w:t>
      </w:r>
    </w:p>
    <w:p w14:paraId="3478BBEE" w14:textId="5437C2D5" w:rsidR="00920111" w:rsidRPr="001C2470" w:rsidRDefault="00F17402" w:rsidP="001C2470">
      <w:pPr>
        <w:pStyle w:val="JuPara"/>
      </w:pPr>
      <w:fldSimple w:instr=" SEQ level0 \*arabic \* MERGEFORMAT ">
        <w:r w:rsidR="00E0027B">
          <w:rPr>
            <w:noProof/>
          </w:rPr>
          <w:t>40</w:t>
        </w:r>
      </w:fldSimple>
      <w:r w:rsidR="00DD77EF">
        <w:t>. În declarația comună adoptată la 21 decembrie 2005, Raportorul special al Organizației Națiunilor Unite pentru promovarea și protejarea dreptului la libertatea de opinie și de exprimare, Reprezentantul Organizației pentru Securitate și Cooperare în Europa („OSCE”) pentru libertatea mass-mediei și Raportorul special al Organizației Statelor Americane („OSA”) pentru libertatea de exprimare au afirmat următoarele:</w:t>
      </w:r>
    </w:p>
    <w:p w14:paraId="16CE5794" w14:textId="77777777" w:rsidR="00920111" w:rsidRPr="001C2470" w:rsidRDefault="00F17402" w:rsidP="001C2470">
      <w:pPr>
        <w:pStyle w:val="JuQuot"/>
      </w:pPr>
      <w:r>
        <w:t>„Nimeni nu ar trebui tras la răspundere pentru un conținut difuzat pe Internet dacă nu este autorul acestuia, cu excepția cazurilor în care și-a asumat conținutul respectiv sau a refuzat să se conformeze unei hotărâri judecătorești prin care s-a impus retragerea conținutului. ”</w:t>
      </w:r>
    </w:p>
    <w:p w14:paraId="05029280" w14:textId="08B24F8D" w:rsidR="00920111" w:rsidRPr="001C2470" w:rsidRDefault="00F17402" w:rsidP="001C2470">
      <w:pPr>
        <w:pStyle w:val="JuPara"/>
      </w:pPr>
      <w:fldSimple w:instr=" SEQ level0 \*arabic \* MERGEFORMAT ">
        <w:r w:rsidR="00E0027B">
          <w:rPr>
            <w:noProof/>
          </w:rPr>
          <w:t>41</w:t>
        </w:r>
      </w:fldSimple>
      <w:r w:rsidR="00DD77EF">
        <w:t>. În raportul anual 2013, publicat la 31 decembrie 2013 (OEA/Ser.L/V/II.149. Doc. 50), Raportorul special pentru libertatea de exprimare al Comisiei Interamericane pentru Drepturile Omului a considerat că, în cazul publicării unor conținuturi ilegale, ar trebui să fie trași la răspundere autorii comentariilor în litigiu, și nu intermediarii.</w:t>
      </w:r>
    </w:p>
    <w:p w14:paraId="4EBAE1C9" w14:textId="77777777" w:rsidR="00920111" w:rsidRPr="001C2470" w:rsidRDefault="00F17402" w:rsidP="001C2470">
      <w:pPr>
        <w:pStyle w:val="JuHIRoman"/>
        <w:tabs>
          <w:tab w:val="clear" w:pos="454"/>
          <w:tab w:val="clear" w:pos="539"/>
          <w:tab w:val="clear" w:pos="624"/>
          <w:tab w:val="clear" w:pos="794"/>
        </w:tabs>
      </w:pPr>
      <w:bookmarkStart w:id="26" w:name="_Toc134518401"/>
      <w:r>
        <w:t>Condițiile de utilizare ale rețelei de socializare FACEBOOK</w:t>
      </w:r>
      <w:bookmarkEnd w:id="26"/>
    </w:p>
    <w:p w14:paraId="7274B914" w14:textId="4D5CB39B" w:rsidR="00920111" w:rsidRPr="001C2470" w:rsidRDefault="00F17402" w:rsidP="001C2470">
      <w:pPr>
        <w:pStyle w:val="JuPara"/>
      </w:pPr>
      <w:fldSimple w:instr=" SEQ level0 \*arabic \* MERGEFORMAT ">
        <w:r w:rsidR="00E0027B">
          <w:rPr>
            <w:noProof/>
          </w:rPr>
          <w:t>42</w:t>
        </w:r>
      </w:fldSimple>
      <w:r w:rsidR="00DD77EF">
        <w:t>. La momentul faptelor, o „declarație privind drepturile și responsabilitățile” reglementa relațiile Facebook cu utilizatorii săi, utilizarea acestei rețele de socializare presupunând acceptarea declarației respective. În special, la punctul 2.4 se precizau următoarele informații: „atunci când publicați conținut sau informații folosind setarea «audiență generală», permiteți tuturor, inclusiv persoanelor care nu sunt utilizatori ai Facebook, să aibă acces la informațiile respective și să le utilizeze, dar și să le asocieze cu voi (numele și imaginea de profil)”. Declarația conținea de asemenea, la punctul 5.1, o clauză privind protecția drepturilor altora, care avea următorul cuprins: „nu veți posta niciun conținut și nu veți întreprinde nicio acțiune pe Facebook care încalcă drepturile sau contravine drepturilor altei persoane ori care încalcă legea în alt fel. ”</w:t>
      </w:r>
    </w:p>
    <w:p w14:paraId="02ED2509" w14:textId="08B5AE4C" w:rsidR="00920111" w:rsidRPr="001C2470" w:rsidRDefault="00F17402" w:rsidP="001C2470">
      <w:pPr>
        <w:pStyle w:val="JuPara"/>
      </w:pPr>
      <w:fldSimple w:instr=" SEQ level0 \*arabic \* MERGEFORMAT ">
        <w:r w:rsidR="00E0027B">
          <w:rPr>
            <w:noProof/>
          </w:rPr>
          <w:t>43</w:t>
        </w:r>
      </w:fldSimple>
      <w:r w:rsidR="00DD77EF">
        <w:t>. Punctul 5.2 prevedea că Facebook își rezerva dreptul de a elimina orice conținut și orice informație publicate în această rețea în cazul în care considera că acestea nu respectau Declarația sau politicile sale.</w:t>
      </w:r>
    </w:p>
    <w:p w14:paraId="5EB28BFB" w14:textId="77777777" w:rsidR="00920111" w:rsidRPr="001C2470" w:rsidRDefault="00F17402" w:rsidP="001C2470">
      <w:pPr>
        <w:pStyle w:val="JuPara"/>
      </w:pPr>
      <w:r>
        <w:t>În această „Declarație privind drepturile și responsabilitățile” nu se menționa nicio posibilitate de moderare a conținutului înainte de publicare.</w:t>
      </w:r>
    </w:p>
    <w:p w14:paraId="02B1017E" w14:textId="77777777" w:rsidR="00920111" w:rsidRPr="001C2470" w:rsidRDefault="00F17402" w:rsidP="001C2470">
      <w:pPr>
        <w:pStyle w:val="JuHHead"/>
      </w:pPr>
      <w:r>
        <w:t>ÎN DREPT</w:t>
      </w:r>
    </w:p>
    <w:p w14:paraId="5B92F911" w14:textId="77777777" w:rsidR="00920111" w:rsidRPr="001C2470" w:rsidRDefault="00F17402" w:rsidP="001C2470">
      <w:pPr>
        <w:pStyle w:val="JuHIRoman"/>
      </w:pPr>
      <w:r>
        <w:t>CU PRIVIRE LA PRETINSA ÎNCĂLCARE A ART. 10 DIN CONVENȚIE</w:t>
      </w:r>
    </w:p>
    <w:p w14:paraId="3069E728" w14:textId="271FE4E2" w:rsidR="00920111" w:rsidRPr="001C2470" w:rsidRDefault="001C2470" w:rsidP="001C2470">
      <w:pPr>
        <w:pStyle w:val="JuPara"/>
      </w:pPr>
      <w:fldSimple w:instr=" SEQ level0 \*arabic ">
        <w:r w:rsidR="00E0027B">
          <w:rPr>
            <w:noProof/>
          </w:rPr>
          <w:t>44</w:t>
        </w:r>
      </w:fldSimple>
      <w:r w:rsidR="00F17402">
        <w:t>. Reclamantul susține că, prin pronunțarea hotărârii de condamnare împotriva sa din cauza unor comentarii publicate atât de el, cât și de terți, pe pagina sa de Facebook, a fost încălcat art. 10, potrivit căruia:</w:t>
      </w:r>
    </w:p>
    <w:p w14:paraId="69D5BC2D" w14:textId="77777777" w:rsidR="00920111" w:rsidRPr="001C2470" w:rsidRDefault="00F17402" w:rsidP="001C2470">
      <w:pPr>
        <w:pStyle w:val="JuQuot"/>
      </w:pPr>
      <w:r>
        <w:t>„1. Orice persoană are dreptul la libertatea de exprimare. Acest drept cuprinde libertatea de opinie și libertatea de a primi sau de a comunica informații ori idei fără amestecul autorităților publice și fără a ține seama de frontiere. Prezentul articol nu împiedică statele să supună societățile de radiodifuziune, de cinematografie sau de televiziune unui regim de autorizare.</w:t>
      </w:r>
    </w:p>
    <w:p w14:paraId="47A0F199" w14:textId="77777777" w:rsidR="00920111" w:rsidRPr="001C2470" w:rsidRDefault="00F17402" w:rsidP="001C2470">
      <w:pPr>
        <w:pStyle w:val="JuQuot"/>
      </w:pPr>
      <w:r>
        <w:t>2. Exercitarea acestor libertăți ce comportă îndatoriri și responsabilități poate fi supusă unor formalități, condiții, restrângeri sau sancțiuni prevăzute de lege, care constituie măsuri necesare, într-o societate democratică, pentru securitatea națională, integritatea teritorială sau siguranța publică, apărarea ordinii și prevenirea infracțiunilor, protecția sănătății sau a moralei, protecția reputației sau a drepturilor altora, pentru a împiedica divulgarea de informații confidențiale sau pentru a garanta autoritatea și imparțialitatea puterii judecătorești. ”</w:t>
      </w:r>
    </w:p>
    <w:p w14:paraId="04615FF7" w14:textId="77777777" w:rsidR="00920111" w:rsidRPr="001C2470" w:rsidRDefault="00F17402" w:rsidP="001C2470">
      <w:pPr>
        <w:pStyle w:val="JuHA"/>
      </w:pPr>
      <w:r>
        <w:t>Cu privire la admisibilitate</w:t>
      </w:r>
    </w:p>
    <w:p w14:paraId="26AB30FE" w14:textId="47FC8B70" w:rsidR="00920111" w:rsidRPr="001C2470" w:rsidRDefault="001C2470" w:rsidP="001C2470">
      <w:pPr>
        <w:pStyle w:val="JuPara"/>
      </w:pPr>
      <w:fldSimple w:instr=" SEQ level0 \*arabic ">
        <w:r w:rsidR="00E0027B">
          <w:rPr>
            <w:noProof/>
          </w:rPr>
          <w:t>45</w:t>
        </w:r>
      </w:fldSimple>
      <w:r w:rsidR="00F17402">
        <w:t>. Constatând că acest capăt de cerere nu este în mod vădit nefondat și că nu prezintă niciun alt motiv de inadmisibilitate în sensul art. 35 din Convenție, Curtea îl declară admisibil.</w:t>
      </w:r>
    </w:p>
    <w:p w14:paraId="108344D6" w14:textId="77777777" w:rsidR="00920111" w:rsidRPr="001C2470" w:rsidRDefault="00F17402" w:rsidP="001C2470">
      <w:pPr>
        <w:pStyle w:val="JuHA"/>
      </w:pPr>
      <w:r>
        <w:t>Cu privire la fond</w:t>
      </w:r>
    </w:p>
    <w:p w14:paraId="16F480F0" w14:textId="77777777" w:rsidR="00920111" w:rsidRPr="001C2470" w:rsidRDefault="00F17402" w:rsidP="001C2470">
      <w:pPr>
        <w:pStyle w:val="JuH1"/>
      </w:pPr>
      <w:r>
        <w:t xml:space="preserve"> Argumentele părților</w:t>
      </w:r>
    </w:p>
    <w:p w14:paraId="3D033DB2" w14:textId="77777777" w:rsidR="00920111" w:rsidRPr="001C2470" w:rsidRDefault="00F17402" w:rsidP="001C2470">
      <w:pPr>
        <w:pStyle w:val="JuHa0"/>
      </w:pPr>
      <w:r>
        <w:t>Reclamantul</w:t>
      </w:r>
    </w:p>
    <w:p w14:paraId="4062AC95" w14:textId="230F751E" w:rsidR="00920111" w:rsidRPr="001C2470" w:rsidRDefault="001C2470" w:rsidP="001C2470">
      <w:pPr>
        <w:pStyle w:val="JuPara"/>
      </w:pPr>
      <w:fldSimple w:instr=" SEQ level0 \*arabic ">
        <w:r w:rsidR="00E0027B">
          <w:rPr>
            <w:noProof/>
          </w:rPr>
          <w:t>46</w:t>
        </w:r>
      </w:fldSimple>
      <w:r w:rsidR="00F17402">
        <w:t>. Reclamantul consideră că dreptul său garantat de art. 10 din Convenție a fost încălcat în două privințe.</w:t>
      </w:r>
    </w:p>
    <w:p w14:paraId="24839E95" w14:textId="299E98F0" w:rsidR="00920111" w:rsidRPr="001C2470" w:rsidRDefault="00F17402" w:rsidP="001C2470">
      <w:pPr>
        <w:pStyle w:val="JuPara"/>
      </w:pPr>
      <w:fldSimple w:instr=" SEQ level0 \*arabic \* MERGEFORMAT ">
        <w:r w:rsidR="00E0027B">
          <w:rPr>
            <w:noProof/>
          </w:rPr>
          <w:t>47</w:t>
        </w:r>
      </w:fldSimple>
      <w:r w:rsidR="00DD77EF">
        <w:t>. În primul rând, în ceea ce privește propriile declarații, susține că acestea constituie judecăți de valoare și că s-au bazat pe fapte și reproșează instanțelor că nu au examinat aceste două elemente și că nu au analizat, în special, dacă judecățile de valoare în cauză priveau chestiuni de interes public și dacă era necesar să le sancționeze într-o societate democratică.</w:t>
      </w:r>
    </w:p>
    <w:p w14:paraId="6867746C" w14:textId="69418937" w:rsidR="00920111" w:rsidRPr="001C2470" w:rsidRDefault="00F17402" w:rsidP="001C2470">
      <w:pPr>
        <w:pStyle w:val="JuPara"/>
      </w:pPr>
      <w:fldSimple w:instr=" SEQ level0 \*arabic \* MERGEFORMAT ">
        <w:r w:rsidR="00E0027B">
          <w:rPr>
            <w:noProof/>
          </w:rPr>
          <w:t>48</w:t>
        </w:r>
      </w:fldSimple>
      <w:r w:rsidR="00DD77EF">
        <w:t>. În al doilea rând, în opinia sa, soluția pronunțată împotriva sa pentru comentariile publicate de terți era lipsită de temei legal, întrucât dispozițiile de drept intern menționate de instanțe nu îndeplinesc criteriul previzibilității. El explică, în această privință, că răspunderea sa a fost stabilită nu pentru publicarea de către terți a comentariilor în litigiu pe pagina sa de Facebook, ci pentru menținerea comentariilor respective pe pagina sa „după introducerea acțiunii” și susține că obligația stabilită în sarcina sa, „de a șterge” comentariile în cauză, astfel cum a fost formulată, era vădit lipsită de temei legal, întrucât modul în care erau formulate dispozițiile interne invocate de Curtea de Apel nu îi permitea să cunoască faptul că era supus unei astfel de obligații de a șterge mesajele respective după ce a fost chemat în judecată.</w:t>
      </w:r>
    </w:p>
    <w:p w14:paraId="63EA3936" w14:textId="77777777" w:rsidR="00920111" w:rsidRPr="001C2470" w:rsidRDefault="00F17402" w:rsidP="001C2470">
      <w:pPr>
        <w:pStyle w:val="JuHi"/>
      </w:pPr>
      <w:r>
        <w:lastRenderedPageBreak/>
        <w:t>Cu privire la legalitatea stabilirii răspunderii pentru comentariile publicate de terți</w:t>
      </w:r>
    </w:p>
    <w:bookmarkStart w:id="27" w:name="paragraph0049"/>
    <w:p w14:paraId="2BA1AEA0" w14:textId="6C27F468"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r w:rsidR="00E0027B">
        <w:rPr>
          <w:noProof/>
        </w:rPr>
        <w:t>49</w:t>
      </w:r>
      <w:r w:rsidRPr="001C2470">
        <w:fldChar w:fldCharType="end"/>
      </w:r>
      <w:bookmarkEnd w:id="27"/>
      <w:r>
        <w:t>. Reclamantul susține că instanțele naționale s-au întemeiat pe art. 1.349 C. civ. (supra, pct. </w:t>
      </w:r>
      <w:r w:rsidRPr="001C2470">
        <w:fldChar w:fldCharType="begin"/>
      </w:r>
      <w:r w:rsidRPr="001C2470">
        <w:instrText xml:space="preserve"> REF paragraph00031 \h  \* CharFormat </w:instrText>
      </w:r>
      <w:r w:rsidRPr="001C2470">
        <w:fldChar w:fldCharType="separate"/>
      </w:r>
      <w:r w:rsidR="00E0027B">
        <w:t>32</w:t>
      </w:r>
      <w:r w:rsidRPr="001C2470">
        <w:fldChar w:fldCharType="end"/>
      </w:r>
      <w:r>
        <w:t>) pentru stabilirea răspunderii sale ca urmare a inacțiunii sale după introducerea acțiunii în justiție și apreciază că dispoziția respectivă nu îndeplinea cerințele previzibilității, întrucât nimic din textul acestei dispoziții sau din obiceiurile locului nu permitea să se ajungă la concluzia că exista o astfel de obligație. El argumentează că nici instanțele naționale nu au fost în măsură să îi impună o regulă de conduită coerentă, explicând că prima instanță a apreciat că, deși nu i se aplicau dispozițiile Legii audiovizualului nr. 504/2002, rolul său era similar celui al unui moderator de televiziune, în timp ce instanța de apel a considerat că nu era obligat să modereze, să monitorizeze sau chiar să șteargă comentariile terților pe măsură ce erau postate, dar că, în speță, el nu respectase obiceiul locului, și anume condițiile de utilizare ale rețelei Facebook (supra, pct. </w:t>
      </w:r>
      <w:r w:rsidRPr="001C2470">
        <w:fldChar w:fldCharType="begin"/>
      </w:r>
      <w:r w:rsidRPr="001C2470">
        <w:instrText xml:space="preserve"> REF paragraph00022 \h  \* CharFormat </w:instrText>
      </w:r>
      <w:r w:rsidRPr="001C2470">
        <w:fldChar w:fldCharType="separate"/>
      </w:r>
      <w:r w:rsidR="00E0027B">
        <w:t>22</w:t>
      </w:r>
      <w:r w:rsidRPr="001C2470">
        <w:fldChar w:fldCharType="end"/>
      </w:r>
      <w:r>
        <w:t>). Cu privire la acest aspect, el susține că în extrasele din documentul Facebook, citate în hotărâre, nu se menționa faptul că utilizatorii, odată notificați, erau obligați să șteargă comentariile terților, ci se indica doar că rețeaua de socializare avea dreptul să șteargă orice comentarii care îi erau raportate, în cazul în care considera că o astfel de acțiune era justificată. Reclamantul deduce de aici că instanța de apel a reținut, pe de o parte, că, în calitate de utilizator, el era asimilat Facebook, având astfel aceleași drepturi și obligații ca aceasta, și, pe de altă parte, că, întrucât, în speță, nu primise o notificare prealabilă din partea persoanelor vătămate, data notificării trebuia considerată ca fiind cea de la momentul introducerii acțiunii în justiție de către persoanele în cauză. Potrivit persoanei în cauză, o astfel de interpretare a art. 1.349 C. civ. ridică în sine o problemă în ceea ce privește previzibilitatea.</w:t>
      </w:r>
    </w:p>
    <w:p w14:paraId="74B4FA14" w14:textId="372754B9" w:rsidR="00920111" w:rsidRPr="001C2470" w:rsidRDefault="00F17402" w:rsidP="001C2470">
      <w:pPr>
        <w:pStyle w:val="JuPara"/>
      </w:pPr>
      <w:fldSimple w:instr=" SEQ level0 \*arabic \* MERGEFORMAT ">
        <w:r w:rsidR="00E0027B">
          <w:rPr>
            <w:noProof/>
          </w:rPr>
          <w:t>50</w:t>
        </w:r>
      </w:fldSimple>
      <w:r w:rsidR="00DD77EF">
        <w:t>. În continuare, reclamantul observă că respectivele comentarii denunțate, care erau încă vizibile pe Facebook la momentul formulării cererii de chemare în judecată împotriva sa, constituiau tocmai elemente de probă care au fost depuse la dosar și utilizate de instanțe pentru a se pronunța asupra cauzei sale. El arată că, din acest motiv, a considerat că, înainte de a le șterge, trebuia să aștepte ca o instanță să se pronunțe cu privire la legalitatea lor, pentru a nu fi acuzat de distrugerea probelor, și susține că s-a conformat pe deplin hotărârii judecătorești prin care s-a dispus ștergerea comentariilor după rămânerea definitivă a acesteia.</w:t>
      </w:r>
    </w:p>
    <w:p w14:paraId="5DEAB5D1" w14:textId="7C5A7466" w:rsidR="00920111" w:rsidRPr="001C2470" w:rsidRDefault="00F17402" w:rsidP="001C2470">
      <w:pPr>
        <w:pStyle w:val="JuPara"/>
      </w:pPr>
      <w:fldSimple w:instr=" SEQ level0 \*arabic \* MERGEFORMAT ">
        <w:r w:rsidR="00E0027B">
          <w:rPr>
            <w:noProof/>
          </w:rPr>
          <w:t>51</w:t>
        </w:r>
      </w:fldSimple>
      <w:r w:rsidR="00DD77EF">
        <w:t>. Reclamantul afirmă, de asemenea, că părțile vătămate I.I. și T.S. au prezentat numeroase documente și că instanța de apel a ales, pentru a verifica susținerile acestora, să consulte Facebook și comentariile postate acolo. Adaugă că instanța nu a găsit toate mesajele în litigiu, dar a reușit să le identifice pe unele dintre acestea și că a stabilit, pentru fiecare dintre ele, dacă erau sau nu licite.</w:t>
      </w:r>
    </w:p>
    <w:p w14:paraId="104E0A24" w14:textId="257BB2BD" w:rsidR="00920111" w:rsidRPr="001C2470" w:rsidRDefault="00F17402" w:rsidP="001C2470">
      <w:pPr>
        <w:pStyle w:val="JuPara"/>
      </w:pPr>
      <w:fldSimple w:instr=" SEQ level0 \*arabic \* MERGEFORMAT ">
        <w:r w:rsidR="00E0027B">
          <w:rPr>
            <w:noProof/>
          </w:rPr>
          <w:t>52</w:t>
        </w:r>
      </w:fldSimple>
      <w:r w:rsidR="00DD77EF">
        <w:t>. Reclamantul consideră că raționamentul Curții de Apel este ilogic din mai multe puncte de vedere. În primul rând, faptul că reclamantul nu a șters comentariile imediat după formularea cererii prin care a fost chemat în judecată în fața primei instanțe i-a permis instanței de apel să examineze apelul formulat de reclamant, având în vedere că instanța a admis în parte acest apel după ce a consultat pagina de Facebook a acestuia. În al doilea rând, fapta ilicită care îi era reproșată, și anume inacțiunea după chemarea sa în judecată, s-a produs după deschiderea procedurii care îl privea.</w:t>
      </w:r>
    </w:p>
    <w:p w14:paraId="1CE7BA2F" w14:textId="5C1BEF5D" w:rsidR="00920111" w:rsidRPr="001C2470" w:rsidRDefault="00F17402" w:rsidP="001C2470">
      <w:pPr>
        <w:pStyle w:val="JuPara"/>
      </w:pPr>
      <w:fldSimple w:instr=" SEQ level0 \*arabic \* MERGEFORMAT ">
        <w:r w:rsidR="00E0027B">
          <w:rPr>
            <w:noProof/>
          </w:rPr>
          <w:t>53</w:t>
        </w:r>
      </w:fldSimple>
      <w:r w:rsidR="00DD77EF">
        <w:t>. În plus, reclamantul afirmă că art. 253 C. civ. (supra, pct. </w:t>
      </w:r>
      <w:r w:rsidRPr="001C2470">
        <w:fldChar w:fldCharType="begin"/>
      </w:r>
      <w:r w:rsidRPr="001C2470">
        <w:instrText xml:space="preserve"> REF paragraph00033 \h  \* CharFormat </w:instrText>
      </w:r>
      <w:r w:rsidRPr="001C2470">
        <w:fldChar w:fldCharType="separate"/>
      </w:r>
      <w:r w:rsidR="00E0027B">
        <w:t>34</w:t>
      </w:r>
      <w:r w:rsidRPr="001C2470">
        <w:fldChar w:fldCharType="end"/>
      </w:r>
      <w:r w:rsidR="00DD77EF">
        <w:t xml:space="preserve">), care, în opinia lui, constituie o </w:t>
      </w:r>
      <w:r w:rsidR="00DD77EF">
        <w:rPr>
          <w:i/>
          <w:iCs/>
        </w:rPr>
        <w:t>lex specialis</w:t>
      </w:r>
      <w:r w:rsidR="00DD77EF">
        <w:t xml:space="preserve"> în ceea ce privește protecția reputației altora, prevede că, în cazul în care o persoană consideră că i-au fost încălcate drepturile personalității, precum dreptul la demnitate sau la reputație, aceasta are dreptul de a se adresa unei instanțe pentru a solicita încetarea faptei ilicite. El consideră că această dispoziție legală, spre deosebire de obligațiile cutumiare, pe care le califică drept prezumtive, invocate de instanțele judecătorești în prezenta cauză, este foarte clară și că revine instanței care se pronunță pe baza acestei norme să decidă dacă a fost încălcat dreptul la reputație al unei persoane și, în caz afirmativ, să dispună ștergerea conținutului care a determinat încălcarea.</w:t>
      </w:r>
    </w:p>
    <w:bookmarkStart w:id="28" w:name="paragraph00054"/>
    <w:p w14:paraId="00DE4BE9" w14:textId="3B558D93" w:rsidR="00920111" w:rsidRPr="001C2470" w:rsidRDefault="00F17402" w:rsidP="001C2470">
      <w:pPr>
        <w:pStyle w:val="JuPara"/>
      </w:pPr>
      <w:r w:rsidRPr="001C2470">
        <w:lastRenderedPageBreak/>
        <w:fldChar w:fldCharType="begin"/>
      </w:r>
      <w:r w:rsidRPr="001C2470">
        <w:instrText xml:space="preserve"> SEQ level0 \*arabic \* MERGEFORMAT </w:instrText>
      </w:r>
      <w:r w:rsidRPr="001C2470">
        <w:fldChar w:fldCharType="separate"/>
      </w:r>
      <w:r w:rsidR="00E0027B">
        <w:rPr>
          <w:noProof/>
        </w:rPr>
        <w:t>54</w:t>
      </w:r>
      <w:r w:rsidRPr="001C2470">
        <w:fldChar w:fldCharType="end"/>
      </w:r>
      <w:bookmarkEnd w:id="28"/>
      <w:r>
        <w:t xml:space="preserve">. În plus, reclamantul susține că, deși a menținut în totalitate decizia Curții de Apel, Curtea de Casație a dat o interpretare diferită acestei decizii în ceea ce privește regula de conduită a cărei încălcare i se imputa, făcând referire la cauza </w:t>
      </w:r>
      <w:r>
        <w:rPr>
          <w:i/>
        </w:rPr>
        <w:t>Delfi AS împotriva Estoniei</w:t>
      </w:r>
      <w:r>
        <w:t xml:space="preserve"> și considerând că, deși persoana în cauză nu era un furnizor de știri, aceasta era totuși un furnizor de servicii de conținut și, prin urmare, avea obligații similare cu cele ale platformei Facebook. În această privință, reclamantul subliniază că prestatorii de servicii din domeniul serviciilor electronice și obligațiile care le revin sunt definite de Legea nr. 365/2002 privind comerțul electronic (supra, pct. </w:t>
      </w:r>
      <w:r w:rsidRPr="001C2470">
        <w:fldChar w:fldCharType="begin"/>
      </w:r>
      <w:r w:rsidRPr="001C2470">
        <w:instrText xml:space="preserve"> REF paragraph00034 \h  \* CharFormat </w:instrText>
      </w:r>
      <w:r w:rsidRPr="001C2470">
        <w:fldChar w:fldCharType="separate"/>
      </w:r>
      <w:r w:rsidR="00E0027B">
        <w:t>35</w:t>
      </w:r>
      <w:r w:rsidRPr="001C2470">
        <w:fldChar w:fldCharType="end"/>
      </w:r>
      <w:r>
        <w:t>), care transpune Directiva 2000/31/CE a Parlamentului European și a Consiliului din 8 iunie 2000 privind anumite aspecte juridice ale serviciilor societății informaționale, în special ale comerțului electronic, pe piața internă (JO 2000, L 178, p. 1, „Directiva privind comerțul electronic”), și nu de norme cutumiare. El consideră, de asemenea, că o motivare contradictorie în ceea ce privește momentul în care se presupune că a fost săvârșită fapta ilicită a avut și Curtea de Casație. Cu privire la acest aspect, lămurește că instanța supremă a apreciat în primul rând, asemenea instanței de apel, că fapta ilicită consta în menținerea comentariilor terțelor persoane după data cererii de chemare în judecată, și nu în necenzurarea acestor comentarii după postarea lor, dar că, în plus, această instanță a apreciat că reclamantul avea obligația de a constata, la momentul publicării comentariilor, eventualul caracter denigrator al acestora, ceea ce implica, în opinia reclamantului, faptul că fapta ilicită se produsese deja la momentul sesizării instanței de către I.I. și T.S., și, în sfârșit, adaugă că instanța supremă a reținut, de asemenea, că un aspect relevant pentru stabilirea răspunderii sale îl reprezenta neștergerea comentariilor după publicarea lor.</w:t>
      </w:r>
    </w:p>
    <w:p w14:paraId="6B12CAE9" w14:textId="629E62A5" w:rsidR="00920111" w:rsidRPr="001C2470" w:rsidRDefault="00F17402" w:rsidP="001C2470">
      <w:pPr>
        <w:pStyle w:val="JuPara"/>
      </w:pPr>
      <w:fldSimple w:instr=" SEQ level0 \*arabic \* MERGEFORMAT ">
        <w:r w:rsidR="00E0027B">
          <w:rPr>
            <w:noProof/>
          </w:rPr>
          <w:t>55</w:t>
        </w:r>
      </w:fldSimple>
      <w:r w:rsidR="00DD77EF">
        <w:t xml:space="preserve">. Reclamantul susține, prin urmare, că, prin hotărârea judecătorească definitivă pronunțată în cauza sa, nici momentul în care ar fi săvârșit fapta ilicită imputată, nici regula de conduită pe care acesta ar fi încălcat-o nu au fost stabilite în mod clar, prima instanță indicând o lege prin analogie, instanța de apel la „obiceiul locului”, iar Curtea de Casație obiceiul locului în lumina legislației privind furnizorii de servicii electronice și a hotărârii Curții Europene a Drepturilor Omului în cauza </w:t>
      </w:r>
      <w:r w:rsidR="00DD77EF">
        <w:rPr>
          <w:i/>
          <w:iCs/>
        </w:rPr>
        <w:t>Delfi AS împotriva Estoniei</w:t>
      </w:r>
      <w:r w:rsidR="00DD77EF">
        <w:t>.</w:t>
      </w:r>
    </w:p>
    <w:p w14:paraId="4AFF3F5C" w14:textId="3E94AB78" w:rsidR="00920111" w:rsidRPr="001C2470" w:rsidRDefault="00F17402" w:rsidP="001C2470">
      <w:pPr>
        <w:pStyle w:val="JuPara"/>
      </w:pPr>
      <w:fldSimple w:instr=" SEQ level0 \*arabic \* MERGEFORMAT ">
        <w:r w:rsidR="00E0027B">
          <w:rPr>
            <w:noProof/>
          </w:rPr>
          <w:t>56</w:t>
        </w:r>
      </w:fldSimple>
      <w:r w:rsidR="00DD77EF">
        <w:t>. Persoana în cauză apreciază că o lege previzibilă este una care permite oricărei persoane să își ajusteze conduita și să fie conștientă de sancțiunile de care este pasibilă în cazul în care această conduită nu este conformă cu dispozițiile legale. Reclamantul consideră că, în cazul său particular, pretinsa obligație de a șterge comentariile terților, care îi revenea în calitate de utilizator al rețelei Facebook, ar fi trebuit să fie enunțată clar de o dispoziție legală sau un obicei al localului, pentru a-i permite să respecte art. 1.349 C. civ. (supra, pct. </w:t>
      </w:r>
      <w:r w:rsidRPr="001C2470">
        <w:fldChar w:fldCharType="begin"/>
      </w:r>
      <w:r w:rsidRPr="001C2470">
        <w:instrText xml:space="preserve"> REF paragraph00031 \h  \* CharFormat </w:instrText>
      </w:r>
      <w:r w:rsidRPr="001C2470">
        <w:fldChar w:fldCharType="separate"/>
      </w:r>
      <w:r w:rsidR="00E0027B">
        <w:t>32</w:t>
      </w:r>
      <w:r w:rsidRPr="001C2470">
        <w:fldChar w:fldCharType="end"/>
      </w:r>
      <w:r w:rsidR="00DD77EF">
        <w:t>).</w:t>
      </w:r>
    </w:p>
    <w:p w14:paraId="3D2E9566" w14:textId="6293CABF" w:rsidR="00920111" w:rsidRPr="001C2470" w:rsidRDefault="00F17402" w:rsidP="001C2470">
      <w:pPr>
        <w:pStyle w:val="JuPara"/>
      </w:pPr>
      <w:fldSimple w:instr=" SEQ level0 \*arabic \* MERGEFORMAT ">
        <w:r w:rsidR="00E0027B">
          <w:rPr>
            <w:noProof/>
          </w:rPr>
          <w:t>57</w:t>
        </w:r>
      </w:fldSimple>
      <w:r w:rsidR="00DD77EF">
        <w:t>. Cu privire la acest aspect, el afirmă că nu exista nicio dispoziție legală sau jurisprudență internă în temeiul căreia să fi putut prevedea că un utilizator Facebook putea fi considerat un furnizor de servicii electronice, căruia îi reveneau obligațiile unui furnizor de servicii, și nu cele ale unui utilizator al unui furnizor de servicii, având în vedere că, în opinia sa, în dreptul intern nu exista nicio normă care să îi permită să presupună că un utilizator ca el avea aceleași drepturi și obligații ca însuși furnizorul serviciilor utilizate. El susține că nici instanțele naționale, nici Guvernul nu au indicat dispoziții legale în această privință.</w:t>
      </w:r>
    </w:p>
    <w:p w14:paraId="3F262FE3" w14:textId="355B9E4C" w:rsidR="00920111" w:rsidRPr="001C2470" w:rsidRDefault="00F17402" w:rsidP="001C2470">
      <w:pPr>
        <w:pStyle w:val="JuPara"/>
      </w:pPr>
      <w:fldSimple w:instr=" SEQ level0 \*arabic \* MERGEFORMAT ">
        <w:r w:rsidR="00E0027B">
          <w:rPr>
            <w:noProof/>
          </w:rPr>
          <w:t>58</w:t>
        </w:r>
      </w:fldSimple>
      <w:r w:rsidR="00DD77EF">
        <w:t>. Reclamantul respinge argumentul Guvernului privind răspunderea sa în calitate de administrator al unui portal (infra, pct. </w:t>
      </w:r>
      <w:r w:rsidRPr="001C2470">
        <w:fldChar w:fldCharType="begin"/>
      </w:r>
      <w:r w:rsidRPr="001C2470">
        <w:instrText xml:space="preserve"> REF paragraph00085 \h </w:instrText>
      </w:r>
      <w:r w:rsidRPr="001C2470">
        <w:fldChar w:fldCharType="separate"/>
      </w:r>
      <w:r w:rsidR="00E0027B">
        <w:rPr>
          <w:noProof/>
        </w:rPr>
        <w:t>78</w:t>
      </w:r>
      <w:r w:rsidRPr="001C2470">
        <w:fldChar w:fldCharType="end"/>
      </w:r>
      <w:r w:rsidR="00DD77EF">
        <w:t>), susținând că nu gestiona un portal, ci doar utiliza un cont de Facebook, administrat de societatea cu același nume – în prezent Meta.</w:t>
      </w:r>
    </w:p>
    <w:p w14:paraId="3707FC65" w14:textId="7FE2BCCF" w:rsidR="00920111" w:rsidRPr="001C2470" w:rsidRDefault="00F17402" w:rsidP="001C2470">
      <w:pPr>
        <w:pStyle w:val="JuPara"/>
      </w:pPr>
      <w:r>
        <w:t xml:space="preserve">El afirmă că, făcând referire la cauza </w:t>
      </w:r>
      <w:r>
        <w:rPr>
          <w:i/>
          <w:iCs/>
        </w:rPr>
        <w:t>Delfi AS</w:t>
      </w:r>
      <w:r>
        <w:t>, Curtea de Casație a considerat totodată că, în prezenta cauză, nu era vorba despre un furnizor de știri. El adaugă că art. 1 din Legea nr. 365/2002 privind comerțul electronic (supra, pct. </w:t>
      </w:r>
      <w:r w:rsidRPr="001C2470">
        <w:fldChar w:fldCharType="begin"/>
      </w:r>
      <w:r w:rsidRPr="001C2470">
        <w:instrText xml:space="preserve"> REF paragraph00034 \h  \* CharFormat </w:instrText>
      </w:r>
      <w:r w:rsidRPr="001C2470">
        <w:fldChar w:fldCharType="separate"/>
      </w:r>
      <w:r w:rsidR="00E0027B">
        <w:t>35</w:t>
      </w:r>
      <w:r w:rsidRPr="001C2470">
        <w:fldChar w:fldCharType="end"/>
      </w:r>
      <w:r>
        <w:t>) definește prestatorii de servicii ca fiind orice persoană fizică sau juridică care furnizează un serviciu al societății informaționale în anumite condiții, susținând că nimic din această definiție nu îi permitea să prevadă că aceasta i s-ar aplica.</w:t>
      </w:r>
    </w:p>
    <w:p w14:paraId="486A7BDE" w14:textId="487FE549" w:rsidR="00920111" w:rsidRPr="001C2470" w:rsidRDefault="00F17402" w:rsidP="001C2470">
      <w:pPr>
        <w:pStyle w:val="JuPara"/>
      </w:pPr>
      <w:fldSimple w:instr=" SEQ level0 \*arabic \* MERGEFORMAT ">
        <w:r w:rsidR="00E0027B">
          <w:rPr>
            <w:noProof/>
          </w:rPr>
          <w:t>59</w:t>
        </w:r>
      </w:fldSimple>
      <w:r w:rsidR="00DD77EF">
        <w:t>. Potrivit reclamantului se poate considera că respectivele condiții de utilizare ale rețelei Facebook stabilesc reguli cutumiare pentru Facebook. Apreciază însă că acestea nu impuneau nicio obligație utilizatorilor rețelei de socializare în ceea ce privește comentariile terților, susținând că instanța de apel a realizat o aplicare prin analogie a drepturilor și a obligațiilor Facebook, întrucât nu a identificat nicio obligație explicită în această privință în condițiile de utilizare ale rețelei Facebook. Evident că o astfel de analiză prin analogie nu era previzibilă și nici instanța de apel, nici Guvernul nu a oferit vreo explicație în această privință. Admițând că instanța supremă a încercat să susțină această analogie invocând calitatea reclamantului de „furnizor de conținut”, care, în opinia acestuia, făcea referire la noțiunea de „furnizor de servicii ale societății informaționale”, în sensul Legii nr. 365/2002, reclamantul susține că o astfel de interpretare este contrară definiției furnizorilor de servicii enunțată de legea menționată.</w:t>
      </w:r>
    </w:p>
    <w:p w14:paraId="381ED0EF" w14:textId="6A87A328" w:rsidR="00920111" w:rsidRPr="001C2470" w:rsidRDefault="00F17402" w:rsidP="001C2470">
      <w:pPr>
        <w:pStyle w:val="JuPara"/>
      </w:pPr>
      <w:fldSimple w:instr=" SEQ level0 \*arabic \* MERGEFORMAT ">
        <w:r w:rsidR="00E0027B">
          <w:rPr>
            <w:noProof/>
          </w:rPr>
          <w:t>60</w:t>
        </w:r>
      </w:fldSimple>
      <w:r w:rsidR="00DD77EF">
        <w:t>. De asemenea, precizează că art. 1349 C. civ. (supra, pct. </w:t>
      </w:r>
      <w:r w:rsidRPr="001C2470">
        <w:fldChar w:fldCharType="begin"/>
      </w:r>
      <w:r w:rsidRPr="001C2470">
        <w:instrText xml:space="preserve"> REF paragraph00031 \h  \* CharFormat </w:instrText>
      </w:r>
      <w:r w:rsidRPr="001C2470">
        <w:fldChar w:fldCharType="separate"/>
      </w:r>
      <w:r w:rsidR="00E0027B">
        <w:t>32</w:t>
      </w:r>
      <w:r w:rsidRPr="001C2470">
        <w:fldChar w:fldCharType="end"/>
      </w:r>
      <w:r w:rsidR="00DD77EF">
        <w:t>) prevede două tipuri de răspundere civilă, și anume răspunderea pentru fapta proprie, reglementată de art. 1.357 (supra, pct. </w:t>
      </w:r>
      <w:r w:rsidRPr="001C2470">
        <w:fldChar w:fldCharType="begin"/>
      </w:r>
      <w:r w:rsidRPr="001C2470">
        <w:instrText xml:space="preserve"> REF paragraph00032 \h  \* CharFormat </w:instrText>
      </w:r>
      <w:r w:rsidRPr="001C2470">
        <w:fldChar w:fldCharType="separate"/>
      </w:r>
      <w:r w:rsidR="00E0027B">
        <w:t>33</w:t>
      </w:r>
      <w:r w:rsidRPr="001C2470">
        <w:fldChar w:fldCharType="end"/>
      </w:r>
      <w:r w:rsidR="00DD77EF">
        <w:t>), și răspunderea pentru fapta altuia, reglementată art. 1.372-1.374. El susține că, întrucât comentariile denigratoare au fost făcute de terțe persoane, putea să creadă în mod rezonabil, la momentul publicării comentariilor în litigiu, că răspunderea sa pentru aceste comentarii putea fi angajată doar dacă erau îndeplinite condițiile prevăzute la art. 1.372-1.374 și susține că nu aceasta era situația în speță, întrucât nu era îndeplinită cerința prevăzută de aceste dispoziții cu privire la existența unui raport juridic între el și terții care erau autorii comentariilor în litigiu. În consecință, apreciază că terțele persoane în cauză erau singurele responsabile pentru comentariile în litigiu.</w:t>
      </w:r>
    </w:p>
    <w:bookmarkStart w:id="29" w:name="paragraph0066"/>
    <w:p w14:paraId="11424023" w14:textId="47C58E5B"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r w:rsidR="00E0027B">
        <w:rPr>
          <w:noProof/>
        </w:rPr>
        <w:t>61</w:t>
      </w:r>
      <w:r w:rsidRPr="001C2470">
        <w:fldChar w:fldCharType="end"/>
      </w:r>
      <w:bookmarkEnd w:id="29"/>
      <w:r>
        <w:t>. Reclamantul concluzionează că nu poate să afirme, nici chiar la ora actuală, în lumina raționamentului Curții de Apel și al Curții de Casație, că, în lipsa unei notificări prealabile, un utilizator al platformei Facebook are obligația de a verifica și, eventual, de a șterge comentariile terților.</w:t>
      </w:r>
    </w:p>
    <w:bookmarkStart w:id="30" w:name="paragraph0067"/>
    <w:p w14:paraId="35A333FD" w14:textId="50C6E906"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r w:rsidR="00E0027B">
        <w:rPr>
          <w:noProof/>
        </w:rPr>
        <w:t>62</w:t>
      </w:r>
      <w:r w:rsidRPr="001C2470">
        <w:fldChar w:fldCharType="end"/>
      </w:r>
      <w:bookmarkEnd w:id="30"/>
      <w:r>
        <w:t>. Pentru toate motivele de mai sus, reclamantul susține că dispozițiile legale generale privind răspunderea civilă, în temeiul cărora s-a stabilit răspunderea sa, nu erau previzibile în circumstanțele speciale ale cauzei.</w:t>
      </w:r>
    </w:p>
    <w:p w14:paraId="510E505E" w14:textId="77777777" w:rsidR="00920111" w:rsidRPr="001C2470" w:rsidRDefault="00F17402" w:rsidP="001C2470">
      <w:pPr>
        <w:pStyle w:val="JuPara"/>
      </w:pPr>
      <w:r>
        <w:t>Argumentează, pe de o parte, că și jurnaliștii independenți au posibilitatea de a se angaja în schimburi de idei pe Facebook în calitate de persoane fizice și, pe de altă parte, că nu există nicio dispoziție și niciun obicei potrivit cărora jurnaliștii independenți care utilizează Facebook ar avea obligații diferite de cele ale altor utilizatori. În opinia lui, aceștia sunt simpli utilizatori ai platformei Facebook, și nu furnizori de servicii. În plus, adaugă că persoanele vătămate au contestat cu fermitate calitatea sa de jurnalist.</w:t>
      </w:r>
    </w:p>
    <w:p w14:paraId="2D2E0FB9" w14:textId="77777777" w:rsidR="00920111" w:rsidRPr="001C2470" w:rsidRDefault="00F17402" w:rsidP="001C2470">
      <w:pPr>
        <w:pStyle w:val="JuHi"/>
      </w:pPr>
      <w:r>
        <w:t>Cu privire la scopul legitim</w:t>
      </w:r>
    </w:p>
    <w:p w14:paraId="5B1E036C" w14:textId="47011E48" w:rsidR="00920111" w:rsidRPr="001C2470" w:rsidRDefault="00F17402" w:rsidP="001C2470">
      <w:pPr>
        <w:pStyle w:val="JuPara"/>
      </w:pPr>
      <w:fldSimple w:instr=" SEQ level0 \*arabic \* MERGEFORMAT ">
        <w:r w:rsidR="00E0027B">
          <w:rPr>
            <w:noProof/>
          </w:rPr>
          <w:t>63</w:t>
        </w:r>
      </w:fldSimple>
      <w:r w:rsidR="00DD77EF">
        <w:t>. Reclamantul nu contestă scopul urmărit de ingerință, și anume protecția drepturilor altora.</w:t>
      </w:r>
    </w:p>
    <w:p w14:paraId="2976308F" w14:textId="77777777" w:rsidR="00920111" w:rsidRPr="001C2470" w:rsidRDefault="00F17402" w:rsidP="001C2470">
      <w:pPr>
        <w:pStyle w:val="JuHi"/>
      </w:pPr>
      <w:r>
        <w:t>Cu privire la necesitatea ingerinței</w:t>
      </w:r>
    </w:p>
    <w:p w14:paraId="3631AE20" w14:textId="4DEC4FD5" w:rsidR="00920111" w:rsidRPr="001C2470" w:rsidRDefault="00F17402" w:rsidP="001C2470">
      <w:pPr>
        <w:pStyle w:val="JuPara"/>
      </w:pPr>
      <w:fldSimple w:instr=" SEQ level0 \*arabic \* MERGEFORMAT ">
        <w:r w:rsidR="00E0027B">
          <w:rPr>
            <w:noProof/>
          </w:rPr>
          <w:t>64</w:t>
        </w:r>
      </w:fldSimple>
      <w:r w:rsidR="00DD77EF">
        <w:t>. Cu toate acestea, el consideră că stabilirea răspunderii sale atât pentru cele patru postări publicate de el, cât și pentru neștergerea, ulterior formulării cererii prin care a fost chemat în judecată, a comentariilor în litigiu postate de terți nu era necesară într-o societate democratică. În această privință, susține că instanțele naționale nu au furnizat motive relevante și suficiente pentru a justifica existența unei nevoi sociale imperioase de a-l sancționa și, în plus, în opinia lui, cuantumul despăgubirilor civile pe care a fost obligat să le plătească este excesiv. De aici deduce că ingerința era disproporționată în raport cu scopul legitim urmărit.</w:t>
      </w:r>
    </w:p>
    <w:p w14:paraId="2AF1C2BD" w14:textId="42A9D7E7" w:rsidR="00920111" w:rsidRPr="001C2470" w:rsidRDefault="00F17402" w:rsidP="001C2470">
      <w:pPr>
        <w:pStyle w:val="JuPara"/>
      </w:pPr>
      <w:fldSimple w:instr=" SEQ level0 \*arabic \* MERGEFORMAT ">
        <w:r w:rsidR="00E0027B">
          <w:rPr>
            <w:noProof/>
          </w:rPr>
          <w:t>65</w:t>
        </w:r>
      </w:fldSimple>
      <w:r w:rsidR="00DD77EF">
        <w:t xml:space="preserve">. În ceea ce privește comentariile pe care le-a făcut el însuși, reclamantul afirmă că prima instanță nu a analizat cele patru mesaje în cauză, considerând că era mai puțin important să se </w:t>
      </w:r>
      <w:r w:rsidR="00DD77EF">
        <w:lastRenderedPageBreak/>
        <w:t>stabilească cine era autorul comentariilor și să fie identificate cu exactitate comentariile reprobabile. El adaugă că instanța de apel a considerat că mai multe dintre mesajele publicate, care au dus la pronunțarea de către prima instanță a unei soluții împotriva sa, se încadrau în limitele libertății de exprimare și că numai patru dintre ele depășeau această limită. Cu toate acestea, Curtea de Apel nu a examinat nici dacă aceste comentarii constituiau judecăți de valoare și nici dacă erau de natură să contribuie la o dezbatere, în pofida faptului că aceste aspecte au fost abordate de reclamant în cadrul pledoariei sale, instanța de apel întemeindu-se pe jurisprudența Curții Europene.</w:t>
      </w:r>
    </w:p>
    <w:p w14:paraId="17C8A095" w14:textId="320C66EC" w:rsidR="00920111" w:rsidRPr="001C2470" w:rsidRDefault="00F17402" w:rsidP="001C2470">
      <w:pPr>
        <w:pStyle w:val="JuPara"/>
      </w:pPr>
      <w:fldSimple w:instr=" SEQ level0 \*arabic \* MERGEFORMAT ">
        <w:r w:rsidR="00E0027B">
          <w:rPr>
            <w:noProof/>
          </w:rPr>
          <w:t>66</w:t>
        </w:r>
      </w:fldSimple>
      <w:r w:rsidR="00DD77EF">
        <w:t>. În ceea ce privește primul comentariu reținut de instanța de apel, și anume „ciubucari prin parcuri”, reclamantul afirmă că a explicat instanțelor naționale că era vorba despre o aluzie la un concert susținut de soprana I.I. într‐un parc și că, astfel, dorea să critice activitățile accesorii ale anumitor cântăreți de operă, care, în opinia sa, erau incompatibile cu activitatea acestora în calitate de angajați ai unei instituții publice. Instanțele naționale nu au analizat nici baza factuală a criticii în cauză, nici pretinsa contribuție a acesteia la dezbaterea publică privind activitățile desfășurate de soliștii Operei Naționale.</w:t>
      </w:r>
    </w:p>
    <w:p w14:paraId="06C53864" w14:textId="4E994064" w:rsidR="00920111" w:rsidRPr="001C2470" w:rsidRDefault="00F17402" w:rsidP="001C2470">
      <w:pPr>
        <w:pStyle w:val="JuPara"/>
      </w:pPr>
      <w:fldSimple w:instr=" SEQ level0 \*arabic \* MERGEFORMAT ">
        <w:r w:rsidR="00E0027B">
          <w:rPr>
            <w:noProof/>
          </w:rPr>
          <w:t>67</w:t>
        </w:r>
      </w:fldSimple>
      <w:r w:rsidR="00DD77EF">
        <w:t>. În ceea ce privește comentariile „armată de maimuțe naționaliste” și „400 de cimpanzei care au învățat să se semneze”, acesta susține că instanțele naționale au considerat pur și simplu că acestea erau indecente întrucât conțineau referiri la animale. Astfel, reclamantul apreciază că instanța de apel nu a pus în niciun fel în balanță dreptul la libertatea de exprimare și dreptul la respectarea vieții private, presupunând că acest din urmă drept prevala asupra celui dintâi. În ceea ce privește în special expresia „400 de cimpanzei”, reclamantul susține că a furnizat de asemenea, în susținerea apelului său, atât elemente de probă, cât și contextul în care au fost făcute aceste afirmații. Curtea de apel nu a răspuns la argumentele sale, limitându-se să declare că afirmațiile în cauză nu puteau fi considerate ca făcând referire la un grup de persoane, întrucât cei doi reclamanți se puteau identifica în context ca fiind parte din acest grup.</w:t>
      </w:r>
    </w:p>
    <w:p w14:paraId="57111A03" w14:textId="3D61D945" w:rsidR="00920111" w:rsidRPr="001C2470" w:rsidRDefault="00F17402" w:rsidP="001C2470">
      <w:pPr>
        <w:pStyle w:val="JuPara"/>
      </w:pPr>
      <w:fldSimple w:instr=" SEQ level0 \*arabic \* MERGEFORMAT ">
        <w:r w:rsidR="00E0027B">
          <w:rPr>
            <w:noProof/>
          </w:rPr>
          <w:t>68</w:t>
        </w:r>
      </w:fldSimple>
      <w:r w:rsidR="00DD77EF">
        <w:t>. Reclamantul reamintește de asemenea că scandalul izbucnit la Operă în luna aprilie 2016 privea soarta artiștilor străini ai acestei instituții (supra, pct. </w:t>
      </w:r>
      <w:r w:rsidRPr="001C2470">
        <w:fldChar w:fldCharType="begin"/>
      </w:r>
      <w:r w:rsidRPr="001C2470">
        <w:instrText xml:space="preserve"> REF paragraph00005 \h  \* CharFormat </w:instrText>
      </w:r>
      <w:r w:rsidRPr="001C2470">
        <w:fldChar w:fldCharType="separate"/>
      </w:r>
      <w:r w:rsidR="00E0027B">
        <w:t>5</w:t>
      </w:r>
      <w:r w:rsidRPr="001C2470">
        <w:fldChar w:fldCharType="end"/>
      </w:r>
      <w:r w:rsidR="00DD77EF">
        <w:t>), că I.I. și T.S. participaseră, împreună, la demonstrații organizate împotriva artiștilor în cauză, în cadrul cărora fuseseră scandate sloganuri precum „afară cu străinii!” și că protestatarii luaseră de asemenea inițiativa de a strânge patru sute de semnături împotriva acestor artiști. El menționează că acest context, marcat de aspecte naționaliste și xenofobe, a fost explicat pe larg în fața fiecăreia dintre instanțele naționale sesizate cu cauza și susține că judecățile de valoare pe care le-a formulat în legătură cu conotația naționalistă și xenofobă a protestelor anumitor artiști români, printre care I.I. și T.S., împotriva artiștilor străini angajați la Operă erau întemeiate pe suficiente fapte și că era vorba despre o chestiune de interes public. Acesta apreciază că același lucru este valabil și în ceea ce privește utilizarea termenului „xenofob” pentru a le descrie pe părțile reclamante în procedura internă, susținând, în această privință, că instanța de apel a menționat acest termen doar în dispozitivul deciziei sale, dar nu și în motivarea acesteia.</w:t>
      </w:r>
    </w:p>
    <w:p w14:paraId="461FBC15" w14:textId="4B2D4DC9" w:rsidR="00920111" w:rsidRPr="001C2470" w:rsidRDefault="00F17402" w:rsidP="001C2470">
      <w:pPr>
        <w:pStyle w:val="JuPara"/>
      </w:pPr>
      <w:fldSimple w:instr=" SEQ level0 \*arabic \* MERGEFORMAT ">
        <w:r w:rsidR="00E0027B">
          <w:rPr>
            <w:noProof/>
          </w:rPr>
          <w:t>69</w:t>
        </w:r>
      </w:fldSimple>
      <w:r w:rsidR="00DD77EF">
        <w:t xml:space="preserve">. Reclamantul susține că nu poate fi asimilat unui furnizor de servicii sau unui portal de știri, contrar celor reținute de Curtea de Casație în temeiul hotărârii Curții Europene în cauza </w:t>
      </w:r>
      <w:r w:rsidR="00DD77EF">
        <w:rPr>
          <w:i/>
          <w:iCs/>
        </w:rPr>
        <w:t>Delfi AS</w:t>
      </w:r>
      <w:r w:rsidR="00DD77EF">
        <w:t xml:space="preserve"> (supra, pct. </w:t>
      </w:r>
      <w:r w:rsidRPr="001C2470">
        <w:fldChar w:fldCharType="begin"/>
      </w:r>
      <w:r w:rsidRPr="001C2470">
        <w:instrText xml:space="preserve"> REF paragraph00026 \h  \* CharFormat </w:instrText>
      </w:r>
      <w:r w:rsidRPr="001C2470">
        <w:fldChar w:fldCharType="separate"/>
      </w:r>
      <w:r w:rsidR="00E0027B">
        <w:t>26</w:t>
      </w:r>
      <w:r w:rsidRPr="001C2470">
        <w:fldChar w:fldCharType="end"/>
      </w:r>
      <w:r w:rsidR="00DD77EF">
        <w:t xml:space="preserve">). El explică, cu privire la acest aspect, că instanța europeană a ținut seama de faptul că Delfi era „un portal internet de știri operat în mod profesionist în cadrul unei activități comerciale, având scopul de a strânge un număr mare de comentarii la știrile pe care le public[a]” și observă, pe de altă parte, că, spre deosebire de situația lui în speță, acest portal de știri fusese informat în prealabil cu privire la comentariile terților. Deduce de aici că aplicarea în prezenta cauză a principiilor enunțate în hotărârea </w:t>
      </w:r>
      <w:r w:rsidR="00DD77EF">
        <w:rPr>
          <w:i/>
          <w:iCs/>
        </w:rPr>
        <w:t>Delfi</w:t>
      </w:r>
      <w:r w:rsidR="00DD77EF">
        <w:t xml:space="preserve"> a fost total neadecvată și că, prin urmare, nu se poate considera că ingerința în exercitarea dreptului său a fost justificată de un motiv pertinent.</w:t>
      </w:r>
    </w:p>
    <w:p w14:paraId="4A7F470C" w14:textId="40BA3FCF" w:rsidR="00920111" w:rsidRPr="001C2470" w:rsidRDefault="00F17402" w:rsidP="001C2470">
      <w:pPr>
        <w:pStyle w:val="JuPara"/>
      </w:pPr>
      <w:fldSimple w:instr=" SEQ level0 \*arabic \* MERGEFORMAT ">
        <w:r w:rsidR="00E0027B">
          <w:rPr>
            <w:noProof/>
          </w:rPr>
          <w:t>70</w:t>
        </w:r>
      </w:fldSimple>
      <w:r w:rsidR="00DD77EF">
        <w:t>. În ceea ce privește comentariile în litigiu formulate de terți, reclamantul consideră de asemenea că ingerința nu era proporțională.</w:t>
      </w:r>
    </w:p>
    <w:p w14:paraId="0FD573E6" w14:textId="77777777" w:rsidR="00920111" w:rsidRPr="001C2470" w:rsidRDefault="00F17402" w:rsidP="001C2470">
      <w:pPr>
        <w:pStyle w:val="JuHa0"/>
      </w:pPr>
      <w:r>
        <w:t>Guvernul</w:t>
      </w:r>
    </w:p>
    <w:bookmarkStart w:id="31" w:name="paragraph0082"/>
    <w:p w14:paraId="0ACBFE8C" w14:textId="4859A873" w:rsidR="00920111" w:rsidRPr="001C2470" w:rsidRDefault="00F17402" w:rsidP="001C2470">
      <w:pPr>
        <w:pStyle w:val="JuPara"/>
      </w:pPr>
      <w:r w:rsidRPr="001C2470">
        <w:fldChar w:fldCharType="begin"/>
      </w:r>
      <w:r w:rsidRPr="001C2470">
        <w:instrText xml:space="preserve"> SEQ level0 \*arabic </w:instrText>
      </w:r>
      <w:r w:rsidRPr="001C2470">
        <w:fldChar w:fldCharType="separate"/>
      </w:r>
      <w:r w:rsidR="00E0027B">
        <w:rPr>
          <w:noProof/>
        </w:rPr>
        <w:t>71</w:t>
      </w:r>
      <w:r w:rsidRPr="001C2470">
        <w:fldChar w:fldCharType="end"/>
      </w:r>
      <w:bookmarkEnd w:id="31"/>
      <w:r>
        <w:t>. Guvernul nu contestă faptul că decizia Curții de Casație, care a confirmat decizia Curții de Apel, constituie o ingerință în exercitarea de către reclamant a dreptului la libertatea de exprimare și în special în exercitarea dreptului său de a comunica informații. Totuși, consideră că această ingerință era „prevăzută de lege”, urmărea un „scop legitim” și era necesară într-o societate democratică, în sensul art. 10 § 2 din Convenție.</w:t>
      </w:r>
    </w:p>
    <w:p w14:paraId="4EF0F8FB" w14:textId="5F142BD9" w:rsidR="00920111" w:rsidRPr="001C2470" w:rsidRDefault="00F17402" w:rsidP="001C2470">
      <w:pPr>
        <w:pStyle w:val="JuPara"/>
      </w:pPr>
      <w:fldSimple w:instr=" SEQ level0 \*arabic \* MERGEFORMAT ">
        <w:r w:rsidR="00E0027B">
          <w:rPr>
            <w:noProof/>
          </w:rPr>
          <w:t>72</w:t>
        </w:r>
      </w:fldSimple>
      <w:r w:rsidR="00DD77EF">
        <w:t>. În opinia sa, ingerința, atât în ceea ce privește comentariile reclamantului, cât și în ceea ce privește comentariile terțelor persoane, era prevăzută, astfel cum au precizat persoanele vătămate în fața instanțelor naționale, la art. 72-74, 1.349, 1.357 și 1.358 C. civ. (supra, pct. </w:t>
      </w:r>
      <w:r w:rsidRPr="001C2470">
        <w:fldChar w:fldCharType="begin"/>
      </w:r>
      <w:r w:rsidRPr="001C2470">
        <w:instrText xml:space="preserve"> REF paragraph00030 \h </w:instrText>
      </w:r>
      <w:r w:rsidRPr="001C2470">
        <w:fldChar w:fldCharType="separate"/>
      </w:r>
      <w:r w:rsidR="00E0027B">
        <w:rPr>
          <w:noProof/>
        </w:rPr>
        <w:t>30</w:t>
      </w:r>
      <w:r w:rsidRPr="001C2470">
        <w:fldChar w:fldCharType="end"/>
      </w:r>
      <w:r w:rsidR="00DD77EF">
        <w:t xml:space="preserve">, </w:t>
      </w:r>
      <w:r w:rsidRPr="001C2470">
        <w:fldChar w:fldCharType="begin"/>
      </w:r>
      <w:r w:rsidRPr="001C2470">
        <w:instrText xml:space="preserve"> REF paragraph00031 \h  \* CharFormat </w:instrText>
      </w:r>
      <w:r w:rsidRPr="001C2470">
        <w:fldChar w:fldCharType="separate"/>
      </w:r>
      <w:r w:rsidR="00E0027B">
        <w:t>32</w:t>
      </w:r>
      <w:r w:rsidRPr="001C2470">
        <w:fldChar w:fldCharType="end"/>
      </w:r>
      <w:r w:rsidR="00DD77EF">
        <w:t xml:space="preserve"> și </w:t>
      </w:r>
      <w:r w:rsidRPr="001C2470">
        <w:fldChar w:fldCharType="begin"/>
      </w:r>
      <w:r w:rsidRPr="001C2470">
        <w:instrText xml:space="preserve"> REF paragraph00032 \h  \* CharFormat </w:instrText>
      </w:r>
      <w:r w:rsidRPr="001C2470">
        <w:fldChar w:fldCharType="separate"/>
      </w:r>
      <w:r w:rsidR="00E0027B">
        <w:t>33</w:t>
      </w:r>
      <w:r w:rsidRPr="001C2470">
        <w:fldChar w:fldCharType="end"/>
      </w:r>
      <w:r w:rsidR="00DD77EF">
        <w:t>), referitoare la răspunderea civilă delictuală, care interzic orice atingere adusă onoarei și reputației unei persoane. Acesta consideră că dispozițiile în cauză sunt accesibile tuturor și că sunt redactate în termeni suficient de preciși pentru a permite oricărei persoane să își ajusteze conduita. Acesta adaugă că articolul 30 din Constituție (supra, pct. 29) prevede că libertatea de exprimare nu poate prejudicia demnitatea, onoarea, viața particulară a persoanei și nici dreptul la propria imagine.</w:t>
      </w:r>
    </w:p>
    <w:bookmarkStart w:id="32" w:name="paragraph0083"/>
    <w:p w14:paraId="0D8C90E6" w14:textId="53B614D3"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r w:rsidR="00E0027B">
        <w:rPr>
          <w:noProof/>
        </w:rPr>
        <w:t>73</w:t>
      </w:r>
      <w:r w:rsidRPr="001C2470">
        <w:fldChar w:fldCharType="end"/>
      </w:r>
      <w:bookmarkEnd w:id="32"/>
      <w:r>
        <w:t>. Făcând referire în mod specific la comentariile făcute de terțe persoane pe pagina de Facebook a reclamantului și admițând, în plus, că nu există o altă cauză internă similară prezentei cauze, Guvernul invocă această împrejurare pentru a susține că teza reclamantului, potrivit căreia răspunderea lui nu poate fi angajată pentru mesaje publicate de terțe persoane pe portalul său de Internet, nu este susținută de nicio jurisprudență internă. Prin urmare, Guvernul argumentează că nimic nu îi permitea reclamantului să presupună că, întrucât comentariile denunțate se încadrau în contextul noilor mijloace de comunicare, în speță Internetul, acesta nu putea fi considerat răspunzător pentru comentariile postate de terți. Potrivit statului pârât, acest lucru este valabil cu atât mai mult cu cât aplicarea de către Curtea de Casație a acestor dispoziții legale în prezenta cauză, cu respectarea cerințelor de accesibilitate și previzibilitate definite de jurisprudența Curții (</w:t>
      </w:r>
      <w:bookmarkStart w:id="33" w:name="_cl18830"/>
      <w:r>
        <w:t xml:space="preserve">Guvernul citează, în această privință, </w:t>
      </w:r>
      <w:r>
        <w:rPr>
          <w:i/>
        </w:rPr>
        <w:t>VgT Verein gegen Tierfabriken împotriva Elveției</w:t>
      </w:r>
      <w:bookmarkEnd w:id="33"/>
      <w:r>
        <w:t xml:space="preserve">, nr. 24699/94, pct. 52, CEDO 2001-VI; </w:t>
      </w:r>
      <w:bookmarkStart w:id="34" w:name="_cl15255"/>
      <w:r>
        <w:rPr>
          <w:i/>
        </w:rPr>
        <w:t>Rotaru împotriva României</w:t>
      </w:r>
      <w:bookmarkEnd w:id="34"/>
      <w:r>
        <w:t xml:space="preserve"> (MC), nr. 28341/95, pct. 52, CEDO 2000-V, și </w:t>
      </w:r>
      <w:bookmarkStart w:id="35" w:name="_cl10915"/>
      <w:r>
        <w:rPr>
          <w:i/>
        </w:rPr>
        <w:t>Maestri împotriva Italiei</w:t>
      </w:r>
      <w:bookmarkEnd w:id="35"/>
      <w:r>
        <w:t> (MC), nr. 39748/98, pct. 30, CEDO 2004-I], era previzibilă în sensul art. 10 § 2 din Convenție.</w:t>
      </w:r>
    </w:p>
    <w:p w14:paraId="649F879E" w14:textId="434F46AB" w:rsidR="00920111" w:rsidRPr="001C2470" w:rsidRDefault="00F17402" w:rsidP="001C2470">
      <w:pPr>
        <w:pStyle w:val="JuPara"/>
      </w:pPr>
      <w:fldSimple w:instr=" SEQ level0 \*arabic \* MERGEFORMAT ">
        <w:r w:rsidR="00E0027B">
          <w:rPr>
            <w:noProof/>
          </w:rPr>
          <w:t>74</w:t>
        </w:r>
      </w:fldSimple>
      <w:r w:rsidR="00DD77EF">
        <w:t>. Făcând referire la comentariile terților, Guvernul susține în continuare că ingerința a urmărit cel puțin unul dintre scopurile legitime menționate la art. 10 din Convenție, și anume „protecția reputației sau a drepturilor altora”.</w:t>
      </w:r>
    </w:p>
    <w:p w14:paraId="57229DDA" w14:textId="77777777" w:rsidR="00920111" w:rsidRPr="001C2470" w:rsidRDefault="00F17402" w:rsidP="001C2470">
      <w:pPr>
        <w:pStyle w:val="JuHi"/>
      </w:pPr>
      <w:r>
        <w:t>Cu privire la necesitatea ingerința în ceea ce privește comentariile reclamantului</w:t>
      </w:r>
    </w:p>
    <w:p w14:paraId="660E8BC9" w14:textId="7EA6B71E" w:rsidR="00920111" w:rsidRPr="001C2470" w:rsidRDefault="00F17402" w:rsidP="001C2470">
      <w:pPr>
        <w:pStyle w:val="JuPara"/>
      </w:pPr>
      <w:fldSimple w:instr=" SEQ level0 \*arabic \* MERGEFORMAT ">
        <w:r w:rsidR="00E0027B">
          <w:rPr>
            <w:noProof/>
          </w:rPr>
          <w:t>75</w:t>
        </w:r>
      </w:fldSimple>
      <w:r w:rsidR="00DD77EF">
        <w:t>. Guvernul subliniază că instanțele naționale au precizat că nu găseau nimic decent în unele dintre exprimările reclamantului, pe care le considerau ilicite, inclusiv din perspectiva discrepanței între aceste expresii „care nu ar trebui să conțină referințe zoologice sau alte derapaje de limbaj” și „mediul elevat al operei și al iubitorilor de operă” (supra, pct. </w:t>
      </w:r>
      <w:r w:rsidRPr="001C2470">
        <w:fldChar w:fldCharType="begin"/>
      </w:r>
      <w:r w:rsidRPr="001C2470">
        <w:instrText xml:space="preserve"> REF paragraph00019 \h  \* CharFormat </w:instrText>
      </w:r>
      <w:r w:rsidRPr="001C2470">
        <w:fldChar w:fldCharType="separate"/>
      </w:r>
      <w:r w:rsidR="00E0027B">
        <w:t>19</w:t>
      </w:r>
      <w:r w:rsidRPr="001C2470">
        <w:fldChar w:fldCharType="end"/>
      </w:r>
      <w:r w:rsidR="00DD77EF">
        <w:t>). În plus, instanțele naționale au statuat că aceste afirmații au fost făcute în lipsa oricărei baze factuale în privința anumitor fapte referitoare la angajații Operei, prin utilizarea unor termeni tendențioși și ofensatori, de natură să inducă opiniei publice ideea că persoanele respective aveau o conduită necorespunzătoare.</w:t>
      </w:r>
    </w:p>
    <w:p w14:paraId="571584D2" w14:textId="044C9B8E" w:rsidR="00920111" w:rsidRPr="001C2470" w:rsidRDefault="00F17402" w:rsidP="001C2470">
      <w:pPr>
        <w:pStyle w:val="JuPara"/>
      </w:pPr>
      <w:fldSimple w:instr=" SEQ level0 \*arabic \* MERGEFORMAT ">
        <w:r w:rsidR="00E0027B">
          <w:rPr>
            <w:noProof/>
          </w:rPr>
          <w:t>76</w:t>
        </w:r>
      </w:fldSimple>
      <w:r w:rsidR="00DD77EF">
        <w:t>. Decizia din 11 martie 2019 a Curții de Apel București (supra, pct. </w:t>
      </w:r>
      <w:r w:rsidRPr="001C2470">
        <w:fldChar w:fldCharType="begin"/>
      </w:r>
      <w:r w:rsidRPr="001C2470">
        <w:instrText xml:space="preserve"> REF paragraph00014 \h  \* CharFormat </w:instrText>
      </w:r>
      <w:r w:rsidRPr="001C2470">
        <w:fldChar w:fldCharType="separate"/>
      </w:r>
      <w:r w:rsidR="00E0027B">
        <w:t>14</w:t>
      </w:r>
      <w:r w:rsidRPr="001C2470">
        <w:fldChar w:fldCharType="end"/>
      </w:r>
      <w:r w:rsidR="00DD77EF">
        <w:t>-</w:t>
      </w:r>
      <w:r w:rsidRPr="001C2470">
        <w:fldChar w:fldCharType="begin"/>
      </w:r>
      <w:r w:rsidRPr="001C2470">
        <w:instrText xml:space="preserve"> REF paragraph00024 \h  \* CharFormat </w:instrText>
      </w:r>
      <w:r w:rsidRPr="001C2470">
        <w:fldChar w:fldCharType="separate"/>
      </w:r>
      <w:r w:rsidR="00E0027B">
        <w:t>24</w:t>
      </w:r>
      <w:r w:rsidRPr="001C2470">
        <w:fldChar w:fldCharType="end"/>
      </w:r>
      <w:r w:rsidR="00DD77EF">
        <w:t>) a fost motivată corespunzător, iar instanța a efectuat o analiză detaliată a expresiilor postate de reclamant pe pagina sa de Facebook și considerate ilicite.</w:t>
      </w:r>
    </w:p>
    <w:p w14:paraId="6F954E38" w14:textId="5D658643" w:rsidR="00920111" w:rsidRPr="001C2470" w:rsidRDefault="00F17402" w:rsidP="001C2470">
      <w:pPr>
        <w:pStyle w:val="JuPara"/>
      </w:pPr>
      <w:fldSimple w:instr=" SEQ level0 \*arabic \* MERGEFORMAT ">
        <w:r w:rsidR="00E0027B">
          <w:rPr>
            <w:noProof/>
          </w:rPr>
          <w:t>77</w:t>
        </w:r>
      </w:fldSimple>
      <w:r w:rsidR="00DD77EF">
        <w:t>. În sfârșit, ingerința a fost proporțională cu scopul urmărit, întrucât suma de 2 400 EUR, pe care reclamantul a fost obligat să o plătească persoanelor vătămate, cu titlu de despăgubire pentru prejudiciul moral suferit de acestea, nu poate fi considerată disproporționată în raport cu încălcarea gravă a drepturilor personalității, constatată de instanțele naționale.</w:t>
      </w:r>
    </w:p>
    <w:p w14:paraId="4DE6A3B1" w14:textId="77777777" w:rsidR="00920111" w:rsidRPr="001C2470" w:rsidRDefault="00F17402" w:rsidP="001C2470">
      <w:pPr>
        <w:pStyle w:val="JuHi"/>
      </w:pPr>
      <w:r>
        <w:t>Cu privire la necesitatea ingerinței în ceea ce privește comentariile postate de terțe persoane</w:t>
      </w:r>
    </w:p>
    <w:bookmarkStart w:id="36" w:name="paragraph00085"/>
    <w:p w14:paraId="2422A621" w14:textId="44A9D45D"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bookmarkStart w:id="37" w:name="paragraph00084"/>
      <w:r w:rsidR="00E0027B">
        <w:rPr>
          <w:noProof/>
        </w:rPr>
        <w:t>78</w:t>
      </w:r>
      <w:bookmarkEnd w:id="37"/>
      <w:r w:rsidRPr="001C2470">
        <w:fldChar w:fldCharType="end"/>
      </w:r>
      <w:bookmarkEnd w:id="36"/>
      <w:r>
        <w:t>. Guvernul consideră că respectiva condamnare a reclamantului pentru comentariile publicate de terțe persoane pe pagina lui de Facebook a fost proporțională cu scopurile legitime urmărite.</w:t>
      </w:r>
    </w:p>
    <w:p w14:paraId="604BF7E2" w14:textId="77777777" w:rsidR="00920111" w:rsidRPr="001C2470" w:rsidRDefault="00F17402" w:rsidP="001C2470">
      <w:pPr>
        <w:pStyle w:val="JuHa0"/>
      </w:pPr>
      <w:r>
        <w:t>Observațiile comune ale terțelor interveniente Digital Security Lab Ukraine și ARTICLE 19</w:t>
      </w:r>
    </w:p>
    <w:p w14:paraId="5D718645" w14:textId="0FAEEDDB" w:rsidR="00920111" w:rsidRPr="001C2470" w:rsidRDefault="00F17402" w:rsidP="001C2470">
      <w:pPr>
        <w:pStyle w:val="JuPara"/>
      </w:pPr>
      <w:fldSimple w:instr=" SEQ level0 \*arabic \* MERGEFORMAT ">
        <w:r w:rsidR="00E0027B">
          <w:rPr>
            <w:noProof/>
          </w:rPr>
          <w:t>79</w:t>
        </w:r>
      </w:fldSimple>
      <w:r w:rsidR="00DD77EF">
        <w:t>. Subliniind importanța platformelor de comunicare socială în ceea ce privește schimbul de informații și de opinii, terțele interveniente solicită Curții să clarifice jurisprudența sa cu privire la răspunderea intermediarilor, în special a intermediarilor care sunt utilizatori individuali ai platformelor de comunicare socială. Acestea consideră că, atunci când examinează răspunderea unor astfel de utilizatori, Curtea ar trebui să adauge criterii suplimentare în cadrul analizei sale.</w:t>
      </w:r>
    </w:p>
    <w:p w14:paraId="6738F7DB" w14:textId="649FAACE" w:rsidR="00920111" w:rsidRPr="001C2470" w:rsidRDefault="00F17402" w:rsidP="001C2470">
      <w:pPr>
        <w:pStyle w:val="JuPara"/>
      </w:pPr>
      <w:fldSimple w:instr=" SEQ level0 \*arabic \* MERGEFORMAT ">
        <w:r w:rsidR="00E0027B">
          <w:rPr>
            <w:noProof/>
          </w:rPr>
          <w:t>80</w:t>
        </w:r>
      </w:fldSimple>
      <w:r w:rsidR="00DD77EF">
        <w:t>. Acestea apreciază că definiția dată intermediarilor pe Internet în Principiile de la Manila privind răspunderea intermediarilor, stabilite în 2014 de un grup de experți din cadrul organizațiilor societății civile, nu pare să includă persoanele fizice.</w:t>
      </w:r>
    </w:p>
    <w:p w14:paraId="0F8970E4" w14:textId="1159A8B0" w:rsidR="00920111" w:rsidRPr="001C2470" w:rsidRDefault="00F17402" w:rsidP="001C2470">
      <w:pPr>
        <w:pStyle w:val="JuPara"/>
      </w:pPr>
      <w:fldSimple w:instr=" SEQ level0 \*arabic \* MERGEFORMAT ">
        <w:r w:rsidR="00E0027B">
          <w:rPr>
            <w:noProof/>
          </w:rPr>
          <w:t>81</w:t>
        </w:r>
      </w:fldSimple>
      <w:r w:rsidR="00DD77EF">
        <w:t xml:space="preserve">. În continuare, acestea susțin că standardele europene și normele de </w:t>
      </w:r>
      <w:r w:rsidR="00DD77EF">
        <w:rPr>
          <w:i/>
        </w:rPr>
        <w:t>soft</w:t>
      </w:r>
      <w:r w:rsidR="00DD77EF">
        <w:rPr>
          <w:i/>
        </w:rPr>
        <w:noBreakHyphen/>
        <w:t>law</w:t>
      </w:r>
      <w:r w:rsidR="00DD77EF">
        <w:t xml:space="preserve">  nu demonstrează nicio intenție din partea autorilor acestora de a considera utilizatorii individuali ai platformelor de comunicare socială ca fiind editori, spre deosebire de alte tipuri de intermediari.</w:t>
      </w:r>
    </w:p>
    <w:p w14:paraId="26BC969F" w14:textId="1CC47461" w:rsidR="00920111" w:rsidRPr="001C2470" w:rsidRDefault="00F17402" w:rsidP="001C2470">
      <w:pPr>
        <w:pStyle w:val="JuPara"/>
      </w:pPr>
      <w:fldSimple w:instr=" SEQ level0 \*arabic \* MERGEFORMAT ">
        <w:r w:rsidR="00E0027B">
          <w:rPr>
            <w:noProof/>
          </w:rPr>
          <w:t>82</w:t>
        </w:r>
      </w:fldSimple>
      <w:r w:rsidR="00DD77EF">
        <w:t xml:space="preserve">. Acestea subliniază că, în cauza </w:t>
      </w:r>
      <w:r w:rsidR="00DD77EF">
        <w:rPr>
          <w:i/>
        </w:rPr>
        <w:t>Delfi AS</w:t>
      </w:r>
      <w:r w:rsidR="00DD77EF">
        <w:t xml:space="preserve"> (citată anterior), Curtea a constatat aplicabilitatea răspunderii în cazul utilizatorilor obișnuiți </w:t>
      </w:r>
      <w:bookmarkStart w:id="38" w:name="_cl4298"/>
      <w:r w:rsidR="00DD77EF">
        <w:t xml:space="preserve">, și că, în cauza </w:t>
      </w:r>
      <w:r w:rsidR="00DD77EF">
        <w:rPr>
          <w:i/>
        </w:rPr>
        <w:t xml:space="preserve">Jezior împotriva Poloniei </w:t>
      </w:r>
      <w:r w:rsidR="00DD77EF">
        <w:t>([Comitet] nr. 31955/11, 4 iunie 2020), aceasta a confirmat drepturile unui intermediar, altul decât un simplu utilizator, și anume un blogger.</w:t>
      </w:r>
    </w:p>
    <w:p w14:paraId="2BEB29A7" w14:textId="0D735A7A" w:rsidR="00920111" w:rsidRPr="001C2470" w:rsidRDefault="00F17402" w:rsidP="001C2470">
      <w:pPr>
        <w:pStyle w:val="JuPara"/>
      </w:pPr>
      <w:fldSimple w:instr=" SEQ level0 \*arabic \* MERGEFORMAT ">
        <w:r w:rsidR="00E0027B">
          <w:rPr>
            <w:noProof/>
          </w:rPr>
          <w:t>83</w:t>
        </w:r>
      </w:fldSimple>
      <w:r w:rsidR="00DD77EF">
        <w:t>. Terțele interveniente subliniază importanța cunoașterii în prealabil, de către intermediar, a comentariilor ilicite, ca o condiție esențială pentru a constata, în cadrul stabilirii răspunderii intermediarului, existența unei obligații din partea acestuia de a șterge aceste comentarii. Acestea solicită Curții să clarifice jurisprudența sa cu privire la răspunderea intermediarilor care sunt utilizatori individuali ai platformelor de comunicare socială.</w:t>
      </w:r>
    </w:p>
    <w:p w14:paraId="77A9C7FA" w14:textId="01537B1E" w:rsidR="00920111" w:rsidRPr="001C2470" w:rsidRDefault="00F17402" w:rsidP="001C2470">
      <w:pPr>
        <w:pStyle w:val="JuPara"/>
      </w:pPr>
      <w:fldSimple w:instr=" SEQ level0 \*arabic \* MERGEFORMAT ">
        <w:r w:rsidR="00E0027B">
          <w:rPr>
            <w:noProof/>
          </w:rPr>
          <w:t>84</w:t>
        </w:r>
      </w:fldSimple>
      <w:r w:rsidR="00DD77EF">
        <w:t>. Secțiunea de comentarii care figurează sub postările de pe rețelele de socializare oferă utilizatorilor posibilitatea de a expune opinii diverse sau disparate; astfel, aceasta servește atât ca spațiu de discuție, cât și ca sursă de informații. Așadar, angajarea răspunderii utilizatorilor obișnuiți ai platformelor de comunicare socială pentru conținutul postat de terți în secțiunea de comentarii la postările acestor utilizatori ar avea un efect disuasiv semnificativ asupra libertății de exprimare.</w:t>
      </w:r>
    </w:p>
    <w:p w14:paraId="4769B9A1" w14:textId="09932FE7" w:rsidR="00920111" w:rsidRPr="001C2470" w:rsidRDefault="00F17402" w:rsidP="001C2470">
      <w:pPr>
        <w:pStyle w:val="JuPara"/>
      </w:pPr>
      <w:fldSimple w:instr=" SEQ level0 \*arabic \* MERGEFORMAT ">
        <w:r w:rsidR="00E0027B">
          <w:rPr>
            <w:noProof/>
          </w:rPr>
          <w:t>85</w:t>
        </w:r>
      </w:fldSimple>
      <w:r w:rsidR="00DD77EF">
        <w:t>. În plus, terțele interveniente observă că monitorizarea constantă care ar avea loc în practică, după caz, în ceea ce privește mesajele postate de terți pe conturile de pe rețelele de socializare ar fi contrară normelor internaționale privind libertatea de exprimare, întrucât o astfel de abordare ar echivala cu o cenzură suplimentară, de natură privată. Intervenientele subliniază, cu privire la acest aspect, că interzicerea impunerii obligației generale de supraveghere a conținutului, consacrată la articolul 15 din Directiva privind comerțul electronic (supra, pct. </w:t>
      </w:r>
      <w:r w:rsidRPr="001C2470">
        <w:fldChar w:fldCharType="begin"/>
      </w:r>
      <w:r w:rsidRPr="001C2470">
        <w:instrText xml:space="preserve"> REF paragraph00054 \h  \* MERGEFORMAT </w:instrText>
      </w:r>
      <w:r w:rsidRPr="001C2470">
        <w:fldChar w:fldCharType="separate"/>
      </w:r>
      <w:r w:rsidR="00E0027B">
        <w:t>54</w:t>
      </w:r>
      <w:r w:rsidRPr="001C2470">
        <w:fldChar w:fldCharType="end"/>
      </w:r>
      <w:r w:rsidR="00DD77EF">
        <w:t xml:space="preserve">), constituie un pilon al libertății de exprimare, precizând că această dispoziție constituie o clauză standard inclusă în toate documentele relevante în materie, inclusiv în Principiile de la Manila. În plus, Regulamentul (UE) 2022/2065 al Parlamentului European și al Consiliului din 19 octombrie 2022 privind o piață unică pentru serviciile digitale și de </w:t>
      </w:r>
      <w:r w:rsidR="00DD77EF">
        <w:lastRenderedPageBreak/>
        <w:t>modificare a Directivei 2000/31/CE (Regulamentul privind serviciile digitale) interzice impunerea, în sarcina furnizorilor de servicii intermediare, a unei obligații generale de monitorizare a informațiilor și de a căuta în mod activ fapte sau circumstanțe care să indice activități ilicite.</w:t>
      </w:r>
    </w:p>
    <w:p w14:paraId="3E034069" w14:textId="25E131F2" w:rsidR="00920111" w:rsidRPr="001C2470" w:rsidRDefault="00F17402" w:rsidP="001C2470">
      <w:pPr>
        <w:pStyle w:val="JuPara"/>
      </w:pPr>
      <w:fldSimple w:instr=" SEQ level0 \*arabic \* MERGEFORMAT ">
        <w:r w:rsidR="00E0027B">
          <w:rPr>
            <w:noProof/>
          </w:rPr>
          <w:t>86</w:t>
        </w:r>
      </w:fldSimple>
      <w:r w:rsidR="00DD77EF">
        <w:t>. O astfel de răspundere pentru comentariile postate de terți pe conturile de pe rețelele de socializare i-ar putea expune pe unii utilizatori unor forme grave de hărțuire și abuz online. În opinia lor, este ușor de imaginat că acele conturi de pe rețelele de socializare care sunt dedicate drepturilor omului, drepturilor femeilor sau drepturilor membrilor minorităților ar putea fi vizate cu scopul de a-i trage la răspundere pe titularii lor pentru comentariile care incită la ură, postate pe conturile respective.</w:t>
      </w:r>
    </w:p>
    <w:p w14:paraId="1DCADDB4" w14:textId="77777777" w:rsidR="00920111" w:rsidRPr="001C2470" w:rsidRDefault="00F17402" w:rsidP="001C2470">
      <w:pPr>
        <w:pStyle w:val="JuH1"/>
      </w:pPr>
      <w:r>
        <w:t>Motivarea</w:t>
      </w:r>
      <w:bookmarkEnd w:id="38"/>
      <w:r>
        <w:t xml:space="preserve"> Curții</w:t>
      </w:r>
    </w:p>
    <w:p w14:paraId="0AA808E7" w14:textId="3D14A039" w:rsidR="00920111" w:rsidRPr="001C2470" w:rsidRDefault="00F17402" w:rsidP="001C2470">
      <w:pPr>
        <w:pStyle w:val="JuPara"/>
      </w:pPr>
      <w:fldSimple w:instr=" SEQ level0 \*arabic \* MERGEFORMAT ">
        <w:r w:rsidR="00E0027B">
          <w:rPr>
            <w:noProof/>
          </w:rPr>
          <w:t>87</w:t>
        </w:r>
      </w:fldSimple>
      <w:r w:rsidR="00DD77EF">
        <w:t>. Părțile sunt de acord că decizia Curții de Casație, prin care s-a constatat răspunderea reclamantului în temeiul Codului civil, atât pentru comentariile sale, cât și pentru comentariile terțelor persoane, a constituit o ingerință în exercitarea de către reclamant a dreptului său la libertatea de exprimare, garantat prin art. 10 § 1 din Convenție. Curtea nu vede niciun motiv pentru a se pronunța diferit (a se vedea, în același sens, </w:t>
      </w:r>
      <w:r w:rsidR="00DD77EF">
        <w:rPr>
          <w:i/>
        </w:rPr>
        <w:t>Delfi AS</w:t>
      </w:r>
      <w:r w:rsidR="00DD77EF">
        <w:t>, citată anterior, pct. 118).</w:t>
      </w:r>
    </w:p>
    <w:p w14:paraId="6B6A3678" w14:textId="4A59CD02" w:rsidR="00920111" w:rsidRPr="001C2470" w:rsidRDefault="00F17402" w:rsidP="001C2470">
      <w:pPr>
        <w:pStyle w:val="JuPara"/>
      </w:pPr>
      <w:fldSimple w:instr=" SEQ level0 \*arabic \* MERGEFORMAT ">
        <w:r w:rsidR="00E0027B">
          <w:rPr>
            <w:noProof/>
          </w:rPr>
          <w:t>88</w:t>
        </w:r>
      </w:fldSimple>
      <w:r w:rsidR="00DD77EF">
        <w:t>. Pentru a fi în conformitate cu dispozițiile Convenției, o astfel de ingerință trebuia să fie „prevăzută de lege”, să urmărească unul sau mai multe scopuri legitime în sensul art. 10 § 2 și să fie „necesară într-o societate democratică” (</w:t>
      </w:r>
      <w:r w:rsidR="00DD77EF">
        <w:rPr>
          <w:i/>
        </w:rPr>
        <w:t>Delfi AS</w:t>
      </w:r>
      <w:r w:rsidR="00DD77EF">
        <w:t>, citată anterior, pct. 119).</w:t>
      </w:r>
    </w:p>
    <w:p w14:paraId="64B88E68" w14:textId="77777777" w:rsidR="00920111" w:rsidRPr="001C2470" w:rsidRDefault="00F17402" w:rsidP="001C2470">
      <w:pPr>
        <w:pStyle w:val="JuHa0"/>
      </w:pPr>
      <w:r>
        <w:t>Principii generale</w:t>
      </w:r>
    </w:p>
    <w:p w14:paraId="173C0C84" w14:textId="77777777" w:rsidR="00920111" w:rsidRPr="001C2470" w:rsidRDefault="00F17402" w:rsidP="001C2470">
      <w:pPr>
        <w:pStyle w:val="JuHi"/>
      </w:pPr>
      <w:r>
        <w:t>Libertatea de exprimare</w:t>
      </w:r>
    </w:p>
    <w:p w14:paraId="75B8EA88" w14:textId="77777777" w:rsidR="00920111" w:rsidRPr="001C2470" w:rsidRDefault="00F17402" w:rsidP="001C2470">
      <w:pPr>
        <w:pStyle w:val="JuHalpha"/>
      </w:pPr>
      <w:r>
        <w:t>Legalitatea ingerinței</w:t>
      </w:r>
    </w:p>
    <w:p w14:paraId="520A67A7" w14:textId="329979FD" w:rsidR="00920111" w:rsidRPr="001C2470" w:rsidRDefault="00F17402" w:rsidP="001C2470">
      <w:pPr>
        <w:pStyle w:val="JuPara"/>
      </w:pPr>
      <w:fldSimple w:instr=" SEQ level0 \*arabic \* MERGEFORMAT ">
        <w:bookmarkStart w:id="39" w:name="paragraph00102"/>
        <w:r w:rsidR="00E0027B">
          <w:rPr>
            <w:noProof/>
          </w:rPr>
          <w:t>89</w:t>
        </w:r>
        <w:bookmarkEnd w:id="39"/>
      </w:fldSimple>
      <w:r w:rsidR="00DD77EF">
        <w:t xml:space="preserve">. Curtea face trimitere la principiile referitoare la cerința previzibilității legii în contextul art. 10, care sunt rezumate în hotărârile </w:t>
      </w:r>
      <w:r w:rsidR="00DD77EF">
        <w:rPr>
          <w:i/>
        </w:rPr>
        <w:t>Perinçek împotriva Elveției</w:t>
      </w:r>
      <w:r w:rsidR="00DD77EF">
        <w:t> [(MC), nr. 27510/08, pct. 131</w:t>
      </w:r>
      <w:r w:rsidR="00DD77EF">
        <w:noBreakHyphen/>
        <w:t xml:space="preserve">136, CEDO 2015 (extrase)], și </w:t>
      </w:r>
      <w:r w:rsidR="00DD77EF">
        <w:rPr>
          <w:i/>
        </w:rPr>
        <w:t>Selahattin Demirtaş împotriva Turciei (nr. 2)</w:t>
      </w:r>
      <w:r w:rsidR="00DD77EF">
        <w:t> [(MC), nr. 14305/17, pct. 249</w:t>
      </w:r>
      <w:r w:rsidR="00DD77EF">
        <w:noBreakHyphen/>
        <w:t>254, 22 decembrie 2020]. Aceasta evidențiază în special următoarele elemente.</w:t>
      </w:r>
    </w:p>
    <w:p w14:paraId="7437626F" w14:textId="7B20D746" w:rsidR="00920111" w:rsidRPr="001C2470" w:rsidRDefault="00F17402" w:rsidP="001C2470">
      <w:pPr>
        <w:pStyle w:val="JuPara"/>
      </w:pPr>
      <w:fldSimple w:instr=" SEQ level0 \*arabic \* MERGEFORMAT ">
        <w:bookmarkStart w:id="40" w:name="paragraph00103"/>
        <w:r w:rsidR="00E0027B">
          <w:rPr>
            <w:noProof/>
          </w:rPr>
          <w:t>90</w:t>
        </w:r>
        <w:bookmarkEnd w:id="40"/>
      </w:fldSimple>
      <w:r w:rsidR="00DD77EF">
        <w:t xml:space="preserve">. În primul rând, nu poate fi considerată „lege” decât o normă formulată cu suficientă precizie pentru a permite justițiabilului să își ajusteze comportamentul. Recurgând la nevoie la consiliere adecvată, acesta trebuie să fie în măsură să prevadă, într‑un grad rezonabil în împrejurările cauzei, consecințele pe care le poate avea o anumită acțiune. Curtea a precizat totuși că aceste consecințe nu trebuie să fie previzibile cu o certitudine absolută. Deși certitudinea este de dorit, aceasta poate avea drept consecință o rigiditate excesivă, iar legea trebuie să se poată adapta la circumstanțele în schimbare. În consecință, numeroase legi sunt inevitabil formulate în termeni care, într-o mai mare sau mică măsură, sunt vagi și a căror interpretare și aplicare constituie chestiuni de practică [a se vedea, de exemplu, </w:t>
      </w:r>
      <w:r w:rsidR="00DD77EF">
        <w:rPr>
          <w:i/>
        </w:rPr>
        <w:t>Lindon, Otchakovsky-Laurens și July împotriva Franței</w:t>
      </w:r>
      <w:r w:rsidR="00DD77EF">
        <w:t> (MC), nr. 21279/02 și 36448/02, pct. 41, CEDO 2007</w:t>
      </w:r>
      <w:r w:rsidR="00DD77EF">
        <w:noBreakHyphen/>
        <w:t>IV; </w:t>
      </w:r>
      <w:r w:rsidR="00DD77EF">
        <w:rPr>
          <w:i/>
        </w:rPr>
        <w:t>Centro Europa 7 S.r.l. și Di Stefano împotriva Italiei</w:t>
      </w:r>
      <w:r w:rsidR="00DD77EF">
        <w:t> (MC), nr. 38433/09, pct. 141, CEDO 2012; și </w:t>
      </w:r>
      <w:r w:rsidR="00DD77EF">
        <w:rPr>
          <w:i/>
        </w:rPr>
        <w:t>Delfi AS</w:t>
      </w:r>
      <w:r w:rsidR="00DD77EF">
        <w:t>, citată anterior, pct. 121].</w:t>
      </w:r>
    </w:p>
    <w:p w14:paraId="0BC82454" w14:textId="080C8B59" w:rsidR="00920111" w:rsidRPr="001C2470" w:rsidRDefault="00F17402" w:rsidP="001C2470">
      <w:pPr>
        <w:pStyle w:val="JuPara"/>
      </w:pPr>
      <w:fldSimple w:instr=" SEQ level0 \*arabic \* MERGEFORMAT ">
        <w:r w:rsidR="00E0027B">
          <w:rPr>
            <w:noProof/>
          </w:rPr>
          <w:t>91</w:t>
        </w:r>
      </w:fldSimple>
      <w:r w:rsidR="00DD77EF">
        <w:t xml:space="preserve">. Curtea reamintește în continuare că, în cauzele care își au originea într-o cerere individuală, introdusă în temeiul art. 34 din Convenție, sarcina sa nu constă în a examina dreptul intern în mod abstract, ci în a verifica dacă modul în care acesta a fost aplicat reclamantului a dus la o încălcare a Convenției [a se vedea, printre multe altele, </w:t>
      </w:r>
      <w:r w:rsidR="00DD77EF">
        <w:rPr>
          <w:i/>
        </w:rPr>
        <w:t>Magyar Kétfarkú Kutya Párt împotriva Ungariei</w:t>
      </w:r>
      <w:r w:rsidR="00DD77EF">
        <w:t> (MC), nr. 201/17, pct. 96, 20 ianuarie 2020].</w:t>
      </w:r>
    </w:p>
    <w:p w14:paraId="1826627D" w14:textId="01822701" w:rsidR="00920111" w:rsidRPr="001C2470" w:rsidRDefault="00F17402" w:rsidP="001C2470">
      <w:pPr>
        <w:pStyle w:val="JuPara"/>
      </w:pPr>
      <w:fldSimple w:instr=" SEQ level0 \*arabic \* MERGEFORMAT ">
        <w:bookmarkStart w:id="41" w:name="paragraph00105"/>
        <w:r w:rsidR="00E0027B">
          <w:rPr>
            <w:noProof/>
          </w:rPr>
          <w:t>92</w:t>
        </w:r>
        <w:bookmarkEnd w:id="41"/>
      </w:fldSimple>
      <w:r w:rsidR="00DD77EF">
        <w:t xml:space="preserve">. În plus, Curtea a interpretat întotdeauna termenul „lege” în accepțiunea sa „materială”, și nu „formală”, incluzând aici atât „dreptul scris” - care cuprinde atât texte cu caracter </w:t>
      </w:r>
      <w:r w:rsidR="00DD77EF">
        <w:lastRenderedPageBreak/>
        <w:t>infralegislativ, cât și acte de reglementare adoptate de către o asociație profesională, prin delegarea legiuitorului, în cadrul puterii sale normative autonome - cât și „dreptul nescris”. „Legea” trebuie înțeleasă, de asemenea, ca înglobând textul scris și „dreptul elaborat” de judecători. Pe scurt, „legea” este textul în vigoare, astfel cum a fost interpretat de instanțele competente [</w:t>
      </w:r>
      <w:bookmarkStart w:id="42" w:name="_cl15739"/>
      <w:r w:rsidR="00DD77EF">
        <w:rPr>
          <w:i/>
        </w:rPr>
        <w:t>Sanoma Uitgevers B.V. împotriva Țărilor de Jos</w:t>
      </w:r>
      <w:bookmarkEnd w:id="42"/>
      <w:r w:rsidR="00DD77EF">
        <w:t xml:space="preserve"> (MC), nr. 38224/03, pct. 83, 14 septembrie 2010, cu trimiterile citate].</w:t>
      </w:r>
    </w:p>
    <w:p w14:paraId="139D2330" w14:textId="77777777" w:rsidR="00920111" w:rsidRPr="001C2470" w:rsidRDefault="00F17402" w:rsidP="001C2470">
      <w:pPr>
        <w:pStyle w:val="JuHalpha"/>
      </w:pPr>
      <w:r>
        <w:t>„Necesitatea” ingerinței</w:t>
      </w:r>
    </w:p>
    <w:p w14:paraId="0E5BB0BF" w14:textId="303A3B59" w:rsidR="00920111" w:rsidRPr="001C2470" w:rsidRDefault="00F17402" w:rsidP="001C2470">
      <w:pPr>
        <w:pStyle w:val="JuPara"/>
      </w:pPr>
      <w:fldSimple w:instr=" SEQ level0 \*arabic \* MERGEFORMAT ">
        <w:r w:rsidR="00E0027B">
          <w:rPr>
            <w:noProof/>
          </w:rPr>
          <w:t>93</w:t>
        </w:r>
      </w:fldSimple>
      <w:r w:rsidR="00DD77EF">
        <w:t xml:space="preserve">. Principiile generale care permit aprecierea necesității unei anumite ingerințe în exercitarea libertății de exprimare, reafirmate în mod repetat de Curte începând cu hotărârea în cauza </w:t>
      </w:r>
      <w:r w:rsidR="00DD77EF">
        <w:rPr>
          <w:i/>
        </w:rPr>
        <w:t>Handyside împotriva Regatului Unit</w:t>
      </w:r>
      <w:r w:rsidR="00DD77EF">
        <w:t xml:space="preserve"> (7 decembrie 1976, pct. 48</w:t>
      </w:r>
      <w:r w:rsidR="00DD77EF">
        <w:noBreakHyphen/>
        <w:t xml:space="preserve">50, seria A nr. 24), au fost reamintite în hotărârea </w:t>
      </w:r>
      <w:r w:rsidR="00DD77EF">
        <w:rPr>
          <w:i/>
        </w:rPr>
        <w:t>Animal Defenders International împotriva Regatului Unit</w:t>
      </w:r>
      <w:r w:rsidR="00DD77EF">
        <w:t xml:space="preserve"> [(MC), nr. 48876/08, pct. 100, CEDO 2013] și în hotărârea </w:t>
      </w:r>
      <w:r w:rsidR="00DD77EF">
        <w:rPr>
          <w:i/>
        </w:rPr>
        <w:t>Bédat împotriva Elveției</w:t>
      </w:r>
      <w:r w:rsidR="00DD77EF">
        <w:t> [(MC), nr. 56925/08, pct. 48, 29 martie 2016].</w:t>
      </w:r>
    </w:p>
    <w:p w14:paraId="6E984DB9" w14:textId="55FB8061" w:rsidR="00920111" w:rsidRPr="001C2470" w:rsidRDefault="00F17402" w:rsidP="001C2470">
      <w:pPr>
        <w:pStyle w:val="JuPara"/>
      </w:pPr>
      <w:fldSimple w:instr=" SEQ level0 \*arabic \* MERGEFORMAT ">
        <w:r w:rsidR="00E0027B">
          <w:rPr>
            <w:noProof/>
          </w:rPr>
          <w:t>94</w:t>
        </w:r>
      </w:fldSimple>
      <w:r w:rsidR="00DD77EF">
        <w:t>. Art. 10 din Convenție include libertatea de exprimare în domeniul artistic – inclusiv libertatea de a primi sau de a comunica informații ori idei – care permite participarea la schimbul public de informații și idei culturale, politice și sociale de toate tipurile (</w:t>
      </w:r>
      <w:r w:rsidR="00DD77EF">
        <w:rPr>
          <w:i/>
        </w:rPr>
        <w:t>Müller și alții împotriva Elveției</w:t>
      </w:r>
      <w:r w:rsidR="00DD77EF">
        <w:t>, 24 mai 1988, pct. 27, seria A nr. 133).</w:t>
      </w:r>
    </w:p>
    <w:p w14:paraId="63EAB734" w14:textId="2A0C88A2" w:rsidR="00920111" w:rsidRPr="001C2470" w:rsidRDefault="00F17402" w:rsidP="001C2470">
      <w:pPr>
        <w:pStyle w:val="JuPara"/>
      </w:pPr>
      <w:fldSimple w:instr=" SEQ level0 \*arabic \* MERGEFORMAT ">
        <w:bookmarkStart w:id="43" w:name="paragraph00108"/>
        <w:r w:rsidR="00E0027B">
          <w:rPr>
            <w:noProof/>
          </w:rPr>
          <w:t>95</w:t>
        </w:r>
        <w:bookmarkEnd w:id="43"/>
      </w:fldSimple>
      <w:r w:rsidR="00DD77EF">
        <w:t xml:space="preserve">. În plus, principiile generale aplicabile în cauzele în care dreptul la libertatea de exprimare, garantat de art. 10 din Convenție, trebuie pus în balanță cu dreptul la respectarea vieții private, prevăzut la art. 8 din Convenție, au fost prezentate de Curte în hotărârile </w:t>
      </w:r>
      <w:r w:rsidR="00DD77EF">
        <w:rPr>
          <w:i/>
        </w:rPr>
        <w:t>Von Hannover</w:t>
      </w:r>
      <w:r w:rsidR="00DD77EF">
        <w:t xml:space="preserve"> </w:t>
      </w:r>
      <w:r w:rsidR="00DD77EF">
        <w:rPr>
          <w:i/>
          <w:iCs/>
        </w:rPr>
        <w:t>împotriva</w:t>
      </w:r>
      <w:r w:rsidR="00DD77EF">
        <w:t> </w:t>
      </w:r>
      <w:r w:rsidR="00DD77EF">
        <w:rPr>
          <w:i/>
        </w:rPr>
        <w:t>Germaniei (nr. 2)</w:t>
      </w:r>
      <w:r w:rsidR="00DD77EF">
        <w:t xml:space="preserve"> [(MC), nr. 40660/08 și 60641/08, pct. 108</w:t>
      </w:r>
      <w:r w:rsidR="00DD77EF">
        <w:noBreakHyphen/>
        <w:t xml:space="preserve">113, CEDO 2012]; </w:t>
      </w:r>
      <w:r w:rsidR="00DD77EF">
        <w:rPr>
          <w:i/>
        </w:rPr>
        <w:t>Axel Springer AG împotriva Germaniei </w:t>
      </w:r>
      <w:r w:rsidR="00DD77EF">
        <w:t>[(MC), nr. 39954/08, pct. 89</w:t>
      </w:r>
      <w:r w:rsidR="00DD77EF">
        <w:noBreakHyphen/>
        <w:t xml:space="preserve">95, 7 februarie 2012]; și </w:t>
      </w:r>
      <w:r w:rsidR="00DD77EF">
        <w:rPr>
          <w:i/>
        </w:rPr>
        <w:t xml:space="preserve">Satakunnan Markkinapörssi Oy și Satamedia Oy </w:t>
      </w:r>
      <w:r w:rsidR="00DD77EF">
        <w:t>[(MC), nr. 931/13, pct. 162-165, CEDO 2017 (extrase)].</w:t>
      </w:r>
    </w:p>
    <w:p w14:paraId="3E832F9D" w14:textId="2E8B52AC" w:rsidR="00920111" w:rsidRPr="001C2470" w:rsidRDefault="00F17402" w:rsidP="001C2470">
      <w:pPr>
        <w:pStyle w:val="JuPara"/>
      </w:pPr>
      <w:fldSimple w:instr=" SEQ level0 \*arabic \* MERGEFORMAT ">
        <w:bookmarkStart w:id="44" w:name="paragraph00109"/>
        <w:r w:rsidR="00E0027B">
          <w:rPr>
            <w:noProof/>
          </w:rPr>
          <w:t>96</w:t>
        </w:r>
        <w:bookmarkEnd w:id="44"/>
      </w:fldSimple>
      <w:r w:rsidR="00DD77EF">
        <w:t>. Astfel, Curtea a stabilit mai multe criterii pentru punerea în balanță a drepturilor în cauză, printre care contribuția la o dezbatere de interes general, notorietatea și comportamentul anterior ale persoanei în cauză, conținutul, forma și repercusiunile publicării, precum și modul în care au fost obținute informațiile [</w:t>
      </w:r>
      <w:r w:rsidR="00DD77EF">
        <w:rPr>
          <w:i/>
        </w:rPr>
        <w:t>Von Hannover</w:t>
      </w:r>
      <w:r w:rsidR="00DD77EF">
        <w:t> </w:t>
      </w:r>
      <w:r w:rsidR="00DD77EF">
        <w:rPr>
          <w:i/>
        </w:rPr>
        <w:t>(nr. 2)</w:t>
      </w:r>
      <w:r w:rsidR="00DD77EF">
        <w:t>, citată anterior, pct. 108</w:t>
      </w:r>
      <w:r w:rsidR="00DD77EF">
        <w:noBreakHyphen/>
        <w:t xml:space="preserve">113; </w:t>
      </w:r>
      <w:r w:rsidR="00DD77EF">
        <w:rPr>
          <w:i/>
        </w:rPr>
        <w:t>Axel Springer AG</w:t>
      </w:r>
      <w:r w:rsidR="00DD77EF">
        <w:t xml:space="preserve">, citată anterior, pct. 89-95; și </w:t>
      </w:r>
      <w:r w:rsidR="00DD77EF">
        <w:rPr>
          <w:i/>
        </w:rPr>
        <w:t xml:space="preserve">Couderc și Hachette Filipacchi Associés împotriva Franței </w:t>
      </w:r>
      <w:r w:rsidR="00DD77EF">
        <w:t>(MC), nr. 40454/07, pct. 93, CEDO 2015 (extrase)]. Natura și severitatea sancțiunilor aplicate sunt de asemenea elemente care trebuie luate în considerare, întrucât există riscul ca o atingere adusă  libertății de exprimare să aibă un efect disuasiv asupra exercitării acestei libertăți. În această privință, amenzile sau despăgubirile cu un cuantum relativ moderat nu sunt suficiente pentru a elimina riscul unui efect disuasiv asupra exercitării libertății de exprimare (</w:t>
      </w:r>
      <w:r w:rsidR="00DD77EF">
        <w:rPr>
          <w:i/>
        </w:rPr>
        <w:t>Mor împotriva Franței</w:t>
      </w:r>
      <w:r w:rsidR="00DD77EF">
        <w:t>, nr. 28198/09, pct. 61, 15 decembrie 2011, cu trimiterile citate).</w:t>
      </w:r>
    </w:p>
    <w:p w14:paraId="49C67F30" w14:textId="7AA171B0" w:rsidR="00920111" w:rsidRPr="001C2470" w:rsidRDefault="00F17402" w:rsidP="001C2470">
      <w:pPr>
        <w:pStyle w:val="JuPara"/>
      </w:pPr>
      <w:fldSimple w:instr=" SEQ level0 \*arabic \* MERGEFORMAT ">
        <w:bookmarkStart w:id="45" w:name="paragraph00110"/>
        <w:r w:rsidR="00E0027B">
          <w:rPr>
            <w:noProof/>
          </w:rPr>
          <w:t>97</w:t>
        </w:r>
        <w:bookmarkEnd w:id="45"/>
      </w:fldSimple>
      <w:r w:rsidR="00DD77EF">
        <w:t>. În ceea ce privește contribuția afirmațiilor publicate de reclamant la o dezbatere de interes general [</w:t>
      </w:r>
      <w:r w:rsidR="00DD77EF">
        <w:rPr>
          <w:i/>
        </w:rPr>
        <w:t xml:space="preserve">Von Hannover (nr. 2), </w:t>
      </w:r>
      <w:r w:rsidR="00DD77EF">
        <w:t xml:space="preserve">citată anterior, pct. 109; </w:t>
      </w:r>
      <w:r w:rsidR="00DD77EF">
        <w:rPr>
          <w:i/>
        </w:rPr>
        <w:t>Leempoel &amp; S.A. ED. Ciné Revue împotriva Belgiei</w:t>
      </w:r>
      <w:r w:rsidR="00DD77EF">
        <w:t xml:space="preserve">, nr. 64772/01, pct. 68, 9 noiembrie 2006; și </w:t>
      </w:r>
      <w:r w:rsidR="00DD77EF">
        <w:rPr>
          <w:i/>
        </w:rPr>
        <w:t>Standard Verlags GmbH împotriva Austriei (nr. 2)</w:t>
      </w:r>
      <w:r w:rsidR="00DD77EF">
        <w:t>, nr. 21277/05, pct. 46, 4 iunie 2009], Curtea reamintește că a recunoscut existența unui astfel de interes nu doar în cazul publicațiilor care privesc chestiuni politice sau săvârșirea unor crime (</w:t>
      </w:r>
      <w:r w:rsidR="00DD77EF">
        <w:rPr>
          <w:i/>
        </w:rPr>
        <w:t>White împotriva Suediei</w:t>
      </w:r>
      <w:r w:rsidR="00DD77EF">
        <w:t xml:space="preserve">, nr. 42435/02, pct. 29, 19 septembrie 2006; </w:t>
      </w:r>
      <w:r w:rsidR="00DD77EF">
        <w:rPr>
          <w:i/>
        </w:rPr>
        <w:t>Egeland și Hanseid împotriva Norvegiei</w:t>
      </w:r>
      <w:r w:rsidR="00DD77EF">
        <w:t xml:space="preserve">, nr. 34438/04, pct. 58, 16 aprilie 2009; și </w:t>
      </w:r>
      <w:r w:rsidR="00DD77EF">
        <w:rPr>
          <w:i/>
        </w:rPr>
        <w:t xml:space="preserve">Leempoel &amp; S.A. ED. Ciné Revue, </w:t>
      </w:r>
      <w:r w:rsidR="00DD77EF">
        <w:t>citată anterior, pct. 72), ci și în cazul publicațiilor care privesc aspecte legate de sport sau de artiști interpreți ori executanți (</w:t>
      </w:r>
      <w:r w:rsidR="00DD77EF">
        <w:rPr>
          <w:i/>
        </w:rPr>
        <w:t>Nikowitz și Verlagsgruppe News GmbH împotriva Austriei</w:t>
      </w:r>
      <w:r w:rsidR="00DD77EF">
        <w:t xml:space="preserve">, nr. 5266/03, pct. 25, 22 februarie 2007; </w:t>
      </w:r>
      <w:r w:rsidR="00DD77EF">
        <w:rPr>
          <w:i/>
        </w:rPr>
        <w:t>Colaço Mestre și SIC – Sociedade Independente de Comunicação, S.A. împotriva Portugaliei</w:t>
      </w:r>
      <w:r w:rsidR="00DD77EF">
        <w:t xml:space="preserve">, </w:t>
      </w:r>
      <w:r w:rsidR="00DD77EF">
        <w:lastRenderedPageBreak/>
        <w:t xml:space="preserve">nr. 11182/03 și 11319/03, pct. 28, 26 aprilie 2007; și </w:t>
      </w:r>
      <w:r w:rsidR="00DD77EF">
        <w:rPr>
          <w:i/>
        </w:rPr>
        <w:t>Sapan împotriva Turciei</w:t>
      </w:r>
      <w:r w:rsidR="00DD77EF">
        <w:t>, nr. 44102/04, pct. 34, 8 iunie 2010).</w:t>
      </w:r>
    </w:p>
    <w:p w14:paraId="5F0A3684" w14:textId="4EFF9968" w:rsidR="00920111" w:rsidRPr="001C2470" w:rsidRDefault="00F17402" w:rsidP="001C2470">
      <w:pPr>
        <w:pStyle w:val="JuPara"/>
      </w:pPr>
      <w:fldSimple w:instr=" SEQ level0 \*arabic \* MERGEFORMAT ">
        <w:r w:rsidR="00E0027B">
          <w:rPr>
            <w:noProof/>
          </w:rPr>
          <w:t>98</w:t>
        </w:r>
      </w:fldSimple>
      <w:r w:rsidR="00DD77EF">
        <w:t>. În plus, trebuie să se facă o distincție între declarațiile de fapt și judecățile de valoare. Materialitatea declarațiilor de fapt poate fi probată; în schimb, întrucât nu se poate dovedi exactitatea judecăților de valoare, obligația de a face dovada este imposibil de îndeplinit și aduce atingere înseși libertății de opinie, un element fundamental al dreptului garantat de art. 10. Cu toate acestea, în cazul unei judecăți de valoare, proporționalitatea ingerinței depinde de existența unei „baze factuale” suficiente, pe care se întemeiază afirmațiile în litigiu: în caz contrar, această judecată de valoare s-ar putea dovedi excesivă. Pentru a face deosebirea între o imputare de fapt și o judecată de valoare, este necesar să se țină seama de circumstanțele cauzei și de tonul general al afirmațiilor, fiind de la sine înțeles că afirmațiile privind aspecte de interes public pot să constituie, ca atare, mai degrabă judecăți de valoare decât declarații de fapt [</w:t>
      </w:r>
      <w:r w:rsidR="00DD77EF">
        <w:rPr>
          <w:i/>
        </w:rPr>
        <w:t>Morice împotriva Franței</w:t>
      </w:r>
      <w:r w:rsidR="00DD77EF">
        <w:t> (MC), nr. 29369/10, pct. 126, CEDO 2015,</w:t>
      </w:r>
      <w:r w:rsidR="00DD77EF">
        <w:rPr>
          <w:i/>
        </w:rPr>
        <w:t> </w:t>
      </w:r>
      <w:r w:rsidR="00DD77EF">
        <w:t>și trimiterile citate].</w:t>
      </w:r>
    </w:p>
    <w:p w14:paraId="25DA5D3E" w14:textId="3BA10EBE" w:rsidR="00920111" w:rsidRPr="001C2470" w:rsidRDefault="00F17402" w:rsidP="001C2470">
      <w:pPr>
        <w:pStyle w:val="JuPara"/>
      </w:pPr>
      <w:fldSimple w:instr=" SEQ level0 \*arabic \* MERGEFORMAT ">
        <w:r w:rsidR="00E0027B">
          <w:rPr>
            <w:noProof/>
          </w:rPr>
          <w:t>99</w:t>
        </w:r>
      </w:fldSimple>
      <w:r w:rsidR="00DD77EF">
        <w:t>. Atunci când analizează ingerința în exercitarea dreptului la libertatea de exprimare, Curtea trebuie, printre altele, să stabilească dacă motivele invocate de autoritățile naționale pentru a o justifica sunt „relevante și suficiente” [</w:t>
      </w:r>
      <w:bookmarkStart w:id="46" w:name="_cl42668"/>
      <w:r w:rsidR="00DD77EF">
        <w:rPr>
          <w:i/>
        </w:rPr>
        <w:t>Gaspari împotriva Armeniei (nr. 2)</w:t>
      </w:r>
      <w:bookmarkEnd w:id="46"/>
      <w:r w:rsidR="00DD77EF">
        <w:t>, nr. 67783/13, pct. 26, 11 iulie 2023]. Astfel, Curtea trebuie să se asigure că autoritățile naționale au aplicat norme conforme principiilor consacrate la art. 10, bazându-se, în plus, pe o apreciere acceptabilă a faptelor relevante (</w:t>
      </w:r>
      <w:r w:rsidR="00DD77EF">
        <w:rPr>
          <w:i/>
        </w:rPr>
        <w:t>Perinçek</w:t>
      </w:r>
      <w:r w:rsidR="00DD77EF">
        <w:t>, citată anterior, pct. 196).</w:t>
      </w:r>
    </w:p>
    <w:p w14:paraId="4537CD98" w14:textId="5FBE1530" w:rsidR="00920111" w:rsidRPr="001C2470" w:rsidRDefault="00F17402" w:rsidP="001C2470">
      <w:pPr>
        <w:pStyle w:val="JuPara"/>
      </w:pPr>
      <w:fldSimple w:instr=" SEQ level0 \*arabic \* MERGEFORMAT ">
        <w:r w:rsidR="00E0027B">
          <w:rPr>
            <w:noProof/>
          </w:rPr>
          <w:t>100</w:t>
        </w:r>
      </w:fldSimple>
      <w:r w:rsidR="00DD77EF">
        <w:t>. În cele din urmă, Curtea reamintește că, în contextul evaluării proporționalității din perspectiva art. 10 din Convenție, calitatea examinării judiciare a necesității măsurii prezintă o importanță deosebită (</w:t>
      </w:r>
      <w:r w:rsidR="00DD77EF">
        <w:rPr>
          <w:i/>
        </w:rPr>
        <w:t>Animal Defenders International</w:t>
      </w:r>
      <w:r w:rsidR="00DD77EF">
        <w:t>, citată anterior, pct. 108).</w:t>
      </w:r>
    </w:p>
    <w:p w14:paraId="08D7114B" w14:textId="77777777" w:rsidR="00920111" w:rsidRPr="001C2470" w:rsidRDefault="00F17402" w:rsidP="001C2470">
      <w:pPr>
        <w:pStyle w:val="JuHi"/>
      </w:pPr>
      <w:r>
        <w:t>Internetul și rețelele de socializare</w:t>
      </w:r>
    </w:p>
    <w:p w14:paraId="3DBF3241" w14:textId="0A178A8A" w:rsidR="00920111" w:rsidRPr="001C2470" w:rsidRDefault="00F17402" w:rsidP="001C2470">
      <w:pPr>
        <w:pStyle w:val="JuPara"/>
      </w:pPr>
      <w:fldSimple w:instr=" SEQ level0 \*arabic \* MERGEFORMAT ">
        <w:r w:rsidR="00E0027B">
          <w:rPr>
            <w:noProof/>
          </w:rPr>
          <w:t>101</w:t>
        </w:r>
      </w:fldSimple>
      <w:r w:rsidR="00DD77EF">
        <w:t>. Curtea a subliniat în repetate rânduri importanța libertății de exprimare pe Internet și caracteristicile specifice ale acestui instrument de informare în raport cu mijloacele de comunicare tradiționale [</w:t>
      </w:r>
      <w:r w:rsidR="00DD77EF">
        <w:rPr>
          <w:i/>
        </w:rPr>
        <w:t>Delfi AS</w:t>
      </w:r>
      <w:r w:rsidR="00DD77EF">
        <w:t xml:space="preserve">, citată anterior, pct. 110, și mai recent, </w:t>
      </w:r>
      <w:r w:rsidR="00DD77EF">
        <w:rPr>
          <w:i/>
        </w:rPr>
        <w:t>Sanchez împotriva Franței</w:t>
      </w:r>
      <w:r w:rsidR="00DD77EF">
        <w:t xml:space="preserve"> (MC), nr. 45581/15, pct. 158</w:t>
      </w:r>
      <w:r w:rsidR="00DD77EF">
        <w:noBreakHyphen/>
        <w:t>162, 15 mai 2023, cu trimiterile citate].</w:t>
      </w:r>
    </w:p>
    <w:p w14:paraId="6AF7B071" w14:textId="1B8A548B" w:rsidR="00920111" w:rsidRPr="001C2470" w:rsidRDefault="00F17402" w:rsidP="001C2470">
      <w:pPr>
        <w:pStyle w:val="JuPara"/>
      </w:pPr>
      <w:fldSimple w:instr=" SEQ level0 \*arabic \* MERGEFORMAT ">
        <w:bookmarkStart w:id="47" w:name="paragraph00115"/>
        <w:r w:rsidR="00E0027B">
          <w:rPr>
            <w:noProof/>
          </w:rPr>
          <w:t>102</w:t>
        </w:r>
        <w:bookmarkEnd w:id="47"/>
      </w:fldSimple>
      <w:r w:rsidR="00DD77EF">
        <w:t xml:space="preserve">. În ceea ce privește răspunderea pentru fapta terților pe Internet, Curtea a definit, în hotărârea </w:t>
      </w:r>
      <w:r w:rsidR="00DD77EF">
        <w:rPr>
          <w:i/>
          <w:iCs/>
        </w:rPr>
        <w:t>Delfi AS</w:t>
      </w:r>
      <w:r w:rsidR="00DD77EF">
        <w:t xml:space="preserve"> (citată anterior), criteriile care trebuie luate în considerare în această privință, în cadrul examinării concrete pe care a efectuat-o cu privire la o ingerință care a rezultat, în temeiul art. 10 din Convenție, în urma unei hotărâri judecătorești prin care s-a stabilit răspunderea unei persoane juridice, o societate care deținea un important portal Internet de știri, pentru comentarii scrise de terți în respectivul portal și care constituiau discursuri de incitare la ură și la violență. Aceste criterii sunt următoarele: conținutul și contextul comentariilor, măsurile aplicate de proprietarul portalului pentru a împiedica publicarea comentariilor denigratoare sau pentru a le șterge pe cele deja publicate, posibilitatea ca autorii comentariilor să fie mai degrabă trași la răspundere decât societatea reclamantă și consecințele procedurii interne pentru societatea reclamantă (</w:t>
      </w:r>
      <w:r w:rsidR="00DD77EF">
        <w:rPr>
          <w:i/>
        </w:rPr>
        <w:t>Delfi AS</w:t>
      </w:r>
      <w:r w:rsidR="00DD77EF">
        <w:t>, citată anterior, pct. 142</w:t>
      </w:r>
      <w:r w:rsidR="00DD77EF">
        <w:noBreakHyphen/>
        <w:t>143).</w:t>
      </w:r>
    </w:p>
    <w:p w14:paraId="3B38CE2C" w14:textId="521F1496" w:rsidR="00920111" w:rsidRPr="001C2470" w:rsidRDefault="00F17402" w:rsidP="001C2470">
      <w:pPr>
        <w:pStyle w:val="JuPara"/>
      </w:pPr>
      <w:fldSimple w:instr=" SEQ level0 \*arabic \* MERGEFORMAT ">
        <w:r w:rsidR="00E0027B">
          <w:rPr>
            <w:noProof/>
          </w:rPr>
          <w:t>103</w:t>
        </w:r>
      </w:fldSimple>
      <w:r w:rsidR="00DD77EF">
        <w:t xml:space="preserve">. Ulterior, Curtea a hotărât, mai întâi, într-o cauză în care intermediarul era, precum în cauza </w:t>
      </w:r>
      <w:r w:rsidR="00DD77EF">
        <w:rPr>
          <w:i/>
          <w:iCs/>
        </w:rPr>
        <w:t>Delfi AS</w:t>
      </w:r>
      <w:r w:rsidR="00DD77EF">
        <w:t>, o societate care deținea un important portal Internet de știri, că aceste criterii rămân relevante chiar și într-un context în care nu există elementul central legat de discursul de incitare la ură [</w:t>
      </w:r>
      <w:r w:rsidR="00DD77EF">
        <w:rPr>
          <w:i/>
        </w:rPr>
        <w:t>Magyar Tartalomszolgáltatók Egyesülete și Index Zrt (MTE și Index Zrt) împotriva Ungariei</w:t>
      </w:r>
      <w:r w:rsidR="00DD77EF">
        <w:t>, nr. 22947/13, 2 februarie 2016, pct. 69-70]. Apoi, Curtea a confirmat relevanța acestor criterii într-o cauză referitoare la comentariile denigratoare care au fost postate de terți anonimi pe un blog administrat de o mică asociație fără scop lucrativ (</w:t>
      </w:r>
      <w:r w:rsidR="00DD77EF">
        <w:rPr>
          <w:i/>
        </w:rPr>
        <w:t>Pihl împotriva Suediei</w:t>
      </w:r>
      <w:r w:rsidR="00DD77EF">
        <w:t xml:space="preserve">, nr. 74742/14, 7 februarie 2017, pct. 28-35), considerând că mărimea asociației și caracterul lucrativ sau nelucrativ al activității acesteia erau, de asemenea, factori </w:t>
      </w:r>
      <w:r w:rsidR="00DD77EF">
        <w:lastRenderedPageBreak/>
        <w:t>de care trebuia să se țină seama pentru a evalua probabilitatea postării unui număr mare de comentarii sau ca acestea să fie citite de multe persoane.</w:t>
      </w:r>
    </w:p>
    <w:p w14:paraId="0D4A2FDA" w14:textId="590FF9AF" w:rsidR="00920111" w:rsidRPr="001C2470" w:rsidRDefault="00F17402" w:rsidP="001C2470">
      <w:pPr>
        <w:pStyle w:val="JuPara"/>
      </w:pPr>
      <w:fldSimple w:instr=" SEQ level0 \*arabic \* MERGEFORMAT ">
        <w:r w:rsidR="00E0027B">
          <w:rPr>
            <w:noProof/>
          </w:rPr>
          <w:t>104</w:t>
        </w:r>
      </w:fldSimple>
      <w:r w:rsidR="00DD77EF">
        <w:t>. Curtea a precizat de asemenea că aspectul decisiv pentru aprecierea consecințelor unei proceduri interne pentru reclamanți – în speță, portaluri Internet – era modul în care acești intermediari puteau fi trași la răspundere pentru comentariile terților și, prin urmare, consecințele negative previzibile ale unei astfel de răspunderi, care putea determina intermediarii în cauză să închidă spațiul dedicat comentariilor. În opinia Curții, consecințele pot avea astfel, direct sau indirect, un efect disuasiv asupra libertății de exprimare pe Internet, care poate fi deosebit de prejudiciabil pentru un site Internet necomercial (</w:t>
      </w:r>
      <w:r w:rsidR="00DD77EF">
        <w:rPr>
          <w:i/>
        </w:rPr>
        <w:t>MTE și Index Zrt</w:t>
      </w:r>
      <w:r w:rsidR="00DD77EF">
        <w:t>, citată anterior, pct. 86).</w:t>
      </w:r>
    </w:p>
    <w:p w14:paraId="721A64B5" w14:textId="75073276" w:rsidR="00920111" w:rsidRPr="001C2470" w:rsidRDefault="00F17402" w:rsidP="001C2470">
      <w:pPr>
        <w:pStyle w:val="JuPara"/>
      </w:pPr>
      <w:fldSimple w:instr=" SEQ level0 \*arabic \* MERGEFORMAT ">
        <w:r w:rsidR="00E0027B">
          <w:rPr>
            <w:noProof/>
          </w:rPr>
          <w:t>105</w:t>
        </w:r>
      </w:fldSimple>
      <w:r w:rsidR="00DD77EF">
        <w:t>. Într-o cauză în care reclamantul, candidat la alegerile municipale, avea un blog cu subiecte importante pentru comunitate, Curtea a constatat o încălcare a art. 10 din Convenție ca urmare a stabilirii răspunderii reclamantului pentru comentarii publicate de o terță persoană pe blogul său. Curtea a ținut seama în special, pe de o parte, de faptul că partea vătămată nu a întreprins niciun demers pentru a angaja răspunderea autorului comentariilor incriminate, ci a ales să se întoarcă direct împotriva reclamantului, în calitatea acestuia de gazdă a site-ului Internet unde au fost postate comentariile, pe de altă parte, de faptul că reclamantul a șters comentariile de îndată ce a fost informat cu privire la existența lor și, în sfârșit, de consecințele procedurii interne pentru reclamant, și anume interdicția de a continua să difuzeze comentariile în litigiu, obligația impusă acestuia de a-și cere scuze pentru comentarii prin publicarea unei declarații, precum și obligarea acestuia la plata unei sume către o organizație caritabilă și la rambursarea cheltuielilor de procedură către partea vătămată (</w:t>
      </w:r>
      <w:r w:rsidR="00DD77EF">
        <w:rPr>
          <w:i/>
        </w:rPr>
        <w:t>Sanchez</w:t>
      </w:r>
      <w:r w:rsidR="00DD77EF">
        <w:t>, citată anterior, cu trimiterea citată, pct. 167).</w:t>
      </w:r>
    </w:p>
    <w:p w14:paraId="79965B87" w14:textId="713E6912" w:rsidR="00920111" w:rsidRPr="001C2470" w:rsidRDefault="00F17402" w:rsidP="001C2470">
      <w:pPr>
        <w:pStyle w:val="JuPara"/>
      </w:pPr>
      <w:fldSimple w:instr=" SEQ level0 \*arabic \* MERGEFORMAT ">
        <w:r w:rsidR="00E0027B">
          <w:rPr>
            <w:noProof/>
          </w:rPr>
          <w:t>106</w:t>
        </w:r>
      </w:fldSimple>
      <w:r w:rsidR="00DD77EF">
        <w:t xml:space="preserve">. Mai recent, Curtea a confirmat criteriile elaborate în hotărârea </w:t>
      </w:r>
      <w:r w:rsidR="00DD77EF">
        <w:rPr>
          <w:i/>
          <w:iCs/>
        </w:rPr>
        <w:t>Delfi AS</w:t>
      </w:r>
      <w:r w:rsidR="00DD77EF">
        <w:t>, aducând totodată mai multe clarificări.</w:t>
      </w:r>
      <w:r w:rsidR="00DD77EF">
        <w:rPr>
          <w:i/>
        </w:rPr>
        <w:t xml:space="preserve"> </w:t>
      </w:r>
      <w:r w:rsidR="00DD77EF">
        <w:t xml:space="preserve">Astfel, în hotărârea </w:t>
      </w:r>
      <w:r w:rsidR="00DD77EF">
        <w:rPr>
          <w:i/>
          <w:iCs/>
        </w:rPr>
        <w:t>Sanchez</w:t>
      </w:r>
      <w:r w:rsidR="00DD77EF">
        <w:t xml:space="preserve"> (citată anterior), care privea răspunderea penală a unui politician pentru neștergerea promptă a comentariilor rasiste și xenofobe și de incitare la ură și la violență, publicate pe „peretele” contului său de Facebook, Curtea a subliniat impactul discursului de incitare la ură, în special în perioadele electorale. Aceasta a ținut seama și de amploarea diseminării comentariilor, care erau destinate unui public mult mai larg decât cel format strict din militanții partidului (</w:t>
      </w:r>
      <w:r w:rsidR="00DD77EF">
        <w:rPr>
          <w:i/>
        </w:rPr>
        <w:t>ibidem</w:t>
      </w:r>
      <w:r w:rsidR="00DD77EF">
        <w:t>, pct. 176). Cu toate acestea, Curtea a hotărât că respectivul cont de Facebook al reclamantului nu putea fi asimilat unui „important portal Internet de știri operat în mod profesionist și în scopuri comerciale” și a considerat că această cauză trebuia examinată în lumina îndatoririlor și responsabilităților, în sensul art. 10 § 2 din Convenție, ce revin personalităților politice care decid să utilizeze rețelele de socializare în scopuri politice. În continuare, aceasta a arătat că angajarea răspunderii pentru fapte săvârșite de terți poate varia în funcție de modalitățile controlului care trebuie efectuat de internauți, calificați în dreptul francez drept producători, care sunt simpli utilizatori ai unor rețele de socializare și care nu urmăresc nicio finalitate comercială, și a observat lipsa unui consens în această privință în rândul statelor membre (</w:t>
      </w:r>
      <w:r w:rsidR="00DD77EF">
        <w:rPr>
          <w:i/>
        </w:rPr>
        <w:t>ibidem</w:t>
      </w:r>
      <w:r w:rsidR="00DD77EF">
        <w:t>, pct. 79 și 182). După ce a constatat că dreptul francez stabilea în mod clar principiul angajării răspunderii unei persoane în calitatea sa de producător într-un cadru de răspundere partajată între diferiții actori implicați (</w:t>
      </w:r>
      <w:r w:rsidR="00DD77EF">
        <w:rPr>
          <w:i/>
          <w:iCs/>
        </w:rPr>
        <w:t>ibidem</w:t>
      </w:r>
      <w:r w:rsidR="00DD77EF">
        <w:t>, pct.183), Curtea a reținut că, la momentul faptelor, titularul unui cont de Facebook utilizat în scopuri necomerciale nu deținea un control total asupra gestionării comentariilor, astfel încât o monitorizare eficientă a unui număr important al acestor comentarii putea necesita resurse semnificative sau chiar considerabile. Cu toate acestea, Curtea a considerat că reclamantul, în calitate de persoană particulară, nu putea fi pur și simplu exonerat de orice răspundere, precizând următoarele:</w:t>
      </w:r>
    </w:p>
    <w:p w14:paraId="184239EA" w14:textId="77777777" w:rsidR="00920111" w:rsidRPr="001C2470" w:rsidRDefault="00F17402" w:rsidP="001C2470">
      <w:pPr>
        <w:pStyle w:val="JuQuot"/>
      </w:pPr>
      <w:r>
        <w:t xml:space="preserve">„185. [...] Cu toate acestea, exonerarea producătorilor de orice răspundere ar risca să faciliteze sau să încurajeze abuzurile și derapajele, indiferent că este vorba despre discursuri de incitare la ură și apeluri la violență, sau despre manipulare, minciuni ori dezinformare. În opinia Curții, deși profesioniștii care creează </w:t>
      </w:r>
      <w:r>
        <w:lastRenderedPageBreak/>
        <w:t>rețelele de socializare și le pun în serviciul altor utilizatori au în mod necesar anumite obligații [...], ar trebui să existe o răspundere comună a tuturor actorilor implicați și să se prevadă, după caz, o diferențiere a gradului de răspundere a fiecărui actor și a modalităților de angajare a răspunderii în funcție de situația obiectivă a fiecăruia dintre ei. ”</w:t>
      </w:r>
    </w:p>
    <w:p w14:paraId="3FB480D4" w14:textId="0A0E86F4" w:rsidR="00920111" w:rsidRPr="001C2470" w:rsidRDefault="00F17402" w:rsidP="001C2470">
      <w:pPr>
        <w:pStyle w:val="JuPara"/>
      </w:pPr>
      <w:fldSimple w:instr=" SEQ level0 \*arabic \* MERGEFORMAT ">
        <w:bookmarkStart w:id="48" w:name="paragraph00119"/>
        <w:r w:rsidR="00E0027B">
          <w:rPr>
            <w:noProof/>
          </w:rPr>
          <w:t>107</w:t>
        </w:r>
        <w:bookmarkEnd w:id="48"/>
      </w:fldSimple>
      <w:r w:rsidR="00DD77EF">
        <w:t>. Pe de altă parte, aceasta a analizat măsurile pe care reclamantul trebuia sau putea să le ia în mod rezonabil în calitate de titular al contului și, având în vedere contextul politic și electoral al cauzei, a ținut seama de alegerea reclamantului de a face public accesul la peretele contului său, exprimându-se astfel:</w:t>
      </w:r>
    </w:p>
    <w:p w14:paraId="0ABF0F0C" w14:textId="77777777" w:rsidR="00920111" w:rsidRPr="001C2470" w:rsidRDefault="00F17402" w:rsidP="001C2470">
      <w:pPr>
        <w:pStyle w:val="JuQuot"/>
      </w:pPr>
      <w:r>
        <w:t xml:space="preserve">„193. Aceasta observă [...] că reclamantul avea toată libertatea să decidă dacă să facă sau nu public accesul la peretele contului său de Facebook. Instanțele naționale au ținut astfel seama de decizia acestuia de a-l face public în mod voluntar, în timp ce Cour d’appel de Nîmes (Curtea de Apel din Nîmes) a dedus că acesta „și-a autorizat așadar prietenii să publice comentarii acolo” [...] Deși este de acord cu această constatare, Curtea consideră totuși că, întrucât este vorba despre un mijloc tehnic pus la dispoziția reclamantului de către platformă, care îi permitea să comunice cu alegătorii în calitatea sa de politician și de candidat la alegeri, decizia pe care a luat-o în această calitate nu poate fi, în sine, criticată. Cu toate acestea, având în vedere contextul local și electoral tensionat care exista la momentul faptelor [...], o astfel de decizie avea în mod evident consecințe serioase, de care reclamantul trebuie să fi avut cunoștință în circumstanțele cauzei. Prin urmare, Curtea consideră că este legitim să se facă distincție, astfel cum au procedat instanțele naționale, între situația în care accesul la peretele unui cont Facebook este rezervat anumitor persoane sau, dimpotrivă, situația în care accesul este în întregime public. În acest din urmă caz, orice persoană și, prin urmare, </w:t>
      </w:r>
      <w:r>
        <w:rPr>
          <w:i/>
        </w:rPr>
        <w:t>a fortiori</w:t>
      </w:r>
      <w:r>
        <w:t xml:space="preserve"> un om politic familiarizat cu comunicarea publică, trebuie să fie conștientă că există un risc mai mare de excese și abuzuri și că, în mod necesar, acestea vor fi difuzate unui public mai larg. Acesta este cu siguranță un element de fapt important, direct legat de alegerea deliberată a reclamantului, care, așa cum a subliniat Curtea, era nu numai un politician care desfășura o campanie, ci și un profesionist în domeniul strategiei de comunicare în mediul online [...]. ”</w:t>
      </w:r>
    </w:p>
    <w:p w14:paraId="5EB10484" w14:textId="6687A8A8" w:rsidR="00920111" w:rsidRPr="001C2470" w:rsidRDefault="00F17402" w:rsidP="001C2470">
      <w:pPr>
        <w:pStyle w:val="JuPara"/>
      </w:pPr>
      <w:fldSimple w:instr=" SEQ level0 \*arabic \* MERGEFORMAT ">
        <w:r w:rsidR="00E0027B">
          <w:rPr>
            <w:noProof/>
          </w:rPr>
          <w:t>108</w:t>
        </w:r>
      </w:fldSimple>
      <w:r w:rsidR="00DD77EF">
        <w:t>. În continuare, Curtea a ținut seama de următoarele elemente: lipsa unei verificări minime a comentariilor publicate, deși reclamantul era conștient de emoția generată de acestea (</w:t>
      </w:r>
      <w:r w:rsidR="00DD77EF">
        <w:rPr>
          <w:i/>
        </w:rPr>
        <w:t>ibidem</w:t>
      </w:r>
      <w:r w:rsidR="00DD77EF">
        <w:t>, pct. 194); toate comentariile formau un dialog continuu omogen, astfel încât răspunderea reclamantului nu fusese angajată pentru unul sau altul dintre aceste comentarii, luate în considerare în mod izolat, ștergerea unui singur comentariu nefiind suficientă pentru a înlătura consecințele în privința părții civile; lipsa oricărei dificultăți în asigurarea unei monitorizări eficiente a comentariilor, având în vedere că au fost publicate doar 15 comentarii ca răspuns la postarea publicată de reclamant, în pofida numărului mare de oameni care se presupunea că urmăreau un cont deschis de un politician; în sfârșit, notorietatea și reprezentativitatea persoanei vizate (</w:t>
      </w:r>
      <w:r w:rsidR="00DD77EF">
        <w:rPr>
          <w:i/>
        </w:rPr>
        <w:t>ibidem</w:t>
      </w:r>
      <w:r w:rsidR="00DD77EF">
        <w:t>, pct. 197, 200 și 201). În această privință, Curtea a hotărât următoarele:</w:t>
      </w:r>
    </w:p>
    <w:p w14:paraId="48072EE5" w14:textId="77777777" w:rsidR="00920111" w:rsidRPr="001C2470" w:rsidRDefault="00F17402" w:rsidP="001C2470">
      <w:pPr>
        <w:pStyle w:val="JuQuot"/>
        <w:rPr>
          <w:rFonts w:cstheme="minorHAnsi"/>
        </w:rPr>
      </w:pPr>
      <w:r>
        <w:t xml:space="preserve">„201. [...] o persoană privată obișnuită, cu o notorietate și o reprezentativitate limitate, are mai puține obligații decât o persoană care are un mandat de reprezentant ales local, care candidează pentru o astfel de funcție și care, la rândul său, are mai puține obligații decât o figură politică de anvergură națională, în privința căreia cerințele vor fi în mod necesar mai mari, atât ca urmare a importanței acordate discursului său și a numărului de persoane care o urmăresc, cât și datorită capacității acesteia de a avea acces la resurse adecvate, care să îi permită să intervină în mod eficient pe platformele de comunicare socială (a se vedea, </w:t>
      </w:r>
      <w:r>
        <w:rPr>
          <w:i/>
        </w:rPr>
        <w:t>mutatis mutandis</w:t>
      </w:r>
      <w:r>
        <w:t xml:space="preserve">, </w:t>
      </w:r>
      <w:r>
        <w:rPr>
          <w:i/>
        </w:rPr>
        <w:t>Mesić împotriva Croației</w:t>
      </w:r>
      <w:r>
        <w:t>, nr. 19362/18, pct. 104, 5 mai 2022, și </w:t>
      </w:r>
      <w:r>
        <w:rPr>
          <w:i/>
        </w:rPr>
        <w:t xml:space="preserve">Melike </w:t>
      </w:r>
      <w:r>
        <w:rPr>
          <w:color w:val="000000"/>
        </w:rPr>
        <w:t>[</w:t>
      </w:r>
      <w:r>
        <w:rPr>
          <w:i/>
          <w:color w:val="000000"/>
        </w:rPr>
        <w:t>împotriva Turciei</w:t>
      </w:r>
      <w:r>
        <w:rPr>
          <w:color w:val="000000"/>
        </w:rPr>
        <w:t>, nr. 35786/19]</w:t>
      </w:r>
      <w:r>
        <w:t xml:space="preserve">, pct. 51[, </w:t>
      </w:r>
      <w:r>
        <w:rPr>
          <w:color w:val="000000"/>
        </w:rPr>
        <w:t>15 iunie 2021</w:t>
      </w:r>
      <w:r>
        <w:t>]). ”</w:t>
      </w:r>
    </w:p>
    <w:p w14:paraId="569ED318" w14:textId="289B20CC" w:rsidR="00920111" w:rsidRPr="001C2470" w:rsidRDefault="00F17402" w:rsidP="001C2470">
      <w:pPr>
        <w:pStyle w:val="JuPara"/>
      </w:pPr>
      <w:fldSimple w:instr=" SEQ level0 \*arabic \* MERGEFORMAT ">
        <w:r w:rsidR="00E0027B">
          <w:rPr>
            <w:noProof/>
          </w:rPr>
          <w:t>109</w:t>
        </w:r>
      </w:fldSimple>
      <w:r w:rsidR="00DD77EF">
        <w:t>. În ceea ce privește posibilitatea de a angaja mai degrabă răspunderea autorilor comentariilor decât pe cea a reclamantului, Curtea a ținut seama, pe de o parte, de faptul că interpretarea și aplicarea de către instanțele naționale a dispozițiilor legale interne care stabilesc un regim de răspundere în cascadă nu erau nici arbitrare, nici vădit nerezonabile (</w:t>
      </w:r>
      <w:r w:rsidR="00DD77EF">
        <w:rPr>
          <w:i/>
        </w:rPr>
        <w:t>ibidem</w:t>
      </w:r>
      <w:r w:rsidR="00DD77EF">
        <w:t>, pct. 137</w:t>
      </w:r>
      <w:r w:rsidR="00DD77EF">
        <w:noBreakHyphen/>
        <w:t>139) și, pe de altă parte, de numărul redus de surse de drept internațional care tratează necesitatea de a-i urmări penal pe autori, iar nu pe intermediarii neprofesioniști care nu utilizează rețelele sociale în scop comercial (</w:t>
      </w:r>
      <w:r w:rsidR="00DD77EF">
        <w:rPr>
          <w:i/>
        </w:rPr>
        <w:t>ibidem</w:t>
      </w:r>
      <w:r w:rsidR="00DD77EF">
        <w:t>, pct. 202-204).</w:t>
      </w:r>
    </w:p>
    <w:p w14:paraId="261519A2" w14:textId="6A99AB9F" w:rsidR="00920111" w:rsidRPr="001C2470" w:rsidRDefault="00F17402" w:rsidP="001C2470">
      <w:pPr>
        <w:pStyle w:val="JuPara"/>
      </w:pPr>
      <w:fldSimple w:instr=" SEQ level0 \*arabic \* MERGEFORMAT ">
        <w:r w:rsidR="00E0027B">
          <w:rPr>
            <w:noProof/>
          </w:rPr>
          <w:t>110</w:t>
        </w:r>
      </w:fldSimple>
      <w:r w:rsidR="00DD77EF">
        <w:t>. În sfârșit, în ceea ce privește consecințele procedurii interne pentru reclamant, Curtea a reamintit caracterul deosebit de grav al discursului de incitare la ură și la violență și a constatat că simpla obligare a reclamantului la plata unei amenzi nu a avut un efect disuasiv asupra exercitării dreptului său la libertatea de exprimare și nici consecințe negative asupra carierei sale politice ulterioare (</w:t>
      </w:r>
      <w:r w:rsidR="00DD77EF">
        <w:rPr>
          <w:i/>
        </w:rPr>
        <w:t>ibidem</w:t>
      </w:r>
      <w:r w:rsidR="00DD77EF">
        <w:t>, pct. 208).</w:t>
      </w:r>
    </w:p>
    <w:p w14:paraId="1285347F" w14:textId="77777777" w:rsidR="00920111" w:rsidRPr="001C2470" w:rsidRDefault="00F17402" w:rsidP="001C2470">
      <w:pPr>
        <w:pStyle w:val="JuHa0"/>
      </w:pPr>
      <w:r>
        <w:t>Aplicarea acestor principii în prezenta cauză</w:t>
      </w:r>
    </w:p>
    <w:p w14:paraId="1B3B9B0B" w14:textId="0404296F" w:rsidR="00920111" w:rsidRPr="001C2470" w:rsidRDefault="00F17402" w:rsidP="001C2470">
      <w:pPr>
        <w:pStyle w:val="JuPara"/>
      </w:pPr>
      <w:fldSimple w:instr=" SEQ level0 \*arabic \* MERGEFORMAT ">
        <w:r w:rsidR="00E0027B">
          <w:rPr>
            <w:noProof/>
          </w:rPr>
          <w:t>111</w:t>
        </w:r>
      </w:fldSimple>
      <w:r w:rsidR="00DD77EF">
        <w:t>. Curtea consideră că este necesar să se examineze separat, pe de o parte, stabilirea răspunderii reclamantului pentru propriile mesaje și, pe de altă parte, angajarea răspunderii sale pentru comentariile publicate de terți pe pagina sa de Facebook.</w:t>
      </w:r>
    </w:p>
    <w:p w14:paraId="58B7C398" w14:textId="77777777" w:rsidR="00920111" w:rsidRPr="001C2470" w:rsidRDefault="00F17402" w:rsidP="001C2470">
      <w:pPr>
        <w:pStyle w:val="JuHi"/>
      </w:pPr>
      <w:r>
        <w:t>Cu privire la stabilirea răspunderii reclamantului pentru comentariile sale</w:t>
      </w:r>
    </w:p>
    <w:bookmarkStart w:id="49" w:name="paragraph00118"/>
    <w:p w14:paraId="1CD78CD1" w14:textId="1F4E5523"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bookmarkStart w:id="50" w:name="paragraph00125"/>
      <w:r w:rsidR="00E0027B">
        <w:rPr>
          <w:noProof/>
        </w:rPr>
        <w:t>112</w:t>
      </w:r>
      <w:bookmarkEnd w:id="50"/>
      <w:r w:rsidRPr="001C2470">
        <w:fldChar w:fldCharType="end"/>
      </w:r>
      <w:bookmarkEnd w:id="49"/>
      <w:r>
        <w:t>. Curtea observă de la bun început că părțile nu contestă faptul că ingerința în cauză era prevăzută de lege, și anume de art. 1.349 și 1.357 C. civ. (supra, pct. </w:t>
      </w:r>
      <w:r w:rsidRPr="001C2470">
        <w:fldChar w:fldCharType="begin"/>
      </w:r>
      <w:r w:rsidRPr="001C2470">
        <w:instrText xml:space="preserve"> REF paragraph00031 \h  \* CharFormat </w:instrText>
      </w:r>
      <w:r w:rsidRPr="001C2470">
        <w:fldChar w:fldCharType="separate"/>
      </w:r>
      <w:r w:rsidR="00E0027B">
        <w:t>32</w:t>
      </w:r>
      <w:r w:rsidRPr="001C2470">
        <w:fldChar w:fldCharType="end"/>
      </w:r>
      <w:r>
        <w:t xml:space="preserve"> și </w:t>
      </w:r>
      <w:r w:rsidRPr="001C2470">
        <w:fldChar w:fldCharType="begin"/>
      </w:r>
      <w:r w:rsidRPr="001C2470">
        <w:instrText xml:space="preserve"> REF paragraph00032 \h  \* CharFormat </w:instrText>
      </w:r>
      <w:r w:rsidRPr="001C2470">
        <w:fldChar w:fldCharType="separate"/>
      </w:r>
      <w:r w:rsidR="00E0027B">
        <w:t>33</w:t>
      </w:r>
      <w:r w:rsidRPr="001C2470">
        <w:fldChar w:fldCharType="end"/>
      </w:r>
      <w:r>
        <w:t>), privind răspunderea civilă delictuală pentru propriile acțiuni sau inacțiuni, și că aceasta urmărea scopul legitim de protejare a reputației sau a drepturilor altora.</w:t>
      </w:r>
    </w:p>
    <w:p w14:paraId="1441E54D" w14:textId="38CCF653" w:rsidR="00920111" w:rsidRPr="001C2470" w:rsidRDefault="00F17402" w:rsidP="001C2470">
      <w:pPr>
        <w:pStyle w:val="JuPara"/>
      </w:pPr>
      <w:fldSimple w:instr=" SEQ level0 \*arabic \* MERGEFORMAT ">
        <w:r w:rsidR="00E0027B">
          <w:rPr>
            <w:noProof/>
          </w:rPr>
          <w:t>113</w:t>
        </w:r>
      </w:fldSimple>
      <w:r w:rsidR="00DD77EF">
        <w:t>. Curtea amintește, pe de altă parte, că, în cadrul exercitării controlului său, nu are sarcina de a se substitui instanțelor naționale competente, care dispun, de altfel, de o marjă de apreciere la care preambulul Convenției face referire în mod expres, ca urmare a intrării în vigoare a Protocolului nr. 15 la 1 august 2021, dar că îi revine sarcina de a verifica compatibilitatea cu cerințele art. 10 a hotărârilor pronunțate de aceste instanțe în temeiul puterii lor de apreciere, apreciind ingerința în litigiu în lumina cauzei în ansamblu (</w:t>
      </w:r>
      <w:r w:rsidR="00DD77EF">
        <w:rPr>
          <w:i/>
        </w:rPr>
        <w:t>Sanchez</w:t>
      </w:r>
      <w:r w:rsidR="00DD77EF">
        <w:t>, citată anterior, pct. 198).</w:t>
      </w:r>
    </w:p>
    <w:p w14:paraId="3F06775E" w14:textId="2C11F1CB" w:rsidR="00920111" w:rsidRPr="001C2470" w:rsidRDefault="00F17402" w:rsidP="001C2470">
      <w:pPr>
        <w:pStyle w:val="JuPara"/>
      </w:pPr>
      <w:fldSimple w:instr=" SEQ level0 \*arabic \* MERGEFORMAT ">
        <w:r w:rsidR="00E0027B">
          <w:rPr>
            <w:noProof/>
          </w:rPr>
          <w:t>114</w:t>
        </w:r>
      </w:fldSimple>
      <w:r w:rsidR="00DD77EF">
        <w:t>. Prin urmare, Curtea va examina dacă obligarea reclamantului la plata de despăgubiri pentru comentariile considerate denigratoare publicate de acesta a fost compatibilă cu libertatea de exprimare. În acest scop, va analiza în special dacă instanțele naționale au efectuat o evaluare comparativă a drepturilor în cauză și, în cazul unui răspuns afirmativ, în ce măsură criteriile relevante, astfel cum au fost enunțate la punctele </w:t>
      </w:r>
      <w:r w:rsidRPr="001C2470">
        <w:fldChar w:fldCharType="begin"/>
      </w:r>
      <w:r w:rsidRPr="001C2470">
        <w:instrText xml:space="preserve"> REF paragraph00108 \h  \* CharFormat </w:instrText>
      </w:r>
      <w:r w:rsidRPr="001C2470">
        <w:fldChar w:fldCharType="separate"/>
      </w:r>
      <w:r w:rsidR="00E0027B">
        <w:t>95</w:t>
      </w:r>
      <w:r w:rsidRPr="001C2470">
        <w:fldChar w:fldCharType="end"/>
      </w:r>
      <w:r w:rsidR="00DD77EF">
        <w:t>-</w:t>
      </w:r>
      <w:r w:rsidRPr="001C2470">
        <w:fldChar w:fldCharType="begin"/>
      </w:r>
      <w:r w:rsidRPr="001C2470">
        <w:instrText xml:space="preserve"> REF paragraph00110 \h  \* CharFormat </w:instrText>
      </w:r>
      <w:r w:rsidRPr="001C2470">
        <w:fldChar w:fldCharType="separate"/>
      </w:r>
      <w:r w:rsidR="00E0027B">
        <w:t>97</w:t>
      </w:r>
      <w:r w:rsidRPr="001C2470">
        <w:fldChar w:fldCharType="end"/>
      </w:r>
      <w:r w:rsidR="00DD77EF">
        <w:t xml:space="preserve"> și </w:t>
      </w:r>
      <w:r w:rsidRPr="001C2470">
        <w:fldChar w:fldCharType="begin"/>
      </w:r>
      <w:r w:rsidRPr="001C2470">
        <w:instrText xml:space="preserve"> REF paragraph00115 \h  \* CharFormat </w:instrText>
      </w:r>
      <w:r w:rsidRPr="001C2470">
        <w:fldChar w:fldCharType="separate"/>
      </w:r>
      <w:r w:rsidR="00E0027B">
        <w:t>102</w:t>
      </w:r>
      <w:r w:rsidRPr="001C2470">
        <w:fldChar w:fldCharType="end"/>
      </w:r>
      <w:r w:rsidR="00DD77EF">
        <w:t xml:space="preserve"> de mai sus, au fost aplicate în cadrul acestui proces.</w:t>
      </w:r>
    </w:p>
    <w:p w14:paraId="761E140E" w14:textId="5D16F8B6" w:rsidR="00920111" w:rsidRPr="001C2470" w:rsidRDefault="00F17402" w:rsidP="001C2470">
      <w:pPr>
        <w:pStyle w:val="JuPara"/>
      </w:pPr>
      <w:fldSimple w:instr=" SEQ level0 \*arabic \* MERGEFORMAT ">
        <w:r w:rsidR="00E0027B">
          <w:rPr>
            <w:noProof/>
          </w:rPr>
          <w:t>115</w:t>
        </w:r>
      </w:fldSimple>
      <w:r w:rsidR="00DD77EF">
        <w:t>. Curtea constată mai întâi că Tribunalul, care a stabilit inițial răspunderea reclamantului, nu a considerat necesar să identifice comentariile care erau reproșate persoanei în cauză (supra, pct. </w:t>
      </w:r>
      <w:r w:rsidRPr="001C2470">
        <w:fldChar w:fldCharType="begin"/>
      </w:r>
      <w:r w:rsidRPr="001C2470">
        <w:instrText xml:space="preserve"> REF paragraph00010 \h  \* CharFormat </w:instrText>
      </w:r>
      <w:r w:rsidRPr="001C2470">
        <w:fldChar w:fldCharType="separate"/>
      </w:r>
      <w:r w:rsidR="00E0027B">
        <w:t>10</w:t>
      </w:r>
      <w:r w:rsidRPr="001C2470">
        <w:fldChar w:fldCharType="end"/>
      </w:r>
      <w:r w:rsidR="00DD77EF">
        <w:t>). Curtea de Apel, care a infirmat în parte sentința din 19 iunie 2017, a reținut că patru dintre mesajele publicate de reclamant erau denigratoare. În plus, aceasta a considerat că 22 dintre comentariile publicate, printre care se numărau cele patru mesaje sus-menționate ale reclamantului, depășeau limitele libertății de exprimare, întrucât conțineau „referințe zoologice sau alte derapaje de limbaj”, care contrastau cu „mediul elevat al operei”, fiind așadar indecente (supra, pct. </w:t>
      </w:r>
      <w:r w:rsidRPr="001C2470">
        <w:fldChar w:fldCharType="begin"/>
      </w:r>
      <w:r w:rsidRPr="001C2470">
        <w:instrText xml:space="preserve"> REF paragraph00019 \h  \* CharFormat </w:instrText>
      </w:r>
      <w:r w:rsidRPr="001C2470">
        <w:fldChar w:fldCharType="separate"/>
      </w:r>
      <w:r w:rsidR="00E0027B">
        <w:t>19</w:t>
      </w:r>
      <w:r w:rsidRPr="001C2470">
        <w:fldChar w:fldCharType="end"/>
      </w:r>
      <w:r w:rsidR="00DD77EF">
        <w:t xml:space="preserve"> și </w:t>
      </w:r>
      <w:r w:rsidRPr="001C2470">
        <w:fldChar w:fldCharType="begin"/>
      </w:r>
      <w:r w:rsidRPr="001C2470">
        <w:instrText xml:space="preserve"> REF paragraph00020 \h  \* CharFormat </w:instrText>
      </w:r>
      <w:r w:rsidRPr="001C2470">
        <w:fldChar w:fldCharType="separate"/>
      </w:r>
      <w:r w:rsidR="00E0027B">
        <w:t>20</w:t>
      </w:r>
      <w:r w:rsidRPr="001C2470">
        <w:fldChar w:fldCharType="end"/>
      </w:r>
      <w:r w:rsidR="00DD77EF">
        <w:t>). În sfârșit, Curtea de Casație s-a limitat să confirme decizia Curții de Apel și a apreciat că respectiva critică a reclamantului întemeiată pe lipsa unei analize a expresiilor și a comentariilor considerate ofensatoare de către Curtea de Apel viza aprecieri de fapt legate de decizia atacată, în timp ce recursul avea ca obiect doar chestiuni de drept (supra, pct. </w:t>
      </w:r>
      <w:r w:rsidRPr="001C2470">
        <w:fldChar w:fldCharType="begin"/>
      </w:r>
      <w:r w:rsidRPr="001C2470">
        <w:instrText xml:space="preserve"> REF paragraph00026 \h  \* CharFormat </w:instrText>
      </w:r>
      <w:r w:rsidRPr="001C2470">
        <w:fldChar w:fldCharType="separate"/>
      </w:r>
      <w:r w:rsidR="00E0027B">
        <w:t>26</w:t>
      </w:r>
      <w:r w:rsidRPr="001C2470">
        <w:fldChar w:fldCharType="end"/>
      </w:r>
      <w:r w:rsidR="00DD77EF">
        <w:t>).</w:t>
      </w:r>
    </w:p>
    <w:p w14:paraId="7AF46527" w14:textId="0E3CCB90" w:rsidR="00920111" w:rsidRPr="001C2470" w:rsidRDefault="00F17402" w:rsidP="001C2470">
      <w:pPr>
        <w:pStyle w:val="JuPara"/>
      </w:pPr>
      <w:fldSimple w:instr=" SEQ level0 \*arabic \* MERGEFORMAT ">
        <w:r w:rsidR="00E0027B">
          <w:rPr>
            <w:noProof/>
          </w:rPr>
          <w:t>116</w:t>
        </w:r>
      </w:fldSimple>
      <w:r w:rsidR="00DD77EF">
        <w:t>. În continuare, Curtea observă că, într-adevăr, reclamantul a expus contextul în care formulase mesajele în litigiu și dezbaterea de interes general în care se înscriau acestea. El a precizat în special că dezbaterea în cauză privea atât conducerea instituției unde erau angajate persoanele în cauză, căreia îi imputa anularea unor spectacole și nemulțumirea spectatorilor, cât și conflictul legat de angajarea mai multor artiști străini, în cadrul căruia I.I. și T.S. se alăturaseră protestatarilor care urmăreau să strângă semnături în favoarea înlăturării acestor artiști (supra, pct. </w:t>
      </w:r>
      <w:r w:rsidRPr="001C2470">
        <w:fldChar w:fldCharType="begin"/>
      </w:r>
      <w:r w:rsidRPr="001C2470">
        <w:instrText xml:space="preserve"> REF paragraph00008 \h  \* CharFormat </w:instrText>
      </w:r>
      <w:r w:rsidRPr="001C2470">
        <w:fldChar w:fldCharType="separate"/>
      </w:r>
      <w:r w:rsidR="00E0027B">
        <w:t>8</w:t>
      </w:r>
      <w:r w:rsidRPr="001C2470">
        <w:fldChar w:fldCharType="end"/>
      </w:r>
      <w:r w:rsidR="00DD77EF">
        <w:t xml:space="preserve">, </w:t>
      </w:r>
      <w:r w:rsidRPr="001C2470">
        <w:fldChar w:fldCharType="begin"/>
      </w:r>
      <w:r w:rsidRPr="001C2470">
        <w:instrText xml:space="preserve"> REF paragraph00013 \h  \* CharFormat </w:instrText>
      </w:r>
      <w:r w:rsidRPr="001C2470">
        <w:fldChar w:fldCharType="separate"/>
      </w:r>
      <w:r w:rsidR="00E0027B">
        <w:t>13</w:t>
      </w:r>
      <w:r w:rsidRPr="001C2470">
        <w:fldChar w:fldCharType="end"/>
      </w:r>
      <w:r w:rsidR="00DD77EF">
        <w:t xml:space="preserve"> și </w:t>
      </w:r>
      <w:r w:rsidRPr="001C2470">
        <w:fldChar w:fldCharType="begin"/>
      </w:r>
      <w:r w:rsidRPr="001C2470">
        <w:instrText xml:space="preserve"> REF paragraph00015 \h  \* CharFormat </w:instrText>
      </w:r>
      <w:r w:rsidRPr="001C2470">
        <w:fldChar w:fldCharType="separate"/>
      </w:r>
      <w:r w:rsidR="00E0027B">
        <w:t>15</w:t>
      </w:r>
      <w:r w:rsidRPr="001C2470">
        <w:fldChar w:fldCharType="end"/>
      </w:r>
      <w:r w:rsidR="00DD77EF">
        <w:t xml:space="preserve">), și că, prin mesajele sale, a denunțat ceea ce considera a fi luarea unei poziții politice, și anume o atitudine naționalistă și xenofobă, și că, luând această poziție, persoanele în cauză au dat dovadă de o atitudine nepotrivită pentru niște artiști. În plus, a explicat că postările de pe o pagină de Facebook nu apăreau în căutările efectuate cu ajutorul </w:t>
      </w:r>
      <w:r w:rsidR="00DD77EF">
        <w:lastRenderedPageBreak/>
        <w:t>motoarelor de căutare pe Internet și că reclamanta în procedura internă a fost cea care a contribuit la diseminarea comentariilor în litigiu, prin reluarea acestora pe blogul său, conceput ca o pagină indexată de Google, ceea ce asigura vizibilitatea acestor comentarii în timpul căutărilor efectuate cu ajutorul motorului Google. El a subliniat că respectivele comentarii în litigiu constituiau judecăți de valoare ancorate într-un context factual și că nu a formulat niciun atac personal împotriva părților reclamante în procedura internă, criticând pur și simplu ceea ce considera ca fiind acțiuni de protest motivate politic și care au prevalat asupra activităților lor artistice. Reclamantul a adăugat de asemenea că stabilirea răspunderii sale era disproporționată, având drept consecință reducerea sa la tăcere (supra, pct. </w:t>
      </w:r>
      <w:r w:rsidRPr="001C2470">
        <w:fldChar w:fldCharType="begin"/>
      </w:r>
      <w:r w:rsidRPr="001C2470">
        <w:instrText xml:space="preserve"> REF paragraph00013 \h  \* CharFormat </w:instrText>
      </w:r>
      <w:r w:rsidRPr="001C2470">
        <w:fldChar w:fldCharType="separate"/>
      </w:r>
      <w:r w:rsidR="00E0027B">
        <w:t>13</w:t>
      </w:r>
      <w:r w:rsidRPr="001C2470">
        <w:fldChar w:fldCharType="end"/>
      </w:r>
      <w:r w:rsidR="00DD77EF">
        <w:t>).</w:t>
      </w:r>
    </w:p>
    <w:p w14:paraId="0CD983FB" w14:textId="2C93DA55" w:rsidR="00920111" w:rsidRPr="001C2470" w:rsidRDefault="00F17402" w:rsidP="001C2470">
      <w:pPr>
        <w:pStyle w:val="JuPara"/>
      </w:pPr>
      <w:fldSimple w:instr=" SEQ level0 \*arabic \* MERGEFORMAT ">
        <w:bookmarkStart w:id="51" w:name="paragraph00129"/>
        <w:r w:rsidR="00E0027B">
          <w:rPr>
            <w:noProof/>
          </w:rPr>
          <w:t>117</w:t>
        </w:r>
        <w:bookmarkEnd w:id="51"/>
      </w:fldSimple>
      <w:r w:rsidR="00DD77EF">
        <w:t>. În plus, Curtea constată că, în decizia sa din 19 iunie 2017, Curtea de Apel a statuat că cele patru mesaje reproșate reclamantului conțineau expresii ilicite. Pentru a ajunge la această concluzie, instanța a apreciat expresiile în cauză la modul general (supra, pct. </w:t>
      </w:r>
      <w:r w:rsidRPr="001C2470">
        <w:fldChar w:fldCharType="begin"/>
      </w:r>
      <w:r w:rsidRPr="001C2470">
        <w:instrText xml:space="preserve"> REF paragraph00020 \h </w:instrText>
      </w:r>
      <w:r w:rsidRPr="001C2470">
        <w:fldChar w:fldCharType="separate"/>
      </w:r>
      <w:r w:rsidR="00E0027B">
        <w:rPr>
          <w:noProof/>
        </w:rPr>
        <w:t>20</w:t>
      </w:r>
      <w:r w:rsidRPr="001C2470">
        <w:fldChar w:fldCharType="end"/>
      </w:r>
      <w:r w:rsidR="00DD77EF">
        <w:t>), fără să le analizeze pe fiecare în parte în lumina criteriilor dezvoltate de jurisprudența Curții. Astfel, instanța a hotărât, făcând referire la comentarii în ansamblul lor, atât cele ale reclamantului, cât și cele ale terților, că acestea erau lipsite de decență și constituiau „derapaje de limbaj”, având în vedere „referințele zoologice” pe care le conțineau și „discrepanț[a] între conținutul formulărilor și mediul elevat al operei și al iubitorilor de operă” (supra, pct. </w:t>
      </w:r>
      <w:r w:rsidRPr="001C2470">
        <w:fldChar w:fldCharType="begin"/>
      </w:r>
      <w:r w:rsidRPr="001C2470">
        <w:instrText xml:space="preserve"> REF paragraph00019 \h  \* CharFormat </w:instrText>
      </w:r>
      <w:r w:rsidRPr="001C2470">
        <w:fldChar w:fldCharType="separate"/>
      </w:r>
      <w:r w:rsidR="00E0027B">
        <w:t>19</w:t>
      </w:r>
      <w:r w:rsidRPr="001C2470">
        <w:fldChar w:fldCharType="end"/>
      </w:r>
      <w:r w:rsidR="00DD77EF">
        <w:t>).</w:t>
      </w:r>
    </w:p>
    <w:p w14:paraId="0FA8DC93" w14:textId="4A663101" w:rsidR="00920111" w:rsidRPr="001C2470" w:rsidRDefault="00F17402" w:rsidP="001C2470">
      <w:pPr>
        <w:pStyle w:val="JuPara"/>
      </w:pPr>
      <w:fldSimple w:instr=" SEQ level0 \*arabic \* MERGEFORMAT ">
        <w:r w:rsidR="00E0027B">
          <w:rPr>
            <w:noProof/>
          </w:rPr>
          <w:t>118</w:t>
        </w:r>
      </w:fldSimple>
      <w:r w:rsidR="00DD77EF">
        <w:t>. Deși este adevărat că, în decizia sa, Curtea de Apel a rezumat contextul factual al cauzei, Curtea observă că instanța menționată nu și-a întemeiat în niciun fel raționamentul pe contextul astfel rezumat. Or, acesta ar fi putut fi utilizat pentru a examina, pe de o parte, dacă fiecare dintre comentariile și expresiile incriminate, inclusiv cele calificate drept „zoologice”, au contribuit la o dezbatere de interes general, circumstanțele în care au fost publicate respectivele comentarii și utilizarea expresiilor incriminate ca figuri de stil în limitele exagerării, asemenea comentariilor considerate licite de către aceeași instanță (supra, pct. </w:t>
      </w:r>
      <w:r w:rsidRPr="001C2470">
        <w:fldChar w:fldCharType="begin"/>
      </w:r>
      <w:r w:rsidRPr="001C2470">
        <w:instrText xml:space="preserve"> REF paragraph00018 \h  \* CharFormat </w:instrText>
      </w:r>
      <w:r w:rsidRPr="001C2470">
        <w:fldChar w:fldCharType="separate"/>
      </w:r>
      <w:r w:rsidR="00E0027B">
        <w:t>18</w:t>
      </w:r>
      <w:r w:rsidRPr="001C2470">
        <w:fldChar w:fldCharType="end"/>
      </w:r>
      <w:r w:rsidR="00DD77EF">
        <w:t>), și, pe de altă parte, conduita părților vătămate, care nu l-au notificat pe reclamant cu privire la nemulțumirile lor înainte de formularea cererii de chemare în judecată și, în cele din urmă, gravitatea atingerii aduse reputației acestor persoane. Deși aceste elemente erau în mod evident relevante pentru a aprecia dacă reclamantul a depășit limitele libertății de exprimare, Curtea de Apel nu a efectuat nicio analiză semnificativă a acestora. Aceasta nu a răspuns nici la argumentele reclamantului potrivit cărora cea care a contribuit la diseminarea pe scară mai largă a comentariilor în cauză este reclamanta în procedura internă și nici nu a examinat proporționalitatea cuantumului despăgubirilor acordate sau efectul „disuasiv” al unei astfel de sentințe asupra libertății de exprimare (</w:t>
      </w:r>
      <w:bookmarkStart w:id="52" w:name="_cl2584"/>
      <w:r w:rsidR="00DD77EF">
        <w:t xml:space="preserve">a se vedea, printre multe altele, </w:t>
      </w:r>
      <w:r w:rsidR="00DD77EF">
        <w:rPr>
          <w:i/>
        </w:rPr>
        <w:t>Brasilier împotriva Franței</w:t>
      </w:r>
      <w:bookmarkEnd w:id="52"/>
      <w:r w:rsidR="00DD77EF">
        <w:t>, nr. 71343/01, pct. 43, 11 aprilie 2006).</w:t>
      </w:r>
    </w:p>
    <w:p w14:paraId="5C22A335" w14:textId="35A379BF" w:rsidR="00920111" w:rsidRPr="001C2470" w:rsidRDefault="00F17402" w:rsidP="001C2470">
      <w:pPr>
        <w:pStyle w:val="JuPara"/>
      </w:pPr>
      <w:fldSimple w:instr=" SEQ level0 \*arabic \* MERGEFORMAT ">
        <w:r w:rsidR="00E0027B">
          <w:rPr>
            <w:noProof/>
          </w:rPr>
          <w:t>119</w:t>
        </w:r>
      </w:fldSimple>
      <w:r w:rsidR="00DD77EF">
        <w:t>. Curtea a subliniat în repetate rânduri că ingerințele în libertatea de exprimare pot avea un efect disuasiv asupra exercitării acestei libertăți și că valoarea relativ moderată a despăgubirilor datorate nu este suficientă pentru a exclude acest risc (a se vedea jurisprudența citată la punctul </w:t>
      </w:r>
      <w:r w:rsidRPr="001C2470">
        <w:fldChar w:fldCharType="begin"/>
      </w:r>
      <w:r w:rsidRPr="001C2470">
        <w:instrText xml:space="preserve"> REF paragraph00109 \h  \* CharFormat </w:instrText>
      </w:r>
      <w:r w:rsidRPr="001C2470">
        <w:fldChar w:fldCharType="separate"/>
      </w:r>
      <w:r w:rsidR="00E0027B">
        <w:t>96</w:t>
      </w:r>
      <w:r w:rsidRPr="001C2470">
        <w:fldChar w:fldCharType="end"/>
      </w:r>
      <w:r w:rsidR="00DD77EF">
        <w:t xml:space="preserve"> de mai sus).</w:t>
      </w:r>
    </w:p>
    <w:p w14:paraId="37DBFDBF" w14:textId="7E82A0EC" w:rsidR="00920111" w:rsidRPr="001C2470" w:rsidRDefault="00F17402" w:rsidP="001C2470">
      <w:pPr>
        <w:pStyle w:val="JuPara"/>
      </w:pPr>
      <w:fldSimple w:instr=" SEQ level0 \*arabic \* MERGEFORMAT ">
        <w:r w:rsidR="00E0027B">
          <w:rPr>
            <w:noProof/>
          </w:rPr>
          <w:t>120</w:t>
        </w:r>
      </w:fldSimple>
      <w:r w:rsidR="00DD77EF">
        <w:t>. Considerațiile care precedă sunt suficiente Curții pentru a concluziona că autoritățile naționale nu au efectuat o evaluare comparativă reală a intereselor aflate în joc pentru a demonstra că sentința civilă pronunțată împotriva reclamantului pentru comentariile publicate de acesta pe pagina sa de Facebook răspundea unei „nevoi sociale imperioase” și era proporțională cu scopul legitim urmărit (</w:t>
      </w:r>
      <w:bookmarkStart w:id="53" w:name="_cl7778"/>
      <w:r w:rsidR="00DD77EF">
        <w:t xml:space="preserve">a se vedea, </w:t>
      </w:r>
      <w:r w:rsidR="00DD77EF">
        <w:rPr>
          <w:i/>
        </w:rPr>
        <w:t>mutatis mutandis</w:t>
      </w:r>
      <w:r w:rsidR="00DD77EF">
        <w:t xml:space="preserve">, </w:t>
      </w:r>
      <w:r w:rsidR="00DD77EF">
        <w:rPr>
          <w:i/>
        </w:rPr>
        <w:t>Ibragim Ibragimov și alții împotriva Rusiei</w:t>
      </w:r>
      <w:bookmarkEnd w:id="53"/>
      <w:r w:rsidR="00DD77EF">
        <w:t>, nr. 1413/08 și 28621/11, pct. 106</w:t>
      </w:r>
      <w:r w:rsidR="00DD77EF">
        <w:noBreakHyphen/>
        <w:t>111, 28 august 2018). Prin urmare, ingerința în nu era „necesară într-o societate democratică”.</w:t>
      </w:r>
    </w:p>
    <w:bookmarkStart w:id="54" w:name="paragraph00127"/>
    <w:p w14:paraId="0DA26BE5" w14:textId="4D9563B4"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bookmarkStart w:id="55" w:name="paragraph00133"/>
      <w:r w:rsidR="00E0027B">
        <w:rPr>
          <w:noProof/>
        </w:rPr>
        <w:t>121</w:t>
      </w:r>
      <w:bookmarkEnd w:id="55"/>
      <w:r w:rsidRPr="001C2470">
        <w:fldChar w:fldCharType="end"/>
      </w:r>
      <w:bookmarkEnd w:id="54"/>
      <w:r>
        <w:t>. În consecință, a existat o încălcare a art. 10 din Convenție ca urmare a pronunțării unei sentințe împotriva reclamantului pentru comentariile publicate de acesta pe pagina sa de Facebook.</w:t>
      </w:r>
    </w:p>
    <w:p w14:paraId="2B11EC10" w14:textId="77777777" w:rsidR="00920111" w:rsidRPr="001C2470" w:rsidRDefault="00F17402" w:rsidP="001C2470">
      <w:pPr>
        <w:pStyle w:val="JuHi"/>
      </w:pPr>
      <w:r>
        <w:lastRenderedPageBreak/>
        <w:t>Cu privire la stabilirea răspunderii reclamantului pentru comentariile terților</w:t>
      </w:r>
    </w:p>
    <w:bookmarkStart w:id="56" w:name="paragraph00128"/>
    <w:p w14:paraId="6999DA4E" w14:textId="2F02D9EE"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r w:rsidR="00E0027B">
        <w:rPr>
          <w:noProof/>
        </w:rPr>
        <w:t>122</w:t>
      </w:r>
      <w:r w:rsidRPr="001C2470">
        <w:fldChar w:fldCharType="end"/>
      </w:r>
      <w:bookmarkEnd w:id="56"/>
      <w:r>
        <w:t>. Curtea trebuie să examineze dacă ingerința constând în stabilirea răspunderii reclamantului ca urmare a comentariilor postate de terți era prevăzută de lege.</w:t>
      </w:r>
    </w:p>
    <w:p w14:paraId="4E58E0E4" w14:textId="77777777" w:rsidR="00920111" w:rsidRPr="001C2470" w:rsidRDefault="00F17402" w:rsidP="001C2470">
      <w:pPr>
        <w:pStyle w:val="JuHalpha"/>
      </w:pPr>
      <w:r>
        <w:t>Baza legală în dreptul intern</w:t>
      </w:r>
    </w:p>
    <w:p w14:paraId="42B85CA6" w14:textId="5E8C6E78" w:rsidR="00920111" w:rsidRPr="001C2470" w:rsidRDefault="00F17402" w:rsidP="001C2470">
      <w:pPr>
        <w:pStyle w:val="JuPara"/>
      </w:pPr>
      <w:fldSimple w:instr=" SEQ level0 \*arabic \* MERGEFORMAT ">
        <w:r w:rsidR="00E0027B">
          <w:rPr>
            <w:noProof/>
          </w:rPr>
          <w:t>123</w:t>
        </w:r>
      </w:fldSimple>
      <w:r w:rsidR="00DD77EF">
        <w:t>. Părțile sunt de acord în privința faptului că pronunțarea unei sentințe împotriva reclamantului pentru comentariile publicate de terți, la fel ca și stabilirea răspunderii acestuia pentru comentariile pe care el însuși le-a publicat, s-a întemeiat pe art. 1.349 și 1.357 din Codul civil (supra, pct. </w:t>
      </w:r>
      <w:r w:rsidRPr="001C2470">
        <w:fldChar w:fldCharType="begin"/>
      </w:r>
      <w:r w:rsidRPr="001C2470">
        <w:instrText xml:space="preserve"> REF paragraph00031 \h  \* CharFormat </w:instrText>
      </w:r>
      <w:r w:rsidRPr="001C2470">
        <w:fldChar w:fldCharType="separate"/>
      </w:r>
      <w:r w:rsidR="00E0027B">
        <w:t>32</w:t>
      </w:r>
      <w:r w:rsidRPr="001C2470">
        <w:fldChar w:fldCharType="end"/>
      </w:r>
      <w:r w:rsidR="00DD77EF">
        <w:t xml:space="preserve">, </w:t>
      </w:r>
      <w:r w:rsidRPr="001C2470">
        <w:fldChar w:fldCharType="begin"/>
      </w:r>
      <w:r w:rsidRPr="001C2470">
        <w:instrText xml:space="preserve"> REF paragraph00032 \h  \* CharFormat </w:instrText>
      </w:r>
      <w:r w:rsidRPr="001C2470">
        <w:fldChar w:fldCharType="separate"/>
      </w:r>
      <w:r w:rsidR="00E0027B">
        <w:t>33</w:t>
      </w:r>
      <w:r w:rsidRPr="001C2470">
        <w:fldChar w:fldCharType="end"/>
      </w:r>
      <w:r w:rsidR="00DD77EF">
        <w:t xml:space="preserve"> și </w:t>
      </w:r>
      <w:r w:rsidRPr="001C2470">
        <w:fldChar w:fldCharType="begin"/>
      </w:r>
      <w:r w:rsidRPr="001C2470">
        <w:instrText xml:space="preserve"> REF paragraph00125 \h  \* CharFormat </w:instrText>
      </w:r>
      <w:r w:rsidRPr="001C2470">
        <w:fldChar w:fldCharType="separate"/>
      </w:r>
      <w:r w:rsidR="00E0027B">
        <w:t>112</w:t>
      </w:r>
      <w:r w:rsidRPr="001C2470">
        <w:fldChar w:fldCharType="end"/>
      </w:r>
      <w:r w:rsidR="00DD77EF">
        <w:t>).</w:t>
      </w:r>
    </w:p>
    <w:p w14:paraId="35C733A2" w14:textId="77777777" w:rsidR="00920111" w:rsidRPr="001C2470" w:rsidRDefault="00F17402" w:rsidP="001C2470">
      <w:pPr>
        <w:pStyle w:val="JuPara"/>
      </w:pPr>
      <w:r>
        <w:t>Prin urmare, Curtea admite că aceste dispoziții din Codul civil constituiau baza legală a ingerinței în discuție în speță.</w:t>
      </w:r>
    </w:p>
    <w:p w14:paraId="361493D6" w14:textId="287C2595" w:rsidR="00920111" w:rsidRPr="001C2470" w:rsidRDefault="00F17402" w:rsidP="001C2470">
      <w:pPr>
        <w:pStyle w:val="JuPara"/>
      </w:pPr>
      <w:fldSimple w:instr=" SEQ level0 \*arabic \* MERGEFORMAT ">
        <w:r w:rsidR="00E0027B">
          <w:rPr>
            <w:noProof/>
          </w:rPr>
          <w:t>124</w:t>
        </w:r>
      </w:fldSimple>
      <w:r w:rsidR="00DD77EF">
        <w:t>. Curtea observă de asemenea că nu se contestă faptul că textele sus-menționate erau suficient de accesibile.</w:t>
      </w:r>
    </w:p>
    <w:p w14:paraId="4E78453E" w14:textId="3AB6F13D" w:rsidR="00920111" w:rsidRPr="001C2470" w:rsidRDefault="00F17402" w:rsidP="001C2470">
      <w:pPr>
        <w:pStyle w:val="JuPara"/>
      </w:pPr>
      <w:fldSimple w:instr=" SEQ level0 \*arabic \* MERGEFORMAT ">
        <w:r w:rsidR="00E0027B">
          <w:rPr>
            <w:noProof/>
          </w:rPr>
          <w:t>125</w:t>
        </w:r>
      </w:fldSimple>
      <w:r w:rsidR="00DD77EF">
        <w:t xml:space="preserve">. Reclamantul consideră totuși că aceste dispoziții nu îndeplineau cerința previzibilității, în timp ce Guvernul susține că acestea erau clare și previzibile (a se vedea argumentele părților cu privire la acest aspect, rezumate la punctele </w:t>
      </w:r>
      <w:r w:rsidRPr="001C2470">
        <w:fldChar w:fldCharType="begin"/>
      </w:r>
      <w:r w:rsidRPr="001C2470">
        <w:instrText xml:space="preserve"> REF paragraph0049 \h  \* MERGEFORMAT </w:instrText>
      </w:r>
      <w:r w:rsidRPr="001C2470">
        <w:fldChar w:fldCharType="separate"/>
      </w:r>
      <w:r w:rsidR="00E0027B">
        <w:t>49</w:t>
      </w:r>
      <w:r w:rsidRPr="001C2470">
        <w:fldChar w:fldCharType="end"/>
      </w:r>
      <w:r w:rsidR="00DD77EF">
        <w:t>-</w:t>
      </w:r>
      <w:r w:rsidRPr="001C2470">
        <w:fldChar w:fldCharType="begin"/>
      </w:r>
      <w:r w:rsidRPr="001C2470">
        <w:instrText xml:space="preserve"> REF paragraph0067 \h  \* MERGEFORMAT </w:instrText>
      </w:r>
      <w:r w:rsidRPr="001C2470">
        <w:fldChar w:fldCharType="separate"/>
      </w:r>
      <w:r w:rsidR="00E0027B">
        <w:t>62</w:t>
      </w:r>
      <w:r w:rsidRPr="001C2470">
        <w:fldChar w:fldCharType="end"/>
      </w:r>
      <w:r w:rsidR="00DD77EF">
        <w:t xml:space="preserve">, </w:t>
      </w:r>
      <w:r w:rsidRPr="001C2470">
        <w:fldChar w:fldCharType="begin"/>
      </w:r>
      <w:r w:rsidRPr="001C2470">
        <w:instrText xml:space="preserve"> REF paragraph0082 \h </w:instrText>
      </w:r>
      <w:r w:rsidRPr="001C2470">
        <w:fldChar w:fldCharType="separate"/>
      </w:r>
      <w:r w:rsidR="00E0027B">
        <w:rPr>
          <w:noProof/>
        </w:rPr>
        <w:t>71</w:t>
      </w:r>
      <w:r w:rsidRPr="001C2470">
        <w:fldChar w:fldCharType="end"/>
      </w:r>
      <w:r w:rsidR="00DD77EF">
        <w:t xml:space="preserve"> și </w:t>
      </w:r>
      <w:r w:rsidRPr="001C2470">
        <w:fldChar w:fldCharType="begin"/>
      </w:r>
      <w:r w:rsidRPr="001C2470">
        <w:instrText xml:space="preserve"> REF paragraph0083 \h </w:instrText>
      </w:r>
      <w:r w:rsidRPr="001C2470">
        <w:fldChar w:fldCharType="separate"/>
      </w:r>
      <w:r w:rsidR="00E0027B">
        <w:rPr>
          <w:noProof/>
        </w:rPr>
        <w:t>73</w:t>
      </w:r>
      <w:r w:rsidRPr="001C2470">
        <w:fldChar w:fldCharType="end"/>
      </w:r>
      <w:r w:rsidR="00DD77EF">
        <w:t xml:space="preserve"> de mai sus). Prin urmare, este necesar să se examineze „calitatea” normelor juridice invocate în speță.</w:t>
      </w:r>
    </w:p>
    <w:p w14:paraId="770546D1" w14:textId="77777777" w:rsidR="00920111" w:rsidRPr="001C2470" w:rsidRDefault="00F17402" w:rsidP="001C2470">
      <w:pPr>
        <w:pStyle w:val="JuHalpha"/>
      </w:pPr>
      <w:r>
        <w:t>Calitatea legii</w:t>
      </w:r>
    </w:p>
    <w:p w14:paraId="207AC454" w14:textId="54F6EA2B" w:rsidR="00920111" w:rsidRPr="001C2470" w:rsidRDefault="00F17402" w:rsidP="001C2470">
      <w:pPr>
        <w:pStyle w:val="JuPara"/>
      </w:pPr>
      <w:fldSimple w:instr=" SEQ level0 \*arabic \* MERGEFORMAT ">
        <w:r w:rsidR="00E0027B">
          <w:rPr>
            <w:noProof/>
          </w:rPr>
          <w:t>126</w:t>
        </w:r>
      </w:fldSimple>
      <w:r w:rsidR="00DD77EF">
        <w:t xml:space="preserve">. Astfel cum reiese din principiile reamintite la punctele </w:t>
      </w:r>
      <w:r w:rsidRPr="001C2470">
        <w:fldChar w:fldCharType="begin"/>
      </w:r>
      <w:r w:rsidRPr="001C2470">
        <w:instrText xml:space="preserve"> REF paragraph00102 \h  \* CharFormat </w:instrText>
      </w:r>
      <w:r w:rsidRPr="001C2470">
        <w:fldChar w:fldCharType="separate"/>
      </w:r>
      <w:r w:rsidR="00E0027B">
        <w:t>89</w:t>
      </w:r>
      <w:r w:rsidRPr="001C2470">
        <w:fldChar w:fldCharType="end"/>
      </w:r>
      <w:r w:rsidR="00DD77EF">
        <w:noBreakHyphen/>
      </w:r>
      <w:r w:rsidRPr="001C2470">
        <w:fldChar w:fldCharType="begin"/>
      </w:r>
      <w:r w:rsidRPr="001C2470">
        <w:instrText xml:space="preserve"> REF paragraph00105 \h  \* CharFormat </w:instrText>
      </w:r>
      <w:r w:rsidRPr="001C2470">
        <w:fldChar w:fldCharType="separate"/>
      </w:r>
      <w:r w:rsidR="00E0027B">
        <w:t>92</w:t>
      </w:r>
      <w:r w:rsidRPr="001C2470">
        <w:fldChar w:fldCharType="end"/>
      </w:r>
      <w:r w:rsidR="00DD77EF">
        <w:t xml:space="preserve">, problema decisivă care se ridică în această privință este dacă reclamantul știa sau ar fi trebuit să știe – apelând, dacă era cazul, la o consiliere adecvată – că inacțiunea sa era de natură să angajeze răspunderea sa civilă în temeiul art. 1.349 și 1.357 C. civ. (a se vedea, </w:t>
      </w:r>
      <w:r w:rsidR="00DD77EF">
        <w:rPr>
          <w:i/>
        </w:rPr>
        <w:t>mutatis mutandis</w:t>
      </w:r>
      <w:r w:rsidR="00DD77EF">
        <w:t xml:space="preserve">, </w:t>
      </w:r>
      <w:r w:rsidR="00DD77EF">
        <w:rPr>
          <w:i/>
        </w:rPr>
        <w:t>Perinçek</w:t>
      </w:r>
      <w:r w:rsidR="00DD77EF">
        <w:t>, citată anterior, pct. 137).</w:t>
      </w:r>
    </w:p>
    <w:p w14:paraId="20CA7C7F" w14:textId="0D1A04C7" w:rsidR="00920111" w:rsidRPr="001C2470" w:rsidRDefault="00F17402" w:rsidP="001C2470">
      <w:pPr>
        <w:pStyle w:val="JuPara"/>
      </w:pPr>
      <w:fldSimple w:instr=" SEQ level0 \*arabic \* MERGEFORMAT ">
        <w:r w:rsidR="00E0027B">
          <w:rPr>
            <w:noProof/>
          </w:rPr>
          <w:t>127</w:t>
        </w:r>
      </w:fldSimple>
      <w:r w:rsidR="00DD77EF">
        <w:t>. În opinia Curții, o ingerință în exercitarea libertății de exprimare care rezultă din angajarea răspunderii unei persoane particulare pentru comentarii publicate de terți pe o pagină de Internet administrată de aceasta trebuie să se întemeieze pe o „lege” cu un anumit grad de precizie. Astfel, existența unor norme clare în materie pare indispensabilă, având în vedere particularitățile tehnice ale funcționării Internetului și rolul important pe care îl joacă în îmbunătățirea accesului publicului la informații și în facilitarea diseminării informațiilor în general, astfel cum a reamintit Curtea în repetate rânduri (</w:t>
      </w:r>
      <w:bookmarkStart w:id="57" w:name="_cl8277"/>
      <w:r w:rsidR="00DD77EF">
        <w:rPr>
          <w:i/>
        </w:rPr>
        <w:t>Jankovskis împotriva Lituaniei</w:t>
      </w:r>
      <w:bookmarkEnd w:id="57"/>
      <w:r w:rsidR="00DD77EF">
        <w:t xml:space="preserve">, nr. 21575/08, pct. 54, 17 ianuarie 2017, și trimiterile citate, și </w:t>
      </w:r>
      <w:r w:rsidR="00DD77EF">
        <w:rPr>
          <w:i/>
        </w:rPr>
        <w:t>Sanchez</w:t>
      </w:r>
      <w:r w:rsidR="00DD77EF">
        <w:t>, citată anterior, pct. 52 și 158) și astfel cum reiese din instrumentele europene relevante (supra, pct. </w:t>
      </w:r>
      <w:r w:rsidRPr="001C2470">
        <w:fldChar w:fldCharType="begin"/>
      </w:r>
      <w:r w:rsidRPr="001C2470">
        <w:instrText xml:space="preserve"> REF paragraph00036 \h  \* CharFormat  \* MERGEFORMAT </w:instrText>
      </w:r>
      <w:r w:rsidRPr="001C2470">
        <w:fldChar w:fldCharType="separate"/>
      </w:r>
      <w:r w:rsidR="00E0027B">
        <w:t>36</w:t>
      </w:r>
      <w:r w:rsidRPr="001C2470">
        <w:fldChar w:fldCharType="end"/>
      </w:r>
      <w:r w:rsidR="00DD77EF">
        <w:t>-</w:t>
      </w:r>
      <w:r w:rsidRPr="001C2470">
        <w:fldChar w:fldCharType="begin"/>
      </w:r>
      <w:r w:rsidRPr="001C2470">
        <w:instrText xml:space="preserve"> REF paragraph00038 \h  \* MERGEFORMAT </w:instrText>
      </w:r>
      <w:r w:rsidRPr="001C2470">
        <w:fldChar w:fldCharType="separate"/>
      </w:r>
      <w:r w:rsidR="00E0027B">
        <w:t>38</w:t>
      </w:r>
      <w:r w:rsidRPr="001C2470">
        <w:fldChar w:fldCharType="end"/>
      </w:r>
      <w:r w:rsidR="00DD77EF">
        <w:t>).</w:t>
      </w:r>
    </w:p>
    <w:p w14:paraId="1316CD89" w14:textId="36F4C391" w:rsidR="00920111" w:rsidRPr="001C2470" w:rsidRDefault="00F17402" w:rsidP="001C2470">
      <w:pPr>
        <w:pStyle w:val="JuPara"/>
      </w:pPr>
      <w:fldSimple w:instr=" SEQ level0 \*arabic \* MERGEFORMAT ">
        <w:r w:rsidR="00E0027B">
          <w:rPr>
            <w:noProof/>
          </w:rPr>
          <w:t>128</w:t>
        </w:r>
      </w:fldSimple>
      <w:r w:rsidR="00DD77EF">
        <w:t>. Curtea arată, mai întâi, că articolele invocate de instanțele naționale în ceea ce privește răspunderea civilă pentru fapta proprie, și anume art. 1.349 și 1.357 din Codul civil (supra, pct. </w:t>
      </w:r>
      <w:r w:rsidRPr="001C2470">
        <w:fldChar w:fldCharType="begin"/>
      </w:r>
      <w:r w:rsidRPr="001C2470">
        <w:instrText xml:space="preserve"> REF paragraph00031 \h  \* CharFormat </w:instrText>
      </w:r>
      <w:r w:rsidRPr="001C2470">
        <w:fldChar w:fldCharType="separate"/>
      </w:r>
      <w:r w:rsidR="00E0027B">
        <w:t>32</w:t>
      </w:r>
      <w:r w:rsidRPr="001C2470">
        <w:fldChar w:fldCharType="end"/>
      </w:r>
      <w:r w:rsidR="00DD77EF">
        <w:t xml:space="preserve"> și </w:t>
      </w:r>
      <w:r w:rsidRPr="001C2470">
        <w:fldChar w:fldCharType="begin"/>
      </w:r>
      <w:r w:rsidRPr="001C2470">
        <w:instrText xml:space="preserve"> REF paragraph00032 \h  \* CharFormat </w:instrText>
      </w:r>
      <w:r w:rsidRPr="001C2470">
        <w:fldChar w:fldCharType="separate"/>
      </w:r>
      <w:r w:rsidR="00E0027B">
        <w:t>33</w:t>
      </w:r>
      <w:r w:rsidRPr="001C2470">
        <w:fldChar w:fldCharType="end"/>
      </w:r>
      <w:r w:rsidR="00DD77EF">
        <w:t>), prevăd că o persoană trebuie să respecte regulile de conduită pe care legea sau obiceiul locului le impune și, respectiv, să nu aducă atingere, prin acțiunile ori inacțiunile sale, drepturilor sau intereselor legitime ale altor persoane (art. 1.349</w:t>
      </w:r>
      <w:r w:rsidR="00DD77EF">
        <w:noBreakHyphen/>
        <w:t>1) și că prejudiciul cauzat unei alte persoane printr-o faptă săvârșită cu vinovăție trebuie să fie reparat (art. 1.357). Observă că aceste dispoziții nu conțin nicio indicație cu privire la existența vreunei obligații din partea reclamantului, în calitatea acestuia de deținător al unei pagini de Facebook, de a monitoriza mesajele publicate de terțe persoane pe pagina lui. Acestea nu oferă nici precizări cu privire la circumstanțele în care deținătorului unei astfel de pagini i s-ar putea impune să efectueze o asemenea verificare sau cu privire la măsurile care trebuie luate ca urmare a acestei verificări și nici, în sfârșit, cu privire la condițiile care definesc vinovăția în acest context specific. Modul de redactare a dispozițiilor legale pe care s-au întemeiat instanțele naționale pare, așadar, deosebit de general, fără nicio referire specifică la domeniul audiovizual sau electronic ori la condițiile de angajare a răspunderii diferiților actori care pot interveni într-un astfel de domeniu.</w:t>
      </w:r>
    </w:p>
    <w:p w14:paraId="6CD7B97D" w14:textId="07286CA7" w:rsidR="00920111" w:rsidRPr="001C2470" w:rsidRDefault="00F17402" w:rsidP="001C2470">
      <w:pPr>
        <w:pStyle w:val="JuPara"/>
      </w:pPr>
      <w:fldSimple w:instr=" SEQ level0 \*arabic \* MERGEFORMAT ">
        <w:r w:rsidR="00E0027B">
          <w:rPr>
            <w:noProof/>
          </w:rPr>
          <w:t>129</w:t>
        </w:r>
      </w:fldSimple>
      <w:r w:rsidR="00DD77EF">
        <w:t xml:space="preserve">. Curtea admite că </w:t>
      </w:r>
      <w:bookmarkStart w:id="58" w:name="lt_pId1008"/>
      <w:r w:rsidR="00DD77EF">
        <w:t>numeroase legi sunt, prin forța lucrurilor, formulate în termeni mai mult sau mai puțin vagi, a căror interpretare și aplicare depind de practică</w:t>
      </w:r>
      <w:bookmarkEnd w:id="58"/>
      <w:r w:rsidR="00DD77EF">
        <w:t>. Astfel, o dispoziție legală nu contravine cerinței de „previzibilitate”, în sensul Convenției, pentru simplul motiv că se pretează mai multor interpretări, iar funcția decizională încredințată instanțelor servește tocmai la disiparea oricăror îndoieli care ar putea subzista în ceea ce privește interpretarea normelor, având în vedere evoluția practicii cotidiene [a se vedea jurisprudența citată la punctul </w:t>
      </w:r>
      <w:r w:rsidRPr="001C2470">
        <w:fldChar w:fldCharType="begin"/>
      </w:r>
      <w:r w:rsidRPr="001C2470">
        <w:instrText xml:space="preserve"> REF paragraph00103 \h  \* CharFormat </w:instrText>
      </w:r>
      <w:r w:rsidRPr="001C2470">
        <w:fldChar w:fldCharType="separate"/>
      </w:r>
      <w:r w:rsidR="00E0027B">
        <w:t>90</w:t>
      </w:r>
      <w:r w:rsidRPr="001C2470">
        <w:fldChar w:fldCharType="end"/>
      </w:r>
      <w:r w:rsidR="00DD77EF">
        <w:t xml:space="preserve"> de mai sus, precum și </w:t>
      </w:r>
      <w:r w:rsidR="00DD77EF">
        <w:rPr>
          <w:i/>
        </w:rPr>
        <w:t>Magyar Kétfarkú Kutya Párt</w:t>
      </w:r>
      <w:r w:rsidR="00DD77EF">
        <w:t xml:space="preserve">, citată anterior, pct. 97, și </w:t>
      </w:r>
      <w:r w:rsidR="00DD77EF">
        <w:rPr>
          <w:i/>
        </w:rPr>
        <w:t>Gorzelik și alții împotriva Poloniei</w:t>
      </w:r>
      <w:r w:rsidR="00DD77EF">
        <w:t> (MC), nr. 44158/98, pct. 65, CEDO 2004</w:t>
      </w:r>
      <w:r w:rsidR="00DD77EF">
        <w:noBreakHyphen/>
        <w:t xml:space="preserve">I]. În plus, revine în primul rând autorităților naționale, în special instanțelor, sarcina de a interpreta și de a aplica dreptul intern (a se vedea, din perspectiva art. 8 din Convenție, </w:t>
      </w:r>
      <w:r w:rsidR="00DD77EF">
        <w:rPr>
          <w:i/>
        </w:rPr>
        <w:t>Kruslin împotriva Franței</w:t>
      </w:r>
      <w:r w:rsidR="00DD77EF">
        <w:t>, 24 aprilie 1990, pct. 29, seria A nr. 176-A, și </w:t>
      </w:r>
      <w:r w:rsidR="00DD77EF">
        <w:rPr>
          <w:i/>
        </w:rPr>
        <w:t>Kopp împotriva Elveției</w:t>
      </w:r>
      <w:r w:rsidR="00DD77EF">
        <w:t xml:space="preserve">, 25 martie 1998, pct. 59, </w:t>
      </w:r>
      <w:r w:rsidR="00DD77EF">
        <w:rPr>
          <w:i/>
        </w:rPr>
        <w:t>Culegere de hotărâri și decizii</w:t>
      </w:r>
      <w:r w:rsidR="00DD77EF">
        <w:t> 1998-II).</w:t>
      </w:r>
    </w:p>
    <w:p w14:paraId="2AF3DD82" w14:textId="1672EB74" w:rsidR="00920111" w:rsidRPr="001C2470" w:rsidRDefault="00F17402" w:rsidP="001C2470">
      <w:pPr>
        <w:pStyle w:val="JuPara"/>
      </w:pPr>
      <w:fldSimple w:instr=" SEQ level0 \*arabic \* MERGEFORMAT ">
        <w:r w:rsidR="00E0027B">
          <w:rPr>
            <w:noProof/>
          </w:rPr>
          <w:t>130</w:t>
        </w:r>
      </w:fldSimple>
      <w:r w:rsidR="00DD77EF">
        <w:t>. Prin urmare, Curtea trebuie să examineze modul în care instanțele au clarificat dispozițiile dreptului intern în prezenta cauză. În această privință, rezultă că fiecare dintre instanțele naționale care s</w:t>
      </w:r>
      <w:r w:rsidR="00DD77EF">
        <w:noBreakHyphen/>
        <w:t>au pronunțat cu privire la problema răspunderii reclamantului a concluzionat în sensul angajării răspunderii acestuia pentru motive și pe temeiuri legale aparent diferite. Astfel, Tribunalul a hotărât, în termeni foarte generali, că reclamantul și-a asumat o responsabilitate în calitatea sa de gazdă a unui site pe care au fost postate comentarii ilicite și că, din acest punct de vedere, avea obligații similare celor ale unui moderator de televiziune (supra, pct. </w:t>
      </w:r>
      <w:r w:rsidRPr="001C2470">
        <w:fldChar w:fldCharType="begin"/>
      </w:r>
      <w:r w:rsidRPr="001C2470">
        <w:instrText xml:space="preserve"> REF paragraph00011 \h  \* CharFormat </w:instrText>
      </w:r>
      <w:r w:rsidRPr="001C2470">
        <w:fldChar w:fldCharType="separate"/>
      </w:r>
      <w:r w:rsidR="00E0027B">
        <w:t>11</w:t>
      </w:r>
      <w:r w:rsidRPr="001C2470">
        <w:fldChar w:fldCharType="end"/>
      </w:r>
      <w:r w:rsidR="00DD77EF">
        <w:t>). În schimb, Curtea de Apel a reținut că reclamantul a încălcat regulile de conduită impuse de „obiceiul locului” al platformei Facebook, și anume condițiile de utilizare ale acestei rețele de socializare, pe care instanța le-a interpretat ca impunând utilizatorului aceleași obligații de cenzură ca și cele pe care le avea platforma respectivă. Aceasta a mai precizat că, în speță, în lipsa notificării caracterului pretins ilicit al materialelor publicate, răspunderea reclamantului a fost angajată începând cu formularea cererii prin care a fost chemat în judecată (supra, pct. </w:t>
      </w:r>
      <w:r w:rsidRPr="001C2470">
        <w:fldChar w:fldCharType="begin"/>
      </w:r>
      <w:r w:rsidRPr="001C2470">
        <w:instrText xml:space="preserve"> REF paragraph00022 \h  \* CharFormat </w:instrText>
      </w:r>
      <w:r w:rsidRPr="001C2470">
        <w:fldChar w:fldCharType="separate"/>
      </w:r>
      <w:r w:rsidR="00E0027B">
        <w:t>22</w:t>
      </w:r>
      <w:r w:rsidRPr="001C2470">
        <w:fldChar w:fldCharType="end"/>
      </w:r>
      <w:r w:rsidR="00DD77EF">
        <w:t xml:space="preserve">). În cele din urmă, Curtea de Casație a apreciat, ținând seama de hotărârea </w:t>
      </w:r>
      <w:r w:rsidR="00DD77EF">
        <w:rPr>
          <w:i/>
          <w:iCs/>
        </w:rPr>
        <w:t>Delfi AS</w:t>
      </w:r>
      <w:r w:rsidR="00DD77EF">
        <w:t xml:space="preserve"> a Curții, că reclamantul trebuia să fie asimilat unui furnizor de servicii de conținut, care avea obligația de a șterge „comentariile denigratoare”, indiferent dacă persoana vizată a raportat conținutul ilicit platformei [Facebook], și „anterior intervenției acesteia” (supra, pct. </w:t>
      </w:r>
      <w:r w:rsidRPr="001C2470">
        <w:fldChar w:fldCharType="begin"/>
      </w:r>
      <w:r w:rsidRPr="001C2470">
        <w:instrText xml:space="preserve"> REF paragraph00026 \h  \* CharFormat </w:instrText>
      </w:r>
      <w:r w:rsidRPr="001C2470">
        <w:fldChar w:fldCharType="separate"/>
      </w:r>
      <w:r w:rsidR="00E0027B">
        <w:t>26</w:t>
      </w:r>
      <w:r w:rsidRPr="001C2470">
        <w:fldChar w:fldCharType="end"/>
      </w:r>
      <w:r w:rsidR="00DD77EF">
        <w:t>). În speță, ținând seama de faptul că persoanele vizate nu l-au informat pe reclamant, înainte de formularea cererii de chemare în judecată, cu privire la caracterul pretins ilicit al comentariilor în litigiu, Curtea de Casație a considerat că obligația de ștergere a comentariilor nu putea lua naștere decât la data formulării cererii de chemare în judecată și că nerespectarea de către reclamant a acestei obligații imediat după trimiterea lui în judecată constituia o formă de vinovăție, de natură a-i angaja răspunderea civilă delictuală (supra, pct. </w:t>
      </w:r>
      <w:r w:rsidRPr="001C2470">
        <w:fldChar w:fldCharType="begin"/>
      </w:r>
      <w:r w:rsidRPr="001C2470">
        <w:instrText xml:space="preserve"> REF paragraph00027 \h  \* CharFormat </w:instrText>
      </w:r>
      <w:r w:rsidRPr="001C2470">
        <w:fldChar w:fldCharType="separate"/>
      </w:r>
      <w:r w:rsidR="00E0027B">
        <w:t>27</w:t>
      </w:r>
      <w:r w:rsidRPr="001C2470">
        <w:fldChar w:fldCharType="end"/>
      </w:r>
      <w:r w:rsidR="00DD77EF">
        <w:t>).</w:t>
      </w:r>
    </w:p>
    <w:p w14:paraId="688589AF" w14:textId="55EE7D60" w:rsidR="00920111" w:rsidRPr="001C2470" w:rsidRDefault="00F17402" w:rsidP="001C2470">
      <w:pPr>
        <w:pStyle w:val="JuPara"/>
      </w:pPr>
      <w:fldSimple w:instr=" SEQ level0 \*arabic \* MERGEFORMAT ">
        <w:bookmarkStart w:id="59" w:name="paragraph00143"/>
        <w:r w:rsidR="00E0027B">
          <w:rPr>
            <w:noProof/>
          </w:rPr>
          <w:t>131</w:t>
        </w:r>
        <w:bookmarkEnd w:id="59"/>
      </w:fldSimple>
      <w:r w:rsidR="00DD77EF">
        <w:t xml:space="preserve">. Ținând seama de caracterul foarte detaliat al raționamentului urmat de fiecare dintre instanțele naționale, care a depășit cu mult litera dispozițiilor legale invocate, precum și de sensul natural al formulărilor folosite în raționamentul lor pentru a justifica răspunderea reclamantului (a se vedea, totuși, </w:t>
      </w:r>
      <w:bookmarkStart w:id="60" w:name="_cl15887"/>
      <w:r w:rsidR="00DD77EF">
        <w:rPr>
          <w:i/>
        </w:rPr>
        <w:t>Savva Terentiev împotriva Rusiei</w:t>
      </w:r>
      <w:r w:rsidR="00DD77EF">
        <w:t>, nr. 10692/09, pct. 57, 28 august 2018), Curtea este pregătită</w:t>
      </w:r>
      <w:bookmarkEnd w:id="60"/>
      <w:r w:rsidR="00DD77EF">
        <w:t xml:space="preserve"> să accepte că este vorba despre o creație jurisprudențială, care, în lipsa unor informații relevante cu privire la acest aspect, nu poate fi considerată ca fiind bine stabilită la momentul faptelor. Cu toate acestea, având în vedere motivele invocate de instanțele naționale (a se vedea în special punctele </w:t>
      </w:r>
      <w:r w:rsidRPr="001C2470">
        <w:fldChar w:fldCharType="begin"/>
      </w:r>
      <w:r w:rsidRPr="001C2470">
        <w:instrText xml:space="preserve"> REF paragraph00022 \h </w:instrText>
      </w:r>
      <w:r w:rsidRPr="001C2470">
        <w:fldChar w:fldCharType="separate"/>
      </w:r>
      <w:r w:rsidR="00E0027B">
        <w:rPr>
          <w:noProof/>
        </w:rPr>
        <w:t>22</w:t>
      </w:r>
      <w:r w:rsidRPr="001C2470">
        <w:fldChar w:fldCharType="end"/>
      </w:r>
      <w:r w:rsidR="00DD77EF">
        <w:t xml:space="preserve">, </w:t>
      </w:r>
      <w:r w:rsidRPr="001C2470">
        <w:fldChar w:fldCharType="begin"/>
      </w:r>
      <w:r w:rsidRPr="001C2470">
        <w:instrText xml:space="preserve"> REF paragraph00026 \h </w:instrText>
      </w:r>
      <w:r w:rsidRPr="001C2470">
        <w:fldChar w:fldCharType="separate"/>
      </w:r>
      <w:r w:rsidR="00E0027B">
        <w:rPr>
          <w:noProof/>
        </w:rPr>
        <w:t>26</w:t>
      </w:r>
      <w:r w:rsidRPr="001C2470">
        <w:fldChar w:fldCharType="end"/>
      </w:r>
      <w:r w:rsidR="00DD77EF">
        <w:t xml:space="preserve"> și </w:t>
      </w:r>
      <w:r w:rsidRPr="001C2470">
        <w:fldChar w:fldCharType="begin"/>
      </w:r>
      <w:r w:rsidRPr="001C2470">
        <w:instrText xml:space="preserve"> REF paragraph00027 \h </w:instrText>
      </w:r>
      <w:r w:rsidRPr="001C2470">
        <w:fldChar w:fldCharType="separate"/>
      </w:r>
      <w:r w:rsidR="00E0027B">
        <w:rPr>
          <w:noProof/>
        </w:rPr>
        <w:t>27</w:t>
      </w:r>
      <w:r w:rsidRPr="001C2470">
        <w:fldChar w:fldCharType="end"/>
      </w:r>
      <w:r w:rsidR="00DD77EF">
        <w:t xml:space="preserve"> de mai sus), Curtea consideră că această jurisprudență nu oferea, la momentul respectiv, un temei legal precis și coerent pentru angajarea răspunderii civile a reclamantului în modul în care a fost angajată.</w:t>
      </w:r>
    </w:p>
    <w:p w14:paraId="65FFE706" w14:textId="170EA199" w:rsidR="00920111" w:rsidRPr="001C2470" w:rsidRDefault="00F17402" w:rsidP="001C2470">
      <w:pPr>
        <w:pStyle w:val="JuPara"/>
      </w:pPr>
      <w:fldSimple w:instr=" SEQ level0 \*arabic \* MERGEFORMAT ">
        <w:r w:rsidR="00E0027B">
          <w:rPr>
            <w:noProof/>
          </w:rPr>
          <w:t>132</w:t>
        </w:r>
      </w:fldSimple>
      <w:r w:rsidR="00DD77EF">
        <w:t xml:space="preserve">. Prin urmare, nu se poate considera că aceste dispoziții, astfel cum au fost interpretate în prezenta cauză de instanțele naționale, erau suficient de clare și de detaliate pentru a asigura </w:t>
      </w:r>
      <w:r w:rsidR="00DD77EF">
        <w:lastRenderedPageBreak/>
        <w:t>o protecție adecvată împotriva ingerinței autorităților în exercitarea de către reclamant a dreptului său la libertatea de exprimare.</w:t>
      </w:r>
    </w:p>
    <w:p w14:paraId="254EB2F7" w14:textId="6C4AF8E0" w:rsidR="00920111" w:rsidRPr="001C2470" w:rsidRDefault="00F17402" w:rsidP="001C2470">
      <w:pPr>
        <w:pStyle w:val="JuPara"/>
      </w:pPr>
      <w:fldSimple w:instr=" SEQ level0 \*arabic \* MERGEFORMAT ">
        <w:r w:rsidR="00E0027B">
          <w:rPr>
            <w:noProof/>
          </w:rPr>
          <w:t>133</w:t>
        </w:r>
      </w:fldSimple>
      <w:r w:rsidR="00DD77EF">
        <w:t>. În aceste împrejurări, Curtea apreciază că temeiul legal al ingerinței în cauză nu definea, cu suficientă claritate pentru a permite reclamantului să beneficieze de gradul de protecție pe care îl impune preeminența dreptului într-o societate democratică, întinderea și modalitățile de exercitare de către acesta a dreptului său la libertatea de exprimare prin deschiderea paginii sale de Facebook pentru comentariile terților (</w:t>
      </w:r>
      <w:bookmarkStart w:id="61" w:name="_cl43755ENDROIT"/>
      <w:r w:rsidR="00DD77EF">
        <w:t xml:space="preserve">a se vedea, </w:t>
      </w:r>
      <w:r w:rsidR="00DD77EF">
        <w:rPr>
          <w:i/>
        </w:rPr>
        <w:t>mutatis mutandis</w:t>
      </w:r>
      <w:r w:rsidR="00DD77EF">
        <w:t xml:space="preserve">, </w:t>
      </w:r>
      <w:r w:rsidR="00DD77EF">
        <w:rPr>
          <w:i/>
        </w:rPr>
        <w:t>Durukan și Birol împotriva Turciei</w:t>
      </w:r>
      <w:bookmarkEnd w:id="61"/>
      <w:r w:rsidR="00DD77EF">
        <w:t>, nr. 14879/20 și 13440/21, pct. 67, 3 octombrie 2023).</w:t>
      </w:r>
    </w:p>
    <w:p w14:paraId="573462C7" w14:textId="3759B8CE" w:rsidR="00920111" w:rsidRPr="001C2470" w:rsidRDefault="00F17402" w:rsidP="001C2470">
      <w:pPr>
        <w:pStyle w:val="JuPara"/>
      </w:pPr>
      <w:fldSimple w:instr=" SEQ level0 \*arabic \* MERGEFORMAT ">
        <w:r w:rsidR="00E0027B">
          <w:rPr>
            <w:noProof/>
          </w:rPr>
          <w:t>134</w:t>
        </w:r>
      </w:fldSimple>
      <w:r w:rsidR="00DD77EF">
        <w:t>. Prin urmare, Curtea concluzionează că ingerința în cauză nu poate fi considerată ca fiind prevăzută de lege în sensul art. 10 § 2 din Convenție.</w:t>
      </w:r>
    </w:p>
    <w:p w14:paraId="0FBE5D37" w14:textId="441F0264" w:rsidR="00920111" w:rsidRPr="001C2470" w:rsidRDefault="00F17402" w:rsidP="001C2470">
      <w:pPr>
        <w:pStyle w:val="JuPara"/>
      </w:pPr>
      <w:fldSimple w:instr=" SEQ level0 \*arabic \* MERGEFORMAT ">
        <w:r w:rsidR="00E0027B">
          <w:rPr>
            <w:noProof/>
          </w:rPr>
          <w:t>135</w:t>
        </w:r>
      </w:fldSimple>
      <w:r w:rsidR="00DD77EF">
        <w:t>. Având în vedere concluzia de mai sus, Curtea apreciază că nu este necesar să examineze respectarea celorlalte cerințe prevăzute la art. 10 § 2.</w:t>
      </w:r>
    </w:p>
    <w:bookmarkStart w:id="62" w:name="paragraph00142"/>
    <w:p w14:paraId="150AB032" w14:textId="40330059" w:rsidR="00920111" w:rsidRPr="001C2470" w:rsidRDefault="00F17402" w:rsidP="001C2470">
      <w:pPr>
        <w:pStyle w:val="JuPara"/>
      </w:pPr>
      <w:r w:rsidRPr="001C2470">
        <w:fldChar w:fldCharType="begin"/>
      </w:r>
      <w:r w:rsidRPr="001C2470">
        <w:instrText xml:space="preserve"> SEQ level0 \*arabic \* MERGEFORMAT </w:instrText>
      </w:r>
      <w:r w:rsidRPr="001C2470">
        <w:fldChar w:fldCharType="separate"/>
      </w:r>
      <w:bookmarkStart w:id="63" w:name="paragraph00148"/>
      <w:r w:rsidR="00E0027B">
        <w:rPr>
          <w:noProof/>
        </w:rPr>
        <w:t>136</w:t>
      </w:r>
      <w:bookmarkEnd w:id="63"/>
      <w:r w:rsidRPr="001C2470">
        <w:fldChar w:fldCharType="end"/>
      </w:r>
      <w:bookmarkEnd w:id="62"/>
      <w:r>
        <w:t>. Rezultă că a existat o încălcare a art. 10 din Convenție și în ceea ce privește stabilirea răspunderii reclamantului pentru comentariile făcute de terți pe pagina lui de Facebook.</w:t>
      </w:r>
    </w:p>
    <w:p w14:paraId="56161DE4" w14:textId="77777777" w:rsidR="00920111" w:rsidRPr="001C2470" w:rsidRDefault="00F17402" w:rsidP="001C2470">
      <w:pPr>
        <w:pStyle w:val="JuHIRoman"/>
      </w:pPr>
      <w:r>
        <w:t>CU PRIVIRE LA PRETINSA ÎNCĂLCARE A ART. 6 DIN CONVENȚIE</w:t>
      </w:r>
    </w:p>
    <w:p w14:paraId="2985A8B8" w14:textId="7B3FBB04" w:rsidR="00920111" w:rsidRPr="001C2470" w:rsidRDefault="00F17402" w:rsidP="001C2470">
      <w:pPr>
        <w:pStyle w:val="JuPara"/>
      </w:pPr>
      <w:fldSimple w:instr=" SEQ level0 \*arabic \* MERGEFORMAT ">
        <w:r w:rsidR="00E0027B">
          <w:rPr>
            <w:noProof/>
          </w:rPr>
          <w:t>137</w:t>
        </w:r>
      </w:fldSimple>
      <w:r w:rsidR="00DD77EF">
        <w:t>. Invocând art. 6 din Convenție, reclamantul se plânge, de asemenea, de inechitatea procesului îndreptat împotriva sa, pe motiv că instanțele nu au verificat baza factuală a comentariilor în litigiu.</w:t>
      </w:r>
    </w:p>
    <w:p w14:paraId="07A65C1C" w14:textId="57CD745C" w:rsidR="00920111" w:rsidRPr="001C2470" w:rsidRDefault="00F17402" w:rsidP="001C2470">
      <w:pPr>
        <w:pStyle w:val="JuPara"/>
      </w:pPr>
      <w:fldSimple w:instr=" SEQ level0 \*arabic \* MERGEFORMAT ">
        <w:r w:rsidR="00E0027B">
          <w:rPr>
            <w:noProof/>
          </w:rPr>
          <w:t>138</w:t>
        </w:r>
      </w:fldSimple>
      <w:r w:rsidR="00DD77EF">
        <w:t>. Având în vedere situația de fapt din cauză și concluziile la care a ajuns în temeiul art. 10 (supra, pct. </w:t>
      </w:r>
      <w:r w:rsidRPr="001C2470">
        <w:fldChar w:fldCharType="begin"/>
      </w:r>
      <w:r w:rsidRPr="001C2470">
        <w:instrText xml:space="preserve"> REF paragraph00133 \h  \* CharFormat  \* MERGEFORMAT </w:instrText>
      </w:r>
      <w:r w:rsidRPr="001C2470">
        <w:fldChar w:fldCharType="separate"/>
      </w:r>
      <w:r w:rsidR="00E0027B">
        <w:t>121</w:t>
      </w:r>
      <w:r w:rsidRPr="001C2470">
        <w:fldChar w:fldCharType="end"/>
      </w:r>
      <w:r w:rsidR="00DD77EF">
        <w:t xml:space="preserve"> și </w:t>
      </w:r>
      <w:r w:rsidRPr="001C2470">
        <w:fldChar w:fldCharType="begin"/>
      </w:r>
      <w:r w:rsidRPr="001C2470">
        <w:instrText xml:space="preserve"> REF paragraph00148 \h  \* CharFormat  \* MERGEFORMAT </w:instrText>
      </w:r>
      <w:r w:rsidRPr="001C2470">
        <w:fldChar w:fldCharType="separate"/>
      </w:r>
      <w:r w:rsidR="00E0027B">
        <w:t>136</w:t>
      </w:r>
      <w:r w:rsidRPr="001C2470">
        <w:fldChar w:fldCharType="end"/>
      </w:r>
      <w:r w:rsidR="00DD77EF">
        <w:t xml:space="preserve">), Curtea consideră că principalele probleme de drept ridicate în legătură cu dispozițiile Convenției au fost soluționate. Prin urmare, nu este necesar să se pronunțe separat cu privire la admisibilitatea și fondul capătului de cerere rămas [a se vedea, printre altele, </w:t>
      </w:r>
      <w:r w:rsidR="00DD77EF">
        <w:rPr>
          <w:i/>
        </w:rPr>
        <w:t>Varnava și alții împotriva Turciei</w:t>
      </w:r>
      <w:r w:rsidR="00DD77EF">
        <w:t> (MC), nr. 16064/90 și alte 8 cereri, pct. 210</w:t>
      </w:r>
      <w:r w:rsidR="00DD77EF">
        <w:noBreakHyphen/>
        <w:t xml:space="preserve">211, CEDO 2009, </w:t>
      </w:r>
      <w:r w:rsidR="00DD77EF">
        <w:rPr>
          <w:i/>
        </w:rPr>
        <w:t>S.A. Dangeville împotriva Franței</w:t>
      </w:r>
      <w:r w:rsidR="00DD77EF">
        <w:t xml:space="preserve">, nr. 36677/97, pct. 66, 16 aprilie 2002, și </w:t>
      </w:r>
      <w:bookmarkStart w:id="64" w:name="_cl40685"/>
      <w:r w:rsidR="00DD77EF">
        <w:rPr>
          <w:i/>
        </w:rPr>
        <w:t>Naki și AMED Sportif Faaliyetler Kulübü Derneği împotriva Turciei</w:t>
      </w:r>
      <w:bookmarkEnd w:id="64"/>
      <w:r w:rsidR="00DD77EF">
        <w:t>, nr. 48924/16, pct. 44, 18 mai 2021, cu trimiterile ulterioare].</w:t>
      </w:r>
    </w:p>
    <w:p w14:paraId="142859AB" w14:textId="77777777" w:rsidR="00920111" w:rsidRPr="001C2470" w:rsidRDefault="00F17402" w:rsidP="001C2470">
      <w:pPr>
        <w:pStyle w:val="JuHIRoman"/>
      </w:pPr>
      <w:r>
        <w:t>CU PRIVIRE LA APLICAREA ART. 41 DIN CONVENȚIE</w:t>
      </w:r>
    </w:p>
    <w:p w14:paraId="6B04B123" w14:textId="4C3DB0A5" w:rsidR="00920111" w:rsidRPr="001C2470" w:rsidRDefault="001C2470" w:rsidP="001C2470">
      <w:pPr>
        <w:pStyle w:val="JuPara"/>
      </w:pPr>
      <w:r w:rsidRPr="001C2470">
        <w:fldChar w:fldCharType="begin"/>
      </w:r>
      <w:r w:rsidR="00F17402">
        <w:instrText xml:space="preserve"> SEQ level0 \*arabic \* MERGEFORMAT </w:instrText>
      </w:r>
      <w:r w:rsidRPr="001C2470">
        <w:fldChar w:fldCharType="separate"/>
      </w:r>
      <w:r w:rsidR="00E0027B">
        <w:rPr>
          <w:noProof/>
        </w:rPr>
        <w:t>139</w:t>
      </w:r>
      <w:r w:rsidRPr="001C2470">
        <w:fldChar w:fldCharType="end"/>
      </w:r>
      <w:r>
        <w:t>. Art. 41 din Convenție prevede:</w:t>
      </w:r>
    </w:p>
    <w:p w14:paraId="2E0C7883" w14:textId="77777777" w:rsidR="00920111" w:rsidRPr="001C2470" w:rsidRDefault="00F17402" w:rsidP="001C2470">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 ”</w:t>
      </w:r>
    </w:p>
    <w:p w14:paraId="2F78098A" w14:textId="77777777" w:rsidR="00920111" w:rsidRPr="001C2470" w:rsidRDefault="00F17402" w:rsidP="001C2470">
      <w:pPr>
        <w:pStyle w:val="JuHA"/>
      </w:pPr>
      <w:r>
        <w:t>Prejudiciu</w:t>
      </w:r>
    </w:p>
    <w:p w14:paraId="2B12C5B5" w14:textId="77777777" w:rsidR="00920111" w:rsidRPr="001C2470" w:rsidRDefault="00F17402" w:rsidP="001C2470">
      <w:pPr>
        <w:pStyle w:val="JuH1"/>
      </w:pPr>
      <w:r>
        <w:t>Prejudiciu material</w:t>
      </w:r>
    </w:p>
    <w:p w14:paraId="0A376AAD" w14:textId="538F9B85" w:rsidR="00920111" w:rsidRPr="001C2470" w:rsidRDefault="001C2470" w:rsidP="001C2470">
      <w:pPr>
        <w:pStyle w:val="JuPara"/>
      </w:pPr>
      <w:fldSimple w:instr=" SEQ level0 \*arabic ">
        <w:r w:rsidR="00E0027B">
          <w:rPr>
            <w:noProof/>
          </w:rPr>
          <w:t>140</w:t>
        </w:r>
      </w:fldSimple>
      <w:r w:rsidR="00F17402">
        <w:t>. Reclamantul solicită suma de 2 853 de euro (EUR) cu titlu de despăgubire pentru prejudiciul material pe care consideră că l-a suferit, precizând că această sumă corespunde despăgubirii pe care a trebuit să o plătească, majorată cu cheltuielile legate de procedura de executare.</w:t>
      </w:r>
    </w:p>
    <w:p w14:paraId="0B0431FD" w14:textId="661C4A25" w:rsidR="00920111" w:rsidRPr="001C2470" w:rsidRDefault="001C2470" w:rsidP="001C2470">
      <w:pPr>
        <w:pStyle w:val="JuPara"/>
      </w:pPr>
      <w:fldSimple w:instr=" SEQ level0 \*arabic ">
        <w:r w:rsidR="00E0027B">
          <w:rPr>
            <w:noProof/>
          </w:rPr>
          <w:t>141</w:t>
        </w:r>
      </w:fldSimple>
      <w:r w:rsidR="00F17402">
        <w:t>. Guvernul consideră că nu a existat nicio încălcare a Convenției și că, prin urmare, pretențiile reclamantului privind prejudiciul material sunt nefondate.</w:t>
      </w:r>
    </w:p>
    <w:p w14:paraId="3AFE60CC" w14:textId="2CB32765" w:rsidR="00920111" w:rsidRPr="001C2470" w:rsidRDefault="001C2470" w:rsidP="001C2470">
      <w:pPr>
        <w:pStyle w:val="JuPara"/>
      </w:pPr>
      <w:fldSimple w:instr=" SEQ level0 \*arabic ">
        <w:r w:rsidR="00E0027B">
          <w:rPr>
            <w:noProof/>
          </w:rPr>
          <w:t>142</w:t>
        </w:r>
      </w:fldSimple>
      <w:r w:rsidR="00F17402">
        <w:t>. Curtea observă că reclamantul a suferit, fără îndoială, un prejudiciu material legat direct de încălcarea art. 10 din Convenție (supra, pct. </w:t>
      </w:r>
      <w:r w:rsidR="00F17402" w:rsidRPr="001C2470">
        <w:fldChar w:fldCharType="begin"/>
      </w:r>
      <w:r w:rsidR="00F17402" w:rsidRPr="001C2470">
        <w:instrText xml:space="preserve"> REF paragraph00133 \h  \* CharFormat </w:instrText>
      </w:r>
      <w:r w:rsidR="00F17402" w:rsidRPr="001C2470">
        <w:fldChar w:fldCharType="separate"/>
      </w:r>
      <w:r w:rsidR="00E0027B">
        <w:t>121</w:t>
      </w:r>
      <w:r w:rsidR="00F17402" w:rsidRPr="001C2470">
        <w:fldChar w:fldCharType="end"/>
      </w:r>
      <w:r w:rsidR="00F17402">
        <w:t xml:space="preserve"> și </w:t>
      </w:r>
      <w:r w:rsidR="00F17402" w:rsidRPr="001C2470">
        <w:fldChar w:fldCharType="begin"/>
      </w:r>
      <w:r w:rsidR="00F17402" w:rsidRPr="001C2470">
        <w:instrText xml:space="preserve"> REF paragraph00148 \h  \* CharFormat </w:instrText>
      </w:r>
      <w:r w:rsidR="00F17402" w:rsidRPr="001C2470">
        <w:fldChar w:fldCharType="separate"/>
      </w:r>
      <w:r w:rsidR="00E0027B">
        <w:t>136</w:t>
      </w:r>
      <w:r w:rsidR="00F17402" w:rsidRPr="001C2470">
        <w:fldChar w:fldCharType="end"/>
      </w:r>
      <w:r w:rsidR="00F17402">
        <w:t>). Având în vedere elementele de probă de care dispune, Curtea consideră că este rezonabil să i se acorde persoanei în cauză suma solicitată, și anume 2 853 EUR, cu titlu de despăgubire pentru prejudiciul material.</w:t>
      </w:r>
    </w:p>
    <w:p w14:paraId="4BD43A31" w14:textId="77777777" w:rsidR="00920111" w:rsidRPr="001C2470" w:rsidRDefault="00F17402" w:rsidP="001C2470">
      <w:pPr>
        <w:pStyle w:val="JuH1"/>
      </w:pPr>
      <w:r>
        <w:lastRenderedPageBreak/>
        <w:t>Prejudiciu moral</w:t>
      </w:r>
    </w:p>
    <w:p w14:paraId="27C9399A" w14:textId="039BF7B6" w:rsidR="00920111" w:rsidRPr="001C2470" w:rsidRDefault="00F17402" w:rsidP="001C2470">
      <w:pPr>
        <w:pStyle w:val="JuPara"/>
      </w:pPr>
      <w:fldSimple w:instr=" SEQ level0 \*arabic \* MERGEFORMAT ">
        <w:r w:rsidR="00E0027B">
          <w:rPr>
            <w:noProof/>
          </w:rPr>
          <w:t>143</w:t>
        </w:r>
      </w:fldSimple>
      <w:r w:rsidR="00DD77EF">
        <w:t>. Reclamantul solicită, de asemenea, suma de 12 000 EUR cu titlu de despăgubire pentru prejudiciul moral pe care acesta susține că l-a suferit ca urmare a încălcării art. 10 și 6 din Convenție.</w:t>
      </w:r>
    </w:p>
    <w:p w14:paraId="6DB38D94" w14:textId="1122C362" w:rsidR="00920111" w:rsidRPr="001C2470" w:rsidRDefault="00F17402" w:rsidP="001C2470">
      <w:pPr>
        <w:pStyle w:val="JuPara"/>
      </w:pPr>
      <w:fldSimple w:instr=" SEQ level0 \*arabic \* MERGEFORMAT ">
        <w:r w:rsidR="00E0027B">
          <w:rPr>
            <w:noProof/>
          </w:rPr>
          <w:t>144</w:t>
        </w:r>
      </w:fldSimple>
      <w:r w:rsidR="00DD77EF">
        <w:t>. În cazul în care Curtea va constata o încălcare a Convenției și va considera că o astfel de constatare nu constituie, în sine, o reparație echitabilă suficientă, Guvernul solicită Curții să țină seama de jurisprudența sa în materie atunci când va acorda despăgubirea pentru prejudiciul moral.</w:t>
      </w:r>
    </w:p>
    <w:p w14:paraId="1C4B4F4B" w14:textId="7700594E" w:rsidR="00920111" w:rsidRPr="001C2470" w:rsidRDefault="00F17402" w:rsidP="001C2470">
      <w:pPr>
        <w:pStyle w:val="JuPara"/>
      </w:pPr>
      <w:fldSimple w:instr=" SEQ level0 \*arabic \* MERGEFORMAT ">
        <w:r w:rsidR="00E0027B">
          <w:rPr>
            <w:noProof/>
          </w:rPr>
          <w:t>145</w:t>
        </w:r>
      </w:fldSimple>
      <w:r w:rsidR="00DD77EF">
        <w:t>. Curtea apreciază că reclamantul a suferit un prejudiciu moral ca urmare a sentinței civile pronunțate împotriva acestuia atât pentru propriile comentarii, cât și pentru cele ale terților. Pronunțându-se în echitate, în conformitate cu art. 41, Curtea consideră că trebuie să îi acorde persoanei în cauză 7 800 EUR cu titlu de despăgubire pentru prejudiciul moral, plus orice sumă ce poate fi datorată cu titlu de impozit pentru această sumă.</w:t>
      </w:r>
    </w:p>
    <w:p w14:paraId="102DB2B6" w14:textId="77777777" w:rsidR="00920111" w:rsidRPr="001C2470" w:rsidRDefault="00F17402" w:rsidP="001C2470">
      <w:pPr>
        <w:pStyle w:val="JuHA"/>
      </w:pPr>
      <w:r>
        <w:t>Cheltuieli de judecată</w:t>
      </w:r>
    </w:p>
    <w:p w14:paraId="442DA804" w14:textId="11268AB3" w:rsidR="00920111" w:rsidRPr="001C2470" w:rsidRDefault="001C2470" w:rsidP="001C2470">
      <w:pPr>
        <w:pStyle w:val="JuPara"/>
      </w:pPr>
      <w:fldSimple w:instr=" SEQ level0 \*arabic ">
        <w:r w:rsidR="00E0027B">
          <w:rPr>
            <w:noProof/>
          </w:rPr>
          <w:t>146</w:t>
        </w:r>
      </w:fldSimple>
      <w:r w:rsidR="00F17402">
        <w:t>. În cele din urmă, reclamantul solicită 6 152,33 EUR pentru cheltuielile de judecată pe care afirmă că le-a efectuat în cadrul procedurilor desfășurate în fața instanțelor naționale și în fața Curții. Pe baza documentelor justificative, acesta detaliază suma respectivă după cum urmează: 3 457 EUR  pentru procedurile în fața instanțelor naționale, din care 1 251 EUR pentru procedura în fața Curții de Casație, și 2 695,33 EUR pentru procedura în fața Curții.</w:t>
      </w:r>
    </w:p>
    <w:p w14:paraId="26936843" w14:textId="3CE05A58" w:rsidR="00920111" w:rsidRPr="001C2470" w:rsidRDefault="001C2470" w:rsidP="001C2470">
      <w:pPr>
        <w:pStyle w:val="JuPara"/>
      </w:pPr>
      <w:fldSimple w:instr=" SEQ level0 \*arabic ">
        <w:r w:rsidR="00E0027B">
          <w:rPr>
            <w:noProof/>
          </w:rPr>
          <w:t>147</w:t>
        </w:r>
      </w:fldSimple>
      <w:r w:rsidR="00F17402">
        <w:t>. Guvernul solicită Curții să ramburseze doar cheltuielile reale, dovedite și necesare, care sunt legate în mod incontestabil de procedura desfășurată în fața sa.</w:t>
      </w:r>
    </w:p>
    <w:p w14:paraId="00139EC5" w14:textId="0D0C6D27" w:rsidR="00920111" w:rsidRPr="001C2470" w:rsidRDefault="001C2470" w:rsidP="001C2470">
      <w:pPr>
        <w:pStyle w:val="JuPara"/>
      </w:pPr>
      <w:fldSimple w:instr=" SEQ level0 \*arabic ">
        <w:r w:rsidR="00E0027B">
          <w:rPr>
            <w:noProof/>
          </w:rPr>
          <w:t>148</w:t>
        </w:r>
      </w:fldSimple>
      <w:r w:rsidR="00F17402">
        <w:t>. Potrivit jurisprudenței Curții, un reclamant nu poate obține rambursarea cheltuielilor de judecată decât în măsura în care se stabilește caracterul real, necesar și rezonabil al acestora [</w:t>
      </w:r>
      <w:r w:rsidR="00F17402">
        <w:rPr>
          <w:i/>
        </w:rPr>
        <w:t>Beeler împotriva Elveției</w:t>
      </w:r>
      <w:r w:rsidR="00F17402">
        <w:t> (MC), nr. 78630/12, pct. 128, 11 octombrie 2022].</w:t>
      </w:r>
    </w:p>
    <w:p w14:paraId="0BBEA989" w14:textId="77777777" w:rsidR="00920111" w:rsidRPr="001C2470" w:rsidRDefault="00F17402" w:rsidP="001C2470">
      <w:pPr>
        <w:pStyle w:val="JuPara"/>
      </w:pPr>
      <w:r>
        <w:t>În prezenta cauză, având în vedere documentele de care dispune și criteriile sus-menționate, Curtea acordă reclamantului suma solicitată, și anume 6 152,33 EUR, plus orice sumă ce poate fi datorată cu titlu de impozit de către reclamant.</w:t>
      </w:r>
    </w:p>
    <w:p w14:paraId="2C7AA891" w14:textId="77777777" w:rsidR="00920111" w:rsidRPr="001C2470" w:rsidRDefault="00F17402" w:rsidP="001C2470">
      <w:pPr>
        <w:pStyle w:val="JuHHead"/>
      </w:pPr>
      <w:r>
        <w:t>PENTRU ACESTE MOTIVE, CURTEA, ÎN UNANIMITATE,</w:t>
      </w:r>
    </w:p>
    <w:p w14:paraId="78A181DB" w14:textId="77777777" w:rsidR="00920111" w:rsidRPr="001C2470" w:rsidRDefault="00F17402" w:rsidP="001C2470">
      <w:pPr>
        <w:pStyle w:val="JuList"/>
      </w:pPr>
      <w:r>
        <w:rPr>
          <w:i/>
          <w:iCs/>
        </w:rPr>
        <w:t>declară</w:t>
      </w:r>
      <w:r>
        <w:t xml:space="preserve"> cererea admisibilă în ceea ce privește capătul de cerere formulat în temeiul art. 10 din Convenție;</w:t>
      </w:r>
    </w:p>
    <w:p w14:paraId="66FFAB9D" w14:textId="77777777" w:rsidR="00920111" w:rsidRPr="001C2470" w:rsidRDefault="00F17402" w:rsidP="001C2470">
      <w:pPr>
        <w:pStyle w:val="JuList"/>
      </w:pPr>
      <w:r>
        <w:rPr>
          <w:i/>
          <w:iCs/>
        </w:rPr>
        <w:t xml:space="preserve">hotărăște </w:t>
      </w:r>
      <w:r>
        <w:t>că a fost încălcat art. 10 din Convenție ca urmare a stabilirii răspunderii reclamantului pentru comentariile publicate de acesta pe pagina sa de Facebook;</w:t>
      </w:r>
    </w:p>
    <w:p w14:paraId="79678604" w14:textId="77777777" w:rsidR="00920111" w:rsidRPr="001C2470" w:rsidRDefault="00F17402" w:rsidP="001C2470">
      <w:pPr>
        <w:pStyle w:val="JuList"/>
      </w:pPr>
      <w:r>
        <w:rPr>
          <w:i/>
          <w:iCs/>
        </w:rPr>
        <w:t>hotărăște</w:t>
      </w:r>
      <w:r>
        <w:t xml:space="preserve"> că a fost încălcat art. 10 din Convenție ca urmare a stabilirii răspunderii reclamantului pentru comentariile publicate de terțe persoane pe pagina sa de Facebook;</w:t>
      </w:r>
    </w:p>
    <w:p w14:paraId="138D3B72" w14:textId="77777777" w:rsidR="00920111" w:rsidRPr="001C2470" w:rsidRDefault="00F17402" w:rsidP="001C2470">
      <w:pPr>
        <w:pStyle w:val="JuList"/>
      </w:pPr>
      <w:r>
        <w:rPr>
          <w:i/>
          <w:iCs/>
        </w:rPr>
        <w:t>hotărăște</w:t>
      </w:r>
      <w:r>
        <w:t xml:space="preserve"> că nu este necesar să se pronunțe separat cu privire la admisibilitatea și fondul capătului de cerere formulat în temeiul art. 6 din Convenție;</w:t>
      </w:r>
    </w:p>
    <w:p w14:paraId="2C2E3EC9" w14:textId="77777777" w:rsidR="00920111" w:rsidRPr="001C2470" w:rsidRDefault="00F17402" w:rsidP="001C2470">
      <w:pPr>
        <w:pStyle w:val="JuList"/>
      </w:pPr>
      <w:r>
        <w:rPr>
          <w:i/>
          <w:iCs/>
        </w:rPr>
        <w:t>hotărăște:</w:t>
      </w:r>
    </w:p>
    <w:p w14:paraId="052B6B9B" w14:textId="77777777" w:rsidR="00920111" w:rsidRPr="001C2470" w:rsidRDefault="00F17402" w:rsidP="001C2470">
      <w:pPr>
        <w:pStyle w:val="JuLista"/>
      </w:pPr>
      <w:r>
        <w:t>că statul pârât trebuie să plătească reclamantului, în termen de trei luni de la data rămânerii definitive a hotărârii, în conformitate cu art. 44 § 2 din Convenție, următoarele sume, care trebuie convertite în moneda statului pârât la rata de schimb aplicabilă la data plății:</w:t>
      </w:r>
    </w:p>
    <w:p w14:paraId="6DCBD0D4" w14:textId="77777777" w:rsidR="00920111" w:rsidRPr="001C2470" w:rsidRDefault="00F17402" w:rsidP="001C2470">
      <w:pPr>
        <w:pStyle w:val="JuListi"/>
      </w:pPr>
      <w:r>
        <w:lastRenderedPageBreak/>
        <w:t>2 853 EUR (două mii opt sute cincizeci și trei de euro), plus orice sumă ce poate fi datorată cu titlu de impozit, pentru prejudiciul material;</w:t>
      </w:r>
    </w:p>
    <w:p w14:paraId="3F1745B5" w14:textId="77777777" w:rsidR="00920111" w:rsidRPr="001C2470" w:rsidRDefault="00F17402" w:rsidP="001C2470">
      <w:pPr>
        <w:pStyle w:val="JuListi"/>
      </w:pPr>
      <w:r>
        <w:t>7 800 EUR (șapte mii opt sute de euro), plus orice sumă ce poate fi datorată cu titlu de impozit, pentru prejudiciul moral;</w:t>
      </w:r>
    </w:p>
    <w:p w14:paraId="7ADA11C8" w14:textId="77777777" w:rsidR="00920111" w:rsidRPr="001C2470" w:rsidRDefault="00F17402" w:rsidP="001C2470">
      <w:pPr>
        <w:pStyle w:val="JuListi"/>
      </w:pPr>
      <w:r>
        <w:t>6 152,33 EUR (șase mii o sută cincizeci și doi de euro și treizeci și trei de cenți), plus orice sumă ce poate fi datorată de reclamant cu titlu de impozit, pentru cheltuielile de judecată,</w:t>
      </w:r>
    </w:p>
    <w:p w14:paraId="1AE92E7A" w14:textId="77777777" w:rsidR="00920111" w:rsidRPr="001C2470" w:rsidRDefault="00F17402" w:rsidP="001C2470">
      <w:pPr>
        <w:pStyle w:val="JuLista"/>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7EA8CBDE" w14:textId="77777777" w:rsidR="00876F03" w:rsidRPr="001C2470" w:rsidRDefault="00F17402" w:rsidP="001C2470">
      <w:pPr>
        <w:pStyle w:val="JuList"/>
      </w:pPr>
      <w:r>
        <w:rPr>
          <w:i/>
        </w:rPr>
        <w:t>respinge</w:t>
      </w:r>
      <w:r>
        <w:t xml:space="preserve"> cererea de acordare a unei reparații echitabile pentru celălalt capăt de cerere.</w:t>
      </w:r>
    </w:p>
    <w:p w14:paraId="2CA203C7" w14:textId="77777777" w:rsidR="00893F30" w:rsidRPr="001C2470" w:rsidRDefault="00F17402" w:rsidP="001C2470">
      <w:pPr>
        <w:pStyle w:val="JuParaLast"/>
      </w:pPr>
      <w:r>
        <w:t>Redactată în limba franceză, apoi comunicată în scris la 7 ianuarie 2025, în temeiul art. 77 § 2 și 3 din Regulament.</w:t>
      </w:r>
    </w:p>
    <w:p w14:paraId="5E77B425" w14:textId="77777777" w:rsidR="00F94531" w:rsidRPr="001C2470" w:rsidRDefault="00F17402" w:rsidP="001C2470">
      <w:pPr>
        <w:pStyle w:val="JuSigned"/>
        <w:keepNext/>
        <w:keepLines/>
        <w:rPr>
          <w:color w:val="F8F8F8" w:themeColor="background2"/>
        </w:rPr>
      </w:pPr>
      <w:r>
        <w:rPr>
          <w:color w:val="F8F8F8" w:themeColor="background2"/>
        </w:rPr>
        <w:tab/>
      </w:r>
    </w:p>
    <w:p w14:paraId="3146DAE4" w14:textId="77777777" w:rsidR="00876F03" w:rsidRPr="001C2470" w:rsidRDefault="00F17402" w:rsidP="001C2470">
      <w:pPr>
        <w:pStyle w:val="JuSigned"/>
      </w:pPr>
      <w:r>
        <w:tab/>
        <w:t>Simeon Petrovski</w:t>
      </w:r>
      <w:r>
        <w:tab/>
        <w:t>Lado Chanturia</w:t>
      </w:r>
      <w:r>
        <w:br/>
      </w:r>
      <w:r>
        <w:tab/>
        <w:t>Grefier adjunct</w:t>
      </w:r>
      <w:r>
        <w:tab/>
        <w:t>Președinte</w:t>
      </w:r>
    </w:p>
    <w:p w14:paraId="06482271" w14:textId="77777777" w:rsidR="00713585" w:rsidRPr="001C2470" w:rsidRDefault="00713585" w:rsidP="001C2470">
      <w:pPr>
        <w:pStyle w:val="JuPara"/>
      </w:pPr>
    </w:p>
    <w:sectPr w:rsidR="00713585" w:rsidRPr="001C2470" w:rsidSect="00657124">
      <w:headerReference w:type="even" r:id="rId13"/>
      <w:headerReference w:type="default" r:id="rId14"/>
      <w:footerReference w:type="default" r:id="rId15"/>
      <w:footnotePr>
        <w:numRestart w:val="eachSect"/>
      </w:footnotePr>
      <w:pgSz w:w="11906" w:h="16838" w:code="9"/>
      <w:pgMar w:top="1134" w:right="1134" w:bottom="1134" w:left="1701" w:header="1701"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2851D" w14:textId="77777777" w:rsidR="00356654" w:rsidRDefault="00356654">
      <w:r>
        <w:separator/>
      </w:r>
    </w:p>
  </w:endnote>
  <w:endnote w:type="continuationSeparator" w:id="0">
    <w:p w14:paraId="575A60C1" w14:textId="77777777" w:rsidR="00356654" w:rsidRDefault="0035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C371" w14:textId="77777777" w:rsidR="00954AD6" w:rsidRPr="00F25EFC" w:rsidRDefault="00F17402" w:rsidP="00954AD6">
    <w:pPr>
      <w:pStyle w:val="JuHeader"/>
    </w:pPr>
    <w:r>
      <w:fldChar w:fldCharType="begin"/>
    </w:r>
    <w:r>
      <w:instrText xml:space="preserve"> PAGE  \* MERGEFORMAT </w:instrText>
    </w:r>
    <w:r>
      <w:fldChar w:fldCharType="separate"/>
    </w:r>
    <w:r w:rsidR="0094706D">
      <w:rPr>
        <w:noProof/>
      </w:rPr>
      <w:t>30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00BE" w14:textId="77777777" w:rsidR="00920111" w:rsidRPr="00150BFA" w:rsidRDefault="00F17402" w:rsidP="0020718E">
    <w:pPr>
      <w:jc w:val="center"/>
    </w:pPr>
    <w:r>
      <w:rPr>
        <w:noProof/>
        <w:lang w:eastAsia="ro-RO"/>
      </w:rPr>
      <w:drawing>
        <wp:inline distT="0" distB="0" distL="0" distR="0" wp14:anchorId="2AE2C23D" wp14:editId="5842608C">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14:paraId="02DE1CFE" w14:textId="77777777" w:rsidR="008A046A" w:rsidRPr="00F25EFC" w:rsidRDefault="008A046A"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28AC" w14:textId="77777777" w:rsidR="00920111" w:rsidRPr="00150BFA" w:rsidRDefault="00F17402" w:rsidP="0020718E">
    <w:pPr>
      <w:jc w:val="center"/>
    </w:pPr>
    <w:r>
      <w:rPr>
        <w:noProof/>
        <w:lang w:eastAsia="ro-RO"/>
      </w:rPr>
      <w:drawing>
        <wp:inline distT="0" distB="0" distL="0" distR="0" wp14:anchorId="5CEB8422" wp14:editId="5238F434">
          <wp:extent cx="771525" cy="619125"/>
          <wp:effectExtent l="0" t="0" r="9525" b="9525"/>
          <wp:docPr id="76" name="Picture 7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14:paraId="1557458C" w14:textId="77777777" w:rsidR="00902601" w:rsidRPr="00F25EFC"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0476" w14:textId="77777777" w:rsidR="008A046A" w:rsidRPr="00D01935" w:rsidRDefault="00F17402" w:rsidP="00662882">
    <w:pPr>
      <w:pStyle w:val="JuHeader"/>
    </w:pPr>
    <w:r>
      <w:fldChar w:fldCharType="begin"/>
    </w:r>
    <w:r>
      <w:instrText xml:space="preserve"> PAGE  \* MERGEFORMAT </w:instrText>
    </w:r>
    <w:r>
      <w:fldChar w:fldCharType="separate"/>
    </w:r>
    <w:r w:rsidR="0094706D">
      <w:rPr>
        <w:noProof/>
      </w:rPr>
      <w:t>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509A8" w14:textId="77777777" w:rsidR="00356654" w:rsidRDefault="00356654">
      <w:r>
        <w:separator/>
      </w:r>
    </w:p>
  </w:footnote>
  <w:footnote w:type="continuationSeparator" w:id="0">
    <w:p w14:paraId="048497AE" w14:textId="77777777" w:rsidR="00356654" w:rsidRDefault="00356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6B39" w14:textId="77777777" w:rsidR="00920111" w:rsidRPr="00A45145" w:rsidRDefault="00F17402" w:rsidP="00A45145">
    <w:pPr>
      <w:jc w:val="center"/>
    </w:pPr>
    <w:r>
      <w:rPr>
        <w:noProof/>
        <w:lang w:eastAsia="ro-RO"/>
      </w:rPr>
      <w:drawing>
        <wp:inline distT="0" distB="0" distL="0" distR="0" wp14:anchorId="75E9A5FB" wp14:editId="1F91792F">
          <wp:extent cx="2962275" cy="1219200"/>
          <wp:effectExtent l="0" t="0" r="9525" b="0"/>
          <wp:docPr id="78" name="Picture 78"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14:paraId="6EDA378E" w14:textId="77777777" w:rsidR="008A046A" w:rsidRPr="00F25EFC" w:rsidRDefault="008A046A" w:rsidP="009840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6982" w14:textId="77777777" w:rsidR="0094706D" w:rsidRPr="00E95050" w:rsidRDefault="0094706D" w:rsidP="0094706D">
    <w:pPr>
      <w:jc w:val="right"/>
      <w:rPr>
        <w:i/>
        <w:noProof/>
        <w:sz w:val="22"/>
        <w:szCs w:val="22"/>
      </w:rPr>
    </w:pPr>
    <w:r>
      <w:rPr>
        <w:i/>
        <w:iCs/>
      </w:rPr>
      <w:t>Tradus și revizuit de IER</w:t>
    </w:r>
    <w:r>
      <w:t xml:space="preserve"> </w:t>
    </w:r>
    <w:r>
      <w:rPr>
        <w:i/>
        <w:sz w:val="22"/>
      </w:rPr>
      <w:t>(</w:t>
    </w:r>
    <w:hyperlink r:id="rId1" w:history="1">
      <w:r>
        <w:rPr>
          <w:rStyle w:val="Hyperlink"/>
          <w:i/>
          <w:sz w:val="22"/>
        </w:rPr>
        <w:t>http://ier.gov.ro/</w:t>
      </w:r>
    </w:hyperlink>
    <w:r>
      <w:rPr>
        <w:i/>
        <w:sz w:val="22"/>
      </w:rPr>
      <w:t>)</w:t>
    </w:r>
  </w:p>
  <w:p w14:paraId="7BCC6545" w14:textId="77777777" w:rsidR="00902601" w:rsidRPr="00F25EFC" w:rsidRDefault="00F17402" w:rsidP="00902601">
    <w:pPr>
      <w:jc w:val="center"/>
      <w:rPr>
        <w:sz w:val="18"/>
      </w:rPr>
    </w:pPr>
    <w:r>
      <w:rPr>
        <w:noProof/>
        <w:lang w:eastAsia="ro-RO"/>
      </w:rPr>
      <w:drawing>
        <wp:inline distT="0" distB="0" distL="0" distR="0" wp14:anchorId="057EB228" wp14:editId="68854D18">
          <wp:extent cx="2962275" cy="1219200"/>
          <wp:effectExtent l="0" t="0" r="9525" b="0"/>
          <wp:docPr id="71" name="Picture 7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ACE67" w14:textId="77777777" w:rsidR="008A046A" w:rsidRPr="00592C8D" w:rsidRDefault="00F17402" w:rsidP="00A21624">
    <w:pPr>
      <w:pStyle w:val="JuHeader"/>
    </w:pPr>
    <w:r>
      <w:t xml:space="preserve">HOTĂRÂREA ALEXANDRU PĂTRAŞCU ÎMPOTRIVA ROMÂNIEI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B95E" w14:textId="77777777" w:rsidR="008A046A" w:rsidRPr="00662882" w:rsidRDefault="00F17402" w:rsidP="00662882">
    <w:pPr>
      <w:pStyle w:val="JuHeader"/>
    </w:pPr>
    <w:r>
      <w:t xml:space="preserve">HOTĂRÂREA ALEXANDRU PĂTRAŞCU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9DBC9D88">
      <w:start w:val="1"/>
      <w:numFmt w:val="bullet"/>
      <w:pStyle w:val="ListBullet"/>
      <w:lvlText w:val=""/>
      <w:lvlJc w:val="left"/>
      <w:pPr>
        <w:tabs>
          <w:tab w:val="num" w:pos="851"/>
        </w:tabs>
        <w:ind w:left="568" w:firstLine="0"/>
      </w:pPr>
      <w:rPr>
        <w:rFonts w:ascii="Wingdings" w:hAnsi="Wingdings" w:hint="default"/>
        <w:color w:val="808080"/>
        <w:sz w:val="16"/>
      </w:rPr>
    </w:lvl>
    <w:lvl w:ilvl="1" w:tplc="E7F661B2" w:tentative="1">
      <w:start w:val="1"/>
      <w:numFmt w:val="bullet"/>
      <w:lvlText w:val="o"/>
      <w:lvlJc w:val="left"/>
      <w:pPr>
        <w:tabs>
          <w:tab w:val="num" w:pos="1724"/>
        </w:tabs>
        <w:ind w:left="1724" w:hanging="360"/>
      </w:pPr>
      <w:rPr>
        <w:rFonts w:ascii="Courier New" w:hAnsi="Courier New" w:cs="Courier New" w:hint="default"/>
      </w:rPr>
    </w:lvl>
    <w:lvl w:ilvl="2" w:tplc="70829582" w:tentative="1">
      <w:start w:val="1"/>
      <w:numFmt w:val="bullet"/>
      <w:lvlText w:val=""/>
      <w:lvlJc w:val="left"/>
      <w:pPr>
        <w:tabs>
          <w:tab w:val="num" w:pos="2444"/>
        </w:tabs>
        <w:ind w:left="2444" w:hanging="360"/>
      </w:pPr>
      <w:rPr>
        <w:rFonts w:ascii="Wingdings" w:hAnsi="Wingdings" w:hint="default"/>
      </w:rPr>
    </w:lvl>
    <w:lvl w:ilvl="3" w:tplc="478076E4" w:tentative="1">
      <w:start w:val="1"/>
      <w:numFmt w:val="bullet"/>
      <w:lvlText w:val=""/>
      <w:lvlJc w:val="left"/>
      <w:pPr>
        <w:tabs>
          <w:tab w:val="num" w:pos="3164"/>
        </w:tabs>
        <w:ind w:left="3164" w:hanging="360"/>
      </w:pPr>
      <w:rPr>
        <w:rFonts w:ascii="Symbol" w:hAnsi="Symbol" w:hint="default"/>
      </w:rPr>
    </w:lvl>
    <w:lvl w:ilvl="4" w:tplc="67B27CD4" w:tentative="1">
      <w:start w:val="1"/>
      <w:numFmt w:val="bullet"/>
      <w:lvlText w:val="o"/>
      <w:lvlJc w:val="left"/>
      <w:pPr>
        <w:tabs>
          <w:tab w:val="num" w:pos="3884"/>
        </w:tabs>
        <w:ind w:left="3884" w:hanging="360"/>
      </w:pPr>
      <w:rPr>
        <w:rFonts w:ascii="Courier New" w:hAnsi="Courier New" w:cs="Courier New" w:hint="default"/>
      </w:rPr>
    </w:lvl>
    <w:lvl w:ilvl="5" w:tplc="587AB0DC" w:tentative="1">
      <w:start w:val="1"/>
      <w:numFmt w:val="bullet"/>
      <w:lvlText w:val=""/>
      <w:lvlJc w:val="left"/>
      <w:pPr>
        <w:tabs>
          <w:tab w:val="num" w:pos="4604"/>
        </w:tabs>
        <w:ind w:left="4604" w:hanging="360"/>
      </w:pPr>
      <w:rPr>
        <w:rFonts w:ascii="Wingdings" w:hAnsi="Wingdings" w:hint="default"/>
      </w:rPr>
    </w:lvl>
    <w:lvl w:ilvl="6" w:tplc="80721E46" w:tentative="1">
      <w:start w:val="1"/>
      <w:numFmt w:val="bullet"/>
      <w:lvlText w:val=""/>
      <w:lvlJc w:val="left"/>
      <w:pPr>
        <w:tabs>
          <w:tab w:val="num" w:pos="5324"/>
        </w:tabs>
        <w:ind w:left="5324" w:hanging="360"/>
      </w:pPr>
      <w:rPr>
        <w:rFonts w:ascii="Symbol" w:hAnsi="Symbol" w:hint="default"/>
      </w:rPr>
    </w:lvl>
    <w:lvl w:ilvl="7" w:tplc="DF80D67C" w:tentative="1">
      <w:start w:val="1"/>
      <w:numFmt w:val="bullet"/>
      <w:lvlText w:val="o"/>
      <w:lvlJc w:val="left"/>
      <w:pPr>
        <w:tabs>
          <w:tab w:val="num" w:pos="6044"/>
        </w:tabs>
        <w:ind w:left="6044" w:hanging="360"/>
      </w:pPr>
      <w:rPr>
        <w:rFonts w:ascii="Courier New" w:hAnsi="Courier New" w:cs="Courier New" w:hint="default"/>
      </w:rPr>
    </w:lvl>
    <w:lvl w:ilvl="8" w:tplc="DDDE2608" w:tentative="1">
      <w:start w:val="1"/>
      <w:numFmt w:val="bullet"/>
      <w:lvlText w:val=""/>
      <w:lvlJc w:val="left"/>
      <w:pPr>
        <w:tabs>
          <w:tab w:val="num" w:pos="6764"/>
        </w:tabs>
        <w:ind w:left="6764" w:hanging="360"/>
      </w:pPr>
      <w:rPr>
        <w:rFonts w:ascii="Wingdings" w:hAnsi="Wingdings" w:hint="default"/>
      </w:rPr>
    </w:lvl>
  </w:abstractNum>
  <w:num w:numId="1" w16cid:durableId="1633097359">
    <w:abstractNumId w:val="13"/>
  </w:num>
  <w:num w:numId="2" w16cid:durableId="1330669906">
    <w:abstractNumId w:val="11"/>
  </w:num>
  <w:num w:numId="3" w16cid:durableId="727729890">
    <w:abstractNumId w:val="10"/>
  </w:num>
  <w:num w:numId="4" w16cid:durableId="1740324568">
    <w:abstractNumId w:val="16"/>
  </w:num>
  <w:num w:numId="5" w16cid:durableId="896008723">
    <w:abstractNumId w:val="7"/>
  </w:num>
  <w:num w:numId="6" w16cid:durableId="460923942">
    <w:abstractNumId w:val="6"/>
  </w:num>
  <w:num w:numId="7" w16cid:durableId="83965093">
    <w:abstractNumId w:val="5"/>
  </w:num>
  <w:num w:numId="8" w16cid:durableId="653606534">
    <w:abstractNumId w:val="4"/>
  </w:num>
  <w:num w:numId="9" w16cid:durableId="1680693679">
    <w:abstractNumId w:val="8"/>
  </w:num>
  <w:num w:numId="10" w16cid:durableId="263419487">
    <w:abstractNumId w:val="3"/>
  </w:num>
  <w:num w:numId="11" w16cid:durableId="17857272">
    <w:abstractNumId w:val="2"/>
  </w:num>
  <w:num w:numId="12" w16cid:durableId="254436884">
    <w:abstractNumId w:val="1"/>
  </w:num>
  <w:num w:numId="13" w16cid:durableId="1596549659">
    <w:abstractNumId w:val="0"/>
  </w:num>
  <w:num w:numId="14" w16cid:durableId="400521664">
    <w:abstractNumId w:val="9"/>
  </w:num>
  <w:num w:numId="15" w16cid:durableId="754088950">
    <w:abstractNumId w:val="14"/>
  </w:num>
  <w:num w:numId="16" w16cid:durableId="38210484">
    <w:abstractNumId w:val="12"/>
  </w:num>
  <w:num w:numId="17" w16cid:durableId="1753769573">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EMM" w:val="0"/>
    <w:docVar w:name="NBEMMDOC" w:val="0"/>
    <w:docVar w:name="Plural" w:val="0"/>
  </w:docVars>
  <w:rsids>
    <w:rsidRoot w:val="00920111"/>
    <w:rsid w:val="00000857"/>
    <w:rsid w:val="00002C3B"/>
    <w:rsid w:val="000041F8"/>
    <w:rsid w:val="000042A8"/>
    <w:rsid w:val="00004308"/>
    <w:rsid w:val="00005BF0"/>
    <w:rsid w:val="00007154"/>
    <w:rsid w:val="000103AE"/>
    <w:rsid w:val="00011D69"/>
    <w:rsid w:val="00012AD3"/>
    <w:rsid w:val="00014AFD"/>
    <w:rsid w:val="00015C2D"/>
    <w:rsid w:val="00015F00"/>
    <w:rsid w:val="00022C1D"/>
    <w:rsid w:val="00034987"/>
    <w:rsid w:val="000367A5"/>
    <w:rsid w:val="00051015"/>
    <w:rsid w:val="000602DF"/>
    <w:rsid w:val="00061B05"/>
    <w:rsid w:val="000632D5"/>
    <w:rsid w:val="000644EE"/>
    <w:rsid w:val="000675A9"/>
    <w:rsid w:val="00067AEE"/>
    <w:rsid w:val="00080ECE"/>
    <w:rsid w:val="0008621D"/>
    <w:rsid w:val="00086E4E"/>
    <w:rsid w:val="00086E70"/>
    <w:rsid w:val="0009057B"/>
    <w:rsid w:val="000925AD"/>
    <w:rsid w:val="000A0DC4"/>
    <w:rsid w:val="000A20EB"/>
    <w:rsid w:val="000A24EB"/>
    <w:rsid w:val="000B08F0"/>
    <w:rsid w:val="000B5D17"/>
    <w:rsid w:val="000B6923"/>
    <w:rsid w:val="000C5F3C"/>
    <w:rsid w:val="000C6DCC"/>
    <w:rsid w:val="000D04C2"/>
    <w:rsid w:val="000D47AA"/>
    <w:rsid w:val="000D70C7"/>
    <w:rsid w:val="000D721F"/>
    <w:rsid w:val="000E069B"/>
    <w:rsid w:val="000E0E82"/>
    <w:rsid w:val="000E1DC5"/>
    <w:rsid w:val="000E223F"/>
    <w:rsid w:val="000E4AC8"/>
    <w:rsid w:val="000E7D45"/>
    <w:rsid w:val="000F0288"/>
    <w:rsid w:val="000F1305"/>
    <w:rsid w:val="000F19D8"/>
    <w:rsid w:val="000F7851"/>
    <w:rsid w:val="0010432C"/>
    <w:rsid w:val="00104E23"/>
    <w:rsid w:val="001073DF"/>
    <w:rsid w:val="00111B0C"/>
    <w:rsid w:val="00117CD2"/>
    <w:rsid w:val="00120D6C"/>
    <w:rsid w:val="001257EC"/>
    <w:rsid w:val="00133D33"/>
    <w:rsid w:val="00134D64"/>
    <w:rsid w:val="0013562C"/>
    <w:rsid w:val="00135A30"/>
    <w:rsid w:val="0013612C"/>
    <w:rsid w:val="00137FF6"/>
    <w:rsid w:val="00141650"/>
    <w:rsid w:val="00150BFA"/>
    <w:rsid w:val="001625AD"/>
    <w:rsid w:val="00162967"/>
    <w:rsid w:val="00162A12"/>
    <w:rsid w:val="00166530"/>
    <w:rsid w:val="00181508"/>
    <w:rsid w:val="001832BD"/>
    <w:rsid w:val="001907D9"/>
    <w:rsid w:val="001943B5"/>
    <w:rsid w:val="00194C5B"/>
    <w:rsid w:val="00195134"/>
    <w:rsid w:val="001A145B"/>
    <w:rsid w:val="001A2684"/>
    <w:rsid w:val="001A3D30"/>
    <w:rsid w:val="001A674C"/>
    <w:rsid w:val="001B3B24"/>
    <w:rsid w:val="001C0F98"/>
    <w:rsid w:val="001C14FA"/>
    <w:rsid w:val="001C2470"/>
    <w:rsid w:val="001C2A42"/>
    <w:rsid w:val="001C2B5C"/>
    <w:rsid w:val="001C6A7B"/>
    <w:rsid w:val="001D63ED"/>
    <w:rsid w:val="001D7348"/>
    <w:rsid w:val="001E035B"/>
    <w:rsid w:val="001E0961"/>
    <w:rsid w:val="001E20B8"/>
    <w:rsid w:val="001E3EAE"/>
    <w:rsid w:val="001E6F32"/>
    <w:rsid w:val="001F2145"/>
    <w:rsid w:val="001F39F4"/>
    <w:rsid w:val="001F6262"/>
    <w:rsid w:val="001F67B0"/>
    <w:rsid w:val="001F7B3D"/>
    <w:rsid w:val="00204F24"/>
    <w:rsid w:val="00205F9F"/>
    <w:rsid w:val="0020718E"/>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2A53"/>
    <w:rsid w:val="0026540E"/>
    <w:rsid w:val="00275123"/>
    <w:rsid w:val="00281AB1"/>
    <w:rsid w:val="00282240"/>
    <w:rsid w:val="002939D6"/>
    <w:rsid w:val="002948AD"/>
    <w:rsid w:val="0029739C"/>
    <w:rsid w:val="002A01CC"/>
    <w:rsid w:val="002A5C59"/>
    <w:rsid w:val="002A61B1"/>
    <w:rsid w:val="002A663C"/>
    <w:rsid w:val="002B444B"/>
    <w:rsid w:val="002B5887"/>
    <w:rsid w:val="002B7E83"/>
    <w:rsid w:val="002C0E27"/>
    <w:rsid w:val="002C3040"/>
    <w:rsid w:val="002D022D"/>
    <w:rsid w:val="002D24BB"/>
    <w:rsid w:val="002E18C1"/>
    <w:rsid w:val="002E4FD8"/>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4CCC"/>
    <w:rsid w:val="00356654"/>
    <w:rsid w:val="00356AC7"/>
    <w:rsid w:val="003609FA"/>
    <w:rsid w:val="00361D45"/>
    <w:rsid w:val="0036252D"/>
    <w:rsid w:val="00367B4F"/>
    <w:rsid w:val="003710C8"/>
    <w:rsid w:val="003722CE"/>
    <w:rsid w:val="003750BE"/>
    <w:rsid w:val="00387B9D"/>
    <w:rsid w:val="00387DFB"/>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64F"/>
    <w:rsid w:val="003F7D64"/>
    <w:rsid w:val="00401F7D"/>
    <w:rsid w:val="00402ADA"/>
    <w:rsid w:val="0041177B"/>
    <w:rsid w:val="00414300"/>
    <w:rsid w:val="00425C67"/>
    <w:rsid w:val="00427E7A"/>
    <w:rsid w:val="00431C07"/>
    <w:rsid w:val="004344E6"/>
    <w:rsid w:val="00436C49"/>
    <w:rsid w:val="0044318F"/>
    <w:rsid w:val="00445366"/>
    <w:rsid w:val="00447F5B"/>
    <w:rsid w:val="00456549"/>
    <w:rsid w:val="004604A0"/>
    <w:rsid w:val="00461DB0"/>
    <w:rsid w:val="00463926"/>
    <w:rsid w:val="00464C9A"/>
    <w:rsid w:val="00474F3D"/>
    <w:rsid w:val="00477E3A"/>
    <w:rsid w:val="004839C4"/>
    <w:rsid w:val="00483E5F"/>
    <w:rsid w:val="00484EA4"/>
    <w:rsid w:val="00485FF9"/>
    <w:rsid w:val="004907F0"/>
    <w:rsid w:val="0049140B"/>
    <w:rsid w:val="004923A5"/>
    <w:rsid w:val="00492833"/>
    <w:rsid w:val="00496197"/>
    <w:rsid w:val="00496BFB"/>
    <w:rsid w:val="004A15C7"/>
    <w:rsid w:val="004B013B"/>
    <w:rsid w:val="004B112B"/>
    <w:rsid w:val="004B695A"/>
    <w:rsid w:val="004B768A"/>
    <w:rsid w:val="004C01E4"/>
    <w:rsid w:val="004C086C"/>
    <w:rsid w:val="004C14C4"/>
    <w:rsid w:val="004C1A3F"/>
    <w:rsid w:val="004C1F56"/>
    <w:rsid w:val="004C27BC"/>
    <w:rsid w:val="004C5352"/>
    <w:rsid w:val="004D15F3"/>
    <w:rsid w:val="004D22E6"/>
    <w:rsid w:val="004D51C3"/>
    <w:rsid w:val="004D5311"/>
    <w:rsid w:val="004D5DCC"/>
    <w:rsid w:val="004E22F1"/>
    <w:rsid w:val="004E378E"/>
    <w:rsid w:val="004F10AF"/>
    <w:rsid w:val="004F11A4"/>
    <w:rsid w:val="004F2389"/>
    <w:rsid w:val="004F304D"/>
    <w:rsid w:val="004F61BE"/>
    <w:rsid w:val="004F66B1"/>
    <w:rsid w:val="00510D77"/>
    <w:rsid w:val="00511C07"/>
    <w:rsid w:val="00516967"/>
    <w:rsid w:val="00516B59"/>
    <w:rsid w:val="005173A6"/>
    <w:rsid w:val="00520BAA"/>
    <w:rsid w:val="00520BC2"/>
    <w:rsid w:val="00522ABA"/>
    <w:rsid w:val="00525208"/>
    <w:rsid w:val="005257A5"/>
    <w:rsid w:val="005264C0"/>
    <w:rsid w:val="00526A8A"/>
    <w:rsid w:val="00531DF2"/>
    <w:rsid w:val="005442EE"/>
    <w:rsid w:val="00547353"/>
    <w:rsid w:val="005474E7"/>
    <w:rsid w:val="005512A3"/>
    <w:rsid w:val="005578CE"/>
    <w:rsid w:val="00562781"/>
    <w:rsid w:val="005631B4"/>
    <w:rsid w:val="00566E2B"/>
    <w:rsid w:val="0057271C"/>
    <w:rsid w:val="00572845"/>
    <w:rsid w:val="00576986"/>
    <w:rsid w:val="00592772"/>
    <w:rsid w:val="00592C8D"/>
    <w:rsid w:val="00594B9A"/>
    <w:rsid w:val="0059574A"/>
    <w:rsid w:val="005A1B9B"/>
    <w:rsid w:val="005A6751"/>
    <w:rsid w:val="005B092E"/>
    <w:rsid w:val="005B152C"/>
    <w:rsid w:val="005B1EE0"/>
    <w:rsid w:val="005B2B24"/>
    <w:rsid w:val="005B4425"/>
    <w:rsid w:val="005B4B94"/>
    <w:rsid w:val="005C353F"/>
    <w:rsid w:val="005C3EE8"/>
    <w:rsid w:val="005C5494"/>
    <w:rsid w:val="005C5FA4"/>
    <w:rsid w:val="005D34F9"/>
    <w:rsid w:val="005D4190"/>
    <w:rsid w:val="005D67A3"/>
    <w:rsid w:val="005E2988"/>
    <w:rsid w:val="005E3085"/>
    <w:rsid w:val="005F51E1"/>
    <w:rsid w:val="00600071"/>
    <w:rsid w:val="00610F7A"/>
    <w:rsid w:val="00611C80"/>
    <w:rsid w:val="00613B21"/>
    <w:rsid w:val="00620692"/>
    <w:rsid w:val="00621B0D"/>
    <w:rsid w:val="006242CA"/>
    <w:rsid w:val="00627507"/>
    <w:rsid w:val="00633717"/>
    <w:rsid w:val="006344E1"/>
    <w:rsid w:val="006361FD"/>
    <w:rsid w:val="00636518"/>
    <w:rsid w:val="006545C4"/>
    <w:rsid w:val="00654B7E"/>
    <w:rsid w:val="00657124"/>
    <w:rsid w:val="00661971"/>
    <w:rsid w:val="00661CE8"/>
    <w:rsid w:val="006623D9"/>
    <w:rsid w:val="00662882"/>
    <w:rsid w:val="0066550C"/>
    <w:rsid w:val="00665F03"/>
    <w:rsid w:val="00666294"/>
    <w:rsid w:val="006716F2"/>
    <w:rsid w:val="006779BD"/>
    <w:rsid w:val="00682BF2"/>
    <w:rsid w:val="006859CE"/>
    <w:rsid w:val="00691270"/>
    <w:rsid w:val="00694BA8"/>
    <w:rsid w:val="006A037C"/>
    <w:rsid w:val="006A2534"/>
    <w:rsid w:val="006A36F4"/>
    <w:rsid w:val="006A406F"/>
    <w:rsid w:val="006A5D3A"/>
    <w:rsid w:val="006C23D4"/>
    <w:rsid w:val="006C475E"/>
    <w:rsid w:val="006C7BB0"/>
    <w:rsid w:val="006D3237"/>
    <w:rsid w:val="006E2E37"/>
    <w:rsid w:val="006E3CF1"/>
    <w:rsid w:val="006E7E80"/>
    <w:rsid w:val="006F158C"/>
    <w:rsid w:val="006F48CA"/>
    <w:rsid w:val="006F64DD"/>
    <w:rsid w:val="00713585"/>
    <w:rsid w:val="00715127"/>
    <w:rsid w:val="00715E8E"/>
    <w:rsid w:val="007172B0"/>
    <w:rsid w:val="00723580"/>
    <w:rsid w:val="00723755"/>
    <w:rsid w:val="0072459C"/>
    <w:rsid w:val="00724AE2"/>
    <w:rsid w:val="00730B5C"/>
    <w:rsid w:val="0073136C"/>
    <w:rsid w:val="00731F0F"/>
    <w:rsid w:val="00733250"/>
    <w:rsid w:val="00735951"/>
    <w:rsid w:val="00741404"/>
    <w:rsid w:val="00743649"/>
    <w:rsid w:val="007449E5"/>
    <w:rsid w:val="00747FF0"/>
    <w:rsid w:val="00751730"/>
    <w:rsid w:val="00760731"/>
    <w:rsid w:val="007612E2"/>
    <w:rsid w:val="00764D4E"/>
    <w:rsid w:val="00765A1F"/>
    <w:rsid w:val="00770ABD"/>
    <w:rsid w:val="00775B6D"/>
    <w:rsid w:val="00776D68"/>
    <w:rsid w:val="0078110C"/>
    <w:rsid w:val="0078300D"/>
    <w:rsid w:val="007850EE"/>
    <w:rsid w:val="00785B95"/>
    <w:rsid w:val="00790AAD"/>
    <w:rsid w:val="00790E96"/>
    <w:rsid w:val="00793366"/>
    <w:rsid w:val="00794E99"/>
    <w:rsid w:val="007971FF"/>
    <w:rsid w:val="007A4070"/>
    <w:rsid w:val="007A716F"/>
    <w:rsid w:val="007B270A"/>
    <w:rsid w:val="007B78E1"/>
    <w:rsid w:val="007C0695"/>
    <w:rsid w:val="007C419A"/>
    <w:rsid w:val="007C4CC8"/>
    <w:rsid w:val="007C5426"/>
    <w:rsid w:val="007C5798"/>
    <w:rsid w:val="007C75BE"/>
    <w:rsid w:val="007D3226"/>
    <w:rsid w:val="007D4832"/>
    <w:rsid w:val="007E21B2"/>
    <w:rsid w:val="007E2C4E"/>
    <w:rsid w:val="007F1905"/>
    <w:rsid w:val="00801300"/>
    <w:rsid w:val="00802C64"/>
    <w:rsid w:val="0080523A"/>
    <w:rsid w:val="00805E52"/>
    <w:rsid w:val="008061D0"/>
    <w:rsid w:val="00810B38"/>
    <w:rsid w:val="00813DC6"/>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A046A"/>
    <w:rsid w:val="008B02DC"/>
    <w:rsid w:val="008B2698"/>
    <w:rsid w:val="008B57CE"/>
    <w:rsid w:val="008C26DE"/>
    <w:rsid w:val="008D093E"/>
    <w:rsid w:val="008D2225"/>
    <w:rsid w:val="008D4752"/>
    <w:rsid w:val="008D64B7"/>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1715F"/>
    <w:rsid w:val="00920111"/>
    <w:rsid w:val="009259AC"/>
    <w:rsid w:val="00926F38"/>
    <w:rsid w:val="00934301"/>
    <w:rsid w:val="00936CD1"/>
    <w:rsid w:val="009375A5"/>
    <w:rsid w:val="00941747"/>
    <w:rsid w:val="00941EFB"/>
    <w:rsid w:val="00942EBA"/>
    <w:rsid w:val="00946CE4"/>
    <w:rsid w:val="0094706D"/>
    <w:rsid w:val="00947AFB"/>
    <w:rsid w:val="00951D7D"/>
    <w:rsid w:val="0095495C"/>
    <w:rsid w:val="00954AD6"/>
    <w:rsid w:val="00961BE7"/>
    <w:rsid w:val="00961E57"/>
    <w:rsid w:val="009630C7"/>
    <w:rsid w:val="00972B55"/>
    <w:rsid w:val="009743B7"/>
    <w:rsid w:val="00975039"/>
    <w:rsid w:val="00977227"/>
    <w:rsid w:val="0098228B"/>
    <w:rsid w:val="009828DA"/>
    <w:rsid w:val="00982CD9"/>
    <w:rsid w:val="009840A2"/>
    <w:rsid w:val="00985BAB"/>
    <w:rsid w:val="00992DD0"/>
    <w:rsid w:val="00996D8A"/>
    <w:rsid w:val="009A0D73"/>
    <w:rsid w:val="009B1B5F"/>
    <w:rsid w:val="009B6673"/>
    <w:rsid w:val="009B741A"/>
    <w:rsid w:val="009C191B"/>
    <w:rsid w:val="009C2BD6"/>
    <w:rsid w:val="009D2F52"/>
    <w:rsid w:val="009E0E2A"/>
    <w:rsid w:val="009E16D2"/>
    <w:rsid w:val="009E1F32"/>
    <w:rsid w:val="009E776C"/>
    <w:rsid w:val="00A00672"/>
    <w:rsid w:val="00A065BF"/>
    <w:rsid w:val="00A132AD"/>
    <w:rsid w:val="00A1726E"/>
    <w:rsid w:val="00A204CF"/>
    <w:rsid w:val="00A21624"/>
    <w:rsid w:val="00A23D49"/>
    <w:rsid w:val="00A27004"/>
    <w:rsid w:val="00A30C29"/>
    <w:rsid w:val="00A34DD6"/>
    <w:rsid w:val="00A36819"/>
    <w:rsid w:val="00A36989"/>
    <w:rsid w:val="00A42901"/>
    <w:rsid w:val="00A43628"/>
    <w:rsid w:val="00A43AA3"/>
    <w:rsid w:val="00A45145"/>
    <w:rsid w:val="00A4783F"/>
    <w:rsid w:val="00A54192"/>
    <w:rsid w:val="00A6035E"/>
    <w:rsid w:val="00A60C9B"/>
    <w:rsid w:val="00A6144C"/>
    <w:rsid w:val="00A66617"/>
    <w:rsid w:val="00A671F8"/>
    <w:rsid w:val="00A673A4"/>
    <w:rsid w:val="00A724AE"/>
    <w:rsid w:val="00A73329"/>
    <w:rsid w:val="00A75785"/>
    <w:rsid w:val="00A777BB"/>
    <w:rsid w:val="00A8094B"/>
    <w:rsid w:val="00A82359"/>
    <w:rsid w:val="00A865D2"/>
    <w:rsid w:val="00A94C20"/>
    <w:rsid w:val="00A9740D"/>
    <w:rsid w:val="00A979BA"/>
    <w:rsid w:val="00AA227F"/>
    <w:rsid w:val="00AA3BC7"/>
    <w:rsid w:val="00AA5E4E"/>
    <w:rsid w:val="00AA754A"/>
    <w:rsid w:val="00AB099E"/>
    <w:rsid w:val="00AB14EF"/>
    <w:rsid w:val="00AB4328"/>
    <w:rsid w:val="00AB5628"/>
    <w:rsid w:val="00AC00C2"/>
    <w:rsid w:val="00AC09FC"/>
    <w:rsid w:val="00AC5872"/>
    <w:rsid w:val="00AD2473"/>
    <w:rsid w:val="00AE0A2E"/>
    <w:rsid w:val="00AE354C"/>
    <w:rsid w:val="00AF4B07"/>
    <w:rsid w:val="00AF6186"/>
    <w:rsid w:val="00AF7A3A"/>
    <w:rsid w:val="00B009F4"/>
    <w:rsid w:val="00B03677"/>
    <w:rsid w:val="00B160DB"/>
    <w:rsid w:val="00B20836"/>
    <w:rsid w:val="00B20F1A"/>
    <w:rsid w:val="00B235BB"/>
    <w:rsid w:val="00B25320"/>
    <w:rsid w:val="00B25943"/>
    <w:rsid w:val="00B25D3B"/>
    <w:rsid w:val="00B27A44"/>
    <w:rsid w:val="00B30BBF"/>
    <w:rsid w:val="00B324E0"/>
    <w:rsid w:val="00B33C03"/>
    <w:rsid w:val="00B44E56"/>
    <w:rsid w:val="00B46543"/>
    <w:rsid w:val="00B47D33"/>
    <w:rsid w:val="00B52BE0"/>
    <w:rsid w:val="00B54133"/>
    <w:rsid w:val="00B701ED"/>
    <w:rsid w:val="00B72864"/>
    <w:rsid w:val="00B751F4"/>
    <w:rsid w:val="00B76689"/>
    <w:rsid w:val="00B77EF0"/>
    <w:rsid w:val="00B8086C"/>
    <w:rsid w:val="00B840F7"/>
    <w:rsid w:val="00B861B4"/>
    <w:rsid w:val="00B86DFE"/>
    <w:rsid w:val="00B90990"/>
    <w:rsid w:val="00B922FF"/>
    <w:rsid w:val="00B9281E"/>
    <w:rsid w:val="00B93925"/>
    <w:rsid w:val="00B95187"/>
    <w:rsid w:val="00BA2D55"/>
    <w:rsid w:val="00BA3D7F"/>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BF6BB5"/>
    <w:rsid w:val="00BF7D50"/>
    <w:rsid w:val="00C00E59"/>
    <w:rsid w:val="00C0105D"/>
    <w:rsid w:val="00C0307B"/>
    <w:rsid w:val="00C054C7"/>
    <w:rsid w:val="00C057B5"/>
    <w:rsid w:val="00C10330"/>
    <w:rsid w:val="00C149F0"/>
    <w:rsid w:val="00C22687"/>
    <w:rsid w:val="00C231CD"/>
    <w:rsid w:val="00C25983"/>
    <w:rsid w:val="00C2735B"/>
    <w:rsid w:val="00C27976"/>
    <w:rsid w:val="00C32E4D"/>
    <w:rsid w:val="00C333A0"/>
    <w:rsid w:val="00C36408"/>
    <w:rsid w:val="00C36A81"/>
    <w:rsid w:val="00C41974"/>
    <w:rsid w:val="00C45616"/>
    <w:rsid w:val="00C46C95"/>
    <w:rsid w:val="00C53F4A"/>
    <w:rsid w:val="00C54125"/>
    <w:rsid w:val="00C55B54"/>
    <w:rsid w:val="00C6098E"/>
    <w:rsid w:val="00C6152C"/>
    <w:rsid w:val="00C61D3B"/>
    <w:rsid w:val="00C74810"/>
    <w:rsid w:val="00C77616"/>
    <w:rsid w:val="00C77C38"/>
    <w:rsid w:val="00C81ACF"/>
    <w:rsid w:val="00C822C7"/>
    <w:rsid w:val="00C834DB"/>
    <w:rsid w:val="00C83BBD"/>
    <w:rsid w:val="00C90D68"/>
    <w:rsid w:val="00C939FE"/>
    <w:rsid w:val="00CA4BDA"/>
    <w:rsid w:val="00CA7C61"/>
    <w:rsid w:val="00CB1F66"/>
    <w:rsid w:val="00CB2951"/>
    <w:rsid w:val="00CB621C"/>
    <w:rsid w:val="00CC6BB3"/>
    <w:rsid w:val="00CD282B"/>
    <w:rsid w:val="00CD4C35"/>
    <w:rsid w:val="00CD7369"/>
    <w:rsid w:val="00CE0B0E"/>
    <w:rsid w:val="00CE3831"/>
    <w:rsid w:val="00CE57AB"/>
    <w:rsid w:val="00CE7140"/>
    <w:rsid w:val="00D00ABB"/>
    <w:rsid w:val="00D01935"/>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1FAF"/>
    <w:rsid w:val="00D54FF1"/>
    <w:rsid w:val="00D55E2C"/>
    <w:rsid w:val="00D566BD"/>
    <w:rsid w:val="00D57A4D"/>
    <w:rsid w:val="00D60AA7"/>
    <w:rsid w:val="00D62A67"/>
    <w:rsid w:val="00D6435F"/>
    <w:rsid w:val="00D75E28"/>
    <w:rsid w:val="00D772C2"/>
    <w:rsid w:val="00D8008E"/>
    <w:rsid w:val="00D81A88"/>
    <w:rsid w:val="00D82C45"/>
    <w:rsid w:val="00D908A8"/>
    <w:rsid w:val="00D943DF"/>
    <w:rsid w:val="00D977B6"/>
    <w:rsid w:val="00DA3634"/>
    <w:rsid w:val="00DA4A31"/>
    <w:rsid w:val="00DA7B04"/>
    <w:rsid w:val="00DB36C2"/>
    <w:rsid w:val="00DB3B2A"/>
    <w:rsid w:val="00DB5CBD"/>
    <w:rsid w:val="00DC169B"/>
    <w:rsid w:val="00DC2AB9"/>
    <w:rsid w:val="00DC2D5D"/>
    <w:rsid w:val="00DC63F0"/>
    <w:rsid w:val="00DD0F54"/>
    <w:rsid w:val="00DD10E5"/>
    <w:rsid w:val="00DD5382"/>
    <w:rsid w:val="00DD6EE5"/>
    <w:rsid w:val="00DD77EF"/>
    <w:rsid w:val="00DE2362"/>
    <w:rsid w:val="00DE386C"/>
    <w:rsid w:val="00DE4D35"/>
    <w:rsid w:val="00DF00BC"/>
    <w:rsid w:val="00DF098B"/>
    <w:rsid w:val="00DF0B8F"/>
    <w:rsid w:val="00DF11C4"/>
    <w:rsid w:val="00DF210C"/>
    <w:rsid w:val="00DF276D"/>
    <w:rsid w:val="00DF4B6A"/>
    <w:rsid w:val="00E0027B"/>
    <w:rsid w:val="00E012FB"/>
    <w:rsid w:val="00E02C09"/>
    <w:rsid w:val="00E03671"/>
    <w:rsid w:val="00E04D59"/>
    <w:rsid w:val="00E063CB"/>
    <w:rsid w:val="00E065AD"/>
    <w:rsid w:val="00E07DA1"/>
    <w:rsid w:val="00E123CB"/>
    <w:rsid w:val="00E17436"/>
    <w:rsid w:val="00E20868"/>
    <w:rsid w:val="00E20E13"/>
    <w:rsid w:val="00E21DBC"/>
    <w:rsid w:val="00E275D7"/>
    <w:rsid w:val="00E27811"/>
    <w:rsid w:val="00E27DBE"/>
    <w:rsid w:val="00E32AB1"/>
    <w:rsid w:val="00E36C71"/>
    <w:rsid w:val="00E37E79"/>
    <w:rsid w:val="00E40404"/>
    <w:rsid w:val="00E44D80"/>
    <w:rsid w:val="00E459C6"/>
    <w:rsid w:val="00E47589"/>
    <w:rsid w:val="00E50213"/>
    <w:rsid w:val="00E532F2"/>
    <w:rsid w:val="00E64915"/>
    <w:rsid w:val="00E661D4"/>
    <w:rsid w:val="00E70091"/>
    <w:rsid w:val="00E720F5"/>
    <w:rsid w:val="00E72F2D"/>
    <w:rsid w:val="00E76D47"/>
    <w:rsid w:val="00E849F7"/>
    <w:rsid w:val="00E90302"/>
    <w:rsid w:val="00E9426D"/>
    <w:rsid w:val="00E97396"/>
    <w:rsid w:val="00EA185E"/>
    <w:rsid w:val="00EA592A"/>
    <w:rsid w:val="00EB14E4"/>
    <w:rsid w:val="00EB182B"/>
    <w:rsid w:val="00EB32A5"/>
    <w:rsid w:val="00EB34ED"/>
    <w:rsid w:val="00EB4A37"/>
    <w:rsid w:val="00EB7BE0"/>
    <w:rsid w:val="00EC17EA"/>
    <w:rsid w:val="00EC2E92"/>
    <w:rsid w:val="00EC315E"/>
    <w:rsid w:val="00EC4A4F"/>
    <w:rsid w:val="00EC58D1"/>
    <w:rsid w:val="00ED077C"/>
    <w:rsid w:val="00ED1190"/>
    <w:rsid w:val="00ED469D"/>
    <w:rsid w:val="00ED6544"/>
    <w:rsid w:val="00EE0277"/>
    <w:rsid w:val="00EE3E00"/>
    <w:rsid w:val="00EE5DD2"/>
    <w:rsid w:val="00EF34CB"/>
    <w:rsid w:val="00EF6E2D"/>
    <w:rsid w:val="00F00A79"/>
    <w:rsid w:val="00F00E86"/>
    <w:rsid w:val="00F07C1E"/>
    <w:rsid w:val="00F105DB"/>
    <w:rsid w:val="00F132BC"/>
    <w:rsid w:val="00F1382F"/>
    <w:rsid w:val="00F13D80"/>
    <w:rsid w:val="00F16AAA"/>
    <w:rsid w:val="00F17402"/>
    <w:rsid w:val="00F21161"/>
    <w:rsid w:val="00F218EF"/>
    <w:rsid w:val="00F21BC7"/>
    <w:rsid w:val="00F25EFC"/>
    <w:rsid w:val="00F266A2"/>
    <w:rsid w:val="00F27D13"/>
    <w:rsid w:val="00F32269"/>
    <w:rsid w:val="00F40E45"/>
    <w:rsid w:val="00F4643E"/>
    <w:rsid w:val="00F56A6F"/>
    <w:rsid w:val="00F5709C"/>
    <w:rsid w:val="00F626DA"/>
    <w:rsid w:val="00F64EF1"/>
    <w:rsid w:val="00F659F3"/>
    <w:rsid w:val="00F83589"/>
    <w:rsid w:val="00F84AB7"/>
    <w:rsid w:val="00F8765F"/>
    <w:rsid w:val="00F90767"/>
    <w:rsid w:val="00F912E4"/>
    <w:rsid w:val="00F94531"/>
    <w:rsid w:val="00F94BC8"/>
    <w:rsid w:val="00F9588E"/>
    <w:rsid w:val="00FA0688"/>
    <w:rsid w:val="00FA685B"/>
    <w:rsid w:val="00FB0C01"/>
    <w:rsid w:val="00FC04E5"/>
    <w:rsid w:val="00FC18F2"/>
    <w:rsid w:val="00FC39E5"/>
    <w:rsid w:val="00FC3A78"/>
    <w:rsid w:val="00FD1005"/>
    <w:rsid w:val="00FD1554"/>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71C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760731"/>
    <w:rPr>
      <w:sz w:val="24"/>
      <w:szCs w:val="24"/>
    </w:rPr>
  </w:style>
  <w:style w:type="paragraph" w:styleId="Heading1">
    <w:name w:val="heading 1"/>
    <w:basedOn w:val="Normal"/>
    <w:next w:val="Normal"/>
    <w:link w:val="Heading1Char"/>
    <w:uiPriority w:val="98"/>
    <w:semiHidden/>
    <w:rsid w:val="0076073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76073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760731"/>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760731"/>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760731"/>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760731"/>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760731"/>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76073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76073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760731"/>
    <w:rPr>
      <w:rFonts w:ascii="Tahoma" w:hAnsi="Tahoma" w:cs="Tahoma"/>
      <w:sz w:val="16"/>
      <w:szCs w:val="16"/>
    </w:rPr>
  </w:style>
  <w:style w:type="character" w:customStyle="1" w:styleId="BalloonTextChar">
    <w:name w:val="Balloon Text Char"/>
    <w:basedOn w:val="DefaultParagraphFont"/>
    <w:link w:val="BalloonText"/>
    <w:uiPriority w:val="98"/>
    <w:semiHidden/>
    <w:rsid w:val="00760731"/>
    <w:rPr>
      <w:rFonts w:ascii="Tahoma" w:hAnsi="Tahoma" w:cs="Tahoma"/>
      <w:sz w:val="16"/>
      <w:szCs w:val="16"/>
      <w:lang w:val="ro-RO"/>
    </w:rPr>
  </w:style>
  <w:style w:type="character" w:styleId="BookTitle">
    <w:name w:val="Book Title"/>
    <w:uiPriority w:val="98"/>
    <w:semiHidden/>
    <w:qFormat/>
    <w:rsid w:val="00760731"/>
    <w:rPr>
      <w:i/>
      <w:iCs/>
      <w:smallCaps/>
      <w:spacing w:val="5"/>
    </w:rPr>
  </w:style>
  <w:style w:type="paragraph" w:customStyle="1" w:styleId="JuHeader">
    <w:name w:val="Ju_Header"/>
    <w:aliases w:val="_Header"/>
    <w:basedOn w:val="Header"/>
    <w:uiPriority w:val="29"/>
    <w:qFormat/>
    <w:rsid w:val="00760731"/>
    <w:pPr>
      <w:tabs>
        <w:tab w:val="clear" w:pos="4536"/>
        <w:tab w:val="clear" w:pos="9072"/>
      </w:tabs>
      <w:jc w:val="center"/>
    </w:pPr>
    <w:rPr>
      <w:sz w:val="18"/>
    </w:rPr>
  </w:style>
  <w:style w:type="paragraph" w:customStyle="1" w:styleId="DummyStyle">
    <w:name w:val="Dummy_Style"/>
    <w:aliases w:val="_Dummy"/>
    <w:basedOn w:val="Normal"/>
    <w:semiHidden/>
    <w:qFormat/>
    <w:rsid w:val="00760731"/>
    <w:rPr>
      <w:color w:val="00B050"/>
      <w:sz w:val="22"/>
    </w:rPr>
  </w:style>
  <w:style w:type="character" w:styleId="Strong">
    <w:name w:val="Strong"/>
    <w:uiPriority w:val="98"/>
    <w:semiHidden/>
    <w:qFormat/>
    <w:rsid w:val="00760731"/>
    <w:rPr>
      <w:b/>
      <w:bCs/>
    </w:rPr>
  </w:style>
  <w:style w:type="paragraph" w:styleId="NoSpacing">
    <w:name w:val="No Spacing"/>
    <w:basedOn w:val="Normal"/>
    <w:link w:val="NoSpacingChar"/>
    <w:uiPriority w:val="98"/>
    <w:semiHidden/>
    <w:qFormat/>
    <w:rsid w:val="00760731"/>
  </w:style>
  <w:style w:type="character" w:customStyle="1" w:styleId="NoSpacingChar">
    <w:name w:val="No Spacing Char"/>
    <w:basedOn w:val="DefaultParagraphFont"/>
    <w:link w:val="NoSpacing"/>
    <w:uiPriority w:val="98"/>
    <w:semiHidden/>
    <w:rsid w:val="00760731"/>
    <w:rPr>
      <w:sz w:val="24"/>
      <w:szCs w:val="24"/>
      <w:lang w:val="ro-RO"/>
    </w:rPr>
  </w:style>
  <w:style w:type="paragraph" w:customStyle="1" w:styleId="JuQuot">
    <w:name w:val="Ju_Quot"/>
    <w:aliases w:val="_Quote"/>
    <w:basedOn w:val="NormalJustified"/>
    <w:uiPriority w:val="20"/>
    <w:qFormat/>
    <w:rsid w:val="00760731"/>
    <w:pPr>
      <w:spacing w:before="120" w:after="120"/>
      <w:ind w:left="425" w:firstLine="142"/>
    </w:pPr>
    <w:rPr>
      <w:sz w:val="20"/>
    </w:rPr>
  </w:style>
  <w:style w:type="paragraph" w:customStyle="1" w:styleId="JuList">
    <w:name w:val="Ju_List"/>
    <w:aliases w:val="_List_1"/>
    <w:basedOn w:val="NormalJustified"/>
    <w:uiPriority w:val="23"/>
    <w:qFormat/>
    <w:rsid w:val="00760731"/>
    <w:pPr>
      <w:numPr>
        <w:numId w:val="16"/>
      </w:numPr>
      <w:spacing w:before="280" w:after="60"/>
    </w:pPr>
  </w:style>
  <w:style w:type="paragraph" w:customStyle="1" w:styleId="JuLista">
    <w:name w:val="Ju_List_a"/>
    <w:aliases w:val="_List_2"/>
    <w:basedOn w:val="NormalJustified"/>
    <w:uiPriority w:val="23"/>
    <w:rsid w:val="00760731"/>
    <w:pPr>
      <w:numPr>
        <w:ilvl w:val="1"/>
        <w:numId w:val="16"/>
      </w:numPr>
    </w:pPr>
  </w:style>
  <w:style w:type="paragraph" w:customStyle="1" w:styleId="JuListi">
    <w:name w:val="Ju_List_i"/>
    <w:aliases w:val="_List_3"/>
    <w:basedOn w:val="NormalJustified"/>
    <w:uiPriority w:val="23"/>
    <w:rsid w:val="00760731"/>
    <w:pPr>
      <w:numPr>
        <w:ilvl w:val="2"/>
        <w:numId w:val="16"/>
      </w:numPr>
    </w:pPr>
  </w:style>
  <w:style w:type="paragraph" w:customStyle="1" w:styleId="DecHTitle">
    <w:name w:val="Dec_H_Title"/>
    <w:aliases w:val="_Title_1"/>
    <w:basedOn w:val="JuPara"/>
    <w:next w:val="JuPara"/>
    <w:uiPriority w:val="38"/>
    <w:qFormat/>
    <w:rsid w:val="00760731"/>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760731"/>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760731"/>
    <w:pPr>
      <w:keepNext/>
      <w:keepLines/>
      <w:tabs>
        <w:tab w:val="right" w:pos="7938"/>
      </w:tabs>
      <w:ind w:firstLine="0"/>
      <w:jc w:val="center"/>
    </w:pPr>
    <w:rPr>
      <w:i/>
    </w:rPr>
  </w:style>
  <w:style w:type="numbering" w:customStyle="1" w:styleId="ECHRA1StyleBulletedSquare">
    <w:name w:val="ECHR_A1_Style_Bulleted_Square"/>
    <w:basedOn w:val="NoList"/>
    <w:rsid w:val="00760731"/>
    <w:pPr>
      <w:numPr>
        <w:numId w:val="15"/>
      </w:numPr>
    </w:pPr>
  </w:style>
  <w:style w:type="paragraph" w:customStyle="1" w:styleId="JuHHead">
    <w:name w:val="Ju_H_Head"/>
    <w:aliases w:val="_Head_1"/>
    <w:basedOn w:val="Heading1"/>
    <w:next w:val="JuPara"/>
    <w:uiPriority w:val="17"/>
    <w:qFormat/>
    <w:rsid w:val="00760731"/>
    <w:pPr>
      <w:keepNext/>
      <w:keepLines/>
      <w:numPr>
        <w:numId w:val="14"/>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760731"/>
    <w:pPr>
      <w:numPr>
        <w:numId w:val="16"/>
      </w:numPr>
    </w:pPr>
  </w:style>
  <w:style w:type="paragraph" w:customStyle="1" w:styleId="JuSigned">
    <w:name w:val="Ju_Signed"/>
    <w:aliases w:val="_Signature"/>
    <w:basedOn w:val="Normal"/>
    <w:next w:val="JuPara"/>
    <w:uiPriority w:val="31"/>
    <w:qFormat/>
    <w:rsid w:val="00760731"/>
    <w:pPr>
      <w:tabs>
        <w:tab w:val="center" w:pos="1418"/>
        <w:tab w:val="center" w:pos="5954"/>
      </w:tabs>
      <w:spacing w:before="720"/>
    </w:pPr>
  </w:style>
  <w:style w:type="paragraph" w:styleId="Title">
    <w:name w:val="Title"/>
    <w:basedOn w:val="Normal"/>
    <w:next w:val="Normal"/>
    <w:link w:val="TitleChar"/>
    <w:uiPriority w:val="98"/>
    <w:semiHidden/>
    <w:qFormat/>
    <w:rsid w:val="0076073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760731"/>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760731"/>
    <w:pPr>
      <w:numPr>
        <w:numId w:val="17"/>
      </w:numPr>
    </w:pPr>
  </w:style>
  <w:style w:type="table" w:customStyle="1" w:styleId="ECHRTable2019">
    <w:name w:val="ECHR_Table_2019"/>
    <w:basedOn w:val="TableNormal"/>
    <w:uiPriority w:val="99"/>
    <w:rsid w:val="00760731"/>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760731"/>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760731"/>
    <w:pPr>
      <w:tabs>
        <w:tab w:val="center" w:pos="6407"/>
      </w:tabs>
      <w:spacing w:before="720"/>
      <w:jc w:val="right"/>
    </w:pPr>
  </w:style>
  <w:style w:type="paragraph" w:customStyle="1" w:styleId="JuHIRoman">
    <w:name w:val="Ju_H_I_Roman"/>
    <w:aliases w:val="_Head_2"/>
    <w:basedOn w:val="Heading2"/>
    <w:next w:val="JuPara"/>
    <w:uiPriority w:val="17"/>
    <w:qFormat/>
    <w:rsid w:val="00760731"/>
    <w:pPr>
      <w:keepNext/>
      <w:keepLines/>
      <w:numPr>
        <w:ilvl w:val="1"/>
        <w:numId w:val="14"/>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760731"/>
    <w:pPr>
      <w:keepNext/>
      <w:keepLines/>
      <w:numPr>
        <w:ilvl w:val="2"/>
        <w:numId w:val="14"/>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760731"/>
    <w:pPr>
      <w:keepNext/>
      <w:keepLines/>
      <w:numPr>
        <w:ilvl w:val="3"/>
        <w:numId w:val="14"/>
      </w:numPr>
      <w:spacing w:before="100" w:beforeAutospacing="1" w:after="120"/>
      <w:jc w:val="both"/>
    </w:pPr>
    <w:rPr>
      <w:b w:val="0"/>
      <w:color w:val="auto"/>
      <w:sz w:val="24"/>
    </w:rPr>
  </w:style>
  <w:style w:type="paragraph" w:styleId="Header">
    <w:name w:val="header"/>
    <w:basedOn w:val="Normal"/>
    <w:link w:val="HeaderChar"/>
    <w:uiPriority w:val="98"/>
    <w:semiHidden/>
    <w:rsid w:val="00760731"/>
    <w:pPr>
      <w:tabs>
        <w:tab w:val="center" w:pos="4536"/>
        <w:tab w:val="right" w:pos="9072"/>
      </w:tabs>
    </w:pPr>
  </w:style>
  <w:style w:type="character" w:customStyle="1" w:styleId="HeaderChar">
    <w:name w:val="Header Char"/>
    <w:basedOn w:val="DefaultParagraphFont"/>
    <w:link w:val="Header"/>
    <w:uiPriority w:val="98"/>
    <w:semiHidden/>
    <w:rsid w:val="00760731"/>
    <w:rPr>
      <w:sz w:val="24"/>
      <w:szCs w:val="24"/>
      <w:lang w:val="ro-RO"/>
    </w:rPr>
  </w:style>
  <w:style w:type="character" w:customStyle="1" w:styleId="Heading1Char">
    <w:name w:val="Heading 1 Char"/>
    <w:basedOn w:val="DefaultParagraphFont"/>
    <w:link w:val="Heading1"/>
    <w:uiPriority w:val="98"/>
    <w:semiHidden/>
    <w:rsid w:val="00760731"/>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760731"/>
    <w:pPr>
      <w:keepNext/>
      <w:keepLines/>
      <w:numPr>
        <w:ilvl w:val="4"/>
        <w:numId w:val="14"/>
      </w:numPr>
      <w:spacing w:before="100" w:beforeAutospacing="1" w:after="120"/>
      <w:jc w:val="both"/>
    </w:pPr>
    <w:rPr>
      <w:color w:val="auto"/>
      <w:sz w:val="20"/>
    </w:rPr>
  </w:style>
  <w:style w:type="paragraph" w:customStyle="1" w:styleId="JuHi">
    <w:name w:val="Ju_H_i"/>
    <w:aliases w:val="_Head_6"/>
    <w:basedOn w:val="Heading6"/>
    <w:next w:val="JuPara"/>
    <w:uiPriority w:val="17"/>
    <w:rsid w:val="00760731"/>
    <w:pPr>
      <w:keepNext/>
      <w:keepLines/>
      <w:numPr>
        <w:ilvl w:val="5"/>
        <w:numId w:val="14"/>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760731"/>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760731"/>
    <w:pPr>
      <w:keepNext/>
      <w:keepLines/>
      <w:numPr>
        <w:ilvl w:val="6"/>
        <w:numId w:val="14"/>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760731"/>
    <w:pPr>
      <w:keepNext/>
      <w:keepLines/>
      <w:numPr>
        <w:ilvl w:val="7"/>
        <w:numId w:val="14"/>
      </w:numPr>
      <w:spacing w:before="100" w:beforeAutospacing="1" w:after="120"/>
      <w:jc w:val="both"/>
    </w:pPr>
    <w:rPr>
      <w:i/>
    </w:rPr>
  </w:style>
  <w:style w:type="character" w:customStyle="1" w:styleId="Heading3Char">
    <w:name w:val="Heading 3 Char"/>
    <w:basedOn w:val="DefaultParagraphFont"/>
    <w:link w:val="Heading3"/>
    <w:uiPriority w:val="98"/>
    <w:semiHidden/>
    <w:rsid w:val="00760731"/>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760731"/>
    <w:pPr>
      <w:keepNext/>
      <w:keepLines/>
      <w:spacing w:before="240" w:after="240"/>
      <w:ind w:firstLine="284"/>
    </w:pPr>
  </w:style>
  <w:style w:type="paragraph" w:customStyle="1" w:styleId="JuJudges">
    <w:name w:val="Ju_Judges"/>
    <w:aliases w:val="_Judges"/>
    <w:basedOn w:val="Normal"/>
    <w:uiPriority w:val="32"/>
    <w:qFormat/>
    <w:rsid w:val="00760731"/>
    <w:pPr>
      <w:tabs>
        <w:tab w:val="left" w:pos="567"/>
        <w:tab w:val="left" w:pos="1134"/>
      </w:tabs>
    </w:pPr>
  </w:style>
  <w:style w:type="character" w:customStyle="1" w:styleId="Heading4Char">
    <w:name w:val="Heading 4 Char"/>
    <w:basedOn w:val="DefaultParagraphFont"/>
    <w:link w:val="Heading4"/>
    <w:uiPriority w:val="98"/>
    <w:semiHidden/>
    <w:rsid w:val="00760731"/>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760731"/>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760731"/>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760731"/>
    <w:rPr>
      <w:caps w:val="0"/>
      <w:smallCaps/>
    </w:rPr>
  </w:style>
  <w:style w:type="paragraph" w:customStyle="1" w:styleId="NormalJustified">
    <w:name w:val="Normal_Justified"/>
    <w:basedOn w:val="Normal"/>
    <w:semiHidden/>
    <w:rsid w:val="00760731"/>
    <w:pPr>
      <w:jc w:val="both"/>
    </w:pPr>
  </w:style>
  <w:style w:type="character" w:styleId="SubtleEmphasis">
    <w:name w:val="Subtle Emphasis"/>
    <w:uiPriority w:val="98"/>
    <w:semiHidden/>
    <w:qFormat/>
    <w:rsid w:val="00760731"/>
    <w:rPr>
      <w:i/>
      <w:iCs/>
    </w:rPr>
  </w:style>
  <w:style w:type="table" w:customStyle="1" w:styleId="ECHRTable">
    <w:name w:val="ECHR_Table"/>
    <w:basedOn w:val="TableNormal"/>
    <w:rsid w:val="00760731"/>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76073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760731"/>
    <w:rPr>
      <w:b/>
      <w:bCs/>
      <w:i/>
      <w:iCs/>
      <w:spacing w:val="10"/>
      <w:bdr w:val="none" w:sz="0" w:space="0" w:color="auto"/>
      <w:shd w:val="clear" w:color="auto" w:fill="auto"/>
    </w:rPr>
  </w:style>
  <w:style w:type="paragraph" w:styleId="Footer0">
    <w:name w:val="footer"/>
    <w:basedOn w:val="Normal"/>
    <w:link w:val="FooterChar"/>
    <w:uiPriority w:val="98"/>
    <w:semiHidden/>
    <w:rsid w:val="00760731"/>
    <w:pPr>
      <w:tabs>
        <w:tab w:val="center" w:pos="3686"/>
        <w:tab w:val="right" w:pos="7371"/>
      </w:tabs>
    </w:pPr>
  </w:style>
  <w:style w:type="character" w:customStyle="1" w:styleId="FooterChar">
    <w:name w:val="Footer Char"/>
    <w:basedOn w:val="DefaultParagraphFont"/>
    <w:link w:val="Footer0"/>
    <w:uiPriority w:val="98"/>
    <w:semiHidden/>
    <w:rsid w:val="00760731"/>
    <w:rPr>
      <w:sz w:val="24"/>
      <w:szCs w:val="24"/>
      <w:lang w:val="ro-RO"/>
    </w:rPr>
  </w:style>
  <w:style w:type="character" w:styleId="FootnoteReference">
    <w:name w:val="footnote reference"/>
    <w:basedOn w:val="DefaultParagraphFont"/>
    <w:uiPriority w:val="98"/>
    <w:semiHidden/>
    <w:rsid w:val="00760731"/>
    <w:rPr>
      <w:vertAlign w:val="superscript"/>
    </w:rPr>
  </w:style>
  <w:style w:type="paragraph" w:styleId="FootnoteText">
    <w:name w:val="footnote text"/>
    <w:basedOn w:val="NormalJustified"/>
    <w:link w:val="FootnoteTextChar"/>
    <w:uiPriority w:val="98"/>
    <w:semiHidden/>
    <w:rsid w:val="00760731"/>
    <w:rPr>
      <w:sz w:val="20"/>
      <w:szCs w:val="20"/>
    </w:rPr>
  </w:style>
  <w:style w:type="character" w:customStyle="1" w:styleId="FootnoteTextChar">
    <w:name w:val="Footnote Text Char"/>
    <w:basedOn w:val="DefaultParagraphFont"/>
    <w:link w:val="FootnoteText"/>
    <w:uiPriority w:val="98"/>
    <w:semiHidden/>
    <w:rsid w:val="00760731"/>
    <w:rPr>
      <w:sz w:val="20"/>
      <w:szCs w:val="20"/>
      <w:lang w:val="ro-RO"/>
    </w:rPr>
  </w:style>
  <w:style w:type="character" w:customStyle="1" w:styleId="Heading6Char">
    <w:name w:val="Heading 6 Char"/>
    <w:basedOn w:val="DefaultParagraphFont"/>
    <w:link w:val="Heading6"/>
    <w:uiPriority w:val="98"/>
    <w:semiHidden/>
    <w:rsid w:val="00760731"/>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760731"/>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760731"/>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760731"/>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760731"/>
    <w:rPr>
      <w:color w:val="0072BC" w:themeColor="hyperlink"/>
      <w:u w:val="single"/>
    </w:rPr>
  </w:style>
  <w:style w:type="character" w:styleId="IntenseEmphasis">
    <w:name w:val="Intense Emphasis"/>
    <w:uiPriority w:val="98"/>
    <w:semiHidden/>
    <w:qFormat/>
    <w:rsid w:val="00760731"/>
    <w:rPr>
      <w:b/>
      <w:bCs/>
    </w:rPr>
  </w:style>
  <w:style w:type="paragraph" w:styleId="IntenseQuote">
    <w:name w:val="Intense Quote"/>
    <w:basedOn w:val="Normal"/>
    <w:next w:val="Normal"/>
    <w:link w:val="IntenseQuoteChar"/>
    <w:uiPriority w:val="98"/>
    <w:semiHidden/>
    <w:qFormat/>
    <w:rsid w:val="0076073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760731"/>
    <w:rPr>
      <w:b/>
      <w:bCs/>
      <w:i/>
      <w:iCs/>
      <w:sz w:val="24"/>
      <w:szCs w:val="24"/>
      <w:lang w:val="ro-RO" w:bidi="en-US"/>
    </w:rPr>
  </w:style>
  <w:style w:type="character" w:styleId="IntenseReference">
    <w:name w:val="Intense Reference"/>
    <w:uiPriority w:val="98"/>
    <w:semiHidden/>
    <w:qFormat/>
    <w:rsid w:val="00760731"/>
    <w:rPr>
      <w:smallCaps/>
      <w:spacing w:val="5"/>
      <w:u w:val="single"/>
    </w:rPr>
  </w:style>
  <w:style w:type="paragraph" w:styleId="ListParagraph">
    <w:name w:val="List Paragraph"/>
    <w:basedOn w:val="Normal"/>
    <w:uiPriority w:val="98"/>
    <w:semiHidden/>
    <w:qFormat/>
    <w:rsid w:val="00760731"/>
    <w:pPr>
      <w:ind w:left="720"/>
      <w:contextualSpacing/>
    </w:pPr>
  </w:style>
  <w:style w:type="table" w:customStyle="1" w:styleId="LtrTableAddress">
    <w:name w:val="Ltr_Table_Address"/>
    <w:aliases w:val="ECHR_Ltr_Table_Address"/>
    <w:basedOn w:val="TableNormal"/>
    <w:uiPriority w:val="99"/>
    <w:rsid w:val="00760731"/>
    <w:rPr>
      <w:sz w:val="24"/>
      <w:szCs w:val="24"/>
    </w:rPr>
    <w:tblPr>
      <w:tblInd w:w="5103" w:type="dxa"/>
    </w:tblPr>
  </w:style>
  <w:style w:type="paragraph" w:styleId="Quote">
    <w:name w:val="Quote"/>
    <w:basedOn w:val="Normal"/>
    <w:next w:val="Normal"/>
    <w:link w:val="QuoteChar"/>
    <w:uiPriority w:val="98"/>
    <w:semiHidden/>
    <w:qFormat/>
    <w:rsid w:val="00760731"/>
    <w:pPr>
      <w:spacing w:before="200"/>
      <w:ind w:left="360" w:right="360"/>
    </w:pPr>
    <w:rPr>
      <w:i/>
      <w:iCs/>
      <w:lang w:bidi="en-US"/>
    </w:rPr>
  </w:style>
  <w:style w:type="character" w:customStyle="1" w:styleId="QuoteChar">
    <w:name w:val="Quote Char"/>
    <w:basedOn w:val="DefaultParagraphFont"/>
    <w:link w:val="Quote"/>
    <w:uiPriority w:val="98"/>
    <w:semiHidden/>
    <w:rsid w:val="00760731"/>
    <w:rPr>
      <w:i/>
      <w:iCs/>
      <w:sz w:val="24"/>
      <w:szCs w:val="24"/>
      <w:lang w:val="ro-RO" w:bidi="en-US"/>
    </w:rPr>
  </w:style>
  <w:style w:type="character" w:styleId="SubtleReference">
    <w:name w:val="Subtle Reference"/>
    <w:uiPriority w:val="98"/>
    <w:semiHidden/>
    <w:qFormat/>
    <w:rsid w:val="00760731"/>
    <w:rPr>
      <w:smallCaps/>
    </w:rPr>
  </w:style>
  <w:style w:type="table" w:styleId="TableGrid">
    <w:name w:val="Table Grid"/>
    <w:basedOn w:val="TableNormal"/>
    <w:uiPriority w:val="59"/>
    <w:semiHidden/>
    <w:rsid w:val="00760731"/>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760731"/>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760731"/>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760731"/>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760731"/>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760731"/>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760731"/>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760731"/>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760731"/>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760731"/>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760731"/>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760731"/>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760731"/>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760731"/>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760731"/>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760731"/>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760731"/>
    <w:pPr>
      <w:numPr>
        <w:numId w:val="1"/>
      </w:numPr>
    </w:pPr>
  </w:style>
  <w:style w:type="paragraph" w:customStyle="1" w:styleId="JuPara">
    <w:name w:val="Ju_Para"/>
    <w:aliases w:val="_Para"/>
    <w:basedOn w:val="NormalJustified"/>
    <w:link w:val="JuParaChar"/>
    <w:uiPriority w:val="4"/>
    <w:qFormat/>
    <w:rsid w:val="00760731"/>
    <w:pPr>
      <w:ind w:firstLine="284"/>
    </w:pPr>
  </w:style>
  <w:style w:type="numbering" w:styleId="1ai">
    <w:name w:val="Outline List 1"/>
    <w:basedOn w:val="NoList"/>
    <w:uiPriority w:val="99"/>
    <w:semiHidden/>
    <w:unhideWhenUsed/>
    <w:rsid w:val="00760731"/>
    <w:pPr>
      <w:numPr>
        <w:numId w:val="2"/>
      </w:numPr>
    </w:pPr>
  </w:style>
  <w:style w:type="table" w:customStyle="1" w:styleId="ECHRTableSimpleBox">
    <w:name w:val="ECHR_Table_Simple_Box"/>
    <w:basedOn w:val="TableNormal"/>
    <w:uiPriority w:val="99"/>
    <w:rsid w:val="00760731"/>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760731"/>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760731"/>
    <w:pPr>
      <w:numPr>
        <w:numId w:val="3"/>
      </w:numPr>
    </w:pPr>
  </w:style>
  <w:style w:type="table" w:customStyle="1" w:styleId="ECHRTableForInternalUse">
    <w:name w:val="ECHR_Table_For_Internal_Use"/>
    <w:basedOn w:val="TableNormal"/>
    <w:uiPriority w:val="99"/>
    <w:rsid w:val="00760731"/>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760731"/>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760731"/>
  </w:style>
  <w:style w:type="paragraph" w:styleId="BlockText">
    <w:name w:val="Block Text"/>
    <w:basedOn w:val="Normal"/>
    <w:uiPriority w:val="98"/>
    <w:semiHidden/>
    <w:rsid w:val="00760731"/>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760731"/>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760731"/>
    <w:pPr>
      <w:spacing w:after="120"/>
    </w:pPr>
  </w:style>
  <w:style w:type="character" w:customStyle="1" w:styleId="BodyTextChar">
    <w:name w:val="Body Text Char"/>
    <w:basedOn w:val="DefaultParagraphFont"/>
    <w:link w:val="BodyText"/>
    <w:uiPriority w:val="98"/>
    <w:semiHidden/>
    <w:rsid w:val="00760731"/>
    <w:rPr>
      <w:sz w:val="24"/>
      <w:szCs w:val="24"/>
      <w:lang w:val="ro-RO"/>
    </w:rPr>
  </w:style>
  <w:style w:type="table" w:customStyle="1" w:styleId="ECHRTableOddBanded">
    <w:name w:val="ECHR_Table_Odd_Banded"/>
    <w:basedOn w:val="TableNormal"/>
    <w:uiPriority w:val="99"/>
    <w:rsid w:val="00760731"/>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760731"/>
    <w:pPr>
      <w:spacing w:after="120" w:line="480" w:lineRule="auto"/>
    </w:pPr>
  </w:style>
  <w:style w:type="table" w:customStyle="1" w:styleId="ECHRHeaderTableReduced">
    <w:name w:val="ECHR_Header_Table_Reduced"/>
    <w:basedOn w:val="TableNormal"/>
    <w:uiPriority w:val="99"/>
    <w:rsid w:val="00760731"/>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760731"/>
    <w:pPr>
      <w:ind w:firstLine="284"/>
    </w:pPr>
    <w:rPr>
      <w:b/>
    </w:rPr>
  </w:style>
  <w:style w:type="character" w:styleId="PageNumber">
    <w:name w:val="page number"/>
    <w:uiPriority w:val="98"/>
    <w:semiHidden/>
    <w:rsid w:val="00760731"/>
    <w:rPr>
      <w:sz w:val="18"/>
    </w:rPr>
  </w:style>
  <w:style w:type="paragraph" w:styleId="ListBullet2">
    <w:name w:val="List Bullet 2"/>
    <w:basedOn w:val="Normal"/>
    <w:uiPriority w:val="98"/>
    <w:semiHidden/>
    <w:rsid w:val="00760731"/>
    <w:pPr>
      <w:numPr>
        <w:numId w:val="5"/>
      </w:numPr>
      <w:contextualSpacing/>
    </w:pPr>
  </w:style>
  <w:style w:type="character" w:customStyle="1" w:styleId="BodyText2Char">
    <w:name w:val="Body Text 2 Char"/>
    <w:basedOn w:val="DefaultParagraphFont"/>
    <w:link w:val="BodyText2"/>
    <w:uiPriority w:val="98"/>
    <w:semiHidden/>
    <w:rsid w:val="00760731"/>
    <w:rPr>
      <w:sz w:val="24"/>
      <w:szCs w:val="24"/>
      <w:lang w:val="ro-RO"/>
    </w:rPr>
  </w:style>
  <w:style w:type="paragraph" w:styleId="BodyText3">
    <w:name w:val="Body Text 3"/>
    <w:basedOn w:val="Normal"/>
    <w:link w:val="BodyText3Char"/>
    <w:uiPriority w:val="98"/>
    <w:semiHidden/>
    <w:rsid w:val="00760731"/>
    <w:pPr>
      <w:spacing w:after="120"/>
    </w:pPr>
    <w:rPr>
      <w:sz w:val="16"/>
      <w:szCs w:val="16"/>
    </w:rPr>
  </w:style>
  <w:style w:type="character" w:customStyle="1" w:styleId="BodyText3Char">
    <w:name w:val="Body Text 3 Char"/>
    <w:basedOn w:val="DefaultParagraphFont"/>
    <w:link w:val="BodyText3"/>
    <w:uiPriority w:val="98"/>
    <w:semiHidden/>
    <w:rsid w:val="00760731"/>
    <w:rPr>
      <w:sz w:val="16"/>
      <w:szCs w:val="16"/>
      <w:lang w:val="ro-RO"/>
    </w:rPr>
  </w:style>
  <w:style w:type="paragraph" w:styleId="BodyTextFirstIndent">
    <w:name w:val="Body Text First Indent"/>
    <w:basedOn w:val="BodyText"/>
    <w:link w:val="BodyTextFirstIndentChar"/>
    <w:uiPriority w:val="98"/>
    <w:semiHidden/>
    <w:rsid w:val="00760731"/>
    <w:pPr>
      <w:spacing w:after="0"/>
      <w:ind w:firstLine="360"/>
    </w:pPr>
  </w:style>
  <w:style w:type="character" w:customStyle="1" w:styleId="BodyTextFirstIndentChar">
    <w:name w:val="Body Text First Indent Char"/>
    <w:basedOn w:val="BodyTextChar"/>
    <w:link w:val="BodyTextFirstIndent"/>
    <w:uiPriority w:val="98"/>
    <w:semiHidden/>
    <w:rsid w:val="00760731"/>
    <w:rPr>
      <w:sz w:val="24"/>
      <w:szCs w:val="24"/>
      <w:lang w:val="ro-RO"/>
    </w:rPr>
  </w:style>
  <w:style w:type="paragraph" w:styleId="BodyTextIndent">
    <w:name w:val="Body Text Indent"/>
    <w:basedOn w:val="Normal"/>
    <w:link w:val="BodyTextIndentChar"/>
    <w:uiPriority w:val="98"/>
    <w:semiHidden/>
    <w:rsid w:val="00760731"/>
    <w:pPr>
      <w:spacing w:after="120"/>
      <w:ind w:left="283"/>
    </w:pPr>
  </w:style>
  <w:style w:type="character" w:customStyle="1" w:styleId="BodyTextIndentChar">
    <w:name w:val="Body Text Indent Char"/>
    <w:basedOn w:val="DefaultParagraphFont"/>
    <w:link w:val="BodyTextIndent"/>
    <w:uiPriority w:val="98"/>
    <w:semiHidden/>
    <w:rsid w:val="00760731"/>
    <w:rPr>
      <w:sz w:val="24"/>
      <w:szCs w:val="24"/>
      <w:lang w:val="ro-RO"/>
    </w:rPr>
  </w:style>
  <w:style w:type="paragraph" w:styleId="BodyTextFirstIndent2">
    <w:name w:val="Body Text First Indent 2"/>
    <w:basedOn w:val="BodyTextIndent"/>
    <w:link w:val="BodyTextFirstIndent2Char"/>
    <w:uiPriority w:val="98"/>
    <w:semiHidden/>
    <w:rsid w:val="00760731"/>
    <w:pPr>
      <w:spacing w:after="0"/>
      <w:ind w:left="360" w:firstLine="360"/>
    </w:pPr>
  </w:style>
  <w:style w:type="character" w:customStyle="1" w:styleId="BodyTextFirstIndent2Char">
    <w:name w:val="Body Text First Indent 2 Char"/>
    <w:basedOn w:val="BodyTextIndentChar"/>
    <w:link w:val="BodyTextFirstIndent2"/>
    <w:uiPriority w:val="98"/>
    <w:semiHidden/>
    <w:rsid w:val="00760731"/>
    <w:rPr>
      <w:sz w:val="24"/>
      <w:szCs w:val="24"/>
      <w:lang w:val="ro-RO"/>
    </w:rPr>
  </w:style>
  <w:style w:type="paragraph" w:styleId="BodyTextIndent2">
    <w:name w:val="Body Text Indent 2"/>
    <w:basedOn w:val="Normal"/>
    <w:link w:val="BodyTextIndent2Char"/>
    <w:uiPriority w:val="98"/>
    <w:semiHidden/>
    <w:rsid w:val="00760731"/>
    <w:pPr>
      <w:spacing w:after="120" w:line="480" w:lineRule="auto"/>
      <w:ind w:left="283"/>
    </w:pPr>
  </w:style>
  <w:style w:type="character" w:customStyle="1" w:styleId="BodyTextIndent2Char">
    <w:name w:val="Body Text Indent 2 Char"/>
    <w:basedOn w:val="DefaultParagraphFont"/>
    <w:link w:val="BodyTextIndent2"/>
    <w:uiPriority w:val="98"/>
    <w:semiHidden/>
    <w:rsid w:val="00760731"/>
    <w:rPr>
      <w:sz w:val="24"/>
      <w:szCs w:val="24"/>
      <w:lang w:val="ro-RO"/>
    </w:rPr>
  </w:style>
  <w:style w:type="paragraph" w:styleId="BodyTextIndent3">
    <w:name w:val="Body Text Indent 3"/>
    <w:basedOn w:val="Normal"/>
    <w:link w:val="BodyTextIndent3Char"/>
    <w:uiPriority w:val="98"/>
    <w:semiHidden/>
    <w:rsid w:val="00760731"/>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760731"/>
    <w:rPr>
      <w:sz w:val="16"/>
      <w:szCs w:val="16"/>
      <w:lang w:val="ro-RO"/>
    </w:rPr>
  </w:style>
  <w:style w:type="paragraph" w:styleId="Caption">
    <w:name w:val="caption"/>
    <w:basedOn w:val="Normal"/>
    <w:next w:val="Normal"/>
    <w:uiPriority w:val="98"/>
    <w:semiHidden/>
    <w:qFormat/>
    <w:rsid w:val="00760731"/>
    <w:pPr>
      <w:spacing w:after="200"/>
    </w:pPr>
    <w:rPr>
      <w:b/>
      <w:bCs/>
      <w:color w:val="0072BC" w:themeColor="accent1"/>
      <w:sz w:val="18"/>
      <w:szCs w:val="18"/>
    </w:rPr>
  </w:style>
  <w:style w:type="paragraph" w:styleId="Closing">
    <w:name w:val="Closing"/>
    <w:basedOn w:val="Normal"/>
    <w:link w:val="ClosingChar"/>
    <w:uiPriority w:val="98"/>
    <w:semiHidden/>
    <w:rsid w:val="00760731"/>
    <w:pPr>
      <w:ind w:left="4252"/>
    </w:pPr>
  </w:style>
  <w:style w:type="character" w:customStyle="1" w:styleId="ClosingChar">
    <w:name w:val="Closing Char"/>
    <w:basedOn w:val="DefaultParagraphFont"/>
    <w:link w:val="Closing"/>
    <w:uiPriority w:val="98"/>
    <w:semiHidden/>
    <w:rsid w:val="00760731"/>
    <w:rPr>
      <w:sz w:val="24"/>
      <w:szCs w:val="24"/>
      <w:lang w:val="ro-RO"/>
    </w:rPr>
  </w:style>
  <w:style w:type="table" w:styleId="ColorfulGrid">
    <w:name w:val="Colorful Grid"/>
    <w:basedOn w:val="TableNormal"/>
    <w:uiPriority w:val="73"/>
    <w:semiHidden/>
    <w:rsid w:val="00760731"/>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760731"/>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760731"/>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760731"/>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760731"/>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760731"/>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760731"/>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760731"/>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760731"/>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760731"/>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760731"/>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760731"/>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760731"/>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760731"/>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760731"/>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760731"/>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760731"/>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760731"/>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760731"/>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760731"/>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760731"/>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760731"/>
    <w:rPr>
      <w:sz w:val="20"/>
      <w:szCs w:val="20"/>
      <w:lang w:val="ro-RO"/>
    </w:rPr>
  </w:style>
  <w:style w:type="paragraph" w:styleId="CommentSubject">
    <w:name w:val="annotation subject"/>
    <w:basedOn w:val="CommentText"/>
    <w:next w:val="CommentText"/>
    <w:link w:val="CommentSubjectChar"/>
    <w:uiPriority w:val="98"/>
    <w:semiHidden/>
    <w:rsid w:val="00760731"/>
    <w:rPr>
      <w:b/>
      <w:bCs/>
    </w:rPr>
  </w:style>
  <w:style w:type="character" w:customStyle="1" w:styleId="CommentSubjectChar">
    <w:name w:val="Comment Subject Char"/>
    <w:basedOn w:val="CommentTextChar"/>
    <w:link w:val="CommentSubject"/>
    <w:uiPriority w:val="98"/>
    <w:semiHidden/>
    <w:rsid w:val="00760731"/>
    <w:rPr>
      <w:b/>
      <w:bCs/>
      <w:sz w:val="20"/>
      <w:szCs w:val="20"/>
      <w:lang w:val="ro-RO"/>
    </w:rPr>
  </w:style>
  <w:style w:type="table" w:styleId="DarkList">
    <w:name w:val="Dark List"/>
    <w:basedOn w:val="TableNormal"/>
    <w:uiPriority w:val="70"/>
    <w:semiHidden/>
    <w:rsid w:val="00760731"/>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760731"/>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760731"/>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760731"/>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760731"/>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760731"/>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760731"/>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760731"/>
  </w:style>
  <w:style w:type="character" w:customStyle="1" w:styleId="DateChar">
    <w:name w:val="Date Char"/>
    <w:basedOn w:val="DefaultParagraphFont"/>
    <w:link w:val="Date"/>
    <w:uiPriority w:val="98"/>
    <w:semiHidden/>
    <w:rsid w:val="00760731"/>
    <w:rPr>
      <w:sz w:val="24"/>
      <w:szCs w:val="24"/>
      <w:lang w:val="ro-RO"/>
    </w:rPr>
  </w:style>
  <w:style w:type="paragraph" w:styleId="DocumentMap">
    <w:name w:val="Document Map"/>
    <w:basedOn w:val="Normal"/>
    <w:link w:val="DocumentMapChar"/>
    <w:uiPriority w:val="98"/>
    <w:semiHidden/>
    <w:rsid w:val="00760731"/>
    <w:rPr>
      <w:rFonts w:ascii="Tahoma" w:hAnsi="Tahoma" w:cs="Tahoma"/>
      <w:sz w:val="16"/>
      <w:szCs w:val="16"/>
    </w:rPr>
  </w:style>
  <w:style w:type="character" w:customStyle="1" w:styleId="DocumentMapChar">
    <w:name w:val="Document Map Char"/>
    <w:basedOn w:val="DefaultParagraphFont"/>
    <w:link w:val="DocumentMap"/>
    <w:uiPriority w:val="98"/>
    <w:semiHidden/>
    <w:rsid w:val="00760731"/>
    <w:rPr>
      <w:rFonts w:ascii="Tahoma" w:hAnsi="Tahoma" w:cs="Tahoma"/>
      <w:sz w:val="16"/>
      <w:szCs w:val="16"/>
      <w:lang w:val="ro-RO"/>
    </w:rPr>
  </w:style>
  <w:style w:type="paragraph" w:styleId="E-mailSignature">
    <w:name w:val="E-mail Signature"/>
    <w:basedOn w:val="Normal"/>
    <w:link w:val="E-mailSignatureChar"/>
    <w:uiPriority w:val="98"/>
    <w:semiHidden/>
    <w:rsid w:val="00760731"/>
  </w:style>
  <w:style w:type="character" w:customStyle="1" w:styleId="E-mailSignatureChar">
    <w:name w:val="E-mail Signature Char"/>
    <w:basedOn w:val="DefaultParagraphFont"/>
    <w:link w:val="E-mailSignature"/>
    <w:uiPriority w:val="98"/>
    <w:semiHidden/>
    <w:rsid w:val="00760731"/>
    <w:rPr>
      <w:sz w:val="24"/>
      <w:szCs w:val="24"/>
      <w:lang w:val="ro-RO"/>
    </w:rPr>
  </w:style>
  <w:style w:type="character" w:styleId="EndnoteReference">
    <w:name w:val="endnote reference"/>
    <w:basedOn w:val="DefaultParagraphFont"/>
    <w:uiPriority w:val="98"/>
    <w:semiHidden/>
    <w:rsid w:val="00760731"/>
    <w:rPr>
      <w:vertAlign w:val="superscript"/>
    </w:rPr>
  </w:style>
  <w:style w:type="paragraph" w:styleId="EndnoteText">
    <w:name w:val="endnote text"/>
    <w:basedOn w:val="Normal"/>
    <w:link w:val="EndnoteTextChar"/>
    <w:uiPriority w:val="98"/>
    <w:semiHidden/>
    <w:rsid w:val="00760731"/>
    <w:rPr>
      <w:sz w:val="20"/>
      <w:szCs w:val="20"/>
    </w:rPr>
  </w:style>
  <w:style w:type="character" w:customStyle="1" w:styleId="EndnoteTextChar">
    <w:name w:val="Endnote Text Char"/>
    <w:basedOn w:val="DefaultParagraphFont"/>
    <w:link w:val="EndnoteText"/>
    <w:uiPriority w:val="98"/>
    <w:semiHidden/>
    <w:rsid w:val="00760731"/>
    <w:rPr>
      <w:sz w:val="20"/>
      <w:szCs w:val="20"/>
      <w:lang w:val="ro-RO"/>
    </w:rPr>
  </w:style>
  <w:style w:type="paragraph" w:styleId="EnvelopeAddress">
    <w:name w:val="envelope address"/>
    <w:basedOn w:val="Normal"/>
    <w:uiPriority w:val="98"/>
    <w:semiHidden/>
    <w:rsid w:val="00760731"/>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760731"/>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760731"/>
    <w:rPr>
      <w:color w:val="7030A0" w:themeColor="followedHyperlink"/>
      <w:u w:val="single"/>
    </w:rPr>
  </w:style>
  <w:style w:type="character" w:styleId="HTMLAcronym">
    <w:name w:val="HTML Acronym"/>
    <w:basedOn w:val="DefaultParagraphFont"/>
    <w:uiPriority w:val="98"/>
    <w:semiHidden/>
    <w:rsid w:val="00760731"/>
  </w:style>
  <w:style w:type="paragraph" w:styleId="HTMLAddress">
    <w:name w:val="HTML Address"/>
    <w:basedOn w:val="Normal"/>
    <w:link w:val="HTMLAddressChar"/>
    <w:uiPriority w:val="98"/>
    <w:semiHidden/>
    <w:rsid w:val="00760731"/>
    <w:rPr>
      <w:i/>
      <w:iCs/>
    </w:rPr>
  </w:style>
  <w:style w:type="character" w:customStyle="1" w:styleId="HTMLAddressChar">
    <w:name w:val="HTML Address Char"/>
    <w:basedOn w:val="DefaultParagraphFont"/>
    <w:link w:val="HTMLAddress"/>
    <w:uiPriority w:val="98"/>
    <w:semiHidden/>
    <w:rsid w:val="00760731"/>
    <w:rPr>
      <w:i/>
      <w:iCs/>
      <w:sz w:val="24"/>
      <w:szCs w:val="24"/>
      <w:lang w:val="ro-RO"/>
    </w:rPr>
  </w:style>
  <w:style w:type="character" w:styleId="HTMLCite">
    <w:name w:val="HTML Cite"/>
    <w:basedOn w:val="DefaultParagraphFont"/>
    <w:uiPriority w:val="98"/>
    <w:semiHidden/>
    <w:rsid w:val="00760731"/>
    <w:rPr>
      <w:i/>
      <w:iCs/>
    </w:rPr>
  </w:style>
  <w:style w:type="character" w:styleId="HTMLCode">
    <w:name w:val="HTML Code"/>
    <w:basedOn w:val="DefaultParagraphFont"/>
    <w:uiPriority w:val="98"/>
    <w:semiHidden/>
    <w:rsid w:val="00760731"/>
    <w:rPr>
      <w:rFonts w:ascii="Consolas" w:hAnsi="Consolas" w:cs="Consolas"/>
      <w:sz w:val="20"/>
      <w:szCs w:val="20"/>
    </w:rPr>
  </w:style>
  <w:style w:type="character" w:styleId="HTMLDefinition">
    <w:name w:val="HTML Definition"/>
    <w:basedOn w:val="DefaultParagraphFont"/>
    <w:uiPriority w:val="98"/>
    <w:semiHidden/>
    <w:rsid w:val="00760731"/>
    <w:rPr>
      <w:i/>
      <w:iCs/>
    </w:rPr>
  </w:style>
  <w:style w:type="character" w:styleId="HTMLKeyboard">
    <w:name w:val="HTML Keyboard"/>
    <w:basedOn w:val="DefaultParagraphFont"/>
    <w:uiPriority w:val="98"/>
    <w:semiHidden/>
    <w:rsid w:val="00760731"/>
    <w:rPr>
      <w:rFonts w:ascii="Consolas" w:hAnsi="Consolas" w:cs="Consolas"/>
      <w:sz w:val="20"/>
      <w:szCs w:val="20"/>
    </w:rPr>
  </w:style>
  <w:style w:type="paragraph" w:styleId="HTMLPreformatted">
    <w:name w:val="HTML Preformatted"/>
    <w:basedOn w:val="Normal"/>
    <w:link w:val="HTMLPreformattedChar"/>
    <w:uiPriority w:val="98"/>
    <w:semiHidden/>
    <w:rsid w:val="00760731"/>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760731"/>
    <w:rPr>
      <w:rFonts w:ascii="Consolas" w:hAnsi="Consolas" w:cs="Consolas"/>
      <w:sz w:val="20"/>
      <w:szCs w:val="20"/>
      <w:lang w:val="ro-RO"/>
    </w:rPr>
  </w:style>
  <w:style w:type="character" w:styleId="HTMLSample">
    <w:name w:val="HTML Sample"/>
    <w:basedOn w:val="DefaultParagraphFont"/>
    <w:uiPriority w:val="98"/>
    <w:semiHidden/>
    <w:rsid w:val="00760731"/>
    <w:rPr>
      <w:rFonts w:ascii="Consolas" w:hAnsi="Consolas" w:cs="Consolas"/>
      <w:sz w:val="24"/>
      <w:szCs w:val="24"/>
    </w:rPr>
  </w:style>
  <w:style w:type="character" w:styleId="HTMLTypewriter">
    <w:name w:val="HTML Typewriter"/>
    <w:basedOn w:val="DefaultParagraphFont"/>
    <w:uiPriority w:val="98"/>
    <w:semiHidden/>
    <w:rsid w:val="00760731"/>
    <w:rPr>
      <w:rFonts w:ascii="Consolas" w:hAnsi="Consolas" w:cs="Consolas"/>
      <w:sz w:val="20"/>
      <w:szCs w:val="20"/>
    </w:rPr>
  </w:style>
  <w:style w:type="character" w:styleId="HTMLVariable">
    <w:name w:val="HTML Variable"/>
    <w:basedOn w:val="DefaultParagraphFont"/>
    <w:uiPriority w:val="98"/>
    <w:semiHidden/>
    <w:rsid w:val="00760731"/>
    <w:rPr>
      <w:i/>
      <w:iCs/>
    </w:rPr>
  </w:style>
  <w:style w:type="paragraph" w:styleId="Index1">
    <w:name w:val="index 1"/>
    <w:basedOn w:val="Normal"/>
    <w:next w:val="Normal"/>
    <w:autoRedefine/>
    <w:uiPriority w:val="98"/>
    <w:semiHidden/>
    <w:rsid w:val="00760731"/>
    <w:pPr>
      <w:ind w:left="240" w:hanging="240"/>
    </w:pPr>
  </w:style>
  <w:style w:type="paragraph" w:styleId="Index2">
    <w:name w:val="index 2"/>
    <w:basedOn w:val="Normal"/>
    <w:next w:val="Normal"/>
    <w:autoRedefine/>
    <w:uiPriority w:val="98"/>
    <w:semiHidden/>
    <w:rsid w:val="00760731"/>
    <w:pPr>
      <w:ind w:left="480" w:hanging="240"/>
    </w:pPr>
  </w:style>
  <w:style w:type="paragraph" w:styleId="Index3">
    <w:name w:val="index 3"/>
    <w:basedOn w:val="Normal"/>
    <w:next w:val="Normal"/>
    <w:autoRedefine/>
    <w:uiPriority w:val="98"/>
    <w:semiHidden/>
    <w:rsid w:val="00760731"/>
    <w:pPr>
      <w:ind w:left="720" w:hanging="240"/>
    </w:pPr>
  </w:style>
  <w:style w:type="paragraph" w:styleId="Index4">
    <w:name w:val="index 4"/>
    <w:basedOn w:val="Normal"/>
    <w:next w:val="Normal"/>
    <w:autoRedefine/>
    <w:uiPriority w:val="98"/>
    <w:semiHidden/>
    <w:rsid w:val="00760731"/>
    <w:pPr>
      <w:ind w:left="960" w:hanging="240"/>
    </w:pPr>
  </w:style>
  <w:style w:type="paragraph" w:styleId="Index5">
    <w:name w:val="index 5"/>
    <w:basedOn w:val="Normal"/>
    <w:next w:val="Normal"/>
    <w:autoRedefine/>
    <w:uiPriority w:val="98"/>
    <w:semiHidden/>
    <w:rsid w:val="00760731"/>
    <w:pPr>
      <w:ind w:left="1200" w:hanging="240"/>
    </w:pPr>
  </w:style>
  <w:style w:type="paragraph" w:styleId="Index6">
    <w:name w:val="index 6"/>
    <w:basedOn w:val="Normal"/>
    <w:next w:val="Normal"/>
    <w:autoRedefine/>
    <w:uiPriority w:val="98"/>
    <w:semiHidden/>
    <w:rsid w:val="00760731"/>
    <w:pPr>
      <w:ind w:left="1440" w:hanging="240"/>
    </w:pPr>
  </w:style>
  <w:style w:type="paragraph" w:styleId="Index7">
    <w:name w:val="index 7"/>
    <w:basedOn w:val="Normal"/>
    <w:next w:val="Normal"/>
    <w:autoRedefine/>
    <w:uiPriority w:val="98"/>
    <w:semiHidden/>
    <w:rsid w:val="00760731"/>
    <w:pPr>
      <w:ind w:left="1680" w:hanging="240"/>
    </w:pPr>
  </w:style>
  <w:style w:type="paragraph" w:styleId="Index8">
    <w:name w:val="index 8"/>
    <w:basedOn w:val="Normal"/>
    <w:next w:val="Normal"/>
    <w:autoRedefine/>
    <w:uiPriority w:val="98"/>
    <w:semiHidden/>
    <w:rsid w:val="00760731"/>
    <w:pPr>
      <w:ind w:left="1920" w:hanging="240"/>
    </w:pPr>
  </w:style>
  <w:style w:type="paragraph" w:styleId="Index9">
    <w:name w:val="index 9"/>
    <w:basedOn w:val="Normal"/>
    <w:next w:val="Normal"/>
    <w:autoRedefine/>
    <w:uiPriority w:val="98"/>
    <w:semiHidden/>
    <w:rsid w:val="00760731"/>
    <w:pPr>
      <w:ind w:left="2160" w:hanging="240"/>
    </w:pPr>
  </w:style>
  <w:style w:type="paragraph" w:styleId="IndexHeading">
    <w:name w:val="index heading"/>
    <w:basedOn w:val="Normal"/>
    <w:next w:val="Index1"/>
    <w:uiPriority w:val="98"/>
    <w:semiHidden/>
    <w:rsid w:val="00760731"/>
    <w:rPr>
      <w:rFonts w:asciiTheme="majorHAnsi" w:eastAsiaTheme="majorEastAsia" w:hAnsiTheme="majorHAnsi" w:cstheme="majorBidi"/>
      <w:b/>
      <w:bCs/>
    </w:rPr>
  </w:style>
  <w:style w:type="table" w:styleId="LightGrid">
    <w:name w:val="Light Grid"/>
    <w:basedOn w:val="TableNormal"/>
    <w:uiPriority w:val="62"/>
    <w:semiHidden/>
    <w:rsid w:val="0076073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76073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76073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760731"/>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76073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76073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76073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76073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76073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76073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760731"/>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76073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76073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76073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760731"/>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760731"/>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760731"/>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760731"/>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760731"/>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760731"/>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760731"/>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760731"/>
  </w:style>
  <w:style w:type="paragraph" w:styleId="List">
    <w:name w:val="List"/>
    <w:basedOn w:val="Normal"/>
    <w:uiPriority w:val="98"/>
    <w:semiHidden/>
    <w:rsid w:val="00760731"/>
    <w:pPr>
      <w:ind w:left="283" w:hanging="283"/>
      <w:contextualSpacing/>
    </w:pPr>
  </w:style>
  <w:style w:type="paragraph" w:styleId="List2">
    <w:name w:val="List 2"/>
    <w:basedOn w:val="Normal"/>
    <w:uiPriority w:val="98"/>
    <w:semiHidden/>
    <w:rsid w:val="00760731"/>
    <w:pPr>
      <w:ind w:left="566" w:hanging="283"/>
      <w:contextualSpacing/>
    </w:pPr>
  </w:style>
  <w:style w:type="paragraph" w:styleId="List3">
    <w:name w:val="List 3"/>
    <w:basedOn w:val="Normal"/>
    <w:uiPriority w:val="98"/>
    <w:semiHidden/>
    <w:rsid w:val="00760731"/>
    <w:pPr>
      <w:ind w:left="849" w:hanging="283"/>
      <w:contextualSpacing/>
    </w:pPr>
  </w:style>
  <w:style w:type="paragraph" w:styleId="List4">
    <w:name w:val="List 4"/>
    <w:basedOn w:val="Normal"/>
    <w:uiPriority w:val="98"/>
    <w:semiHidden/>
    <w:rsid w:val="00760731"/>
    <w:pPr>
      <w:ind w:left="1132" w:hanging="283"/>
      <w:contextualSpacing/>
    </w:pPr>
  </w:style>
  <w:style w:type="paragraph" w:styleId="List5">
    <w:name w:val="List 5"/>
    <w:basedOn w:val="Normal"/>
    <w:uiPriority w:val="98"/>
    <w:semiHidden/>
    <w:rsid w:val="00760731"/>
    <w:pPr>
      <w:ind w:left="1415" w:hanging="283"/>
      <w:contextualSpacing/>
    </w:pPr>
  </w:style>
  <w:style w:type="paragraph" w:styleId="ListBullet">
    <w:name w:val="List Bullet"/>
    <w:basedOn w:val="Normal"/>
    <w:uiPriority w:val="98"/>
    <w:semiHidden/>
    <w:rsid w:val="00760731"/>
    <w:pPr>
      <w:numPr>
        <w:numId w:val="4"/>
      </w:numPr>
    </w:pPr>
  </w:style>
  <w:style w:type="paragraph" w:styleId="ListBullet3">
    <w:name w:val="List Bullet 3"/>
    <w:basedOn w:val="Normal"/>
    <w:uiPriority w:val="98"/>
    <w:semiHidden/>
    <w:rsid w:val="00760731"/>
    <w:pPr>
      <w:numPr>
        <w:numId w:val="6"/>
      </w:numPr>
      <w:contextualSpacing/>
    </w:pPr>
  </w:style>
  <w:style w:type="paragraph" w:styleId="ListBullet4">
    <w:name w:val="List Bullet 4"/>
    <w:basedOn w:val="Normal"/>
    <w:uiPriority w:val="98"/>
    <w:semiHidden/>
    <w:rsid w:val="00760731"/>
    <w:pPr>
      <w:numPr>
        <w:numId w:val="7"/>
      </w:numPr>
      <w:contextualSpacing/>
    </w:pPr>
  </w:style>
  <w:style w:type="paragraph" w:styleId="ListBullet5">
    <w:name w:val="List Bullet 5"/>
    <w:basedOn w:val="Normal"/>
    <w:uiPriority w:val="98"/>
    <w:semiHidden/>
    <w:rsid w:val="00760731"/>
    <w:pPr>
      <w:numPr>
        <w:numId w:val="8"/>
      </w:numPr>
      <w:contextualSpacing/>
    </w:pPr>
  </w:style>
  <w:style w:type="paragraph" w:styleId="ListContinue">
    <w:name w:val="List Continue"/>
    <w:basedOn w:val="Normal"/>
    <w:uiPriority w:val="98"/>
    <w:semiHidden/>
    <w:rsid w:val="00760731"/>
    <w:pPr>
      <w:spacing w:after="120"/>
      <w:ind w:left="283"/>
      <w:contextualSpacing/>
    </w:pPr>
  </w:style>
  <w:style w:type="paragraph" w:styleId="ListContinue2">
    <w:name w:val="List Continue 2"/>
    <w:basedOn w:val="Normal"/>
    <w:uiPriority w:val="98"/>
    <w:semiHidden/>
    <w:rsid w:val="00760731"/>
    <w:pPr>
      <w:spacing w:after="120"/>
      <w:ind w:left="566"/>
      <w:contextualSpacing/>
    </w:pPr>
  </w:style>
  <w:style w:type="paragraph" w:styleId="ListContinue3">
    <w:name w:val="List Continue 3"/>
    <w:basedOn w:val="Normal"/>
    <w:uiPriority w:val="98"/>
    <w:semiHidden/>
    <w:rsid w:val="00760731"/>
    <w:pPr>
      <w:spacing w:after="120"/>
      <w:ind w:left="849"/>
      <w:contextualSpacing/>
    </w:pPr>
  </w:style>
  <w:style w:type="paragraph" w:styleId="ListContinue4">
    <w:name w:val="List Continue 4"/>
    <w:basedOn w:val="Normal"/>
    <w:uiPriority w:val="98"/>
    <w:semiHidden/>
    <w:rsid w:val="00760731"/>
    <w:pPr>
      <w:spacing w:after="120"/>
      <w:ind w:left="1132"/>
      <w:contextualSpacing/>
    </w:pPr>
  </w:style>
  <w:style w:type="paragraph" w:styleId="ListContinue5">
    <w:name w:val="List Continue 5"/>
    <w:basedOn w:val="Normal"/>
    <w:uiPriority w:val="98"/>
    <w:semiHidden/>
    <w:rsid w:val="00760731"/>
    <w:pPr>
      <w:spacing w:after="120"/>
      <w:ind w:left="1415"/>
      <w:contextualSpacing/>
    </w:pPr>
  </w:style>
  <w:style w:type="paragraph" w:styleId="ListNumber">
    <w:name w:val="List Number"/>
    <w:basedOn w:val="Normal"/>
    <w:uiPriority w:val="98"/>
    <w:semiHidden/>
    <w:rsid w:val="00760731"/>
    <w:pPr>
      <w:numPr>
        <w:numId w:val="9"/>
      </w:numPr>
      <w:contextualSpacing/>
    </w:pPr>
  </w:style>
  <w:style w:type="paragraph" w:styleId="ListNumber2">
    <w:name w:val="List Number 2"/>
    <w:basedOn w:val="Normal"/>
    <w:uiPriority w:val="98"/>
    <w:semiHidden/>
    <w:rsid w:val="00760731"/>
    <w:pPr>
      <w:numPr>
        <w:numId w:val="10"/>
      </w:numPr>
      <w:contextualSpacing/>
    </w:pPr>
  </w:style>
  <w:style w:type="paragraph" w:styleId="ListNumber3">
    <w:name w:val="List Number 3"/>
    <w:basedOn w:val="Normal"/>
    <w:uiPriority w:val="98"/>
    <w:semiHidden/>
    <w:rsid w:val="00760731"/>
    <w:pPr>
      <w:numPr>
        <w:numId w:val="11"/>
      </w:numPr>
      <w:contextualSpacing/>
    </w:pPr>
  </w:style>
  <w:style w:type="paragraph" w:styleId="ListNumber4">
    <w:name w:val="List Number 4"/>
    <w:basedOn w:val="Normal"/>
    <w:uiPriority w:val="98"/>
    <w:semiHidden/>
    <w:rsid w:val="00760731"/>
    <w:pPr>
      <w:numPr>
        <w:numId w:val="12"/>
      </w:numPr>
      <w:contextualSpacing/>
    </w:pPr>
  </w:style>
  <w:style w:type="paragraph" w:styleId="ListNumber5">
    <w:name w:val="List Number 5"/>
    <w:basedOn w:val="Normal"/>
    <w:uiPriority w:val="98"/>
    <w:semiHidden/>
    <w:rsid w:val="00760731"/>
    <w:pPr>
      <w:numPr>
        <w:numId w:val="13"/>
      </w:numPr>
      <w:contextualSpacing/>
    </w:pPr>
  </w:style>
  <w:style w:type="paragraph" w:styleId="MacroText">
    <w:name w:val="macro"/>
    <w:link w:val="MacroTextChar"/>
    <w:uiPriority w:val="98"/>
    <w:semiHidden/>
    <w:rsid w:val="00760731"/>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760731"/>
    <w:rPr>
      <w:rFonts w:ascii="Consolas" w:eastAsiaTheme="minorEastAsia" w:hAnsi="Consolas" w:cs="Consolas"/>
      <w:sz w:val="20"/>
      <w:szCs w:val="20"/>
    </w:rPr>
  </w:style>
  <w:style w:type="table" w:styleId="MediumGrid1">
    <w:name w:val="Medium Grid 1"/>
    <w:basedOn w:val="TableNormal"/>
    <w:uiPriority w:val="67"/>
    <w:semiHidden/>
    <w:rsid w:val="0076073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76073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76073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760731"/>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76073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76073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76073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76073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76073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76073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76073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76073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76073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760731"/>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760731"/>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760731"/>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760731"/>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760731"/>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760731"/>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760731"/>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760731"/>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76073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76073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76073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76073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760731"/>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76073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76073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76073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76073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76073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76073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76073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76073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76073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76073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76073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760731"/>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760731"/>
    <w:rPr>
      <w:rFonts w:ascii="Times New Roman" w:hAnsi="Times New Roman" w:cs="Times New Roman"/>
    </w:rPr>
  </w:style>
  <w:style w:type="paragraph" w:styleId="NormalIndent">
    <w:name w:val="Normal Indent"/>
    <w:basedOn w:val="Normal"/>
    <w:uiPriority w:val="98"/>
    <w:semiHidden/>
    <w:rsid w:val="00760731"/>
    <w:pPr>
      <w:ind w:left="720"/>
    </w:pPr>
  </w:style>
  <w:style w:type="paragraph" w:styleId="NoteHeading">
    <w:name w:val="Note Heading"/>
    <w:basedOn w:val="Normal"/>
    <w:next w:val="Normal"/>
    <w:link w:val="NoteHeadingChar"/>
    <w:uiPriority w:val="98"/>
    <w:semiHidden/>
    <w:rsid w:val="00760731"/>
  </w:style>
  <w:style w:type="character" w:customStyle="1" w:styleId="NoteHeadingChar">
    <w:name w:val="Note Heading Char"/>
    <w:basedOn w:val="DefaultParagraphFont"/>
    <w:link w:val="NoteHeading"/>
    <w:uiPriority w:val="98"/>
    <w:semiHidden/>
    <w:rsid w:val="00760731"/>
    <w:rPr>
      <w:sz w:val="24"/>
      <w:szCs w:val="24"/>
      <w:lang w:val="ro-RO"/>
    </w:rPr>
  </w:style>
  <w:style w:type="character" w:styleId="PlaceholderText">
    <w:name w:val="Placeholder Text"/>
    <w:basedOn w:val="DefaultParagraphFont"/>
    <w:uiPriority w:val="98"/>
    <w:semiHidden/>
    <w:rsid w:val="00760731"/>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760731"/>
    <w:rPr>
      <w:rFonts w:ascii="Consolas" w:hAnsi="Consolas" w:cs="Consolas"/>
      <w:sz w:val="21"/>
      <w:szCs w:val="21"/>
    </w:rPr>
  </w:style>
  <w:style w:type="character" w:customStyle="1" w:styleId="PlainTextChar">
    <w:name w:val="Plain Text Char"/>
    <w:basedOn w:val="DefaultParagraphFont"/>
    <w:link w:val="PlainText"/>
    <w:uiPriority w:val="98"/>
    <w:semiHidden/>
    <w:rsid w:val="00760731"/>
    <w:rPr>
      <w:rFonts w:ascii="Consolas" w:hAnsi="Consolas" w:cs="Consolas"/>
      <w:sz w:val="21"/>
      <w:szCs w:val="21"/>
      <w:lang w:val="ro-RO"/>
    </w:rPr>
  </w:style>
  <w:style w:type="paragraph" w:styleId="Salutation">
    <w:name w:val="Salutation"/>
    <w:basedOn w:val="Normal"/>
    <w:next w:val="Normal"/>
    <w:link w:val="SalutationChar"/>
    <w:uiPriority w:val="98"/>
    <w:semiHidden/>
    <w:rsid w:val="00760731"/>
  </w:style>
  <w:style w:type="character" w:customStyle="1" w:styleId="SalutationChar">
    <w:name w:val="Salutation Char"/>
    <w:basedOn w:val="DefaultParagraphFont"/>
    <w:link w:val="Salutation"/>
    <w:uiPriority w:val="98"/>
    <w:semiHidden/>
    <w:rsid w:val="00760731"/>
    <w:rPr>
      <w:sz w:val="24"/>
      <w:szCs w:val="24"/>
      <w:lang w:val="ro-RO"/>
    </w:rPr>
  </w:style>
  <w:style w:type="paragraph" w:styleId="Signature">
    <w:name w:val="Signature"/>
    <w:basedOn w:val="Normal"/>
    <w:link w:val="SignatureChar"/>
    <w:uiPriority w:val="98"/>
    <w:semiHidden/>
    <w:rsid w:val="00760731"/>
    <w:pPr>
      <w:ind w:left="4252"/>
    </w:pPr>
  </w:style>
  <w:style w:type="character" w:customStyle="1" w:styleId="SignatureChar">
    <w:name w:val="Signature Char"/>
    <w:basedOn w:val="DefaultParagraphFont"/>
    <w:link w:val="Signature"/>
    <w:uiPriority w:val="98"/>
    <w:semiHidden/>
    <w:rsid w:val="00760731"/>
    <w:rPr>
      <w:sz w:val="24"/>
      <w:szCs w:val="24"/>
      <w:lang w:val="ro-RO"/>
    </w:rPr>
  </w:style>
  <w:style w:type="table" w:styleId="Table3Deffects1">
    <w:name w:val="Table 3D effects 1"/>
    <w:basedOn w:val="TableNormal"/>
    <w:uiPriority w:val="99"/>
    <w:semiHidden/>
    <w:unhideWhenUsed/>
    <w:rsid w:val="00760731"/>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60731"/>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60731"/>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60731"/>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60731"/>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60731"/>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60731"/>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60731"/>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60731"/>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60731"/>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60731"/>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60731"/>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60731"/>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60731"/>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60731"/>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60731"/>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60731"/>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6073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60731"/>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60731"/>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60731"/>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6073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60731"/>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60731"/>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60731"/>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60731"/>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60731"/>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60731"/>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6073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6073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6073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60731"/>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6073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760731"/>
    <w:pPr>
      <w:ind w:left="240" w:hanging="240"/>
    </w:pPr>
  </w:style>
  <w:style w:type="paragraph" w:styleId="TableofFigures">
    <w:name w:val="table of figures"/>
    <w:basedOn w:val="Normal"/>
    <w:next w:val="Normal"/>
    <w:uiPriority w:val="98"/>
    <w:semiHidden/>
    <w:rsid w:val="00760731"/>
  </w:style>
  <w:style w:type="table" w:styleId="TableProfessional">
    <w:name w:val="Table Professional"/>
    <w:basedOn w:val="TableNormal"/>
    <w:uiPriority w:val="99"/>
    <w:semiHidden/>
    <w:unhideWhenUsed/>
    <w:rsid w:val="0076073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60731"/>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60731"/>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60731"/>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60731"/>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60731"/>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60731"/>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60731"/>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60731"/>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60731"/>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760731"/>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760731"/>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760731"/>
    <w:pPr>
      <w:spacing w:after="100"/>
      <w:ind w:left="1680"/>
    </w:pPr>
  </w:style>
  <w:style w:type="paragraph" w:styleId="TOC9">
    <w:name w:val="toc 9"/>
    <w:basedOn w:val="Normal"/>
    <w:next w:val="Normal"/>
    <w:autoRedefine/>
    <w:uiPriority w:val="98"/>
    <w:semiHidden/>
    <w:rsid w:val="00760731"/>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760731"/>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760731"/>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760731"/>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760731"/>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760731"/>
    <w:pPr>
      <w:numPr>
        <w:numId w:val="15"/>
      </w:numPr>
      <w:spacing w:before="60" w:after="60"/>
    </w:pPr>
  </w:style>
  <w:style w:type="paragraph" w:customStyle="1" w:styleId="ECHRBullet2">
    <w:name w:val="ECHR_Bullet_2"/>
    <w:aliases w:val="_Bul_2"/>
    <w:basedOn w:val="ECHRBullet1"/>
    <w:uiPriority w:val="23"/>
    <w:semiHidden/>
    <w:rsid w:val="00760731"/>
    <w:pPr>
      <w:numPr>
        <w:ilvl w:val="1"/>
      </w:numPr>
    </w:pPr>
  </w:style>
  <w:style w:type="paragraph" w:customStyle="1" w:styleId="ECHRBullet3">
    <w:name w:val="ECHR_Bullet_3"/>
    <w:aliases w:val="_Bul_3"/>
    <w:basedOn w:val="ECHRBullet2"/>
    <w:uiPriority w:val="23"/>
    <w:semiHidden/>
    <w:rsid w:val="00760731"/>
    <w:pPr>
      <w:numPr>
        <w:ilvl w:val="2"/>
      </w:numPr>
    </w:pPr>
  </w:style>
  <w:style w:type="paragraph" w:customStyle="1" w:styleId="ECHRBullet4">
    <w:name w:val="ECHR_Bullet_4"/>
    <w:aliases w:val="_Bul_4"/>
    <w:basedOn w:val="ECHRBullet3"/>
    <w:uiPriority w:val="23"/>
    <w:semiHidden/>
    <w:rsid w:val="00760731"/>
    <w:pPr>
      <w:numPr>
        <w:ilvl w:val="3"/>
      </w:numPr>
    </w:pPr>
  </w:style>
  <w:style w:type="paragraph" w:customStyle="1" w:styleId="ECHRConfidential">
    <w:name w:val="ECHR_Confidential"/>
    <w:aliases w:val="_Confidential"/>
    <w:basedOn w:val="Normal"/>
    <w:next w:val="Normal"/>
    <w:uiPriority w:val="42"/>
    <w:semiHidden/>
    <w:qFormat/>
    <w:rsid w:val="00760731"/>
    <w:pPr>
      <w:jc w:val="right"/>
    </w:pPr>
    <w:rPr>
      <w:color w:val="C00000"/>
      <w:sz w:val="20"/>
    </w:rPr>
  </w:style>
  <w:style w:type="paragraph" w:customStyle="1" w:styleId="ECHRDecisionBody">
    <w:name w:val="ECHR_Decision_Body"/>
    <w:aliases w:val="_Decision_Body"/>
    <w:basedOn w:val="NormalJustified"/>
    <w:uiPriority w:val="54"/>
    <w:semiHidden/>
    <w:rsid w:val="00760731"/>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760731"/>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760731"/>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760731"/>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760731"/>
    <w:pPr>
      <w:jc w:val="right"/>
    </w:pPr>
    <w:rPr>
      <w:sz w:val="20"/>
    </w:rPr>
  </w:style>
  <w:style w:type="paragraph" w:customStyle="1" w:styleId="ECHRHeaderRefIt">
    <w:name w:val="ECHR_Header_Ref_It"/>
    <w:aliases w:val="_Ref_Ital"/>
    <w:basedOn w:val="Normal"/>
    <w:next w:val="ECHRHeaderDate"/>
    <w:uiPriority w:val="43"/>
    <w:qFormat/>
    <w:rsid w:val="00760731"/>
    <w:pPr>
      <w:jc w:val="right"/>
    </w:pPr>
    <w:rPr>
      <w:i/>
      <w:sz w:val="20"/>
    </w:rPr>
  </w:style>
  <w:style w:type="paragraph" w:customStyle="1" w:styleId="ECHRHeading9">
    <w:name w:val="ECHR_Heading_9"/>
    <w:aliases w:val="_Head_9"/>
    <w:basedOn w:val="Heading9"/>
    <w:uiPriority w:val="17"/>
    <w:semiHidden/>
    <w:rsid w:val="00760731"/>
    <w:pPr>
      <w:keepNext/>
      <w:keepLines/>
      <w:numPr>
        <w:ilvl w:val="8"/>
        <w:numId w:val="14"/>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760731"/>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760731"/>
    <w:pPr>
      <w:numPr>
        <w:numId w:val="17"/>
      </w:numPr>
      <w:spacing w:before="60" w:after="60"/>
    </w:pPr>
  </w:style>
  <w:style w:type="paragraph" w:customStyle="1" w:styleId="ECHRNumberedList2">
    <w:name w:val="ECHR_Numbered_List_2"/>
    <w:aliases w:val="_Num_2"/>
    <w:basedOn w:val="ECHRNumberedList1"/>
    <w:uiPriority w:val="23"/>
    <w:semiHidden/>
    <w:rsid w:val="00760731"/>
    <w:pPr>
      <w:numPr>
        <w:ilvl w:val="1"/>
      </w:numPr>
    </w:pPr>
  </w:style>
  <w:style w:type="paragraph" w:customStyle="1" w:styleId="ECHRNumberedList3">
    <w:name w:val="ECHR_Numbered_List_3"/>
    <w:aliases w:val="_Num_3"/>
    <w:basedOn w:val="ECHRNumberedList2"/>
    <w:uiPriority w:val="23"/>
    <w:semiHidden/>
    <w:rsid w:val="00760731"/>
    <w:pPr>
      <w:numPr>
        <w:ilvl w:val="2"/>
      </w:numPr>
    </w:pPr>
  </w:style>
  <w:style w:type="paragraph" w:customStyle="1" w:styleId="ECHRParaHanging">
    <w:name w:val="ECHR_Para_Hanging"/>
    <w:aliases w:val="_Hanging"/>
    <w:basedOn w:val="NormalJustified"/>
    <w:uiPriority w:val="8"/>
    <w:semiHidden/>
    <w:qFormat/>
    <w:rsid w:val="00760731"/>
    <w:pPr>
      <w:ind w:left="567" w:hanging="567"/>
    </w:pPr>
  </w:style>
  <w:style w:type="paragraph" w:customStyle="1" w:styleId="ECHRParaIndent">
    <w:name w:val="ECHR_Para_Indent"/>
    <w:aliases w:val="_Indent"/>
    <w:basedOn w:val="NormalJustified"/>
    <w:uiPriority w:val="7"/>
    <w:semiHidden/>
    <w:qFormat/>
    <w:rsid w:val="00760731"/>
    <w:pPr>
      <w:spacing w:before="120" w:after="120"/>
      <w:ind w:left="567"/>
    </w:pPr>
  </w:style>
  <w:style w:type="character" w:customStyle="1" w:styleId="ECHRRed">
    <w:name w:val="ECHR_Red"/>
    <w:aliases w:val="_Red"/>
    <w:basedOn w:val="DefaultParagraphFont"/>
    <w:uiPriority w:val="15"/>
    <w:semiHidden/>
    <w:qFormat/>
    <w:rsid w:val="00760731"/>
    <w:rPr>
      <w:color w:val="C00000" w:themeColor="accent2"/>
    </w:rPr>
  </w:style>
  <w:style w:type="paragraph" w:customStyle="1" w:styleId="DecList">
    <w:name w:val="Dec_List"/>
    <w:aliases w:val="_List"/>
    <w:basedOn w:val="JuList"/>
    <w:uiPriority w:val="22"/>
    <w:rsid w:val="00760731"/>
    <w:pPr>
      <w:numPr>
        <w:numId w:val="0"/>
      </w:numPr>
      <w:ind w:left="284"/>
    </w:pPr>
  </w:style>
  <w:style w:type="table" w:customStyle="1" w:styleId="ECHRTable2">
    <w:name w:val="ECHR_Table_2"/>
    <w:basedOn w:val="TableNormal"/>
    <w:uiPriority w:val="99"/>
    <w:rsid w:val="00760731"/>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760731"/>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760731"/>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760731"/>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760731"/>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760731"/>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760731"/>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760731"/>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760731"/>
    <w:pPr>
      <w:outlineLvl w:val="0"/>
    </w:pPr>
  </w:style>
  <w:style w:type="paragraph" w:customStyle="1" w:styleId="ECHRTitleTOC1">
    <w:name w:val="ECHR_Title_TOC_1"/>
    <w:aliases w:val="_Title_L_TOC"/>
    <w:basedOn w:val="ECHRTitle1"/>
    <w:next w:val="Normal"/>
    <w:uiPriority w:val="27"/>
    <w:semiHidden/>
    <w:qFormat/>
    <w:rsid w:val="00760731"/>
    <w:pPr>
      <w:outlineLvl w:val="0"/>
    </w:pPr>
  </w:style>
  <w:style w:type="paragraph" w:customStyle="1" w:styleId="ECHRPlaceholder">
    <w:name w:val="ECHR_Placeholder"/>
    <w:aliases w:val="_Placeholder"/>
    <w:basedOn w:val="JuSigned"/>
    <w:uiPriority w:val="31"/>
    <w:rsid w:val="00760731"/>
    <w:rPr>
      <w:color w:val="FFFFFF"/>
    </w:rPr>
  </w:style>
  <w:style w:type="paragraph" w:customStyle="1" w:styleId="ECHRSpacer">
    <w:name w:val="ECHR_Spacer"/>
    <w:aliases w:val="_Spacer"/>
    <w:basedOn w:val="Normal"/>
    <w:uiPriority w:val="45"/>
    <w:semiHidden/>
    <w:rsid w:val="00760731"/>
    <w:rPr>
      <w:sz w:val="4"/>
    </w:rPr>
  </w:style>
  <w:style w:type="table" w:customStyle="1" w:styleId="ECHRTableGrey">
    <w:name w:val="ECHR_Table_Grey"/>
    <w:basedOn w:val="TableNormal"/>
    <w:uiPriority w:val="99"/>
    <w:rsid w:val="00760731"/>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920111"/>
    <w:rPr>
      <w:sz w:val="24"/>
      <w:szCs w:val="24"/>
      <w:lang w:val="ro-RO"/>
    </w:rPr>
  </w:style>
  <w:style w:type="character" w:customStyle="1" w:styleId="JuNames0">
    <w:name w:val="Ju_Names"/>
    <w:rsid w:val="00920111"/>
    <w:rPr>
      <w:smallCaps/>
    </w:rPr>
  </w:style>
  <w:style w:type="paragraph" w:customStyle="1" w:styleId="JuList4">
    <w:name w:val="Ju_List_4"/>
    <w:aliases w:val="N_Bul_4"/>
    <w:basedOn w:val="JuListi"/>
    <w:uiPriority w:val="19"/>
    <w:rsid w:val="00920111"/>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920111"/>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20111"/>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20111"/>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20111"/>
    <w:rPr>
      <w:sz w:val="24"/>
      <w:szCs w:val="24"/>
    </w:rPr>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20111"/>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20111"/>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20111"/>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20111"/>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920111"/>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920111"/>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920111"/>
    <w:rPr>
      <w:sz w:val="24"/>
      <w:szCs w:val="24"/>
    </w:rPr>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920111"/>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920111"/>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920111"/>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920111"/>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920111"/>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920111"/>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920111"/>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920111"/>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920111"/>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920111"/>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920111"/>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920111"/>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920111"/>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920111"/>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920111"/>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920111"/>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920111"/>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920111"/>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920111"/>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920111"/>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920111"/>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920111"/>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920111"/>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920111"/>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920111"/>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920111"/>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920111"/>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920111"/>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920111"/>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920111"/>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920111"/>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920111"/>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920111"/>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920111"/>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920111"/>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920111"/>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920111"/>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920111"/>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920111"/>
    <w:rPr>
      <w:color w:val="2B579A"/>
      <w:shd w:val="clear" w:color="auto" w:fill="E1DFDD"/>
    </w:rPr>
  </w:style>
  <w:style w:type="table" w:styleId="ListTable1Light">
    <w:name w:val="List Table 1 Light"/>
    <w:basedOn w:val="TableNormal"/>
    <w:uiPriority w:val="46"/>
    <w:semiHidden/>
    <w:rsid w:val="00920111"/>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920111"/>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920111"/>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920111"/>
    <w:rPr>
      <w:sz w:val="24"/>
      <w:szCs w:val="24"/>
    </w:rPr>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920111"/>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920111"/>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920111"/>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920111"/>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920111"/>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920111"/>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920111"/>
    <w:rPr>
      <w:sz w:val="24"/>
      <w:szCs w:val="24"/>
    </w:rPr>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920111"/>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920111"/>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920111"/>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920111"/>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920111"/>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920111"/>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920111"/>
    <w:rPr>
      <w:sz w:val="24"/>
      <w:szCs w:val="24"/>
    </w:rPr>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920111"/>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920111"/>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920111"/>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920111"/>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920111"/>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920111"/>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920111"/>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920111"/>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920111"/>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920111"/>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920111"/>
    <w:rPr>
      <w:color w:val="FFFFFF"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20111"/>
    <w:rPr>
      <w:color w:val="FFFFFF"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20111"/>
    <w:rPr>
      <w:color w:val="FFFFFF"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20111"/>
    <w:rPr>
      <w:color w:val="FFFFFF" w:themeColor="background1"/>
      <w:sz w:val="24"/>
      <w:szCs w:val="24"/>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20111"/>
    <w:rPr>
      <w:color w:val="FFFFFF"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20111"/>
    <w:rPr>
      <w:color w:val="FFFFFF"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20111"/>
    <w:rPr>
      <w:color w:val="FFFFFF"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20111"/>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920111"/>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920111"/>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920111"/>
    <w:rPr>
      <w:color w:val="424242" w:themeColor="accent3" w:themeShade="BF"/>
      <w:sz w:val="24"/>
      <w:szCs w:val="24"/>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920111"/>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920111"/>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920111"/>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920111"/>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20111"/>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20111"/>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20111"/>
    <w:rPr>
      <w:color w:val="424242"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20111"/>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20111"/>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20111"/>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920111"/>
    <w:rPr>
      <w:color w:val="2B579A"/>
      <w:shd w:val="clear" w:color="auto" w:fill="E1DFDD"/>
    </w:rPr>
  </w:style>
  <w:style w:type="table" w:styleId="PlainTable1">
    <w:name w:val="Plain Table 1"/>
    <w:basedOn w:val="TableNormal"/>
    <w:uiPriority w:val="41"/>
    <w:semiHidden/>
    <w:rsid w:val="00920111"/>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20111"/>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920111"/>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20111"/>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20111"/>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920111"/>
    <w:rPr>
      <w:u w:val="dotted"/>
    </w:rPr>
  </w:style>
  <w:style w:type="character" w:customStyle="1" w:styleId="SmartLink1">
    <w:name w:val="SmartLink1"/>
    <w:basedOn w:val="DefaultParagraphFont"/>
    <w:uiPriority w:val="99"/>
    <w:semiHidden/>
    <w:unhideWhenUsed/>
    <w:rsid w:val="00920111"/>
    <w:rPr>
      <w:color w:val="0000FF"/>
      <w:u w:val="single"/>
      <w:shd w:val="clear" w:color="auto" w:fill="F3F2F1"/>
    </w:rPr>
  </w:style>
  <w:style w:type="table" w:styleId="TableGridLight">
    <w:name w:val="Grid Table Light"/>
    <w:basedOn w:val="TableNormal"/>
    <w:uiPriority w:val="40"/>
    <w:semiHidden/>
    <w:rsid w:val="00920111"/>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20111"/>
    <w:rPr>
      <w:sz w:val="24"/>
      <w:szCs w:val="24"/>
    </w:rPr>
  </w:style>
  <w:style w:type="paragraph" w:customStyle="1" w:styleId="jupara0">
    <w:name w:val="jupara"/>
    <w:basedOn w:val="Normal"/>
    <w:rsid w:val="001C2470"/>
    <w:pPr>
      <w:ind w:firstLine="284"/>
      <w:jc w:val="both"/>
    </w:pPr>
    <w:rPr>
      <w:rFonts w:ascii="Times New Roman" w:eastAsia="Times New Roman" w:hAnsi="Times New Roman" w:cs="Times New Roman"/>
      <w:lang w:eastAsia="en-GB"/>
    </w:rPr>
  </w:style>
  <w:style w:type="paragraph" w:customStyle="1" w:styleId="jucase0">
    <w:name w:val="jucase"/>
    <w:basedOn w:val="Normal"/>
    <w:rsid w:val="001C2470"/>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364EC-39D4-4D50-B3B0-1F3A29B0B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19879</Words>
  <Characters>113312</Characters>
  <Application>Microsoft Office Word</Application>
  <DocSecurity>0</DocSecurity>
  <Lines>944</Lines>
  <Paragraphs>265</Paragraphs>
  <ScaleCrop>false</ScaleCrop>
  <HeadingPairs>
    <vt:vector size="2" baseType="variant">
      <vt:variant>
        <vt:lpstr>Title</vt:lpstr>
      </vt:variant>
      <vt:variant>
        <vt:i4>1</vt:i4>
      </vt:variant>
    </vt:vector>
  </HeadingPairs>
  <TitlesOfParts>
    <vt:vector size="1" baseType="lpstr">
      <vt:lpstr>AFFAIRE ALEXANDRU PĂTRAŞCU c. ROUMANIE</vt:lpstr>
    </vt:vector>
  </TitlesOfParts>
  <Company/>
  <LinksUpToDate>false</LinksUpToDate>
  <CharactersWithSpaces>132926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AFFAIRE ALEXANDRU PĂTRAŞCU c. ROUMANIE</dc:title>
  <dc:subject>JUDF</dc:subject>
  <dc:creator/>
  <cp:lastModifiedBy/>
  <cp:revision>1</cp:revision>
  <dcterms:created xsi:type="dcterms:W3CDTF">2025-09-30T12:35:00Z</dcterms:created>
  <dcterms:modified xsi:type="dcterms:W3CDTF">2026-01-08T11:20:00Z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1601353</vt:lpwstr>
  </property>
  <property fmtid="{D5CDD505-2E9C-101B-9397-08002B2CF9AE}" pid="3" name="cstLanguage">
    <vt:i4>1036</vt:i4>
  </property>
  <property fmtid="{D5CDD505-2E9C-101B-9397-08002B2CF9AE}" pid="4" name="RegisteredNo">
    <vt:lpwstr>1847/21</vt:lpwstr>
  </property>
</Properties>
</file>