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7618" w:rsidRPr="00AF7618" w:rsidRDefault="00AF7618" w:rsidP="00AF7618">
      <w:pPr>
        <w:jc w:val="center"/>
        <w:rPr>
          <w:rFonts w:asciiTheme="majorHAnsi" w:hAnsiTheme="majorHAnsi"/>
          <w:sz w:val="28"/>
        </w:rPr>
      </w:pPr>
      <w:r>
        <w:rPr>
          <w:rFonts w:asciiTheme="majorHAnsi" w:hAnsiTheme="majorHAnsi"/>
          <w:sz w:val="28"/>
        </w:rPr>
        <w:t>CURTEA EUROPEANĂ A DREPTURILOR OMULUI</w:t>
      </w:r>
    </w:p>
    <w:p w:rsidR="00AF7618" w:rsidRPr="00AF7618" w:rsidRDefault="00AF7618" w:rsidP="00AF7618">
      <w:pPr>
        <w:jc w:val="center"/>
        <w:rPr>
          <w:sz w:val="4"/>
          <w:szCs w:val="4"/>
        </w:rPr>
      </w:pPr>
    </w:p>
    <w:p w:rsidR="00AF7618" w:rsidRPr="00AF7618" w:rsidRDefault="00AF7618" w:rsidP="00AF7618">
      <w:pPr>
        <w:pStyle w:val="DecHTitle"/>
      </w:pPr>
      <w:r>
        <w:t>SECȚIA A TREIA</w:t>
      </w:r>
    </w:p>
    <w:p w:rsidR="00AF7618" w:rsidRPr="00AF7618" w:rsidRDefault="00AF7618" w:rsidP="00AF7618">
      <w:pPr>
        <w:pStyle w:val="DecHTitle"/>
      </w:pPr>
      <w:r>
        <w:t>DECIZIE</w:t>
      </w:r>
    </w:p>
    <w:p w:rsidR="00AF7618" w:rsidRPr="00AF7618" w:rsidRDefault="00AF7618" w:rsidP="00AF7618">
      <w:pPr>
        <w:pStyle w:val="DecHCase"/>
      </w:pPr>
      <w:r>
        <w:t>Cererea nr. 2134/23</w:t>
      </w:r>
      <w:r>
        <w:br/>
        <w:t>Elena Ivanovna PIVKINA împotriva Rusiei</w:t>
      </w:r>
      <w:r>
        <w:br/>
        <w:t>și alte 6 cereri</w:t>
      </w:r>
      <w:r>
        <w:br/>
        <w:t>(a se vedea lista anexată)</w:t>
      </w:r>
    </w:p>
    <w:p w:rsidR="00AF7618" w:rsidRPr="00AF7618" w:rsidRDefault="00AF7618" w:rsidP="00AF7618">
      <w:pPr>
        <w:rPr>
          <w:sz w:val="2"/>
          <w:szCs w:val="2"/>
        </w:rPr>
      </w:pPr>
    </w:p>
    <w:p w:rsidR="00AF7618" w:rsidRPr="00AF7618" w:rsidRDefault="00AF7618" w:rsidP="00AF7618">
      <w:pPr>
        <w:pStyle w:val="JuPara"/>
      </w:pPr>
      <w:r>
        <w:t>Curtea Europeană a Drepturilor Omului (Secția a treia), reunită la 6 iunie 2023, într-o cameră compusă din:</w:t>
      </w:r>
    </w:p>
    <w:p w:rsidR="00AF7618" w:rsidRPr="00AF7618" w:rsidRDefault="00AF7618" w:rsidP="00AF7618">
      <w:pPr>
        <w:pStyle w:val="JuJudges"/>
      </w:pPr>
      <w:r>
        <w:tab/>
        <w:t>Pere Pastor Vilanova</w:t>
      </w:r>
      <w:r>
        <w:rPr>
          <w:i/>
        </w:rPr>
        <w:t>, președinte</w:t>
      </w:r>
      <w:r>
        <w:t>,</w:t>
      </w:r>
      <w:r>
        <w:br/>
      </w:r>
      <w:r>
        <w:tab/>
        <w:t>Jolien Schukking,</w:t>
      </w:r>
      <w:r>
        <w:br/>
      </w:r>
      <w:r>
        <w:tab/>
        <w:t>Yonko Grozev,</w:t>
      </w:r>
      <w:r>
        <w:br/>
      </w:r>
      <w:r>
        <w:tab/>
        <w:t>Darian Pavli,</w:t>
      </w:r>
      <w:r>
        <w:br/>
      </w:r>
      <w:r>
        <w:tab/>
        <w:t>Peeter Roosma,</w:t>
      </w:r>
      <w:r>
        <w:br/>
      </w:r>
      <w:r>
        <w:tab/>
        <w:t>Ioannis Ktistakis,</w:t>
      </w:r>
      <w:r>
        <w:br/>
      </w:r>
      <w:r>
        <w:tab/>
        <w:t>Oddný Mjöll Arnardóttir</w:t>
      </w:r>
      <w:r>
        <w:rPr>
          <w:i/>
        </w:rPr>
        <w:t>, judecători</w:t>
      </w:r>
      <w:r>
        <w:t xml:space="preserve">, </w:t>
      </w:r>
      <w:r>
        <w:br/>
        <w:t xml:space="preserve">și Olga Cernișova, </w:t>
      </w:r>
      <w:r>
        <w:rPr>
          <w:i/>
          <w:iCs/>
        </w:rPr>
        <w:t>grefier adjunct de secție</w:t>
      </w:r>
      <w:r>
        <w:rPr>
          <w:i/>
        </w:rPr>
        <w:t>,</w:t>
      </w:r>
    </w:p>
    <w:p w:rsidR="00AF7618" w:rsidRPr="00AF7618" w:rsidRDefault="00AF7618" w:rsidP="00AF7618">
      <w:pPr>
        <w:pStyle w:val="JuPara"/>
      </w:pPr>
      <w:r>
        <w:t>având în vedere cererile menționate anterior, introduse la datele menționate în tabelul anexat,</w:t>
      </w:r>
    </w:p>
    <w:p w:rsidR="00AF7618" w:rsidRPr="00AF7618" w:rsidRDefault="00AF7618" w:rsidP="00AF7618">
      <w:pPr>
        <w:pStyle w:val="JuPara"/>
      </w:pPr>
      <w:r>
        <w:t xml:space="preserve">având în vedere decizia președintelui Secției de a numi unul dintre judecătorii în exercițiu ai Curții pentru a exercita funcția de judecător </w:t>
      </w:r>
      <w:r>
        <w:rPr>
          <w:i/>
          <w:iCs/>
        </w:rPr>
        <w:t>ad-hoc</w:t>
      </w:r>
      <w:r>
        <w:t xml:space="preserve">, aplicând prin analogie art. 29 § 2 din Regulamentul de procedură al Curții (a se vedea, pentru o situație similară și o explicație a contextului, </w:t>
      </w:r>
      <w:r>
        <w:rPr>
          <w:i/>
          <w:iCs/>
        </w:rPr>
        <w:t>Kutaiev împotriva Rusiei</w:t>
      </w:r>
      <w:r>
        <w:t xml:space="preserve">, nr. </w:t>
      </w:r>
      <w:hyperlink r:id="rId8" w:anchor="{%22appno%22:[%2217912/15%22]}" w:tgtFrame="_blank" w:history="1">
        <w:r>
          <w:t>17912/15</w:t>
        </w:r>
      </w:hyperlink>
      <w:r>
        <w:t>, pct. 5-8, 24 ianuarie 2023);</w:t>
      </w:r>
    </w:p>
    <w:p w:rsidR="00AF7618" w:rsidRPr="00AF7618" w:rsidRDefault="00AF7618" w:rsidP="00AF7618">
      <w:pPr>
        <w:pStyle w:val="JuPara"/>
      </w:pPr>
      <w:r>
        <w:t>după ce a deliberat, pronunță următoare</w:t>
      </w:r>
      <w:r w:rsidR="008A2B2A">
        <w:t>a</w:t>
      </w:r>
      <w:bookmarkStart w:id="0" w:name="_GoBack"/>
      <w:bookmarkEnd w:id="0"/>
      <w:r>
        <w:t xml:space="preserve"> decizie:</w:t>
      </w:r>
    </w:p>
    <w:p w:rsidR="00AF7618" w:rsidRPr="00AF7618" w:rsidRDefault="00AF7618" w:rsidP="00AF7618">
      <w:pPr>
        <w:pStyle w:val="JuHHead"/>
        <w:ind w:left="360" w:hanging="360"/>
      </w:pPr>
      <w:r>
        <w:t>INTRODUCERE</w:t>
      </w:r>
    </w:p>
    <w:p w:rsidR="00AF7618" w:rsidRPr="00AF7618" w:rsidRDefault="008A2B2A" w:rsidP="00AF7618">
      <w:pPr>
        <w:pStyle w:val="JuPara"/>
      </w:pPr>
      <w:r>
        <w:fldChar w:fldCharType="begin"/>
      </w:r>
      <w:r>
        <w:instrText xml:space="preserve"> SEQ level0 \*arabic \* MERGEFORMAT </w:instrText>
      </w:r>
      <w:r>
        <w:fldChar w:fldCharType="separate"/>
      </w:r>
      <w:r w:rsidR="00AF7618" w:rsidRPr="00AF7618">
        <w:t>1</w:t>
      </w:r>
      <w:r>
        <w:fldChar w:fldCharType="end"/>
      </w:r>
      <w:r w:rsidR="00AF7618">
        <w:t>.</w:t>
      </w:r>
      <w:r w:rsidR="00C1135A">
        <w:t xml:space="preserve"> </w:t>
      </w:r>
      <w:r w:rsidR="00AF7618">
        <w:t>Decizia are ca obiect limitele competenței Curții în ceea ce privește cauzele îndreptate împotriva Federației Ruse.</w:t>
      </w:r>
    </w:p>
    <w:p w:rsidR="00AF7618" w:rsidRPr="00AF7618" w:rsidRDefault="00AF7618" w:rsidP="00AF7618">
      <w:pPr>
        <w:pStyle w:val="JuHHead"/>
        <w:ind w:left="360" w:hanging="360"/>
      </w:pPr>
      <w:r>
        <w:lastRenderedPageBreak/>
        <w:t>ÎN FAPT</w:t>
      </w:r>
    </w:p>
    <w:p w:rsidR="00AF7618" w:rsidRPr="00AF7618" w:rsidRDefault="00AF7618" w:rsidP="00AF7618">
      <w:pPr>
        <w:pStyle w:val="JuHIRoman"/>
      </w:pPr>
      <w:r>
        <w:t>ÎNCETAREA CALITĂȚII RUSIEI DE STAT MEMBRU AL CONSILIULUI EUROPEI</w:t>
      </w:r>
    </w:p>
    <w:p w:rsidR="00AF7618" w:rsidRPr="00AF7618" w:rsidRDefault="00AF7618" w:rsidP="00AF7618">
      <w:pPr>
        <w:pStyle w:val="JuPara"/>
        <w:rPr>
          <w:rFonts w:eastAsia="Times New Roman"/>
        </w:rPr>
      </w:pPr>
      <w:r w:rsidRPr="00AF7618">
        <w:rPr>
          <w:rFonts w:eastAsia="Times New Roman"/>
        </w:rPr>
        <w:fldChar w:fldCharType="begin"/>
      </w:r>
      <w:r w:rsidRPr="00AF7618">
        <w:rPr>
          <w:rFonts w:eastAsia="Times New Roman"/>
        </w:rPr>
        <w:instrText xml:space="preserve"> SEQ level0 \*arabic \* MERGEFORMAT </w:instrText>
      </w:r>
      <w:r w:rsidRPr="00AF7618">
        <w:rPr>
          <w:rFonts w:eastAsia="Times New Roman"/>
        </w:rPr>
        <w:fldChar w:fldCharType="separate"/>
      </w:r>
      <w:r w:rsidRPr="00AF7618">
        <w:rPr>
          <w:rFonts w:eastAsia="Times New Roman"/>
        </w:rPr>
        <w:t>2</w:t>
      </w:r>
      <w:r w:rsidRPr="00AF7618">
        <w:rPr>
          <w:rFonts w:eastAsia="Times New Roman"/>
        </w:rPr>
        <w:fldChar w:fldCharType="end"/>
      </w:r>
      <w:r>
        <w:t>.</w:t>
      </w:r>
      <w:r w:rsidR="00C1135A">
        <w:t xml:space="preserve"> </w:t>
      </w:r>
      <w:r>
        <w:t>La 16 martie 2022, Comitetul de Miniștri al Consiliului Europei, în contextul unei proceduri demarate în temeiul art. 8 din Statutul Consiliului Europei, a adoptat Rezoluția CM/Res(2022)2, prin care Federația Rusă a încetat să mai fie stat membru al Consiliului Europei din data de 16 martie 2022.</w:t>
      </w:r>
    </w:p>
    <w:p w:rsidR="00AF7618" w:rsidRPr="00AF7618" w:rsidRDefault="00AF7618" w:rsidP="00AF7618">
      <w:pPr>
        <w:pStyle w:val="JuPara"/>
        <w:rPr>
          <w:rFonts w:eastAsia="Times New Roman"/>
        </w:rPr>
      </w:pPr>
      <w:r w:rsidRPr="00AF7618">
        <w:rPr>
          <w:rFonts w:eastAsia="Times New Roman"/>
        </w:rPr>
        <w:fldChar w:fldCharType="begin"/>
      </w:r>
      <w:r w:rsidRPr="00AF7618">
        <w:rPr>
          <w:rFonts w:eastAsia="Times New Roman"/>
        </w:rPr>
        <w:instrText xml:space="preserve"> SEQ level0 \*arabic \* MERGEFORMAT </w:instrText>
      </w:r>
      <w:r w:rsidRPr="00AF7618">
        <w:rPr>
          <w:rFonts w:eastAsia="Times New Roman"/>
        </w:rPr>
        <w:fldChar w:fldCharType="separate"/>
      </w:r>
      <w:r w:rsidRPr="00AF7618">
        <w:rPr>
          <w:rFonts w:eastAsia="Times New Roman"/>
        </w:rPr>
        <w:t>3</w:t>
      </w:r>
      <w:r w:rsidRPr="00AF7618">
        <w:rPr>
          <w:rFonts w:eastAsia="Times New Roman"/>
        </w:rPr>
        <w:fldChar w:fldCharType="end"/>
      </w:r>
      <w:r>
        <w:t>.</w:t>
      </w:r>
      <w:r w:rsidR="00C1135A">
        <w:t xml:space="preserve"> </w:t>
      </w:r>
      <w:r>
        <w:t>La 22 martie 2022, Curtea, reunită în plen în conformitate cu art. 20 § 1 din Regulamentul de procedură al Curții, a adoptat „Rezoluția Curții Europene a Drepturilor Omului privind consecințele încetării calității Federației Ruse de stat membru al Consiliului Europei în lumina art. 58 din Convenția europeană a drepturilor omului”, în care s-au declarat următoarele:</w:t>
      </w:r>
    </w:p>
    <w:p w:rsidR="00AF7618" w:rsidRPr="00AF7618" w:rsidRDefault="00AF7618" w:rsidP="00AF7618">
      <w:pPr>
        <w:pStyle w:val="JuQuot"/>
        <w:rPr>
          <w:rFonts w:eastAsia="Times New Roman"/>
        </w:rPr>
      </w:pPr>
      <w:r>
        <w:t>„1.</w:t>
      </w:r>
      <w:r w:rsidR="00C1135A">
        <w:t xml:space="preserve"> </w:t>
      </w:r>
      <w:r>
        <w:t>Federația Rusă încetează să mai fie Înaltă Parte Contractantă la Convenție la data de 16 septembrie 2022.</w:t>
      </w:r>
    </w:p>
    <w:p w:rsidR="00AF7618" w:rsidRPr="00AF7618" w:rsidRDefault="00AF7618" w:rsidP="00AF7618">
      <w:pPr>
        <w:pStyle w:val="JuQuot"/>
        <w:rPr>
          <w:rFonts w:eastAsia="Times New Roman"/>
        </w:rPr>
      </w:pPr>
      <w:r>
        <w:t>2.</w:t>
      </w:r>
      <w:r w:rsidR="00C1135A">
        <w:t xml:space="preserve"> </w:t>
      </w:r>
      <w:r>
        <w:t>Curtea rămâne competentă să examineze cererile îndreptate împotriva Federației Ruse în legătură cu fapte sau omisiuni care pot constitui o încălcare a Convenției, cu condiția ca acestea să fi avut loc înainte de 16 septembrie 2022.”</w:t>
      </w:r>
    </w:p>
    <w:p w:rsidR="00AF7618" w:rsidRPr="00AF7618" w:rsidRDefault="00AF7618" w:rsidP="00AF7618">
      <w:pPr>
        <w:pStyle w:val="JuHIRoman"/>
      </w:pPr>
      <w:r>
        <w:t>CIRCUMSTANȚELE CERERILOR INDIVIDUALE</w:t>
      </w:r>
    </w:p>
    <w:p w:rsidR="00AF7618" w:rsidRPr="00AF7618" w:rsidRDefault="008A2B2A" w:rsidP="00AF7618">
      <w:pPr>
        <w:pStyle w:val="JuPara"/>
      </w:pPr>
      <w:r>
        <w:fldChar w:fldCharType="begin"/>
      </w:r>
      <w:r>
        <w:instrText xml:space="preserve"> SEQ level0 \*arabic \</w:instrText>
      </w:r>
      <w:r>
        <w:instrText xml:space="preserve">* MERGEFORMAT </w:instrText>
      </w:r>
      <w:r>
        <w:fldChar w:fldCharType="separate"/>
      </w:r>
      <w:r w:rsidR="00AF7618" w:rsidRPr="00AF7618">
        <w:t>4</w:t>
      </w:r>
      <w:r>
        <w:fldChar w:fldCharType="end"/>
      </w:r>
      <w:r w:rsidR="00AF7618">
        <w:t>.</w:t>
      </w:r>
      <w:r w:rsidR="00C1135A">
        <w:t xml:space="preserve"> </w:t>
      </w:r>
      <w:r w:rsidR="00AF7618">
        <w:t>Situația de fapt din prezentele cauze, astfel cum a fost expusă de reclamanți, poate fi rezumată după cum urmează.</w:t>
      </w:r>
    </w:p>
    <w:p w:rsidR="00AF7618" w:rsidRPr="00AF7618" w:rsidRDefault="00AF7618" w:rsidP="00AF7618">
      <w:pPr>
        <w:pStyle w:val="JuHA"/>
      </w:pPr>
      <w:r>
        <w:t>Doamna Pivkina (cererea nr. 2134/23)</w:t>
      </w:r>
    </w:p>
    <w:bookmarkStart w:id="1" w:name="paragraph00005"/>
    <w:p w:rsidR="00AF7618" w:rsidRPr="00AF7618" w:rsidRDefault="00AF7618" w:rsidP="00AF7618">
      <w:pPr>
        <w:pStyle w:val="JuPara"/>
      </w:pPr>
      <w:r w:rsidRPr="00AF7618">
        <w:fldChar w:fldCharType="begin"/>
      </w:r>
      <w:r w:rsidRPr="00AF7618">
        <w:instrText xml:space="preserve"> SEQ level0 \*arabic \* MERGEFORMAT </w:instrText>
      </w:r>
      <w:r w:rsidRPr="00AF7618">
        <w:fldChar w:fldCharType="separate"/>
      </w:r>
      <w:r w:rsidRPr="00AF7618">
        <w:t>5</w:t>
      </w:r>
      <w:r w:rsidRPr="00AF7618">
        <w:fldChar w:fldCharType="end"/>
      </w:r>
      <w:bookmarkEnd w:id="1"/>
      <w:r>
        <w:t>.</w:t>
      </w:r>
      <w:r w:rsidR="00C1135A">
        <w:t xml:space="preserve"> </w:t>
      </w:r>
      <w:r>
        <w:t>La 6 martie, 2 și 29 aprilie 2022, doamna Pivkina a participat la proteste în masă împotriva războiului declanșat de Rusia în Ucraina. De fiecare dată poliția a reținut-o în timpul evenimentului și a condus-o la o secție de poliție pentru întocmirea unui proces-verbal de constatare a contravenției. A stat 5 ore, 7 ore și, respectiv, 15 ore la secția de poliție.</w:t>
      </w:r>
    </w:p>
    <w:bookmarkStart w:id="2" w:name="paragraph00006"/>
    <w:p w:rsidR="00AF7618" w:rsidRPr="00AF7618" w:rsidRDefault="00AF7618" w:rsidP="00AF7618">
      <w:pPr>
        <w:pStyle w:val="JuPara"/>
      </w:pPr>
      <w:r w:rsidRPr="00AF7618">
        <w:fldChar w:fldCharType="begin"/>
      </w:r>
      <w:r w:rsidRPr="00AF7618">
        <w:instrText xml:space="preserve"> SEQ level0 \*arabic \* MERGEFORMAT </w:instrText>
      </w:r>
      <w:r w:rsidRPr="00AF7618">
        <w:fldChar w:fldCharType="separate"/>
      </w:r>
      <w:r w:rsidRPr="00AF7618">
        <w:t>6</w:t>
      </w:r>
      <w:r w:rsidRPr="00AF7618">
        <w:fldChar w:fldCharType="end"/>
      </w:r>
      <w:bookmarkEnd w:id="2"/>
      <w:r>
        <w:t>.</w:t>
      </w:r>
      <w:r w:rsidR="00C1135A">
        <w:t xml:space="preserve"> </w:t>
      </w:r>
      <w:r>
        <w:t>La 15 aprilie 2022, Judecătoria Lefortovskîi din Moscova a amendat-o cu 10 000 de ruble rusești (RUB) pentru încălcarea procedurii de organizare a unui eveniment public, infracțiune prevăzută de art. 20.2 din Codul contravențional (CC); la 6 aprilie 2022, Judecătoria Kuzminskîi i-a aplicat o amendă de 20 000 RUB pentru aceeași acuzație, iar la 30 aprilie 2022, Judecătoria Tverskoi i-a aplicat o pedeapsă de 15 zile de privare de libertate pentru acuzația de fapte minore de tulburare a ordinii și liniștii publice în temeiul art. 19.3 din CC.</w:t>
      </w:r>
    </w:p>
    <w:bookmarkStart w:id="3" w:name="paragraph00007"/>
    <w:p w:rsidR="00AF7618" w:rsidRPr="00AF7618" w:rsidRDefault="00AF7618" w:rsidP="00AF7618">
      <w:pPr>
        <w:pStyle w:val="JuPara"/>
      </w:pPr>
      <w:r w:rsidRPr="00AF7618">
        <w:fldChar w:fldCharType="begin"/>
      </w:r>
      <w:r w:rsidRPr="00AF7618">
        <w:instrText xml:space="preserve"> SEQ level0 \*arabic \* MERGEFORMAT </w:instrText>
      </w:r>
      <w:r w:rsidRPr="00AF7618">
        <w:fldChar w:fldCharType="separate"/>
      </w:r>
      <w:r w:rsidRPr="00AF7618">
        <w:t>7</w:t>
      </w:r>
      <w:r w:rsidRPr="00AF7618">
        <w:fldChar w:fldCharType="end"/>
      </w:r>
      <w:bookmarkEnd w:id="3"/>
      <w:r>
        <w:t>.</w:t>
      </w:r>
      <w:r w:rsidR="00C1135A">
        <w:t xml:space="preserve"> </w:t>
      </w:r>
      <w:r>
        <w:t xml:space="preserve">În motivele de recurs, doamna Pivkina s-a plâns, în special, de faptul că arestarea sa în timpul protestelor și escortarea sa la secția de poliție nu au fost necesare și au depășit termenul legal de 3 ore. S-a plâns, de asemenea, de </w:t>
      </w:r>
      <w:r>
        <w:lastRenderedPageBreak/>
        <w:t>faptul că procedurile s-au desfășurat în absența unui procuror și că instanța de fond a refuzat să ia declarații de la polițiștii care au arestat-o. S-a plâns, de asemenea, de faptul că pedeapsa privativă de libertate aplicată de Judecătoria Tverskoi a fost executată imediat, fără să i se acorde timp pentru a declara apel. La 17 august (primul proces) și 29 septembrie 2022 (al doilea și al treilea proces), Tribunalul Moscova a respins recursurile sale.</w:t>
      </w:r>
    </w:p>
    <w:p w:rsidR="00AF7618" w:rsidRPr="00AF7618" w:rsidRDefault="00AF7618" w:rsidP="00AF7618">
      <w:pPr>
        <w:pStyle w:val="JuHA"/>
      </w:pPr>
      <w:r>
        <w:t>Domnul Korolev (cererea nr. 2156/23)</w:t>
      </w:r>
    </w:p>
    <w:bookmarkStart w:id="4" w:name="paragraph00008"/>
    <w:p w:rsidR="00AF7618" w:rsidRPr="00AF7618" w:rsidRDefault="00AF7618" w:rsidP="00AF7618">
      <w:pPr>
        <w:pStyle w:val="JuPara"/>
      </w:pPr>
      <w:r w:rsidRPr="00AF7618">
        <w:fldChar w:fldCharType="begin"/>
      </w:r>
      <w:r w:rsidRPr="00AF7618">
        <w:instrText xml:space="preserve"> SEQ level0 \*arabic \* MERGEFORMAT </w:instrText>
      </w:r>
      <w:r w:rsidRPr="00AF7618">
        <w:fldChar w:fldCharType="separate"/>
      </w:r>
      <w:r w:rsidRPr="00AF7618">
        <w:t>8</w:t>
      </w:r>
      <w:r w:rsidRPr="00AF7618">
        <w:fldChar w:fldCharType="end"/>
      </w:r>
      <w:bookmarkEnd w:id="4"/>
      <w:r>
        <w:t>.</w:t>
      </w:r>
      <w:r w:rsidR="00C1135A">
        <w:t xml:space="preserve"> </w:t>
      </w:r>
      <w:r>
        <w:t>În aprilie 2022, domnul Korolev, activist al societății civile, și-a exprimat opiniile despre războiul din Ucraina prin intermediul contului său de pe platformele de comunicare socială. Mai exact, a scris că s-a tras asupra orașului Donețk de pe teritoriul controlat de Rusia și că „oamenii care refuză să creadă că masacrele din Bucea și Borodianka au fost comise de armata rusă dau dovadă de un remarcabil nivel de naivitate”.</w:t>
      </w:r>
    </w:p>
    <w:p w:rsidR="00AF7618" w:rsidRPr="00AF7618" w:rsidRDefault="008A2B2A" w:rsidP="00AF7618">
      <w:pPr>
        <w:pStyle w:val="JuPara"/>
      </w:pPr>
      <w:r>
        <w:fldChar w:fldCharType="begin"/>
      </w:r>
      <w:r>
        <w:instrText xml:space="preserve"> SEQ level0 \*arabic \* MERGEFORMAT </w:instrText>
      </w:r>
      <w:r>
        <w:fldChar w:fldCharType="separate"/>
      </w:r>
      <w:r w:rsidR="00AF7618" w:rsidRPr="00AF7618">
        <w:t>9</w:t>
      </w:r>
      <w:r>
        <w:fldChar w:fldCharType="end"/>
      </w:r>
      <w:r w:rsidR="00AF7618">
        <w:t>.</w:t>
      </w:r>
      <w:r w:rsidR="00C1135A">
        <w:t xml:space="preserve"> </w:t>
      </w:r>
      <w:r w:rsidR="00AF7618">
        <w:t>La 11 iulie 2022, un anchetator din partea Comitetului de anchetă din Sankt Petersburg a deschis un dosar penal ca răspuns la cele scrise pe platformele de comunicare socială. Acesta l-a acuzat pe domnul Korolev de infracțiunea de „difuzare publică a unor informații false în mod intenționat despre utilizarea forțelor militare ruse” (art. 207.3 din Codul penal). Domnul Korolev a fost reținut în aceeași zi.</w:t>
      </w:r>
    </w:p>
    <w:bookmarkStart w:id="5" w:name="paragraph00010"/>
    <w:p w:rsidR="00AF7618" w:rsidRPr="00AF7618" w:rsidRDefault="00AF7618" w:rsidP="00AF7618">
      <w:pPr>
        <w:pStyle w:val="JuPara"/>
      </w:pPr>
      <w:r w:rsidRPr="00AF7618">
        <w:fldChar w:fldCharType="begin"/>
      </w:r>
      <w:r w:rsidRPr="00AF7618">
        <w:instrText xml:space="preserve"> SEQ level0 \*arabic \* MERGEFORMAT </w:instrText>
      </w:r>
      <w:r w:rsidRPr="00AF7618">
        <w:fldChar w:fldCharType="separate"/>
      </w:r>
      <w:r w:rsidRPr="00AF7618">
        <w:t>10</w:t>
      </w:r>
      <w:r w:rsidRPr="00AF7618">
        <w:fldChar w:fldCharType="end"/>
      </w:r>
      <w:bookmarkEnd w:id="5"/>
      <w:r>
        <w:t>.</w:t>
      </w:r>
      <w:r w:rsidR="00C1135A">
        <w:t xml:space="preserve"> </w:t>
      </w:r>
      <w:r>
        <w:t>La 13 iulie 2022, Judecătoria Viborgski din Sankt Petersburg a dispus arestarea preventivă a domnului Korolev până la 11 septembrie 2022. La 1 septembrie, Tribunalul Sankt Petersburg a confirmat mandatul de arestare preventivă.</w:t>
      </w:r>
    </w:p>
    <w:p w:rsidR="00AF7618" w:rsidRPr="00AF7618" w:rsidRDefault="008A2B2A" w:rsidP="00AF7618">
      <w:pPr>
        <w:pStyle w:val="JuPara"/>
      </w:pPr>
      <w:r>
        <w:fldChar w:fldCharType="begin"/>
      </w:r>
      <w:r>
        <w:instrText xml:space="preserve"> SEQ level0 \*arabic \* MERGEFORMAT </w:instrText>
      </w:r>
      <w:r>
        <w:fldChar w:fldCharType="separate"/>
      </w:r>
      <w:r w:rsidR="00AF7618" w:rsidRPr="00AF7618">
        <w:t>11</w:t>
      </w:r>
      <w:r>
        <w:fldChar w:fldCharType="end"/>
      </w:r>
      <w:r w:rsidR="00AF7618">
        <w:t>.</w:t>
      </w:r>
      <w:r w:rsidR="00C1135A">
        <w:t xml:space="preserve"> </w:t>
      </w:r>
      <w:r w:rsidR="00AF7618">
        <w:t>La 8 septembrie 2022, judecătoria a prelungit măsura privativă de libertate până la 11 octombrie 2022. La 4 octombrie, tribunalul municipal a confirmat prelungirea.</w:t>
      </w:r>
    </w:p>
    <w:bookmarkStart w:id="6" w:name="paragraph00012"/>
    <w:p w:rsidR="00AF7618" w:rsidRPr="00AF7618" w:rsidRDefault="00AF7618" w:rsidP="00AF7618">
      <w:pPr>
        <w:pStyle w:val="JuPara"/>
      </w:pPr>
      <w:r w:rsidRPr="00AF7618">
        <w:fldChar w:fldCharType="begin"/>
      </w:r>
      <w:r w:rsidRPr="00AF7618">
        <w:instrText xml:space="preserve"> SEQ level0 \*arabic \* MERGEFORMAT </w:instrText>
      </w:r>
      <w:r w:rsidRPr="00AF7618">
        <w:fldChar w:fldCharType="separate"/>
      </w:r>
      <w:r w:rsidRPr="00AF7618">
        <w:t>12</w:t>
      </w:r>
      <w:r w:rsidRPr="00AF7618">
        <w:fldChar w:fldCharType="end"/>
      </w:r>
      <w:bookmarkEnd w:id="6"/>
      <w:r>
        <w:t>.</w:t>
      </w:r>
      <w:r w:rsidR="00C1135A">
        <w:t xml:space="preserve"> </w:t>
      </w:r>
      <w:r>
        <w:t>La 10 octombrie 2022, judecătoria a dispus o nouă prelungire până la 2 aprilie 2023.</w:t>
      </w:r>
    </w:p>
    <w:bookmarkStart w:id="7" w:name="paragraph00013"/>
    <w:p w:rsidR="00AF7618" w:rsidRPr="00AF7618" w:rsidRDefault="00AF7618" w:rsidP="00AF7618">
      <w:pPr>
        <w:pStyle w:val="JuPara"/>
      </w:pPr>
      <w:r w:rsidRPr="00AF7618">
        <w:fldChar w:fldCharType="begin"/>
      </w:r>
      <w:r w:rsidRPr="00AF7618">
        <w:instrText xml:space="preserve"> SEQ level0 \*arabic \* MERGEFORMAT </w:instrText>
      </w:r>
      <w:r w:rsidRPr="00AF7618">
        <w:fldChar w:fldCharType="separate"/>
      </w:r>
      <w:r w:rsidRPr="00AF7618">
        <w:t>13</w:t>
      </w:r>
      <w:r w:rsidRPr="00AF7618">
        <w:fldChar w:fldCharType="end"/>
      </w:r>
      <w:bookmarkEnd w:id="7"/>
      <w:r>
        <w:t>.</w:t>
      </w:r>
      <w:r w:rsidR="00C1135A">
        <w:t xml:space="preserve"> </w:t>
      </w:r>
      <w:r>
        <w:t>La fiecare ședință privind arestarea preventivă în fața judecătoriei, domnul Korolev a fost ținut într-o cabină de sticlă închisă în totalitate, care, potrivit declarațiilor, era îngustă și sufocantă.</w:t>
      </w:r>
    </w:p>
    <w:p w:rsidR="00AF7618" w:rsidRPr="00AF7618" w:rsidRDefault="00AF7618" w:rsidP="00AF7618">
      <w:pPr>
        <w:pStyle w:val="JuHA"/>
      </w:pPr>
      <w:r>
        <w:t>Domnul Kazusev (cererea nr. 4556/23)</w:t>
      </w:r>
    </w:p>
    <w:bookmarkStart w:id="8" w:name="paragraph00014"/>
    <w:p w:rsidR="00AF7618" w:rsidRPr="00AF7618" w:rsidRDefault="00AF7618" w:rsidP="00AF7618">
      <w:pPr>
        <w:pStyle w:val="JuPara"/>
      </w:pPr>
      <w:r w:rsidRPr="00AF7618">
        <w:fldChar w:fldCharType="begin"/>
      </w:r>
      <w:r w:rsidRPr="00AF7618">
        <w:instrText xml:space="preserve"> SEQ level0 \*arabic \* MERGEFORMAT </w:instrText>
      </w:r>
      <w:r w:rsidRPr="00AF7618">
        <w:fldChar w:fldCharType="separate"/>
      </w:r>
      <w:r w:rsidRPr="00AF7618">
        <w:t>14</w:t>
      </w:r>
      <w:r w:rsidRPr="00AF7618">
        <w:fldChar w:fldCharType="end"/>
      </w:r>
      <w:bookmarkEnd w:id="8"/>
      <w:r>
        <w:t>.</w:t>
      </w:r>
      <w:r w:rsidR="00C1135A">
        <w:t xml:space="preserve"> </w:t>
      </w:r>
      <w:r>
        <w:t>La 21 septembrie 2022, președintele Rusiei a anunțat, prin decret, „mobilizarea parțială” a rezerviștilor ruși pentru efortul de război din Ucraina.</w:t>
      </w:r>
    </w:p>
    <w:bookmarkStart w:id="9" w:name="paragraph00015"/>
    <w:p w:rsidR="00AF7618" w:rsidRPr="00AF7618" w:rsidRDefault="00AF7618" w:rsidP="00AF7618">
      <w:pPr>
        <w:pStyle w:val="JuPara"/>
      </w:pPr>
      <w:r w:rsidRPr="00AF7618">
        <w:fldChar w:fldCharType="begin"/>
      </w:r>
      <w:r w:rsidRPr="00AF7618">
        <w:instrText xml:space="preserve"> SEQ level0 \*arabic \* MERGEFORMAT </w:instrText>
      </w:r>
      <w:r w:rsidRPr="00AF7618">
        <w:fldChar w:fldCharType="separate"/>
      </w:r>
      <w:r w:rsidRPr="00AF7618">
        <w:t>15</w:t>
      </w:r>
      <w:r w:rsidRPr="00AF7618">
        <w:fldChar w:fldCharType="end"/>
      </w:r>
      <w:bookmarkEnd w:id="9"/>
      <w:r>
        <w:t>.</w:t>
      </w:r>
      <w:r w:rsidR="00C1135A">
        <w:t xml:space="preserve"> </w:t>
      </w:r>
      <w:r>
        <w:t>Domnul Kazusev a inițiat procedura administrativă pentru a contesta temeiul legal al decretului în fața Curții Supreme a Federației Ruse. Curtea supremă a refuzat să examineze plângerea și căile de atac exercitate ulterior, decizia definitivă fiind pronunțată la 23 decembrie 2022.</w:t>
      </w:r>
    </w:p>
    <w:p w:rsidR="00AF7618" w:rsidRPr="00AF7618" w:rsidRDefault="00AF7618" w:rsidP="00AF7618">
      <w:pPr>
        <w:pStyle w:val="JuHA"/>
      </w:pPr>
      <w:r>
        <w:lastRenderedPageBreak/>
        <w:t>Doamna Iudina-Kliugvant (cererea nr. 7800/23)</w:t>
      </w:r>
    </w:p>
    <w:bookmarkStart w:id="10" w:name="paragraph00016"/>
    <w:p w:rsidR="00AF7618" w:rsidRPr="00AF7618" w:rsidRDefault="00AF7618" w:rsidP="00AF7618">
      <w:pPr>
        <w:pStyle w:val="JuPara"/>
      </w:pPr>
      <w:r w:rsidRPr="00AF7618">
        <w:fldChar w:fldCharType="begin"/>
      </w:r>
      <w:r w:rsidRPr="00AF7618">
        <w:instrText xml:space="preserve"> SEQ level0 \*arabic \* MERGEFORMAT </w:instrText>
      </w:r>
      <w:r w:rsidRPr="00AF7618">
        <w:fldChar w:fldCharType="separate"/>
      </w:r>
      <w:r w:rsidRPr="00AF7618">
        <w:t>16</w:t>
      </w:r>
      <w:r w:rsidRPr="00AF7618">
        <w:fldChar w:fldCharType="end"/>
      </w:r>
      <w:bookmarkEnd w:id="10"/>
      <w:r>
        <w:t>.</w:t>
      </w:r>
      <w:r w:rsidR="00C1135A">
        <w:t xml:space="preserve"> </w:t>
      </w:r>
      <w:r>
        <w:t>La 16 martie 2022, doamna Iudina-Kliugvant a pus autocolante anti-război pe luneta autoturismului său, cu mesajele următoare: „Tăcerea este crimă. Nu războiului! Nu tăceți! Opriți nebunia asta! Oamenii mor în aceste clipe! Refuz să las oamenii să fie uciși în numele meu! Duceți-vă naibii!” În aceeași zi, poliția a acuzat-o de contravenția de „discreditare publică a utilizării forțelor militare ruse pentru menținerea păcii și securității internaționale” (art. 20.3.3 din CC).</w:t>
      </w:r>
    </w:p>
    <w:bookmarkStart w:id="11" w:name="paragraph00017"/>
    <w:p w:rsidR="00AF7618" w:rsidRPr="00AF7618" w:rsidRDefault="00AF7618" w:rsidP="00AF7618">
      <w:pPr>
        <w:pStyle w:val="JuPara"/>
      </w:pPr>
      <w:r w:rsidRPr="00AF7618">
        <w:fldChar w:fldCharType="begin"/>
      </w:r>
      <w:r w:rsidRPr="00AF7618">
        <w:instrText xml:space="preserve"> SEQ level0 \*arabic \* MERGEFORMAT </w:instrText>
      </w:r>
      <w:r w:rsidRPr="00AF7618">
        <w:fldChar w:fldCharType="separate"/>
      </w:r>
      <w:r w:rsidRPr="00AF7618">
        <w:t>17</w:t>
      </w:r>
      <w:r w:rsidRPr="00AF7618">
        <w:fldChar w:fldCharType="end"/>
      </w:r>
      <w:bookmarkEnd w:id="11"/>
      <w:r>
        <w:t>.</w:t>
      </w:r>
      <w:r w:rsidR="00C1135A">
        <w:t xml:space="preserve"> </w:t>
      </w:r>
      <w:r>
        <w:t>La 24 martie 2022, Judecătoria Golovinski din Moscova a declarat-o pe doamna Iudina-Kliugvant vinovată de săvârșirea faptelor de care fusese acuzată și i-a aplicat o amendă de 35 000 RUB. La 21 septembrie 2022, Tribunalul Moscova i-a respins recursul.</w:t>
      </w:r>
    </w:p>
    <w:p w:rsidR="00AF7618" w:rsidRPr="00AF7618" w:rsidRDefault="00AF7618" w:rsidP="00AF7618">
      <w:pPr>
        <w:pStyle w:val="JuHA"/>
      </w:pPr>
      <w:r>
        <w:t>Doamna Viktorova (cererea nr. 11065/23)</w:t>
      </w:r>
    </w:p>
    <w:bookmarkStart w:id="12" w:name="paragraph00018"/>
    <w:p w:rsidR="00AF7618" w:rsidRPr="00AF7618" w:rsidRDefault="00AF7618" w:rsidP="00AF7618">
      <w:pPr>
        <w:pStyle w:val="JuPara"/>
      </w:pPr>
      <w:r w:rsidRPr="00AF7618">
        <w:fldChar w:fldCharType="begin"/>
      </w:r>
      <w:r w:rsidRPr="00AF7618">
        <w:instrText xml:space="preserve"> SEQ level0 \*arabic \* MERGEFORMAT </w:instrText>
      </w:r>
      <w:r w:rsidRPr="00AF7618">
        <w:fldChar w:fldCharType="separate"/>
      </w:r>
      <w:r w:rsidRPr="00AF7618">
        <w:t>18</w:t>
      </w:r>
      <w:r w:rsidRPr="00AF7618">
        <w:fldChar w:fldCharType="end"/>
      </w:r>
      <w:bookmarkEnd w:id="12"/>
      <w:r>
        <w:t>.</w:t>
      </w:r>
      <w:r w:rsidR="00C1135A">
        <w:t xml:space="preserve"> </w:t>
      </w:r>
      <w:r>
        <w:t>La 21 aprilie 2021, în timp ce se îndrepta spre un miting de protest împotriva arestării politicianului de opoziție, domnul Navalnîi, doamna Viktorova a fost reținută forțat de poliție. Polițiștii au folosit un baston de cauciuc și un pistol paralizant împotriva ei. Apoi a fost dusă la o secție de poliție pentru întocmirea unui proces-verbal de constatare a contravenției. A doua zi a mers la un medic care a consemnat în scris leziunile suferite de aceasta.</w:t>
      </w:r>
    </w:p>
    <w:p w:rsidR="00AF7618" w:rsidRPr="00AF7618" w:rsidRDefault="008A2B2A" w:rsidP="00AF7618">
      <w:pPr>
        <w:pStyle w:val="JuPara"/>
      </w:pPr>
      <w:r>
        <w:fldChar w:fldCharType="begin"/>
      </w:r>
      <w:r>
        <w:instrText xml:space="preserve"> SEQ level0 \*arabic \* MERGEFORMAT </w:instrText>
      </w:r>
      <w:r>
        <w:fldChar w:fldCharType="separate"/>
      </w:r>
      <w:r w:rsidR="00AF7618" w:rsidRPr="00AF7618">
        <w:t>19</w:t>
      </w:r>
      <w:r>
        <w:fldChar w:fldCharType="end"/>
      </w:r>
      <w:r w:rsidR="00AF7618">
        <w:t>.</w:t>
      </w:r>
      <w:r w:rsidR="00C1135A">
        <w:t xml:space="preserve"> </w:t>
      </w:r>
      <w:r w:rsidR="00AF7618">
        <w:t>La 15 mai 2021, doamna Viktorova a depus plângere penală împotriva poliției. La 27 iulie 2021, anchetatorul a emis o decizie de neîncepere a urmăririi penale. Doamna Viktorova a atacat în instanță decizia anchetatorului de neîncepere a urmăririi penale, dar fără succes. La 23 iunie 2022, procurorul care coordona desfășurarea anchetei a dispus efectuarea unor acte de cercetare suplimentare. La 28 iulie 2022, anchetatorul a refuzat din nou punerea în mișcare a acțiunii penale.</w:t>
      </w:r>
    </w:p>
    <w:bookmarkStart w:id="13" w:name="paragraph00020"/>
    <w:p w:rsidR="00AF7618" w:rsidRPr="00AF7618" w:rsidRDefault="00AF7618" w:rsidP="00AF7618">
      <w:pPr>
        <w:pStyle w:val="JuPara"/>
      </w:pPr>
      <w:r w:rsidRPr="00AF7618">
        <w:fldChar w:fldCharType="begin"/>
      </w:r>
      <w:r w:rsidRPr="00AF7618">
        <w:instrText xml:space="preserve"> SEQ level0 \*arabic \* MERGEFORMAT </w:instrText>
      </w:r>
      <w:r w:rsidRPr="00AF7618">
        <w:fldChar w:fldCharType="separate"/>
      </w:r>
      <w:r w:rsidRPr="00AF7618">
        <w:t>20</w:t>
      </w:r>
      <w:r w:rsidRPr="00AF7618">
        <w:fldChar w:fldCharType="end"/>
      </w:r>
      <w:bookmarkEnd w:id="13"/>
      <w:r>
        <w:t>.</w:t>
      </w:r>
      <w:r w:rsidR="00C1135A">
        <w:t xml:space="preserve"> </w:t>
      </w:r>
      <w:r>
        <w:t>La 5 octombrie 2022, doamna Viktorova a declarat apel împotriva deciziei de neîncepere a urmăririi penale. Prin hotărârea din 2 noiembrie 2022, confirmată în apel la 18 ianuarie 2023, Judecătoria Oktiabrski din Sankt Petersburg a respins apelul acesteia.</w:t>
      </w:r>
    </w:p>
    <w:p w:rsidR="00AF7618" w:rsidRPr="00AF7618" w:rsidRDefault="00AF7618" w:rsidP="00AF7618">
      <w:pPr>
        <w:pStyle w:val="JuHA"/>
      </w:pPr>
      <w:r>
        <w:t>Domnul Navalnîi (cererea nr. 12899/23)</w:t>
      </w:r>
    </w:p>
    <w:bookmarkStart w:id="14" w:name="paragraph00021"/>
    <w:p w:rsidR="00AF7618" w:rsidRPr="00AF7618" w:rsidRDefault="00AF7618" w:rsidP="00AF7618">
      <w:pPr>
        <w:pStyle w:val="JuPara"/>
      </w:pPr>
      <w:r w:rsidRPr="00AF7618">
        <w:fldChar w:fldCharType="begin"/>
      </w:r>
      <w:r w:rsidRPr="00AF7618">
        <w:instrText xml:space="preserve"> SEQ level0 \*arabic \* MERGEFORMAT </w:instrText>
      </w:r>
      <w:r w:rsidRPr="00AF7618">
        <w:fldChar w:fldCharType="separate"/>
      </w:r>
      <w:r w:rsidRPr="00AF7618">
        <w:t>21</w:t>
      </w:r>
      <w:r w:rsidRPr="00AF7618">
        <w:fldChar w:fldCharType="end"/>
      </w:r>
      <w:bookmarkEnd w:id="14"/>
      <w:r>
        <w:t>.</w:t>
      </w:r>
      <w:r w:rsidR="00C1135A">
        <w:t xml:space="preserve"> </w:t>
      </w:r>
      <w:r>
        <w:t xml:space="preserve">La 19 ianuarie 2022, un anchetator l-a acuzat pe domnul Navalnîi de deturnare de fonduri oferite de donatori privați organizației sale non-profit, </w:t>
      </w:r>
      <w:r w:rsidR="00273B5A" w:rsidRPr="00273B5A">
        <w:rPr>
          <w:i/>
        </w:rPr>
        <w:t>Фонд Борьбы с Коррупцией</w:t>
      </w:r>
      <w:r w:rsidR="00273B5A">
        <w:t xml:space="preserve"> (</w:t>
      </w:r>
      <w:r>
        <w:t>Fundația Anticorupție</w:t>
      </w:r>
      <w:r w:rsidR="00273B5A">
        <w:t>)</w:t>
      </w:r>
      <w:r>
        <w:t>. În plus, în sarcina domnului Navalnîi au fost reținute două capete de acuzare de încălcarea solemnității ședinței în legătură cu un proces anterior din 2021.</w:t>
      </w:r>
    </w:p>
    <w:p w:rsidR="00AF7618" w:rsidRPr="00AF7618" w:rsidRDefault="008A2B2A" w:rsidP="00AF7618">
      <w:pPr>
        <w:pStyle w:val="JuPara"/>
      </w:pPr>
      <w:r>
        <w:fldChar w:fldCharType="begin"/>
      </w:r>
      <w:r>
        <w:instrText xml:space="preserve"> SEQ level0 \*arabic \* MERGEFORMAT </w:instrText>
      </w:r>
      <w:r>
        <w:fldChar w:fldCharType="separate"/>
      </w:r>
      <w:r w:rsidR="00AF7618" w:rsidRPr="00AF7618">
        <w:t>22</w:t>
      </w:r>
      <w:r>
        <w:fldChar w:fldCharType="end"/>
      </w:r>
      <w:r w:rsidR="00AF7618">
        <w:t>.</w:t>
      </w:r>
      <w:r w:rsidR="00C1135A">
        <w:t xml:space="preserve"> </w:t>
      </w:r>
      <w:r w:rsidR="00AF7618">
        <w:t xml:space="preserve">La 22 martie 2022, Judecătoria Lefortovski din Moscova a organizat o audiere de tip mobil în penitenciarul IK-2, în regiunea Vladimir, unde domnul </w:t>
      </w:r>
      <w:r w:rsidR="00AF7618">
        <w:lastRenderedPageBreak/>
        <w:t>Navalnîi executa o pedeapsă privativă de libertate aplicată anterior. Judecătoria l-a declarat vinovat pe domnul Navalnîi de infracțiunile de care era acuzat. La 24 mai 2022, Tribunalul Moscova a respins apelul acestuia.</w:t>
      </w:r>
    </w:p>
    <w:p w:rsidR="00AF7618" w:rsidRPr="00AF7618" w:rsidRDefault="008A2B2A" w:rsidP="00AF7618">
      <w:pPr>
        <w:pStyle w:val="JuPara"/>
      </w:pPr>
      <w:r>
        <w:fldChar w:fldCharType="begin"/>
      </w:r>
      <w:r>
        <w:instrText xml:space="preserve"> SEQ level0 \*arabic \* MERGEFORMAT </w:instrText>
      </w:r>
      <w:r>
        <w:fldChar w:fldCharType="separate"/>
      </w:r>
      <w:r w:rsidR="00AF7618" w:rsidRPr="00AF7618">
        <w:t>23</w:t>
      </w:r>
      <w:r>
        <w:fldChar w:fldCharType="end"/>
      </w:r>
      <w:r w:rsidR="00AF7618">
        <w:t>.</w:t>
      </w:r>
      <w:r w:rsidR="00C1135A">
        <w:t xml:space="preserve"> </w:t>
      </w:r>
      <w:r w:rsidR="00AF7618">
        <w:t>Domnul Navalnîi a declarat recurs în casație, susținând în special că procesul s-a desfășurat în mod necorespunzător în incinta unui penitenciar. Acest loc i-a privat pe avocații săi de acces la dispozitive electronice, limitând astfel capacitatea acestora de a pregăti apărarea sa într-un mod corespunzător.</w:t>
      </w:r>
    </w:p>
    <w:bookmarkStart w:id="15" w:name="paragraph00024"/>
    <w:p w:rsidR="00AF7618" w:rsidRPr="00AF7618" w:rsidRDefault="00AF7618" w:rsidP="00AF7618">
      <w:pPr>
        <w:pStyle w:val="JuPara"/>
      </w:pPr>
      <w:r w:rsidRPr="00AF7618">
        <w:fldChar w:fldCharType="begin"/>
      </w:r>
      <w:r w:rsidRPr="00AF7618">
        <w:instrText xml:space="preserve"> SEQ level0 \*arabic \* MERGEFORMAT </w:instrText>
      </w:r>
      <w:r w:rsidRPr="00AF7618">
        <w:fldChar w:fldCharType="separate"/>
      </w:r>
      <w:r w:rsidRPr="00AF7618">
        <w:t>24</w:t>
      </w:r>
      <w:r w:rsidRPr="00AF7618">
        <w:fldChar w:fldCharType="end"/>
      </w:r>
      <w:bookmarkEnd w:id="15"/>
      <w:r>
        <w:t>.</w:t>
      </w:r>
      <w:r w:rsidR="00C1135A">
        <w:t xml:space="preserve"> </w:t>
      </w:r>
      <w:r>
        <w:t>La 18 octombrie și 28 decembrie 2022, a Doua Curte de Casație de Drept Comun și, respectiv, Curtea Supremă a Federației Ruse au respins recursurile sale în casație, reținând că nu s-au constatat nereguli.</w:t>
      </w:r>
    </w:p>
    <w:p w:rsidR="00AF7618" w:rsidRPr="00AF7618" w:rsidRDefault="00AF7618" w:rsidP="00AF7618">
      <w:pPr>
        <w:pStyle w:val="JuHA"/>
      </w:pPr>
      <w:r>
        <w:t>Domnul Iasaveiev (cererea nr. 13850/23)</w:t>
      </w:r>
    </w:p>
    <w:bookmarkStart w:id="16" w:name="paragraph00025"/>
    <w:p w:rsidR="00AF7618" w:rsidRPr="00AF7618" w:rsidRDefault="00AF7618" w:rsidP="00AF7618">
      <w:pPr>
        <w:pStyle w:val="JuPara"/>
      </w:pPr>
      <w:r w:rsidRPr="00AF7618">
        <w:fldChar w:fldCharType="begin"/>
      </w:r>
      <w:r w:rsidRPr="00AF7618">
        <w:instrText xml:space="preserve"> SEQ level0 \*arabic \* MERGEFORMAT </w:instrText>
      </w:r>
      <w:r w:rsidRPr="00AF7618">
        <w:fldChar w:fldCharType="separate"/>
      </w:r>
      <w:r w:rsidRPr="00AF7618">
        <w:t>25</w:t>
      </w:r>
      <w:r w:rsidRPr="00AF7618">
        <w:fldChar w:fldCharType="end"/>
      </w:r>
      <w:bookmarkEnd w:id="16"/>
      <w:r>
        <w:t>.</w:t>
      </w:r>
      <w:r w:rsidR="00C1135A">
        <w:t xml:space="preserve"> </w:t>
      </w:r>
      <w:r>
        <w:t>În mai 2022, un videoclip în care protestatari din Varșovia au aruncat vopsea roșie asupra ambasadorul Rusiei în Polonia a fost distribuit pe rețelele de socializare. În Rusia s-a dispus începerea urmăririi penale sub acuzația de justificare publică a terorismului. La 8 august 2022, Serviciul Federal de Securitate l-a identificat pe domnul Iasaveiev, un jurnalist care fusese desemnat „agent străin”, ca persoană de interes care ar fi putut disemina videoclipul. Un anchetator a solicitat instanței mandat de percheziție domiciliară la apartamentul și reședința de vară a domnului Iasaveiev. La 11 august 2022, Judecătoria Sovetski din Kazan a emis mandatul. La 17 august 2022, poliția a percheziționat reședința de vară, domiciliul și autoturismul domnului Iasaveiev și a ridicat laptopurile, smartphone-urile și cardurile bancare ale acestuia.</w:t>
      </w:r>
    </w:p>
    <w:bookmarkStart w:id="17" w:name="paragraph00026"/>
    <w:p w:rsidR="00AF7618" w:rsidRPr="00AF7618" w:rsidRDefault="00AF7618" w:rsidP="00AF7618">
      <w:pPr>
        <w:pStyle w:val="JuPara"/>
      </w:pPr>
      <w:r w:rsidRPr="00AF7618">
        <w:fldChar w:fldCharType="begin"/>
      </w:r>
      <w:r w:rsidRPr="00AF7618">
        <w:instrText xml:space="preserve"> SEQ level0 \*arabic \* MERGEFORMAT </w:instrText>
      </w:r>
      <w:r w:rsidRPr="00AF7618">
        <w:fldChar w:fldCharType="separate"/>
      </w:r>
      <w:r w:rsidRPr="00AF7618">
        <w:t>26</w:t>
      </w:r>
      <w:r w:rsidRPr="00AF7618">
        <w:fldChar w:fldCharType="end"/>
      </w:r>
      <w:bookmarkEnd w:id="17"/>
      <w:r>
        <w:t>.</w:t>
      </w:r>
      <w:r w:rsidR="00C1135A">
        <w:t xml:space="preserve"> </w:t>
      </w:r>
      <w:r>
        <w:t xml:space="preserve">La 26 august 2022, domnul Iasaveiev a contestat mandatul de percheziție. La 17 octombrie 2022, Curtea Supremă a Republicii Tatarstan a respins </w:t>
      </w:r>
      <w:r w:rsidR="00273B5A">
        <w:t>recursul</w:t>
      </w:r>
      <w:r>
        <w:t xml:space="preserve"> acestuia.</w:t>
      </w:r>
    </w:p>
    <w:p w:rsidR="00AF7618" w:rsidRPr="00AF7618" w:rsidRDefault="008A2B2A" w:rsidP="00AF7618">
      <w:pPr>
        <w:pStyle w:val="JuPara"/>
      </w:pPr>
      <w:r>
        <w:fldChar w:fldCharType="begin"/>
      </w:r>
      <w:r>
        <w:instrText xml:space="preserve"> SEQ level0 \*arabic \* MERGEFORMAT </w:instrText>
      </w:r>
      <w:r>
        <w:fldChar w:fldCharType="separate"/>
      </w:r>
      <w:r w:rsidR="00AF7618" w:rsidRPr="00AF7618">
        <w:t>27</w:t>
      </w:r>
      <w:r>
        <w:fldChar w:fldCharType="end"/>
      </w:r>
      <w:r w:rsidR="00AF7618">
        <w:t>.</w:t>
      </w:r>
      <w:r w:rsidR="00C1135A">
        <w:t xml:space="preserve"> </w:t>
      </w:r>
      <w:r w:rsidR="00AF7618">
        <w:t>La 3 februarie 2023, obiectele ridicate au fost restituite domnului Iasaveiev.</w:t>
      </w:r>
    </w:p>
    <w:p w:rsidR="00AF7618" w:rsidRPr="00AF7618" w:rsidRDefault="00AF7618" w:rsidP="00AF7618">
      <w:pPr>
        <w:pStyle w:val="JuHHead"/>
      </w:pPr>
      <w:r>
        <w:t>DREPTUL ȘI PRACTICA RELEVANTE</w:t>
      </w:r>
    </w:p>
    <w:p w:rsidR="00AF7618" w:rsidRPr="00AF7618" w:rsidRDefault="00AF7618" w:rsidP="00AF7618">
      <w:pPr>
        <w:pStyle w:val="JuHIRoman"/>
      </w:pPr>
      <w:r>
        <w:t>DREPTUL INTERNAȚIONAL</w:t>
      </w:r>
    </w:p>
    <w:p w:rsidR="00AF7618" w:rsidRPr="00AF7618" w:rsidRDefault="008A2B2A" w:rsidP="00AF7618">
      <w:pPr>
        <w:pStyle w:val="JuPara"/>
      </w:pPr>
      <w:r>
        <w:fldChar w:fldCharType="begin"/>
      </w:r>
      <w:r>
        <w:instrText xml:space="preserve"> SEQ level0 \*arabic \* MERGEFORMAT </w:instrText>
      </w:r>
      <w:r>
        <w:fldChar w:fldCharType="separate"/>
      </w:r>
      <w:r w:rsidR="00AF7618" w:rsidRPr="00AF7618">
        <w:t>28</w:t>
      </w:r>
      <w:r>
        <w:fldChar w:fldCharType="end"/>
      </w:r>
      <w:r w:rsidR="00AF7618">
        <w:t>.</w:t>
      </w:r>
      <w:r w:rsidR="00C1135A">
        <w:t xml:space="preserve"> </w:t>
      </w:r>
      <w:r w:rsidR="00AF7618">
        <w:t xml:space="preserve">În </w:t>
      </w:r>
      <w:r w:rsidR="00C72ECB">
        <w:t>h</w:t>
      </w:r>
      <w:r w:rsidR="00AF7618">
        <w:t xml:space="preserve">otărârea </w:t>
      </w:r>
      <w:r w:rsidR="00AF7618">
        <w:rPr>
          <w:i/>
          <w:iCs/>
        </w:rPr>
        <w:t>Ivcher-Bronstein împotriva Perului</w:t>
      </w:r>
      <w:r w:rsidR="00AF7618">
        <w:t xml:space="preserve"> (competență) din 24 septembrie 1999, Curtea Interamericană a Drepturilor Omului a examinat validitatea retragerii de către guvernul peruan a declarației sale de recunoaștere a jurisdicției contencioase a acestei instanțe:</w:t>
      </w:r>
    </w:p>
    <w:p w:rsidR="00AF7618" w:rsidRPr="00AF7618" w:rsidRDefault="00AF7618" w:rsidP="00AF7618">
      <w:pPr>
        <w:pStyle w:val="JuQuot"/>
      </w:pPr>
      <w:r>
        <w:t>„32. Curtea trebuie să soluționeze problema pretinsei retrageri de către Peru a declarației sale de recunoaștere a jurisdicției contencioase a Curții și a efectelor juridice ale acesteia. Curtea Interamericană, ca și oricare instanță, are autoritatea inerentă de a stabili întinderea propriei competențe (</w:t>
      </w:r>
      <w:r>
        <w:rPr>
          <w:i/>
        </w:rPr>
        <w:t>compétence de la compétence/Kompetenz-Kompetenz</w:t>
      </w:r>
      <w:r>
        <w:t>).</w:t>
      </w:r>
    </w:p>
    <w:p w:rsidR="00AF7618" w:rsidRPr="00AF7618" w:rsidRDefault="00AF7618" w:rsidP="00AF7618">
      <w:pPr>
        <w:pStyle w:val="JuQuot"/>
      </w:pPr>
      <w:r>
        <w:lastRenderedPageBreak/>
        <w:t>[...]</w:t>
      </w:r>
    </w:p>
    <w:p w:rsidR="00AF7618" w:rsidRPr="00AF7618" w:rsidRDefault="00AF7618" w:rsidP="00AF7618">
      <w:pPr>
        <w:pStyle w:val="JuQuot"/>
      </w:pPr>
      <w:r>
        <w:t xml:space="preserve">34. Jurisdicția Curții nu poate fi condiționată de evenimente străine de propriile sale acțiuni. Instrumentele care consimt la clauza facultativă privind recunoașterea competenței obligatorii a Curții (articolul 62 paragraful 1 din Convenție) presupun ca statele care le-au prezentat să accepte dreptul Curții de a soluționa orice controversă referitoare la jurisdicția sa. O obiecție sau orice altă acțiune întreprinsă de stat cu scopul de a afecta într-un fel jurisdicția Curții nu are nicio consecință întrucât Curtea își menține </w:t>
      </w:r>
      <w:r>
        <w:rPr>
          <w:i/>
        </w:rPr>
        <w:t>compétence de la compétence</w:t>
      </w:r>
      <w:r>
        <w:t>, aceasta putând decide asupra propriei competențe după cum crede de cuviință.</w:t>
      </w:r>
    </w:p>
    <w:p w:rsidR="00AF7618" w:rsidRPr="00AF7618" w:rsidRDefault="00AF7618" w:rsidP="00AF7618">
      <w:pPr>
        <w:pStyle w:val="JuQuot"/>
      </w:pPr>
      <w:r>
        <w:t>[...]</w:t>
      </w:r>
    </w:p>
    <w:p w:rsidR="00AF7618" w:rsidRPr="00AF7618" w:rsidRDefault="00AF7618" w:rsidP="00AF7618">
      <w:pPr>
        <w:pStyle w:val="JuQuot"/>
      </w:pPr>
      <w:r>
        <w:t>36. Acceptarea jurisdicției obligatorii a Curții este o clauză strictă pentru care nu pot exista limitări, cu excepția celor prevăzute expres de articolul 62 paragraful 1 din Convenția americană. Întrucât clauza este atât de fundamentală pentru funcționarea sistemului de protecție al Convenției, aceasta nu poate fi la mila limitărilor care nu au fost stipulate deja, ci invocate de statele părți pentru motive interne.</w:t>
      </w:r>
    </w:p>
    <w:p w:rsidR="00AF7618" w:rsidRPr="00AF7618" w:rsidRDefault="00AF7618" w:rsidP="00AF7618">
      <w:pPr>
        <w:pStyle w:val="JuQuot"/>
      </w:pPr>
      <w:r>
        <w:t>37. Statele părți la Convenție trebuie să garanteze respectarea dispozițiilor sale și a efectelor acesteia (</w:t>
      </w:r>
      <w:r>
        <w:rPr>
          <w:i/>
        </w:rPr>
        <w:t>effet utile</w:t>
      </w:r>
      <w:r>
        <w:t>) în cadrul propriilor legi interne. Acest principiu se aplică nu numai normelor materiale ale tratatelor privind drepturile omului (cu alte cuvinte, clauzelor privind drepturile protejate), ci și normelor procedurale, precum cea referitoare la recunoașterea competenței de contencios a Tribunalului.</w:t>
      </w:r>
    </w:p>
    <w:p w:rsidR="00AF7618" w:rsidRPr="00AF7618" w:rsidRDefault="00AF7618" w:rsidP="00AF7618">
      <w:pPr>
        <w:pStyle w:val="JuQuot"/>
      </w:pPr>
      <w:r>
        <w:t>[...]</w:t>
      </w:r>
    </w:p>
    <w:p w:rsidR="00AF7618" w:rsidRPr="00AF7618" w:rsidRDefault="00AF7618" w:rsidP="00AF7618">
      <w:pPr>
        <w:pStyle w:val="JuQuot"/>
      </w:pPr>
      <w:r>
        <w:t>46. Clauza facultativă de recunoaștere a competenței de contencios a Curții Interamericane are o importanță deosebită pentru funcționarea sistemului de protecție încorporat în Convenția americană. Atunci când un stat își exprimă consimțământul pentru această clauză, acesta se obligă la întreaga convenție și se angajează pe deplin să garanteze protecția internațională a drepturilor omului pe care convenția le încorporează. Un stat parte nu poate ieși din competența Curții decât prin renunțarea la tratat în ansamblu [...] Instrumentul prin care recunoaște jurisdicția Curții trebuie să fie evaluat, prin urmare, în funcție de obiectul și scopul convenției ca tratat privind drepturile omului.</w:t>
      </w:r>
    </w:p>
    <w:p w:rsidR="00AF7618" w:rsidRPr="00AF7618" w:rsidRDefault="00AF7618" w:rsidP="00AF7618">
      <w:pPr>
        <w:pStyle w:val="JuQuot"/>
      </w:pPr>
      <w:r>
        <w:t>[...]</w:t>
      </w:r>
    </w:p>
    <w:p w:rsidR="00AF7618" w:rsidRPr="00AF7618" w:rsidRDefault="00AF7618" w:rsidP="00AF7618">
      <w:pPr>
        <w:pStyle w:val="JuQuot"/>
      </w:pPr>
      <w:r>
        <w:t>50. Un stat care a recunoscut jurisdicția obligatorie a Curții Interamericane în conformitate cu articolul 62 paragraful 1 din convenție este, din acel moment, legat de convenție în ansamblu [...]</w:t>
      </w:r>
    </w:p>
    <w:p w:rsidR="00AF7618" w:rsidRPr="00AF7618" w:rsidRDefault="00AF7618" w:rsidP="00AF7618">
      <w:pPr>
        <w:pStyle w:val="JuQuot"/>
      </w:pPr>
      <w:r>
        <w:t>[...]</w:t>
      </w:r>
    </w:p>
    <w:p w:rsidR="00AF7618" w:rsidRPr="00AF7618" w:rsidRDefault="00AF7618" w:rsidP="00AF7618">
      <w:pPr>
        <w:pStyle w:val="JuQuot"/>
      </w:pPr>
      <w:r>
        <w:t>54. Pentru motivele de mai sus, Curtea consideră inadmisibilă pretinsa retragere de către Peru a declarației de recunoaștere a jurisdicției contencioase a Curții cu intrare în vigoare de îndată, precum și orice consecințe pe care respectiva retragere era menită să le aibă.”</w:t>
      </w:r>
    </w:p>
    <w:bookmarkStart w:id="18" w:name="paragraph00029"/>
    <w:p w:rsidR="00AF7618" w:rsidRPr="00AF7618" w:rsidRDefault="00AF7618" w:rsidP="00AF7618">
      <w:pPr>
        <w:pStyle w:val="JuPara"/>
      </w:pPr>
      <w:r w:rsidRPr="00AF7618">
        <w:fldChar w:fldCharType="begin"/>
      </w:r>
      <w:r w:rsidRPr="00AF7618">
        <w:instrText xml:space="preserve"> SEQ level0 \*arabic \* MERGEFORMAT </w:instrText>
      </w:r>
      <w:r w:rsidRPr="00AF7618">
        <w:fldChar w:fldCharType="separate"/>
      </w:r>
      <w:r w:rsidRPr="00AF7618">
        <w:t>29</w:t>
      </w:r>
      <w:r w:rsidRPr="00AF7618">
        <w:fldChar w:fldCharType="end"/>
      </w:r>
      <w:bookmarkEnd w:id="18"/>
      <w:r>
        <w:t>.</w:t>
      </w:r>
      <w:r w:rsidR="00C1135A">
        <w:t xml:space="preserve"> </w:t>
      </w:r>
      <w:r>
        <w:t>Avizul consultativ OC-26/20 din 9 noiembrie 2020 al Curții Interamericane a Drepturilor Omului privind denunțarea Convenției americane a drepturilor omului și a Cartei Organizației Statelor Americane și consecințele obligațiilor statului în materie de drepturi ale omului conține următoarele pasaje relevante:</w:t>
      </w:r>
    </w:p>
    <w:p w:rsidR="00AF7618" w:rsidRPr="00AF7618" w:rsidRDefault="00AF7618" w:rsidP="00AF7618">
      <w:pPr>
        <w:pStyle w:val="JuPara"/>
        <w:spacing w:before="240" w:after="120"/>
        <w:ind w:left="426" w:firstLine="141"/>
        <w:rPr>
          <w:sz w:val="20"/>
          <w:szCs w:val="20"/>
        </w:rPr>
      </w:pPr>
      <w:r>
        <w:rPr>
          <w:sz w:val="20"/>
        </w:rPr>
        <w:lastRenderedPageBreak/>
        <w:t>„77. În consecință, organele de protecție ale sistemului interamerican sunt autorizate să continue procesarea cererilor și a cauzelor de contencios legate de pretinse încălcări ale Convenției americane și pentru fapte internaționale ilicite comise înainte de data la care denunțarea produce efecte. Astfel, Comisia [Interamericană] și Curtea Interamericană pot să examineze, în cadrul sistemului de cereri individuale și proceduri contencioase, un fapt internațional ilicit comis de un stat care a denunțat convenția, chiar și după ce denunțarea produce efecte, (i) pentru orice fapte sau omisiuni înainte de și până la data la care denunțarea produce efecte; (ii) pentru fapte cu caracter continuu care au început înainte de data la care denunțarea intră în vigoare, ca de exemplu în cazul dispariției forțate a persoanelor, sau (iii) pentru efectele «continue sau evidente» ale faptelor anterioare datei la care denunțarea produce efecte.”</w:t>
      </w:r>
    </w:p>
    <w:p w:rsidR="00AF7618" w:rsidRPr="00AF7618" w:rsidRDefault="00AF7618" w:rsidP="00AF7618">
      <w:pPr>
        <w:pStyle w:val="JuHIRoman"/>
      </w:pPr>
      <w:r>
        <w:t>DREPTUL INTERN</w:t>
      </w:r>
    </w:p>
    <w:bookmarkStart w:id="19" w:name="paragraph00030"/>
    <w:p w:rsidR="00AF7618" w:rsidRPr="00AF7618" w:rsidRDefault="00AF7618" w:rsidP="00AF7618">
      <w:pPr>
        <w:pStyle w:val="JuPara"/>
      </w:pPr>
      <w:r w:rsidRPr="00AF7618">
        <w:fldChar w:fldCharType="begin"/>
      </w:r>
      <w:r w:rsidRPr="00AF7618">
        <w:instrText xml:space="preserve"> SEQ level0 \*arabic \* MERGEFORMAT </w:instrText>
      </w:r>
      <w:r w:rsidRPr="00AF7618">
        <w:fldChar w:fldCharType="separate"/>
      </w:r>
      <w:r w:rsidRPr="00AF7618">
        <w:t>30</w:t>
      </w:r>
      <w:r w:rsidRPr="00AF7618">
        <w:fldChar w:fldCharType="end"/>
      </w:r>
      <w:bookmarkEnd w:id="19"/>
      <w:r>
        <w:t>.</w:t>
      </w:r>
      <w:r w:rsidR="00C1135A">
        <w:t xml:space="preserve"> </w:t>
      </w:r>
      <w:r>
        <w:t>Legea federală nr. 43-FZ din 28 februarie 2023 a Rusiei</w:t>
      </w:r>
      <w:r w:rsidR="00150B56">
        <w:t>,</w:t>
      </w:r>
      <w:r>
        <w:t xml:space="preserve"> „Cu privire la încetarea aplicării în privința Federației Ruse a tratatelor internaționale ale Consiliului Europei”, prevede că se consideră că această Convenție a încetat să se aplice Federației Ruse începând cu data de 16 martie 2022.</w:t>
      </w:r>
    </w:p>
    <w:p w:rsidR="00AF7618" w:rsidRPr="00AF7618" w:rsidRDefault="00AF7618" w:rsidP="00AF7618">
      <w:pPr>
        <w:pStyle w:val="JuHHead"/>
      </w:pPr>
      <w:r>
        <w:t>CAPETE DE CERERE</w:t>
      </w:r>
    </w:p>
    <w:bookmarkStart w:id="20" w:name="paragraph00031"/>
    <w:p w:rsidR="00AF7618" w:rsidRPr="00AF7618" w:rsidRDefault="00AF7618" w:rsidP="00AF7618">
      <w:pPr>
        <w:pStyle w:val="JuPara"/>
      </w:pPr>
      <w:r w:rsidRPr="00AF7618">
        <w:fldChar w:fldCharType="begin"/>
      </w:r>
      <w:r w:rsidRPr="00AF7618">
        <w:instrText xml:space="preserve"> SEQ level0 \*arabic \* MERGEFORMAT </w:instrText>
      </w:r>
      <w:r w:rsidRPr="00AF7618">
        <w:fldChar w:fldCharType="separate"/>
      </w:r>
      <w:r w:rsidRPr="00AF7618">
        <w:t>31</w:t>
      </w:r>
      <w:r w:rsidRPr="00AF7618">
        <w:fldChar w:fldCharType="end"/>
      </w:r>
      <w:bookmarkEnd w:id="20"/>
      <w:r>
        <w:t>.</w:t>
      </w:r>
      <w:r w:rsidR="00C1135A">
        <w:t xml:space="preserve"> </w:t>
      </w:r>
      <w:r>
        <w:t>Doamna Pivkina a invocat mai multe încălcări ale Convenției. În primul rând, a susținut că detenția sa în timpul protestelor a constituit o încălcare a dreptului său la libertatea de întrunire pașnică prevăzut de art. 11. În al doilea rând, s-a plâns, în temeiul art. 5 § 1, că detenția și escortarea sa la secția de poliție au fost inutile și ilegale și au depășit, de asemenea, termenul de 3 ore. În al treilea rând, a invocat o încălcare a art. 6 cauzată de parțialitatea instanțelor, făcând trimitere la absența unui procuror în cursul procedurii și la refuzul instanțelor de a obține probe testimoniale de la polițiștii care au arestat-o. În ultimul rând, a invocat o încălcare a art. 2 din Protocolul nr. 7, susținând că pedeapsa privativă de libertate a fost executată imediat, cu încălcarea dreptului său de a declara apel.</w:t>
      </w:r>
    </w:p>
    <w:p w:rsidR="00AF7618" w:rsidRPr="00AF7618" w:rsidRDefault="008A2B2A" w:rsidP="00AF7618">
      <w:pPr>
        <w:pStyle w:val="JuPara"/>
      </w:pPr>
      <w:r>
        <w:fldChar w:fldCharType="begin"/>
      </w:r>
      <w:r>
        <w:instrText xml:space="preserve"> SEQ level0 \*arabic \* MERGEFORMAT </w:instrText>
      </w:r>
      <w:r>
        <w:fldChar w:fldCharType="separate"/>
      </w:r>
      <w:r w:rsidR="00AF7618" w:rsidRPr="00AF7618">
        <w:t>32</w:t>
      </w:r>
      <w:r>
        <w:fldChar w:fldCharType="end"/>
      </w:r>
      <w:r w:rsidR="00AF7618">
        <w:t>.</w:t>
      </w:r>
      <w:r w:rsidR="00C1135A">
        <w:t xml:space="preserve"> </w:t>
      </w:r>
      <w:r w:rsidR="00AF7618">
        <w:t>Domnul Korolev a susținut că arestarea sa preventivă a încălcat art. 5 § 3 din Convenție și a încălcat dreptul său la libertatea de exprimare, prevăzut de art. 10. A susținut, de asemenea, că plasarea sa într-o cabină de sticlă nespațioasă în timpul audierilor referitoare la detenție i-a încălcat drepturile prevăzute de art. 3 din Convenție.</w:t>
      </w:r>
    </w:p>
    <w:p w:rsidR="00AF7618" w:rsidRPr="00AF7618" w:rsidRDefault="008A2B2A" w:rsidP="00AF7618">
      <w:pPr>
        <w:pStyle w:val="JuPara"/>
      </w:pPr>
      <w:r>
        <w:fldChar w:fldCharType="begin"/>
      </w:r>
      <w:r>
        <w:instrText xml:space="preserve"> SEQ</w:instrText>
      </w:r>
      <w:r>
        <w:instrText xml:space="preserve"> level0 \*arabic \* MERGEFORMAT </w:instrText>
      </w:r>
      <w:r>
        <w:fldChar w:fldCharType="separate"/>
      </w:r>
      <w:r w:rsidR="00AF7618" w:rsidRPr="00AF7618">
        <w:t>33</w:t>
      </w:r>
      <w:r>
        <w:fldChar w:fldCharType="end"/>
      </w:r>
      <w:r w:rsidR="00AF7618">
        <w:t>.</w:t>
      </w:r>
      <w:r w:rsidR="00C1135A">
        <w:t xml:space="preserve"> </w:t>
      </w:r>
      <w:r w:rsidR="00AF7618">
        <w:t>Domnul Kazusev a invocat o încălcare a art. 6 și 13 din Convenție, susținând că i s-a refuzat accesul la o instanță și că nu a avut la dispoziție nicio cale de atac internă efectivă pentru a contesta refuzarea accesului.</w:t>
      </w:r>
    </w:p>
    <w:p w:rsidR="00AF7618" w:rsidRPr="00AF7618" w:rsidRDefault="008A2B2A" w:rsidP="00AF7618">
      <w:pPr>
        <w:pStyle w:val="JuPara"/>
      </w:pPr>
      <w:r>
        <w:fldChar w:fldCharType="begin"/>
      </w:r>
      <w:r>
        <w:instrText xml:space="preserve"> SEQ level0 \*arabic \* MERGEFORMAT </w:instrText>
      </w:r>
      <w:r>
        <w:fldChar w:fldCharType="separate"/>
      </w:r>
      <w:r w:rsidR="00AF7618" w:rsidRPr="00AF7618">
        <w:t>34</w:t>
      </w:r>
      <w:r>
        <w:fldChar w:fldCharType="end"/>
      </w:r>
      <w:r w:rsidR="00AF7618">
        <w:t>.</w:t>
      </w:r>
      <w:r w:rsidR="00C1135A">
        <w:t xml:space="preserve"> </w:t>
      </w:r>
      <w:r w:rsidR="00AF7618">
        <w:t>Doamna Iudina-Kliugvant a invocat încălcări ale art. 10 și 18 din Convenție, respectiv o ingerință în dreptul său la libertatea de exprimare și persecuții motivate politic.</w:t>
      </w:r>
    </w:p>
    <w:p w:rsidR="00AF7618" w:rsidRPr="00AF7618" w:rsidRDefault="008A2B2A" w:rsidP="00AF7618">
      <w:pPr>
        <w:pStyle w:val="JuPara"/>
      </w:pPr>
      <w:r>
        <w:fldChar w:fldCharType="begin"/>
      </w:r>
      <w:r>
        <w:instrText xml:space="preserve"> SEQ level0 \*arabic \* MERGEFORMAT </w:instrText>
      </w:r>
      <w:r>
        <w:fldChar w:fldCharType="separate"/>
      </w:r>
      <w:r w:rsidR="00AF7618" w:rsidRPr="00AF7618">
        <w:t>35</w:t>
      </w:r>
      <w:r>
        <w:fldChar w:fldCharType="end"/>
      </w:r>
      <w:r w:rsidR="00AF7618">
        <w:t>.</w:t>
      </w:r>
      <w:r w:rsidR="00C1135A">
        <w:t xml:space="preserve"> </w:t>
      </w:r>
      <w:r w:rsidR="00AF7618">
        <w:t xml:space="preserve">Doamna Viktorova a invocat o încălcare a art. 3, 10 și 11 din Convenție, susținând că a fost supusă unor rele tratamente de către poliție înainte de dispersarea participanților la protestul din 21 aprilie 2021. A </w:t>
      </w:r>
      <w:r w:rsidR="00AF7618">
        <w:lastRenderedPageBreak/>
        <w:t>susținut că acest lucru a privat-o de drepturile sale la libertatea de exprimare și libertatea de întrunire pașnică și că nu s-a desfășurat nicio anchetă efectivă în urma relelor tratamente.</w:t>
      </w:r>
    </w:p>
    <w:p w:rsidR="00AF7618" w:rsidRPr="00AF7618" w:rsidRDefault="008A2B2A" w:rsidP="00AF7618">
      <w:pPr>
        <w:pStyle w:val="JuPara"/>
      </w:pPr>
      <w:r>
        <w:fldChar w:fldCharType="begin"/>
      </w:r>
      <w:r>
        <w:instrText xml:space="preserve"> SEQ level0 \*arabic \* MERGEFORMAT </w:instrText>
      </w:r>
      <w:r>
        <w:fldChar w:fldCharType="separate"/>
      </w:r>
      <w:r w:rsidR="00AF7618" w:rsidRPr="00AF7618">
        <w:t>36</w:t>
      </w:r>
      <w:r>
        <w:fldChar w:fldCharType="end"/>
      </w:r>
      <w:r w:rsidR="00AF7618">
        <w:t>.</w:t>
      </w:r>
      <w:r w:rsidR="00C1135A">
        <w:t xml:space="preserve"> </w:t>
      </w:r>
      <w:r w:rsidR="00AF7618">
        <w:t>Domnul Navalnîi a invocat încălcări ale art. 6, 7 și 18 din Convenție, susținând că procedura penală împotriva sa a fost inechitabilă și motivată politic. În primul rând, a susținut că desfășurarea procesului într-un penitenciar i-a împiedicat pe avocații săi să utilizeze dispozitive electronice și le-a subminat capacitatea de a pregăti apărarea sa. În al doilea rând, a susținut că instanțele au contopit în mod eronat pedepsele care i-au fost aplicate anterior în alte două cauze penale cu pedeapsa aplicată în actuala cauză.</w:t>
      </w:r>
    </w:p>
    <w:p w:rsidR="00AF7618" w:rsidRPr="00AF7618" w:rsidRDefault="008A2B2A" w:rsidP="00AF7618">
      <w:pPr>
        <w:pStyle w:val="JuPara"/>
      </w:pPr>
      <w:r>
        <w:fldChar w:fldCharType="begin"/>
      </w:r>
      <w:r>
        <w:instrText xml:space="preserve"> SEQ level0 \*arabic \* MERGEFORMAT </w:instrText>
      </w:r>
      <w:r>
        <w:fldChar w:fldCharType="separate"/>
      </w:r>
      <w:r w:rsidR="00AF7618" w:rsidRPr="00AF7618">
        <w:t>37</w:t>
      </w:r>
      <w:r>
        <w:fldChar w:fldCharType="end"/>
      </w:r>
      <w:r w:rsidR="00AF7618">
        <w:t>.</w:t>
      </w:r>
      <w:r w:rsidR="00C1135A">
        <w:t xml:space="preserve"> </w:t>
      </w:r>
      <w:r w:rsidR="00AF7618">
        <w:t>Domnul Iasaveiev a invocat o încălcare a art. 8 din Convenție, considerat separat și coroborat cu art. 13, precum și art. 10, susținând că percheziția efectuată la domiciliul său și reședința sa de vară a fost ilegală și nejustificată, precum și că ridicarea laptop-urilor și a smartphone-urilor sale a afectat activitățile sale jurnalistice.</w:t>
      </w:r>
    </w:p>
    <w:p w:rsidR="00AF7618" w:rsidRPr="00AF7618" w:rsidRDefault="00AF7618" w:rsidP="00AF7618">
      <w:pPr>
        <w:pStyle w:val="JuHHead"/>
        <w:ind w:left="360" w:hanging="360"/>
      </w:pPr>
      <w:r>
        <w:t>ÎN DREPT</w:t>
      </w:r>
    </w:p>
    <w:p w:rsidR="00AF7618" w:rsidRPr="00AF7618" w:rsidRDefault="00AF7618" w:rsidP="00AF7618">
      <w:pPr>
        <w:pStyle w:val="JuHIRoman"/>
      </w:pPr>
      <w:r>
        <w:t>COMPETENȚA CURȚII ÎN CAUZE ÎNDREPTATE ÎMPOTRIVA FEDERAȚIEI RUSE – CONSIDERAȚII GENERALE</w:t>
      </w:r>
    </w:p>
    <w:p w:rsidR="00AF7618" w:rsidRPr="00AF7618" w:rsidRDefault="008A2B2A" w:rsidP="00AF7618">
      <w:pPr>
        <w:pStyle w:val="JuPara"/>
      </w:pPr>
      <w:r>
        <w:fldChar w:fldCharType="begin"/>
      </w:r>
      <w:r>
        <w:instrText xml:space="preserve"> SEQ level0 \*arabic \* MERGEFORMAT </w:instrText>
      </w:r>
      <w:r>
        <w:fldChar w:fldCharType="separate"/>
      </w:r>
      <w:r w:rsidR="00AF7618" w:rsidRPr="00AF7618">
        <w:t>38</w:t>
      </w:r>
      <w:r>
        <w:fldChar w:fldCharType="end"/>
      </w:r>
      <w:r w:rsidR="00AF7618">
        <w:t>.</w:t>
      </w:r>
      <w:r w:rsidR="00C1135A">
        <w:t xml:space="preserve"> </w:t>
      </w:r>
      <w:r w:rsidR="00AF7618">
        <w:t>Curtea observă că Federația Rusă a încetat să mai fie stat membru al Consiliului Europei la 16 martie 2022 și că totodată a încetat să mai fie parte la Convenție la 16 septembrie 2022 („data încetării”). Constată, de asemenea, că cel puțin unele fapte din cererile sus-menționate au avut loc după data încetării.</w:t>
      </w:r>
    </w:p>
    <w:p w:rsidR="00AF7618" w:rsidRPr="00AF7618" w:rsidRDefault="008A2B2A" w:rsidP="00AF7618">
      <w:pPr>
        <w:pStyle w:val="JuPara"/>
      </w:pPr>
      <w:r>
        <w:fldChar w:fldCharType="begin"/>
      </w:r>
      <w:r>
        <w:instrText xml:space="preserve"> SEQ level0 \*arabic \* MERGEFORMAT </w:instrText>
      </w:r>
      <w:r>
        <w:fldChar w:fldCharType="separate"/>
      </w:r>
      <w:r w:rsidR="00AF7618" w:rsidRPr="00AF7618">
        <w:t>39</w:t>
      </w:r>
      <w:r>
        <w:fldChar w:fldCharType="end"/>
      </w:r>
      <w:r w:rsidR="00AF7618">
        <w:t>.</w:t>
      </w:r>
      <w:r w:rsidR="00C1135A">
        <w:t xml:space="preserve"> </w:t>
      </w:r>
      <w:r w:rsidR="00AF7618">
        <w:t xml:space="preserve">În aceste condiții, Curtea trebuie să se pronunțe dacă este competentă să soluționeze prezentele cereri. Întrucât întinderea competenței Curții este determinată de Convenție însăși, în special de art. 32, mai degrabă decât de argumentele părților într-o anumită cauză, Curtea trebuie să se asigure că este competentă în orice cauză cu care este sesizată și să examineze din oficiu, dacă este cazul, problema competenței sale în fiecare etapă a procedurii [a se vedea </w:t>
      </w:r>
      <w:r w:rsidR="00AF7618">
        <w:rPr>
          <w:i/>
          <w:iCs/>
        </w:rPr>
        <w:t>Blečić împotriva Croației</w:t>
      </w:r>
      <w:r w:rsidR="00AF7618">
        <w:t xml:space="preserve"> (MC), nr. 59532/00, pct. 67, CEDO 2006-III, și </w:t>
      </w:r>
      <w:r w:rsidR="00AF7618">
        <w:rPr>
          <w:i/>
          <w:iCs/>
        </w:rPr>
        <w:t>Mocanu și alții împotriva României</w:t>
      </w:r>
      <w:r w:rsidR="00AF7618">
        <w:t xml:space="preserve"> (MC), nr. 10865/09 și alte 2, pct. 201, CEDO 2014 (extrase)].</w:t>
      </w:r>
    </w:p>
    <w:p w:rsidR="00AF7618" w:rsidRPr="00AF7618" w:rsidRDefault="008A2B2A" w:rsidP="00AF7618">
      <w:pPr>
        <w:pStyle w:val="JuPara"/>
      </w:pPr>
      <w:r>
        <w:fldChar w:fldCharType="begin"/>
      </w:r>
      <w:r>
        <w:instrText xml:space="preserve"> SEQ level0 \*arabic \* MERGEFORMAT </w:instrText>
      </w:r>
      <w:r>
        <w:fldChar w:fldCharType="separate"/>
      </w:r>
      <w:r w:rsidR="00AF7618" w:rsidRPr="00AF7618">
        <w:t>40</w:t>
      </w:r>
      <w:r>
        <w:fldChar w:fldCharType="end"/>
      </w:r>
      <w:r w:rsidR="00AF7618">
        <w:t>.</w:t>
      </w:r>
      <w:r w:rsidR="00C1135A">
        <w:t xml:space="preserve"> </w:t>
      </w:r>
      <w:r w:rsidR="00AF7618">
        <w:t>Art. 58 din Convenție prevede:</w:t>
      </w:r>
    </w:p>
    <w:p w:rsidR="00AF7618" w:rsidRPr="00AF7618" w:rsidRDefault="00AF7618" w:rsidP="00AF7618">
      <w:pPr>
        <w:pStyle w:val="JuQuot"/>
        <w:rPr>
          <w:color w:val="000000"/>
        </w:rPr>
      </w:pPr>
      <w:r>
        <w:rPr>
          <w:color w:val="000000"/>
        </w:rPr>
        <w:t>„1. O înaltă parte contractantă nu poate denunța prezenta convenție decât după expirarea unui termen de 5 ani începând cu data intrării în vigoare a convenției în ceea ce o privește și prin intermediul unui preaviz de 6 luni, dat printr-o notificare adresată secretarului general al Consiliului Europei, care informează despre aceasta celelalte părți contractante.</w:t>
      </w:r>
    </w:p>
    <w:p w:rsidR="00AF7618" w:rsidRPr="00AF7618" w:rsidRDefault="00AF7618" w:rsidP="00AF7618">
      <w:pPr>
        <w:pStyle w:val="JuQuot"/>
        <w:rPr>
          <w:color w:val="000000"/>
        </w:rPr>
      </w:pPr>
      <w:r>
        <w:rPr>
          <w:color w:val="000000"/>
        </w:rPr>
        <w:t xml:space="preserve">2. Această denunțare nu poate avea drept efect să dezlege înalta parte contractantă interesată de obligațiile conținute în prezenta convenție în ceea ce privește orice fapt </w:t>
      </w:r>
      <w:r>
        <w:rPr>
          <w:color w:val="000000"/>
        </w:rPr>
        <w:lastRenderedPageBreak/>
        <w:t>care, putând constitui o încălcare a acestor obligații, ar fi fost comis de ea anterior datei la care denunțarea își produce efectele.</w:t>
      </w:r>
    </w:p>
    <w:p w:rsidR="00AF7618" w:rsidRPr="00AF7618" w:rsidRDefault="00AF7618" w:rsidP="00AF7618">
      <w:pPr>
        <w:pStyle w:val="JuQuot"/>
        <w:rPr>
          <w:color w:val="000000"/>
        </w:rPr>
      </w:pPr>
      <w:r>
        <w:rPr>
          <w:color w:val="000000"/>
        </w:rPr>
        <w:t>3. Sub aceeași rezervă ar înceta de a mai fi parte la prezenta convenție orice parte contractantă care ar înceta de a mai fi membru al Consiliului Europei [...]”</w:t>
      </w:r>
    </w:p>
    <w:bookmarkStart w:id="21" w:name="paragraph00041"/>
    <w:p w:rsidR="00AF7618" w:rsidRPr="00AF7618" w:rsidRDefault="00AF7618" w:rsidP="00AF7618">
      <w:pPr>
        <w:pStyle w:val="JuPara"/>
      </w:pPr>
      <w:r w:rsidRPr="00AF7618">
        <w:fldChar w:fldCharType="begin"/>
      </w:r>
      <w:r w:rsidRPr="00AF7618">
        <w:instrText xml:space="preserve"> SEQ level0 \*arabic \* MERGEFORMAT </w:instrText>
      </w:r>
      <w:r w:rsidRPr="00AF7618">
        <w:fldChar w:fldCharType="separate"/>
      </w:r>
      <w:r w:rsidRPr="00AF7618">
        <w:t>41</w:t>
      </w:r>
      <w:r w:rsidRPr="00AF7618">
        <w:fldChar w:fldCharType="end"/>
      </w:r>
      <w:bookmarkEnd w:id="21"/>
      <w:r>
        <w:t>.</w:t>
      </w:r>
      <w:r w:rsidR="00C1135A">
        <w:t xml:space="preserve"> </w:t>
      </w:r>
      <w:r>
        <w:t xml:space="preserve">Curtea a statuat că textul art. 58, în special al doilea și al treilea paragraf, precizează că un stat care încetează să mai fie parte la Convenție din cauza încetării calității sale de membru al Consiliului Europei nu este dezlegat de obligațiile care îi revin în temeiul Convenției cu privire la orice fapt comis de acest stat înainte de data la care încetează să mai fie parte la Convenție [a se vedea </w:t>
      </w:r>
      <w:r>
        <w:rPr>
          <w:i/>
          <w:iCs/>
        </w:rPr>
        <w:t>Fedotova și alții împotriva Rusiei</w:t>
      </w:r>
      <w:r>
        <w:t xml:space="preserve"> (MC), nr. 40792/10 și alte 2, pct. 71, 17 ianuarie 2023].</w:t>
      </w:r>
    </w:p>
    <w:p w:rsidR="00AF7618" w:rsidRPr="00AF7618" w:rsidRDefault="008A2B2A" w:rsidP="00AF7618">
      <w:pPr>
        <w:pStyle w:val="JuPara"/>
      </w:pPr>
      <w:r>
        <w:fldChar w:fldCharType="begin"/>
      </w:r>
      <w:r>
        <w:instrText xml:space="preserve"> SEQ level0 \*arabic \* MERGEFORMAT </w:instrText>
      </w:r>
      <w:r>
        <w:fldChar w:fldCharType="separate"/>
      </w:r>
      <w:r w:rsidR="00AF7618" w:rsidRPr="00AF7618">
        <w:t>42</w:t>
      </w:r>
      <w:r>
        <w:fldChar w:fldCharType="end"/>
      </w:r>
      <w:r w:rsidR="00AF7618">
        <w:t>.</w:t>
      </w:r>
      <w:r w:rsidR="00C1135A">
        <w:t xml:space="preserve"> </w:t>
      </w:r>
      <w:r w:rsidR="00AF7618">
        <w:t>Această interpretare a art. 58 din Convenție a fost confirmată de Curte, în plen, în „Rezoluția Curții Europene a Drepturilor Omului privind consecințele încetării calității Federației Ruse de stat membru al Consiliului Europei în lumina art. 58 din Convenția europeană a drepturilor omului”, adoptată la 22 martie 2022. Curtea a declarat că „rămâne competentă să examineze cererile îndreptate împotriva Federației Ruse în legătură cu fapte sau omisiuni care pot constitui o încălcare a Convenției, cu condiția ca acestea să fi avut loc înainte de 16 septembrie 2022” (a se vedea pct. 2 din rezoluție).</w:t>
      </w:r>
    </w:p>
    <w:p w:rsidR="00AF7618" w:rsidRPr="00AF7618" w:rsidRDefault="008A2B2A" w:rsidP="00AF7618">
      <w:pPr>
        <w:pStyle w:val="JuPara"/>
      </w:pPr>
      <w:r>
        <w:fldChar w:fldCharType="begin"/>
      </w:r>
      <w:r>
        <w:instrText xml:space="preserve"> SEQ lev</w:instrText>
      </w:r>
      <w:r>
        <w:instrText xml:space="preserve">el0 \*arabic \* MERGEFORMAT </w:instrText>
      </w:r>
      <w:r>
        <w:fldChar w:fldCharType="separate"/>
      </w:r>
      <w:r w:rsidR="00AF7618" w:rsidRPr="00AF7618">
        <w:t>43</w:t>
      </w:r>
      <w:r>
        <w:fldChar w:fldCharType="end"/>
      </w:r>
      <w:r w:rsidR="00AF7618">
        <w:t>.</w:t>
      </w:r>
      <w:r w:rsidR="00C1135A">
        <w:t xml:space="preserve"> </w:t>
      </w:r>
      <w:r w:rsidR="00AF7618">
        <w:t xml:space="preserve">Încetarea calității unei părți contractante de stat membru al Consiliului Europei nu o exonerează de obligația de a coopera cu organele Convenției. Această obligație continuă cât timp Curtea rămâne competentă să soluționeze cererile care decurg din fapte sau omisiuni care pot constitui o încălcare a Convenției [a se vedea </w:t>
      </w:r>
      <w:r w:rsidR="00AF7618">
        <w:rPr>
          <w:i/>
          <w:iCs/>
        </w:rPr>
        <w:t>Georgia împotriva Rusiei (II)</w:t>
      </w:r>
      <w:r w:rsidR="00AF7618">
        <w:t xml:space="preserve"> (MC) (reparație echitabilă), nr. 38263/08, pct. 27, 28 aprilie 2023].</w:t>
      </w:r>
    </w:p>
    <w:p w:rsidR="00AF7618" w:rsidRPr="00AF7618" w:rsidRDefault="008A2B2A" w:rsidP="00AF7618">
      <w:pPr>
        <w:pStyle w:val="JuPara"/>
      </w:pPr>
      <w:r>
        <w:fldChar w:fldCharType="begin"/>
      </w:r>
      <w:r>
        <w:instrText xml:space="preserve"> SEQ level0 \*arabic \* MERGEFORMAT </w:instrText>
      </w:r>
      <w:r>
        <w:fldChar w:fldCharType="separate"/>
      </w:r>
      <w:r w:rsidR="00AF7618" w:rsidRPr="00AF7618">
        <w:t>44</w:t>
      </w:r>
      <w:r>
        <w:fldChar w:fldCharType="end"/>
      </w:r>
      <w:r w:rsidR="00AF7618">
        <w:t>.</w:t>
      </w:r>
      <w:r w:rsidR="00C1135A">
        <w:t xml:space="preserve"> </w:t>
      </w:r>
      <w:r w:rsidR="00AF7618">
        <w:t xml:space="preserve">În condițiile prevăzute de art. 32 din Convenție, competența Curții „acoperă toate problemele privind interpretarea și aplicarea Convenției și a Protocoalelor sale, care îi sunt supuse în condițiile prevăzute în art. 33, 34, 46 și 47”. „În caz de contestare a competenței sale”, Curtea este cea care va hotărî [a se vedea </w:t>
      </w:r>
      <w:r w:rsidR="00AF7618">
        <w:rPr>
          <w:i/>
          <w:iCs/>
        </w:rPr>
        <w:t>Scoppola împotriva Italiei (nr. 2)</w:t>
      </w:r>
      <w:r w:rsidR="00AF7618">
        <w:t xml:space="preserve"> (MC), nr. 10249/03, pct. 53, 17 septembrie 2009]. Rolul său principal, astfel cum este definit în art. 19, este de „a asigura respectarea angajamentelor care decurg pentru înaltele părți contractante din prezenta convenție și din protocoalele sale”. În plus, Curtea are competența de a stabili propria procedură și propriile reguli [a se vedea </w:t>
      </w:r>
      <w:r w:rsidR="00AF7618">
        <w:rPr>
          <w:i/>
        </w:rPr>
        <w:t>Ucraina și Țările de Jos împotriva Rusiei</w:t>
      </w:r>
      <w:r w:rsidR="00AF7618">
        <w:t xml:space="preserve"> (dec.) (MC), nr. 8019/16 și alte 2, pct. 383, 30 noiembrie 2022, cu trimiterile suplimentare].</w:t>
      </w:r>
    </w:p>
    <w:p w:rsidR="00AF7618" w:rsidRPr="00AF7618" w:rsidRDefault="008A2B2A" w:rsidP="00AF7618">
      <w:pPr>
        <w:pStyle w:val="JuPara"/>
      </w:pPr>
      <w:r>
        <w:fldChar w:fldCharType="begin"/>
      </w:r>
      <w:r>
        <w:instrText xml:space="preserve"> SEQ level0 \*arabic \* MERGEFORMAT </w:instrText>
      </w:r>
      <w:r>
        <w:fldChar w:fldCharType="separate"/>
      </w:r>
      <w:r w:rsidR="00AF7618" w:rsidRPr="00AF7618">
        <w:t>45</w:t>
      </w:r>
      <w:r>
        <w:fldChar w:fldCharType="end"/>
      </w:r>
      <w:r w:rsidR="00AF7618">
        <w:t>.</w:t>
      </w:r>
      <w:r w:rsidR="00C1135A">
        <w:t xml:space="preserve"> </w:t>
      </w:r>
      <w:r w:rsidR="00AF7618">
        <w:t xml:space="preserve">Capacitatea Curții de a stabili propria competență este esențială pentru sistemul de protecție al Convenției. Prin aderarea la Convenție, înaltele părți contractante s-au angajat să respecte nu numai dispozițiile sale de fond, ci și dispozițiile procedurale, inclusiv art. 32, care conferă Curții o autoritate exclusivă asupra litigiilor privind competența sa. Prin urmare, competența Curții nu poate fi condiționată de evenimente străine de propria sa funcționare, ca de exemplu legislația națională care urmărește să afecteze ori să limiteze competența sa în cauze pendinte. În consecință, legislația internă </w:t>
      </w:r>
      <w:r w:rsidR="00AF7618">
        <w:lastRenderedPageBreak/>
        <w:t>a Rusiei, precum Legea federală din 28 februarie 2023 (</w:t>
      </w:r>
      <w:r w:rsidR="00AF7618">
        <w:rPr>
          <w:i/>
          <w:iCs/>
        </w:rPr>
        <w:t>supra</w:t>
      </w:r>
      <w:r w:rsidR="00AF7618">
        <w:t xml:space="preserve">, pct. </w:t>
      </w:r>
      <w:r w:rsidR="00AF7618" w:rsidRPr="00AF7618">
        <w:fldChar w:fldCharType="begin"/>
      </w:r>
      <w:r w:rsidR="00AF7618" w:rsidRPr="00AF7618">
        <w:instrText xml:space="preserve">REF paragraph00030 \h \* CharFormat </w:instrText>
      </w:r>
      <w:r w:rsidR="00AF7618" w:rsidRPr="00AF7618">
        <w:fldChar w:fldCharType="separate"/>
      </w:r>
      <w:r w:rsidR="00AF7618" w:rsidRPr="00AF7618">
        <w:t>30</w:t>
      </w:r>
      <w:r w:rsidR="00AF7618" w:rsidRPr="00AF7618">
        <w:fldChar w:fldCharType="end"/>
      </w:r>
      <w:r w:rsidR="00AF7618">
        <w:t>), nu poate modifica sau diminua sfera de aplicare a competenței Curții.</w:t>
      </w:r>
    </w:p>
    <w:p w:rsidR="00AF7618" w:rsidRPr="00AF7618" w:rsidRDefault="00AF7618" w:rsidP="00AF7618">
      <w:pPr>
        <w:pStyle w:val="JuHIRoman"/>
      </w:pPr>
      <w:r>
        <w:t>COMPETENȚA CURȚII ÎN CAUZE INDIVIDUALE</w:t>
      </w:r>
    </w:p>
    <w:p w:rsidR="00AF7618" w:rsidRPr="00AF7618" w:rsidRDefault="00AF7618" w:rsidP="00AF7618">
      <w:pPr>
        <w:pStyle w:val="JuHA"/>
      </w:pPr>
      <w:r>
        <w:t>Fapte sau omisiuni anterioare datei încetării</w:t>
      </w:r>
    </w:p>
    <w:p w:rsidR="00AF7618" w:rsidRPr="00AF7618" w:rsidRDefault="008A2B2A" w:rsidP="00AF7618">
      <w:pPr>
        <w:pStyle w:val="JuPara"/>
      </w:pPr>
      <w:r>
        <w:fldChar w:fldCharType="begin"/>
      </w:r>
      <w:r>
        <w:instrText xml:space="preserve"> SEQ level0 \*arabic \* MERGEFORMAT </w:instrText>
      </w:r>
      <w:r>
        <w:fldChar w:fldCharType="separate"/>
      </w:r>
      <w:r w:rsidR="00AF7618" w:rsidRPr="00AF7618">
        <w:t>46</w:t>
      </w:r>
      <w:r>
        <w:fldChar w:fldCharType="end"/>
      </w:r>
      <w:r w:rsidR="00AF7618">
        <w:t>.</w:t>
      </w:r>
      <w:r w:rsidR="00C1135A">
        <w:t xml:space="preserve"> </w:t>
      </w:r>
      <w:r w:rsidR="00AF7618">
        <w:t xml:space="preserve">În cauzele în care toate faptele și hotărârile judecătorești care au condus la pretinsele încălcări ale Convenției au avut loc până la data încetării, Curtea a stabilit că este competentă să le examineze (a se vedea, printre altele, </w:t>
      </w:r>
      <w:r w:rsidR="00AF7618">
        <w:rPr>
          <w:i/>
          <w:iCs/>
        </w:rPr>
        <w:t>Fedotova și alții</w:t>
      </w:r>
      <w:r w:rsidR="00AF7618">
        <w:t xml:space="preserve">, citată anterior, pct. 73; </w:t>
      </w:r>
      <w:r w:rsidR="00AF7618">
        <w:rPr>
          <w:i/>
          <w:iCs/>
        </w:rPr>
        <w:t>Svetova și alții împotriva Rusiei</w:t>
      </w:r>
      <w:r w:rsidR="00AF7618">
        <w:t xml:space="preserve">, nr. 54714/17, pct. 28, 24 ianuarie 2023; </w:t>
      </w:r>
      <w:r w:rsidR="00AF7618">
        <w:rPr>
          <w:i/>
          <w:iCs/>
        </w:rPr>
        <w:t>Kogan și alții împotriva Rusiei</w:t>
      </w:r>
      <w:r w:rsidR="00AF7618">
        <w:t xml:space="preserve">, nr. 54003/20, pct. 49, 7 martie 2023; </w:t>
      </w:r>
      <w:r w:rsidR="00AF7618">
        <w:rPr>
          <w:i/>
          <w:iCs/>
        </w:rPr>
        <w:t>Ossewaarde împotriva Rusiei</w:t>
      </w:r>
      <w:r w:rsidR="00AF7618">
        <w:t>, nr. 27227/17, pct. 28, 7 martie 2023).</w:t>
      </w:r>
    </w:p>
    <w:p w:rsidR="00AF7618" w:rsidRPr="00AF7618" w:rsidRDefault="00AF7618" w:rsidP="00AF7618">
      <w:pPr>
        <w:pStyle w:val="JuHA"/>
      </w:pPr>
      <w:r>
        <w:t>Fapte sau omisiuni ulterioare datei încetării</w:t>
      </w:r>
    </w:p>
    <w:bookmarkStart w:id="22" w:name="paragraph00047"/>
    <w:p w:rsidR="00AF7618" w:rsidRPr="00AF7618" w:rsidRDefault="00AF7618" w:rsidP="00AF7618">
      <w:pPr>
        <w:pStyle w:val="JuPara"/>
      </w:pPr>
      <w:r w:rsidRPr="00AF7618">
        <w:fldChar w:fldCharType="begin"/>
      </w:r>
      <w:r w:rsidRPr="00AF7618">
        <w:instrText xml:space="preserve"> SEQ level0 \*arabic \* MERGEFORMAT </w:instrText>
      </w:r>
      <w:r w:rsidRPr="00AF7618">
        <w:fldChar w:fldCharType="separate"/>
      </w:r>
      <w:r w:rsidRPr="00AF7618">
        <w:t>47</w:t>
      </w:r>
      <w:r w:rsidRPr="00AF7618">
        <w:fldChar w:fldCharType="end"/>
      </w:r>
      <w:bookmarkEnd w:id="22"/>
      <w:r>
        <w:t>.</w:t>
      </w:r>
      <w:r w:rsidR="00C1135A">
        <w:t xml:space="preserve"> </w:t>
      </w:r>
      <w:r>
        <w:t>În ceea ce îl privește pe domnul Kazusev, atât actul declanșator – decretul președintelui prin care se anunța mobilizarea rezerviștilor – cât și contestația în instanță a reclamantului la acesta au avut loc după data încetării (</w:t>
      </w:r>
      <w:r>
        <w:rPr>
          <w:i/>
          <w:iCs/>
        </w:rPr>
        <w:t>supra</w:t>
      </w:r>
      <w:r>
        <w:t xml:space="preserve">, pct. </w:t>
      </w:r>
      <w:r w:rsidRPr="00AF7618">
        <w:fldChar w:fldCharType="begin"/>
      </w:r>
      <w:r w:rsidRPr="00AF7618">
        <w:instrText xml:space="preserve">REF paragraph00014 \h \* CharFormat </w:instrText>
      </w:r>
      <w:r w:rsidRPr="00AF7618">
        <w:fldChar w:fldCharType="separate"/>
      </w:r>
      <w:r w:rsidRPr="00AF7618">
        <w:t>14</w:t>
      </w:r>
      <w:r w:rsidRPr="00AF7618">
        <w:fldChar w:fldCharType="end"/>
      </w:r>
      <w:r>
        <w:t>-</w:t>
      </w:r>
      <w:r w:rsidRPr="00AF7618">
        <w:fldChar w:fldCharType="begin"/>
      </w:r>
      <w:r w:rsidRPr="00AF7618">
        <w:instrText xml:space="preserve">REF paragraph00015 \h \* CharFormat </w:instrText>
      </w:r>
      <w:r w:rsidRPr="00AF7618">
        <w:fldChar w:fldCharType="separate"/>
      </w:r>
      <w:r w:rsidRPr="00AF7618">
        <w:t>15</w:t>
      </w:r>
      <w:r w:rsidRPr="00AF7618">
        <w:fldChar w:fldCharType="end"/>
      </w:r>
      <w:r>
        <w:t>).</w:t>
      </w:r>
    </w:p>
    <w:p w:rsidR="00AF7618" w:rsidRPr="00AF7618" w:rsidRDefault="008A2B2A" w:rsidP="00AF7618">
      <w:pPr>
        <w:pStyle w:val="JuPara"/>
      </w:pPr>
      <w:r>
        <w:fldChar w:fldCharType="begin"/>
      </w:r>
      <w:r>
        <w:instrText xml:space="preserve"> SEQ level</w:instrText>
      </w:r>
      <w:r>
        <w:instrText xml:space="preserve">0 \*arabic \* MERGEFORMAT </w:instrText>
      </w:r>
      <w:r>
        <w:fldChar w:fldCharType="separate"/>
      </w:r>
      <w:r w:rsidR="00AF7618" w:rsidRPr="00AF7618">
        <w:t>48</w:t>
      </w:r>
      <w:r>
        <w:fldChar w:fldCharType="end"/>
      </w:r>
      <w:r w:rsidR="00AF7618">
        <w:t>.</w:t>
      </w:r>
      <w:r w:rsidR="00C1135A">
        <w:t xml:space="preserve"> </w:t>
      </w:r>
      <w:r w:rsidR="00AF7618">
        <w:t>Curtea reiterează că, în conformitate cu art. 58 din Convenție și rezoluția plenului Curții din 22 martie 2022, dispozițiile Convenției sunt obligatorii pentru o parte contractantă numai în ceea ce privește faptele și omisiunile care au avut loc până la data încetării (</w:t>
      </w:r>
      <w:r w:rsidR="00AF7618">
        <w:rPr>
          <w:i/>
          <w:iCs/>
        </w:rPr>
        <w:t>supra</w:t>
      </w:r>
      <w:r w:rsidR="00AF7618">
        <w:t xml:space="preserve">, pct. </w:t>
      </w:r>
      <w:r w:rsidR="00AF7618" w:rsidRPr="00AF7618">
        <w:fldChar w:fldCharType="begin"/>
      </w:r>
      <w:r w:rsidR="00AF7618" w:rsidRPr="00AF7618">
        <w:instrText xml:space="preserve">REF paragraph00041 \h \* CharFormat </w:instrText>
      </w:r>
      <w:r w:rsidR="00AF7618" w:rsidRPr="00AF7618">
        <w:fldChar w:fldCharType="separate"/>
      </w:r>
      <w:r w:rsidR="00AF7618" w:rsidRPr="00AF7618">
        <w:t>41</w:t>
      </w:r>
      <w:r w:rsidR="00AF7618" w:rsidRPr="00AF7618">
        <w:fldChar w:fldCharType="end"/>
      </w:r>
      <w:r w:rsidR="00AF7618">
        <w:t>). În consecință, Curtea nu este competentă să examineze cererile îndreptate împotriva Federației Ruse în măsura în care pretinsele încălcări se întemeiază pe fapte sau omisiuni care au avut loc după data încetării, cum se întâmplă în cazul domnului Kazusev.</w:t>
      </w:r>
    </w:p>
    <w:bookmarkStart w:id="23" w:name="paragraph00049"/>
    <w:p w:rsidR="00AF7618" w:rsidRPr="00AF7618" w:rsidRDefault="00AF7618" w:rsidP="00AF7618">
      <w:pPr>
        <w:pStyle w:val="JuPara"/>
      </w:pPr>
      <w:r w:rsidRPr="00AF7618">
        <w:fldChar w:fldCharType="begin"/>
      </w:r>
      <w:r w:rsidRPr="00AF7618">
        <w:instrText xml:space="preserve"> SEQ level0 \*arabic \* MERGEFORMAT </w:instrText>
      </w:r>
      <w:r w:rsidRPr="00AF7618">
        <w:fldChar w:fldCharType="separate"/>
      </w:r>
      <w:r w:rsidRPr="00AF7618">
        <w:t>49</w:t>
      </w:r>
      <w:r w:rsidRPr="00AF7618">
        <w:fldChar w:fldCharType="end"/>
      </w:r>
      <w:bookmarkEnd w:id="23"/>
      <w:r>
        <w:t>.</w:t>
      </w:r>
      <w:r w:rsidR="00C1135A">
        <w:t xml:space="preserve"> </w:t>
      </w:r>
      <w:r>
        <w:t xml:space="preserve">Rezultă că, întrucât statul pârât nu mai era parte la Convenție la data faptelor în litigiu, cererea domnului Kazusev este incompatibilă </w:t>
      </w:r>
      <w:r>
        <w:rPr>
          <w:i/>
        </w:rPr>
        <w:t>ratione materiae</w:t>
      </w:r>
      <w:r>
        <w:t xml:space="preserve"> cu dispozițiile Convenției în sensul art. 35 § 3 lit. a) și trebuie să fie respinsă în conformitate cu art. 35 § 4.</w:t>
      </w:r>
    </w:p>
    <w:p w:rsidR="00AF7618" w:rsidRPr="00AF7618" w:rsidRDefault="00AF7618" w:rsidP="00AF7618">
      <w:pPr>
        <w:pStyle w:val="JuHA"/>
      </w:pPr>
      <w:r>
        <w:t>Fapte sau omisiuni care includ data încetării</w:t>
      </w:r>
    </w:p>
    <w:p w:rsidR="00AF7618" w:rsidRPr="00AF7618" w:rsidRDefault="008A2B2A" w:rsidP="00AF7618">
      <w:pPr>
        <w:pStyle w:val="JuPara"/>
      </w:pPr>
      <w:r>
        <w:fldChar w:fldCharType="begin"/>
      </w:r>
      <w:r>
        <w:instrText xml:space="preserve"> SEQ level0 \*arabic \* MERGEFORMAT </w:instrText>
      </w:r>
      <w:r>
        <w:fldChar w:fldCharType="separate"/>
      </w:r>
      <w:r w:rsidR="00AF7618" w:rsidRPr="00AF7618">
        <w:t>50</w:t>
      </w:r>
      <w:r>
        <w:fldChar w:fldCharType="end"/>
      </w:r>
      <w:r w:rsidR="00AF7618">
        <w:t>.</w:t>
      </w:r>
      <w:r w:rsidR="00C1135A">
        <w:t xml:space="preserve"> </w:t>
      </w:r>
      <w:r w:rsidR="00AF7618">
        <w:t xml:space="preserve">În celelalte cauze acum pendinte în fața Curții, faptele sau omisiunile care au dat naștere pretinselor încălcări ale Convenției au avut loc ori au început înainte de data încetării, dar efectele lor sau un set de căi de atac s-au extins ulterior acestei date. Problema dacă o pretinsă încălcare se bazează pe un fapt survenit anterior sau ulterior unei anumite date ridică probleme atunci când, precum în speță, faptele invocate se încadrează o parte în perioada în care Curtea are competență, iar altă parte nu se încadrează în această perioadă. Deși acest scenariu este unul nou, este similar cu situațiile în care faptele sau omisiunile care au cauzat pretinsele încălcări s-au întins pe parcursul datei </w:t>
      </w:r>
      <w:r w:rsidR="00AF7618">
        <w:lastRenderedPageBreak/>
        <w:t xml:space="preserve">ratificării. Prin urmare, la formularea criteriului corespunzător, Curtea se va baza pe jurisprudența sa anterioară, ca de exemplu hotărârea pronunțată în cauza </w:t>
      </w:r>
      <w:r w:rsidR="00AF7618">
        <w:rPr>
          <w:i/>
          <w:iCs/>
        </w:rPr>
        <w:t>Blečić</w:t>
      </w:r>
      <w:r w:rsidR="00AF7618">
        <w:t>, citată anterior.</w:t>
      </w:r>
    </w:p>
    <w:p w:rsidR="00AF7618" w:rsidRPr="00AF7618" w:rsidRDefault="00AF7618" w:rsidP="00AF7618">
      <w:pPr>
        <w:pStyle w:val="JuH1"/>
      </w:pPr>
      <w:r>
        <w:t>Criteriul corespunzător</w:t>
      </w:r>
    </w:p>
    <w:p w:rsidR="00AF7618" w:rsidRPr="00AF7618" w:rsidRDefault="008A2B2A" w:rsidP="00AF7618">
      <w:pPr>
        <w:pStyle w:val="JuPara"/>
      </w:pPr>
      <w:r>
        <w:fldChar w:fldCharType="begin"/>
      </w:r>
      <w:r>
        <w:instrText xml:space="preserve"> SEQ level0 \*arabic \* MERGEFORMAT </w:instrText>
      </w:r>
      <w:r>
        <w:fldChar w:fldCharType="separate"/>
      </w:r>
      <w:r w:rsidR="00AF7618" w:rsidRPr="00AF7618">
        <w:t>51</w:t>
      </w:r>
      <w:r>
        <w:fldChar w:fldCharType="end"/>
      </w:r>
      <w:r w:rsidR="00AF7618">
        <w:t>.</w:t>
      </w:r>
      <w:r w:rsidR="00C1135A">
        <w:t xml:space="preserve"> </w:t>
      </w:r>
      <w:r w:rsidR="00AF7618">
        <w:t xml:space="preserve">Curtea reiterează că stabilirea competenței sale temporale se face în raport cu faptele constitutive ale pretinsei ingerințe. Până în prezent, Curtea a trebuit să examineze plângeri în care încălcarea a avut loc înainte de intrarea în vigoare a Convenției pentru statul respectiv, dar în care căile de atac interne au fost finalizate după intrarea în vigoare a Convenției. Curtea a statuat că eșecul ulterior al căilor de atac exercitate în scopul reparării ingerinței nu poate determina includerea sa în competența temporală a Curții (a se vedea </w:t>
      </w:r>
      <w:r w:rsidR="00AF7618">
        <w:rPr>
          <w:i/>
          <w:iCs/>
        </w:rPr>
        <w:t>Blečić</w:t>
      </w:r>
      <w:r w:rsidR="00AF7618">
        <w:t>, citată anterior, pct. 77).</w:t>
      </w:r>
    </w:p>
    <w:p w:rsidR="00AF7618" w:rsidRPr="00AF7618" w:rsidRDefault="008A2B2A" w:rsidP="00AF7618">
      <w:pPr>
        <w:pStyle w:val="JuPara"/>
      </w:pPr>
      <w:r>
        <w:fldChar w:fldCharType="begin"/>
      </w:r>
      <w:r>
        <w:instrText xml:space="preserve"> SEQ level0 \*arabic \* MERGEFORMAT </w:instrText>
      </w:r>
      <w:r>
        <w:fldChar w:fldCharType="separate"/>
      </w:r>
      <w:r w:rsidR="00AF7618" w:rsidRPr="00AF7618">
        <w:t>52</w:t>
      </w:r>
      <w:r>
        <w:fldChar w:fldCharType="end"/>
      </w:r>
      <w:r w:rsidR="00AF7618">
        <w:t>.</w:t>
      </w:r>
      <w:r w:rsidR="00C1135A">
        <w:t xml:space="preserve"> </w:t>
      </w:r>
      <w:r w:rsidR="00AF7618">
        <w:t>Astfel, deși este de obicei de așteptat ca un reclamant care consideră că un stat i-a încălcat drepturile garantate în temeiul Convenției să exercite mai întâi căile de atac de care dispune în dreptul intern, epuizarea acestora nu este decisivă pentru problema competenței. În cazul în care căile de atac interne se dovedesc un eșec și reclamantul sesizează ulterior Curtea, o posibilă încălcare a drepturilor sale prevăzute de Convenție nu va fi cauzată de nerepararea ingerinței, ci de ingerință în sine, fiind de la sine înțeles că aceasta poate fi sub forma unei hotărâri judecătorești (</w:t>
      </w:r>
      <w:r w:rsidR="00AF7618">
        <w:rPr>
          <w:i/>
          <w:iCs/>
        </w:rPr>
        <w:t>ibidem</w:t>
      </w:r>
      <w:r w:rsidR="00AF7618">
        <w:t>, pct. 78).</w:t>
      </w:r>
    </w:p>
    <w:bookmarkStart w:id="24" w:name="paragraph00053"/>
    <w:p w:rsidR="00AF7618" w:rsidRPr="00AF7618" w:rsidRDefault="00AF7618" w:rsidP="00AF7618">
      <w:pPr>
        <w:pStyle w:val="JuPara"/>
      </w:pPr>
      <w:r w:rsidRPr="00AF7618">
        <w:fldChar w:fldCharType="begin"/>
      </w:r>
      <w:r w:rsidRPr="00AF7618">
        <w:instrText xml:space="preserve"> SEQ level0 \*arabic \* MERGEFORMAT </w:instrText>
      </w:r>
      <w:r w:rsidRPr="00AF7618">
        <w:fldChar w:fldCharType="separate"/>
      </w:r>
      <w:r w:rsidRPr="00AF7618">
        <w:t>53</w:t>
      </w:r>
      <w:r w:rsidRPr="00AF7618">
        <w:fldChar w:fldCharType="end"/>
      </w:r>
      <w:bookmarkEnd w:id="24"/>
      <w:r>
        <w:t>.</w:t>
      </w:r>
      <w:r w:rsidR="00C1135A">
        <w:t xml:space="preserve"> </w:t>
      </w:r>
      <w:r>
        <w:t>Prin urmare, în cauzele în care ingerința are loc anterior datei încetării, dar nerepararea acesteia are loc ulterior datei încetării, data ingerinței este cea care se ia în considerare pentru stabilirea competenței temporale a Curții. Prin această abordare se evită situația în care un stat s-ar putea sustrage de la asumarea răspunderii sale pentru nedreptățile sau prejudiciile cauzate în perioada în care Convenția era în vigoare, înainte de încetare. De asemenea, se asigură faptul că plângerile nu sunt tratate în mod diferit numai în funcție de durata care ar fi putut fi necesară pentru procesul de epuizare și împiedică statul pârât să se sustragă de la răspundere prin tergiversarea procedurilor reparatorii. În plus, această abordare este compatibilă cu poziția altor instanțe internaționale aflate într-o situație similară (</w:t>
      </w:r>
      <w:r>
        <w:rPr>
          <w:i/>
          <w:iCs/>
        </w:rPr>
        <w:t>supra</w:t>
      </w:r>
      <w:r>
        <w:t xml:space="preserve">, pct. </w:t>
      </w:r>
      <w:r w:rsidRPr="00AF7618">
        <w:fldChar w:fldCharType="begin"/>
      </w:r>
      <w:r w:rsidRPr="00AF7618">
        <w:instrText xml:space="preserve">REF paragraph00029 \h \* CharFormat </w:instrText>
      </w:r>
      <w:r w:rsidRPr="00AF7618">
        <w:fldChar w:fldCharType="separate"/>
      </w:r>
      <w:r w:rsidRPr="00AF7618">
        <w:t>29</w:t>
      </w:r>
      <w:r w:rsidRPr="00AF7618">
        <w:fldChar w:fldCharType="end"/>
      </w:r>
      <w:r>
        <w:t>).</w:t>
      </w:r>
    </w:p>
    <w:bookmarkStart w:id="25" w:name="paragraph00054"/>
    <w:p w:rsidR="00AF7618" w:rsidRPr="00AF7618" w:rsidRDefault="00AF7618" w:rsidP="00AF7618">
      <w:pPr>
        <w:pStyle w:val="JuPara"/>
      </w:pPr>
      <w:r w:rsidRPr="00AF7618">
        <w:fldChar w:fldCharType="begin"/>
      </w:r>
      <w:r w:rsidRPr="00AF7618">
        <w:instrText xml:space="preserve"> SEQ level0 \*arabic \* MERGEFORMAT </w:instrText>
      </w:r>
      <w:r w:rsidRPr="00AF7618">
        <w:fldChar w:fldCharType="separate"/>
      </w:r>
      <w:r w:rsidRPr="00AF7618">
        <w:t>54</w:t>
      </w:r>
      <w:r w:rsidRPr="00AF7618">
        <w:fldChar w:fldCharType="end"/>
      </w:r>
      <w:bookmarkEnd w:id="25"/>
      <w:r>
        <w:t>.</w:t>
      </w:r>
      <w:r w:rsidR="00C1135A">
        <w:t xml:space="preserve"> </w:t>
      </w:r>
      <w:r>
        <w:t>Pentru a stabili competența temporală a Curții, este așadar esențial să se identifice, în fiecare cauză specifică, momentul exact în care a avut loc pretinsa ingerință. Astfel, Curtea trebuie să țină seama atât de faptele de care se plânge reclamantul, cât și de sfera de aplicare a dreptului garantat de Convenție a cărui încălcare este invocată (</w:t>
      </w:r>
      <w:r>
        <w:rPr>
          <w:i/>
          <w:iCs/>
        </w:rPr>
        <w:t>ibidem</w:t>
      </w:r>
      <w:r>
        <w:t>, pct. 82).</w:t>
      </w:r>
    </w:p>
    <w:p w:rsidR="00AF7618" w:rsidRPr="00AF7618" w:rsidRDefault="00AF7618" w:rsidP="00AF7618">
      <w:pPr>
        <w:pStyle w:val="JuH1"/>
      </w:pPr>
      <w:r>
        <w:t>Aplicarea criteriului</w:t>
      </w:r>
    </w:p>
    <w:p w:rsidR="00AF7618" w:rsidRPr="00AF7618" w:rsidRDefault="00AF7618" w:rsidP="00AF7618">
      <w:pPr>
        <w:pStyle w:val="JuHa0"/>
      </w:pPr>
      <w:r>
        <w:t>Capete de cerere întemeiate pe art. 3 din Convenție: cazul doamnei Viktorova</w:t>
      </w:r>
    </w:p>
    <w:p w:rsidR="00AF7618" w:rsidRPr="00AF7618" w:rsidRDefault="008A2B2A" w:rsidP="00AF7618">
      <w:pPr>
        <w:pStyle w:val="JuPara"/>
      </w:pPr>
      <w:r>
        <w:fldChar w:fldCharType="begin"/>
      </w:r>
      <w:r>
        <w:instrText xml:space="preserve"> SEQ level0 \*arabic \* MERGEFORMAT </w:instrText>
      </w:r>
      <w:r>
        <w:fldChar w:fldCharType="separate"/>
      </w:r>
      <w:r w:rsidR="00AF7618" w:rsidRPr="00AF7618">
        <w:t>55</w:t>
      </w:r>
      <w:r>
        <w:fldChar w:fldCharType="end"/>
      </w:r>
      <w:r w:rsidR="00AF7618">
        <w:t>.</w:t>
      </w:r>
      <w:r w:rsidR="00C1135A">
        <w:t xml:space="preserve"> </w:t>
      </w:r>
      <w:r w:rsidR="00AF7618">
        <w:t xml:space="preserve">Doamna Viktorova s-a plâns, în special, de faptul că a fost supusă unor rele tratamente de către poliție înainte de dispersarea participanților la </w:t>
      </w:r>
      <w:r w:rsidR="00AF7618">
        <w:lastRenderedPageBreak/>
        <w:t>protestul din 21 aprilie 2021 și că nu s-a efectuat nicio anchetă efectivă cu privire la relele tratamente invocate (</w:t>
      </w:r>
      <w:r w:rsidR="00AF7618">
        <w:rPr>
          <w:i/>
          <w:iCs/>
        </w:rPr>
        <w:t>supra</w:t>
      </w:r>
      <w:r w:rsidR="00AF7618">
        <w:t xml:space="preserve">, pct. </w:t>
      </w:r>
      <w:r w:rsidR="00AF7618" w:rsidRPr="00AF7618">
        <w:fldChar w:fldCharType="begin"/>
      </w:r>
      <w:r w:rsidR="00AF7618" w:rsidRPr="00AF7618">
        <w:instrText xml:space="preserve">REF paragraph00018 \h \* CharFormat </w:instrText>
      </w:r>
      <w:r w:rsidR="00AF7618" w:rsidRPr="00AF7618">
        <w:fldChar w:fldCharType="separate"/>
      </w:r>
      <w:r w:rsidR="00AF7618" w:rsidRPr="00AF7618">
        <w:t>18</w:t>
      </w:r>
      <w:r w:rsidR="00AF7618" w:rsidRPr="00AF7618">
        <w:fldChar w:fldCharType="end"/>
      </w:r>
      <w:r w:rsidR="00AF7618">
        <w:t>-</w:t>
      </w:r>
      <w:r w:rsidR="00AF7618" w:rsidRPr="00AF7618">
        <w:fldChar w:fldCharType="begin"/>
      </w:r>
      <w:r w:rsidR="00AF7618" w:rsidRPr="00AF7618">
        <w:instrText xml:space="preserve">REF paragraph00020 \h \* CharFormat </w:instrText>
      </w:r>
      <w:r w:rsidR="00AF7618" w:rsidRPr="00AF7618">
        <w:fldChar w:fldCharType="separate"/>
      </w:r>
      <w:r w:rsidR="00AF7618" w:rsidRPr="00AF7618">
        <w:t>20</w:t>
      </w:r>
      <w:r w:rsidR="00AF7618" w:rsidRPr="00AF7618">
        <w:fldChar w:fldCharType="end"/>
      </w:r>
      <w:r w:rsidR="00AF7618">
        <w:t>).</w:t>
      </w:r>
    </w:p>
    <w:p w:rsidR="00AF7618" w:rsidRPr="00AF7618" w:rsidRDefault="008A2B2A" w:rsidP="00AF7618">
      <w:pPr>
        <w:pStyle w:val="JuPara"/>
      </w:pPr>
      <w:r>
        <w:fldChar w:fldCharType="begin"/>
      </w:r>
      <w:r>
        <w:instrText xml:space="preserve"> SEQ level0 \*arabic \* MERGEFORMAT </w:instrText>
      </w:r>
      <w:r>
        <w:fldChar w:fldCharType="separate"/>
      </w:r>
      <w:r w:rsidR="00AF7618" w:rsidRPr="00AF7618">
        <w:t>56</w:t>
      </w:r>
      <w:r>
        <w:fldChar w:fldCharType="end"/>
      </w:r>
      <w:r w:rsidR="00AF7618">
        <w:t>.</w:t>
      </w:r>
      <w:r w:rsidR="00C1135A">
        <w:t xml:space="preserve"> </w:t>
      </w:r>
      <w:r w:rsidR="00AF7618">
        <w:t>Curtea este convinsă că pretinsele rele tratamente la care a fost supusă doamna Viktorova de către poliție au constituit un fapt instantaneu care a avut loc înainte de data încetării, când Convenția era în vigoare în privința statului pârât. În consecință, problema respectării de către autoritățile ruse sub aspect material al art. 3 intră în competența temporală a Curții.</w:t>
      </w:r>
    </w:p>
    <w:p w:rsidR="00AF7618" w:rsidRPr="00AF7618" w:rsidRDefault="008A2B2A" w:rsidP="00AF7618">
      <w:pPr>
        <w:pStyle w:val="JuPara"/>
      </w:pPr>
      <w:r>
        <w:fldChar w:fldCharType="begin"/>
      </w:r>
      <w:r>
        <w:instrText xml:space="preserve"> SEQ level0 \*arabic \* MERGEFORMAT </w:instrText>
      </w:r>
      <w:r>
        <w:fldChar w:fldCharType="separate"/>
      </w:r>
      <w:r w:rsidR="00AF7618" w:rsidRPr="00AF7618">
        <w:t>57</w:t>
      </w:r>
      <w:r>
        <w:fldChar w:fldCharType="end"/>
      </w:r>
      <w:r w:rsidR="00AF7618">
        <w:t>.</w:t>
      </w:r>
      <w:r w:rsidR="00C1135A">
        <w:t xml:space="preserve"> </w:t>
      </w:r>
      <w:r w:rsidR="00AF7618">
        <w:t xml:space="preserve">În ceea ce privește aspectul procedural al art. 3, Curtea reiterează faptul că obligația de a efectua o anchetă promptă și efectivă a evoluat într-o obligație separată și autonomă. Deși este declanșată de fapte în legătură cu aspectul material, această obligație poate conduce la constatarea unei „ingerințe” separate și independente în sensul hotărârii </w:t>
      </w:r>
      <w:r w:rsidR="00AF7618">
        <w:rPr>
          <w:i/>
          <w:iCs/>
        </w:rPr>
        <w:t>Blečić</w:t>
      </w:r>
      <w:r w:rsidR="00AF7618">
        <w:t xml:space="preserve"> [citată anterior, pct. 88, și </w:t>
      </w:r>
      <w:r w:rsidR="00AF7618">
        <w:rPr>
          <w:i/>
          <w:iCs/>
        </w:rPr>
        <w:t>Šilih împotriva Sloveniei</w:t>
      </w:r>
      <w:r w:rsidR="00AF7618">
        <w:t xml:space="preserve"> (MC), nr. 71463/01, pct. 159, 9 aprilie 2009]. În ceea ce privește competența Curții cu privire la o anchetă care se întinde ulterior datei încetării, Curtea consideră că este aplicabil criteriul „proporției semnificative” elaborat pentru situațiile care includ data ratificării. Astfel, ceea ce este important pentru determinarea competenței temporale a Curții este că o proporție semnificativă a etapelor procedurale necesare – inclusiv demersurile întreprinse în cadrul unor proceduri penale, civile, administrative sau disciplinare care pot conduce la identificarea și pedepsirea persoanelor responsabile sau la acordarea de despăgubiri părții vătămate – s-a efectuat sau ar fi trebuit să se efectueze în perioada în care Convenția a fost în vigoare în privința statului pârât [a se vedea </w:t>
      </w:r>
      <w:r w:rsidR="00AF7618">
        <w:rPr>
          <w:i/>
          <w:iCs/>
        </w:rPr>
        <w:t>Šilih</w:t>
      </w:r>
      <w:r w:rsidR="00AF7618">
        <w:t xml:space="preserve">, citată anterior, pct. 163, și </w:t>
      </w:r>
      <w:r w:rsidR="00AF7618">
        <w:rPr>
          <w:i/>
          <w:iCs/>
        </w:rPr>
        <w:t>Janowiec și alții împotriva Rusiei</w:t>
      </w:r>
      <w:r w:rsidR="00AF7618">
        <w:t xml:space="preserve"> (MC), nr. 55508/07 și 29520/09, pct. 142-144, CEDO 2013].</w:t>
      </w:r>
    </w:p>
    <w:p w:rsidR="00AF7618" w:rsidRPr="00AF7618" w:rsidRDefault="008A2B2A" w:rsidP="00AF7618">
      <w:pPr>
        <w:pStyle w:val="JuPara"/>
      </w:pPr>
      <w:r>
        <w:fldChar w:fldCharType="begin"/>
      </w:r>
      <w:r>
        <w:instrText xml:space="preserve"> SEQ level0 \*arabic \* MERGEFORMAT </w:instrText>
      </w:r>
      <w:r>
        <w:fldChar w:fldCharType="separate"/>
      </w:r>
      <w:r w:rsidR="00AF7618" w:rsidRPr="00AF7618">
        <w:t>58</w:t>
      </w:r>
      <w:r>
        <w:fldChar w:fldCharType="end"/>
      </w:r>
      <w:r w:rsidR="00AF7618">
        <w:t>.</w:t>
      </w:r>
      <w:r w:rsidR="00C1135A">
        <w:t xml:space="preserve"> </w:t>
      </w:r>
      <w:r w:rsidR="00AF7618">
        <w:t>Deși, în cazul doamnei Viktorova, hotărârea judecătorească definitivă prin care s-au încheiat căile de atac împotriva soluției de neîncepere a urmăririi penale a fost pronunțată după data încetării (</w:t>
      </w:r>
      <w:r w:rsidR="00AF7618">
        <w:rPr>
          <w:i/>
          <w:iCs/>
        </w:rPr>
        <w:t>supra</w:t>
      </w:r>
      <w:r w:rsidR="00AF7618">
        <w:t xml:space="preserve">, pct. </w:t>
      </w:r>
      <w:r w:rsidR="00AF7618" w:rsidRPr="00AF7618">
        <w:fldChar w:fldCharType="begin"/>
      </w:r>
      <w:r w:rsidR="00AF7618" w:rsidRPr="00AF7618">
        <w:instrText xml:space="preserve">REF paragraph00020 \h \* CharFormat </w:instrText>
      </w:r>
      <w:r w:rsidR="00AF7618" w:rsidRPr="00AF7618">
        <w:fldChar w:fldCharType="separate"/>
      </w:r>
      <w:r w:rsidR="00AF7618" w:rsidRPr="00AF7618">
        <w:t>20</w:t>
      </w:r>
      <w:r w:rsidR="00AF7618" w:rsidRPr="00AF7618">
        <w:fldChar w:fldCharType="end"/>
      </w:r>
      <w:r w:rsidR="00AF7618">
        <w:t>), o parte semnificativă a demersurilor procedurale fuseseră efectuate deja sau ar fi trebuit să fie efectuate înainte de data încetării. Doamna Viktorova a sesizat imediat autoritățile competente cu privire la vătămările suferite, a prezentat probe medicale și a contestat soluția de neîncepere a urmăririi penale în fața instanțelor și a autorităților de control. În aceste condiții, Curtea constată că aspectul procedural al capătului său de cerere întemeiat pe art. 3 din Convenție intră, de asemenea, în sfera competenței sale temporale.</w:t>
      </w:r>
    </w:p>
    <w:p w:rsidR="00AF7618" w:rsidRPr="00AF7618" w:rsidRDefault="008A2B2A" w:rsidP="00AF7618">
      <w:pPr>
        <w:pStyle w:val="JuPara"/>
      </w:pPr>
      <w:r>
        <w:fldChar w:fldCharType="begin"/>
      </w:r>
      <w:r>
        <w:instrText xml:space="preserve"> SEQ level0 \*arabic \* MERGEFORMAT </w:instrText>
      </w:r>
      <w:r>
        <w:fldChar w:fldCharType="separate"/>
      </w:r>
      <w:r w:rsidR="00AF7618" w:rsidRPr="00AF7618">
        <w:t>59</w:t>
      </w:r>
      <w:r>
        <w:fldChar w:fldCharType="end"/>
      </w:r>
      <w:r w:rsidR="00AF7618">
        <w:t>.</w:t>
      </w:r>
      <w:r w:rsidR="00C1135A">
        <w:t xml:space="preserve"> </w:t>
      </w:r>
      <w:r w:rsidR="00AF7618">
        <w:t>Curtea consideră că nu se poate pronunța, în baza dosarului cauzei, cu privire la aspectul îndeplinirii condițiilor de admisibilitate de către capetele de cerere formulate de doamna Viktorova cu privire la pretinsele rele tratamente și lipsa unei anchete efective și că este așadar necesar, în conformitate cu art. 54 § 2 lit. b) din Regulamentul Curții, să comunice guvernului pârât aceste capete de cerere.</w:t>
      </w:r>
    </w:p>
    <w:p w:rsidR="00AF7618" w:rsidRPr="00AF7618" w:rsidRDefault="00AF7618" w:rsidP="00AF7618">
      <w:pPr>
        <w:pStyle w:val="JuHa0"/>
      </w:pPr>
      <w:r>
        <w:lastRenderedPageBreak/>
        <w:t>Capete de cerere întemeiate pe art. 3 și 5 § 3 din Convenție referitoare la o „situație continuă”: cazul domnului Korolev</w:t>
      </w:r>
    </w:p>
    <w:p w:rsidR="00AF7618" w:rsidRPr="00AF7618" w:rsidRDefault="008A2B2A" w:rsidP="00AF7618">
      <w:pPr>
        <w:pStyle w:val="JuPara"/>
      </w:pPr>
      <w:r>
        <w:fldChar w:fldCharType="begin"/>
      </w:r>
      <w:r>
        <w:instrText xml:space="preserve"> SEQ level0 \*arabic \* MERGEFORMAT </w:instrText>
      </w:r>
      <w:r>
        <w:fldChar w:fldCharType="separate"/>
      </w:r>
      <w:r w:rsidR="00AF7618" w:rsidRPr="00AF7618">
        <w:t>60</w:t>
      </w:r>
      <w:r>
        <w:fldChar w:fldCharType="end"/>
      </w:r>
      <w:r w:rsidR="00AF7618">
        <w:t>.</w:t>
      </w:r>
      <w:r w:rsidR="00C1135A">
        <w:t xml:space="preserve"> </w:t>
      </w:r>
      <w:r w:rsidR="00AF7618">
        <w:t>Domnul Korolev s-a plâns, în special, că a fost ținut în condiții inumane în timpul fiecărei audieri referitoare la detenție, cu încălcarea art. 3 din Convenție, și că măsura arestării sale preventive a fost aplicată și prelungită cu încălcarea art. 5 § 3 din Convenție (</w:t>
      </w:r>
      <w:r w:rsidR="00AF7618">
        <w:rPr>
          <w:i/>
          <w:iCs/>
        </w:rPr>
        <w:t>supra</w:t>
      </w:r>
      <w:r w:rsidR="00AF7618">
        <w:t xml:space="preserve">, pct. </w:t>
      </w:r>
      <w:r w:rsidR="00AF7618" w:rsidRPr="00AF7618">
        <w:fldChar w:fldCharType="begin"/>
      </w:r>
      <w:r w:rsidR="00AF7618" w:rsidRPr="00AF7618">
        <w:instrText xml:space="preserve">REF paragraph00008 \h \* CharFormat </w:instrText>
      </w:r>
      <w:r w:rsidR="00AF7618" w:rsidRPr="00AF7618">
        <w:fldChar w:fldCharType="separate"/>
      </w:r>
      <w:r w:rsidR="00AF7618" w:rsidRPr="00AF7618">
        <w:t>8</w:t>
      </w:r>
      <w:r w:rsidR="00AF7618" w:rsidRPr="00AF7618">
        <w:fldChar w:fldCharType="end"/>
      </w:r>
      <w:r w:rsidR="00AF7618">
        <w:t>-</w:t>
      </w:r>
      <w:r w:rsidR="00AF7618" w:rsidRPr="00AF7618">
        <w:fldChar w:fldCharType="begin"/>
      </w:r>
      <w:r w:rsidR="00AF7618" w:rsidRPr="00AF7618">
        <w:instrText xml:space="preserve">REF paragraph00013 \h \* CharFormat </w:instrText>
      </w:r>
      <w:r w:rsidR="00AF7618" w:rsidRPr="00AF7618">
        <w:fldChar w:fldCharType="separate"/>
      </w:r>
      <w:r w:rsidR="00AF7618" w:rsidRPr="00AF7618">
        <w:t>13</w:t>
      </w:r>
      <w:r w:rsidR="00AF7618" w:rsidRPr="00AF7618">
        <w:fldChar w:fldCharType="end"/>
      </w:r>
      <w:r w:rsidR="00AF7618">
        <w:t>).</w:t>
      </w:r>
    </w:p>
    <w:p w:rsidR="00AF7618" w:rsidRPr="00AF7618" w:rsidRDefault="008A2B2A" w:rsidP="00AF7618">
      <w:pPr>
        <w:pStyle w:val="JuPara"/>
      </w:pPr>
      <w:r>
        <w:fldChar w:fldCharType="begin"/>
      </w:r>
      <w:r>
        <w:instrText xml:space="preserve"> SEQ level0 \*arabic \* MERGEFORMAT </w:instrText>
      </w:r>
      <w:r>
        <w:fldChar w:fldCharType="separate"/>
      </w:r>
      <w:r w:rsidR="00AF7618" w:rsidRPr="00AF7618">
        <w:t>61</w:t>
      </w:r>
      <w:r>
        <w:fldChar w:fldCharType="end"/>
      </w:r>
      <w:r w:rsidR="00AF7618">
        <w:t>.</w:t>
      </w:r>
      <w:r w:rsidR="00C1135A">
        <w:t xml:space="preserve"> </w:t>
      </w:r>
      <w:r w:rsidR="00AF7618">
        <w:t xml:space="preserve">Curtea consideră că o „situație continuă” care include data încetării intră în competența sa temporală numai în ceea ce privește acea parte care are loc înainte de această dată. Motivul acestei abordări constă în ideea că, din ziua următoare datei încetării, statul pârât nu mai este obligat de Convenție, de exemplu, să asigure condiții conforme cu Convenția ori să desfășoare proceduri judiciare într-un termen rezonabil. Totuși, rezultatul ar trebui să fie diferit atunci când se poate demonstra că situația a fost un efect „continuu” al unui fapt care a precedat data încetării (a se vedea, pentru o abordare similară, Avizul consultativ al Curții Interamericane a Drepturilor Omului la pct. </w:t>
      </w:r>
      <w:r w:rsidR="00AF7618" w:rsidRPr="00AF7618">
        <w:fldChar w:fldCharType="begin"/>
      </w:r>
      <w:r w:rsidR="00AF7618" w:rsidRPr="00AF7618">
        <w:instrText xml:space="preserve">REF paragraph00029 \h \* CharFormat </w:instrText>
      </w:r>
      <w:r w:rsidR="00AF7618" w:rsidRPr="00AF7618">
        <w:fldChar w:fldCharType="separate"/>
      </w:r>
      <w:r w:rsidR="00AF7618" w:rsidRPr="00AF7618">
        <w:t>29</w:t>
      </w:r>
      <w:r w:rsidR="00AF7618" w:rsidRPr="00AF7618">
        <w:fldChar w:fldCharType="end"/>
      </w:r>
      <w:r w:rsidR="00AF7618">
        <w:t xml:space="preserve"> </w:t>
      </w:r>
      <w:r w:rsidR="00AF7618">
        <w:rPr>
          <w:i/>
          <w:iCs/>
        </w:rPr>
        <w:t>supra</w:t>
      </w:r>
      <w:r w:rsidR="00AF7618">
        <w:t>). Astfel, o perioadă de detenție dispusă înainte de data încetării, dar care depășește această dată, intră în totalitate în competența temporală a Curții, ca urmare a efectului „continuu” al hotărârii de condamnare. În schimb, o situație de fapt precum pretinsele condiții inumane de izolare, chiar și continuă, nu are efecte „peste limita de timp” și se încheie la data încetării.</w:t>
      </w:r>
    </w:p>
    <w:p w:rsidR="00AF7618" w:rsidRPr="00AF7618" w:rsidRDefault="008A2B2A" w:rsidP="00AF7618">
      <w:pPr>
        <w:pStyle w:val="JuPara"/>
      </w:pPr>
      <w:r>
        <w:fldChar w:fldCharType="begin"/>
      </w:r>
      <w:r>
        <w:instrText xml:space="preserve"> SEQ level0 \*arabic \* MERGEFORMAT </w:instrText>
      </w:r>
      <w:r>
        <w:fldChar w:fldCharType="separate"/>
      </w:r>
      <w:r w:rsidR="00AF7618" w:rsidRPr="00AF7618">
        <w:t>62</w:t>
      </w:r>
      <w:r>
        <w:fldChar w:fldCharType="end"/>
      </w:r>
      <w:r w:rsidR="00AF7618">
        <w:t>.</w:t>
      </w:r>
      <w:r w:rsidR="00C1135A">
        <w:t xml:space="preserve"> </w:t>
      </w:r>
      <w:r w:rsidR="00AF7618">
        <w:t xml:space="preserve">Aplicând această abordare în cazul domnului Korolev, Curtea constată, referitor la capătul de cerere întemeiat pe art. 3 cu privire la condițiile de izolare a acestuia în instanță, că în competența sa nu intră decât partea referitoare la ședințele din 13 iulie și 8 septembrie 2022. Acest capăt de cerere trebuie notificat guvernului pârât în conformitate cu art. 54 § 2 lit. b) din Regulamentul Curții. În măsura în care capătul de cerere se referă la condițiile de izolare în cursul ședinței din 10 octombrie 2022, acesta este incompatibil </w:t>
      </w:r>
      <w:r w:rsidR="00AF7618">
        <w:rPr>
          <w:i/>
          <w:iCs/>
        </w:rPr>
        <w:t>ratione temporis</w:t>
      </w:r>
      <w:r w:rsidR="00AF7618">
        <w:t xml:space="preserve"> cu art. 35 § 3 din Convenție și trebuie să fie respins în conformitate cu art. 35 § 4.</w:t>
      </w:r>
    </w:p>
    <w:p w:rsidR="00AF7618" w:rsidRPr="00AF7618" w:rsidRDefault="008A2B2A" w:rsidP="00AF7618">
      <w:pPr>
        <w:pStyle w:val="JuPara"/>
      </w:pPr>
      <w:r>
        <w:fldChar w:fldCharType="begin"/>
      </w:r>
      <w:r>
        <w:instrText xml:space="preserve"> SEQ level0 \*arabic \* MERGEFORMAT </w:instrText>
      </w:r>
      <w:r>
        <w:fldChar w:fldCharType="separate"/>
      </w:r>
      <w:r w:rsidR="00AF7618" w:rsidRPr="00AF7618">
        <w:t>63</w:t>
      </w:r>
      <w:r>
        <w:fldChar w:fldCharType="end"/>
      </w:r>
      <w:r w:rsidR="00AF7618">
        <w:t>.</w:t>
      </w:r>
      <w:r w:rsidR="00C1135A">
        <w:t xml:space="preserve"> </w:t>
      </w:r>
      <w:r w:rsidR="00AF7618">
        <w:t>În ceea ce privește capătul de cerere întemeiat pe art. 5 § 3 din Convenție, perioada care intră în competența Curții este de la 11 iulie 2022, când domnul Korolev a fost arestat, până la 11 octombrie 2022. Această din urmă dată este data până la care ultima prelungire a fost aprobată înainte de data încetării (</w:t>
      </w:r>
      <w:r w:rsidR="00AF7618">
        <w:rPr>
          <w:i/>
          <w:iCs/>
        </w:rPr>
        <w:t>supra</w:t>
      </w:r>
      <w:r w:rsidR="00AF7618">
        <w:t xml:space="preserve">, pct. </w:t>
      </w:r>
      <w:r w:rsidR="00AF7618" w:rsidRPr="00AF7618">
        <w:fldChar w:fldCharType="begin"/>
      </w:r>
      <w:r w:rsidR="00AF7618" w:rsidRPr="00AF7618">
        <w:instrText xml:space="preserve">REF paragraph00014 \h \* CharFormat </w:instrText>
      </w:r>
      <w:r w:rsidR="00AF7618" w:rsidRPr="00AF7618">
        <w:fldChar w:fldCharType="separate"/>
      </w:r>
      <w:r w:rsidR="00AF7618" w:rsidRPr="00AF7618">
        <w:t>14</w:t>
      </w:r>
      <w:r w:rsidR="00AF7618" w:rsidRPr="00AF7618">
        <w:fldChar w:fldCharType="end"/>
      </w:r>
      <w:r w:rsidR="00AF7618">
        <w:t xml:space="preserve">). Acest capăt de cerere trebuie notificat guvernului pârât în conformitate cu art. 54 § 2 lit. b) din Regulamentul Curții. În măsura în care capătul de cerere se referă la detenția domnului Korolev după 11 octombrie 2022, acesta este incompatibil </w:t>
      </w:r>
      <w:r w:rsidR="00AF7618">
        <w:rPr>
          <w:i/>
          <w:iCs/>
        </w:rPr>
        <w:t>ratione temporis</w:t>
      </w:r>
      <w:r w:rsidR="00AF7618">
        <w:t xml:space="preserve"> cu art. 35 § 3 din Convenție și trebuie să fie respins în conformitate cu art. 35 § 4.</w:t>
      </w:r>
    </w:p>
    <w:p w:rsidR="00AF7618" w:rsidRPr="00AF7618" w:rsidRDefault="00AF7618" w:rsidP="00AF7618">
      <w:pPr>
        <w:pStyle w:val="JuHa0"/>
      </w:pPr>
      <w:r>
        <w:t>Capete de cerere întemeiate pe art. 6 din Convenție cu privire la caracterul echitabil al unui proces: cazul doamnei Pivkina și al domnului Navalnîi</w:t>
      </w:r>
    </w:p>
    <w:p w:rsidR="00AF7618" w:rsidRPr="00AF7618" w:rsidRDefault="008A2B2A" w:rsidP="00AF7618">
      <w:pPr>
        <w:pStyle w:val="JuPara"/>
      </w:pPr>
      <w:r>
        <w:fldChar w:fldCharType="begin"/>
      </w:r>
      <w:r>
        <w:instrText xml:space="preserve"> SEQ level0 \*arabic \* MERGEFORMAT </w:instrText>
      </w:r>
      <w:r>
        <w:fldChar w:fldCharType="separate"/>
      </w:r>
      <w:r w:rsidR="00AF7618" w:rsidRPr="00AF7618">
        <w:t>64</w:t>
      </w:r>
      <w:r>
        <w:fldChar w:fldCharType="end"/>
      </w:r>
      <w:r w:rsidR="00AF7618">
        <w:t>.</w:t>
      </w:r>
      <w:r w:rsidR="00C1135A">
        <w:t xml:space="preserve"> </w:t>
      </w:r>
      <w:r w:rsidR="00AF7618">
        <w:t>Doamna Pivkina s-a plâns, în temeiul art. 6 § 1 din Convenție, de încălcarea garanțiilor pentru un proces echitabil în trei serii de proceduri administrative (</w:t>
      </w:r>
      <w:r w:rsidR="00AF7618">
        <w:rPr>
          <w:i/>
          <w:iCs/>
        </w:rPr>
        <w:t>supra</w:t>
      </w:r>
      <w:r w:rsidR="00AF7618">
        <w:t xml:space="preserve">, pct. </w:t>
      </w:r>
      <w:r w:rsidR="00AF7618" w:rsidRPr="00AF7618">
        <w:fldChar w:fldCharType="begin"/>
      </w:r>
      <w:r w:rsidR="00AF7618" w:rsidRPr="00AF7618">
        <w:instrText xml:space="preserve">REF paragraph00006 \h \* CharFormat </w:instrText>
      </w:r>
      <w:r w:rsidR="00AF7618" w:rsidRPr="00AF7618">
        <w:fldChar w:fldCharType="separate"/>
      </w:r>
      <w:r w:rsidR="00AF7618" w:rsidRPr="00AF7618">
        <w:t>6</w:t>
      </w:r>
      <w:r w:rsidR="00AF7618" w:rsidRPr="00AF7618">
        <w:fldChar w:fldCharType="end"/>
      </w:r>
      <w:r w:rsidR="00AF7618">
        <w:t>-</w:t>
      </w:r>
      <w:r w:rsidR="00AF7618" w:rsidRPr="00AF7618">
        <w:fldChar w:fldCharType="begin"/>
      </w:r>
      <w:r w:rsidR="00AF7618" w:rsidRPr="00AF7618">
        <w:instrText xml:space="preserve">REF paragraph00007 \h \* CharFormat </w:instrText>
      </w:r>
      <w:r w:rsidR="00AF7618" w:rsidRPr="00AF7618">
        <w:fldChar w:fldCharType="separate"/>
      </w:r>
      <w:r w:rsidR="00AF7618" w:rsidRPr="00AF7618">
        <w:t>7</w:t>
      </w:r>
      <w:r w:rsidR="00AF7618" w:rsidRPr="00AF7618">
        <w:fldChar w:fldCharType="end"/>
      </w:r>
      <w:r w:rsidR="00AF7618">
        <w:t xml:space="preserve">). Domnul Navalnîi s-a plâns de încălcarea </w:t>
      </w:r>
      <w:r w:rsidR="00AF7618">
        <w:lastRenderedPageBreak/>
        <w:t>dreptului său la un proces echitabil în cadrul procesului penal (</w:t>
      </w:r>
      <w:r w:rsidR="00AF7618">
        <w:rPr>
          <w:i/>
          <w:iCs/>
        </w:rPr>
        <w:t>supra</w:t>
      </w:r>
      <w:r w:rsidR="00AF7618">
        <w:t xml:space="preserve">, pct. </w:t>
      </w:r>
      <w:r w:rsidR="00AF7618" w:rsidRPr="00AF7618">
        <w:fldChar w:fldCharType="begin"/>
      </w:r>
      <w:r w:rsidR="00AF7618" w:rsidRPr="00AF7618">
        <w:instrText xml:space="preserve">REF paragraph00021 \h \* CharFormat </w:instrText>
      </w:r>
      <w:r w:rsidR="00AF7618" w:rsidRPr="00AF7618">
        <w:fldChar w:fldCharType="separate"/>
      </w:r>
      <w:r w:rsidR="00AF7618" w:rsidRPr="00AF7618">
        <w:t>21</w:t>
      </w:r>
      <w:r w:rsidR="00AF7618" w:rsidRPr="00AF7618">
        <w:fldChar w:fldCharType="end"/>
      </w:r>
      <w:r w:rsidR="00AF7618">
        <w:t>-</w:t>
      </w:r>
      <w:r w:rsidR="00AF7618" w:rsidRPr="00AF7618">
        <w:fldChar w:fldCharType="begin"/>
      </w:r>
      <w:r w:rsidR="00AF7618" w:rsidRPr="00AF7618">
        <w:instrText xml:space="preserve">REF paragraph00024 \h \* CharFormat </w:instrText>
      </w:r>
      <w:r w:rsidR="00AF7618" w:rsidRPr="00AF7618">
        <w:fldChar w:fldCharType="separate"/>
      </w:r>
      <w:r w:rsidR="00AF7618" w:rsidRPr="00AF7618">
        <w:t>24</w:t>
      </w:r>
      <w:r w:rsidR="00AF7618" w:rsidRPr="00AF7618">
        <w:fldChar w:fldCharType="end"/>
      </w:r>
      <w:r w:rsidR="00AF7618">
        <w:t>).</w:t>
      </w:r>
    </w:p>
    <w:p w:rsidR="00AF7618" w:rsidRPr="00AF7618" w:rsidRDefault="008A2B2A" w:rsidP="00AF7618">
      <w:pPr>
        <w:pStyle w:val="JuPara"/>
      </w:pPr>
      <w:r>
        <w:fldChar w:fldCharType="begin"/>
      </w:r>
      <w:r>
        <w:instrText xml:space="preserve"> SEQ level0 \*arabic \* MERGEFORMAT </w:instrText>
      </w:r>
      <w:r>
        <w:fldChar w:fldCharType="separate"/>
      </w:r>
      <w:r w:rsidR="00AF7618" w:rsidRPr="00AF7618">
        <w:t>65</w:t>
      </w:r>
      <w:r>
        <w:fldChar w:fldCharType="end"/>
      </w:r>
      <w:r w:rsidR="00AF7618">
        <w:t>.</w:t>
      </w:r>
      <w:r w:rsidR="00C1135A">
        <w:t xml:space="preserve"> </w:t>
      </w:r>
      <w:r w:rsidR="00AF7618">
        <w:t xml:space="preserve">Curtea observă pentru început că procesele administrative îndreptate împotriva doamnei Pivkina ar trebui să fie încadrate ca „penale” în sensul autonom al art. 6 din Convenție, din cauza posibilității de aplicare sau a aplicării unei pedepse privative de libertate efective în legătură cu acuzațiile pentru care a fost judecată (a se vedea </w:t>
      </w:r>
      <w:r w:rsidR="00AF7618">
        <w:rPr>
          <w:i/>
          <w:iCs/>
        </w:rPr>
        <w:t>Miha</w:t>
      </w:r>
      <w:r w:rsidR="00C72ECB">
        <w:rPr>
          <w:i/>
          <w:iCs/>
        </w:rPr>
        <w:t>i</w:t>
      </w:r>
      <w:r w:rsidR="00AF7618">
        <w:rPr>
          <w:i/>
          <w:iCs/>
        </w:rPr>
        <w:t>lova împotriva Rusiei</w:t>
      </w:r>
      <w:r w:rsidR="00AF7618">
        <w:t>, nr. 46998/08, pct. 57-74, 19 noiembrie 2015).</w:t>
      </w:r>
    </w:p>
    <w:p w:rsidR="00AF7618" w:rsidRPr="00AF7618" w:rsidRDefault="008A2B2A" w:rsidP="00AF7618">
      <w:pPr>
        <w:pStyle w:val="JuPara"/>
        <w:rPr>
          <w:color w:val="000000"/>
        </w:rPr>
      </w:pPr>
      <w:r>
        <w:fldChar w:fldCharType="begin"/>
      </w:r>
      <w:r>
        <w:instrText xml:space="preserve"> SEQ level0 \*arabic \* MERGEFORMAT </w:instrText>
      </w:r>
      <w:r>
        <w:fldChar w:fldCharType="separate"/>
      </w:r>
      <w:r w:rsidR="00AF7618" w:rsidRPr="00AF7618">
        <w:t>66</w:t>
      </w:r>
      <w:r>
        <w:fldChar w:fldCharType="end"/>
      </w:r>
      <w:r w:rsidR="00AF7618">
        <w:t>.</w:t>
      </w:r>
      <w:r w:rsidR="00C1135A">
        <w:t xml:space="preserve"> </w:t>
      </w:r>
      <w:r w:rsidR="00AF7618">
        <w:t xml:space="preserve">Preocuparea principală a Curții, în temeiul art. 6 § 1, este să aprecieze caracterul echitabil în general al procesului penal. Respectarea cerințelor unui proces echitabil se examinează de la caz la caz, având în vedere desfășurarea procedurii în ansamblu, nu pe baza examinării izolate a unui anumit aspect sau a unui anumit incident, cu toate că nu este exclus ca un anumit factor să fie atât de decisiv astfel încât să permită stabilirea caracterului echitabil al procesului într-o fază incipientă a procedurii [a se vedea </w:t>
      </w:r>
      <w:r w:rsidR="00AF7618">
        <w:rPr>
          <w:i/>
          <w:iCs/>
        </w:rPr>
        <w:t>Ibrahim și alții împotriva Regatului Unit</w:t>
      </w:r>
      <w:r w:rsidR="00AF7618">
        <w:t xml:space="preserve"> (MC), nr. 50541/08 și alte 3, pct. 250-251, 13 septembrie 2016].</w:t>
      </w:r>
    </w:p>
    <w:p w:rsidR="00AF7618" w:rsidRPr="00AF7618" w:rsidRDefault="008A2B2A" w:rsidP="00AF7618">
      <w:pPr>
        <w:pStyle w:val="JuPara"/>
      </w:pPr>
      <w:r>
        <w:fldChar w:fldCharType="begin"/>
      </w:r>
      <w:r>
        <w:instrText xml:space="preserve"> SEQ level0 \*arabic \* MERGEFORMAT </w:instrText>
      </w:r>
      <w:r>
        <w:fldChar w:fldCharType="separate"/>
      </w:r>
      <w:r w:rsidR="00AF7618" w:rsidRPr="00AF7618">
        <w:t>67</w:t>
      </w:r>
      <w:r>
        <w:fldChar w:fldCharType="end"/>
      </w:r>
      <w:r w:rsidR="00AF7618">
        <w:t>.</w:t>
      </w:r>
      <w:r w:rsidR="00C1135A">
        <w:t xml:space="preserve"> </w:t>
      </w:r>
      <w:r w:rsidR="00AF7618">
        <w:t xml:space="preserve">Ca regulă generală, persoana inculpată nu poate susține că este victima unei încălcări a art. 6 înainte de a fi condamnată definitiv [a se vedea </w:t>
      </w:r>
      <w:r w:rsidR="00AF7618">
        <w:rPr>
          <w:i/>
          <w:iCs/>
        </w:rPr>
        <w:t>Sahnovsk</w:t>
      </w:r>
      <w:r w:rsidR="00C72ECB">
        <w:rPr>
          <w:i/>
          <w:iCs/>
        </w:rPr>
        <w:t>îi</w:t>
      </w:r>
      <w:r w:rsidR="00AF7618">
        <w:rPr>
          <w:i/>
          <w:iCs/>
        </w:rPr>
        <w:t xml:space="preserve"> împotriva Rusiei</w:t>
      </w:r>
      <w:r w:rsidR="00AF7618">
        <w:t xml:space="preserve"> (MC), nr. 21272/03, pct. 77, 2 noiembrie 2010 și, mai recent, </w:t>
      </w:r>
      <w:r w:rsidR="00AF7618">
        <w:rPr>
          <w:i/>
          <w:iCs/>
        </w:rPr>
        <w:t>Webster împotriva Regatului Unit</w:t>
      </w:r>
      <w:r w:rsidR="00AF7618">
        <w:t xml:space="preserve"> (dec.), nr. 32479/16, pct. 28, 24 martie 2020].</w:t>
      </w:r>
    </w:p>
    <w:p w:rsidR="00AF7618" w:rsidRPr="00AF7618" w:rsidRDefault="008A2B2A" w:rsidP="00AF7618">
      <w:pPr>
        <w:pStyle w:val="JuPara"/>
      </w:pPr>
      <w:r>
        <w:fldChar w:fldCharType="begin"/>
      </w:r>
      <w:r>
        <w:instrText xml:space="preserve"> SEQ level0 \*arabic \* MERGEFORMAT </w:instrText>
      </w:r>
      <w:r>
        <w:fldChar w:fldCharType="separate"/>
      </w:r>
      <w:r w:rsidR="00AF7618" w:rsidRPr="00AF7618">
        <w:t>68</w:t>
      </w:r>
      <w:r>
        <w:fldChar w:fldCharType="end"/>
      </w:r>
      <w:r w:rsidR="00AF7618">
        <w:t>.</w:t>
      </w:r>
      <w:r w:rsidR="00C1135A">
        <w:t xml:space="preserve"> </w:t>
      </w:r>
      <w:r w:rsidR="00AF7618">
        <w:t xml:space="preserve">În ceea ce privește procesele penale desfășurate în temeiul legislației ruse, Curtea a constatat că recursul în casație pe două niveluri este ultima cale de atac care oferă inculpaților posibilitatea de a solicita control jurisdicțional și a obține recunoașterea oricărei încălcări a drepturilor lor, precum și reparații la nivel național [a se vedea </w:t>
      </w:r>
      <w:r w:rsidR="00AF7618">
        <w:rPr>
          <w:i/>
          <w:iCs/>
        </w:rPr>
        <w:t>Anikeiev și Iermakova împotriva Rusiei</w:t>
      </w:r>
      <w:r w:rsidR="00AF7618">
        <w:t xml:space="preserve"> (dec.), nr. 1311/21 și 10219/21, pct. 26-27, 13 aprilie 2021]. În procesele administrative,</w:t>
      </w:r>
      <w:r w:rsidR="00934F78">
        <w:t xml:space="preserve"> ultima instanță ordinară este</w:t>
      </w:r>
      <w:r w:rsidR="00AF7618">
        <w:t xml:space="preserve"> instanț</w:t>
      </w:r>
      <w:r w:rsidR="00934F78">
        <w:t>a</w:t>
      </w:r>
      <w:r w:rsidR="00AF7618">
        <w:t xml:space="preserve"> de recurs [a se vedea </w:t>
      </w:r>
      <w:r w:rsidR="00AF7618">
        <w:rPr>
          <w:i/>
          <w:iCs/>
        </w:rPr>
        <w:t>Smadikov împotriva Rusiei</w:t>
      </w:r>
      <w:r w:rsidR="00AF7618">
        <w:t xml:space="preserve"> (dec.), nr. 10810/15, 31 ianuarie 2017].</w:t>
      </w:r>
    </w:p>
    <w:p w:rsidR="00AF7618" w:rsidRPr="00AF7618" w:rsidRDefault="008A2B2A" w:rsidP="00AF7618">
      <w:pPr>
        <w:pStyle w:val="JuPara"/>
      </w:pPr>
      <w:r>
        <w:fldChar w:fldCharType="begin"/>
      </w:r>
      <w:r>
        <w:instrText xml:space="preserve"> SEQ level0 \*arabic \* MERGEFORMAT </w:instrText>
      </w:r>
      <w:r>
        <w:fldChar w:fldCharType="separate"/>
      </w:r>
      <w:r w:rsidR="00AF7618" w:rsidRPr="00AF7618">
        <w:t>69</w:t>
      </w:r>
      <w:r>
        <w:fldChar w:fldCharType="end"/>
      </w:r>
      <w:r w:rsidR="00AF7618">
        <w:t>.</w:t>
      </w:r>
      <w:r w:rsidR="00C1135A">
        <w:t xml:space="preserve"> </w:t>
      </w:r>
      <w:r w:rsidR="00AF7618">
        <w:t xml:space="preserve">În cazul doamnei Pivkina, </w:t>
      </w:r>
      <w:r w:rsidR="00934F78">
        <w:t xml:space="preserve">decizia </w:t>
      </w:r>
      <w:r w:rsidR="00AF7618">
        <w:t xml:space="preserve">în recurs în primul proces a fost pronunțată la 17 august 2022, și anume înainte de data încetării, iar celelalte două la 29 septembrie 2022, după această dată. În cazul domnului Navalnîi, </w:t>
      </w:r>
      <w:r w:rsidR="00934F78">
        <w:t xml:space="preserve">decizia </w:t>
      </w:r>
      <w:r w:rsidR="00AF7618">
        <w:t>ultimei instanțe de casație a fost pronunțată la 28 decembrie 2022.</w:t>
      </w:r>
    </w:p>
    <w:p w:rsidR="00AF7618" w:rsidRPr="00AF7618" w:rsidRDefault="008A2B2A" w:rsidP="00AF7618">
      <w:pPr>
        <w:pStyle w:val="JuPara"/>
      </w:pPr>
      <w:r>
        <w:fldChar w:fldCharType="begin"/>
      </w:r>
      <w:r>
        <w:instrText xml:space="preserve"> SEQ level0 \*arabic \* MERGEFORMAT </w:instrText>
      </w:r>
      <w:r>
        <w:fldChar w:fldCharType="separate"/>
      </w:r>
      <w:r w:rsidR="00AF7618" w:rsidRPr="00AF7618">
        <w:t>70</w:t>
      </w:r>
      <w:r>
        <w:fldChar w:fldCharType="end"/>
      </w:r>
      <w:r w:rsidR="00AF7618">
        <w:t>.</w:t>
      </w:r>
      <w:r w:rsidR="00C1135A">
        <w:t xml:space="preserve"> </w:t>
      </w:r>
      <w:r w:rsidR="00AF7618">
        <w:t xml:space="preserve">Prin urmare, numai capătul de cerere formulat de doamna Pivkina cu privire la primul proces administrativ este de competența Curții. Acest capăt de cerere trebuie notificat guvernului pârât în conformitate cu art. 54 § 2 lit. b) din Regulamentul Curții. Celelalte capete de cerere formulate de doamna Pivkina și domnul Navalnîi în temeiul acestei dispoziții nu sunt de competența Curții. Acestea sunt incompatibile </w:t>
      </w:r>
      <w:r w:rsidR="00AF7618">
        <w:rPr>
          <w:i/>
          <w:iCs/>
        </w:rPr>
        <w:t>ratione temporis</w:t>
      </w:r>
      <w:r w:rsidR="00AF7618">
        <w:t xml:space="preserve"> cu art. 35 § 3 din Convenție și trebuie să fie respinse în conformitate cu art. 35 § 4. Această constatare se aplică și capetelor de cerere formulate de domnul Navalnîi în temeiul art. 7 și 18 din Convenție, care rezultă din același set de procese.</w:t>
      </w:r>
    </w:p>
    <w:p w:rsidR="00AF7618" w:rsidRPr="00AF7618" w:rsidRDefault="00AF7618" w:rsidP="00AF7618">
      <w:pPr>
        <w:pStyle w:val="JuHa0"/>
      </w:pPr>
      <w:r>
        <w:lastRenderedPageBreak/>
        <w:t>Capete de cerere întemeiate pe art. 8, 10 și 11 din Convenție: cazurile doamnei Pivkina, domnului Korolev, doamnei Viktorova, doamnei Iudina-Kliugvant și domnului Iasaveiev</w:t>
      </w:r>
    </w:p>
    <w:p w:rsidR="00AF7618" w:rsidRPr="00AF7618" w:rsidRDefault="008A2B2A" w:rsidP="00AF7618">
      <w:pPr>
        <w:pStyle w:val="JuPara"/>
      </w:pPr>
      <w:r>
        <w:fldChar w:fldCharType="begin"/>
      </w:r>
      <w:r>
        <w:instrText xml:space="preserve"> SEQ level0 \*arabic \* MERGEFORMAT </w:instrText>
      </w:r>
      <w:r>
        <w:fldChar w:fldCharType="separate"/>
      </w:r>
      <w:r w:rsidR="00AF7618" w:rsidRPr="00AF7618">
        <w:t>71</w:t>
      </w:r>
      <w:r>
        <w:fldChar w:fldCharType="end"/>
      </w:r>
      <w:r w:rsidR="00AF7618">
        <w:t>.</w:t>
      </w:r>
      <w:r w:rsidR="00C1135A">
        <w:t xml:space="preserve"> </w:t>
      </w:r>
      <w:r w:rsidR="00AF7618">
        <w:t>Domnul Iasaveiev a invocat art. 8 și 10 din Convenție pentru a se plânge de o percheziție efectuată la domiciliul său și reședința sa de vară și de ridicarea de dispozitive electronice care îi aparțineau. Domnul Korolev și doamna Iudina-Kliugvant s-au plâns de încălcarea dreptului lor la libertatea de exprimare prevăzut de art. 10 din Convenție. Doamnele Pivkina și Viktorova au invocat o încălcare a art. 11 din Convenție.</w:t>
      </w:r>
    </w:p>
    <w:p w:rsidR="00AF7618" w:rsidRPr="00AF7618" w:rsidRDefault="008A2B2A" w:rsidP="00AF7618">
      <w:pPr>
        <w:pStyle w:val="JuPara"/>
      </w:pPr>
      <w:r>
        <w:fldChar w:fldCharType="begin"/>
      </w:r>
      <w:r>
        <w:instrText xml:space="preserve"> SEQ level0 \*arabic \* MERGEFORMAT </w:instrText>
      </w:r>
      <w:r>
        <w:fldChar w:fldCharType="separate"/>
      </w:r>
      <w:r w:rsidR="00AF7618" w:rsidRPr="00AF7618">
        <w:t>72</w:t>
      </w:r>
      <w:r>
        <w:fldChar w:fldCharType="end"/>
      </w:r>
      <w:r w:rsidR="00AF7618">
        <w:t>.</w:t>
      </w:r>
      <w:r w:rsidR="00C1135A">
        <w:t xml:space="preserve"> </w:t>
      </w:r>
      <w:r w:rsidR="00AF7618">
        <w:t>În aceste cazuri, faptele care au dat naștere capetelor de cerere – comportament expresiv, participare la un protest sau o percheziție domiciliară – au avut loc înainte de data încetării, dar hotărârea definitivă în apel a fost pronunțată după această dată. În consecință, Curtea trebuie să stabilească faptele care au constituit ingerința invocată (</w:t>
      </w:r>
      <w:r w:rsidR="00AF7618">
        <w:rPr>
          <w:i/>
          <w:iCs/>
        </w:rPr>
        <w:t>supra</w:t>
      </w:r>
      <w:r w:rsidR="00AF7618">
        <w:t xml:space="preserve">, pct. </w:t>
      </w:r>
      <w:r w:rsidR="00AF7618" w:rsidRPr="00AF7618">
        <w:fldChar w:fldCharType="begin"/>
      </w:r>
      <w:r w:rsidR="00AF7618" w:rsidRPr="00AF7618">
        <w:instrText xml:space="preserve">REF paragraph00053 \h \* CharFormat </w:instrText>
      </w:r>
      <w:r w:rsidR="00AF7618" w:rsidRPr="00AF7618">
        <w:fldChar w:fldCharType="separate"/>
      </w:r>
      <w:r w:rsidR="00AF7618" w:rsidRPr="00AF7618">
        <w:t>53</w:t>
      </w:r>
      <w:r w:rsidR="00AF7618" w:rsidRPr="00AF7618">
        <w:fldChar w:fldCharType="end"/>
      </w:r>
      <w:r w:rsidR="00AF7618">
        <w:t>-</w:t>
      </w:r>
      <w:r w:rsidR="00AF7618" w:rsidRPr="00AF7618">
        <w:fldChar w:fldCharType="begin"/>
      </w:r>
      <w:r w:rsidR="00AF7618" w:rsidRPr="00AF7618">
        <w:instrText xml:space="preserve">REF paragraph00054 \h \* CharFormat </w:instrText>
      </w:r>
      <w:r w:rsidR="00AF7618" w:rsidRPr="00AF7618">
        <w:fldChar w:fldCharType="separate"/>
      </w:r>
      <w:r w:rsidR="00AF7618" w:rsidRPr="00AF7618">
        <w:t>54</w:t>
      </w:r>
      <w:r w:rsidR="00AF7618" w:rsidRPr="00AF7618">
        <w:fldChar w:fldCharType="end"/>
      </w:r>
      <w:r w:rsidR="00AF7618">
        <w:t>).</w:t>
      </w:r>
    </w:p>
    <w:p w:rsidR="00AF7618" w:rsidRPr="00AF7618" w:rsidRDefault="00AF7618" w:rsidP="00AF7618">
      <w:pPr>
        <w:pStyle w:val="JuHi"/>
      </w:pPr>
      <w:r>
        <w:t>Art. 8 din Convenție</w:t>
      </w:r>
    </w:p>
    <w:p w:rsidR="00AF7618" w:rsidRPr="00AF7618" w:rsidRDefault="008A2B2A" w:rsidP="00AF7618">
      <w:pPr>
        <w:pStyle w:val="JuPara"/>
      </w:pPr>
      <w:r>
        <w:fldChar w:fldCharType="begin"/>
      </w:r>
      <w:r>
        <w:instrText xml:space="preserve"> SEQ level0 \*arabic \* MER</w:instrText>
      </w:r>
      <w:r>
        <w:instrText xml:space="preserve">GEFORMAT </w:instrText>
      </w:r>
      <w:r>
        <w:fldChar w:fldCharType="separate"/>
      </w:r>
      <w:r w:rsidR="00AF7618" w:rsidRPr="00AF7618">
        <w:t>73</w:t>
      </w:r>
      <w:r>
        <w:fldChar w:fldCharType="end"/>
      </w:r>
      <w:r w:rsidR="00AF7618">
        <w:t>.</w:t>
      </w:r>
      <w:r w:rsidR="00C1135A">
        <w:t xml:space="preserve"> </w:t>
      </w:r>
      <w:r w:rsidR="00AF7618">
        <w:t xml:space="preserve">Curtea reiterează că percheziția și ridicarea de obiecte la domiciliul unui reclamant sunt fapte instantanee care, în pofida efectelor lor de durată, nu dau naștere unei situații continue [a se vedea </w:t>
      </w:r>
      <w:r w:rsidR="00AF7618">
        <w:rPr>
          <w:i/>
          <w:iCs/>
        </w:rPr>
        <w:t>Veeber împotriva Estoniei (nr. 1)</w:t>
      </w:r>
      <w:r w:rsidR="00AF7618">
        <w:t>, nr. 37571/97, pct. 55, 7 noiembrie 2002].</w:t>
      </w:r>
    </w:p>
    <w:p w:rsidR="00AF7618" w:rsidRPr="00AF7618" w:rsidRDefault="008A2B2A" w:rsidP="00AF7618">
      <w:pPr>
        <w:pStyle w:val="JuPara"/>
      </w:pPr>
      <w:r>
        <w:fldChar w:fldCharType="begin"/>
      </w:r>
      <w:r>
        <w:instrText xml:space="preserve"> SEQ level0 \*arabic \* MERGEFORMAT </w:instrText>
      </w:r>
      <w:r>
        <w:fldChar w:fldCharType="separate"/>
      </w:r>
      <w:r w:rsidR="00AF7618" w:rsidRPr="00AF7618">
        <w:t>74</w:t>
      </w:r>
      <w:r>
        <w:fldChar w:fldCharType="end"/>
      </w:r>
      <w:r w:rsidR="00AF7618">
        <w:t>.</w:t>
      </w:r>
      <w:r w:rsidR="00C1135A">
        <w:t xml:space="preserve"> </w:t>
      </w:r>
      <w:r w:rsidR="00AF7618">
        <w:t>În cazul domnului Iasaveiev, percheziția efectuată la domiciliul său și reședința sa de vară a avut loc la 17 august 2022, înainte de data încetării. Soluționarea contestației la mandatul de percheziție – care a avut loc după această dată – ar trebui considerată mai degrabă o exercitare a unei căi de atac interne disponibile decât un caz nou de ingerință (</w:t>
      </w:r>
      <w:r w:rsidR="00AF7618">
        <w:rPr>
          <w:i/>
          <w:iCs/>
        </w:rPr>
        <w:t>supra</w:t>
      </w:r>
      <w:r w:rsidR="00AF7618">
        <w:t xml:space="preserve">, pct. </w:t>
      </w:r>
      <w:r w:rsidR="00AF7618" w:rsidRPr="00AF7618">
        <w:fldChar w:fldCharType="begin"/>
      </w:r>
      <w:r w:rsidR="00AF7618" w:rsidRPr="00AF7618">
        <w:instrText xml:space="preserve">REF paragraph00025 \h \* CharFormat </w:instrText>
      </w:r>
      <w:r w:rsidR="00AF7618" w:rsidRPr="00AF7618">
        <w:fldChar w:fldCharType="separate"/>
      </w:r>
      <w:r w:rsidR="00AF7618" w:rsidRPr="00AF7618">
        <w:t>25</w:t>
      </w:r>
      <w:r w:rsidR="00AF7618" w:rsidRPr="00AF7618">
        <w:fldChar w:fldCharType="end"/>
      </w:r>
      <w:r w:rsidR="00AF7618">
        <w:t>-</w:t>
      </w:r>
      <w:r w:rsidR="00AF7618" w:rsidRPr="00AF7618">
        <w:fldChar w:fldCharType="begin"/>
      </w:r>
      <w:r w:rsidR="00AF7618" w:rsidRPr="00AF7618">
        <w:instrText xml:space="preserve">REF paragraph00026 \h \* CharFormat </w:instrText>
      </w:r>
      <w:r w:rsidR="00AF7618" w:rsidRPr="00AF7618">
        <w:fldChar w:fldCharType="separate"/>
      </w:r>
      <w:r w:rsidR="00AF7618" w:rsidRPr="00AF7618">
        <w:t>26</w:t>
      </w:r>
      <w:r w:rsidR="00AF7618" w:rsidRPr="00AF7618">
        <w:fldChar w:fldCharType="end"/>
      </w:r>
      <w:r w:rsidR="00AF7618">
        <w:t>). Prin urmare, acest capăt de cerere intră în sfera de competență a Curții și trebuie notificat guvernului pârât în conformitate cu art. 54 § 2 lit. b) din Regulamentul Curții.</w:t>
      </w:r>
    </w:p>
    <w:p w:rsidR="00AF7618" w:rsidRPr="00AF7618" w:rsidRDefault="00AF7618" w:rsidP="00AF7618">
      <w:pPr>
        <w:pStyle w:val="JuHi"/>
      </w:pPr>
      <w:r>
        <w:t>Art. 10 din Convenție</w:t>
      </w:r>
    </w:p>
    <w:p w:rsidR="00AF7618" w:rsidRPr="00AF7618" w:rsidRDefault="008A2B2A" w:rsidP="00AF7618">
      <w:pPr>
        <w:pStyle w:val="JuPara"/>
      </w:pPr>
      <w:r>
        <w:fldChar w:fldCharType="begin"/>
      </w:r>
      <w:r>
        <w:instrText xml:space="preserve"> SEQ level0 \*arabic \* MERGEFORMAT </w:instrText>
      </w:r>
      <w:r>
        <w:fldChar w:fldCharType="separate"/>
      </w:r>
      <w:r w:rsidR="00AF7618" w:rsidRPr="00AF7618">
        <w:t>75</w:t>
      </w:r>
      <w:r>
        <w:fldChar w:fldCharType="end"/>
      </w:r>
      <w:r w:rsidR="00AF7618">
        <w:t>.</w:t>
      </w:r>
      <w:r w:rsidR="00C1135A">
        <w:t xml:space="preserve"> </w:t>
      </w:r>
      <w:r w:rsidR="00AF7618">
        <w:t>Ingerința în dreptul la libertatea de exprimare poate avea o varietate de forme. Măsurile de drept penal care au un efect de descurajare asupra libertății de exprimare pot</w:t>
      </w:r>
      <w:r w:rsidR="000C4056">
        <w:t>,</w:t>
      </w:r>
      <w:r w:rsidR="00AF7618">
        <w:t xml:space="preserve"> în anumite situații</w:t>
      </w:r>
      <w:r w:rsidR="000C4056">
        <w:t>,</w:t>
      </w:r>
      <w:r w:rsidR="00AF7618">
        <w:t xml:space="preserve"> să confere persoanelor afectate statutul de „victimă” a unei pretinse încălcări, chiar dacă procesele penale îndreptate împotriva acestora nu s-au </w:t>
      </w:r>
      <w:r w:rsidR="000C4056">
        <w:t>soluționat</w:t>
      </w:r>
      <w:r w:rsidR="00AF7618">
        <w:t xml:space="preserve"> printr-o condamnare (a se vedea </w:t>
      </w:r>
      <w:r w:rsidR="00AF7618">
        <w:rPr>
          <w:i/>
          <w:iCs/>
        </w:rPr>
        <w:t>Iefimov și Youth Human Rights Group împotriva Rusiei</w:t>
      </w:r>
      <w:r w:rsidR="00AF7618">
        <w:t>, nr. 12385/15 și 51619/15, pct. 34, 7 decembrie 2021, cu trimiteri suplimentare). Deși în unele cazuri privarea de libertate poate indica în mod decisiv existența unei ingerințe, în alte cazuri dovada acesteia rezultă din efectul cumulativ al procedurii în ansamblu sau din existența altor „restrângeri reale și efective” care îi afectează pe reclamanți (</w:t>
      </w:r>
      <w:r w:rsidR="00AF7618">
        <w:rPr>
          <w:i/>
          <w:iCs/>
        </w:rPr>
        <w:t>ibidem</w:t>
      </w:r>
      <w:r w:rsidR="00AF7618">
        <w:t>, pct. 36).</w:t>
      </w:r>
    </w:p>
    <w:p w:rsidR="00AF7618" w:rsidRPr="00AF7618" w:rsidRDefault="008A2B2A" w:rsidP="00AF7618">
      <w:pPr>
        <w:pStyle w:val="JuPara"/>
      </w:pPr>
      <w:r>
        <w:fldChar w:fldCharType="begin"/>
      </w:r>
      <w:r>
        <w:instrText xml:space="preserve"> SEQ level0 \*arabic \* MERGEFORMAT </w:instrText>
      </w:r>
      <w:r>
        <w:fldChar w:fldCharType="separate"/>
      </w:r>
      <w:r w:rsidR="00AF7618" w:rsidRPr="00AF7618">
        <w:t>76</w:t>
      </w:r>
      <w:r>
        <w:fldChar w:fldCharType="end"/>
      </w:r>
      <w:r w:rsidR="00AF7618">
        <w:t>.</w:t>
      </w:r>
      <w:r w:rsidR="00C1135A">
        <w:t xml:space="preserve"> </w:t>
      </w:r>
      <w:r w:rsidR="00AF7618">
        <w:t xml:space="preserve">Rezultă că faptele constitutive ale ingerinței trebuie considerate ca incluzând orice măsuri restrictive luate împotriva unui reclamant în legătură </w:t>
      </w:r>
      <w:r w:rsidR="00AF7618">
        <w:lastRenderedPageBreak/>
        <w:t>cu comportamentul său expresiv, iar competența Curții se va determina în funcție dacă astfel de fapte au loc înainte sau după data încetării.</w:t>
      </w:r>
    </w:p>
    <w:p w:rsidR="00AF7618" w:rsidRPr="00AF7618" w:rsidRDefault="008A2B2A" w:rsidP="00AF7618">
      <w:pPr>
        <w:pStyle w:val="JuPara"/>
      </w:pPr>
      <w:r>
        <w:fldChar w:fldCharType="begin"/>
      </w:r>
      <w:r>
        <w:instrText xml:space="preserve"> SEQ level0 \*arabic \* MERGEFORMAT </w:instrText>
      </w:r>
      <w:r>
        <w:fldChar w:fldCharType="separate"/>
      </w:r>
      <w:r w:rsidR="00AF7618" w:rsidRPr="00AF7618">
        <w:t>77</w:t>
      </w:r>
      <w:r>
        <w:fldChar w:fldCharType="end"/>
      </w:r>
      <w:r w:rsidR="00AF7618">
        <w:t>.</w:t>
      </w:r>
      <w:r w:rsidR="00C1135A">
        <w:t xml:space="preserve"> </w:t>
      </w:r>
      <w:r w:rsidR="00AF7618">
        <w:t>Aplicând acest criteriu circumstanțelor din prezentele cauze, Curtea constată că domnul Korolev a fost reținut și arestat preventiv în legătură cu declarațiile sale pe platformele de comunicare socială (</w:t>
      </w:r>
      <w:r w:rsidR="00AF7618">
        <w:rPr>
          <w:i/>
          <w:iCs/>
        </w:rPr>
        <w:t>supra</w:t>
      </w:r>
      <w:r w:rsidR="00AF7618">
        <w:t xml:space="preserve">, pct. </w:t>
      </w:r>
      <w:r w:rsidR="00AF7618" w:rsidRPr="00AF7618">
        <w:fldChar w:fldCharType="begin"/>
      </w:r>
      <w:r w:rsidR="00AF7618" w:rsidRPr="00AF7618">
        <w:instrText xml:space="preserve">REF paragraph00008 \h \* CharFormat </w:instrText>
      </w:r>
      <w:r w:rsidR="00AF7618" w:rsidRPr="00AF7618">
        <w:fldChar w:fldCharType="separate"/>
      </w:r>
      <w:r w:rsidR="00AF7618" w:rsidRPr="00AF7618">
        <w:t>8</w:t>
      </w:r>
      <w:r w:rsidR="00AF7618" w:rsidRPr="00AF7618">
        <w:fldChar w:fldCharType="end"/>
      </w:r>
      <w:r w:rsidR="00AF7618">
        <w:t>-</w:t>
      </w:r>
      <w:r w:rsidR="00AF7618" w:rsidRPr="00AF7618">
        <w:fldChar w:fldCharType="begin"/>
      </w:r>
      <w:r w:rsidR="00AF7618" w:rsidRPr="00AF7618">
        <w:instrText xml:space="preserve">REF paragraph00012 \h \* CharFormat </w:instrText>
      </w:r>
      <w:r w:rsidR="00AF7618" w:rsidRPr="00AF7618">
        <w:fldChar w:fldCharType="separate"/>
      </w:r>
      <w:r w:rsidR="00AF7618" w:rsidRPr="00AF7618">
        <w:t>12</w:t>
      </w:r>
      <w:r w:rsidR="00AF7618" w:rsidRPr="00AF7618">
        <w:fldChar w:fldCharType="end"/>
      </w:r>
      <w:r w:rsidR="00AF7618">
        <w:t>) și că împotriva doamnei Iudina-Kliugvant s-a declanșat un proces în legătură cu contravenția aplicată în urma afișelor anti-război pe care le-a instalat în autoturismul său (</w:t>
      </w:r>
      <w:r w:rsidR="00AF7618">
        <w:rPr>
          <w:i/>
          <w:iCs/>
        </w:rPr>
        <w:t>supra</w:t>
      </w:r>
      <w:r w:rsidR="00AF7618">
        <w:t xml:space="preserve">, pct. </w:t>
      </w:r>
      <w:r w:rsidR="00AF7618" w:rsidRPr="00AF7618">
        <w:fldChar w:fldCharType="begin"/>
      </w:r>
      <w:r w:rsidR="00AF7618" w:rsidRPr="00AF7618">
        <w:instrText xml:space="preserve">REF paragraph00016 \h \* CharFormat </w:instrText>
      </w:r>
      <w:r w:rsidR="00AF7618" w:rsidRPr="00AF7618">
        <w:fldChar w:fldCharType="separate"/>
      </w:r>
      <w:r w:rsidR="00AF7618" w:rsidRPr="00AF7618">
        <w:t>16</w:t>
      </w:r>
      <w:r w:rsidR="00AF7618" w:rsidRPr="00AF7618">
        <w:fldChar w:fldCharType="end"/>
      </w:r>
      <w:r w:rsidR="00AF7618">
        <w:t>-</w:t>
      </w:r>
      <w:r w:rsidR="00AF7618" w:rsidRPr="00AF7618">
        <w:fldChar w:fldCharType="begin"/>
      </w:r>
      <w:r w:rsidR="00AF7618" w:rsidRPr="00AF7618">
        <w:instrText xml:space="preserve">REF paragraph00017 \h \* CharFormat </w:instrText>
      </w:r>
      <w:r w:rsidR="00AF7618" w:rsidRPr="00AF7618">
        <w:fldChar w:fldCharType="separate"/>
      </w:r>
      <w:r w:rsidR="00AF7618" w:rsidRPr="00AF7618">
        <w:t>17</w:t>
      </w:r>
      <w:r w:rsidR="00AF7618" w:rsidRPr="00AF7618">
        <w:fldChar w:fldCharType="end"/>
      </w:r>
      <w:r w:rsidR="00AF7618">
        <w:t xml:space="preserve">). Curtea ia în considerare, de asemenea, faptul că procesul împotriva doamnei Iudina-Kliugvant s-a încheiat prin condamnarea sa [a se vedea, </w:t>
      </w:r>
      <w:r w:rsidR="00AF7618">
        <w:rPr>
          <w:i/>
          <w:iCs/>
        </w:rPr>
        <w:t>a contrario</w:t>
      </w:r>
      <w:r w:rsidR="00AF7618">
        <w:t xml:space="preserve">, </w:t>
      </w:r>
      <w:r w:rsidR="00AF7618">
        <w:rPr>
          <w:i/>
        </w:rPr>
        <w:t>Metis Yayıncılık Limited Şirketi</w:t>
      </w:r>
      <w:r w:rsidR="00AF7618">
        <w:rPr>
          <w:i/>
          <w:iCs/>
        </w:rPr>
        <w:t xml:space="preserve"> și Sökmen împotriva Turciei</w:t>
      </w:r>
      <w:r w:rsidR="00AF7618">
        <w:t xml:space="preserve"> (dec.), nr. 4751/07, pct. 35-36, 20 iunie 2017], care a fost pronunțată la o dată la care Convenția era încă în vigoare în privința statului pârât, deși a devenit definitivă după data respectivă. Întrucât faptele constitutive ale ingerinței în dreptul la libertatea de exprimare au avut loc înainte de data încetării, ele intră în sfera competenței temporale a Curții.</w:t>
      </w:r>
    </w:p>
    <w:p w:rsidR="00AF7618" w:rsidRPr="00AF7618" w:rsidRDefault="008A2B2A" w:rsidP="00AF7618">
      <w:pPr>
        <w:pStyle w:val="JuPara"/>
      </w:pPr>
      <w:r>
        <w:fldChar w:fldCharType="begin"/>
      </w:r>
      <w:r>
        <w:instrText xml:space="preserve"> SEQ level0 \*arabic \* MERGEFORMAT </w:instrText>
      </w:r>
      <w:r>
        <w:fldChar w:fldCharType="separate"/>
      </w:r>
      <w:r w:rsidR="00AF7618" w:rsidRPr="00AF7618">
        <w:t>78</w:t>
      </w:r>
      <w:r>
        <w:fldChar w:fldCharType="end"/>
      </w:r>
      <w:r w:rsidR="00AF7618">
        <w:t>.</w:t>
      </w:r>
      <w:r w:rsidR="00C1135A">
        <w:t xml:space="preserve"> </w:t>
      </w:r>
      <w:r w:rsidR="00AF7618">
        <w:t>În cazul domnului Iasaveiev, percheziția efectuată la domiciliul și reședința acestuia și ridicarea de smartphone-uri și laptopuri ale acestuia par să fi avut legătură cu activitățile sale jurnalistice (</w:t>
      </w:r>
      <w:r w:rsidR="00AF7618">
        <w:rPr>
          <w:i/>
          <w:iCs/>
        </w:rPr>
        <w:t>supra</w:t>
      </w:r>
      <w:r w:rsidR="00AF7618">
        <w:t xml:space="preserve">, pct. </w:t>
      </w:r>
      <w:r w:rsidR="00AF7618" w:rsidRPr="00AF7618">
        <w:fldChar w:fldCharType="begin"/>
      </w:r>
      <w:r w:rsidR="00AF7618" w:rsidRPr="00AF7618">
        <w:instrText xml:space="preserve">REF paragraph00025 \h \* CharFormat </w:instrText>
      </w:r>
      <w:r w:rsidR="00AF7618" w:rsidRPr="00AF7618">
        <w:fldChar w:fldCharType="separate"/>
      </w:r>
      <w:r w:rsidR="00AF7618" w:rsidRPr="00AF7618">
        <w:t>25</w:t>
      </w:r>
      <w:r w:rsidR="00AF7618" w:rsidRPr="00AF7618">
        <w:fldChar w:fldCharType="end"/>
      </w:r>
      <w:r w:rsidR="00AF7618">
        <w:t xml:space="preserve">) și, prin urmare, ar putea să constituie, pentru motive întemeiate, o ingerință în dreptul său la libertatea de exprimare (a se vedea </w:t>
      </w:r>
      <w:r w:rsidR="00C72ECB">
        <w:rPr>
          <w:i/>
          <w:iCs/>
        </w:rPr>
        <w:t>Avaz Zei</w:t>
      </w:r>
      <w:r w:rsidR="00AF7618">
        <w:rPr>
          <w:i/>
          <w:iCs/>
        </w:rPr>
        <w:t>nalov împotriva Azerbaidjanului</w:t>
      </w:r>
      <w:r w:rsidR="00AF7618">
        <w:t>, nr. 37816/12 și 25260/14, pct. 98, 22 aprilie 2021). Întrucât percheziția și ridicarea de obiecte au avut loc înainte de data încetării, și acestea intră în competența Curții.</w:t>
      </w:r>
    </w:p>
    <w:p w:rsidR="00AF7618" w:rsidRPr="00AF7618" w:rsidRDefault="008A2B2A" w:rsidP="00AF7618">
      <w:pPr>
        <w:pStyle w:val="JuPara"/>
      </w:pPr>
      <w:r>
        <w:fldChar w:fldCharType="begin"/>
      </w:r>
      <w:r>
        <w:instrText xml:space="preserve"> SEQ level0 \*arabic \* MERGEFORMAT </w:instrText>
      </w:r>
      <w:r>
        <w:fldChar w:fldCharType="separate"/>
      </w:r>
      <w:r w:rsidR="00AF7618" w:rsidRPr="00AF7618">
        <w:t>79</w:t>
      </w:r>
      <w:r>
        <w:fldChar w:fldCharType="end"/>
      </w:r>
      <w:r w:rsidR="00AF7618">
        <w:t>.</w:t>
      </w:r>
      <w:r w:rsidR="00C1135A">
        <w:t xml:space="preserve"> </w:t>
      </w:r>
      <w:r w:rsidR="00AF7618">
        <w:t>Prin urmare, capetele de cerere formulate de domnul Korolev, doamna Iudina-Kliugvant și domnul Iasaveiev cu privire la o pretinsă încălcare a dreptului la libertatea de exprimare trebuie să fie notificate guvernului pârât în conformitate cu art. 54 § 2 lit. b) din Regulamentul Curții.</w:t>
      </w:r>
    </w:p>
    <w:p w:rsidR="00AF7618" w:rsidRPr="00AF7618" w:rsidRDefault="00AF7618" w:rsidP="00AF7618">
      <w:pPr>
        <w:pStyle w:val="JuHi"/>
      </w:pPr>
      <w:r>
        <w:t>Art. 11 din Convenție</w:t>
      </w:r>
    </w:p>
    <w:p w:rsidR="00AF7618" w:rsidRPr="00AF7618" w:rsidRDefault="00AF7618" w:rsidP="00AF7618">
      <w:pPr>
        <w:pStyle w:val="JuPara"/>
        <w:rPr>
          <w:rFonts w:cstheme="minorHAnsi"/>
        </w:rPr>
      </w:pPr>
      <w:r w:rsidRPr="00AF7618">
        <w:rPr>
          <w:rFonts w:cstheme="minorHAnsi"/>
        </w:rPr>
        <w:fldChar w:fldCharType="begin"/>
      </w:r>
      <w:r w:rsidRPr="00AF7618">
        <w:rPr>
          <w:rFonts w:cstheme="minorHAnsi"/>
        </w:rPr>
        <w:instrText xml:space="preserve"> SEQ level0 \*arabic \* MERGEFORMAT </w:instrText>
      </w:r>
      <w:r w:rsidRPr="00AF7618">
        <w:rPr>
          <w:rFonts w:cstheme="minorHAnsi"/>
        </w:rPr>
        <w:fldChar w:fldCharType="separate"/>
      </w:r>
      <w:r w:rsidRPr="00AF7618">
        <w:rPr>
          <w:rFonts w:cstheme="minorHAnsi"/>
        </w:rPr>
        <w:t>80</w:t>
      </w:r>
      <w:r w:rsidRPr="00AF7618">
        <w:rPr>
          <w:rFonts w:cstheme="minorHAnsi"/>
        </w:rPr>
        <w:fldChar w:fldCharType="end"/>
      </w:r>
      <w:r>
        <w:t>.</w:t>
      </w:r>
      <w:r w:rsidR="00C1135A">
        <w:t xml:space="preserve"> </w:t>
      </w:r>
      <w:r>
        <w:t xml:space="preserve">În ceea ce privește ingerința în dreptul la libertatea de întrunire, Curtea reiterează faptul că aceasta nu trebuie să implice o interdicție totală, prin lege sau </w:t>
      </w:r>
      <w:r>
        <w:rPr>
          <w:i/>
          <w:iCs/>
        </w:rPr>
        <w:t>de facto</w:t>
      </w:r>
      <w:r>
        <w:t xml:space="preserve">. Poate avea diverse forme, de exemplu măsuri luate de autorități înainte sau în timpul unei adunări, precum și măsuri punitive luate ulterior. De exemplu, interdicția de călătorie aplicată unei persoane care intenționa să participe la o întâlnire constituie, de asemenea, o ingerință (a se vedea </w:t>
      </w:r>
      <w:r>
        <w:rPr>
          <w:i/>
          <w:iCs/>
        </w:rPr>
        <w:t>Kasparov împotriva Rusiei</w:t>
      </w:r>
      <w:r>
        <w:t xml:space="preserve">, nr. 53659/07, pct. 66, 11 octombrie 2016). În mod similar, măsurile luate de autorități în timpul unui miting, precum dispersarea sau arestarea participanților, și aplicarea de sancțiuni celor care au participat la acesta, constituie o ingerință (a se vedea </w:t>
      </w:r>
      <w:r>
        <w:rPr>
          <w:i/>
          <w:iCs/>
        </w:rPr>
        <w:t>Kasparov și alții împotriva Rusiei</w:t>
      </w:r>
      <w:r>
        <w:t>, nr. 21613/07, pct. 84, 3 octombrie 2013, cu trimiteri suplimentare).</w:t>
      </w:r>
    </w:p>
    <w:p w:rsidR="00AF7618" w:rsidRPr="00AF7618" w:rsidRDefault="008A2B2A" w:rsidP="00AF7618">
      <w:pPr>
        <w:pStyle w:val="JuPara"/>
      </w:pPr>
      <w:r>
        <w:fldChar w:fldCharType="begin"/>
      </w:r>
      <w:r>
        <w:instrText xml:space="preserve"> SEQ level0 \*arabic \* MERGEFORMAT </w:instrText>
      </w:r>
      <w:r>
        <w:fldChar w:fldCharType="separate"/>
      </w:r>
      <w:r w:rsidR="00AF7618" w:rsidRPr="00AF7618">
        <w:t>81</w:t>
      </w:r>
      <w:r>
        <w:fldChar w:fldCharType="end"/>
      </w:r>
      <w:r w:rsidR="00AF7618">
        <w:t>.</w:t>
      </w:r>
      <w:r w:rsidR="00C1135A">
        <w:t xml:space="preserve"> </w:t>
      </w:r>
      <w:r w:rsidR="00AF7618">
        <w:t>Doamna Viktorova a fost arestată în drum spre un protest, iar doamna Pivkina a fost arestată în timpul a trei proteste la care a participat (</w:t>
      </w:r>
      <w:r w:rsidR="00AF7618">
        <w:rPr>
          <w:i/>
          <w:iCs/>
        </w:rPr>
        <w:t>supra</w:t>
      </w:r>
      <w:r w:rsidR="00AF7618">
        <w:t xml:space="preserve">, pct. </w:t>
      </w:r>
      <w:r w:rsidR="00AF7618" w:rsidRPr="00AF7618">
        <w:fldChar w:fldCharType="begin"/>
      </w:r>
      <w:r w:rsidR="00AF7618" w:rsidRPr="00AF7618">
        <w:instrText xml:space="preserve">REF paragraph00018 \h \* CharFormat </w:instrText>
      </w:r>
      <w:r w:rsidR="00AF7618" w:rsidRPr="00AF7618">
        <w:fldChar w:fldCharType="separate"/>
      </w:r>
      <w:r w:rsidR="00AF7618" w:rsidRPr="00AF7618">
        <w:t>18</w:t>
      </w:r>
      <w:r w:rsidR="00AF7618" w:rsidRPr="00AF7618">
        <w:fldChar w:fldCharType="end"/>
      </w:r>
      <w:r w:rsidR="00AF7618">
        <w:t xml:space="preserve"> și </w:t>
      </w:r>
      <w:r w:rsidR="00AF7618" w:rsidRPr="00AF7618">
        <w:fldChar w:fldCharType="begin"/>
      </w:r>
      <w:r w:rsidR="00AF7618" w:rsidRPr="00AF7618">
        <w:instrText xml:space="preserve">REF paragraph00005 \h \* CharFormat </w:instrText>
      </w:r>
      <w:r w:rsidR="00AF7618" w:rsidRPr="00AF7618">
        <w:fldChar w:fldCharType="separate"/>
      </w:r>
      <w:r w:rsidR="00AF7618" w:rsidRPr="00AF7618">
        <w:t>5</w:t>
      </w:r>
      <w:r w:rsidR="00AF7618" w:rsidRPr="00AF7618">
        <w:fldChar w:fldCharType="end"/>
      </w:r>
      <w:r w:rsidR="00AF7618">
        <w:t xml:space="preserve">). Aceste arestări au pus capăt participării lor la o întrunire, ceea ce a </w:t>
      </w:r>
      <w:r w:rsidR="00AF7618">
        <w:lastRenderedPageBreak/>
        <w:t>constituit o ingerință în dreptul lor la libertatea de întrunire. Întrucât aceste fapte au avut loc înainte de data încetării, ele intră în sfera de competență a Curții și, prin urmare, trebuie notificate guvernului pârât în conformitate cu art. 54 § 2 lit. b) din Regulamentul Curții.</w:t>
      </w:r>
    </w:p>
    <w:p w:rsidR="00AF7618" w:rsidRPr="00AF7618" w:rsidRDefault="00AF7618" w:rsidP="00AF7618">
      <w:pPr>
        <w:pStyle w:val="JuHa0"/>
      </w:pPr>
      <w:r>
        <w:t>Celelalte capete de cerere întemeiate pe art. 5 din Convenție și art. 2 din Protocolul nr. 7 la Convenție: cazul doamnei Pivkina</w:t>
      </w:r>
    </w:p>
    <w:p w:rsidR="00AF7618" w:rsidRPr="00AF7618" w:rsidRDefault="008A2B2A" w:rsidP="00AF7618">
      <w:pPr>
        <w:pStyle w:val="JuPara"/>
      </w:pPr>
      <w:r>
        <w:fldChar w:fldCharType="begin"/>
      </w:r>
      <w:r>
        <w:instrText xml:space="preserve"> SEQ level0 \*arabic \* MERGEFORMAT </w:instrText>
      </w:r>
      <w:r>
        <w:fldChar w:fldCharType="separate"/>
      </w:r>
      <w:r w:rsidR="00AF7618" w:rsidRPr="00AF7618">
        <w:t>82</w:t>
      </w:r>
      <w:r>
        <w:fldChar w:fldCharType="end"/>
      </w:r>
      <w:r w:rsidR="00AF7618">
        <w:t>.</w:t>
      </w:r>
      <w:r w:rsidR="00C1135A">
        <w:t xml:space="preserve"> </w:t>
      </w:r>
      <w:r w:rsidR="00AF7618">
        <w:t>Mai rămân două capete de cerere formulate de doamna Pivkina: în primul rând, că escortarea sa la secția de poliție și privarea sa de libertate nu au fost necesare și legale din punct de vedere al dreptului intern; pe de altă parte, că pedeapsa privativă de libertate a fost executată imediat, ceea ce a adus atingere dreptului său la o cale de atac.</w:t>
      </w:r>
    </w:p>
    <w:p w:rsidR="00AF7618" w:rsidRPr="00AF7618" w:rsidRDefault="008A2B2A" w:rsidP="00AF7618">
      <w:pPr>
        <w:pStyle w:val="JuPara"/>
      </w:pPr>
      <w:r>
        <w:fldChar w:fldCharType="begin"/>
      </w:r>
      <w:r>
        <w:instrText xml:space="preserve"> SEQ level0 \*arabic \* MERGEFORMAT </w:instrText>
      </w:r>
      <w:r>
        <w:fldChar w:fldCharType="separate"/>
      </w:r>
      <w:r w:rsidR="00AF7618" w:rsidRPr="00AF7618">
        <w:t>83</w:t>
      </w:r>
      <w:r>
        <w:fldChar w:fldCharType="end"/>
      </w:r>
      <w:r w:rsidR="00AF7618">
        <w:t>.</w:t>
      </w:r>
      <w:r w:rsidR="00C1135A">
        <w:t xml:space="preserve"> </w:t>
      </w:r>
      <w:r w:rsidR="00AF7618">
        <w:t xml:space="preserve">Toate cazurile de privare de libertate de care doamna Pivkina s-a plâns au avut loc înainte de data încetării. Curtea reiterează că atât o detenție excesivă și neînregistrată la o secție de poliție, cât și executarea imediată a unei pedepse privative de libertate sunt fapte care pot constitui o încălcare în temeiul art. 5 din Convenție și, respectiv, art. 2 din Protocolul 7 (a se vedea </w:t>
      </w:r>
      <w:r w:rsidR="00AF7618">
        <w:rPr>
          <w:i/>
          <w:iCs/>
        </w:rPr>
        <w:t>Navalnîi și Iașin împotriva Rusiei</w:t>
      </w:r>
      <w:r w:rsidR="00AF7618">
        <w:t xml:space="preserve">, nr. 76204/11, pct. 92-97, 4 decembrie 2014 și </w:t>
      </w:r>
      <w:r w:rsidR="00AF7618">
        <w:rPr>
          <w:i/>
          <w:iCs/>
        </w:rPr>
        <w:t>Martiniuk împotriva Rusiei</w:t>
      </w:r>
      <w:r w:rsidR="00AF7618">
        <w:t>, nr. 13764/15, pct. 37-41, 8 octombrie 2019). Capetele sale de cerere ulterioare cu privire la aceste aspecte sesizate curților de apel, care au pronunțat o parte din decizii înainte de data încetării și o altă parte din decizii după această dată, ar trebui să fie considerate mai degrabă ca o exercitare a unei căi de atac interne disponibile decât ca un caz nou sau independent de ingerință.</w:t>
      </w:r>
    </w:p>
    <w:p w:rsidR="00AF7618" w:rsidRPr="00AF7618" w:rsidRDefault="008A2B2A" w:rsidP="00AF7618">
      <w:pPr>
        <w:pStyle w:val="JuPara"/>
      </w:pPr>
      <w:r>
        <w:fldChar w:fldCharType="begin"/>
      </w:r>
      <w:r>
        <w:instrText xml:space="preserve"> SEQ level0 \*arabic \* MERGEFORMAT </w:instrText>
      </w:r>
      <w:r>
        <w:fldChar w:fldCharType="separate"/>
      </w:r>
      <w:r w:rsidR="00AF7618" w:rsidRPr="00AF7618">
        <w:t>84</w:t>
      </w:r>
      <w:r>
        <w:fldChar w:fldCharType="end"/>
      </w:r>
      <w:r w:rsidR="00AF7618">
        <w:t>.</w:t>
      </w:r>
      <w:r w:rsidR="00C1135A">
        <w:t xml:space="preserve"> </w:t>
      </w:r>
      <w:r w:rsidR="00AF7618">
        <w:t>Întrucât faptele constitutive ale ingerinței intră în sfera de competență a Curții, aceste capete de cerere trebuie să fie notificate guvernului pârât în conformitate cu art. 54 § 2 lit. b) din Regulamentul Curții.</w:t>
      </w:r>
    </w:p>
    <w:p w:rsidR="00AF7618" w:rsidRPr="00AF7618" w:rsidRDefault="00AF7618" w:rsidP="00AF7618">
      <w:pPr>
        <w:pStyle w:val="JuHIRoman"/>
      </w:pPr>
      <w:r>
        <w:t>CU PRIVIRE LA CELELALTE PRETINSE ÎNCĂLCĂRI ALE CONVENȚIEI</w:t>
      </w:r>
    </w:p>
    <w:p w:rsidR="00AF7618" w:rsidRPr="00AF7618" w:rsidRDefault="008A2B2A" w:rsidP="00AF7618">
      <w:pPr>
        <w:pStyle w:val="JuPara"/>
      </w:pPr>
      <w:r>
        <w:fldChar w:fldCharType="begin"/>
      </w:r>
      <w:r>
        <w:instrText xml:space="preserve"> SEQ level0 \*arabic \* MERGEFORMAT </w:instrText>
      </w:r>
      <w:r>
        <w:fldChar w:fldCharType="separate"/>
      </w:r>
      <w:r w:rsidR="00AF7618" w:rsidRPr="00AF7618">
        <w:t>85</w:t>
      </w:r>
      <w:r>
        <w:fldChar w:fldCharType="end"/>
      </w:r>
      <w:r w:rsidR="00AF7618">
        <w:t>.</w:t>
      </w:r>
      <w:r w:rsidR="00C1135A">
        <w:t xml:space="preserve"> </w:t>
      </w:r>
      <w:r w:rsidR="00AF7618">
        <w:t>În ultimul rând, cu privire la celelalte capete de cerere formulate de domnul Iasaveiev și doamna Iudina-Kliugvant, având în vedere toate elementele de care dispune și în măsura în care este competentă să se pronunțe cu privire la aspectele invocate, Curtea constată că nu există nicio aparentă încălcare a dispozițiilor invocate. Rezultă că aceste capete de cerere trebuie să fie respinse ca fiind în mod vădit nefondate, în temeiul art. 35 § 3 lit. a) și 4 din Convenție.</w:t>
      </w:r>
    </w:p>
    <w:p w:rsidR="00AF7618" w:rsidRPr="00AF7618" w:rsidRDefault="00AF7618" w:rsidP="00AF7618">
      <w:pPr>
        <w:pStyle w:val="JuParaLast"/>
      </w:pPr>
      <w:r>
        <w:t>Pentru aceste motive, în unanimitate, Curtea</w:t>
      </w:r>
    </w:p>
    <w:p w:rsidR="00AF7618" w:rsidRPr="00AF7618" w:rsidRDefault="00AF7618" w:rsidP="00AF7618">
      <w:pPr>
        <w:pStyle w:val="JuList"/>
        <w:numPr>
          <w:ilvl w:val="0"/>
          <w:numId w:val="5"/>
        </w:numPr>
      </w:pPr>
      <w:r>
        <w:rPr>
          <w:i/>
          <w:iCs/>
        </w:rPr>
        <w:t>Decide</w:t>
      </w:r>
      <w:r>
        <w:t xml:space="preserve"> amânarea examinării capetelor de cerere referitoare la:</w:t>
      </w:r>
    </w:p>
    <w:p w:rsidR="00AF7618" w:rsidRPr="00AF7618" w:rsidRDefault="00AF7618" w:rsidP="00AF7618">
      <w:pPr>
        <w:pStyle w:val="JuLista"/>
      </w:pPr>
      <w:r>
        <w:t>pretinsele rele tratamente și lipsa unei anchete efective în cazul doamnei Viktorova;</w:t>
      </w:r>
    </w:p>
    <w:p w:rsidR="00AF7618" w:rsidRPr="00AF7618" w:rsidRDefault="00AF7618" w:rsidP="00AF7618">
      <w:pPr>
        <w:pStyle w:val="JuLista"/>
      </w:pPr>
      <w:r>
        <w:lastRenderedPageBreak/>
        <w:t>pretinsele condiții inumane ale izolării domnului Korolev la sediul instanței de judecată în perioada anterioară datei încetării;</w:t>
      </w:r>
    </w:p>
    <w:p w:rsidR="00AF7618" w:rsidRPr="00AF7618" w:rsidRDefault="00AF7618" w:rsidP="00AF7618">
      <w:pPr>
        <w:pStyle w:val="JuLista"/>
      </w:pPr>
      <w:r>
        <w:t>o pretinsă durată excesivă a detenției domnului Korolev în perioada care s-a încheiat la 11 octombrie 2022;</w:t>
      </w:r>
    </w:p>
    <w:p w:rsidR="00AF7618" w:rsidRPr="00AF7618" w:rsidRDefault="00AF7618" w:rsidP="00AF7618">
      <w:pPr>
        <w:pStyle w:val="JuLista"/>
      </w:pPr>
      <w:r>
        <w:t>o pretinsă încălcare a dreptului la un proces echitabil în cadrul primului proces administrativ împotriva doamnei Pivkina;</w:t>
      </w:r>
    </w:p>
    <w:p w:rsidR="00AF7618" w:rsidRPr="00AF7618" w:rsidRDefault="00AF7618" w:rsidP="00AF7618">
      <w:pPr>
        <w:pStyle w:val="JuLista"/>
      </w:pPr>
      <w:r>
        <w:t>percheziția efectuată la domiciliul și reședința domnului Iasaveiev;</w:t>
      </w:r>
    </w:p>
    <w:p w:rsidR="00AF7618" w:rsidRPr="00AF7618" w:rsidRDefault="00AF7618" w:rsidP="00AF7618">
      <w:pPr>
        <w:pStyle w:val="JuLista"/>
      </w:pPr>
      <w:r>
        <w:t>o pretinsă ingerință în dreptul la libertatea de exprimare al domnului Korolev, al doamnei Iudina-Kliugvant și al domnului Iasaveiev;</w:t>
      </w:r>
    </w:p>
    <w:p w:rsidR="00AF7618" w:rsidRPr="00AF7618" w:rsidRDefault="00AF7618" w:rsidP="00AF7618">
      <w:pPr>
        <w:pStyle w:val="JuLista"/>
      </w:pPr>
      <w:r>
        <w:t>o pretinsă ingerință în dreptul la libertatea de întrunire al doamnei Pivkina și al doamnei Viktorova;</w:t>
      </w:r>
    </w:p>
    <w:p w:rsidR="00AF7618" w:rsidRPr="00AF7618" w:rsidRDefault="00AF7618" w:rsidP="00AF7618">
      <w:pPr>
        <w:pStyle w:val="JuLista"/>
      </w:pPr>
      <w:r>
        <w:t>măsura privativă de libertate aplicată doamnei Pivkina de către poliție și o pretinsă încălcare a dreptului său la dublu grad de jurisdicție în materie penală;</w:t>
      </w:r>
    </w:p>
    <w:p w:rsidR="00AF7618" w:rsidRPr="00AF7618" w:rsidRDefault="00AF7618" w:rsidP="00AF7618">
      <w:pPr>
        <w:pStyle w:val="JuList"/>
        <w:keepNext/>
        <w:keepLines/>
        <w:numPr>
          <w:ilvl w:val="0"/>
          <w:numId w:val="5"/>
        </w:numPr>
      </w:pPr>
      <w:r>
        <w:rPr>
          <w:i/>
        </w:rPr>
        <w:t>Declară</w:t>
      </w:r>
      <w:r>
        <w:t xml:space="preserve"> inadmisibile celelalte capete de cerere.</w:t>
      </w:r>
    </w:p>
    <w:p w:rsidR="00AF7618" w:rsidRPr="00AF7618" w:rsidRDefault="00AF7618" w:rsidP="00AF7618">
      <w:pPr>
        <w:pStyle w:val="JuParaLast"/>
      </w:pPr>
      <w:r>
        <w:t>Redactată în limba engleză și comunicată în scris la 29 iunie 2023.</w:t>
      </w:r>
    </w:p>
    <w:p w:rsidR="00AF7618" w:rsidRPr="00AF7618" w:rsidRDefault="00AF7618" w:rsidP="00AF7618">
      <w:pPr>
        <w:pStyle w:val="ECHRPlaceholder"/>
      </w:pPr>
      <w:r>
        <w:tab/>
      </w:r>
    </w:p>
    <w:p w:rsidR="00AF7618" w:rsidRPr="00AF7618" w:rsidRDefault="00AF7618" w:rsidP="00AF7618">
      <w:pPr>
        <w:pStyle w:val="JuSigned"/>
      </w:pPr>
      <w:r>
        <w:tab/>
        <w:t>Olga Cernișova</w:t>
      </w:r>
      <w:r>
        <w:tab/>
        <w:t>Pere Pastor Vilanova</w:t>
      </w:r>
      <w:r>
        <w:br/>
      </w:r>
      <w:r>
        <w:tab/>
        <w:t>Grefier adjunct</w:t>
      </w:r>
      <w:r>
        <w:tab/>
        <w:t>Președinte</w:t>
      </w:r>
    </w:p>
    <w:p w:rsidR="00AF7618" w:rsidRPr="00AF7618" w:rsidRDefault="00AF7618" w:rsidP="00AF7618">
      <w:pPr>
        <w:pStyle w:val="JuPara"/>
      </w:pPr>
      <w:r>
        <w:br w:type="page"/>
      </w:r>
    </w:p>
    <w:p w:rsidR="00AF7618" w:rsidRPr="00AF7618" w:rsidRDefault="00AF7618" w:rsidP="00AF7618">
      <w:pPr>
        <w:pStyle w:val="DecHTitle"/>
      </w:pPr>
      <w:r>
        <w:lastRenderedPageBreak/>
        <w:t>Anexă</w:t>
      </w:r>
    </w:p>
    <w:p w:rsidR="00AF7618" w:rsidRPr="00AF7618" w:rsidRDefault="00AF7618" w:rsidP="00AF7618">
      <w:pPr>
        <w:pStyle w:val="DecHCase"/>
        <w:keepNext w:val="0"/>
        <w:keepLines w:val="0"/>
        <w:jc w:val="left"/>
        <w:rPr>
          <w:rFonts w:ascii="Times New Roman" w:hAnsi="Times New Roman" w:cs="Times New Roman"/>
        </w:rPr>
      </w:pPr>
      <w:r>
        <w:rPr>
          <w:rFonts w:ascii="Times New Roman" w:hAnsi="Times New Roman"/>
        </w:rPr>
        <w:t>Lista cererilor:</w:t>
      </w:r>
    </w:p>
    <w:tbl>
      <w:tblPr>
        <w:tblStyle w:val="ECHRListTable"/>
        <w:tblW w:w="0" w:type="auto"/>
        <w:tblLook w:val="0420" w:firstRow="1" w:lastRow="0" w:firstColumn="0" w:lastColumn="0" w:noHBand="0" w:noVBand="1"/>
      </w:tblPr>
      <w:tblGrid>
        <w:gridCol w:w="471"/>
        <w:gridCol w:w="934"/>
        <w:gridCol w:w="1253"/>
        <w:gridCol w:w="1059"/>
        <w:gridCol w:w="1935"/>
        <w:gridCol w:w="1696"/>
      </w:tblGrid>
      <w:tr w:rsidR="00AF7618" w:rsidRPr="00AF7618" w:rsidTr="00273B5A">
        <w:trPr>
          <w:cnfStyle w:val="100000000000" w:firstRow="1" w:lastRow="0" w:firstColumn="0" w:lastColumn="0" w:oddVBand="0" w:evenVBand="0" w:oddHBand="0" w:evenHBand="0" w:firstRowFirstColumn="0" w:firstRowLastColumn="0" w:lastRowFirstColumn="0" w:lastRowLastColumn="0"/>
        </w:trPr>
        <w:tc>
          <w:tcPr>
            <w:tcW w:w="0" w:type="auto"/>
            <w:hideMark/>
          </w:tcPr>
          <w:p w:rsidR="00AF7618" w:rsidRPr="00AF7618" w:rsidRDefault="00AF7618" w:rsidP="00273B5A">
            <w:pPr>
              <w:rPr>
                <w:rFonts w:eastAsia="Times New Roman"/>
                <w:sz w:val="18"/>
                <w:szCs w:val="18"/>
              </w:rPr>
            </w:pPr>
            <w:bookmarkStart w:id="26" w:name="AppTableStart"/>
            <w:bookmarkEnd w:id="26"/>
            <w:r>
              <w:rPr>
                <w:sz w:val="18"/>
              </w:rPr>
              <w:t>Nr.</w:t>
            </w:r>
          </w:p>
        </w:tc>
        <w:tc>
          <w:tcPr>
            <w:tcW w:w="0" w:type="auto"/>
            <w:hideMark/>
          </w:tcPr>
          <w:p w:rsidR="00AF7618" w:rsidRPr="00AF7618" w:rsidRDefault="00AF7618" w:rsidP="00273B5A">
            <w:pPr>
              <w:rPr>
                <w:rFonts w:eastAsia="Times New Roman"/>
                <w:sz w:val="18"/>
                <w:szCs w:val="18"/>
              </w:rPr>
            </w:pPr>
            <w:r>
              <w:rPr>
                <w:sz w:val="18"/>
              </w:rPr>
              <w:t>Cererea nr.</w:t>
            </w:r>
          </w:p>
        </w:tc>
        <w:tc>
          <w:tcPr>
            <w:tcW w:w="0" w:type="auto"/>
            <w:hideMark/>
          </w:tcPr>
          <w:p w:rsidR="00AF7618" w:rsidRPr="00AF7618" w:rsidRDefault="00AF7618" w:rsidP="00273B5A">
            <w:pPr>
              <w:rPr>
                <w:rFonts w:eastAsia="Times New Roman"/>
                <w:sz w:val="18"/>
                <w:szCs w:val="18"/>
              </w:rPr>
            </w:pPr>
            <w:r>
              <w:rPr>
                <w:sz w:val="18"/>
              </w:rPr>
              <w:t>Numele cauzei</w:t>
            </w:r>
          </w:p>
        </w:tc>
        <w:tc>
          <w:tcPr>
            <w:tcW w:w="0" w:type="auto"/>
            <w:hideMark/>
          </w:tcPr>
          <w:p w:rsidR="00AF7618" w:rsidRPr="00AF7618" w:rsidRDefault="00AF7618" w:rsidP="00273B5A">
            <w:pPr>
              <w:rPr>
                <w:rFonts w:eastAsia="Times New Roman"/>
                <w:sz w:val="18"/>
                <w:szCs w:val="18"/>
              </w:rPr>
            </w:pPr>
            <w:r>
              <w:rPr>
                <w:sz w:val="18"/>
              </w:rPr>
              <w:t>Introdusă la</w:t>
            </w:r>
          </w:p>
        </w:tc>
        <w:tc>
          <w:tcPr>
            <w:tcW w:w="0" w:type="auto"/>
            <w:hideMark/>
          </w:tcPr>
          <w:p w:rsidR="00AF7618" w:rsidRPr="00AF7618" w:rsidRDefault="00AF7618" w:rsidP="00273B5A">
            <w:pPr>
              <w:rPr>
                <w:rFonts w:eastAsia="Times New Roman"/>
                <w:sz w:val="18"/>
                <w:szCs w:val="18"/>
              </w:rPr>
            </w:pPr>
            <w:r>
              <w:rPr>
                <w:sz w:val="18"/>
              </w:rPr>
              <w:t>Reclamant(ă)</w:t>
            </w:r>
            <w:r>
              <w:rPr>
                <w:sz w:val="18"/>
              </w:rPr>
              <w:br/>
              <w:t xml:space="preserve">Anul nașterii </w:t>
            </w:r>
            <w:r>
              <w:rPr>
                <w:sz w:val="18"/>
              </w:rPr>
              <w:br/>
              <w:t>Domiciliul</w:t>
            </w:r>
          </w:p>
        </w:tc>
        <w:tc>
          <w:tcPr>
            <w:tcW w:w="0" w:type="auto"/>
            <w:hideMark/>
          </w:tcPr>
          <w:p w:rsidR="00AF7618" w:rsidRPr="00AF7618" w:rsidRDefault="00AF7618" w:rsidP="00273B5A">
            <w:pPr>
              <w:rPr>
                <w:rFonts w:eastAsia="Times New Roman"/>
                <w:sz w:val="18"/>
                <w:szCs w:val="18"/>
              </w:rPr>
            </w:pPr>
            <w:r>
              <w:rPr>
                <w:sz w:val="18"/>
              </w:rPr>
              <w:t>Reprezentat(ă) de</w:t>
            </w:r>
          </w:p>
        </w:tc>
      </w:tr>
      <w:tr w:rsidR="00AF7618" w:rsidRPr="00AF7618" w:rsidTr="00273B5A">
        <w:tc>
          <w:tcPr>
            <w:tcW w:w="0" w:type="auto"/>
            <w:hideMark/>
          </w:tcPr>
          <w:p w:rsidR="00AF7618" w:rsidRPr="00AF7618" w:rsidRDefault="00AF7618" w:rsidP="00273B5A">
            <w:pPr>
              <w:rPr>
                <w:rFonts w:eastAsia="Times New Roman"/>
                <w:sz w:val="18"/>
                <w:szCs w:val="18"/>
              </w:rPr>
            </w:pPr>
            <w:r>
              <w:rPr>
                <w:sz w:val="18"/>
              </w:rPr>
              <w:t>1.</w:t>
            </w:r>
          </w:p>
        </w:tc>
        <w:tc>
          <w:tcPr>
            <w:tcW w:w="0" w:type="auto"/>
            <w:hideMark/>
          </w:tcPr>
          <w:p w:rsidR="00AF7618" w:rsidRPr="00AF7618" w:rsidRDefault="00AF7618" w:rsidP="00273B5A">
            <w:pPr>
              <w:rPr>
                <w:rFonts w:eastAsia="Times New Roman"/>
                <w:sz w:val="18"/>
                <w:szCs w:val="18"/>
              </w:rPr>
            </w:pPr>
            <w:r>
              <w:rPr>
                <w:sz w:val="18"/>
              </w:rPr>
              <w:t>2134/23</w:t>
            </w:r>
          </w:p>
        </w:tc>
        <w:tc>
          <w:tcPr>
            <w:tcW w:w="0" w:type="auto"/>
            <w:hideMark/>
          </w:tcPr>
          <w:p w:rsidR="00AF7618" w:rsidRPr="00AF7618" w:rsidRDefault="00AF7618" w:rsidP="00273B5A">
            <w:pPr>
              <w:rPr>
                <w:rFonts w:eastAsia="Times New Roman"/>
                <w:sz w:val="18"/>
                <w:szCs w:val="18"/>
              </w:rPr>
            </w:pPr>
            <w:r>
              <w:rPr>
                <w:sz w:val="18"/>
              </w:rPr>
              <w:t>Pivkina împotriva Rusiei</w:t>
            </w:r>
          </w:p>
        </w:tc>
        <w:tc>
          <w:tcPr>
            <w:tcW w:w="0" w:type="auto"/>
            <w:hideMark/>
          </w:tcPr>
          <w:p w:rsidR="00AF7618" w:rsidRPr="00AF7618" w:rsidRDefault="00AF7618" w:rsidP="00273B5A">
            <w:pPr>
              <w:rPr>
                <w:rFonts w:eastAsia="Times New Roman"/>
                <w:sz w:val="18"/>
                <w:szCs w:val="18"/>
              </w:rPr>
            </w:pPr>
            <w:r>
              <w:rPr>
                <w:sz w:val="18"/>
              </w:rPr>
              <w:t>03/12/2022</w:t>
            </w:r>
          </w:p>
        </w:tc>
        <w:tc>
          <w:tcPr>
            <w:tcW w:w="0" w:type="auto"/>
            <w:hideMark/>
          </w:tcPr>
          <w:p w:rsidR="00AF7618" w:rsidRPr="00AF7618" w:rsidRDefault="00AF7618" w:rsidP="00273B5A">
            <w:pPr>
              <w:rPr>
                <w:rFonts w:eastAsia="Times New Roman"/>
                <w:bCs/>
                <w:sz w:val="18"/>
                <w:szCs w:val="18"/>
              </w:rPr>
            </w:pPr>
            <w:r>
              <w:rPr>
                <w:b/>
                <w:sz w:val="18"/>
              </w:rPr>
              <w:t>Elena Ivanovna PIVKINA</w:t>
            </w:r>
            <w:r>
              <w:rPr>
                <w:sz w:val="18"/>
              </w:rPr>
              <w:br/>
              <w:t>1997</w:t>
            </w:r>
            <w:r>
              <w:rPr>
                <w:sz w:val="18"/>
              </w:rPr>
              <w:br/>
              <w:t>Moscova</w:t>
            </w:r>
          </w:p>
        </w:tc>
        <w:tc>
          <w:tcPr>
            <w:tcW w:w="0" w:type="auto"/>
            <w:hideMark/>
          </w:tcPr>
          <w:p w:rsidR="00AF7618" w:rsidRPr="00AF7618" w:rsidRDefault="00AF7618" w:rsidP="00273B5A">
            <w:pPr>
              <w:rPr>
                <w:rFonts w:eastAsia="Times New Roman"/>
                <w:sz w:val="18"/>
                <w:szCs w:val="18"/>
              </w:rPr>
            </w:pPr>
          </w:p>
        </w:tc>
      </w:tr>
      <w:tr w:rsidR="00AF7618" w:rsidRPr="00AF7618" w:rsidTr="00273B5A">
        <w:tc>
          <w:tcPr>
            <w:tcW w:w="0" w:type="auto"/>
            <w:hideMark/>
          </w:tcPr>
          <w:p w:rsidR="00AF7618" w:rsidRPr="00AF7618" w:rsidRDefault="00AF7618" w:rsidP="00273B5A">
            <w:pPr>
              <w:rPr>
                <w:rFonts w:eastAsia="Times New Roman"/>
                <w:sz w:val="18"/>
                <w:szCs w:val="18"/>
              </w:rPr>
            </w:pPr>
            <w:r>
              <w:rPr>
                <w:sz w:val="18"/>
              </w:rPr>
              <w:t>2.</w:t>
            </w:r>
          </w:p>
        </w:tc>
        <w:tc>
          <w:tcPr>
            <w:tcW w:w="0" w:type="auto"/>
            <w:hideMark/>
          </w:tcPr>
          <w:p w:rsidR="00AF7618" w:rsidRPr="00AF7618" w:rsidRDefault="00AF7618" w:rsidP="00273B5A">
            <w:pPr>
              <w:rPr>
                <w:rFonts w:eastAsia="Times New Roman"/>
                <w:sz w:val="18"/>
                <w:szCs w:val="18"/>
              </w:rPr>
            </w:pPr>
            <w:r>
              <w:rPr>
                <w:sz w:val="18"/>
              </w:rPr>
              <w:t>2156/23</w:t>
            </w:r>
          </w:p>
        </w:tc>
        <w:tc>
          <w:tcPr>
            <w:tcW w:w="0" w:type="auto"/>
            <w:hideMark/>
          </w:tcPr>
          <w:p w:rsidR="00AF7618" w:rsidRPr="00AF7618" w:rsidRDefault="00AF7618" w:rsidP="00273B5A">
            <w:pPr>
              <w:rPr>
                <w:rFonts w:eastAsia="Times New Roman"/>
                <w:sz w:val="18"/>
                <w:szCs w:val="18"/>
              </w:rPr>
            </w:pPr>
            <w:r>
              <w:rPr>
                <w:sz w:val="18"/>
              </w:rPr>
              <w:t>Korolev împotriva Rusiei</w:t>
            </w:r>
          </w:p>
        </w:tc>
        <w:tc>
          <w:tcPr>
            <w:tcW w:w="0" w:type="auto"/>
            <w:hideMark/>
          </w:tcPr>
          <w:p w:rsidR="00AF7618" w:rsidRPr="00AF7618" w:rsidRDefault="00AF7618" w:rsidP="00273B5A">
            <w:pPr>
              <w:rPr>
                <w:rFonts w:eastAsia="Times New Roman"/>
                <w:sz w:val="18"/>
                <w:szCs w:val="18"/>
              </w:rPr>
            </w:pPr>
            <w:r>
              <w:rPr>
                <w:sz w:val="18"/>
              </w:rPr>
              <w:t>31/12/2022</w:t>
            </w:r>
          </w:p>
        </w:tc>
        <w:tc>
          <w:tcPr>
            <w:tcW w:w="0" w:type="auto"/>
            <w:hideMark/>
          </w:tcPr>
          <w:p w:rsidR="00AF7618" w:rsidRPr="00AF7618" w:rsidRDefault="00AF7618" w:rsidP="00273B5A">
            <w:pPr>
              <w:rPr>
                <w:rFonts w:eastAsia="Times New Roman"/>
                <w:bCs/>
                <w:sz w:val="18"/>
                <w:szCs w:val="18"/>
              </w:rPr>
            </w:pPr>
            <w:r>
              <w:rPr>
                <w:b/>
                <w:sz w:val="18"/>
              </w:rPr>
              <w:t>Vsevolod Anatolievici KOROLEV</w:t>
            </w:r>
            <w:r>
              <w:rPr>
                <w:sz w:val="18"/>
              </w:rPr>
              <w:br/>
              <w:t>1987</w:t>
            </w:r>
            <w:r>
              <w:rPr>
                <w:sz w:val="18"/>
              </w:rPr>
              <w:br/>
              <w:t>Sankt Petersburg</w:t>
            </w:r>
          </w:p>
        </w:tc>
        <w:tc>
          <w:tcPr>
            <w:tcW w:w="0" w:type="auto"/>
            <w:hideMark/>
          </w:tcPr>
          <w:p w:rsidR="00AF7618" w:rsidRPr="00AF7618" w:rsidRDefault="00AF7618" w:rsidP="00273B5A">
            <w:pPr>
              <w:rPr>
                <w:rFonts w:eastAsia="Times New Roman"/>
                <w:sz w:val="18"/>
                <w:szCs w:val="18"/>
              </w:rPr>
            </w:pPr>
            <w:r>
              <w:rPr>
                <w:sz w:val="18"/>
              </w:rPr>
              <w:t>Maria Sergheievna ZIRIANOVA</w:t>
            </w:r>
          </w:p>
        </w:tc>
      </w:tr>
      <w:tr w:rsidR="00AF7618" w:rsidRPr="00AF7618" w:rsidTr="00273B5A">
        <w:tc>
          <w:tcPr>
            <w:tcW w:w="0" w:type="auto"/>
            <w:hideMark/>
          </w:tcPr>
          <w:p w:rsidR="00AF7618" w:rsidRPr="00AF7618" w:rsidRDefault="00AF7618" w:rsidP="00273B5A">
            <w:pPr>
              <w:rPr>
                <w:rFonts w:eastAsia="Times New Roman"/>
                <w:sz w:val="18"/>
                <w:szCs w:val="18"/>
              </w:rPr>
            </w:pPr>
            <w:r>
              <w:rPr>
                <w:sz w:val="18"/>
              </w:rPr>
              <w:t>3.</w:t>
            </w:r>
          </w:p>
        </w:tc>
        <w:tc>
          <w:tcPr>
            <w:tcW w:w="0" w:type="auto"/>
            <w:hideMark/>
          </w:tcPr>
          <w:p w:rsidR="00AF7618" w:rsidRPr="00AF7618" w:rsidRDefault="00AF7618" w:rsidP="00273B5A">
            <w:pPr>
              <w:rPr>
                <w:rFonts w:eastAsia="Times New Roman"/>
                <w:sz w:val="18"/>
                <w:szCs w:val="18"/>
              </w:rPr>
            </w:pPr>
            <w:r>
              <w:rPr>
                <w:sz w:val="18"/>
              </w:rPr>
              <w:t>4556/23</w:t>
            </w:r>
          </w:p>
        </w:tc>
        <w:tc>
          <w:tcPr>
            <w:tcW w:w="0" w:type="auto"/>
            <w:hideMark/>
          </w:tcPr>
          <w:p w:rsidR="00AF7618" w:rsidRPr="00AF7618" w:rsidRDefault="00AF7618" w:rsidP="00273B5A">
            <w:pPr>
              <w:rPr>
                <w:rFonts w:eastAsia="Times New Roman"/>
                <w:sz w:val="18"/>
                <w:szCs w:val="18"/>
              </w:rPr>
            </w:pPr>
            <w:r>
              <w:rPr>
                <w:sz w:val="18"/>
              </w:rPr>
              <w:t>Kazusev împotriva Rusiei</w:t>
            </w:r>
          </w:p>
        </w:tc>
        <w:tc>
          <w:tcPr>
            <w:tcW w:w="0" w:type="auto"/>
            <w:hideMark/>
          </w:tcPr>
          <w:p w:rsidR="00AF7618" w:rsidRPr="00AF7618" w:rsidRDefault="00AF7618" w:rsidP="00273B5A">
            <w:pPr>
              <w:rPr>
                <w:rFonts w:eastAsia="Times New Roman"/>
                <w:sz w:val="18"/>
                <w:szCs w:val="18"/>
              </w:rPr>
            </w:pPr>
            <w:r>
              <w:rPr>
                <w:sz w:val="18"/>
              </w:rPr>
              <w:t>16/01/2023</w:t>
            </w:r>
          </w:p>
        </w:tc>
        <w:tc>
          <w:tcPr>
            <w:tcW w:w="0" w:type="auto"/>
            <w:hideMark/>
          </w:tcPr>
          <w:p w:rsidR="00AF7618" w:rsidRPr="00AF7618" w:rsidRDefault="00AF7618" w:rsidP="00273B5A">
            <w:pPr>
              <w:rPr>
                <w:rFonts w:eastAsia="Times New Roman"/>
                <w:bCs/>
                <w:sz w:val="18"/>
                <w:szCs w:val="18"/>
              </w:rPr>
            </w:pPr>
            <w:r>
              <w:rPr>
                <w:b/>
                <w:sz w:val="18"/>
              </w:rPr>
              <w:t>Vladimir Evghenievici KAZUSEV</w:t>
            </w:r>
            <w:r>
              <w:rPr>
                <w:sz w:val="18"/>
              </w:rPr>
              <w:br/>
              <w:t>1963</w:t>
            </w:r>
            <w:r>
              <w:rPr>
                <w:sz w:val="18"/>
              </w:rPr>
              <w:br/>
              <w:t>Sankt Petersburg</w:t>
            </w:r>
          </w:p>
        </w:tc>
        <w:tc>
          <w:tcPr>
            <w:tcW w:w="0" w:type="auto"/>
            <w:hideMark/>
          </w:tcPr>
          <w:p w:rsidR="00AF7618" w:rsidRPr="00AF7618" w:rsidRDefault="00AF7618" w:rsidP="00273B5A">
            <w:pPr>
              <w:rPr>
                <w:rFonts w:eastAsia="Times New Roman"/>
                <w:sz w:val="18"/>
                <w:szCs w:val="18"/>
              </w:rPr>
            </w:pPr>
          </w:p>
        </w:tc>
      </w:tr>
      <w:tr w:rsidR="00AF7618" w:rsidRPr="00AF7618" w:rsidTr="00273B5A">
        <w:tc>
          <w:tcPr>
            <w:tcW w:w="0" w:type="auto"/>
            <w:hideMark/>
          </w:tcPr>
          <w:p w:rsidR="00AF7618" w:rsidRPr="00AF7618" w:rsidRDefault="00AF7618" w:rsidP="00273B5A">
            <w:pPr>
              <w:rPr>
                <w:rFonts w:eastAsia="Times New Roman"/>
                <w:sz w:val="18"/>
                <w:szCs w:val="18"/>
              </w:rPr>
            </w:pPr>
            <w:r>
              <w:rPr>
                <w:sz w:val="18"/>
              </w:rPr>
              <w:t>4.</w:t>
            </w:r>
          </w:p>
        </w:tc>
        <w:tc>
          <w:tcPr>
            <w:tcW w:w="0" w:type="auto"/>
            <w:hideMark/>
          </w:tcPr>
          <w:p w:rsidR="00AF7618" w:rsidRPr="00AF7618" w:rsidRDefault="00AF7618" w:rsidP="00273B5A">
            <w:pPr>
              <w:rPr>
                <w:rFonts w:eastAsia="Times New Roman"/>
                <w:sz w:val="18"/>
                <w:szCs w:val="18"/>
              </w:rPr>
            </w:pPr>
            <w:r>
              <w:rPr>
                <w:sz w:val="18"/>
              </w:rPr>
              <w:t>7800/23</w:t>
            </w:r>
          </w:p>
        </w:tc>
        <w:tc>
          <w:tcPr>
            <w:tcW w:w="0" w:type="auto"/>
            <w:hideMark/>
          </w:tcPr>
          <w:p w:rsidR="00AF7618" w:rsidRPr="00AF7618" w:rsidRDefault="00AF7618" w:rsidP="00273B5A">
            <w:pPr>
              <w:rPr>
                <w:rFonts w:eastAsia="Times New Roman"/>
                <w:sz w:val="18"/>
                <w:szCs w:val="18"/>
              </w:rPr>
            </w:pPr>
            <w:r>
              <w:rPr>
                <w:sz w:val="18"/>
              </w:rPr>
              <w:t>Iudina-Kliugvant împotriva Rusiei</w:t>
            </w:r>
          </w:p>
        </w:tc>
        <w:tc>
          <w:tcPr>
            <w:tcW w:w="0" w:type="auto"/>
            <w:hideMark/>
          </w:tcPr>
          <w:p w:rsidR="00AF7618" w:rsidRPr="00AF7618" w:rsidRDefault="00AF7618" w:rsidP="00273B5A">
            <w:pPr>
              <w:rPr>
                <w:rFonts w:eastAsia="Times New Roman"/>
                <w:sz w:val="18"/>
                <w:szCs w:val="18"/>
              </w:rPr>
            </w:pPr>
            <w:r>
              <w:rPr>
                <w:sz w:val="18"/>
              </w:rPr>
              <w:t>19/01/2023</w:t>
            </w:r>
          </w:p>
        </w:tc>
        <w:tc>
          <w:tcPr>
            <w:tcW w:w="0" w:type="auto"/>
            <w:hideMark/>
          </w:tcPr>
          <w:p w:rsidR="00AF7618" w:rsidRPr="00AF7618" w:rsidRDefault="00AF7618" w:rsidP="00273B5A">
            <w:pPr>
              <w:rPr>
                <w:rFonts w:eastAsia="Times New Roman"/>
                <w:bCs/>
                <w:sz w:val="18"/>
                <w:szCs w:val="18"/>
              </w:rPr>
            </w:pPr>
            <w:r>
              <w:rPr>
                <w:b/>
                <w:sz w:val="18"/>
              </w:rPr>
              <w:t>Iulia Grigorievna IUDINA-KLIUGVANT</w:t>
            </w:r>
            <w:r>
              <w:rPr>
                <w:sz w:val="18"/>
              </w:rPr>
              <w:br/>
              <w:t>1974</w:t>
            </w:r>
            <w:r>
              <w:rPr>
                <w:sz w:val="18"/>
              </w:rPr>
              <w:br/>
              <w:t>Moscova</w:t>
            </w:r>
          </w:p>
        </w:tc>
        <w:tc>
          <w:tcPr>
            <w:tcW w:w="0" w:type="auto"/>
            <w:hideMark/>
          </w:tcPr>
          <w:p w:rsidR="00AF7618" w:rsidRPr="00AF7618" w:rsidRDefault="00AF7618" w:rsidP="00273B5A">
            <w:pPr>
              <w:rPr>
                <w:rFonts w:eastAsia="Times New Roman"/>
                <w:sz w:val="18"/>
                <w:szCs w:val="18"/>
              </w:rPr>
            </w:pPr>
            <w:r>
              <w:rPr>
                <w:sz w:val="18"/>
              </w:rPr>
              <w:t>Ilnur Ilgizovici ȘARAPOV</w:t>
            </w:r>
          </w:p>
        </w:tc>
      </w:tr>
      <w:tr w:rsidR="00AF7618" w:rsidRPr="00AF7618" w:rsidTr="00273B5A">
        <w:tc>
          <w:tcPr>
            <w:tcW w:w="0" w:type="auto"/>
            <w:hideMark/>
          </w:tcPr>
          <w:p w:rsidR="00AF7618" w:rsidRPr="00AF7618" w:rsidRDefault="00AF7618" w:rsidP="00273B5A">
            <w:pPr>
              <w:rPr>
                <w:rFonts w:eastAsia="Times New Roman"/>
                <w:sz w:val="18"/>
                <w:szCs w:val="18"/>
              </w:rPr>
            </w:pPr>
            <w:r>
              <w:rPr>
                <w:sz w:val="18"/>
              </w:rPr>
              <w:t>5.</w:t>
            </w:r>
          </w:p>
        </w:tc>
        <w:tc>
          <w:tcPr>
            <w:tcW w:w="0" w:type="auto"/>
            <w:hideMark/>
          </w:tcPr>
          <w:p w:rsidR="00AF7618" w:rsidRPr="00AF7618" w:rsidRDefault="00AF7618" w:rsidP="00273B5A">
            <w:pPr>
              <w:rPr>
                <w:rFonts w:eastAsia="Times New Roman"/>
                <w:sz w:val="18"/>
                <w:szCs w:val="18"/>
              </w:rPr>
            </w:pPr>
            <w:r>
              <w:rPr>
                <w:sz w:val="18"/>
              </w:rPr>
              <w:t>11065/23</w:t>
            </w:r>
          </w:p>
        </w:tc>
        <w:tc>
          <w:tcPr>
            <w:tcW w:w="0" w:type="auto"/>
            <w:hideMark/>
          </w:tcPr>
          <w:p w:rsidR="00AF7618" w:rsidRPr="00AF7618" w:rsidRDefault="00AF7618" w:rsidP="00273B5A">
            <w:pPr>
              <w:rPr>
                <w:rFonts w:eastAsia="Times New Roman"/>
                <w:sz w:val="18"/>
                <w:szCs w:val="18"/>
              </w:rPr>
            </w:pPr>
            <w:r>
              <w:rPr>
                <w:sz w:val="18"/>
              </w:rPr>
              <w:t>Viktorova împotriva Rusiei</w:t>
            </w:r>
          </w:p>
        </w:tc>
        <w:tc>
          <w:tcPr>
            <w:tcW w:w="0" w:type="auto"/>
            <w:hideMark/>
          </w:tcPr>
          <w:p w:rsidR="00AF7618" w:rsidRPr="00AF7618" w:rsidRDefault="00AF7618" w:rsidP="00273B5A">
            <w:pPr>
              <w:rPr>
                <w:rFonts w:eastAsia="Times New Roman"/>
                <w:sz w:val="18"/>
                <w:szCs w:val="18"/>
              </w:rPr>
            </w:pPr>
            <w:r>
              <w:rPr>
                <w:sz w:val="18"/>
              </w:rPr>
              <w:t>21/02/2023</w:t>
            </w:r>
          </w:p>
        </w:tc>
        <w:tc>
          <w:tcPr>
            <w:tcW w:w="0" w:type="auto"/>
            <w:hideMark/>
          </w:tcPr>
          <w:p w:rsidR="00AF7618" w:rsidRPr="00AF7618" w:rsidRDefault="00AF7618" w:rsidP="00273B5A">
            <w:pPr>
              <w:rPr>
                <w:rFonts w:eastAsia="Times New Roman"/>
                <w:bCs/>
                <w:sz w:val="18"/>
                <w:szCs w:val="18"/>
              </w:rPr>
            </w:pPr>
            <w:r>
              <w:rPr>
                <w:b/>
                <w:bCs/>
                <w:sz w:val="18"/>
              </w:rPr>
              <w:t>X</w:t>
            </w:r>
            <w:r>
              <w:rPr>
                <w:b/>
                <w:sz w:val="18"/>
              </w:rPr>
              <w:t>enia Vladimirovna VIKTOROVA</w:t>
            </w:r>
            <w:r>
              <w:rPr>
                <w:sz w:val="18"/>
              </w:rPr>
              <w:br/>
              <w:t>1977</w:t>
            </w:r>
            <w:r>
              <w:rPr>
                <w:sz w:val="18"/>
              </w:rPr>
              <w:br/>
              <w:t>Sankt Petersburg</w:t>
            </w:r>
          </w:p>
        </w:tc>
        <w:tc>
          <w:tcPr>
            <w:tcW w:w="0" w:type="auto"/>
            <w:hideMark/>
          </w:tcPr>
          <w:p w:rsidR="00AF7618" w:rsidRPr="00AF7618" w:rsidRDefault="00AF7618" w:rsidP="00273B5A">
            <w:pPr>
              <w:rPr>
                <w:rFonts w:eastAsia="Times New Roman"/>
                <w:sz w:val="18"/>
                <w:szCs w:val="18"/>
              </w:rPr>
            </w:pPr>
            <w:r>
              <w:rPr>
                <w:sz w:val="18"/>
              </w:rPr>
              <w:t>Dmitri Gheorghievici GHERASIMOV</w:t>
            </w:r>
          </w:p>
        </w:tc>
      </w:tr>
      <w:tr w:rsidR="00AF7618" w:rsidRPr="00AF7618" w:rsidTr="00273B5A">
        <w:tc>
          <w:tcPr>
            <w:tcW w:w="0" w:type="auto"/>
            <w:hideMark/>
          </w:tcPr>
          <w:p w:rsidR="00AF7618" w:rsidRPr="00AF7618" w:rsidRDefault="00AF7618" w:rsidP="00273B5A">
            <w:pPr>
              <w:rPr>
                <w:rFonts w:eastAsia="Times New Roman"/>
                <w:sz w:val="18"/>
                <w:szCs w:val="18"/>
              </w:rPr>
            </w:pPr>
            <w:r>
              <w:rPr>
                <w:sz w:val="18"/>
              </w:rPr>
              <w:t>6.</w:t>
            </w:r>
          </w:p>
        </w:tc>
        <w:tc>
          <w:tcPr>
            <w:tcW w:w="0" w:type="auto"/>
            <w:hideMark/>
          </w:tcPr>
          <w:p w:rsidR="00AF7618" w:rsidRPr="00AF7618" w:rsidRDefault="00AF7618" w:rsidP="00273B5A">
            <w:pPr>
              <w:rPr>
                <w:rFonts w:eastAsia="Times New Roman"/>
                <w:sz w:val="18"/>
                <w:szCs w:val="18"/>
              </w:rPr>
            </w:pPr>
            <w:r>
              <w:rPr>
                <w:sz w:val="18"/>
              </w:rPr>
              <w:t>12899/23</w:t>
            </w:r>
          </w:p>
        </w:tc>
        <w:tc>
          <w:tcPr>
            <w:tcW w:w="0" w:type="auto"/>
            <w:hideMark/>
          </w:tcPr>
          <w:p w:rsidR="00AF7618" w:rsidRPr="00AF7618" w:rsidRDefault="00AF7618" w:rsidP="00273B5A">
            <w:pPr>
              <w:rPr>
                <w:rFonts w:eastAsia="Times New Roman"/>
                <w:sz w:val="18"/>
                <w:szCs w:val="18"/>
              </w:rPr>
            </w:pPr>
            <w:r>
              <w:rPr>
                <w:sz w:val="18"/>
              </w:rPr>
              <w:t>Navalnîi împotriva Rusiei</w:t>
            </w:r>
          </w:p>
        </w:tc>
        <w:tc>
          <w:tcPr>
            <w:tcW w:w="0" w:type="auto"/>
            <w:hideMark/>
          </w:tcPr>
          <w:p w:rsidR="00AF7618" w:rsidRPr="00AF7618" w:rsidRDefault="00AF7618" w:rsidP="00273B5A">
            <w:pPr>
              <w:rPr>
                <w:rFonts w:eastAsia="Times New Roman"/>
                <w:sz w:val="18"/>
                <w:szCs w:val="18"/>
              </w:rPr>
            </w:pPr>
            <w:r>
              <w:rPr>
                <w:sz w:val="18"/>
              </w:rPr>
              <w:t>15/02/2023</w:t>
            </w:r>
          </w:p>
        </w:tc>
        <w:tc>
          <w:tcPr>
            <w:tcW w:w="0" w:type="auto"/>
            <w:hideMark/>
          </w:tcPr>
          <w:p w:rsidR="00AF7618" w:rsidRPr="00AF7618" w:rsidRDefault="00AF7618" w:rsidP="00273B5A">
            <w:pPr>
              <w:rPr>
                <w:rFonts w:eastAsia="Times New Roman"/>
                <w:bCs/>
                <w:sz w:val="18"/>
                <w:szCs w:val="18"/>
              </w:rPr>
            </w:pPr>
            <w:r>
              <w:rPr>
                <w:b/>
                <w:sz w:val="18"/>
              </w:rPr>
              <w:t>Alexei Anatolievici NAVALNÎI</w:t>
            </w:r>
            <w:r>
              <w:rPr>
                <w:sz w:val="18"/>
              </w:rPr>
              <w:br/>
              <w:t>1976</w:t>
            </w:r>
            <w:r>
              <w:rPr>
                <w:sz w:val="18"/>
              </w:rPr>
              <w:br/>
              <w:t>Moscova</w:t>
            </w:r>
          </w:p>
        </w:tc>
        <w:tc>
          <w:tcPr>
            <w:tcW w:w="0" w:type="auto"/>
            <w:hideMark/>
          </w:tcPr>
          <w:p w:rsidR="00AF7618" w:rsidRPr="00AF7618" w:rsidRDefault="00AF7618" w:rsidP="00273B5A">
            <w:pPr>
              <w:rPr>
                <w:rFonts w:eastAsia="Times New Roman"/>
                <w:sz w:val="18"/>
                <w:szCs w:val="18"/>
              </w:rPr>
            </w:pPr>
            <w:r>
              <w:rPr>
                <w:sz w:val="18"/>
              </w:rPr>
              <w:t>Olga Olegovna MIHAILOVA</w:t>
            </w:r>
          </w:p>
        </w:tc>
      </w:tr>
      <w:tr w:rsidR="00AF7618" w:rsidRPr="00AF7618" w:rsidTr="00273B5A">
        <w:tc>
          <w:tcPr>
            <w:tcW w:w="0" w:type="auto"/>
            <w:hideMark/>
          </w:tcPr>
          <w:p w:rsidR="00AF7618" w:rsidRPr="00AF7618" w:rsidRDefault="00AF7618" w:rsidP="00273B5A">
            <w:pPr>
              <w:rPr>
                <w:rFonts w:eastAsia="Times New Roman"/>
                <w:sz w:val="18"/>
                <w:szCs w:val="18"/>
              </w:rPr>
            </w:pPr>
            <w:r>
              <w:rPr>
                <w:sz w:val="18"/>
              </w:rPr>
              <w:t>7.</w:t>
            </w:r>
          </w:p>
        </w:tc>
        <w:tc>
          <w:tcPr>
            <w:tcW w:w="0" w:type="auto"/>
            <w:hideMark/>
          </w:tcPr>
          <w:p w:rsidR="00AF7618" w:rsidRPr="00AF7618" w:rsidRDefault="00AF7618" w:rsidP="00273B5A">
            <w:pPr>
              <w:rPr>
                <w:rFonts w:eastAsia="Times New Roman"/>
                <w:sz w:val="18"/>
                <w:szCs w:val="18"/>
              </w:rPr>
            </w:pPr>
            <w:r>
              <w:rPr>
                <w:sz w:val="18"/>
              </w:rPr>
              <w:t>13850/23</w:t>
            </w:r>
          </w:p>
        </w:tc>
        <w:tc>
          <w:tcPr>
            <w:tcW w:w="0" w:type="auto"/>
            <w:hideMark/>
          </w:tcPr>
          <w:p w:rsidR="00AF7618" w:rsidRPr="00AF7618" w:rsidRDefault="00AF7618" w:rsidP="00273B5A">
            <w:pPr>
              <w:rPr>
                <w:rFonts w:eastAsia="Times New Roman"/>
                <w:sz w:val="18"/>
                <w:szCs w:val="18"/>
              </w:rPr>
            </w:pPr>
            <w:r>
              <w:rPr>
                <w:sz w:val="18"/>
              </w:rPr>
              <w:t>Iasaveiev împotriva Rusiei</w:t>
            </w:r>
          </w:p>
        </w:tc>
        <w:tc>
          <w:tcPr>
            <w:tcW w:w="0" w:type="auto"/>
            <w:hideMark/>
          </w:tcPr>
          <w:p w:rsidR="00AF7618" w:rsidRPr="00AF7618" w:rsidRDefault="00AF7618" w:rsidP="00273B5A">
            <w:pPr>
              <w:rPr>
                <w:rFonts w:eastAsia="Times New Roman"/>
                <w:sz w:val="18"/>
                <w:szCs w:val="18"/>
              </w:rPr>
            </w:pPr>
            <w:r>
              <w:rPr>
                <w:sz w:val="18"/>
              </w:rPr>
              <w:t>06/02/2023</w:t>
            </w:r>
          </w:p>
        </w:tc>
        <w:tc>
          <w:tcPr>
            <w:tcW w:w="0" w:type="auto"/>
            <w:hideMark/>
          </w:tcPr>
          <w:p w:rsidR="00AF7618" w:rsidRPr="00AF7618" w:rsidRDefault="00AF7618" w:rsidP="00273B5A">
            <w:pPr>
              <w:rPr>
                <w:rFonts w:eastAsia="Times New Roman"/>
                <w:bCs/>
                <w:sz w:val="18"/>
                <w:szCs w:val="18"/>
              </w:rPr>
            </w:pPr>
            <w:r>
              <w:rPr>
                <w:b/>
                <w:sz w:val="18"/>
              </w:rPr>
              <w:t>Iskender Gabdrahmanovici IASAVEIEV</w:t>
            </w:r>
            <w:r>
              <w:rPr>
                <w:sz w:val="18"/>
              </w:rPr>
              <w:br/>
              <w:t>1971</w:t>
            </w:r>
            <w:r>
              <w:rPr>
                <w:sz w:val="18"/>
              </w:rPr>
              <w:br/>
              <w:t>Kazan</w:t>
            </w:r>
          </w:p>
        </w:tc>
        <w:tc>
          <w:tcPr>
            <w:tcW w:w="0" w:type="auto"/>
            <w:hideMark/>
          </w:tcPr>
          <w:p w:rsidR="00AF7618" w:rsidRPr="00AF7618" w:rsidRDefault="00AF7618" w:rsidP="00273B5A">
            <w:pPr>
              <w:rPr>
                <w:rFonts w:eastAsia="Times New Roman"/>
                <w:sz w:val="18"/>
                <w:szCs w:val="18"/>
              </w:rPr>
            </w:pPr>
            <w:r>
              <w:rPr>
                <w:sz w:val="18"/>
              </w:rPr>
              <w:t>Stanislav Alexandrovici SELEZNEV</w:t>
            </w:r>
          </w:p>
        </w:tc>
      </w:tr>
    </w:tbl>
    <w:p w:rsidR="00AF7618" w:rsidRPr="00AF7618" w:rsidRDefault="00AF7618" w:rsidP="00AF7618"/>
    <w:p w:rsidR="00CB3BD9" w:rsidRPr="00AF7618" w:rsidRDefault="00CB3BD9" w:rsidP="00AF7618">
      <w:pPr>
        <w:jc w:val="center"/>
      </w:pPr>
    </w:p>
    <w:sectPr w:rsidR="00CB3BD9" w:rsidRPr="00AF7618" w:rsidSect="00AF7618">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code="9"/>
      <w:pgMar w:top="2274" w:right="2274" w:bottom="2274" w:left="2274" w:header="85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1E89" w:rsidRDefault="00141E89">
      <w:r>
        <w:separator/>
      </w:r>
    </w:p>
  </w:endnote>
  <w:endnote w:type="continuationSeparator" w:id="0">
    <w:p w:rsidR="00141E89" w:rsidRDefault="00141E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3B5A" w:rsidRPr="00AF7618" w:rsidRDefault="00273B5A" w:rsidP="00AF7618">
    <w:pPr>
      <w:pStyle w:val="JuHeader"/>
    </w:pPr>
    <w:r w:rsidRPr="00AF7618">
      <w:fldChar w:fldCharType="begin"/>
    </w:r>
    <w:r w:rsidRPr="00AF7618">
      <w:instrText xml:space="preserve"> PAGE </w:instrText>
    </w:r>
    <w:r w:rsidRPr="00AF7618">
      <w:fldChar w:fldCharType="separate"/>
    </w:r>
    <w:r w:rsidR="008A2B2A">
      <w:rPr>
        <w:noProof/>
      </w:rPr>
      <w:t>18</w:t>
    </w:r>
    <w:r w:rsidRPr="00AF7618">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3B5A" w:rsidRPr="00AF7618" w:rsidRDefault="00273B5A" w:rsidP="00AF7618">
    <w:pPr>
      <w:pStyle w:val="JuHeader"/>
    </w:pPr>
    <w:r w:rsidRPr="00AF7618">
      <w:fldChar w:fldCharType="begin"/>
    </w:r>
    <w:r w:rsidRPr="00AF7618">
      <w:instrText xml:space="preserve"> PAGE </w:instrText>
    </w:r>
    <w:r w:rsidRPr="00AF7618">
      <w:fldChar w:fldCharType="separate"/>
    </w:r>
    <w:r w:rsidR="008A2B2A">
      <w:rPr>
        <w:noProof/>
      </w:rPr>
      <w:t>19</w:t>
    </w:r>
    <w:r w:rsidRPr="00AF7618">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3B5A" w:rsidRPr="00AF7618" w:rsidRDefault="00273B5A" w:rsidP="00AF7618">
    <w:pPr>
      <w:jc w:val="center"/>
    </w:pPr>
    <w:r>
      <w:rPr>
        <w:noProof/>
        <w:lang w:val="en-US"/>
      </w:rPr>
      <w:drawing>
        <wp:inline distT="0" distB="0" distL="0" distR="0">
          <wp:extent cx="771525" cy="619125"/>
          <wp:effectExtent l="0" t="0" r="9525" b="9525"/>
          <wp:docPr id="49" name="Picture 49"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1525" cy="619125"/>
                  </a:xfrm>
                  <a:prstGeom prst="rect">
                    <a:avLst/>
                  </a:prstGeom>
                  <a:noFill/>
                  <a:ln>
                    <a:noFill/>
                  </a:ln>
                </pic:spPr>
              </pic:pic>
            </a:graphicData>
          </a:graphic>
        </wp:inline>
      </w:drawing>
    </w:r>
  </w:p>
  <w:p w:rsidR="00273B5A" w:rsidRPr="00AF7618" w:rsidRDefault="00273B5A" w:rsidP="00AF7618">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1E89" w:rsidRDefault="00141E89">
      <w:r>
        <w:separator/>
      </w:r>
    </w:p>
  </w:footnote>
  <w:footnote w:type="continuationSeparator" w:id="0">
    <w:p w:rsidR="00141E89" w:rsidRDefault="00141E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3B5A" w:rsidRPr="00AF7618" w:rsidRDefault="00273B5A" w:rsidP="00AF7618">
    <w:pPr>
      <w:pStyle w:val="JuHeader"/>
    </w:pPr>
    <w:r>
      <w:t>DECIZIA PIVKINA ÎMPOTRIVA RUSIEI ȘI ALTE CERERI</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3B5A" w:rsidRPr="00AF7618" w:rsidRDefault="00273B5A" w:rsidP="00AF7618">
    <w:pPr>
      <w:pStyle w:val="JuHeader"/>
    </w:pPr>
    <w:r>
      <w:t>DECIZIA PIVKINA ÎMPOTRIVA RUSIEI ȘI ALTE CERERI</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3B5A" w:rsidRPr="00AF7618" w:rsidRDefault="00273B5A" w:rsidP="00AF7618">
    <w:pPr>
      <w:pStyle w:val="Default"/>
      <w:ind w:left="-284" w:right="-284"/>
      <w:jc w:val="both"/>
      <w:rPr>
        <w:rFonts w:ascii="Trebuchet MS" w:hAnsi="Trebuchet MS"/>
        <w:iCs/>
        <w:sz w:val="20"/>
        <w:szCs w:val="20"/>
      </w:rPr>
    </w:pPr>
    <w:r>
      <w:rPr>
        <w:rFonts w:ascii="Trebuchet MS" w:hAnsi="Trebuchet MS"/>
        <w:sz w:val="20"/>
      </w:rPr>
      <w:t xml:space="preserve">This document has been translated and revised with the financial assistance of the Council of Europe. The </w:t>
    </w:r>
    <w:hyperlink r:id="rId1" w:history="1">
      <w:r>
        <w:rPr>
          <w:rStyle w:val="Hyperlink"/>
          <w:rFonts w:ascii="Trebuchet MS" w:hAnsi="Trebuchet MS"/>
          <w:sz w:val="20"/>
        </w:rPr>
        <w:t>European Institute of Romania</w:t>
      </w:r>
    </w:hyperlink>
    <w:r>
      <w:rPr>
        <w:rFonts w:ascii="Trebuchet MS" w:hAnsi="Trebuchet MS"/>
        <w:sz w:val="20"/>
      </w:rPr>
      <w:t xml:space="preserve"> is solely responsible for this translation.</w:t>
    </w:r>
  </w:p>
  <w:p w:rsidR="00273B5A" w:rsidRPr="00AF7618" w:rsidRDefault="00273B5A" w:rsidP="00AF7618">
    <w:pPr>
      <w:ind w:left="-284" w:right="-284"/>
      <w:jc w:val="both"/>
      <w:rPr>
        <w:rFonts w:ascii="Trebuchet MS" w:hAnsi="Trebuchet MS"/>
        <w:iCs/>
        <w:szCs w:val="20"/>
      </w:rPr>
    </w:pPr>
    <w:r>
      <w:rPr>
        <w:rFonts w:ascii="Trebuchet MS" w:hAnsi="Trebuchet MS"/>
        <w:sz w:val="20"/>
      </w:rPr>
      <w:t xml:space="preserve">Acest document a fost tradus și revizuit cu asistența financiară a Consiliului Europei. </w:t>
    </w:r>
    <w:hyperlink r:id="rId2" w:history="1">
      <w:r>
        <w:rPr>
          <w:rStyle w:val="Hyperlink"/>
          <w:rFonts w:ascii="Trebuchet MS" w:hAnsi="Trebuchet MS"/>
          <w:sz w:val="20"/>
        </w:rPr>
        <w:t>Institutul European din România</w:t>
      </w:r>
    </w:hyperlink>
    <w:r>
      <w:rPr>
        <w:rFonts w:ascii="Trebuchet MS" w:hAnsi="Trebuchet MS"/>
        <w:sz w:val="20"/>
      </w:rPr>
      <w:t xml:space="preserve"> este singurul responsabil pentru această traducere.</w:t>
    </w:r>
  </w:p>
  <w:p w:rsidR="00273B5A" w:rsidRPr="00AF7618" w:rsidRDefault="00273B5A" w:rsidP="00AF7618">
    <w:pPr>
      <w:jc w:val="center"/>
      <w:rPr>
        <w:noProof/>
        <w:lang w:eastAsia="ro-RO"/>
      </w:rPr>
    </w:pPr>
  </w:p>
  <w:p w:rsidR="00273B5A" w:rsidRPr="00AF7618" w:rsidRDefault="00273B5A" w:rsidP="00AF7618">
    <w:pPr>
      <w:jc w:val="center"/>
      <w:rPr>
        <w:noProof/>
        <w:lang w:eastAsia="ro-RO"/>
      </w:rPr>
    </w:pPr>
  </w:p>
  <w:p w:rsidR="00273B5A" w:rsidRPr="00AF7618" w:rsidRDefault="00273B5A" w:rsidP="00AF7618">
    <w:pPr>
      <w:jc w:val="center"/>
    </w:pPr>
    <w:r>
      <w:rPr>
        <w:noProof/>
        <w:lang w:val="en-US"/>
      </w:rPr>
      <w:drawing>
        <wp:inline distT="0" distB="0" distL="0" distR="0">
          <wp:extent cx="2962275" cy="1219200"/>
          <wp:effectExtent l="0" t="0" r="9525" b="0"/>
          <wp:docPr id="1" name="Picture 1"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3">
                    <a:extLst>
                      <a:ext uri="{28A0092B-C50C-407E-A947-70E740481C1C}">
                        <a14:useLocalDpi xmlns:a14="http://schemas.microsoft.com/office/drawing/2010/main" val="0"/>
                      </a:ext>
                    </a:extLst>
                  </a:blip>
                  <a:stretch>
                    <a:fillRect/>
                  </a:stretch>
                </pic:blipFill>
                <pic:spPr bwMode="auto">
                  <a:xfrm>
                    <a:off x="0" y="0"/>
                    <a:ext cx="2962275" cy="1219200"/>
                  </a:xfrm>
                  <a:prstGeom prst="rect">
                    <a:avLst/>
                  </a:prstGeom>
                  <a:noFill/>
                  <a:ln>
                    <a:noFill/>
                  </a:ln>
                </pic:spPr>
              </pic:pic>
            </a:graphicData>
          </a:graphic>
        </wp:inline>
      </w:drawing>
    </w:r>
  </w:p>
  <w:p w:rsidR="00273B5A" w:rsidRPr="00AF7618" w:rsidRDefault="00273B5A" w:rsidP="00AF7618">
    <w:pP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67019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3283F3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F369A7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346880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552A83E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85AC83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486FE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A528BA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66C20B0"/>
    <w:lvl w:ilvl="0">
      <w:start w:val="1"/>
      <w:numFmt w:val="decimal"/>
      <w:pStyle w:val="ListNumber"/>
      <w:lvlText w:val="%1."/>
      <w:lvlJc w:val="left"/>
      <w:pPr>
        <w:tabs>
          <w:tab w:val="num" w:pos="360"/>
        </w:tabs>
        <w:ind w:left="360" w:hanging="360"/>
      </w:pPr>
    </w:lvl>
  </w:abstractNum>
  <w:abstractNum w:abstractNumId="9" w15:restartNumberingAfterBreak="0">
    <w:nsid w:val="013C00DF"/>
    <w:multiLevelType w:val="multilevel"/>
    <w:tmpl w:val="463A88B8"/>
    <w:lvl w:ilvl="0">
      <w:start w:val="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0" w15:restartNumberingAfterBreak="0">
    <w:nsid w:val="048F2261"/>
    <w:multiLevelType w:val="multilevel"/>
    <w:tmpl w:val="C8FE6436"/>
    <w:numStyleLink w:val="ECHRA1StyleList"/>
  </w:abstractNum>
  <w:abstractNum w:abstractNumId="11" w15:restartNumberingAfterBreak="0">
    <w:nsid w:val="0C0F5BFC"/>
    <w:multiLevelType w:val="multilevel"/>
    <w:tmpl w:val="E2B270DC"/>
    <w:lvl w:ilvl="0">
      <w:start w:val="1"/>
      <w:numFmt w:val="none"/>
      <w:pStyle w:val="JuHHead"/>
      <w:suff w:val="nothing"/>
      <w:lvlText w:val="%1"/>
      <w:lvlJc w:val="left"/>
      <w:pPr>
        <w:ind w:left="0" w:firstLine="0"/>
      </w:pPr>
      <w:rPr>
        <w:rFonts w:hint="default"/>
      </w:rPr>
    </w:lvl>
    <w:lvl w:ilvl="1">
      <w:start w:val="1"/>
      <w:numFmt w:val="upperRoman"/>
      <w:pStyle w:val="JuHIRoman"/>
      <w:lvlText w:val="%2."/>
      <w:lvlJc w:val="left"/>
      <w:pPr>
        <w:ind w:left="369" w:hanging="369"/>
      </w:pPr>
      <w:rPr>
        <w:rFonts w:hint="default"/>
      </w:rPr>
    </w:lvl>
    <w:lvl w:ilvl="2">
      <w:start w:val="1"/>
      <w:numFmt w:val="upperLetter"/>
      <w:pStyle w:val="JuHA"/>
      <w:lvlText w:val="%3."/>
      <w:lvlJc w:val="left"/>
      <w:pPr>
        <w:ind w:left="510" w:hanging="340"/>
      </w:pPr>
      <w:rPr>
        <w:rFonts w:hint="default"/>
      </w:rPr>
    </w:lvl>
    <w:lvl w:ilvl="3">
      <w:start w:val="1"/>
      <w:numFmt w:val="decimal"/>
      <w:pStyle w:val="JuH1"/>
      <w:lvlText w:val="%4."/>
      <w:lvlJc w:val="left"/>
      <w:pPr>
        <w:ind w:left="680" w:hanging="340"/>
      </w:pPr>
      <w:rPr>
        <w:rFonts w:hint="default"/>
      </w:rPr>
    </w:lvl>
    <w:lvl w:ilvl="4">
      <w:start w:val="1"/>
      <w:numFmt w:val="lowerLetter"/>
      <w:pStyle w:val="JuHa0"/>
      <w:lvlText w:val="(%5)"/>
      <w:lvlJc w:val="left"/>
      <w:pPr>
        <w:ind w:left="851" w:hanging="341"/>
      </w:pPr>
      <w:rPr>
        <w:rFonts w:hint="default"/>
      </w:rPr>
    </w:lvl>
    <w:lvl w:ilvl="5">
      <w:start w:val="1"/>
      <w:numFmt w:val="lowerRoman"/>
      <w:pStyle w:val="JuHi"/>
      <w:lvlText w:val="(%6)"/>
      <w:lvlJc w:val="left"/>
      <w:pPr>
        <w:ind w:left="1021" w:hanging="341"/>
      </w:pPr>
      <w:rPr>
        <w:rFonts w:hint="default"/>
      </w:rPr>
    </w:lvl>
    <w:lvl w:ilvl="6">
      <w:start w:val="1"/>
      <mc:AlternateContent>
        <mc:Choice Requires="w14">
          <w:numFmt w:val="custom" w:format="α, β, γ, ..."/>
        </mc:Choice>
        <mc:Fallback>
          <w:numFmt w:val="decimal"/>
        </mc:Fallback>
      </mc:AlternateContent>
      <w:pStyle w:val="JuHalpha"/>
      <w:lvlText w:val="(%7)"/>
      <w:lvlJc w:val="left"/>
      <w:pPr>
        <w:ind w:left="1247" w:hanging="396"/>
      </w:pPr>
      <w:rPr>
        <w:rFonts w:asciiTheme="minorHAnsi" w:hAnsiTheme="minorHAnsi" w:hint="default"/>
        <w:b w:val="0"/>
        <w:i w:val="0"/>
      </w:rPr>
    </w:lvl>
    <w:lvl w:ilvl="7">
      <w:start w:val="1"/>
      <w:numFmt w:val="bullet"/>
      <w:pStyle w:val="JuH"/>
      <w:lvlText w:val="‒"/>
      <w:lvlJc w:val="left"/>
      <w:pPr>
        <w:ind w:left="1247" w:hanging="226"/>
      </w:pPr>
      <w:rPr>
        <w:rFonts w:ascii="Times New Roman" w:hAnsi="Times New Roman" w:cs="Times New Roman" w:hint="default"/>
        <w:color w:val="auto"/>
      </w:rPr>
    </w:lvl>
    <w:lvl w:ilvl="8">
      <w:start w:val="1"/>
      <w:numFmt w:val="bullet"/>
      <w:pStyle w:val="ECHRHeading9"/>
      <w:lvlText w:val="▪"/>
      <w:lvlJc w:val="left"/>
      <w:pPr>
        <w:ind w:left="1361" w:hanging="170"/>
      </w:pPr>
      <w:rPr>
        <w:rFonts w:ascii="Times New Roman" w:hAnsi="Times New Roman" w:cs="Times New Roman" w:hint="default"/>
        <w:color w:val="auto"/>
      </w:rPr>
    </w:lvl>
  </w:abstractNum>
  <w:abstractNum w:abstractNumId="12" w15:restartNumberingAfterBreak="0">
    <w:nsid w:val="1AA96CEA"/>
    <w:multiLevelType w:val="multilevel"/>
    <w:tmpl w:val="040C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3" w15:restartNumberingAfterBreak="0">
    <w:nsid w:val="1D27094A"/>
    <w:multiLevelType w:val="multilevel"/>
    <w:tmpl w:val="040C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2F66758"/>
    <w:multiLevelType w:val="hybridMultilevel"/>
    <w:tmpl w:val="DDE661A4"/>
    <w:lvl w:ilvl="0" w:tplc="680AB734">
      <w:start w:val="1"/>
      <w:numFmt w:val="bullet"/>
      <w:lvlText w:val=""/>
      <w:lvlJc w:val="left"/>
      <w:pPr>
        <w:ind w:left="1004" w:hanging="360"/>
      </w:pPr>
      <w:rPr>
        <w:rFonts w:ascii="Symbol" w:hAnsi="Symbol" w:hint="default"/>
      </w:rPr>
    </w:lvl>
    <w:lvl w:ilvl="1" w:tplc="CAB40810" w:tentative="1">
      <w:start w:val="1"/>
      <w:numFmt w:val="bullet"/>
      <w:lvlText w:val="o"/>
      <w:lvlJc w:val="left"/>
      <w:pPr>
        <w:ind w:left="1724" w:hanging="360"/>
      </w:pPr>
      <w:rPr>
        <w:rFonts w:ascii="Courier New" w:hAnsi="Courier New" w:cs="Courier New" w:hint="default"/>
      </w:rPr>
    </w:lvl>
    <w:lvl w:ilvl="2" w:tplc="C0B80A86" w:tentative="1">
      <w:start w:val="1"/>
      <w:numFmt w:val="bullet"/>
      <w:lvlText w:val=""/>
      <w:lvlJc w:val="left"/>
      <w:pPr>
        <w:ind w:left="2444" w:hanging="360"/>
      </w:pPr>
      <w:rPr>
        <w:rFonts w:ascii="Wingdings" w:hAnsi="Wingdings" w:hint="default"/>
      </w:rPr>
    </w:lvl>
    <w:lvl w:ilvl="3" w:tplc="01FC7586" w:tentative="1">
      <w:start w:val="1"/>
      <w:numFmt w:val="bullet"/>
      <w:lvlText w:val=""/>
      <w:lvlJc w:val="left"/>
      <w:pPr>
        <w:ind w:left="3164" w:hanging="360"/>
      </w:pPr>
      <w:rPr>
        <w:rFonts w:ascii="Symbol" w:hAnsi="Symbol" w:hint="default"/>
      </w:rPr>
    </w:lvl>
    <w:lvl w:ilvl="4" w:tplc="30D0FE46" w:tentative="1">
      <w:start w:val="1"/>
      <w:numFmt w:val="bullet"/>
      <w:lvlText w:val="o"/>
      <w:lvlJc w:val="left"/>
      <w:pPr>
        <w:ind w:left="3884" w:hanging="360"/>
      </w:pPr>
      <w:rPr>
        <w:rFonts w:ascii="Courier New" w:hAnsi="Courier New" w:cs="Courier New" w:hint="default"/>
      </w:rPr>
    </w:lvl>
    <w:lvl w:ilvl="5" w:tplc="72F00668" w:tentative="1">
      <w:start w:val="1"/>
      <w:numFmt w:val="bullet"/>
      <w:lvlText w:val=""/>
      <w:lvlJc w:val="left"/>
      <w:pPr>
        <w:ind w:left="4604" w:hanging="360"/>
      </w:pPr>
      <w:rPr>
        <w:rFonts w:ascii="Wingdings" w:hAnsi="Wingdings" w:hint="default"/>
      </w:rPr>
    </w:lvl>
    <w:lvl w:ilvl="6" w:tplc="35127284" w:tentative="1">
      <w:start w:val="1"/>
      <w:numFmt w:val="bullet"/>
      <w:lvlText w:val=""/>
      <w:lvlJc w:val="left"/>
      <w:pPr>
        <w:ind w:left="5324" w:hanging="360"/>
      </w:pPr>
      <w:rPr>
        <w:rFonts w:ascii="Symbol" w:hAnsi="Symbol" w:hint="default"/>
      </w:rPr>
    </w:lvl>
    <w:lvl w:ilvl="7" w:tplc="B18A8E76" w:tentative="1">
      <w:start w:val="1"/>
      <w:numFmt w:val="bullet"/>
      <w:lvlText w:val="o"/>
      <w:lvlJc w:val="left"/>
      <w:pPr>
        <w:ind w:left="6044" w:hanging="360"/>
      </w:pPr>
      <w:rPr>
        <w:rFonts w:ascii="Courier New" w:hAnsi="Courier New" w:cs="Courier New" w:hint="default"/>
      </w:rPr>
    </w:lvl>
    <w:lvl w:ilvl="8" w:tplc="DEFAADE6" w:tentative="1">
      <w:start w:val="1"/>
      <w:numFmt w:val="bullet"/>
      <w:lvlText w:val=""/>
      <w:lvlJc w:val="left"/>
      <w:pPr>
        <w:ind w:left="6764" w:hanging="360"/>
      </w:pPr>
      <w:rPr>
        <w:rFonts w:ascii="Wingdings" w:hAnsi="Wingdings" w:hint="default"/>
      </w:rPr>
    </w:lvl>
  </w:abstractNum>
  <w:abstractNum w:abstractNumId="15" w15:restartNumberingAfterBreak="0">
    <w:nsid w:val="27D5546B"/>
    <w:multiLevelType w:val="multilevel"/>
    <w:tmpl w:val="C8FE6436"/>
    <w:styleLink w:val="ECHRA1StyleList"/>
    <w:lvl w:ilvl="0">
      <w:start w:val="1"/>
      <w:numFmt w:val="decimal"/>
      <w:pStyle w:val="JuList"/>
      <w:lvlText w:val="%1."/>
      <w:lvlJc w:val="left"/>
      <w:pPr>
        <w:tabs>
          <w:tab w:val="num" w:pos="340"/>
        </w:tabs>
        <w:ind w:left="340" w:hanging="340"/>
      </w:pPr>
      <w:rPr>
        <w:rFonts w:hint="default"/>
      </w:rPr>
    </w:lvl>
    <w:lvl w:ilvl="1">
      <w:start w:val="1"/>
      <w:numFmt w:val="lowerLetter"/>
      <w:pStyle w:val="JuLista"/>
      <w:lvlText w:val="(%2)"/>
      <w:lvlJc w:val="left"/>
      <w:pPr>
        <w:tabs>
          <w:tab w:val="num" w:pos="680"/>
        </w:tabs>
        <w:ind w:left="680" w:hanging="340"/>
      </w:pPr>
      <w:rPr>
        <w:rFonts w:hint="default"/>
      </w:rPr>
    </w:lvl>
    <w:lvl w:ilvl="2">
      <w:start w:val="1"/>
      <w:numFmt w:val="lowerRoman"/>
      <w:pStyle w:val="JuListi"/>
      <w:suff w:val="space"/>
      <w:lvlText w:val="(%3)"/>
      <w:lvlJc w:val="left"/>
      <w:pPr>
        <w:ind w:left="1021" w:hanging="341"/>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305A263B"/>
    <w:multiLevelType w:val="hybridMultilevel"/>
    <w:tmpl w:val="B0DA1D7E"/>
    <w:lvl w:ilvl="0" w:tplc="8B7A43B0">
      <w:start w:val="1"/>
      <w:numFmt w:val="bullet"/>
      <w:lvlText w:val=""/>
      <w:lvlJc w:val="left"/>
      <w:pPr>
        <w:ind w:left="1004" w:hanging="360"/>
      </w:pPr>
      <w:rPr>
        <w:rFonts w:ascii="Symbol" w:hAnsi="Symbol" w:hint="default"/>
      </w:rPr>
    </w:lvl>
    <w:lvl w:ilvl="1" w:tplc="2F727302" w:tentative="1">
      <w:start w:val="1"/>
      <w:numFmt w:val="bullet"/>
      <w:lvlText w:val="o"/>
      <w:lvlJc w:val="left"/>
      <w:pPr>
        <w:ind w:left="1724" w:hanging="360"/>
      </w:pPr>
      <w:rPr>
        <w:rFonts w:ascii="Courier New" w:hAnsi="Courier New" w:cs="Courier New" w:hint="default"/>
      </w:rPr>
    </w:lvl>
    <w:lvl w:ilvl="2" w:tplc="754C5BDC" w:tentative="1">
      <w:start w:val="1"/>
      <w:numFmt w:val="bullet"/>
      <w:lvlText w:val=""/>
      <w:lvlJc w:val="left"/>
      <w:pPr>
        <w:ind w:left="2444" w:hanging="360"/>
      </w:pPr>
      <w:rPr>
        <w:rFonts w:ascii="Wingdings" w:hAnsi="Wingdings" w:hint="default"/>
      </w:rPr>
    </w:lvl>
    <w:lvl w:ilvl="3" w:tplc="7D06ECB2" w:tentative="1">
      <w:start w:val="1"/>
      <w:numFmt w:val="bullet"/>
      <w:lvlText w:val=""/>
      <w:lvlJc w:val="left"/>
      <w:pPr>
        <w:ind w:left="3164" w:hanging="360"/>
      </w:pPr>
      <w:rPr>
        <w:rFonts w:ascii="Symbol" w:hAnsi="Symbol" w:hint="default"/>
      </w:rPr>
    </w:lvl>
    <w:lvl w:ilvl="4" w:tplc="2974A30E" w:tentative="1">
      <w:start w:val="1"/>
      <w:numFmt w:val="bullet"/>
      <w:lvlText w:val="o"/>
      <w:lvlJc w:val="left"/>
      <w:pPr>
        <w:ind w:left="3884" w:hanging="360"/>
      </w:pPr>
      <w:rPr>
        <w:rFonts w:ascii="Courier New" w:hAnsi="Courier New" w:cs="Courier New" w:hint="default"/>
      </w:rPr>
    </w:lvl>
    <w:lvl w:ilvl="5" w:tplc="FAB481F0" w:tentative="1">
      <w:start w:val="1"/>
      <w:numFmt w:val="bullet"/>
      <w:lvlText w:val=""/>
      <w:lvlJc w:val="left"/>
      <w:pPr>
        <w:ind w:left="4604" w:hanging="360"/>
      </w:pPr>
      <w:rPr>
        <w:rFonts w:ascii="Wingdings" w:hAnsi="Wingdings" w:hint="default"/>
      </w:rPr>
    </w:lvl>
    <w:lvl w:ilvl="6" w:tplc="722CA656" w:tentative="1">
      <w:start w:val="1"/>
      <w:numFmt w:val="bullet"/>
      <w:lvlText w:val=""/>
      <w:lvlJc w:val="left"/>
      <w:pPr>
        <w:ind w:left="5324" w:hanging="360"/>
      </w:pPr>
      <w:rPr>
        <w:rFonts w:ascii="Symbol" w:hAnsi="Symbol" w:hint="default"/>
      </w:rPr>
    </w:lvl>
    <w:lvl w:ilvl="7" w:tplc="CCD4870A" w:tentative="1">
      <w:start w:val="1"/>
      <w:numFmt w:val="bullet"/>
      <w:lvlText w:val="o"/>
      <w:lvlJc w:val="left"/>
      <w:pPr>
        <w:ind w:left="6044" w:hanging="360"/>
      </w:pPr>
      <w:rPr>
        <w:rFonts w:ascii="Courier New" w:hAnsi="Courier New" w:cs="Courier New" w:hint="default"/>
      </w:rPr>
    </w:lvl>
    <w:lvl w:ilvl="8" w:tplc="0700EB28" w:tentative="1">
      <w:start w:val="1"/>
      <w:numFmt w:val="bullet"/>
      <w:lvlText w:val=""/>
      <w:lvlJc w:val="left"/>
      <w:pPr>
        <w:ind w:left="6764" w:hanging="360"/>
      </w:pPr>
      <w:rPr>
        <w:rFonts w:ascii="Wingdings" w:hAnsi="Wingdings" w:hint="default"/>
      </w:rPr>
    </w:lvl>
  </w:abstractNum>
  <w:abstractNum w:abstractNumId="17" w15:restartNumberingAfterBreak="0">
    <w:nsid w:val="38277DA2"/>
    <w:multiLevelType w:val="hybridMultilevel"/>
    <w:tmpl w:val="FDCE6D62"/>
    <w:lvl w:ilvl="0" w:tplc="DE10C8A2">
      <w:start w:val="1"/>
      <w:numFmt w:val="bullet"/>
      <w:lvlText w:val=""/>
      <w:lvlJc w:val="left"/>
      <w:pPr>
        <w:ind w:left="1004" w:hanging="360"/>
      </w:pPr>
      <w:rPr>
        <w:rFonts w:ascii="Symbol" w:hAnsi="Symbol" w:hint="default"/>
      </w:rPr>
    </w:lvl>
    <w:lvl w:ilvl="1" w:tplc="8AF422B0" w:tentative="1">
      <w:start w:val="1"/>
      <w:numFmt w:val="bullet"/>
      <w:lvlText w:val="o"/>
      <w:lvlJc w:val="left"/>
      <w:pPr>
        <w:ind w:left="1724" w:hanging="360"/>
      </w:pPr>
      <w:rPr>
        <w:rFonts w:ascii="Courier New" w:hAnsi="Courier New" w:cs="Courier New" w:hint="default"/>
      </w:rPr>
    </w:lvl>
    <w:lvl w:ilvl="2" w:tplc="26DAC61E" w:tentative="1">
      <w:start w:val="1"/>
      <w:numFmt w:val="bullet"/>
      <w:lvlText w:val=""/>
      <w:lvlJc w:val="left"/>
      <w:pPr>
        <w:ind w:left="2444" w:hanging="360"/>
      </w:pPr>
      <w:rPr>
        <w:rFonts w:ascii="Wingdings" w:hAnsi="Wingdings" w:hint="default"/>
      </w:rPr>
    </w:lvl>
    <w:lvl w:ilvl="3" w:tplc="042668F4" w:tentative="1">
      <w:start w:val="1"/>
      <w:numFmt w:val="bullet"/>
      <w:lvlText w:val=""/>
      <w:lvlJc w:val="left"/>
      <w:pPr>
        <w:ind w:left="3164" w:hanging="360"/>
      </w:pPr>
      <w:rPr>
        <w:rFonts w:ascii="Symbol" w:hAnsi="Symbol" w:hint="default"/>
      </w:rPr>
    </w:lvl>
    <w:lvl w:ilvl="4" w:tplc="E0A24EC2" w:tentative="1">
      <w:start w:val="1"/>
      <w:numFmt w:val="bullet"/>
      <w:lvlText w:val="o"/>
      <w:lvlJc w:val="left"/>
      <w:pPr>
        <w:ind w:left="3884" w:hanging="360"/>
      </w:pPr>
      <w:rPr>
        <w:rFonts w:ascii="Courier New" w:hAnsi="Courier New" w:cs="Courier New" w:hint="default"/>
      </w:rPr>
    </w:lvl>
    <w:lvl w:ilvl="5" w:tplc="C5AC0CEC" w:tentative="1">
      <w:start w:val="1"/>
      <w:numFmt w:val="bullet"/>
      <w:lvlText w:val=""/>
      <w:lvlJc w:val="left"/>
      <w:pPr>
        <w:ind w:left="4604" w:hanging="360"/>
      </w:pPr>
      <w:rPr>
        <w:rFonts w:ascii="Wingdings" w:hAnsi="Wingdings" w:hint="default"/>
      </w:rPr>
    </w:lvl>
    <w:lvl w:ilvl="6" w:tplc="32682EDA" w:tentative="1">
      <w:start w:val="1"/>
      <w:numFmt w:val="bullet"/>
      <w:lvlText w:val=""/>
      <w:lvlJc w:val="left"/>
      <w:pPr>
        <w:ind w:left="5324" w:hanging="360"/>
      </w:pPr>
      <w:rPr>
        <w:rFonts w:ascii="Symbol" w:hAnsi="Symbol" w:hint="default"/>
      </w:rPr>
    </w:lvl>
    <w:lvl w:ilvl="7" w:tplc="DA6E58A6" w:tentative="1">
      <w:start w:val="1"/>
      <w:numFmt w:val="bullet"/>
      <w:lvlText w:val="o"/>
      <w:lvlJc w:val="left"/>
      <w:pPr>
        <w:ind w:left="6044" w:hanging="360"/>
      </w:pPr>
      <w:rPr>
        <w:rFonts w:ascii="Courier New" w:hAnsi="Courier New" w:cs="Courier New" w:hint="default"/>
      </w:rPr>
    </w:lvl>
    <w:lvl w:ilvl="8" w:tplc="5C129E88" w:tentative="1">
      <w:start w:val="1"/>
      <w:numFmt w:val="bullet"/>
      <w:lvlText w:val=""/>
      <w:lvlJc w:val="left"/>
      <w:pPr>
        <w:ind w:left="6764" w:hanging="360"/>
      </w:pPr>
      <w:rPr>
        <w:rFonts w:ascii="Wingdings" w:hAnsi="Wingdings" w:hint="default"/>
      </w:rPr>
    </w:lvl>
  </w:abstractNum>
  <w:abstractNum w:abstractNumId="18" w15:restartNumberingAfterBreak="0">
    <w:nsid w:val="40B939E1"/>
    <w:multiLevelType w:val="multilevel"/>
    <w:tmpl w:val="040C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989571C"/>
    <w:multiLevelType w:val="multilevel"/>
    <w:tmpl w:val="EFC26858"/>
    <w:styleLink w:val="ECHRA1StyleBulletedSquare"/>
    <w:lvl w:ilvl="0">
      <w:start w:val="1"/>
      <w:numFmt w:val="bullet"/>
      <w:pStyle w:val="ECHRBullet1"/>
      <w:lvlText w:val=""/>
      <w:lvlJc w:val="left"/>
      <w:pPr>
        <w:tabs>
          <w:tab w:val="num" w:pos="851"/>
        </w:tabs>
        <w:ind w:left="851" w:hanging="284"/>
      </w:pPr>
      <w:rPr>
        <w:rFonts w:ascii="Wingdings" w:hAnsi="Wingdings" w:hint="default"/>
        <w:color w:val="0072BC" w:themeColor="background1"/>
      </w:rPr>
    </w:lvl>
    <w:lvl w:ilvl="1">
      <w:start w:val="1"/>
      <w:numFmt w:val="bullet"/>
      <w:pStyle w:val="ECHRBullet2"/>
      <w:lvlText w:val=""/>
      <w:lvlJc w:val="left"/>
      <w:pPr>
        <w:tabs>
          <w:tab w:val="num" w:pos="1134"/>
        </w:tabs>
        <w:ind w:left="1135" w:hanging="284"/>
      </w:pPr>
      <w:rPr>
        <w:rFonts w:ascii="Wingdings" w:hAnsi="Wingdings" w:hint="default"/>
        <w:color w:val="0072BC" w:themeColor="background1"/>
      </w:rPr>
    </w:lvl>
    <w:lvl w:ilvl="2">
      <w:start w:val="1"/>
      <w:numFmt w:val="bullet"/>
      <w:pStyle w:val="ECHRBullet3"/>
      <w:lvlText w:val=""/>
      <w:lvlJc w:val="left"/>
      <w:pPr>
        <w:tabs>
          <w:tab w:val="num" w:pos="1418"/>
        </w:tabs>
        <w:ind w:left="1419" w:hanging="284"/>
      </w:pPr>
      <w:rPr>
        <w:rFonts w:ascii="Wingdings" w:hAnsi="Wingdings" w:hint="default"/>
        <w:color w:val="7F7F7F" w:themeColor="text1" w:themeTint="80"/>
      </w:rPr>
    </w:lvl>
    <w:lvl w:ilvl="3">
      <w:start w:val="1"/>
      <w:numFmt w:val="bullet"/>
      <w:pStyle w:val="ECHRBullet4"/>
      <w:lvlText w:val=""/>
      <w:lvlJc w:val="left"/>
      <w:pPr>
        <w:tabs>
          <w:tab w:val="num" w:pos="1701"/>
        </w:tabs>
        <w:ind w:left="1703" w:hanging="284"/>
      </w:pPr>
      <w:rPr>
        <w:rFonts w:ascii="Wingdings" w:hAnsi="Wingdings" w:hint="default"/>
        <w:color w:val="7F7F7F" w:themeColor="text1" w:themeTint="80"/>
      </w:rPr>
    </w:lvl>
    <w:lvl w:ilvl="4">
      <w:start w:val="1"/>
      <w:numFmt w:val="bullet"/>
      <w:lvlText w:val=""/>
      <w:lvlJc w:val="left"/>
      <w:pPr>
        <w:tabs>
          <w:tab w:val="num" w:pos="1760"/>
        </w:tabs>
        <w:ind w:left="1987" w:hanging="284"/>
      </w:pPr>
      <w:rPr>
        <w:rFonts w:ascii="Wingdings" w:hAnsi="Wingdings" w:hint="default"/>
        <w:color w:val="0072BC" w:themeColor="background1"/>
      </w:rPr>
    </w:lvl>
    <w:lvl w:ilvl="5">
      <w:start w:val="1"/>
      <w:numFmt w:val="bullet"/>
      <w:lvlText w:val=""/>
      <w:lvlJc w:val="left"/>
      <w:pPr>
        <w:tabs>
          <w:tab w:val="num" w:pos="2044"/>
        </w:tabs>
        <w:ind w:left="2271" w:hanging="284"/>
      </w:pPr>
      <w:rPr>
        <w:rFonts w:ascii="Wingdings" w:hAnsi="Wingdings" w:hint="default"/>
        <w:color w:val="5F5F5F" w:themeColor="accent5"/>
      </w:rPr>
    </w:lvl>
    <w:lvl w:ilvl="6">
      <w:start w:val="1"/>
      <w:numFmt w:val="bullet"/>
      <w:lvlText w:val=""/>
      <w:lvlJc w:val="left"/>
      <w:pPr>
        <w:tabs>
          <w:tab w:val="num" w:pos="2328"/>
        </w:tabs>
        <w:ind w:left="2555" w:hanging="284"/>
      </w:pPr>
      <w:rPr>
        <w:rFonts w:ascii="Symbol" w:hAnsi="Symbol" w:hint="default"/>
      </w:rPr>
    </w:lvl>
    <w:lvl w:ilvl="7">
      <w:start w:val="1"/>
      <w:numFmt w:val="bullet"/>
      <w:lvlText w:val="o"/>
      <w:lvlJc w:val="left"/>
      <w:pPr>
        <w:tabs>
          <w:tab w:val="num" w:pos="2612"/>
        </w:tabs>
        <w:ind w:left="2839" w:hanging="284"/>
      </w:pPr>
      <w:rPr>
        <w:rFonts w:ascii="Courier New" w:hAnsi="Courier New" w:hint="default"/>
      </w:rPr>
    </w:lvl>
    <w:lvl w:ilvl="8">
      <w:start w:val="1"/>
      <w:numFmt w:val="bullet"/>
      <w:lvlText w:val=""/>
      <w:lvlJc w:val="left"/>
      <w:pPr>
        <w:tabs>
          <w:tab w:val="num" w:pos="2896"/>
        </w:tabs>
        <w:ind w:left="3123" w:hanging="284"/>
      </w:pPr>
      <w:rPr>
        <w:rFonts w:ascii="Wingdings" w:hAnsi="Wingdings" w:hint="default"/>
      </w:rPr>
    </w:lvl>
  </w:abstractNum>
  <w:abstractNum w:abstractNumId="20" w15:restartNumberingAfterBreak="0">
    <w:nsid w:val="5032512D"/>
    <w:multiLevelType w:val="multilevel"/>
    <w:tmpl w:val="9B34AC6C"/>
    <w:styleLink w:val="ECHRA1StyleNumberedList"/>
    <w:lvl w:ilvl="0">
      <w:start w:val="1"/>
      <w:numFmt w:val="decimal"/>
      <w:pStyle w:val="ECHRNumberedList1"/>
      <w:lvlText w:val="%1."/>
      <w:lvlJc w:val="left"/>
      <w:pPr>
        <w:tabs>
          <w:tab w:val="num" w:pos="964"/>
        </w:tabs>
        <w:ind w:left="964" w:hanging="397"/>
      </w:pPr>
      <w:rPr>
        <w:rFonts w:hint="default"/>
      </w:rPr>
    </w:lvl>
    <w:lvl w:ilvl="1">
      <w:start w:val="1"/>
      <w:numFmt w:val="lowerLetter"/>
      <w:pStyle w:val="ECHRNumberedList2"/>
      <w:lvlText w:val="%2."/>
      <w:lvlJc w:val="left"/>
      <w:pPr>
        <w:tabs>
          <w:tab w:val="num" w:pos="1361"/>
        </w:tabs>
        <w:ind w:left="1361" w:hanging="397"/>
      </w:pPr>
      <w:rPr>
        <w:rFonts w:hint="default"/>
      </w:rPr>
    </w:lvl>
    <w:lvl w:ilvl="2">
      <w:start w:val="1"/>
      <w:numFmt w:val="lowerRoman"/>
      <w:pStyle w:val="ECHRNumberedList3"/>
      <w:lvlText w:val="%3."/>
      <w:lvlJc w:val="left"/>
      <w:pPr>
        <w:tabs>
          <w:tab w:val="num" w:pos="1758"/>
        </w:tabs>
        <w:ind w:left="1758" w:hanging="397"/>
      </w:pPr>
      <w:rPr>
        <w:rFonts w:hint="default"/>
      </w:rPr>
    </w:lvl>
    <w:lvl w:ilvl="3">
      <w:start w:val="1"/>
      <w:numFmt w:val="decimal"/>
      <w:lvlText w:val="(%4)"/>
      <w:lvlJc w:val="left"/>
      <w:pPr>
        <w:tabs>
          <w:tab w:val="num" w:pos="1703"/>
        </w:tabs>
        <w:ind w:left="1703" w:hanging="284"/>
      </w:pPr>
      <w:rPr>
        <w:rFonts w:hint="default"/>
      </w:rPr>
    </w:lvl>
    <w:lvl w:ilvl="4">
      <w:start w:val="1"/>
      <w:numFmt w:val="lowerLetter"/>
      <w:lvlText w:val="(%5)"/>
      <w:lvlJc w:val="left"/>
      <w:pPr>
        <w:tabs>
          <w:tab w:val="num" w:pos="1987"/>
        </w:tabs>
        <w:ind w:left="1987" w:hanging="284"/>
      </w:pPr>
      <w:rPr>
        <w:rFonts w:hint="default"/>
      </w:rPr>
    </w:lvl>
    <w:lvl w:ilvl="5">
      <w:start w:val="1"/>
      <w:numFmt w:val="lowerRoman"/>
      <w:lvlText w:val="(%6)"/>
      <w:lvlJc w:val="left"/>
      <w:pPr>
        <w:tabs>
          <w:tab w:val="num" w:pos="2271"/>
        </w:tabs>
        <w:ind w:left="2271" w:hanging="284"/>
      </w:pPr>
      <w:rPr>
        <w:rFonts w:hint="default"/>
      </w:rPr>
    </w:lvl>
    <w:lvl w:ilvl="6">
      <w:start w:val="1"/>
      <w:numFmt w:val="decimal"/>
      <w:lvlText w:val="%7."/>
      <w:lvlJc w:val="left"/>
      <w:pPr>
        <w:tabs>
          <w:tab w:val="num" w:pos="2555"/>
        </w:tabs>
        <w:ind w:left="2555" w:hanging="284"/>
      </w:pPr>
      <w:rPr>
        <w:rFonts w:hint="default"/>
      </w:rPr>
    </w:lvl>
    <w:lvl w:ilvl="7">
      <w:start w:val="1"/>
      <w:numFmt w:val="lowerLetter"/>
      <w:lvlText w:val="%8."/>
      <w:lvlJc w:val="left"/>
      <w:pPr>
        <w:tabs>
          <w:tab w:val="num" w:pos="2839"/>
        </w:tabs>
        <w:ind w:left="2839" w:hanging="284"/>
      </w:pPr>
      <w:rPr>
        <w:rFonts w:hint="default"/>
      </w:rPr>
    </w:lvl>
    <w:lvl w:ilvl="8">
      <w:start w:val="1"/>
      <w:numFmt w:val="lowerRoman"/>
      <w:lvlText w:val="%9."/>
      <w:lvlJc w:val="left"/>
      <w:pPr>
        <w:tabs>
          <w:tab w:val="num" w:pos="3123"/>
        </w:tabs>
        <w:ind w:left="3123" w:hanging="284"/>
      </w:pPr>
      <w:rPr>
        <w:rFonts w:hint="default"/>
      </w:rPr>
    </w:lvl>
  </w:abstractNum>
  <w:abstractNum w:abstractNumId="21" w15:restartNumberingAfterBreak="0">
    <w:nsid w:val="67FD1241"/>
    <w:multiLevelType w:val="hybridMultilevel"/>
    <w:tmpl w:val="F6D86CC2"/>
    <w:lvl w:ilvl="0" w:tplc="46D6FEFA">
      <w:start w:val="1"/>
      <w:numFmt w:val="bullet"/>
      <w:pStyle w:val="ListBullet"/>
      <w:lvlText w:val=""/>
      <w:lvlJc w:val="left"/>
      <w:pPr>
        <w:tabs>
          <w:tab w:val="num" w:pos="851"/>
        </w:tabs>
        <w:ind w:left="568" w:firstLine="0"/>
      </w:pPr>
      <w:rPr>
        <w:rFonts w:ascii="Wingdings" w:hAnsi="Wingdings" w:hint="default"/>
        <w:color w:val="808080"/>
        <w:sz w:val="16"/>
      </w:rPr>
    </w:lvl>
    <w:lvl w:ilvl="1" w:tplc="4086C07A" w:tentative="1">
      <w:start w:val="1"/>
      <w:numFmt w:val="bullet"/>
      <w:lvlText w:val="o"/>
      <w:lvlJc w:val="left"/>
      <w:pPr>
        <w:tabs>
          <w:tab w:val="num" w:pos="1724"/>
        </w:tabs>
        <w:ind w:left="1724" w:hanging="360"/>
      </w:pPr>
      <w:rPr>
        <w:rFonts w:ascii="Courier New" w:hAnsi="Courier New" w:cs="Courier New" w:hint="default"/>
      </w:rPr>
    </w:lvl>
    <w:lvl w:ilvl="2" w:tplc="9252F9DC" w:tentative="1">
      <w:start w:val="1"/>
      <w:numFmt w:val="bullet"/>
      <w:lvlText w:val=""/>
      <w:lvlJc w:val="left"/>
      <w:pPr>
        <w:tabs>
          <w:tab w:val="num" w:pos="2444"/>
        </w:tabs>
        <w:ind w:left="2444" w:hanging="360"/>
      </w:pPr>
      <w:rPr>
        <w:rFonts w:ascii="Wingdings" w:hAnsi="Wingdings" w:hint="default"/>
      </w:rPr>
    </w:lvl>
    <w:lvl w:ilvl="3" w:tplc="29AE70F6" w:tentative="1">
      <w:start w:val="1"/>
      <w:numFmt w:val="bullet"/>
      <w:lvlText w:val=""/>
      <w:lvlJc w:val="left"/>
      <w:pPr>
        <w:tabs>
          <w:tab w:val="num" w:pos="3164"/>
        </w:tabs>
        <w:ind w:left="3164" w:hanging="360"/>
      </w:pPr>
      <w:rPr>
        <w:rFonts w:ascii="Symbol" w:hAnsi="Symbol" w:hint="default"/>
      </w:rPr>
    </w:lvl>
    <w:lvl w:ilvl="4" w:tplc="FBB63B90" w:tentative="1">
      <w:start w:val="1"/>
      <w:numFmt w:val="bullet"/>
      <w:lvlText w:val="o"/>
      <w:lvlJc w:val="left"/>
      <w:pPr>
        <w:tabs>
          <w:tab w:val="num" w:pos="3884"/>
        </w:tabs>
        <w:ind w:left="3884" w:hanging="360"/>
      </w:pPr>
      <w:rPr>
        <w:rFonts w:ascii="Courier New" w:hAnsi="Courier New" w:cs="Courier New" w:hint="default"/>
      </w:rPr>
    </w:lvl>
    <w:lvl w:ilvl="5" w:tplc="63A4078C" w:tentative="1">
      <w:start w:val="1"/>
      <w:numFmt w:val="bullet"/>
      <w:lvlText w:val=""/>
      <w:lvlJc w:val="left"/>
      <w:pPr>
        <w:tabs>
          <w:tab w:val="num" w:pos="4604"/>
        </w:tabs>
        <w:ind w:left="4604" w:hanging="360"/>
      </w:pPr>
      <w:rPr>
        <w:rFonts w:ascii="Wingdings" w:hAnsi="Wingdings" w:hint="default"/>
      </w:rPr>
    </w:lvl>
    <w:lvl w:ilvl="6" w:tplc="D0340648" w:tentative="1">
      <w:start w:val="1"/>
      <w:numFmt w:val="bullet"/>
      <w:lvlText w:val=""/>
      <w:lvlJc w:val="left"/>
      <w:pPr>
        <w:tabs>
          <w:tab w:val="num" w:pos="5324"/>
        </w:tabs>
        <w:ind w:left="5324" w:hanging="360"/>
      </w:pPr>
      <w:rPr>
        <w:rFonts w:ascii="Symbol" w:hAnsi="Symbol" w:hint="default"/>
      </w:rPr>
    </w:lvl>
    <w:lvl w:ilvl="7" w:tplc="74DE0114" w:tentative="1">
      <w:start w:val="1"/>
      <w:numFmt w:val="bullet"/>
      <w:lvlText w:val="o"/>
      <w:lvlJc w:val="left"/>
      <w:pPr>
        <w:tabs>
          <w:tab w:val="num" w:pos="6044"/>
        </w:tabs>
        <w:ind w:left="6044" w:hanging="360"/>
      </w:pPr>
      <w:rPr>
        <w:rFonts w:ascii="Courier New" w:hAnsi="Courier New" w:cs="Courier New" w:hint="default"/>
      </w:rPr>
    </w:lvl>
    <w:lvl w:ilvl="8" w:tplc="C0CABA8C" w:tentative="1">
      <w:start w:val="1"/>
      <w:numFmt w:val="bullet"/>
      <w:lvlText w:val=""/>
      <w:lvlJc w:val="left"/>
      <w:pPr>
        <w:tabs>
          <w:tab w:val="num" w:pos="6764"/>
        </w:tabs>
        <w:ind w:left="6764" w:hanging="360"/>
      </w:pPr>
      <w:rPr>
        <w:rFonts w:ascii="Wingdings" w:hAnsi="Wingdings" w:hint="default"/>
      </w:rPr>
    </w:lvl>
  </w:abstractNum>
  <w:num w:numId="1">
    <w:abstractNumId w:val="18"/>
  </w:num>
  <w:num w:numId="2">
    <w:abstractNumId w:val="13"/>
  </w:num>
  <w:num w:numId="3">
    <w:abstractNumId w:val="12"/>
  </w:num>
  <w:num w:numId="4">
    <w:abstractNumId w:val="19"/>
  </w:num>
  <w:num w:numId="5">
    <w:abstractNumId w:val="15"/>
  </w:num>
  <w:num w:numId="6">
    <w:abstractNumId w:val="20"/>
  </w:num>
  <w:num w:numId="7">
    <w:abstractNumId w:val="19"/>
  </w:num>
  <w:num w:numId="8">
    <w:abstractNumId w:val="20"/>
  </w:num>
  <w:num w:numId="9">
    <w:abstractNumId w:val="11"/>
  </w:num>
  <w:num w:numId="10">
    <w:abstractNumId w:val="10"/>
  </w:num>
  <w:num w:numId="11">
    <w:abstractNumId w:val="21"/>
  </w:num>
  <w:num w:numId="12">
    <w:abstractNumId w:val="7"/>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 w:numId="21">
    <w:abstractNumId w:val="14"/>
  </w:num>
  <w:num w:numId="22">
    <w:abstractNumId w:val="16"/>
  </w:num>
  <w:num w:numId="23">
    <w:abstractNumId w:val="17"/>
  </w:num>
  <w:num w:numId="24">
    <w:abstractNumId w:val="9"/>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removePersonalInformation/>
  <w:proofState w:spelling="clean" w:grammar="clean"/>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20"/>
  <w:hyphenationZone w:val="425"/>
  <w:evenAndOddHeaders/>
  <w:characterSpacingControl w:val="doNotCompress"/>
  <w:hdrShapeDefaults>
    <o:shapedefaults v:ext="edit" spidmax="4097"/>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pplicationsApp" w:val="3"/>
    <w:docVar w:name="EMM" w:val="0"/>
    <w:docVar w:name="NBEMMDOC" w:val="0"/>
    <w:docVar w:name="Plural" w:val="3"/>
  </w:docVars>
  <w:rsids>
    <w:rsidRoot w:val="007C12B0"/>
    <w:rsid w:val="0004533D"/>
    <w:rsid w:val="00095FD8"/>
    <w:rsid w:val="000B1FA9"/>
    <w:rsid w:val="000C4056"/>
    <w:rsid w:val="000D61E7"/>
    <w:rsid w:val="000E3A89"/>
    <w:rsid w:val="0010632C"/>
    <w:rsid w:val="00115035"/>
    <w:rsid w:val="00132029"/>
    <w:rsid w:val="0014141A"/>
    <w:rsid w:val="00141E89"/>
    <w:rsid w:val="00144EBC"/>
    <w:rsid w:val="00150B56"/>
    <w:rsid w:val="00150BFA"/>
    <w:rsid w:val="001818B5"/>
    <w:rsid w:val="001D1233"/>
    <w:rsid w:val="0020718E"/>
    <w:rsid w:val="00210D27"/>
    <w:rsid w:val="00223591"/>
    <w:rsid w:val="002332D1"/>
    <w:rsid w:val="00273B5A"/>
    <w:rsid w:val="00295C19"/>
    <w:rsid w:val="002A7443"/>
    <w:rsid w:val="002B6368"/>
    <w:rsid w:val="002C6B7B"/>
    <w:rsid w:val="002E151C"/>
    <w:rsid w:val="002E2C77"/>
    <w:rsid w:val="003B50D7"/>
    <w:rsid w:val="003E3C60"/>
    <w:rsid w:val="00452087"/>
    <w:rsid w:val="00464268"/>
    <w:rsid w:val="00477F86"/>
    <w:rsid w:val="00490F23"/>
    <w:rsid w:val="004A4C71"/>
    <w:rsid w:val="004B4E73"/>
    <w:rsid w:val="004E6FB8"/>
    <w:rsid w:val="004F4F63"/>
    <w:rsid w:val="005E56C2"/>
    <w:rsid w:val="005F11CB"/>
    <w:rsid w:val="00613AD7"/>
    <w:rsid w:val="006262FA"/>
    <w:rsid w:val="006267D3"/>
    <w:rsid w:val="006300E9"/>
    <w:rsid w:val="006412C8"/>
    <w:rsid w:val="00653EF4"/>
    <w:rsid w:val="00656B81"/>
    <w:rsid w:val="00695F7C"/>
    <w:rsid w:val="006D4D63"/>
    <w:rsid w:val="006D6E6B"/>
    <w:rsid w:val="006E123B"/>
    <w:rsid w:val="0076040F"/>
    <w:rsid w:val="007907C0"/>
    <w:rsid w:val="007A74FC"/>
    <w:rsid w:val="007B2364"/>
    <w:rsid w:val="007C12B0"/>
    <w:rsid w:val="00812D10"/>
    <w:rsid w:val="00830816"/>
    <w:rsid w:val="008A2B2A"/>
    <w:rsid w:val="008D10E4"/>
    <w:rsid w:val="008F0A92"/>
    <w:rsid w:val="008F7189"/>
    <w:rsid w:val="00934F78"/>
    <w:rsid w:val="00956B2A"/>
    <w:rsid w:val="0096293E"/>
    <w:rsid w:val="009656DE"/>
    <w:rsid w:val="0098402D"/>
    <w:rsid w:val="009B6F49"/>
    <w:rsid w:val="009C21E8"/>
    <w:rsid w:val="009E01FB"/>
    <w:rsid w:val="00A45145"/>
    <w:rsid w:val="00A91DA2"/>
    <w:rsid w:val="00AA5AEE"/>
    <w:rsid w:val="00AC58E5"/>
    <w:rsid w:val="00AF7618"/>
    <w:rsid w:val="00B140D3"/>
    <w:rsid w:val="00B40C6A"/>
    <w:rsid w:val="00B8212D"/>
    <w:rsid w:val="00BB1FC5"/>
    <w:rsid w:val="00BD1692"/>
    <w:rsid w:val="00C1135A"/>
    <w:rsid w:val="00C134DD"/>
    <w:rsid w:val="00C2291A"/>
    <w:rsid w:val="00C42C12"/>
    <w:rsid w:val="00C72ECB"/>
    <w:rsid w:val="00C8038F"/>
    <w:rsid w:val="00C8500B"/>
    <w:rsid w:val="00CB3BD9"/>
    <w:rsid w:val="00D415D6"/>
    <w:rsid w:val="00DA151A"/>
    <w:rsid w:val="00DB6354"/>
    <w:rsid w:val="00DC09E3"/>
    <w:rsid w:val="00DE77F0"/>
    <w:rsid w:val="00E5464B"/>
    <w:rsid w:val="00E93FC7"/>
    <w:rsid w:val="00EA1004"/>
    <w:rsid w:val="00ED04C3"/>
    <w:rsid w:val="00EE3667"/>
    <w:rsid w:val="00EE38CA"/>
    <w:rsid w:val="00F0534F"/>
    <w:rsid w:val="00F05C7B"/>
    <w:rsid w:val="00F24AB9"/>
    <w:rsid w:val="00F832FD"/>
    <w:rsid w:val="00FC26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2A4F3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docDefaults>
  <w:latentStyles w:defLockedState="0" w:defUIPriority="98" w:defSemiHidden="0" w:defUnhideWhenUsed="0" w:defQFormat="0" w:count="371">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qFormat="1"/>
    <w:lsdException w:name="heading 6" w:semiHidden="1" w:unhideWhenUsed="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59"/>
    <w:lsdException w:name="Table Theme" w:semiHidden="1" w:uiPriority="99"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atentStyles>
  <w:style w:type="paragraph" w:default="1" w:styleId="Normal">
    <w:name w:val="Normal"/>
    <w:semiHidden/>
    <w:rsid w:val="00144EBC"/>
    <w:rPr>
      <w:sz w:val="24"/>
      <w:szCs w:val="24"/>
    </w:rPr>
  </w:style>
  <w:style w:type="paragraph" w:styleId="Heading1">
    <w:name w:val="heading 1"/>
    <w:basedOn w:val="Normal"/>
    <w:next w:val="Normal"/>
    <w:link w:val="Heading1Char"/>
    <w:uiPriority w:val="98"/>
    <w:semiHidden/>
    <w:rsid w:val="00144EBC"/>
    <w:pPr>
      <w:spacing w:before="480"/>
      <w:contextualSpacing/>
      <w:outlineLvl w:val="0"/>
    </w:pPr>
    <w:rPr>
      <w:rFonts w:asciiTheme="majorHAnsi" w:eastAsiaTheme="majorEastAsia" w:hAnsiTheme="majorHAnsi" w:cstheme="majorBidi"/>
      <w:b/>
      <w:bCs/>
      <w:color w:val="333333"/>
      <w:sz w:val="28"/>
      <w:szCs w:val="28"/>
    </w:rPr>
  </w:style>
  <w:style w:type="paragraph" w:styleId="Heading2">
    <w:name w:val="heading 2"/>
    <w:basedOn w:val="Normal"/>
    <w:next w:val="Normal"/>
    <w:link w:val="Heading2Char"/>
    <w:uiPriority w:val="98"/>
    <w:semiHidden/>
    <w:rsid w:val="00144EBC"/>
    <w:pPr>
      <w:spacing w:before="200"/>
      <w:outlineLvl w:val="1"/>
    </w:pPr>
    <w:rPr>
      <w:rFonts w:asciiTheme="majorHAnsi" w:eastAsiaTheme="majorEastAsia" w:hAnsiTheme="majorHAnsi" w:cstheme="majorBidi"/>
      <w:b/>
      <w:bCs/>
      <w:color w:val="4D4D4D"/>
      <w:sz w:val="26"/>
      <w:szCs w:val="26"/>
    </w:rPr>
  </w:style>
  <w:style w:type="paragraph" w:styleId="Heading3">
    <w:name w:val="heading 3"/>
    <w:basedOn w:val="Normal"/>
    <w:next w:val="Normal"/>
    <w:link w:val="Heading3Char"/>
    <w:uiPriority w:val="98"/>
    <w:semiHidden/>
    <w:rsid w:val="00144EBC"/>
    <w:pPr>
      <w:spacing w:before="200" w:line="271" w:lineRule="auto"/>
      <w:outlineLvl w:val="2"/>
    </w:pPr>
    <w:rPr>
      <w:rFonts w:asciiTheme="majorHAnsi" w:eastAsiaTheme="majorEastAsia" w:hAnsiTheme="majorHAnsi" w:cstheme="majorBidi"/>
      <w:b/>
      <w:bCs/>
      <w:color w:val="5F5F5F"/>
      <w:sz w:val="22"/>
      <w:szCs w:val="22"/>
    </w:rPr>
  </w:style>
  <w:style w:type="paragraph" w:styleId="Heading4">
    <w:name w:val="heading 4"/>
    <w:basedOn w:val="Normal"/>
    <w:next w:val="Normal"/>
    <w:link w:val="Heading4Char"/>
    <w:uiPriority w:val="98"/>
    <w:semiHidden/>
    <w:rsid w:val="00144EBC"/>
    <w:pPr>
      <w:spacing w:before="200"/>
      <w:outlineLvl w:val="3"/>
    </w:pPr>
    <w:rPr>
      <w:rFonts w:asciiTheme="majorHAnsi" w:eastAsiaTheme="majorEastAsia" w:hAnsiTheme="majorHAnsi" w:cstheme="majorBidi"/>
      <w:b/>
      <w:bCs/>
      <w:i/>
      <w:iCs/>
      <w:color w:val="777777"/>
      <w:sz w:val="22"/>
      <w:szCs w:val="22"/>
    </w:rPr>
  </w:style>
  <w:style w:type="paragraph" w:styleId="Heading5">
    <w:name w:val="heading 5"/>
    <w:basedOn w:val="Normal"/>
    <w:next w:val="Normal"/>
    <w:link w:val="Heading5Char"/>
    <w:uiPriority w:val="98"/>
    <w:semiHidden/>
    <w:qFormat/>
    <w:rsid w:val="00144EBC"/>
    <w:pPr>
      <w:spacing w:before="200"/>
      <w:outlineLvl w:val="4"/>
    </w:pPr>
    <w:rPr>
      <w:rFonts w:asciiTheme="majorHAnsi" w:eastAsiaTheme="majorEastAsia" w:hAnsiTheme="majorHAnsi" w:cstheme="majorBidi"/>
      <w:b/>
      <w:bCs/>
      <w:color w:val="808080"/>
      <w:sz w:val="22"/>
      <w:szCs w:val="22"/>
    </w:rPr>
  </w:style>
  <w:style w:type="paragraph" w:styleId="Heading6">
    <w:name w:val="heading 6"/>
    <w:basedOn w:val="Normal"/>
    <w:next w:val="Normal"/>
    <w:link w:val="Heading6Char"/>
    <w:uiPriority w:val="98"/>
    <w:semiHidden/>
    <w:rsid w:val="00144EBC"/>
    <w:pPr>
      <w:spacing w:line="271" w:lineRule="auto"/>
      <w:outlineLvl w:val="5"/>
    </w:pPr>
    <w:rPr>
      <w:rFonts w:asciiTheme="majorHAnsi" w:eastAsiaTheme="majorEastAsia" w:hAnsiTheme="majorHAnsi" w:cstheme="majorBidi"/>
      <w:b/>
      <w:bCs/>
      <w:i/>
      <w:iCs/>
      <w:color w:val="7F7F7F" w:themeColor="text1" w:themeTint="80"/>
      <w:sz w:val="22"/>
      <w:szCs w:val="22"/>
      <w:lang w:bidi="en-US"/>
    </w:rPr>
  </w:style>
  <w:style w:type="paragraph" w:styleId="Heading7">
    <w:name w:val="heading 7"/>
    <w:basedOn w:val="Normal"/>
    <w:next w:val="Normal"/>
    <w:link w:val="Heading7Char"/>
    <w:uiPriority w:val="98"/>
    <w:semiHidden/>
    <w:qFormat/>
    <w:rsid w:val="00144EBC"/>
    <w:pPr>
      <w:outlineLvl w:val="6"/>
    </w:pPr>
    <w:rPr>
      <w:rFonts w:asciiTheme="majorHAnsi" w:eastAsiaTheme="majorEastAsia" w:hAnsiTheme="majorHAnsi" w:cstheme="majorBidi"/>
      <w:i/>
      <w:iCs/>
      <w:sz w:val="22"/>
      <w:szCs w:val="22"/>
      <w:lang w:bidi="en-US"/>
    </w:rPr>
  </w:style>
  <w:style w:type="paragraph" w:styleId="Heading8">
    <w:name w:val="heading 8"/>
    <w:basedOn w:val="Normal"/>
    <w:next w:val="Normal"/>
    <w:link w:val="Heading8Char"/>
    <w:uiPriority w:val="98"/>
    <w:semiHidden/>
    <w:qFormat/>
    <w:rsid w:val="00144EBC"/>
    <w:pPr>
      <w:outlineLvl w:val="7"/>
    </w:pPr>
    <w:rPr>
      <w:rFonts w:asciiTheme="majorHAnsi" w:eastAsiaTheme="majorEastAsia" w:hAnsiTheme="majorHAnsi" w:cstheme="majorBidi"/>
      <w:sz w:val="20"/>
      <w:szCs w:val="20"/>
      <w:lang w:bidi="en-US"/>
    </w:rPr>
  </w:style>
  <w:style w:type="paragraph" w:styleId="Heading9">
    <w:name w:val="heading 9"/>
    <w:basedOn w:val="Normal"/>
    <w:next w:val="Normal"/>
    <w:link w:val="Heading9Char"/>
    <w:uiPriority w:val="98"/>
    <w:semiHidden/>
    <w:qFormat/>
    <w:rsid w:val="00144EBC"/>
    <w:pPr>
      <w:outlineLvl w:val="8"/>
    </w:pPr>
    <w:rPr>
      <w:rFonts w:asciiTheme="majorHAnsi" w:eastAsiaTheme="majorEastAsia" w:hAnsiTheme="majorHAnsi" w:cstheme="majorBidi"/>
      <w:i/>
      <w:iCs/>
      <w:spacing w:val="5"/>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uSigned">
    <w:name w:val="Ju_Signed"/>
    <w:aliases w:val="_Signature"/>
    <w:basedOn w:val="Normal"/>
    <w:next w:val="JuPara"/>
    <w:uiPriority w:val="31"/>
    <w:qFormat/>
    <w:rsid w:val="00144EBC"/>
    <w:pPr>
      <w:tabs>
        <w:tab w:val="center" w:pos="1418"/>
        <w:tab w:val="center" w:pos="5954"/>
      </w:tabs>
      <w:spacing w:before="720"/>
    </w:pPr>
  </w:style>
  <w:style w:type="paragraph" w:customStyle="1" w:styleId="JuPara">
    <w:name w:val="Ju_Para"/>
    <w:aliases w:val="ECHR_Para,_Para"/>
    <w:basedOn w:val="NormalJustified"/>
    <w:link w:val="JuParaChar"/>
    <w:uiPriority w:val="4"/>
    <w:qFormat/>
    <w:rsid w:val="00144EBC"/>
    <w:pPr>
      <w:ind w:firstLine="284"/>
    </w:pPr>
  </w:style>
  <w:style w:type="character" w:styleId="PageNumber">
    <w:name w:val="page number"/>
    <w:uiPriority w:val="98"/>
    <w:semiHidden/>
    <w:rsid w:val="00144EBC"/>
    <w:rPr>
      <w:sz w:val="18"/>
    </w:rPr>
  </w:style>
  <w:style w:type="character" w:styleId="CommentReference">
    <w:name w:val="annotation reference"/>
    <w:basedOn w:val="DefaultParagraphFont"/>
    <w:uiPriority w:val="98"/>
    <w:semiHidden/>
    <w:rsid w:val="00144EBC"/>
    <w:rPr>
      <w:sz w:val="16"/>
      <w:szCs w:val="16"/>
    </w:rPr>
  </w:style>
  <w:style w:type="paragraph" w:styleId="CommentText">
    <w:name w:val="annotation text"/>
    <w:basedOn w:val="Normal"/>
    <w:link w:val="CommentTextChar"/>
    <w:uiPriority w:val="98"/>
    <w:semiHidden/>
    <w:rsid w:val="00144EBC"/>
    <w:rPr>
      <w:sz w:val="20"/>
      <w:szCs w:val="20"/>
    </w:rPr>
  </w:style>
  <w:style w:type="character" w:customStyle="1" w:styleId="CommentTextChar">
    <w:name w:val="Comment Text Char"/>
    <w:basedOn w:val="DefaultParagraphFont"/>
    <w:link w:val="CommentText"/>
    <w:uiPriority w:val="98"/>
    <w:semiHidden/>
    <w:rsid w:val="00144EBC"/>
    <w:rPr>
      <w:sz w:val="20"/>
      <w:szCs w:val="20"/>
      <w:lang w:val="ro-RO"/>
    </w:rPr>
  </w:style>
  <w:style w:type="paragraph" w:customStyle="1" w:styleId="DecHTitle">
    <w:name w:val="Dec_H_Title"/>
    <w:aliases w:val="_Title_1"/>
    <w:basedOn w:val="JuPara"/>
    <w:next w:val="JuPara"/>
    <w:uiPriority w:val="38"/>
    <w:qFormat/>
    <w:rsid w:val="00144EBC"/>
    <w:pPr>
      <w:keepNext/>
      <w:keepLines/>
      <w:spacing w:after="240"/>
      <w:ind w:firstLine="0"/>
      <w:jc w:val="center"/>
      <w:outlineLvl w:val="0"/>
    </w:pPr>
    <w:rPr>
      <w:rFonts w:asciiTheme="majorHAnsi" w:hAnsiTheme="majorHAnsi"/>
      <w:sz w:val="28"/>
    </w:rPr>
  </w:style>
  <w:style w:type="paragraph" w:customStyle="1" w:styleId="DecHCase">
    <w:name w:val="Dec_H_Case"/>
    <w:aliases w:val="_Title_3"/>
    <w:basedOn w:val="JuPara"/>
    <w:next w:val="JuPara"/>
    <w:uiPriority w:val="38"/>
    <w:qFormat/>
    <w:rsid w:val="00144EBC"/>
    <w:pPr>
      <w:keepNext/>
      <w:keepLines/>
      <w:spacing w:after="280"/>
      <w:ind w:firstLine="0"/>
      <w:jc w:val="center"/>
    </w:pPr>
    <w:rPr>
      <w:rFonts w:asciiTheme="majorHAnsi" w:hAnsiTheme="majorHAnsi"/>
    </w:rPr>
  </w:style>
  <w:style w:type="paragraph" w:customStyle="1" w:styleId="JuTitle">
    <w:name w:val="Ju_Title"/>
    <w:aliases w:val="_Title_2"/>
    <w:basedOn w:val="Normal"/>
    <w:next w:val="JuPara"/>
    <w:uiPriority w:val="38"/>
    <w:qFormat/>
    <w:rsid w:val="00144EBC"/>
    <w:pPr>
      <w:keepNext/>
      <w:keepLines/>
      <w:spacing w:before="1320" w:after="280"/>
      <w:contextualSpacing/>
      <w:jc w:val="center"/>
    </w:pPr>
    <w:rPr>
      <w:b/>
    </w:rPr>
  </w:style>
  <w:style w:type="paragraph" w:customStyle="1" w:styleId="JuHeader">
    <w:name w:val="Ju_Header"/>
    <w:aliases w:val="_Header"/>
    <w:basedOn w:val="Header"/>
    <w:uiPriority w:val="29"/>
    <w:qFormat/>
    <w:rsid w:val="00144EBC"/>
    <w:pPr>
      <w:tabs>
        <w:tab w:val="clear" w:pos="4536"/>
        <w:tab w:val="clear" w:pos="9072"/>
      </w:tabs>
      <w:jc w:val="center"/>
    </w:pPr>
    <w:rPr>
      <w:sz w:val="18"/>
    </w:rPr>
  </w:style>
  <w:style w:type="paragraph" w:styleId="Header">
    <w:name w:val="header"/>
    <w:basedOn w:val="Normal"/>
    <w:link w:val="HeaderChar"/>
    <w:uiPriority w:val="98"/>
    <w:semiHidden/>
    <w:rsid w:val="00144EBC"/>
    <w:pPr>
      <w:tabs>
        <w:tab w:val="center" w:pos="4536"/>
        <w:tab w:val="right" w:pos="9072"/>
      </w:tabs>
    </w:pPr>
  </w:style>
  <w:style w:type="character" w:customStyle="1" w:styleId="HeaderChar">
    <w:name w:val="Header Char"/>
    <w:basedOn w:val="DefaultParagraphFont"/>
    <w:link w:val="Header"/>
    <w:uiPriority w:val="98"/>
    <w:semiHidden/>
    <w:rsid w:val="00144EBC"/>
    <w:rPr>
      <w:sz w:val="24"/>
      <w:szCs w:val="24"/>
      <w:lang w:val="ro-RO"/>
    </w:rPr>
  </w:style>
  <w:style w:type="paragraph" w:styleId="BalloonText">
    <w:name w:val="Balloon Text"/>
    <w:basedOn w:val="Normal"/>
    <w:link w:val="BalloonTextChar"/>
    <w:uiPriority w:val="98"/>
    <w:semiHidden/>
    <w:rsid w:val="00144EBC"/>
    <w:rPr>
      <w:rFonts w:ascii="Tahoma" w:hAnsi="Tahoma" w:cs="Tahoma"/>
      <w:sz w:val="16"/>
      <w:szCs w:val="16"/>
    </w:rPr>
  </w:style>
  <w:style w:type="character" w:customStyle="1" w:styleId="BalloonTextChar">
    <w:name w:val="Balloon Text Char"/>
    <w:basedOn w:val="DefaultParagraphFont"/>
    <w:link w:val="BalloonText"/>
    <w:uiPriority w:val="98"/>
    <w:semiHidden/>
    <w:rsid w:val="00144EBC"/>
    <w:rPr>
      <w:rFonts w:ascii="Tahoma" w:hAnsi="Tahoma" w:cs="Tahoma"/>
      <w:sz w:val="16"/>
      <w:szCs w:val="16"/>
      <w:lang w:val="ro-RO"/>
    </w:rPr>
  </w:style>
  <w:style w:type="paragraph" w:customStyle="1" w:styleId="DummyStyle">
    <w:name w:val="Dummy_Style"/>
    <w:aliases w:val="_Dummy"/>
    <w:basedOn w:val="Normal"/>
    <w:semiHidden/>
    <w:qFormat/>
    <w:rsid w:val="00144EBC"/>
    <w:rPr>
      <w:color w:val="00B050"/>
      <w:sz w:val="22"/>
    </w:rPr>
  </w:style>
  <w:style w:type="paragraph" w:customStyle="1" w:styleId="NormalJustified">
    <w:name w:val="Normal_Justified"/>
    <w:basedOn w:val="Normal"/>
    <w:semiHidden/>
    <w:rsid w:val="00144EBC"/>
    <w:pPr>
      <w:jc w:val="both"/>
    </w:pPr>
  </w:style>
  <w:style w:type="paragraph" w:customStyle="1" w:styleId="JuQuot">
    <w:name w:val="Ju_Quot"/>
    <w:aliases w:val="_Quote"/>
    <w:basedOn w:val="NormalJustified"/>
    <w:uiPriority w:val="20"/>
    <w:qFormat/>
    <w:rsid w:val="00144EBC"/>
    <w:pPr>
      <w:spacing w:before="120" w:after="120"/>
      <w:ind w:left="425" w:firstLine="142"/>
    </w:pPr>
    <w:rPr>
      <w:sz w:val="20"/>
    </w:rPr>
  </w:style>
  <w:style w:type="paragraph" w:customStyle="1" w:styleId="ECHRCoverTitle4">
    <w:name w:val="ECHR_Cover_Title_4"/>
    <w:aliases w:val="_Title_4"/>
    <w:basedOn w:val="JuPara"/>
    <w:next w:val="JuPara"/>
    <w:uiPriority w:val="38"/>
    <w:qFormat/>
    <w:rsid w:val="00144EBC"/>
    <w:pPr>
      <w:keepNext/>
      <w:keepLines/>
      <w:tabs>
        <w:tab w:val="right" w:pos="7938"/>
      </w:tabs>
      <w:ind w:firstLine="0"/>
      <w:jc w:val="center"/>
    </w:pPr>
    <w:rPr>
      <w:i/>
    </w:rPr>
  </w:style>
  <w:style w:type="table" w:customStyle="1" w:styleId="ECHRDNTable">
    <w:name w:val="ECHR_DN_Table"/>
    <w:basedOn w:val="TableNormal"/>
    <w:uiPriority w:val="99"/>
    <w:rsid w:val="00144EBC"/>
    <w:rPr>
      <w:sz w:val="24"/>
      <w:szCs w:val="24"/>
    </w:rPr>
    <w:tblPr>
      <w:jc w:val="center"/>
      <w:tblBorders>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57" w:type="dxa"/>
        <w:bottom w:w="57" w:type="dxa"/>
      </w:tblCellMar>
    </w:tblPr>
    <w:trPr>
      <w:jc w:val="center"/>
    </w:trPr>
    <w:tcPr>
      <w:vAlign w:val="center"/>
    </w:tcPr>
    <w:tblStylePr w:type="firstRow">
      <w:pPr>
        <w:wordWrap/>
        <w:spacing w:beforeLines="0"/>
        <w:ind w:leftChars="0" w:left="0"/>
      </w:pPr>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nil"/>
          <w:right w:val="single" w:sz="4" w:space="0" w:color="949494" w:themeColor="text2" w:themeShade="BF"/>
          <w:insideH w:val="nil"/>
          <w:insideV w:val="nil"/>
          <w:tl2br w:val="nil"/>
          <w:tr2bl w:val="nil"/>
        </w:tcBorders>
        <w:shd w:val="clear" w:color="auto" w:fill="DFDFDF" w:themeFill="background2" w:themeFillShade="E6"/>
      </w:tcPr>
    </w:tblStylePr>
  </w:style>
  <w:style w:type="numbering" w:customStyle="1" w:styleId="ECHRA1StyleBulletedSquare">
    <w:name w:val="ECHR_A1_Style_Bulleted_Square"/>
    <w:basedOn w:val="NoList"/>
    <w:rsid w:val="00144EBC"/>
    <w:pPr>
      <w:numPr>
        <w:numId w:val="4"/>
      </w:numPr>
    </w:pPr>
  </w:style>
  <w:style w:type="numbering" w:customStyle="1" w:styleId="ECHRA1StyleList">
    <w:name w:val="ECHR_A1_Style_List"/>
    <w:basedOn w:val="NoList"/>
    <w:uiPriority w:val="99"/>
    <w:rsid w:val="00144EBC"/>
    <w:pPr>
      <w:numPr>
        <w:numId w:val="5"/>
      </w:numPr>
    </w:pPr>
  </w:style>
  <w:style w:type="paragraph" w:customStyle="1" w:styleId="JuHArticle">
    <w:name w:val="Ju_H_Article"/>
    <w:aliases w:val="_Title_Quote"/>
    <w:basedOn w:val="Normal"/>
    <w:next w:val="JuQuot"/>
    <w:uiPriority w:val="19"/>
    <w:qFormat/>
    <w:rsid w:val="00144EBC"/>
    <w:pPr>
      <w:keepNext/>
      <w:spacing w:before="100" w:beforeAutospacing="1" w:after="120"/>
      <w:contextualSpacing/>
      <w:jc w:val="center"/>
    </w:pPr>
    <w:rPr>
      <w:b/>
      <w:sz w:val="20"/>
    </w:rPr>
  </w:style>
  <w:style w:type="numbering" w:customStyle="1" w:styleId="ECHRA1StyleNumberedList">
    <w:name w:val="ECHR_A1_Style_Numbered_List"/>
    <w:basedOn w:val="NoList"/>
    <w:rsid w:val="00144EBC"/>
    <w:pPr>
      <w:numPr>
        <w:numId w:val="6"/>
      </w:numPr>
    </w:pPr>
  </w:style>
  <w:style w:type="table" w:customStyle="1" w:styleId="ECHRHeaderTable">
    <w:name w:val="ECHR_Header_Table"/>
    <w:basedOn w:val="TableNormal"/>
    <w:uiPriority w:val="99"/>
    <w:rsid w:val="00144EBC"/>
    <w:rPr>
      <w:sz w:val="24"/>
      <w:szCs w:val="24"/>
    </w:rPr>
    <w:tblPr>
      <w:tblInd w:w="-1474" w:type="dxa"/>
      <w:tblBorders>
        <w:bottom w:val="single" w:sz="6" w:space="0" w:color="949494" w:themeColor="text2" w:themeShade="BF"/>
      </w:tblBorders>
      <w:tblCellMar>
        <w:left w:w="0" w:type="dxa"/>
        <w:bottom w:w="28" w:type="dxa"/>
        <w:right w:w="0" w:type="dxa"/>
      </w:tblCellMar>
    </w:tblPr>
    <w:tcPr>
      <w:vAlign w:val="bottom"/>
    </w:tcPr>
    <w:tblStylePr w:type="lastCol">
      <w:pPr>
        <w:wordWrap/>
        <w:jc w:val="both"/>
      </w:pPr>
    </w:tblStylePr>
  </w:style>
  <w:style w:type="paragraph" w:customStyle="1" w:styleId="JuHHead">
    <w:name w:val="Ju_H_Head"/>
    <w:aliases w:val="_Head_1"/>
    <w:basedOn w:val="Heading1"/>
    <w:next w:val="JuPara"/>
    <w:uiPriority w:val="17"/>
    <w:qFormat/>
    <w:rsid w:val="00144EBC"/>
    <w:pPr>
      <w:keepNext/>
      <w:keepLines/>
      <w:numPr>
        <w:numId w:val="9"/>
      </w:numPr>
      <w:spacing w:before="100" w:beforeAutospacing="1" w:after="240"/>
      <w:contextualSpacing w:val="0"/>
      <w:jc w:val="both"/>
    </w:pPr>
    <w:rPr>
      <w:b w:val="0"/>
      <w:caps/>
      <w:color w:val="auto"/>
    </w:rPr>
  </w:style>
  <w:style w:type="paragraph" w:customStyle="1" w:styleId="JuInitialled">
    <w:name w:val="Ju_Initialled"/>
    <w:aliases w:val="_Right"/>
    <w:basedOn w:val="Normal"/>
    <w:uiPriority w:val="30"/>
    <w:qFormat/>
    <w:rsid w:val="00144EBC"/>
    <w:pPr>
      <w:tabs>
        <w:tab w:val="center" w:pos="6407"/>
      </w:tabs>
      <w:spacing w:before="720"/>
      <w:jc w:val="right"/>
    </w:pPr>
  </w:style>
  <w:style w:type="table" w:customStyle="1" w:styleId="ECHRHeaderTableReduced">
    <w:name w:val="ECHR_Header_Table_Reduced"/>
    <w:basedOn w:val="TableNormal"/>
    <w:uiPriority w:val="99"/>
    <w:rsid w:val="00144EBC"/>
    <w:rPr>
      <w:sz w:val="24"/>
      <w:szCs w:val="24"/>
    </w:rPr>
    <w:tblPr>
      <w:tblInd w:w="-1474" w:type="dxa"/>
      <w:tblCellMar>
        <w:left w:w="0" w:type="dxa"/>
        <w:right w:w="0" w:type="dxa"/>
      </w:tblCellMar>
    </w:tblPr>
    <w:tcPr>
      <w:vAlign w:val="bottom"/>
    </w:tcPr>
    <w:tblStylePr w:type="firstRow">
      <w:rPr>
        <w:sz w:val="18"/>
      </w:rPr>
      <w:tblPr/>
      <w:tcPr>
        <w:tcBorders>
          <w:top w:val="nil"/>
          <w:left w:val="nil"/>
          <w:bottom w:val="single" w:sz="6" w:space="0" w:color="949494" w:themeColor="text2" w:themeShade="BF"/>
          <w:right w:val="nil"/>
          <w:insideH w:val="nil"/>
          <w:insideV w:val="nil"/>
          <w:tl2br w:val="nil"/>
          <w:tr2bl w:val="nil"/>
        </w:tcBorders>
      </w:tcPr>
    </w:tblStylePr>
    <w:tblStylePr w:type="lastRow">
      <w:pPr>
        <w:jc w:val="right"/>
      </w:pPr>
      <w:tblPr/>
      <w:tcPr>
        <w:tcBorders>
          <w:top w:val="single" w:sz="6" w:space="0" w:color="949494" w:themeColor="text2" w:themeShade="BF"/>
          <w:left w:val="nil"/>
          <w:bottom w:val="nil"/>
          <w:right w:val="nil"/>
          <w:insideH w:val="nil"/>
          <w:insideV w:val="nil"/>
          <w:tl2br w:val="nil"/>
          <w:tr2bl w:val="nil"/>
        </w:tcBorders>
      </w:tcPr>
    </w:tblStylePr>
  </w:style>
  <w:style w:type="character" w:customStyle="1" w:styleId="JUNAMES">
    <w:name w:val="JU_NAMES"/>
    <w:aliases w:val="_Ju_Names"/>
    <w:uiPriority w:val="33"/>
    <w:qFormat/>
    <w:rsid w:val="00144EBC"/>
    <w:rPr>
      <w:caps w:val="0"/>
      <w:smallCaps/>
    </w:rPr>
  </w:style>
  <w:style w:type="character" w:customStyle="1" w:styleId="JuITMark">
    <w:name w:val="Ju_ITMark"/>
    <w:aliases w:val="_ITMark"/>
    <w:basedOn w:val="DefaultParagraphFont"/>
    <w:uiPriority w:val="54"/>
    <w:qFormat/>
    <w:rsid w:val="00144EBC"/>
    <w:rPr>
      <w:vanish w:val="0"/>
      <w:color w:val="auto"/>
      <w:sz w:val="14"/>
      <w:bdr w:val="none" w:sz="0" w:space="0" w:color="auto"/>
      <w:shd w:val="clear" w:color="auto" w:fill="BEE5FF" w:themeFill="background1" w:themeFillTint="33"/>
    </w:rPr>
  </w:style>
  <w:style w:type="table" w:customStyle="1" w:styleId="ECHRTable2019">
    <w:name w:val="ECHR_Table_2019"/>
    <w:basedOn w:val="TableNormal"/>
    <w:uiPriority w:val="99"/>
    <w:rsid w:val="00144EBC"/>
    <w:rPr>
      <w:sz w:val="24"/>
      <w:szCs w:val="24"/>
    </w:rPr>
    <w:tblPr>
      <w:tblStyleRowBandSize w:val="1"/>
      <w:tblStyleColBandSize w:val="1"/>
      <w:jc w:val="center"/>
      <w:tbl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blBorders>
    </w:tblPr>
    <w:trPr>
      <w:jc w:val="center"/>
    </w:trPr>
    <w:tblStylePr w:type="firstRow">
      <w:rPr>
        <w:rFonts w:asciiTheme="majorHAnsi" w:hAnsiTheme="majorHAnsi"/>
        <w:b/>
        <w:i w:val="0"/>
        <w:color w:val="auto"/>
        <w:sz w:val="22"/>
      </w:rPr>
      <w:tblPr/>
      <w:tcPr>
        <w:shd w:val="clear" w:color="auto" w:fill="DFDFDF" w:themeFill="accent3" w:themeFillTint="33"/>
      </w:tcPr>
    </w:tblStylePr>
    <w:tblStylePr w:type="lastRow">
      <w:rPr>
        <w:b/>
        <w:i w:val="0"/>
      </w:rPr>
      <w:tblPr/>
      <w:tcPr>
        <w:tcBorders>
          <w:top w:val="single" w:sz="8" w:space="0" w:color="5F5F5F" w:themeColor="accent3"/>
          <w:left w:val="single" w:sz="4" w:space="0" w:color="5F5F5F" w:themeColor="accent3"/>
          <w:bottom w:val="single" w:sz="8" w:space="0" w:color="5F5F5F" w:themeColor="accent3"/>
          <w:right w:val="single" w:sz="4" w:space="0" w:color="5F5F5F" w:themeColor="accent3"/>
          <w:insideH w:val="nil"/>
          <w:insideV w:val="single" w:sz="4" w:space="0" w:color="5F5F5F"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F3F3F3" w:themeFill="text2" w:themeFillTint="33"/>
      </w:tcPr>
    </w:tblStylePr>
    <w:tblStylePr w:type="lastCol">
      <w:rPr>
        <w:b/>
        <w:i w:val="0"/>
      </w:rPr>
    </w:tblStylePr>
    <w:tblStylePr w:type="band2Vert">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F3F3F3" w:themeFill="text2" w:themeFillTint="33"/>
      </w:tcPr>
    </w:tblStylePr>
    <w:tblStylePr w:type="band2Horz">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l2br w:val="nil"/>
          <w:tr2bl w:val="nil"/>
        </w:tcBorders>
        <w:shd w:val="clear" w:color="auto" w:fill="F3F3F3" w:themeFill="text2" w:themeFillTint="33"/>
      </w:tcPr>
    </w:tblStylePr>
  </w:style>
  <w:style w:type="paragraph" w:customStyle="1" w:styleId="JuCourt">
    <w:name w:val="Ju_Court"/>
    <w:aliases w:val="_Court_Names"/>
    <w:basedOn w:val="Normal"/>
    <w:next w:val="Normal"/>
    <w:uiPriority w:val="32"/>
    <w:qFormat/>
    <w:rsid w:val="00144EBC"/>
    <w:pPr>
      <w:tabs>
        <w:tab w:val="left" w:pos="907"/>
        <w:tab w:val="left" w:pos="1701"/>
        <w:tab w:val="right" w:pos="7371"/>
      </w:tabs>
      <w:spacing w:before="240"/>
      <w:ind w:left="397" w:hanging="397"/>
    </w:pPr>
    <w:rPr>
      <w:lang w:bidi="en-US"/>
    </w:rPr>
  </w:style>
  <w:style w:type="paragraph" w:customStyle="1" w:styleId="JuHIRoman">
    <w:name w:val="Ju_H_I_Roman"/>
    <w:aliases w:val="_Head_2"/>
    <w:basedOn w:val="Heading2"/>
    <w:next w:val="JuPara"/>
    <w:uiPriority w:val="17"/>
    <w:qFormat/>
    <w:rsid w:val="00144EBC"/>
    <w:pPr>
      <w:keepNext/>
      <w:keepLines/>
      <w:numPr>
        <w:ilvl w:val="1"/>
        <w:numId w:val="9"/>
      </w:numPr>
      <w:tabs>
        <w:tab w:val="left" w:pos="454"/>
        <w:tab w:val="left" w:pos="539"/>
        <w:tab w:val="left" w:pos="624"/>
        <w:tab w:val="left" w:pos="709"/>
        <w:tab w:val="left" w:pos="794"/>
      </w:tabs>
      <w:spacing w:before="100" w:beforeAutospacing="1" w:after="240"/>
      <w:jc w:val="both"/>
    </w:pPr>
    <w:rPr>
      <w:b w:val="0"/>
      <w:caps/>
      <w:color w:val="auto"/>
      <w:sz w:val="24"/>
    </w:rPr>
  </w:style>
  <w:style w:type="character" w:customStyle="1" w:styleId="Heading1Char">
    <w:name w:val="Heading 1 Char"/>
    <w:basedOn w:val="DefaultParagraphFont"/>
    <w:link w:val="Heading1"/>
    <w:uiPriority w:val="98"/>
    <w:semiHidden/>
    <w:rsid w:val="00144EBC"/>
    <w:rPr>
      <w:rFonts w:asciiTheme="majorHAnsi" w:eastAsiaTheme="majorEastAsia" w:hAnsiTheme="majorHAnsi" w:cstheme="majorBidi"/>
      <w:b/>
      <w:bCs/>
      <w:color w:val="333333"/>
      <w:sz w:val="28"/>
      <w:szCs w:val="28"/>
      <w:lang w:val="ro-RO"/>
    </w:rPr>
  </w:style>
  <w:style w:type="paragraph" w:customStyle="1" w:styleId="JuHA">
    <w:name w:val="Ju_H_A"/>
    <w:aliases w:val="_Head_3"/>
    <w:basedOn w:val="Heading3"/>
    <w:next w:val="JuPara"/>
    <w:uiPriority w:val="17"/>
    <w:qFormat/>
    <w:rsid w:val="00144EBC"/>
    <w:pPr>
      <w:keepNext/>
      <w:keepLines/>
      <w:numPr>
        <w:ilvl w:val="2"/>
        <w:numId w:val="9"/>
      </w:numPr>
      <w:spacing w:before="100" w:beforeAutospacing="1" w:after="240" w:line="240" w:lineRule="auto"/>
      <w:jc w:val="both"/>
    </w:pPr>
    <w:rPr>
      <w:color w:val="auto"/>
      <w:sz w:val="24"/>
    </w:rPr>
  </w:style>
  <w:style w:type="character" w:customStyle="1" w:styleId="Heading2Char">
    <w:name w:val="Heading 2 Char"/>
    <w:basedOn w:val="DefaultParagraphFont"/>
    <w:link w:val="Heading2"/>
    <w:uiPriority w:val="98"/>
    <w:semiHidden/>
    <w:rsid w:val="00144EBC"/>
    <w:rPr>
      <w:rFonts w:asciiTheme="majorHAnsi" w:eastAsiaTheme="majorEastAsia" w:hAnsiTheme="majorHAnsi" w:cstheme="majorBidi"/>
      <w:b/>
      <w:bCs/>
      <w:color w:val="4D4D4D"/>
      <w:sz w:val="26"/>
      <w:szCs w:val="26"/>
      <w:lang w:val="ro-RO"/>
    </w:rPr>
  </w:style>
  <w:style w:type="paragraph" w:customStyle="1" w:styleId="JuH1">
    <w:name w:val="Ju_H_1."/>
    <w:aliases w:val="_Head_4"/>
    <w:basedOn w:val="Heading4"/>
    <w:next w:val="JuPara"/>
    <w:uiPriority w:val="17"/>
    <w:rsid w:val="00144EBC"/>
    <w:pPr>
      <w:keepNext/>
      <w:keepLines/>
      <w:numPr>
        <w:ilvl w:val="3"/>
        <w:numId w:val="9"/>
      </w:numPr>
      <w:spacing w:before="100" w:beforeAutospacing="1" w:after="120"/>
      <w:jc w:val="both"/>
    </w:pPr>
    <w:rPr>
      <w:b w:val="0"/>
      <w:color w:val="auto"/>
      <w:sz w:val="24"/>
    </w:rPr>
  </w:style>
  <w:style w:type="character" w:customStyle="1" w:styleId="Heading3Char">
    <w:name w:val="Heading 3 Char"/>
    <w:basedOn w:val="DefaultParagraphFont"/>
    <w:link w:val="Heading3"/>
    <w:uiPriority w:val="98"/>
    <w:semiHidden/>
    <w:rsid w:val="00144EBC"/>
    <w:rPr>
      <w:rFonts w:asciiTheme="majorHAnsi" w:eastAsiaTheme="majorEastAsia" w:hAnsiTheme="majorHAnsi" w:cstheme="majorBidi"/>
      <w:b/>
      <w:bCs/>
      <w:color w:val="5F5F5F"/>
      <w:lang w:val="ro-RO"/>
    </w:rPr>
  </w:style>
  <w:style w:type="paragraph" w:customStyle="1" w:styleId="JuHa0">
    <w:name w:val="Ju_H_a"/>
    <w:aliases w:val="_Head_5"/>
    <w:basedOn w:val="Heading5"/>
    <w:next w:val="JuPara"/>
    <w:uiPriority w:val="17"/>
    <w:rsid w:val="00144EBC"/>
    <w:pPr>
      <w:keepNext/>
      <w:keepLines/>
      <w:numPr>
        <w:ilvl w:val="4"/>
        <w:numId w:val="9"/>
      </w:numPr>
      <w:spacing w:before="100" w:beforeAutospacing="1" w:after="120"/>
      <w:jc w:val="both"/>
    </w:pPr>
    <w:rPr>
      <w:color w:val="auto"/>
      <w:sz w:val="20"/>
    </w:rPr>
  </w:style>
  <w:style w:type="character" w:customStyle="1" w:styleId="Heading4Char">
    <w:name w:val="Heading 4 Char"/>
    <w:basedOn w:val="DefaultParagraphFont"/>
    <w:link w:val="Heading4"/>
    <w:uiPriority w:val="98"/>
    <w:semiHidden/>
    <w:rsid w:val="00144EBC"/>
    <w:rPr>
      <w:rFonts w:asciiTheme="majorHAnsi" w:eastAsiaTheme="majorEastAsia" w:hAnsiTheme="majorHAnsi" w:cstheme="majorBidi"/>
      <w:b/>
      <w:bCs/>
      <w:i/>
      <w:iCs/>
      <w:color w:val="777777"/>
      <w:lang w:val="ro-RO"/>
    </w:rPr>
  </w:style>
  <w:style w:type="paragraph" w:customStyle="1" w:styleId="JuHi">
    <w:name w:val="Ju_H_i"/>
    <w:aliases w:val="_Head_6"/>
    <w:basedOn w:val="Heading6"/>
    <w:next w:val="JuPara"/>
    <w:uiPriority w:val="17"/>
    <w:rsid w:val="00144EBC"/>
    <w:pPr>
      <w:keepNext/>
      <w:keepLines/>
      <w:numPr>
        <w:ilvl w:val="5"/>
        <w:numId w:val="9"/>
      </w:numPr>
      <w:tabs>
        <w:tab w:val="left" w:pos="1077"/>
        <w:tab w:val="left" w:pos="1134"/>
        <w:tab w:val="left" w:pos="1191"/>
        <w:tab w:val="left" w:pos="1247"/>
      </w:tabs>
      <w:spacing w:before="100" w:beforeAutospacing="1" w:after="120"/>
      <w:jc w:val="both"/>
    </w:pPr>
    <w:rPr>
      <w:b w:val="0"/>
      <w:color w:val="auto"/>
      <w:sz w:val="20"/>
    </w:rPr>
  </w:style>
  <w:style w:type="character" w:customStyle="1" w:styleId="Heading5Char">
    <w:name w:val="Heading 5 Char"/>
    <w:basedOn w:val="DefaultParagraphFont"/>
    <w:link w:val="Heading5"/>
    <w:uiPriority w:val="98"/>
    <w:semiHidden/>
    <w:rsid w:val="00144EBC"/>
    <w:rPr>
      <w:rFonts w:asciiTheme="majorHAnsi" w:eastAsiaTheme="majorEastAsia" w:hAnsiTheme="majorHAnsi" w:cstheme="majorBidi"/>
      <w:b/>
      <w:bCs/>
      <w:color w:val="808080"/>
      <w:lang w:val="ro-RO"/>
    </w:rPr>
  </w:style>
  <w:style w:type="paragraph" w:customStyle="1" w:styleId="JuHalpha">
    <w:name w:val="Ju_H_alpha"/>
    <w:aliases w:val="_Head_7"/>
    <w:basedOn w:val="Heading7"/>
    <w:next w:val="JuPara"/>
    <w:uiPriority w:val="17"/>
    <w:rsid w:val="00144EBC"/>
    <w:pPr>
      <w:keepNext/>
      <w:keepLines/>
      <w:numPr>
        <w:ilvl w:val="6"/>
        <w:numId w:val="9"/>
      </w:numPr>
      <w:tabs>
        <w:tab w:val="left" w:pos="1361"/>
      </w:tabs>
      <w:spacing w:before="100" w:beforeAutospacing="1" w:after="120"/>
      <w:jc w:val="both"/>
    </w:pPr>
    <w:rPr>
      <w:i w:val="0"/>
      <w:sz w:val="20"/>
    </w:rPr>
  </w:style>
  <w:style w:type="character" w:customStyle="1" w:styleId="Heading6Char">
    <w:name w:val="Heading 6 Char"/>
    <w:basedOn w:val="DefaultParagraphFont"/>
    <w:link w:val="Heading6"/>
    <w:uiPriority w:val="98"/>
    <w:semiHidden/>
    <w:rsid w:val="00144EBC"/>
    <w:rPr>
      <w:rFonts w:asciiTheme="majorHAnsi" w:eastAsiaTheme="majorEastAsia" w:hAnsiTheme="majorHAnsi" w:cstheme="majorBidi"/>
      <w:b/>
      <w:bCs/>
      <w:i/>
      <w:iCs/>
      <w:color w:val="7F7F7F" w:themeColor="text1" w:themeTint="80"/>
      <w:lang w:val="ro-RO" w:bidi="en-US"/>
    </w:rPr>
  </w:style>
  <w:style w:type="paragraph" w:customStyle="1" w:styleId="JuH">
    <w:name w:val="Ju_H_–"/>
    <w:aliases w:val="_Head_8"/>
    <w:basedOn w:val="Heading8"/>
    <w:next w:val="JuPara"/>
    <w:uiPriority w:val="17"/>
    <w:rsid w:val="00144EBC"/>
    <w:pPr>
      <w:keepNext/>
      <w:keepLines/>
      <w:numPr>
        <w:ilvl w:val="7"/>
        <w:numId w:val="9"/>
      </w:numPr>
      <w:spacing w:before="100" w:beforeAutospacing="1" w:after="120"/>
      <w:jc w:val="both"/>
    </w:pPr>
    <w:rPr>
      <w:i/>
    </w:rPr>
  </w:style>
  <w:style w:type="character" w:customStyle="1" w:styleId="Heading7Char">
    <w:name w:val="Heading 7 Char"/>
    <w:basedOn w:val="DefaultParagraphFont"/>
    <w:link w:val="Heading7"/>
    <w:uiPriority w:val="98"/>
    <w:semiHidden/>
    <w:rsid w:val="00144EBC"/>
    <w:rPr>
      <w:rFonts w:asciiTheme="majorHAnsi" w:eastAsiaTheme="majorEastAsia" w:hAnsiTheme="majorHAnsi" w:cstheme="majorBidi"/>
      <w:i/>
      <w:iCs/>
      <w:lang w:val="ro-RO" w:bidi="en-US"/>
    </w:rPr>
  </w:style>
  <w:style w:type="paragraph" w:customStyle="1" w:styleId="JuParaLast">
    <w:name w:val="Ju_Para_Last"/>
    <w:aliases w:val="ECHR_Para_Spaced,_Para_Spaced"/>
    <w:basedOn w:val="NormalJustified"/>
    <w:uiPriority w:val="5"/>
    <w:qFormat/>
    <w:rsid w:val="00144EBC"/>
    <w:pPr>
      <w:keepNext/>
      <w:keepLines/>
      <w:spacing w:before="240" w:after="240"/>
      <w:ind w:firstLine="284"/>
    </w:pPr>
  </w:style>
  <w:style w:type="table" w:customStyle="1" w:styleId="ECHRTableBoxHeader">
    <w:name w:val="ECHR_Table_Box_Header"/>
    <w:basedOn w:val="TableNormal"/>
    <w:rsid w:val="00144EBC"/>
    <w:rPr>
      <w:rFonts w:ascii="Verdana" w:eastAsia="Times New Roman" w:hAnsi="Verdana" w:cs="Times New Roman"/>
      <w:sz w:val="20"/>
      <w:szCs w:val="20"/>
    </w:rPr>
    <w:tblPr>
      <w:tblCellMar>
        <w:top w:w="57" w:type="dxa"/>
        <w:left w:w="57" w:type="dxa"/>
        <w:bottom w:w="57" w:type="dxa"/>
        <w:right w:w="57" w:type="dxa"/>
      </w:tblCellMar>
    </w:tblPr>
    <w:tcPr>
      <w:shd w:val="clear" w:color="auto" w:fill="F8F8F8" w:themeFill="background2"/>
    </w:tcPr>
    <w:tblStylePr w:type="firstCol">
      <w:rPr>
        <w:b/>
        <w:color w:val="5F5F5F" w:themeColor="accent3"/>
      </w:rPr>
    </w:tblStylePr>
  </w:style>
  <w:style w:type="paragraph" w:customStyle="1" w:styleId="JuJudges">
    <w:name w:val="Ju_Judges"/>
    <w:aliases w:val="_Judges"/>
    <w:basedOn w:val="Normal"/>
    <w:uiPriority w:val="32"/>
    <w:qFormat/>
    <w:rsid w:val="00144EBC"/>
    <w:pPr>
      <w:tabs>
        <w:tab w:val="left" w:pos="567"/>
        <w:tab w:val="left" w:pos="1134"/>
      </w:tabs>
    </w:pPr>
  </w:style>
  <w:style w:type="paragraph" w:customStyle="1" w:styleId="JuList">
    <w:name w:val="Ju_List"/>
    <w:aliases w:val="_List_1"/>
    <w:basedOn w:val="NormalJustified"/>
    <w:uiPriority w:val="23"/>
    <w:qFormat/>
    <w:rsid w:val="00144EBC"/>
    <w:pPr>
      <w:numPr>
        <w:numId w:val="10"/>
      </w:numPr>
      <w:spacing w:before="280" w:after="60"/>
    </w:pPr>
  </w:style>
  <w:style w:type="paragraph" w:customStyle="1" w:styleId="JuLista">
    <w:name w:val="Ju_List_a"/>
    <w:aliases w:val="_List_2"/>
    <w:basedOn w:val="NormalJustified"/>
    <w:uiPriority w:val="23"/>
    <w:rsid w:val="00144EBC"/>
    <w:pPr>
      <w:numPr>
        <w:ilvl w:val="1"/>
        <w:numId w:val="10"/>
      </w:numPr>
    </w:pPr>
  </w:style>
  <w:style w:type="paragraph" w:customStyle="1" w:styleId="JuListi">
    <w:name w:val="Ju_List_i"/>
    <w:aliases w:val="_List_3"/>
    <w:basedOn w:val="NormalJustified"/>
    <w:uiPriority w:val="23"/>
    <w:rsid w:val="00144EBC"/>
    <w:pPr>
      <w:numPr>
        <w:ilvl w:val="2"/>
        <w:numId w:val="10"/>
      </w:numPr>
    </w:pPr>
  </w:style>
  <w:style w:type="table" w:customStyle="1" w:styleId="ECHRTableFax">
    <w:name w:val="ECHR_Table_Fax"/>
    <w:basedOn w:val="TableNormal"/>
    <w:uiPriority w:val="99"/>
    <w:rsid w:val="00144EBC"/>
    <w:rPr>
      <w:color w:val="000000" w:themeColor="text1"/>
      <w:sz w:val="24"/>
      <w:szCs w:val="24"/>
    </w:rPr>
    <w:tblPr>
      <w:tblInd w:w="-680" w:type="dxa"/>
      <w:tblBorders>
        <w:insideH w:val="single" w:sz="4" w:space="0" w:color="C6C6C6" w:themeColor="text2"/>
        <w:insideV w:val="single" w:sz="4" w:space="0" w:color="C6C6C6" w:themeColor="text2"/>
      </w:tblBorders>
      <w:tblCellMar>
        <w:top w:w="142" w:type="dxa"/>
        <w:bottom w:w="142" w:type="dxa"/>
      </w:tblCellMar>
    </w:tblPr>
    <w:trPr>
      <w:cantSplit/>
    </w:trPr>
  </w:style>
  <w:style w:type="table" w:customStyle="1" w:styleId="ECHRTableForInternalUse">
    <w:name w:val="ECHR_Table_For_Internal_Use"/>
    <w:basedOn w:val="TableNormal"/>
    <w:uiPriority w:val="99"/>
    <w:rsid w:val="00144EBC"/>
    <w:rPr>
      <w:color w:val="636363" w:themeColor="text2" w:themeShade="80"/>
      <w:sz w:val="18"/>
      <w:szCs w:val="24"/>
    </w:rPr>
    <w:tblPr>
      <w:tblStyleColBandSize w:val="1"/>
      <w:jc w:val="right"/>
      <w:tblCellMar>
        <w:top w:w="113" w:type="dxa"/>
        <w:bottom w:w="28" w:type="dxa"/>
      </w:tblCellMar>
    </w:tblPr>
    <w:trPr>
      <w:jc w:val="right"/>
    </w:trPr>
    <w:tblStylePr w:type="firstRow">
      <w:rPr>
        <w:b/>
      </w:rPr>
    </w:tblStylePr>
    <w:tblStylePr w:type="lastCol">
      <w:pPr>
        <w:jc w:val="right"/>
      </w:p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tblStylePr w:type="band1Vert">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style>
  <w:style w:type="table" w:customStyle="1" w:styleId="ECHRTableMemo">
    <w:name w:val="ECHR_Table_Memo"/>
    <w:basedOn w:val="TableNormal"/>
    <w:uiPriority w:val="99"/>
    <w:rsid w:val="00144EBC"/>
    <w:rPr>
      <w:sz w:val="24"/>
      <w:szCs w:val="24"/>
    </w:rPr>
    <w:tblPr>
      <w:jc w:val="center"/>
      <w:tblCellMar>
        <w:top w:w="113" w:type="dxa"/>
        <w:left w:w="0" w:type="dxa"/>
        <w:bottom w:w="113" w:type="dxa"/>
        <w:right w:w="0" w:type="dxa"/>
      </w:tblCellMar>
    </w:tblPr>
    <w:trPr>
      <w:jc w:val="center"/>
    </w:trPr>
    <w:tblStylePr w:type="lastRow">
      <w:tblPr/>
      <w:tcPr>
        <w:tcBorders>
          <w:top w:val="nil"/>
          <w:left w:val="nil"/>
          <w:bottom w:val="single" w:sz="4" w:space="0" w:color="949494" w:themeColor="text2" w:themeShade="BF"/>
          <w:right w:val="nil"/>
          <w:insideH w:val="nil"/>
          <w:insideV w:val="nil"/>
          <w:tl2br w:val="nil"/>
          <w:tr2bl w:val="nil"/>
        </w:tcBorders>
      </w:tcPr>
    </w:tblStylePr>
  </w:style>
  <w:style w:type="character" w:customStyle="1" w:styleId="Heading8Char">
    <w:name w:val="Heading 8 Char"/>
    <w:basedOn w:val="DefaultParagraphFont"/>
    <w:link w:val="Heading8"/>
    <w:uiPriority w:val="98"/>
    <w:semiHidden/>
    <w:rsid w:val="00144EBC"/>
    <w:rPr>
      <w:rFonts w:asciiTheme="majorHAnsi" w:eastAsiaTheme="majorEastAsia" w:hAnsiTheme="majorHAnsi" w:cstheme="majorBidi"/>
      <w:sz w:val="20"/>
      <w:szCs w:val="20"/>
      <w:lang w:val="ro-RO" w:bidi="en-US"/>
    </w:rPr>
  </w:style>
  <w:style w:type="character" w:customStyle="1" w:styleId="Heading9Char">
    <w:name w:val="Heading 9 Char"/>
    <w:basedOn w:val="DefaultParagraphFont"/>
    <w:link w:val="Heading9"/>
    <w:uiPriority w:val="98"/>
    <w:semiHidden/>
    <w:rsid w:val="00144EBC"/>
    <w:rPr>
      <w:rFonts w:asciiTheme="majorHAnsi" w:eastAsiaTheme="majorEastAsia" w:hAnsiTheme="majorHAnsi" w:cstheme="majorBidi"/>
      <w:i/>
      <w:iCs/>
      <w:spacing w:val="5"/>
      <w:sz w:val="20"/>
      <w:szCs w:val="20"/>
      <w:lang w:val="ro-RO" w:bidi="en-US"/>
    </w:rPr>
  </w:style>
  <w:style w:type="paragraph" w:styleId="Title">
    <w:name w:val="Title"/>
    <w:basedOn w:val="Normal"/>
    <w:next w:val="Normal"/>
    <w:link w:val="TitleChar"/>
    <w:uiPriority w:val="98"/>
    <w:semiHidden/>
    <w:qFormat/>
    <w:rsid w:val="00144EBC"/>
    <w:pPr>
      <w:pBdr>
        <w:bottom w:val="single" w:sz="4" w:space="1" w:color="auto"/>
      </w:pBdr>
      <w:contextualSpacing/>
    </w:pPr>
    <w:rPr>
      <w:rFonts w:asciiTheme="majorHAnsi" w:eastAsiaTheme="majorEastAsia" w:hAnsiTheme="majorHAnsi" w:cstheme="majorBidi"/>
      <w:spacing w:val="5"/>
      <w:sz w:val="52"/>
      <w:szCs w:val="52"/>
      <w:lang w:bidi="en-US"/>
    </w:rPr>
  </w:style>
  <w:style w:type="character" w:customStyle="1" w:styleId="TitleChar">
    <w:name w:val="Title Char"/>
    <w:basedOn w:val="DefaultParagraphFont"/>
    <w:link w:val="Title"/>
    <w:uiPriority w:val="98"/>
    <w:semiHidden/>
    <w:rsid w:val="00144EBC"/>
    <w:rPr>
      <w:rFonts w:asciiTheme="majorHAnsi" w:eastAsiaTheme="majorEastAsia" w:hAnsiTheme="majorHAnsi" w:cstheme="majorBidi"/>
      <w:spacing w:val="5"/>
      <w:sz w:val="52"/>
      <w:szCs w:val="52"/>
      <w:lang w:val="ro-RO" w:bidi="en-US"/>
    </w:rPr>
  </w:style>
  <w:style w:type="paragraph" w:styleId="Subtitle">
    <w:name w:val="Subtitle"/>
    <w:basedOn w:val="Normal"/>
    <w:next w:val="Normal"/>
    <w:link w:val="SubtitleChar"/>
    <w:uiPriority w:val="98"/>
    <w:semiHidden/>
    <w:qFormat/>
    <w:rsid w:val="00144EBC"/>
    <w:pPr>
      <w:spacing w:after="600"/>
    </w:pPr>
    <w:rPr>
      <w:rFonts w:asciiTheme="majorHAnsi" w:eastAsiaTheme="majorEastAsia" w:hAnsiTheme="majorHAnsi" w:cstheme="majorBidi"/>
      <w:i/>
      <w:iCs/>
      <w:spacing w:val="13"/>
      <w:lang w:bidi="en-US"/>
    </w:rPr>
  </w:style>
  <w:style w:type="character" w:customStyle="1" w:styleId="SubtitleChar">
    <w:name w:val="Subtitle Char"/>
    <w:basedOn w:val="DefaultParagraphFont"/>
    <w:link w:val="Subtitle"/>
    <w:uiPriority w:val="98"/>
    <w:semiHidden/>
    <w:rsid w:val="00144EBC"/>
    <w:rPr>
      <w:rFonts w:asciiTheme="majorHAnsi" w:eastAsiaTheme="majorEastAsia" w:hAnsiTheme="majorHAnsi" w:cstheme="majorBidi"/>
      <w:i/>
      <w:iCs/>
      <w:spacing w:val="13"/>
      <w:sz w:val="24"/>
      <w:szCs w:val="24"/>
      <w:lang w:val="ro-RO" w:bidi="en-US"/>
    </w:rPr>
  </w:style>
  <w:style w:type="character" w:styleId="Strong">
    <w:name w:val="Strong"/>
    <w:uiPriority w:val="98"/>
    <w:semiHidden/>
    <w:qFormat/>
    <w:rsid w:val="00144EBC"/>
    <w:rPr>
      <w:b/>
      <w:bCs/>
    </w:rPr>
  </w:style>
  <w:style w:type="character" w:styleId="Emphasis">
    <w:name w:val="Emphasis"/>
    <w:uiPriority w:val="98"/>
    <w:semiHidden/>
    <w:qFormat/>
    <w:rsid w:val="00144EBC"/>
    <w:rPr>
      <w:b/>
      <w:bCs/>
      <w:i/>
      <w:iCs/>
      <w:spacing w:val="10"/>
      <w:bdr w:val="none" w:sz="0" w:space="0" w:color="auto"/>
      <w:shd w:val="clear" w:color="auto" w:fill="auto"/>
    </w:rPr>
  </w:style>
  <w:style w:type="paragraph" w:styleId="NoSpacing">
    <w:name w:val="No Spacing"/>
    <w:basedOn w:val="Normal"/>
    <w:link w:val="NoSpacingChar"/>
    <w:uiPriority w:val="98"/>
    <w:semiHidden/>
    <w:qFormat/>
    <w:rsid w:val="00144EBC"/>
  </w:style>
  <w:style w:type="character" w:customStyle="1" w:styleId="NoSpacingChar">
    <w:name w:val="No Spacing Char"/>
    <w:basedOn w:val="DefaultParagraphFont"/>
    <w:link w:val="NoSpacing"/>
    <w:uiPriority w:val="98"/>
    <w:semiHidden/>
    <w:rsid w:val="00144EBC"/>
    <w:rPr>
      <w:sz w:val="24"/>
      <w:szCs w:val="24"/>
      <w:lang w:val="ro-RO"/>
    </w:rPr>
  </w:style>
  <w:style w:type="paragraph" w:styleId="ListParagraph">
    <w:name w:val="List Paragraph"/>
    <w:basedOn w:val="Normal"/>
    <w:uiPriority w:val="98"/>
    <w:semiHidden/>
    <w:qFormat/>
    <w:rsid w:val="00144EBC"/>
    <w:pPr>
      <w:ind w:left="720"/>
      <w:contextualSpacing/>
    </w:pPr>
  </w:style>
  <w:style w:type="paragraph" w:styleId="Quote">
    <w:name w:val="Quote"/>
    <w:basedOn w:val="Normal"/>
    <w:next w:val="Normal"/>
    <w:link w:val="QuoteChar"/>
    <w:uiPriority w:val="98"/>
    <w:semiHidden/>
    <w:qFormat/>
    <w:rsid w:val="00144EBC"/>
    <w:pPr>
      <w:spacing w:before="200"/>
      <w:ind w:left="360" w:right="360"/>
    </w:pPr>
    <w:rPr>
      <w:i/>
      <w:iCs/>
      <w:lang w:bidi="en-US"/>
    </w:rPr>
  </w:style>
  <w:style w:type="character" w:customStyle="1" w:styleId="QuoteChar">
    <w:name w:val="Quote Char"/>
    <w:basedOn w:val="DefaultParagraphFont"/>
    <w:link w:val="Quote"/>
    <w:uiPriority w:val="98"/>
    <w:semiHidden/>
    <w:rsid w:val="00144EBC"/>
    <w:rPr>
      <w:i/>
      <w:iCs/>
      <w:sz w:val="24"/>
      <w:szCs w:val="24"/>
      <w:lang w:val="ro-RO" w:bidi="en-US"/>
    </w:rPr>
  </w:style>
  <w:style w:type="paragraph" w:styleId="IntenseQuote">
    <w:name w:val="Intense Quote"/>
    <w:basedOn w:val="Normal"/>
    <w:next w:val="Normal"/>
    <w:link w:val="IntenseQuoteChar"/>
    <w:uiPriority w:val="98"/>
    <w:semiHidden/>
    <w:qFormat/>
    <w:rsid w:val="00144EBC"/>
    <w:pPr>
      <w:pBdr>
        <w:bottom w:val="single" w:sz="4" w:space="1" w:color="auto"/>
      </w:pBdr>
      <w:spacing w:before="200" w:after="280"/>
      <w:ind w:left="1008" w:right="1152"/>
    </w:pPr>
    <w:rPr>
      <w:b/>
      <w:bCs/>
      <w:i/>
      <w:iCs/>
      <w:lang w:bidi="en-US"/>
    </w:rPr>
  </w:style>
  <w:style w:type="character" w:customStyle="1" w:styleId="IntenseQuoteChar">
    <w:name w:val="Intense Quote Char"/>
    <w:basedOn w:val="DefaultParagraphFont"/>
    <w:link w:val="IntenseQuote"/>
    <w:uiPriority w:val="98"/>
    <w:semiHidden/>
    <w:rsid w:val="00144EBC"/>
    <w:rPr>
      <w:b/>
      <w:bCs/>
      <w:i/>
      <w:iCs/>
      <w:sz w:val="24"/>
      <w:szCs w:val="24"/>
      <w:lang w:val="ro-RO" w:bidi="en-US"/>
    </w:rPr>
  </w:style>
  <w:style w:type="character" w:styleId="SubtleEmphasis">
    <w:name w:val="Subtle Emphasis"/>
    <w:uiPriority w:val="98"/>
    <w:semiHidden/>
    <w:qFormat/>
    <w:rsid w:val="00144EBC"/>
    <w:rPr>
      <w:i/>
      <w:iCs/>
    </w:rPr>
  </w:style>
  <w:style w:type="character" w:styleId="IntenseEmphasis">
    <w:name w:val="Intense Emphasis"/>
    <w:uiPriority w:val="98"/>
    <w:semiHidden/>
    <w:qFormat/>
    <w:rsid w:val="00144EBC"/>
    <w:rPr>
      <w:b/>
      <w:bCs/>
    </w:rPr>
  </w:style>
  <w:style w:type="character" w:styleId="SubtleReference">
    <w:name w:val="Subtle Reference"/>
    <w:uiPriority w:val="98"/>
    <w:semiHidden/>
    <w:qFormat/>
    <w:rsid w:val="00144EBC"/>
    <w:rPr>
      <w:smallCaps/>
    </w:rPr>
  </w:style>
  <w:style w:type="character" w:styleId="IntenseReference">
    <w:name w:val="Intense Reference"/>
    <w:uiPriority w:val="98"/>
    <w:semiHidden/>
    <w:qFormat/>
    <w:rsid w:val="00144EBC"/>
    <w:rPr>
      <w:smallCaps/>
      <w:spacing w:val="5"/>
      <w:u w:val="single"/>
    </w:rPr>
  </w:style>
  <w:style w:type="character" w:styleId="BookTitle">
    <w:name w:val="Book Title"/>
    <w:uiPriority w:val="98"/>
    <w:semiHidden/>
    <w:qFormat/>
    <w:rsid w:val="00144EBC"/>
    <w:rPr>
      <w:i/>
      <w:iCs/>
      <w:smallCaps/>
      <w:spacing w:val="5"/>
    </w:rPr>
  </w:style>
  <w:style w:type="paragraph" w:styleId="TOCHeading">
    <w:name w:val="TOC Heading"/>
    <w:basedOn w:val="Normal"/>
    <w:next w:val="Normal"/>
    <w:uiPriority w:val="98"/>
    <w:semiHidden/>
    <w:qFormat/>
    <w:rsid w:val="00144EBC"/>
    <w:pPr>
      <w:keepNext/>
      <w:keepLines/>
      <w:spacing w:before="240"/>
      <w:contextualSpacing/>
      <w:jc w:val="center"/>
    </w:pPr>
    <w:rPr>
      <w:rFonts w:asciiTheme="majorHAnsi" w:hAnsiTheme="majorHAnsi"/>
      <w:b/>
      <w:color w:val="474747" w:themeColor="accent3" w:themeShade="BF"/>
      <w:sz w:val="28"/>
    </w:rPr>
  </w:style>
  <w:style w:type="numbering" w:styleId="111111">
    <w:name w:val="Outline List 2"/>
    <w:basedOn w:val="NoList"/>
    <w:uiPriority w:val="99"/>
    <w:semiHidden/>
    <w:unhideWhenUsed/>
    <w:rsid w:val="00144EBC"/>
    <w:pPr>
      <w:numPr>
        <w:numId w:val="1"/>
      </w:numPr>
    </w:pPr>
  </w:style>
  <w:style w:type="numbering" w:styleId="1ai">
    <w:name w:val="Outline List 1"/>
    <w:basedOn w:val="NoList"/>
    <w:uiPriority w:val="99"/>
    <w:semiHidden/>
    <w:unhideWhenUsed/>
    <w:rsid w:val="00144EBC"/>
    <w:pPr>
      <w:numPr>
        <w:numId w:val="2"/>
      </w:numPr>
    </w:pPr>
  </w:style>
  <w:style w:type="numbering" w:styleId="ArticleSection">
    <w:name w:val="Outline List 3"/>
    <w:basedOn w:val="NoList"/>
    <w:uiPriority w:val="99"/>
    <w:semiHidden/>
    <w:unhideWhenUsed/>
    <w:rsid w:val="00144EBC"/>
    <w:pPr>
      <w:numPr>
        <w:numId w:val="3"/>
      </w:numPr>
    </w:pPr>
  </w:style>
  <w:style w:type="paragraph" w:styleId="Bibliography">
    <w:name w:val="Bibliography"/>
    <w:basedOn w:val="Normal"/>
    <w:next w:val="Normal"/>
    <w:uiPriority w:val="98"/>
    <w:semiHidden/>
    <w:rsid w:val="00144EBC"/>
  </w:style>
  <w:style w:type="paragraph" w:styleId="BlockText">
    <w:name w:val="Block Text"/>
    <w:basedOn w:val="Normal"/>
    <w:uiPriority w:val="98"/>
    <w:semiHidden/>
    <w:rsid w:val="00144EBC"/>
    <w:pPr>
      <w:pBdr>
        <w:top w:val="single" w:sz="2" w:space="10" w:color="0072BC" w:themeColor="accent1" w:shadow="1" w:frame="1"/>
        <w:left w:val="single" w:sz="2" w:space="10" w:color="0072BC" w:themeColor="accent1" w:shadow="1" w:frame="1"/>
        <w:bottom w:val="single" w:sz="2" w:space="10" w:color="0072BC" w:themeColor="accent1" w:shadow="1" w:frame="1"/>
        <w:right w:val="single" w:sz="2" w:space="10" w:color="0072BC" w:themeColor="accent1" w:shadow="1" w:frame="1"/>
      </w:pBdr>
      <w:ind w:left="1152" w:right="1152"/>
    </w:pPr>
    <w:rPr>
      <w:i/>
      <w:iCs/>
      <w:color w:val="0072BC" w:themeColor="accent1"/>
    </w:rPr>
  </w:style>
  <w:style w:type="paragraph" w:styleId="BodyText">
    <w:name w:val="Body Text"/>
    <w:basedOn w:val="Normal"/>
    <w:link w:val="BodyTextChar"/>
    <w:uiPriority w:val="98"/>
    <w:semiHidden/>
    <w:rsid w:val="00144EBC"/>
    <w:pPr>
      <w:spacing w:after="120"/>
    </w:pPr>
  </w:style>
  <w:style w:type="character" w:customStyle="1" w:styleId="BodyTextChar">
    <w:name w:val="Body Text Char"/>
    <w:basedOn w:val="DefaultParagraphFont"/>
    <w:link w:val="BodyText"/>
    <w:uiPriority w:val="98"/>
    <w:semiHidden/>
    <w:rsid w:val="00144EBC"/>
    <w:rPr>
      <w:sz w:val="24"/>
      <w:szCs w:val="24"/>
      <w:lang w:val="ro-RO"/>
    </w:rPr>
  </w:style>
  <w:style w:type="paragraph" w:styleId="BodyText2">
    <w:name w:val="Body Text 2"/>
    <w:basedOn w:val="Normal"/>
    <w:link w:val="BodyText2Char"/>
    <w:uiPriority w:val="98"/>
    <w:semiHidden/>
    <w:rsid w:val="00144EBC"/>
    <w:pPr>
      <w:spacing w:after="120" w:line="480" w:lineRule="auto"/>
    </w:pPr>
  </w:style>
  <w:style w:type="character" w:customStyle="1" w:styleId="BodyText2Char">
    <w:name w:val="Body Text 2 Char"/>
    <w:basedOn w:val="DefaultParagraphFont"/>
    <w:link w:val="BodyText2"/>
    <w:uiPriority w:val="98"/>
    <w:semiHidden/>
    <w:rsid w:val="00144EBC"/>
    <w:rPr>
      <w:sz w:val="24"/>
      <w:szCs w:val="24"/>
      <w:lang w:val="ro-RO"/>
    </w:rPr>
  </w:style>
  <w:style w:type="paragraph" w:styleId="BodyText3">
    <w:name w:val="Body Text 3"/>
    <w:basedOn w:val="Normal"/>
    <w:link w:val="BodyText3Char"/>
    <w:uiPriority w:val="98"/>
    <w:semiHidden/>
    <w:rsid w:val="00144EBC"/>
    <w:pPr>
      <w:spacing w:after="120"/>
    </w:pPr>
    <w:rPr>
      <w:sz w:val="16"/>
      <w:szCs w:val="16"/>
    </w:rPr>
  </w:style>
  <w:style w:type="character" w:customStyle="1" w:styleId="BodyText3Char">
    <w:name w:val="Body Text 3 Char"/>
    <w:basedOn w:val="DefaultParagraphFont"/>
    <w:link w:val="BodyText3"/>
    <w:uiPriority w:val="98"/>
    <w:semiHidden/>
    <w:rsid w:val="00144EBC"/>
    <w:rPr>
      <w:sz w:val="16"/>
      <w:szCs w:val="16"/>
      <w:lang w:val="ro-RO"/>
    </w:rPr>
  </w:style>
  <w:style w:type="paragraph" w:styleId="BodyTextFirstIndent">
    <w:name w:val="Body Text First Indent"/>
    <w:basedOn w:val="BodyText"/>
    <w:link w:val="BodyTextFirstIndentChar"/>
    <w:uiPriority w:val="98"/>
    <w:semiHidden/>
    <w:rsid w:val="00144EBC"/>
    <w:pPr>
      <w:spacing w:after="0"/>
      <w:ind w:firstLine="360"/>
    </w:pPr>
  </w:style>
  <w:style w:type="character" w:customStyle="1" w:styleId="BodyTextFirstIndentChar">
    <w:name w:val="Body Text First Indent Char"/>
    <w:basedOn w:val="BodyTextChar"/>
    <w:link w:val="BodyTextFirstIndent"/>
    <w:uiPriority w:val="98"/>
    <w:semiHidden/>
    <w:rsid w:val="00144EBC"/>
    <w:rPr>
      <w:sz w:val="24"/>
      <w:szCs w:val="24"/>
      <w:lang w:val="ro-RO"/>
    </w:rPr>
  </w:style>
  <w:style w:type="paragraph" w:styleId="BodyTextIndent">
    <w:name w:val="Body Text Indent"/>
    <w:basedOn w:val="Normal"/>
    <w:link w:val="BodyTextIndentChar"/>
    <w:uiPriority w:val="98"/>
    <w:semiHidden/>
    <w:rsid w:val="00144EBC"/>
    <w:pPr>
      <w:spacing w:after="120"/>
      <w:ind w:left="283"/>
    </w:pPr>
  </w:style>
  <w:style w:type="character" w:customStyle="1" w:styleId="BodyTextIndentChar">
    <w:name w:val="Body Text Indent Char"/>
    <w:basedOn w:val="DefaultParagraphFont"/>
    <w:link w:val="BodyTextIndent"/>
    <w:uiPriority w:val="98"/>
    <w:semiHidden/>
    <w:rsid w:val="00144EBC"/>
    <w:rPr>
      <w:sz w:val="24"/>
      <w:szCs w:val="24"/>
      <w:lang w:val="ro-RO"/>
    </w:rPr>
  </w:style>
  <w:style w:type="paragraph" w:styleId="BodyTextFirstIndent2">
    <w:name w:val="Body Text First Indent 2"/>
    <w:basedOn w:val="BodyTextIndent"/>
    <w:link w:val="BodyTextFirstIndent2Char"/>
    <w:uiPriority w:val="98"/>
    <w:semiHidden/>
    <w:rsid w:val="00144EBC"/>
    <w:pPr>
      <w:spacing w:after="0"/>
      <w:ind w:left="360" w:firstLine="360"/>
    </w:pPr>
  </w:style>
  <w:style w:type="character" w:customStyle="1" w:styleId="BodyTextFirstIndent2Char">
    <w:name w:val="Body Text First Indent 2 Char"/>
    <w:basedOn w:val="BodyTextIndentChar"/>
    <w:link w:val="BodyTextFirstIndent2"/>
    <w:uiPriority w:val="98"/>
    <w:semiHidden/>
    <w:rsid w:val="00144EBC"/>
    <w:rPr>
      <w:sz w:val="24"/>
      <w:szCs w:val="24"/>
      <w:lang w:val="ro-RO"/>
    </w:rPr>
  </w:style>
  <w:style w:type="paragraph" w:styleId="BodyTextIndent2">
    <w:name w:val="Body Text Indent 2"/>
    <w:basedOn w:val="Normal"/>
    <w:link w:val="BodyTextIndent2Char"/>
    <w:uiPriority w:val="98"/>
    <w:semiHidden/>
    <w:rsid w:val="00144EBC"/>
    <w:pPr>
      <w:spacing w:after="120" w:line="480" w:lineRule="auto"/>
      <w:ind w:left="283"/>
    </w:pPr>
  </w:style>
  <w:style w:type="character" w:customStyle="1" w:styleId="BodyTextIndent2Char">
    <w:name w:val="Body Text Indent 2 Char"/>
    <w:basedOn w:val="DefaultParagraphFont"/>
    <w:link w:val="BodyTextIndent2"/>
    <w:uiPriority w:val="98"/>
    <w:semiHidden/>
    <w:rsid w:val="00144EBC"/>
    <w:rPr>
      <w:sz w:val="24"/>
      <w:szCs w:val="24"/>
      <w:lang w:val="ro-RO"/>
    </w:rPr>
  </w:style>
  <w:style w:type="paragraph" w:styleId="BodyTextIndent3">
    <w:name w:val="Body Text Indent 3"/>
    <w:basedOn w:val="Normal"/>
    <w:link w:val="BodyTextIndent3Char"/>
    <w:uiPriority w:val="98"/>
    <w:semiHidden/>
    <w:rsid w:val="00144EBC"/>
    <w:pPr>
      <w:spacing w:after="120"/>
      <w:ind w:left="283"/>
    </w:pPr>
    <w:rPr>
      <w:sz w:val="16"/>
      <w:szCs w:val="16"/>
    </w:rPr>
  </w:style>
  <w:style w:type="character" w:customStyle="1" w:styleId="BodyTextIndent3Char">
    <w:name w:val="Body Text Indent 3 Char"/>
    <w:basedOn w:val="DefaultParagraphFont"/>
    <w:link w:val="BodyTextIndent3"/>
    <w:uiPriority w:val="98"/>
    <w:semiHidden/>
    <w:rsid w:val="00144EBC"/>
    <w:rPr>
      <w:sz w:val="16"/>
      <w:szCs w:val="16"/>
      <w:lang w:val="ro-RO"/>
    </w:rPr>
  </w:style>
  <w:style w:type="paragraph" w:styleId="Caption">
    <w:name w:val="caption"/>
    <w:basedOn w:val="Normal"/>
    <w:next w:val="Normal"/>
    <w:uiPriority w:val="98"/>
    <w:semiHidden/>
    <w:qFormat/>
    <w:rsid w:val="00144EBC"/>
    <w:pPr>
      <w:spacing w:after="200"/>
    </w:pPr>
    <w:rPr>
      <w:b/>
      <w:bCs/>
      <w:color w:val="0072BC" w:themeColor="accent1"/>
      <w:sz w:val="18"/>
      <w:szCs w:val="18"/>
    </w:rPr>
  </w:style>
  <w:style w:type="paragraph" w:styleId="Closing">
    <w:name w:val="Closing"/>
    <w:basedOn w:val="Normal"/>
    <w:link w:val="ClosingChar"/>
    <w:uiPriority w:val="98"/>
    <w:semiHidden/>
    <w:rsid w:val="00144EBC"/>
    <w:pPr>
      <w:ind w:left="4252"/>
    </w:pPr>
  </w:style>
  <w:style w:type="character" w:customStyle="1" w:styleId="ClosingChar">
    <w:name w:val="Closing Char"/>
    <w:basedOn w:val="DefaultParagraphFont"/>
    <w:link w:val="Closing"/>
    <w:uiPriority w:val="98"/>
    <w:semiHidden/>
    <w:rsid w:val="00144EBC"/>
    <w:rPr>
      <w:sz w:val="24"/>
      <w:szCs w:val="24"/>
      <w:lang w:val="ro-RO"/>
    </w:rPr>
  </w:style>
  <w:style w:type="table" w:styleId="ColorfulGrid">
    <w:name w:val="Colorful Grid"/>
    <w:basedOn w:val="TableNormal"/>
    <w:uiPriority w:val="73"/>
    <w:semiHidden/>
    <w:rsid w:val="00144EBC"/>
    <w:rPr>
      <w:color w:val="000000" w:themeColor="text1"/>
      <w:sz w:val="24"/>
      <w:szCs w:val="24"/>
    </w:rPr>
    <w:tblPr>
      <w:tblStyleRowBandSize w:val="1"/>
      <w:tblStyleColBandSize w:val="1"/>
      <w:tblBorders>
        <w:insideH w:val="single" w:sz="4" w:space="0" w:color="0072BC"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0072BC" w:themeColor="background1"/>
      </w:rPr>
      <w:tblPr/>
      <w:tcPr>
        <w:shd w:val="clear" w:color="auto" w:fill="000000" w:themeFill="text1" w:themeFillShade="BF"/>
      </w:tcPr>
    </w:tblStylePr>
    <w:tblStylePr w:type="lastCol">
      <w:rPr>
        <w:color w:val="0072BC"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rsid w:val="00144EBC"/>
    <w:rPr>
      <w:color w:val="000000" w:themeColor="text1"/>
      <w:sz w:val="24"/>
      <w:szCs w:val="24"/>
    </w:rPr>
    <w:tblPr>
      <w:tblStyleRowBandSize w:val="1"/>
      <w:tblStyleColBandSize w:val="1"/>
      <w:tblBorders>
        <w:insideH w:val="single" w:sz="4" w:space="0" w:color="0072BC" w:themeColor="background1"/>
      </w:tblBorders>
    </w:tblPr>
    <w:tcPr>
      <w:shd w:val="clear" w:color="auto" w:fill="BEE5FF" w:themeFill="accent1" w:themeFillTint="33"/>
    </w:tcPr>
    <w:tblStylePr w:type="firstRow">
      <w:rPr>
        <w:b/>
        <w:bCs/>
      </w:rPr>
      <w:tblPr/>
      <w:tcPr>
        <w:shd w:val="clear" w:color="auto" w:fill="7ECBFF" w:themeFill="accent1" w:themeFillTint="66"/>
      </w:tcPr>
    </w:tblStylePr>
    <w:tblStylePr w:type="lastRow">
      <w:rPr>
        <w:b/>
        <w:bCs/>
        <w:color w:val="000000" w:themeColor="text1"/>
      </w:rPr>
      <w:tblPr/>
      <w:tcPr>
        <w:shd w:val="clear" w:color="auto" w:fill="7ECBFF" w:themeFill="accent1" w:themeFillTint="66"/>
      </w:tcPr>
    </w:tblStylePr>
    <w:tblStylePr w:type="firstCol">
      <w:rPr>
        <w:color w:val="0072BC" w:themeColor="background1"/>
      </w:rPr>
      <w:tblPr/>
      <w:tcPr>
        <w:shd w:val="clear" w:color="auto" w:fill="00548C" w:themeFill="accent1" w:themeFillShade="BF"/>
      </w:tcPr>
    </w:tblStylePr>
    <w:tblStylePr w:type="lastCol">
      <w:rPr>
        <w:color w:val="0072BC" w:themeColor="background1"/>
      </w:rPr>
      <w:tblPr/>
      <w:tcPr>
        <w:shd w:val="clear" w:color="auto" w:fill="00548C" w:themeFill="accent1" w:themeFillShade="BF"/>
      </w:tc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ColorfulGrid-Accent2">
    <w:name w:val="Colorful Grid Accent 2"/>
    <w:basedOn w:val="TableNormal"/>
    <w:uiPriority w:val="73"/>
    <w:semiHidden/>
    <w:rsid w:val="00144EBC"/>
    <w:rPr>
      <w:color w:val="000000" w:themeColor="text1"/>
      <w:sz w:val="24"/>
      <w:szCs w:val="24"/>
    </w:rPr>
    <w:tblPr>
      <w:tblStyleRowBandSize w:val="1"/>
      <w:tblStyleColBandSize w:val="1"/>
      <w:tblBorders>
        <w:insideH w:val="single" w:sz="4" w:space="0" w:color="0072BC" w:themeColor="background1"/>
      </w:tblBorders>
    </w:tblPr>
    <w:tcPr>
      <w:shd w:val="clear" w:color="auto" w:fill="FFBFBF" w:themeFill="accent2" w:themeFillTint="33"/>
    </w:tcPr>
    <w:tblStylePr w:type="firstRow">
      <w:rPr>
        <w:b/>
        <w:bCs/>
      </w:rPr>
      <w:tblPr/>
      <w:tcPr>
        <w:shd w:val="clear" w:color="auto" w:fill="FF7F7F" w:themeFill="accent2" w:themeFillTint="66"/>
      </w:tcPr>
    </w:tblStylePr>
    <w:tblStylePr w:type="lastRow">
      <w:rPr>
        <w:b/>
        <w:bCs/>
        <w:color w:val="000000" w:themeColor="text1"/>
      </w:rPr>
      <w:tblPr/>
      <w:tcPr>
        <w:shd w:val="clear" w:color="auto" w:fill="FF7F7F" w:themeFill="accent2" w:themeFillTint="66"/>
      </w:tcPr>
    </w:tblStylePr>
    <w:tblStylePr w:type="firstCol">
      <w:rPr>
        <w:color w:val="0072BC" w:themeColor="background1"/>
      </w:rPr>
      <w:tblPr/>
      <w:tcPr>
        <w:shd w:val="clear" w:color="auto" w:fill="8F0000" w:themeFill="accent2" w:themeFillShade="BF"/>
      </w:tcPr>
    </w:tblStylePr>
    <w:tblStylePr w:type="lastCol">
      <w:rPr>
        <w:color w:val="0072BC" w:themeColor="background1"/>
      </w:rPr>
      <w:tblPr/>
      <w:tcPr>
        <w:shd w:val="clear" w:color="auto" w:fill="8F0000" w:themeFill="accent2" w:themeFillShade="BF"/>
      </w:tc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ColorfulGrid-Accent3">
    <w:name w:val="Colorful Grid Accent 3"/>
    <w:basedOn w:val="TableNormal"/>
    <w:uiPriority w:val="73"/>
    <w:semiHidden/>
    <w:rsid w:val="00144EBC"/>
    <w:rPr>
      <w:color w:val="000000" w:themeColor="text1"/>
      <w:sz w:val="24"/>
      <w:szCs w:val="24"/>
    </w:rPr>
    <w:tblPr>
      <w:tblStyleRowBandSize w:val="1"/>
      <w:tblStyleColBandSize w:val="1"/>
      <w:tblBorders>
        <w:insideH w:val="single" w:sz="4" w:space="0" w:color="0072BC" w:themeColor="background1"/>
      </w:tblBorders>
    </w:tblPr>
    <w:tcPr>
      <w:shd w:val="clear" w:color="auto" w:fill="DFDFDF" w:themeFill="accent3" w:themeFillTint="33"/>
    </w:tcPr>
    <w:tblStylePr w:type="firstRow">
      <w:rPr>
        <w:b/>
        <w:bCs/>
      </w:rPr>
      <w:tblPr/>
      <w:tcPr>
        <w:shd w:val="clear" w:color="auto" w:fill="BFBFBF" w:themeFill="accent3" w:themeFillTint="66"/>
      </w:tcPr>
    </w:tblStylePr>
    <w:tblStylePr w:type="lastRow">
      <w:rPr>
        <w:b/>
        <w:bCs/>
        <w:color w:val="000000" w:themeColor="text1"/>
      </w:rPr>
      <w:tblPr/>
      <w:tcPr>
        <w:shd w:val="clear" w:color="auto" w:fill="BFBFBF" w:themeFill="accent3" w:themeFillTint="66"/>
      </w:tcPr>
    </w:tblStylePr>
    <w:tblStylePr w:type="firstCol">
      <w:rPr>
        <w:color w:val="0072BC" w:themeColor="background1"/>
      </w:rPr>
      <w:tblPr/>
      <w:tcPr>
        <w:shd w:val="clear" w:color="auto" w:fill="474747" w:themeFill="accent3" w:themeFillShade="BF"/>
      </w:tcPr>
    </w:tblStylePr>
    <w:tblStylePr w:type="lastCol">
      <w:rPr>
        <w:color w:val="0072BC" w:themeColor="background1"/>
      </w:rPr>
      <w:tblPr/>
      <w:tcPr>
        <w:shd w:val="clear" w:color="auto" w:fill="474747" w:themeFill="accent3" w:themeFillShade="BF"/>
      </w:tc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ColorfulGrid-Accent4">
    <w:name w:val="Colorful Grid Accent 4"/>
    <w:basedOn w:val="TableNormal"/>
    <w:uiPriority w:val="73"/>
    <w:semiHidden/>
    <w:rsid w:val="00144EBC"/>
    <w:rPr>
      <w:color w:val="000000" w:themeColor="text1"/>
      <w:sz w:val="24"/>
      <w:szCs w:val="24"/>
    </w:rPr>
    <w:tblPr>
      <w:tblStyleRowBandSize w:val="1"/>
      <w:tblStyleColBandSize w:val="1"/>
      <w:tblBorders>
        <w:insideH w:val="single" w:sz="4" w:space="0" w:color="0072BC" w:themeColor="background1"/>
      </w:tblBorders>
    </w:tblPr>
    <w:tcPr>
      <w:shd w:val="clear" w:color="auto" w:fill="EAEAEA" w:themeFill="accent4" w:themeFillTint="33"/>
    </w:tcPr>
    <w:tblStylePr w:type="firstRow">
      <w:rPr>
        <w:b/>
        <w:bCs/>
      </w:rPr>
      <w:tblPr/>
      <w:tcPr>
        <w:shd w:val="clear" w:color="auto" w:fill="D5D5D5" w:themeFill="accent4" w:themeFillTint="66"/>
      </w:tcPr>
    </w:tblStylePr>
    <w:tblStylePr w:type="lastRow">
      <w:rPr>
        <w:b/>
        <w:bCs/>
        <w:color w:val="000000" w:themeColor="text1"/>
      </w:rPr>
      <w:tblPr/>
      <w:tcPr>
        <w:shd w:val="clear" w:color="auto" w:fill="D5D5D5" w:themeFill="accent4" w:themeFillTint="66"/>
      </w:tcPr>
    </w:tblStylePr>
    <w:tblStylePr w:type="firstCol">
      <w:rPr>
        <w:color w:val="0072BC" w:themeColor="background1"/>
      </w:rPr>
      <w:tblPr/>
      <w:tcPr>
        <w:shd w:val="clear" w:color="auto" w:fill="707070" w:themeFill="accent4" w:themeFillShade="BF"/>
      </w:tcPr>
    </w:tblStylePr>
    <w:tblStylePr w:type="lastCol">
      <w:rPr>
        <w:color w:val="0072BC" w:themeColor="background1"/>
      </w:rPr>
      <w:tblPr/>
      <w:tcPr>
        <w:shd w:val="clear" w:color="auto" w:fill="707070" w:themeFill="accent4" w:themeFillShade="BF"/>
      </w:tc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ColorfulGrid-Accent5">
    <w:name w:val="Colorful Grid Accent 5"/>
    <w:basedOn w:val="TableNormal"/>
    <w:uiPriority w:val="73"/>
    <w:semiHidden/>
    <w:rsid w:val="00144EBC"/>
    <w:rPr>
      <w:color w:val="000000" w:themeColor="text1"/>
      <w:sz w:val="24"/>
      <w:szCs w:val="24"/>
    </w:rPr>
    <w:tblPr>
      <w:tblStyleRowBandSize w:val="1"/>
      <w:tblStyleColBandSize w:val="1"/>
      <w:tblBorders>
        <w:insideH w:val="single" w:sz="4" w:space="0" w:color="0072BC" w:themeColor="background1"/>
      </w:tblBorders>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0072BC" w:themeColor="background1"/>
      </w:rPr>
      <w:tblPr/>
      <w:tcPr>
        <w:shd w:val="clear" w:color="auto" w:fill="474747" w:themeFill="accent5" w:themeFillShade="BF"/>
      </w:tcPr>
    </w:tblStylePr>
    <w:tblStylePr w:type="lastCol">
      <w:rPr>
        <w:color w:val="0072BC"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ColorfulGrid-Accent6">
    <w:name w:val="Colorful Grid Accent 6"/>
    <w:basedOn w:val="TableNormal"/>
    <w:uiPriority w:val="73"/>
    <w:semiHidden/>
    <w:rsid w:val="00144EBC"/>
    <w:rPr>
      <w:color w:val="000000" w:themeColor="text1"/>
      <w:sz w:val="24"/>
      <w:szCs w:val="24"/>
    </w:rPr>
    <w:tblPr>
      <w:tblStyleRowBandSize w:val="1"/>
      <w:tblStyleColBandSize w:val="1"/>
      <w:tblBorders>
        <w:insideH w:val="single" w:sz="4" w:space="0" w:color="0072BC" w:themeColor="background1"/>
      </w:tblBorders>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0072BC" w:themeColor="background1"/>
      </w:rPr>
      <w:tblPr/>
      <w:tcPr>
        <w:shd w:val="clear" w:color="auto" w:fill="393939" w:themeFill="accent6" w:themeFillShade="BF"/>
      </w:tcPr>
    </w:tblStylePr>
    <w:tblStylePr w:type="lastCol">
      <w:rPr>
        <w:color w:val="0072BC"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ColorfulList">
    <w:name w:val="Colorful List"/>
    <w:basedOn w:val="TableNormal"/>
    <w:uiPriority w:val="72"/>
    <w:semiHidden/>
    <w:rsid w:val="00144EBC"/>
    <w:rPr>
      <w:color w:val="000000" w:themeColor="text1"/>
      <w:sz w:val="24"/>
      <w:szCs w:val="24"/>
    </w:rPr>
    <w:tblPr>
      <w:tblStyleRowBandSize w:val="1"/>
      <w:tblStyleColBandSize w:val="1"/>
    </w:tblPr>
    <w:tcPr>
      <w:shd w:val="clear" w:color="auto" w:fill="E6E6E6" w:themeFill="tex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rsid w:val="00144EBC"/>
    <w:rPr>
      <w:color w:val="000000" w:themeColor="text1"/>
      <w:sz w:val="24"/>
      <w:szCs w:val="24"/>
    </w:rPr>
    <w:tblPr>
      <w:tblStyleRowBandSize w:val="1"/>
      <w:tblStyleColBandSize w:val="1"/>
    </w:tblPr>
    <w:tcPr>
      <w:shd w:val="clear" w:color="auto" w:fill="DFF2FF" w:themeFill="accen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DFFF" w:themeFill="accent1" w:themeFillTint="3F"/>
      </w:tcPr>
    </w:tblStylePr>
    <w:tblStylePr w:type="band1Horz">
      <w:tblPr/>
      <w:tcPr>
        <w:shd w:val="clear" w:color="auto" w:fill="BEE5FF" w:themeFill="accent1" w:themeFillTint="33"/>
      </w:tcPr>
    </w:tblStylePr>
  </w:style>
  <w:style w:type="table" w:styleId="ColorfulList-Accent2">
    <w:name w:val="Colorful List Accent 2"/>
    <w:basedOn w:val="TableNormal"/>
    <w:uiPriority w:val="72"/>
    <w:semiHidden/>
    <w:rsid w:val="00144EBC"/>
    <w:rPr>
      <w:color w:val="000000" w:themeColor="text1"/>
      <w:sz w:val="24"/>
      <w:szCs w:val="24"/>
    </w:rPr>
    <w:tblPr>
      <w:tblStyleRowBandSize w:val="1"/>
      <w:tblStyleColBandSize w:val="1"/>
    </w:tblPr>
    <w:tcPr>
      <w:shd w:val="clear" w:color="auto" w:fill="FFDFDF" w:themeFill="accent2"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2" w:themeFillTint="3F"/>
      </w:tcPr>
    </w:tblStylePr>
    <w:tblStylePr w:type="band1Horz">
      <w:tblPr/>
      <w:tcPr>
        <w:shd w:val="clear" w:color="auto" w:fill="FFBFBF" w:themeFill="accent2" w:themeFillTint="33"/>
      </w:tcPr>
    </w:tblStylePr>
  </w:style>
  <w:style w:type="table" w:styleId="ColorfulList-Accent3">
    <w:name w:val="Colorful List Accent 3"/>
    <w:basedOn w:val="TableNormal"/>
    <w:uiPriority w:val="72"/>
    <w:semiHidden/>
    <w:rsid w:val="00144EBC"/>
    <w:rPr>
      <w:color w:val="000000" w:themeColor="text1"/>
      <w:sz w:val="24"/>
      <w:szCs w:val="24"/>
    </w:rPr>
    <w:tblPr>
      <w:tblStyleRowBandSize w:val="1"/>
      <w:tblStyleColBandSize w:val="1"/>
    </w:tblPr>
    <w:tcPr>
      <w:shd w:val="clear" w:color="auto" w:fill="EFEFEF" w:themeFill="accent3" w:themeFillTint="19"/>
    </w:tcPr>
    <w:tblStylePr w:type="firstRow">
      <w:rPr>
        <w:b/>
        <w:bCs/>
        <w:color w:val="0072BC" w:themeColor="background1"/>
      </w:rPr>
      <w:tblPr/>
      <w:tcPr>
        <w:tcBorders>
          <w:bottom w:val="single" w:sz="12" w:space="0" w:color="0072BC" w:themeColor="background1"/>
        </w:tcBorders>
        <w:shd w:val="clear" w:color="auto" w:fill="787878" w:themeFill="accent4" w:themeFillShade="CC"/>
      </w:tcPr>
    </w:tblStylePr>
    <w:tblStylePr w:type="lastRow">
      <w:rPr>
        <w:b/>
        <w:bCs/>
        <w:color w:val="787878" w:themeColor="accent4"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3" w:themeFillTint="3F"/>
      </w:tcPr>
    </w:tblStylePr>
    <w:tblStylePr w:type="band1Horz">
      <w:tblPr/>
      <w:tcPr>
        <w:shd w:val="clear" w:color="auto" w:fill="DFDFDF" w:themeFill="accent3" w:themeFillTint="33"/>
      </w:tcPr>
    </w:tblStylePr>
  </w:style>
  <w:style w:type="table" w:styleId="ColorfulList-Accent4">
    <w:name w:val="Colorful List Accent 4"/>
    <w:basedOn w:val="TableNormal"/>
    <w:uiPriority w:val="72"/>
    <w:semiHidden/>
    <w:rsid w:val="00144EBC"/>
    <w:rPr>
      <w:color w:val="000000" w:themeColor="text1"/>
      <w:sz w:val="24"/>
      <w:szCs w:val="24"/>
    </w:rPr>
    <w:tblPr>
      <w:tblStyleRowBandSize w:val="1"/>
      <w:tblStyleColBandSize w:val="1"/>
    </w:tblPr>
    <w:tcPr>
      <w:shd w:val="clear" w:color="auto" w:fill="F4F4F4" w:themeFill="accent4" w:themeFillTint="19"/>
    </w:tcPr>
    <w:tblStylePr w:type="firstRow">
      <w:rPr>
        <w:b/>
        <w:bCs/>
        <w:color w:val="0072BC" w:themeColor="background1"/>
      </w:rPr>
      <w:tblPr/>
      <w:tcPr>
        <w:tcBorders>
          <w:bottom w:val="single" w:sz="12" w:space="0" w:color="0072BC" w:themeColor="background1"/>
        </w:tcBorders>
        <w:shd w:val="clear" w:color="auto" w:fill="4C4C4C" w:themeFill="accent3" w:themeFillShade="CC"/>
      </w:tcPr>
    </w:tblStylePr>
    <w:tblStylePr w:type="lastRow">
      <w:rPr>
        <w:b/>
        <w:bCs/>
        <w:color w:val="4C4C4C" w:themeColor="accent3"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4" w:themeFillTint="3F"/>
      </w:tcPr>
    </w:tblStylePr>
    <w:tblStylePr w:type="band1Horz">
      <w:tblPr/>
      <w:tcPr>
        <w:shd w:val="clear" w:color="auto" w:fill="EAEAEA" w:themeFill="accent4" w:themeFillTint="33"/>
      </w:tcPr>
    </w:tblStylePr>
  </w:style>
  <w:style w:type="table" w:styleId="ColorfulList-Accent5">
    <w:name w:val="Colorful List Accent 5"/>
    <w:basedOn w:val="TableNormal"/>
    <w:uiPriority w:val="72"/>
    <w:semiHidden/>
    <w:rsid w:val="00144EBC"/>
    <w:rPr>
      <w:color w:val="000000" w:themeColor="text1"/>
      <w:sz w:val="24"/>
      <w:szCs w:val="24"/>
    </w:rPr>
    <w:tblPr>
      <w:tblStyleRowBandSize w:val="1"/>
      <w:tblStyleColBandSize w:val="1"/>
    </w:tblPr>
    <w:tcPr>
      <w:shd w:val="clear" w:color="auto" w:fill="EFEFEF" w:themeFill="accent5" w:themeFillTint="19"/>
    </w:tcPr>
    <w:tblStylePr w:type="firstRow">
      <w:rPr>
        <w:b/>
        <w:bCs/>
        <w:color w:val="0072BC" w:themeColor="background1"/>
      </w:rPr>
      <w:tblPr/>
      <w:tcPr>
        <w:tcBorders>
          <w:bottom w:val="single" w:sz="12" w:space="0" w:color="0072BC"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ColorfulList-Accent6">
    <w:name w:val="Colorful List Accent 6"/>
    <w:basedOn w:val="TableNormal"/>
    <w:uiPriority w:val="72"/>
    <w:semiHidden/>
    <w:rsid w:val="00144EBC"/>
    <w:rPr>
      <w:color w:val="000000" w:themeColor="text1"/>
      <w:sz w:val="24"/>
      <w:szCs w:val="24"/>
    </w:rPr>
    <w:tblPr>
      <w:tblStyleRowBandSize w:val="1"/>
      <w:tblStyleColBandSize w:val="1"/>
    </w:tblPr>
    <w:tcPr>
      <w:shd w:val="clear" w:color="auto" w:fill="EDEDED" w:themeFill="accent6" w:themeFillTint="19"/>
    </w:tcPr>
    <w:tblStylePr w:type="firstRow">
      <w:rPr>
        <w:b/>
        <w:bCs/>
        <w:color w:val="0072BC" w:themeColor="background1"/>
      </w:rPr>
      <w:tblPr/>
      <w:tcPr>
        <w:tcBorders>
          <w:bottom w:val="single" w:sz="12" w:space="0" w:color="0072BC"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styleId="ColorfulShading">
    <w:name w:val="Colorful Shading"/>
    <w:basedOn w:val="TableNormal"/>
    <w:uiPriority w:val="71"/>
    <w:semiHidden/>
    <w:rsid w:val="00144EBC"/>
    <w:rPr>
      <w:color w:val="000000" w:themeColor="text1"/>
      <w:sz w:val="24"/>
      <w:szCs w:val="24"/>
    </w:rPr>
    <w:tblPr>
      <w:tblStyleRowBandSize w:val="1"/>
      <w:tblStyleColBandSize w:val="1"/>
      <w:tblBorders>
        <w:top w:val="single" w:sz="24" w:space="0" w:color="C00000" w:themeColor="accent2"/>
        <w:left w:val="single" w:sz="4" w:space="0" w:color="000000" w:themeColor="text1"/>
        <w:bottom w:val="single" w:sz="4" w:space="0" w:color="000000" w:themeColor="text1"/>
        <w:right w:val="single" w:sz="4" w:space="0" w:color="000000" w:themeColor="text1"/>
        <w:insideH w:val="single" w:sz="4" w:space="0" w:color="0072BC" w:themeColor="background1"/>
        <w:insideV w:val="single" w:sz="4" w:space="0" w:color="0072BC" w:themeColor="background1"/>
      </w:tblBorders>
    </w:tblPr>
    <w:tcPr>
      <w:shd w:val="clear" w:color="auto" w:fill="E6E6E6" w:themeFill="tex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0000" w:themeFill="text1" w:themeFillShade="99"/>
      </w:tcPr>
    </w:tblStylePr>
    <w:tblStylePr w:type="firstCol">
      <w:rPr>
        <w:color w:val="0072BC"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0072BC"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rsid w:val="00144EBC"/>
    <w:rPr>
      <w:color w:val="000000" w:themeColor="text1"/>
      <w:sz w:val="24"/>
      <w:szCs w:val="24"/>
    </w:rPr>
    <w:tblPr>
      <w:tblStyleRowBandSize w:val="1"/>
      <w:tblStyleColBandSize w:val="1"/>
      <w:tblBorders>
        <w:top w:val="single" w:sz="24" w:space="0" w:color="C00000" w:themeColor="accent2"/>
        <w:left w:val="single" w:sz="4" w:space="0" w:color="0072BC" w:themeColor="accent1"/>
        <w:bottom w:val="single" w:sz="4" w:space="0" w:color="0072BC" w:themeColor="accent1"/>
        <w:right w:val="single" w:sz="4" w:space="0" w:color="0072BC" w:themeColor="accent1"/>
        <w:insideH w:val="single" w:sz="4" w:space="0" w:color="0072BC" w:themeColor="background1"/>
        <w:insideV w:val="single" w:sz="4" w:space="0" w:color="0072BC" w:themeColor="background1"/>
      </w:tblBorders>
    </w:tblPr>
    <w:tcPr>
      <w:shd w:val="clear" w:color="auto" w:fill="DFF2FF" w:themeFill="accen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4470" w:themeFill="accent1" w:themeFillShade="99"/>
      </w:tcPr>
    </w:tblStylePr>
    <w:tblStylePr w:type="firstCol">
      <w:rPr>
        <w:color w:val="0072BC" w:themeColor="background1"/>
      </w:rPr>
      <w:tblPr/>
      <w:tcPr>
        <w:tcBorders>
          <w:top w:val="nil"/>
          <w:left w:val="nil"/>
          <w:bottom w:val="nil"/>
          <w:right w:val="nil"/>
          <w:insideH w:val="single" w:sz="4" w:space="0" w:color="004470" w:themeColor="accent1" w:themeShade="99"/>
          <w:insideV w:val="nil"/>
        </w:tcBorders>
        <w:shd w:val="clear" w:color="auto" w:fill="004470" w:themeFill="accent1" w:themeFillShade="99"/>
      </w:tcPr>
    </w:tblStylePr>
    <w:tblStylePr w:type="lastCol">
      <w:rPr>
        <w:color w:val="0072BC" w:themeColor="background1"/>
      </w:rPr>
      <w:tblPr/>
      <w:tcPr>
        <w:tcBorders>
          <w:top w:val="nil"/>
          <w:left w:val="nil"/>
          <w:bottom w:val="nil"/>
          <w:right w:val="nil"/>
          <w:insideH w:val="nil"/>
          <w:insideV w:val="nil"/>
        </w:tcBorders>
        <w:shd w:val="clear" w:color="auto" w:fill="004470" w:themeFill="accent1" w:themeFillShade="99"/>
      </w:tcPr>
    </w:tblStylePr>
    <w:tblStylePr w:type="band1Vert">
      <w:tblPr/>
      <w:tcPr>
        <w:shd w:val="clear" w:color="auto" w:fill="7ECBFF" w:themeFill="accent1" w:themeFillTint="66"/>
      </w:tcPr>
    </w:tblStylePr>
    <w:tblStylePr w:type="band1Horz">
      <w:tblPr/>
      <w:tcPr>
        <w:shd w:val="clear" w:color="auto" w:fill="5EBF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rsid w:val="00144EBC"/>
    <w:rPr>
      <w:color w:val="000000" w:themeColor="text1"/>
      <w:sz w:val="24"/>
      <w:szCs w:val="24"/>
    </w:rPr>
    <w:tblPr>
      <w:tblStyleRowBandSize w:val="1"/>
      <w:tblStyleColBandSize w:val="1"/>
      <w:tblBorders>
        <w:top w:val="single" w:sz="24" w:space="0" w:color="C00000" w:themeColor="accent2"/>
        <w:left w:val="single" w:sz="4" w:space="0" w:color="C00000" w:themeColor="accent2"/>
        <w:bottom w:val="single" w:sz="4" w:space="0" w:color="C00000" w:themeColor="accent2"/>
        <w:right w:val="single" w:sz="4" w:space="0" w:color="C00000" w:themeColor="accent2"/>
        <w:insideH w:val="single" w:sz="4" w:space="0" w:color="0072BC" w:themeColor="background1"/>
        <w:insideV w:val="single" w:sz="4" w:space="0" w:color="0072BC" w:themeColor="background1"/>
      </w:tblBorders>
    </w:tblPr>
    <w:tcPr>
      <w:shd w:val="clear" w:color="auto" w:fill="FFDFDF" w:themeFill="accent2"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730000" w:themeFill="accent2" w:themeFillShade="99"/>
      </w:tcPr>
    </w:tblStylePr>
    <w:tblStylePr w:type="firstCol">
      <w:rPr>
        <w:color w:val="0072BC" w:themeColor="background1"/>
      </w:rPr>
      <w:tblPr/>
      <w:tcPr>
        <w:tcBorders>
          <w:top w:val="nil"/>
          <w:left w:val="nil"/>
          <w:bottom w:val="nil"/>
          <w:right w:val="nil"/>
          <w:insideH w:val="single" w:sz="4" w:space="0" w:color="730000" w:themeColor="accent2" w:themeShade="99"/>
          <w:insideV w:val="nil"/>
        </w:tcBorders>
        <w:shd w:val="clear" w:color="auto" w:fill="730000" w:themeFill="accent2" w:themeFillShade="99"/>
      </w:tcPr>
    </w:tblStylePr>
    <w:tblStylePr w:type="lastCol">
      <w:rPr>
        <w:color w:val="0072BC" w:themeColor="background1"/>
      </w:rPr>
      <w:tblPr/>
      <w:tcPr>
        <w:tcBorders>
          <w:top w:val="nil"/>
          <w:left w:val="nil"/>
          <w:bottom w:val="nil"/>
          <w:right w:val="nil"/>
          <w:insideH w:val="nil"/>
          <w:insideV w:val="nil"/>
        </w:tcBorders>
        <w:shd w:val="clear" w:color="auto" w:fill="730000" w:themeFill="accent2" w:themeFillShade="99"/>
      </w:tcPr>
    </w:tblStylePr>
    <w:tblStylePr w:type="band1Vert">
      <w:tblPr/>
      <w:tcPr>
        <w:shd w:val="clear" w:color="auto" w:fill="FF7F7F" w:themeFill="accent2" w:themeFillTint="66"/>
      </w:tcPr>
    </w:tblStylePr>
    <w:tblStylePr w:type="band1Horz">
      <w:tblPr/>
      <w:tcPr>
        <w:shd w:val="clear" w:color="auto" w:fill="FF606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rsid w:val="00144EBC"/>
    <w:rPr>
      <w:color w:val="000000" w:themeColor="text1"/>
      <w:sz w:val="24"/>
      <w:szCs w:val="24"/>
    </w:rPr>
    <w:tblPr>
      <w:tblStyleRowBandSize w:val="1"/>
      <w:tblStyleColBandSize w:val="1"/>
      <w:tblBorders>
        <w:top w:val="single" w:sz="24" w:space="0" w:color="969696" w:themeColor="accent4"/>
        <w:left w:val="single" w:sz="4" w:space="0" w:color="5F5F5F" w:themeColor="accent3"/>
        <w:bottom w:val="single" w:sz="4" w:space="0" w:color="5F5F5F" w:themeColor="accent3"/>
        <w:right w:val="single" w:sz="4" w:space="0" w:color="5F5F5F" w:themeColor="accent3"/>
        <w:insideH w:val="single" w:sz="4" w:space="0" w:color="0072BC" w:themeColor="background1"/>
        <w:insideV w:val="single" w:sz="4" w:space="0" w:color="0072BC" w:themeColor="background1"/>
      </w:tblBorders>
    </w:tblPr>
    <w:tcPr>
      <w:shd w:val="clear" w:color="auto" w:fill="EFEFEF" w:themeFill="accent3" w:themeFillTint="19"/>
    </w:tcPr>
    <w:tblStylePr w:type="firstRow">
      <w:rPr>
        <w:b/>
        <w:bCs/>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3" w:themeFillShade="99"/>
      </w:tcPr>
    </w:tblStylePr>
    <w:tblStylePr w:type="firstCol">
      <w:rPr>
        <w:color w:val="0072BC" w:themeColor="background1"/>
      </w:rPr>
      <w:tblPr/>
      <w:tcPr>
        <w:tcBorders>
          <w:top w:val="nil"/>
          <w:left w:val="nil"/>
          <w:bottom w:val="nil"/>
          <w:right w:val="nil"/>
          <w:insideH w:val="single" w:sz="4" w:space="0" w:color="393939" w:themeColor="accent3" w:themeShade="99"/>
          <w:insideV w:val="nil"/>
        </w:tcBorders>
        <w:shd w:val="clear" w:color="auto" w:fill="393939" w:themeFill="accent3"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3" w:themeFillShade="99"/>
      </w:tcPr>
    </w:tblStylePr>
    <w:tblStylePr w:type="band1Vert">
      <w:tblPr/>
      <w:tcPr>
        <w:shd w:val="clear" w:color="auto" w:fill="BFBFBF" w:themeFill="accent3" w:themeFillTint="66"/>
      </w:tcPr>
    </w:tblStylePr>
    <w:tblStylePr w:type="band1Horz">
      <w:tblPr/>
      <w:tcPr>
        <w:shd w:val="clear" w:color="auto" w:fill="AFAFAF" w:themeFill="accent3" w:themeFillTint="7F"/>
      </w:tcPr>
    </w:tblStylePr>
  </w:style>
  <w:style w:type="table" w:styleId="ColorfulShading-Accent4">
    <w:name w:val="Colorful Shading Accent 4"/>
    <w:basedOn w:val="TableNormal"/>
    <w:uiPriority w:val="71"/>
    <w:semiHidden/>
    <w:rsid w:val="00144EBC"/>
    <w:rPr>
      <w:color w:val="000000" w:themeColor="text1"/>
      <w:sz w:val="24"/>
      <w:szCs w:val="24"/>
    </w:rPr>
    <w:tblPr>
      <w:tblStyleRowBandSize w:val="1"/>
      <w:tblStyleColBandSize w:val="1"/>
      <w:tblBorders>
        <w:top w:val="single" w:sz="24" w:space="0" w:color="5F5F5F" w:themeColor="accent3"/>
        <w:left w:val="single" w:sz="4" w:space="0" w:color="969696" w:themeColor="accent4"/>
        <w:bottom w:val="single" w:sz="4" w:space="0" w:color="969696" w:themeColor="accent4"/>
        <w:right w:val="single" w:sz="4" w:space="0" w:color="969696" w:themeColor="accent4"/>
        <w:insideH w:val="single" w:sz="4" w:space="0" w:color="0072BC" w:themeColor="background1"/>
        <w:insideV w:val="single" w:sz="4" w:space="0" w:color="0072BC" w:themeColor="background1"/>
      </w:tblBorders>
    </w:tblPr>
    <w:tcPr>
      <w:shd w:val="clear" w:color="auto" w:fill="F4F4F4" w:themeFill="accent4" w:themeFillTint="19"/>
    </w:tcPr>
    <w:tblStylePr w:type="firstRow">
      <w:rPr>
        <w:b/>
        <w:bCs/>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5A5A5A" w:themeFill="accent4" w:themeFillShade="99"/>
      </w:tcPr>
    </w:tblStylePr>
    <w:tblStylePr w:type="firstCol">
      <w:rPr>
        <w:color w:val="0072BC" w:themeColor="background1"/>
      </w:rPr>
      <w:tblPr/>
      <w:tcPr>
        <w:tcBorders>
          <w:top w:val="nil"/>
          <w:left w:val="nil"/>
          <w:bottom w:val="nil"/>
          <w:right w:val="nil"/>
          <w:insideH w:val="single" w:sz="4" w:space="0" w:color="5A5A5A" w:themeColor="accent4" w:themeShade="99"/>
          <w:insideV w:val="nil"/>
        </w:tcBorders>
        <w:shd w:val="clear" w:color="auto" w:fill="5A5A5A" w:themeFill="accent4" w:themeFillShade="99"/>
      </w:tcPr>
    </w:tblStylePr>
    <w:tblStylePr w:type="lastCol">
      <w:rPr>
        <w:color w:val="0072BC" w:themeColor="background1"/>
      </w:rPr>
      <w:tblPr/>
      <w:tcPr>
        <w:tcBorders>
          <w:top w:val="nil"/>
          <w:left w:val="nil"/>
          <w:bottom w:val="nil"/>
          <w:right w:val="nil"/>
          <w:insideH w:val="nil"/>
          <w:insideV w:val="nil"/>
        </w:tcBorders>
        <w:shd w:val="clear" w:color="auto" w:fill="5A5A5A" w:themeFill="accent4" w:themeFillShade="99"/>
      </w:tcPr>
    </w:tblStylePr>
    <w:tblStylePr w:type="band1Vert">
      <w:tblPr/>
      <w:tcPr>
        <w:shd w:val="clear" w:color="auto" w:fill="D5D5D5" w:themeFill="accent4" w:themeFillTint="66"/>
      </w:tcPr>
    </w:tblStylePr>
    <w:tblStylePr w:type="band1Horz">
      <w:tblPr/>
      <w:tcPr>
        <w:shd w:val="clear" w:color="auto" w:fill="CACACA"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rsid w:val="00144EBC"/>
    <w:rPr>
      <w:color w:val="000000" w:themeColor="text1"/>
      <w:sz w:val="24"/>
      <w:szCs w:val="24"/>
    </w:rPr>
    <w:tblPr>
      <w:tblStyleRowBandSize w:val="1"/>
      <w:tblStyleColBandSize w:val="1"/>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0072BC" w:themeColor="background1"/>
        <w:insideV w:val="single" w:sz="4" w:space="0" w:color="0072BC" w:themeColor="background1"/>
      </w:tblBorders>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5" w:themeFillShade="99"/>
      </w:tcPr>
    </w:tblStylePr>
    <w:tblStylePr w:type="firstCol">
      <w:rPr>
        <w:color w:val="0072BC" w:themeColor="background1"/>
      </w:rPr>
      <w:tblPr/>
      <w:tcPr>
        <w:tcBorders>
          <w:top w:val="nil"/>
          <w:left w:val="nil"/>
          <w:bottom w:val="nil"/>
          <w:right w:val="nil"/>
          <w:insideH w:val="single" w:sz="4" w:space="0" w:color="393939" w:themeColor="accent5" w:themeShade="99"/>
          <w:insideV w:val="nil"/>
        </w:tcBorders>
        <w:shd w:val="clear" w:color="auto" w:fill="393939" w:themeFill="accent5"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rsid w:val="00144EBC"/>
    <w:rPr>
      <w:color w:val="000000" w:themeColor="text1"/>
      <w:sz w:val="24"/>
      <w:szCs w:val="24"/>
    </w:rPr>
    <w:tblPr>
      <w:tblStyleRowBandSize w:val="1"/>
      <w:tblStyleColBandSize w:val="1"/>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0072BC" w:themeColor="background1"/>
        <w:insideV w:val="single" w:sz="4" w:space="0" w:color="0072BC" w:themeColor="background1"/>
      </w:tblBorders>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2E2E2E" w:themeFill="accent6" w:themeFillShade="99"/>
      </w:tcPr>
    </w:tblStylePr>
    <w:tblStylePr w:type="firstCol">
      <w:rPr>
        <w:color w:val="0072BC" w:themeColor="background1"/>
      </w:rPr>
      <w:tblPr/>
      <w:tcPr>
        <w:tcBorders>
          <w:top w:val="nil"/>
          <w:left w:val="nil"/>
          <w:bottom w:val="nil"/>
          <w:right w:val="nil"/>
          <w:insideH w:val="single" w:sz="4" w:space="0" w:color="2E2E2E" w:themeColor="accent6" w:themeShade="99"/>
          <w:insideV w:val="nil"/>
        </w:tcBorders>
        <w:shd w:val="clear" w:color="auto" w:fill="2E2E2E" w:themeFill="accent6" w:themeFillShade="99"/>
      </w:tcPr>
    </w:tblStylePr>
    <w:tblStylePr w:type="lastCol">
      <w:rPr>
        <w:color w:val="0072BC"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paragraph" w:styleId="CommentSubject">
    <w:name w:val="annotation subject"/>
    <w:basedOn w:val="CommentText"/>
    <w:next w:val="CommentText"/>
    <w:link w:val="CommentSubjectChar"/>
    <w:uiPriority w:val="98"/>
    <w:semiHidden/>
    <w:rsid w:val="00144EBC"/>
    <w:rPr>
      <w:b/>
      <w:bCs/>
    </w:rPr>
  </w:style>
  <w:style w:type="character" w:customStyle="1" w:styleId="CommentSubjectChar">
    <w:name w:val="Comment Subject Char"/>
    <w:basedOn w:val="CommentTextChar"/>
    <w:link w:val="CommentSubject"/>
    <w:uiPriority w:val="98"/>
    <w:semiHidden/>
    <w:rsid w:val="00144EBC"/>
    <w:rPr>
      <w:b/>
      <w:bCs/>
      <w:sz w:val="20"/>
      <w:szCs w:val="20"/>
      <w:lang w:val="ro-RO"/>
    </w:rPr>
  </w:style>
  <w:style w:type="table" w:styleId="DarkList">
    <w:name w:val="Dark List"/>
    <w:basedOn w:val="TableNormal"/>
    <w:uiPriority w:val="70"/>
    <w:semiHidden/>
    <w:rsid w:val="00144EBC"/>
    <w:rPr>
      <w:color w:val="0072BC" w:themeColor="background1"/>
      <w:sz w:val="24"/>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0072BC" w:themeColor="background1"/>
          <w:insideH w:val="nil"/>
          <w:insideV w:val="nil"/>
        </w:tcBorders>
        <w:shd w:val="clear" w:color="auto" w:fill="000000" w:themeFill="text1" w:themeFillShade="BF"/>
      </w:tcPr>
    </w:tblStylePr>
    <w:tblStylePr w:type="lastCol">
      <w:tblPr/>
      <w:tcPr>
        <w:tcBorders>
          <w:top w:val="nil"/>
          <w:left w:val="single" w:sz="18" w:space="0" w:color="0072BC"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rsid w:val="00144EBC"/>
    <w:rPr>
      <w:color w:val="0072BC" w:themeColor="background1"/>
      <w:sz w:val="24"/>
      <w:szCs w:val="24"/>
    </w:rPr>
    <w:tblPr>
      <w:tblStyleRowBandSize w:val="1"/>
      <w:tblStyleColBandSize w:val="1"/>
    </w:tblPr>
    <w:tcPr>
      <w:shd w:val="clear" w:color="auto" w:fill="0072BC" w:themeFill="accen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385D" w:themeFill="accent1" w:themeFillShade="7F"/>
      </w:tcPr>
    </w:tblStylePr>
    <w:tblStylePr w:type="firstCol">
      <w:tblPr/>
      <w:tcPr>
        <w:tcBorders>
          <w:top w:val="nil"/>
          <w:left w:val="nil"/>
          <w:bottom w:val="nil"/>
          <w:right w:val="single" w:sz="18" w:space="0" w:color="0072BC" w:themeColor="background1"/>
          <w:insideH w:val="nil"/>
          <w:insideV w:val="nil"/>
        </w:tcBorders>
        <w:shd w:val="clear" w:color="auto" w:fill="00548C" w:themeFill="accent1" w:themeFillShade="BF"/>
      </w:tcPr>
    </w:tblStylePr>
    <w:tblStylePr w:type="lastCol">
      <w:tblPr/>
      <w:tcPr>
        <w:tcBorders>
          <w:top w:val="nil"/>
          <w:left w:val="single" w:sz="18" w:space="0" w:color="0072BC" w:themeColor="background1"/>
          <w:bottom w:val="nil"/>
          <w:right w:val="nil"/>
          <w:insideH w:val="nil"/>
          <w:insideV w:val="nil"/>
        </w:tcBorders>
        <w:shd w:val="clear" w:color="auto" w:fill="00548C" w:themeFill="accent1" w:themeFillShade="BF"/>
      </w:tcPr>
    </w:tblStylePr>
    <w:tblStylePr w:type="band1Vert">
      <w:tblPr/>
      <w:tcPr>
        <w:tcBorders>
          <w:top w:val="nil"/>
          <w:left w:val="nil"/>
          <w:bottom w:val="nil"/>
          <w:right w:val="nil"/>
          <w:insideH w:val="nil"/>
          <w:insideV w:val="nil"/>
        </w:tcBorders>
        <w:shd w:val="clear" w:color="auto" w:fill="00548C" w:themeFill="accent1" w:themeFillShade="BF"/>
      </w:tcPr>
    </w:tblStylePr>
    <w:tblStylePr w:type="band1Horz">
      <w:tblPr/>
      <w:tcPr>
        <w:tcBorders>
          <w:top w:val="nil"/>
          <w:left w:val="nil"/>
          <w:bottom w:val="nil"/>
          <w:right w:val="nil"/>
          <w:insideH w:val="nil"/>
          <w:insideV w:val="nil"/>
        </w:tcBorders>
        <w:shd w:val="clear" w:color="auto" w:fill="00548C" w:themeFill="accent1" w:themeFillShade="BF"/>
      </w:tcPr>
    </w:tblStylePr>
  </w:style>
  <w:style w:type="table" w:styleId="DarkList-Accent2">
    <w:name w:val="Dark List Accent 2"/>
    <w:basedOn w:val="TableNormal"/>
    <w:uiPriority w:val="70"/>
    <w:semiHidden/>
    <w:rsid w:val="00144EBC"/>
    <w:rPr>
      <w:color w:val="0072BC" w:themeColor="background1"/>
      <w:sz w:val="24"/>
      <w:szCs w:val="24"/>
    </w:rPr>
    <w:tblPr>
      <w:tblStyleRowBandSize w:val="1"/>
      <w:tblStyleColBandSize w:val="1"/>
    </w:tblPr>
    <w:tcPr>
      <w:shd w:val="clear" w:color="auto" w:fill="C00000" w:themeFill="accent2"/>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5F0000" w:themeFill="accent2" w:themeFillShade="7F"/>
      </w:tcPr>
    </w:tblStylePr>
    <w:tblStylePr w:type="firstCol">
      <w:tblPr/>
      <w:tcPr>
        <w:tcBorders>
          <w:top w:val="nil"/>
          <w:left w:val="nil"/>
          <w:bottom w:val="nil"/>
          <w:right w:val="single" w:sz="18" w:space="0" w:color="0072BC" w:themeColor="background1"/>
          <w:insideH w:val="nil"/>
          <w:insideV w:val="nil"/>
        </w:tcBorders>
        <w:shd w:val="clear" w:color="auto" w:fill="8F0000" w:themeFill="accent2" w:themeFillShade="BF"/>
      </w:tcPr>
    </w:tblStylePr>
    <w:tblStylePr w:type="lastCol">
      <w:tblPr/>
      <w:tcPr>
        <w:tcBorders>
          <w:top w:val="nil"/>
          <w:left w:val="single" w:sz="18" w:space="0" w:color="0072BC" w:themeColor="background1"/>
          <w:bottom w:val="nil"/>
          <w:right w:val="nil"/>
          <w:insideH w:val="nil"/>
          <w:insideV w:val="nil"/>
        </w:tcBorders>
        <w:shd w:val="clear" w:color="auto" w:fill="8F0000" w:themeFill="accent2" w:themeFillShade="BF"/>
      </w:tcPr>
    </w:tblStylePr>
    <w:tblStylePr w:type="band1Vert">
      <w:tblPr/>
      <w:tcPr>
        <w:tcBorders>
          <w:top w:val="nil"/>
          <w:left w:val="nil"/>
          <w:bottom w:val="nil"/>
          <w:right w:val="nil"/>
          <w:insideH w:val="nil"/>
          <w:insideV w:val="nil"/>
        </w:tcBorders>
        <w:shd w:val="clear" w:color="auto" w:fill="8F0000" w:themeFill="accent2" w:themeFillShade="BF"/>
      </w:tcPr>
    </w:tblStylePr>
    <w:tblStylePr w:type="band1Horz">
      <w:tblPr/>
      <w:tcPr>
        <w:tcBorders>
          <w:top w:val="nil"/>
          <w:left w:val="nil"/>
          <w:bottom w:val="nil"/>
          <w:right w:val="nil"/>
          <w:insideH w:val="nil"/>
          <w:insideV w:val="nil"/>
        </w:tcBorders>
        <w:shd w:val="clear" w:color="auto" w:fill="8F0000" w:themeFill="accent2" w:themeFillShade="BF"/>
      </w:tcPr>
    </w:tblStylePr>
  </w:style>
  <w:style w:type="table" w:styleId="DarkList-Accent3">
    <w:name w:val="Dark List Accent 3"/>
    <w:basedOn w:val="TableNormal"/>
    <w:uiPriority w:val="70"/>
    <w:semiHidden/>
    <w:rsid w:val="00144EBC"/>
    <w:rPr>
      <w:color w:val="0072BC" w:themeColor="background1"/>
      <w:sz w:val="24"/>
      <w:szCs w:val="24"/>
    </w:rPr>
    <w:tblPr>
      <w:tblStyleRowBandSize w:val="1"/>
      <w:tblStyleColBandSize w:val="1"/>
    </w:tblPr>
    <w:tcPr>
      <w:shd w:val="clear" w:color="auto" w:fill="5F5F5F" w:themeFill="accent3"/>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3"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3"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3" w:themeFillShade="BF"/>
      </w:tcPr>
    </w:tblStylePr>
    <w:tblStylePr w:type="band1Vert">
      <w:tblPr/>
      <w:tcPr>
        <w:tcBorders>
          <w:top w:val="nil"/>
          <w:left w:val="nil"/>
          <w:bottom w:val="nil"/>
          <w:right w:val="nil"/>
          <w:insideH w:val="nil"/>
          <w:insideV w:val="nil"/>
        </w:tcBorders>
        <w:shd w:val="clear" w:color="auto" w:fill="474747" w:themeFill="accent3" w:themeFillShade="BF"/>
      </w:tcPr>
    </w:tblStylePr>
    <w:tblStylePr w:type="band1Horz">
      <w:tblPr/>
      <w:tcPr>
        <w:tcBorders>
          <w:top w:val="nil"/>
          <w:left w:val="nil"/>
          <w:bottom w:val="nil"/>
          <w:right w:val="nil"/>
          <w:insideH w:val="nil"/>
          <w:insideV w:val="nil"/>
        </w:tcBorders>
        <w:shd w:val="clear" w:color="auto" w:fill="474747" w:themeFill="accent3" w:themeFillShade="BF"/>
      </w:tcPr>
    </w:tblStylePr>
  </w:style>
  <w:style w:type="table" w:styleId="DarkList-Accent4">
    <w:name w:val="Dark List Accent 4"/>
    <w:basedOn w:val="TableNormal"/>
    <w:uiPriority w:val="70"/>
    <w:semiHidden/>
    <w:rsid w:val="00144EBC"/>
    <w:rPr>
      <w:color w:val="0072BC" w:themeColor="background1"/>
      <w:sz w:val="24"/>
      <w:szCs w:val="24"/>
    </w:rPr>
    <w:tblPr>
      <w:tblStyleRowBandSize w:val="1"/>
      <w:tblStyleColBandSize w:val="1"/>
    </w:tblPr>
    <w:tcPr>
      <w:shd w:val="clear" w:color="auto" w:fill="969696" w:themeFill="accent4"/>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4A4A4A" w:themeFill="accent4" w:themeFillShade="7F"/>
      </w:tcPr>
    </w:tblStylePr>
    <w:tblStylePr w:type="firstCol">
      <w:tblPr/>
      <w:tcPr>
        <w:tcBorders>
          <w:top w:val="nil"/>
          <w:left w:val="nil"/>
          <w:bottom w:val="nil"/>
          <w:right w:val="single" w:sz="18" w:space="0" w:color="0072BC" w:themeColor="background1"/>
          <w:insideH w:val="nil"/>
          <w:insideV w:val="nil"/>
        </w:tcBorders>
        <w:shd w:val="clear" w:color="auto" w:fill="707070" w:themeFill="accent4" w:themeFillShade="BF"/>
      </w:tcPr>
    </w:tblStylePr>
    <w:tblStylePr w:type="lastCol">
      <w:tblPr/>
      <w:tcPr>
        <w:tcBorders>
          <w:top w:val="nil"/>
          <w:left w:val="single" w:sz="18" w:space="0" w:color="0072BC" w:themeColor="background1"/>
          <w:bottom w:val="nil"/>
          <w:right w:val="nil"/>
          <w:insideH w:val="nil"/>
          <w:insideV w:val="nil"/>
        </w:tcBorders>
        <w:shd w:val="clear" w:color="auto" w:fill="707070" w:themeFill="accent4" w:themeFillShade="BF"/>
      </w:tcPr>
    </w:tblStylePr>
    <w:tblStylePr w:type="band1Vert">
      <w:tblPr/>
      <w:tcPr>
        <w:tcBorders>
          <w:top w:val="nil"/>
          <w:left w:val="nil"/>
          <w:bottom w:val="nil"/>
          <w:right w:val="nil"/>
          <w:insideH w:val="nil"/>
          <w:insideV w:val="nil"/>
        </w:tcBorders>
        <w:shd w:val="clear" w:color="auto" w:fill="707070" w:themeFill="accent4" w:themeFillShade="BF"/>
      </w:tcPr>
    </w:tblStylePr>
    <w:tblStylePr w:type="band1Horz">
      <w:tblPr/>
      <w:tcPr>
        <w:tcBorders>
          <w:top w:val="nil"/>
          <w:left w:val="nil"/>
          <w:bottom w:val="nil"/>
          <w:right w:val="nil"/>
          <w:insideH w:val="nil"/>
          <w:insideV w:val="nil"/>
        </w:tcBorders>
        <w:shd w:val="clear" w:color="auto" w:fill="707070" w:themeFill="accent4" w:themeFillShade="BF"/>
      </w:tcPr>
    </w:tblStylePr>
  </w:style>
  <w:style w:type="table" w:styleId="DarkList-Accent5">
    <w:name w:val="Dark List Accent 5"/>
    <w:basedOn w:val="TableNormal"/>
    <w:uiPriority w:val="70"/>
    <w:semiHidden/>
    <w:rsid w:val="00144EBC"/>
    <w:rPr>
      <w:color w:val="0072BC" w:themeColor="background1"/>
      <w:sz w:val="24"/>
      <w:szCs w:val="24"/>
    </w:rPr>
    <w:tblPr>
      <w:tblStyleRowBandSize w:val="1"/>
      <w:tblStyleColBandSize w:val="1"/>
    </w:tblPr>
    <w:tcPr>
      <w:shd w:val="clear" w:color="auto" w:fill="5F5F5F" w:themeFill="accent5"/>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5"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DarkList-Accent6">
    <w:name w:val="Dark List Accent 6"/>
    <w:basedOn w:val="TableNormal"/>
    <w:uiPriority w:val="70"/>
    <w:semiHidden/>
    <w:rsid w:val="00144EBC"/>
    <w:rPr>
      <w:color w:val="0072BC" w:themeColor="background1"/>
      <w:sz w:val="24"/>
      <w:szCs w:val="24"/>
    </w:rPr>
    <w:tblPr>
      <w:tblStyleRowBandSize w:val="1"/>
      <w:tblStyleColBandSize w:val="1"/>
    </w:tblPr>
    <w:tcPr>
      <w:shd w:val="clear" w:color="auto" w:fill="4D4D4D" w:themeFill="accent6"/>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0072BC" w:themeColor="background1"/>
          <w:insideH w:val="nil"/>
          <w:insideV w:val="nil"/>
        </w:tcBorders>
        <w:shd w:val="clear" w:color="auto" w:fill="393939" w:themeFill="accent6" w:themeFillShade="BF"/>
      </w:tcPr>
    </w:tblStylePr>
    <w:tblStylePr w:type="lastCol">
      <w:tblPr/>
      <w:tcPr>
        <w:tcBorders>
          <w:top w:val="nil"/>
          <w:left w:val="single" w:sz="18" w:space="0" w:color="0072BC"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paragraph" w:styleId="Date">
    <w:name w:val="Date"/>
    <w:basedOn w:val="Normal"/>
    <w:next w:val="Normal"/>
    <w:link w:val="DateChar"/>
    <w:uiPriority w:val="98"/>
    <w:semiHidden/>
    <w:rsid w:val="00144EBC"/>
  </w:style>
  <w:style w:type="character" w:customStyle="1" w:styleId="DateChar">
    <w:name w:val="Date Char"/>
    <w:basedOn w:val="DefaultParagraphFont"/>
    <w:link w:val="Date"/>
    <w:uiPriority w:val="98"/>
    <w:semiHidden/>
    <w:rsid w:val="00144EBC"/>
    <w:rPr>
      <w:sz w:val="24"/>
      <w:szCs w:val="24"/>
      <w:lang w:val="ro-RO"/>
    </w:rPr>
  </w:style>
  <w:style w:type="paragraph" w:styleId="DocumentMap">
    <w:name w:val="Document Map"/>
    <w:basedOn w:val="Normal"/>
    <w:link w:val="DocumentMapChar"/>
    <w:uiPriority w:val="98"/>
    <w:semiHidden/>
    <w:rsid w:val="00144EBC"/>
    <w:rPr>
      <w:rFonts w:ascii="Tahoma" w:hAnsi="Tahoma" w:cs="Tahoma"/>
      <w:sz w:val="16"/>
      <w:szCs w:val="16"/>
    </w:rPr>
  </w:style>
  <w:style w:type="character" w:customStyle="1" w:styleId="DocumentMapChar">
    <w:name w:val="Document Map Char"/>
    <w:basedOn w:val="DefaultParagraphFont"/>
    <w:link w:val="DocumentMap"/>
    <w:uiPriority w:val="98"/>
    <w:semiHidden/>
    <w:rsid w:val="00144EBC"/>
    <w:rPr>
      <w:rFonts w:ascii="Tahoma" w:hAnsi="Tahoma" w:cs="Tahoma"/>
      <w:sz w:val="16"/>
      <w:szCs w:val="16"/>
      <w:lang w:val="ro-RO"/>
    </w:rPr>
  </w:style>
  <w:style w:type="paragraph" w:styleId="E-mailSignature">
    <w:name w:val="E-mail Signature"/>
    <w:basedOn w:val="Normal"/>
    <w:link w:val="E-mailSignatureChar"/>
    <w:uiPriority w:val="98"/>
    <w:semiHidden/>
    <w:rsid w:val="00144EBC"/>
  </w:style>
  <w:style w:type="character" w:customStyle="1" w:styleId="E-mailSignatureChar">
    <w:name w:val="E-mail Signature Char"/>
    <w:basedOn w:val="DefaultParagraphFont"/>
    <w:link w:val="E-mailSignature"/>
    <w:uiPriority w:val="98"/>
    <w:semiHidden/>
    <w:rsid w:val="00144EBC"/>
    <w:rPr>
      <w:sz w:val="24"/>
      <w:szCs w:val="24"/>
      <w:lang w:val="ro-RO"/>
    </w:rPr>
  </w:style>
  <w:style w:type="character" w:styleId="EndnoteReference">
    <w:name w:val="endnote reference"/>
    <w:basedOn w:val="DefaultParagraphFont"/>
    <w:uiPriority w:val="98"/>
    <w:semiHidden/>
    <w:rsid w:val="00144EBC"/>
    <w:rPr>
      <w:vertAlign w:val="superscript"/>
    </w:rPr>
  </w:style>
  <w:style w:type="paragraph" w:styleId="EndnoteText">
    <w:name w:val="endnote text"/>
    <w:basedOn w:val="Normal"/>
    <w:link w:val="EndnoteTextChar"/>
    <w:uiPriority w:val="98"/>
    <w:semiHidden/>
    <w:rsid w:val="00144EBC"/>
    <w:rPr>
      <w:sz w:val="20"/>
      <w:szCs w:val="20"/>
    </w:rPr>
  </w:style>
  <w:style w:type="character" w:customStyle="1" w:styleId="EndnoteTextChar">
    <w:name w:val="Endnote Text Char"/>
    <w:basedOn w:val="DefaultParagraphFont"/>
    <w:link w:val="EndnoteText"/>
    <w:uiPriority w:val="98"/>
    <w:semiHidden/>
    <w:rsid w:val="00144EBC"/>
    <w:rPr>
      <w:sz w:val="20"/>
      <w:szCs w:val="20"/>
      <w:lang w:val="ro-RO"/>
    </w:rPr>
  </w:style>
  <w:style w:type="paragraph" w:styleId="EnvelopeAddress">
    <w:name w:val="envelope address"/>
    <w:basedOn w:val="Normal"/>
    <w:uiPriority w:val="98"/>
    <w:semiHidden/>
    <w:rsid w:val="00144EBC"/>
    <w:pPr>
      <w:framePr w:w="7938" w:h="1985" w:hRule="exact" w:hSpace="141" w:wrap="auto" w:hAnchor="page" w:xAlign="center" w:yAlign="bottom"/>
      <w:ind w:left="2835"/>
    </w:pPr>
    <w:rPr>
      <w:rFonts w:asciiTheme="majorHAnsi" w:eastAsiaTheme="majorEastAsia" w:hAnsiTheme="majorHAnsi" w:cstheme="majorBidi"/>
    </w:rPr>
  </w:style>
  <w:style w:type="paragraph" w:styleId="EnvelopeReturn">
    <w:name w:val="envelope return"/>
    <w:basedOn w:val="Normal"/>
    <w:uiPriority w:val="98"/>
    <w:semiHidden/>
    <w:rsid w:val="00144EBC"/>
    <w:rPr>
      <w:rFonts w:asciiTheme="majorHAnsi" w:eastAsiaTheme="majorEastAsia" w:hAnsiTheme="majorHAnsi" w:cstheme="majorBidi"/>
      <w:sz w:val="20"/>
      <w:szCs w:val="20"/>
    </w:rPr>
  </w:style>
  <w:style w:type="character" w:styleId="FollowedHyperlink">
    <w:name w:val="FollowedHyperlink"/>
    <w:basedOn w:val="DefaultParagraphFont"/>
    <w:uiPriority w:val="98"/>
    <w:semiHidden/>
    <w:rsid w:val="00144EBC"/>
    <w:rPr>
      <w:color w:val="7030A0" w:themeColor="followedHyperlink"/>
      <w:u w:val="single"/>
    </w:rPr>
  </w:style>
  <w:style w:type="character" w:styleId="FootnoteReference">
    <w:name w:val="footnote reference"/>
    <w:basedOn w:val="DefaultParagraphFont"/>
    <w:uiPriority w:val="98"/>
    <w:semiHidden/>
    <w:rsid w:val="00144EBC"/>
    <w:rPr>
      <w:vertAlign w:val="superscript"/>
    </w:rPr>
  </w:style>
  <w:style w:type="paragraph" w:styleId="FootnoteText">
    <w:name w:val="footnote text"/>
    <w:basedOn w:val="Normal"/>
    <w:link w:val="FootnoteTextChar"/>
    <w:uiPriority w:val="98"/>
    <w:semiHidden/>
    <w:rsid w:val="00144EBC"/>
    <w:rPr>
      <w:sz w:val="20"/>
      <w:szCs w:val="20"/>
    </w:rPr>
  </w:style>
  <w:style w:type="character" w:customStyle="1" w:styleId="FootnoteTextChar">
    <w:name w:val="Footnote Text Char"/>
    <w:basedOn w:val="DefaultParagraphFont"/>
    <w:link w:val="FootnoteText"/>
    <w:uiPriority w:val="98"/>
    <w:semiHidden/>
    <w:rsid w:val="00144EBC"/>
    <w:rPr>
      <w:sz w:val="20"/>
      <w:szCs w:val="20"/>
      <w:lang w:val="ro-RO"/>
    </w:rPr>
  </w:style>
  <w:style w:type="character" w:styleId="HTMLAcronym">
    <w:name w:val="HTML Acronym"/>
    <w:basedOn w:val="DefaultParagraphFont"/>
    <w:uiPriority w:val="98"/>
    <w:semiHidden/>
    <w:rsid w:val="00144EBC"/>
  </w:style>
  <w:style w:type="paragraph" w:styleId="HTMLAddress">
    <w:name w:val="HTML Address"/>
    <w:basedOn w:val="Normal"/>
    <w:link w:val="HTMLAddressChar"/>
    <w:uiPriority w:val="98"/>
    <w:semiHidden/>
    <w:rsid w:val="00144EBC"/>
    <w:rPr>
      <w:i/>
      <w:iCs/>
    </w:rPr>
  </w:style>
  <w:style w:type="character" w:customStyle="1" w:styleId="HTMLAddressChar">
    <w:name w:val="HTML Address Char"/>
    <w:basedOn w:val="DefaultParagraphFont"/>
    <w:link w:val="HTMLAddress"/>
    <w:uiPriority w:val="98"/>
    <w:semiHidden/>
    <w:rsid w:val="00144EBC"/>
    <w:rPr>
      <w:i/>
      <w:iCs/>
      <w:sz w:val="24"/>
      <w:szCs w:val="24"/>
      <w:lang w:val="ro-RO"/>
    </w:rPr>
  </w:style>
  <w:style w:type="character" w:styleId="HTMLCite">
    <w:name w:val="HTML Cite"/>
    <w:basedOn w:val="DefaultParagraphFont"/>
    <w:uiPriority w:val="98"/>
    <w:semiHidden/>
    <w:rsid w:val="00144EBC"/>
    <w:rPr>
      <w:i/>
      <w:iCs/>
    </w:rPr>
  </w:style>
  <w:style w:type="character" w:styleId="HTMLCode">
    <w:name w:val="HTML Code"/>
    <w:basedOn w:val="DefaultParagraphFont"/>
    <w:uiPriority w:val="98"/>
    <w:semiHidden/>
    <w:rsid w:val="00144EBC"/>
    <w:rPr>
      <w:rFonts w:ascii="Consolas" w:hAnsi="Consolas" w:cs="Consolas"/>
      <w:sz w:val="20"/>
      <w:szCs w:val="20"/>
    </w:rPr>
  </w:style>
  <w:style w:type="character" w:styleId="HTMLDefinition">
    <w:name w:val="HTML Definition"/>
    <w:basedOn w:val="DefaultParagraphFont"/>
    <w:uiPriority w:val="98"/>
    <w:semiHidden/>
    <w:rsid w:val="00144EBC"/>
    <w:rPr>
      <w:i/>
      <w:iCs/>
    </w:rPr>
  </w:style>
  <w:style w:type="character" w:styleId="HTMLKeyboard">
    <w:name w:val="HTML Keyboard"/>
    <w:basedOn w:val="DefaultParagraphFont"/>
    <w:uiPriority w:val="98"/>
    <w:semiHidden/>
    <w:rsid w:val="00144EBC"/>
    <w:rPr>
      <w:rFonts w:ascii="Consolas" w:hAnsi="Consolas" w:cs="Consolas"/>
      <w:sz w:val="20"/>
      <w:szCs w:val="20"/>
    </w:rPr>
  </w:style>
  <w:style w:type="paragraph" w:styleId="HTMLPreformatted">
    <w:name w:val="HTML Preformatted"/>
    <w:basedOn w:val="Normal"/>
    <w:link w:val="HTMLPreformattedChar"/>
    <w:uiPriority w:val="98"/>
    <w:semiHidden/>
    <w:rsid w:val="00144EBC"/>
    <w:rPr>
      <w:rFonts w:ascii="Consolas" w:hAnsi="Consolas" w:cs="Consolas"/>
      <w:sz w:val="20"/>
      <w:szCs w:val="20"/>
    </w:rPr>
  </w:style>
  <w:style w:type="character" w:customStyle="1" w:styleId="HTMLPreformattedChar">
    <w:name w:val="HTML Preformatted Char"/>
    <w:basedOn w:val="DefaultParagraphFont"/>
    <w:link w:val="HTMLPreformatted"/>
    <w:uiPriority w:val="98"/>
    <w:semiHidden/>
    <w:rsid w:val="00144EBC"/>
    <w:rPr>
      <w:rFonts w:ascii="Consolas" w:hAnsi="Consolas" w:cs="Consolas"/>
      <w:sz w:val="20"/>
      <w:szCs w:val="20"/>
      <w:lang w:val="ro-RO"/>
    </w:rPr>
  </w:style>
  <w:style w:type="character" w:styleId="HTMLSample">
    <w:name w:val="HTML Sample"/>
    <w:basedOn w:val="DefaultParagraphFont"/>
    <w:uiPriority w:val="98"/>
    <w:semiHidden/>
    <w:rsid w:val="00144EBC"/>
    <w:rPr>
      <w:rFonts w:ascii="Consolas" w:hAnsi="Consolas" w:cs="Consolas"/>
      <w:sz w:val="24"/>
      <w:szCs w:val="24"/>
    </w:rPr>
  </w:style>
  <w:style w:type="character" w:styleId="HTMLTypewriter">
    <w:name w:val="HTML Typewriter"/>
    <w:basedOn w:val="DefaultParagraphFont"/>
    <w:uiPriority w:val="98"/>
    <w:semiHidden/>
    <w:rsid w:val="00144EBC"/>
    <w:rPr>
      <w:rFonts w:ascii="Consolas" w:hAnsi="Consolas" w:cs="Consolas"/>
      <w:sz w:val="20"/>
      <w:szCs w:val="20"/>
    </w:rPr>
  </w:style>
  <w:style w:type="character" w:styleId="HTMLVariable">
    <w:name w:val="HTML Variable"/>
    <w:basedOn w:val="DefaultParagraphFont"/>
    <w:uiPriority w:val="98"/>
    <w:semiHidden/>
    <w:rsid w:val="00144EBC"/>
    <w:rPr>
      <w:i/>
      <w:iCs/>
    </w:rPr>
  </w:style>
  <w:style w:type="character" w:styleId="Hyperlink">
    <w:name w:val="Hyperlink"/>
    <w:basedOn w:val="DefaultParagraphFont"/>
    <w:uiPriority w:val="98"/>
    <w:rsid w:val="00144EBC"/>
    <w:rPr>
      <w:color w:val="0072BC" w:themeColor="hyperlink"/>
      <w:u w:val="single"/>
    </w:rPr>
  </w:style>
  <w:style w:type="paragraph" w:styleId="Index1">
    <w:name w:val="index 1"/>
    <w:basedOn w:val="Normal"/>
    <w:next w:val="Normal"/>
    <w:autoRedefine/>
    <w:uiPriority w:val="98"/>
    <w:semiHidden/>
    <w:rsid w:val="00144EBC"/>
    <w:pPr>
      <w:ind w:left="240" w:hanging="240"/>
    </w:pPr>
  </w:style>
  <w:style w:type="paragraph" w:styleId="Index2">
    <w:name w:val="index 2"/>
    <w:basedOn w:val="Normal"/>
    <w:next w:val="Normal"/>
    <w:autoRedefine/>
    <w:uiPriority w:val="98"/>
    <w:semiHidden/>
    <w:rsid w:val="00144EBC"/>
    <w:pPr>
      <w:ind w:left="480" w:hanging="240"/>
    </w:pPr>
  </w:style>
  <w:style w:type="paragraph" w:styleId="Index3">
    <w:name w:val="index 3"/>
    <w:basedOn w:val="Normal"/>
    <w:next w:val="Normal"/>
    <w:autoRedefine/>
    <w:uiPriority w:val="98"/>
    <w:semiHidden/>
    <w:rsid w:val="00144EBC"/>
    <w:pPr>
      <w:ind w:left="720" w:hanging="240"/>
    </w:pPr>
  </w:style>
  <w:style w:type="paragraph" w:styleId="Index4">
    <w:name w:val="index 4"/>
    <w:basedOn w:val="Normal"/>
    <w:next w:val="Normal"/>
    <w:autoRedefine/>
    <w:uiPriority w:val="98"/>
    <w:semiHidden/>
    <w:rsid w:val="00144EBC"/>
    <w:pPr>
      <w:ind w:left="960" w:hanging="240"/>
    </w:pPr>
  </w:style>
  <w:style w:type="paragraph" w:styleId="Index5">
    <w:name w:val="index 5"/>
    <w:basedOn w:val="Normal"/>
    <w:next w:val="Normal"/>
    <w:autoRedefine/>
    <w:uiPriority w:val="98"/>
    <w:semiHidden/>
    <w:rsid w:val="00144EBC"/>
    <w:pPr>
      <w:ind w:left="1200" w:hanging="240"/>
    </w:pPr>
  </w:style>
  <w:style w:type="paragraph" w:styleId="Index6">
    <w:name w:val="index 6"/>
    <w:basedOn w:val="Normal"/>
    <w:next w:val="Normal"/>
    <w:autoRedefine/>
    <w:uiPriority w:val="98"/>
    <w:semiHidden/>
    <w:rsid w:val="00144EBC"/>
    <w:pPr>
      <w:ind w:left="1440" w:hanging="240"/>
    </w:pPr>
  </w:style>
  <w:style w:type="paragraph" w:styleId="Index7">
    <w:name w:val="index 7"/>
    <w:basedOn w:val="Normal"/>
    <w:next w:val="Normal"/>
    <w:autoRedefine/>
    <w:uiPriority w:val="98"/>
    <w:semiHidden/>
    <w:rsid w:val="00144EBC"/>
    <w:pPr>
      <w:ind w:left="1680" w:hanging="240"/>
    </w:pPr>
  </w:style>
  <w:style w:type="paragraph" w:styleId="Index8">
    <w:name w:val="index 8"/>
    <w:basedOn w:val="Normal"/>
    <w:next w:val="Normal"/>
    <w:autoRedefine/>
    <w:uiPriority w:val="98"/>
    <w:semiHidden/>
    <w:rsid w:val="00144EBC"/>
    <w:pPr>
      <w:ind w:left="1920" w:hanging="240"/>
    </w:pPr>
  </w:style>
  <w:style w:type="paragraph" w:styleId="Index9">
    <w:name w:val="index 9"/>
    <w:basedOn w:val="Normal"/>
    <w:next w:val="Normal"/>
    <w:autoRedefine/>
    <w:uiPriority w:val="98"/>
    <w:semiHidden/>
    <w:rsid w:val="00144EBC"/>
    <w:pPr>
      <w:ind w:left="2160" w:hanging="240"/>
    </w:pPr>
  </w:style>
  <w:style w:type="paragraph" w:styleId="IndexHeading">
    <w:name w:val="index heading"/>
    <w:basedOn w:val="Normal"/>
    <w:next w:val="Index1"/>
    <w:uiPriority w:val="98"/>
    <w:semiHidden/>
    <w:rsid w:val="00144EBC"/>
    <w:rPr>
      <w:rFonts w:asciiTheme="majorHAnsi" w:eastAsiaTheme="majorEastAsia" w:hAnsiTheme="majorHAnsi" w:cstheme="majorBidi"/>
      <w:b/>
      <w:bCs/>
    </w:rPr>
  </w:style>
  <w:style w:type="table" w:styleId="LightGrid">
    <w:name w:val="Light Grid"/>
    <w:basedOn w:val="TableNormal"/>
    <w:uiPriority w:val="62"/>
    <w:semiHidden/>
    <w:rsid w:val="00144EBC"/>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rsid w:val="00144EBC"/>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18" w:space="0" w:color="0072BC" w:themeColor="accent1"/>
          <w:right w:val="single" w:sz="8" w:space="0" w:color="0072BC" w:themeColor="accent1"/>
          <w:insideH w:val="nil"/>
          <w:insideV w:val="single" w:sz="8" w:space="0" w:color="0072B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insideH w:val="nil"/>
          <w:insideV w:val="single" w:sz="8" w:space="0" w:color="0072B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shd w:val="clear" w:color="auto" w:fill="AFDFFF" w:themeFill="accent1" w:themeFillTint="3F"/>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shd w:val="clear" w:color="auto" w:fill="AFDFFF" w:themeFill="accent1" w:themeFillTint="3F"/>
      </w:tcPr>
    </w:tblStylePr>
    <w:tblStylePr w:type="band2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tcPr>
    </w:tblStylePr>
  </w:style>
  <w:style w:type="table" w:styleId="LightGrid-Accent2">
    <w:name w:val="Light Grid Accent 2"/>
    <w:basedOn w:val="TableNormal"/>
    <w:uiPriority w:val="62"/>
    <w:semiHidden/>
    <w:rsid w:val="00144EBC"/>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18" w:space="0" w:color="C00000" w:themeColor="accent2"/>
          <w:right w:val="single" w:sz="8" w:space="0" w:color="C00000" w:themeColor="accent2"/>
          <w:insideH w:val="nil"/>
          <w:insideV w:val="single" w:sz="8" w:space="0" w:color="C0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insideH w:val="nil"/>
          <w:insideV w:val="single" w:sz="8" w:space="0" w:color="C0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shd w:val="clear" w:color="auto" w:fill="FFB0B0" w:themeFill="accent2" w:themeFillTint="3F"/>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shd w:val="clear" w:color="auto" w:fill="FFB0B0" w:themeFill="accent2" w:themeFillTint="3F"/>
      </w:tcPr>
    </w:tblStylePr>
    <w:tblStylePr w:type="band2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tcPr>
    </w:tblStylePr>
  </w:style>
  <w:style w:type="table" w:styleId="LightGrid-Accent3">
    <w:name w:val="Light Grid Accent 3"/>
    <w:basedOn w:val="TableNormal"/>
    <w:uiPriority w:val="62"/>
    <w:semiHidden/>
    <w:rsid w:val="00144EBC"/>
    <w:rPr>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18" w:space="0" w:color="5F5F5F" w:themeColor="accent3"/>
          <w:right w:val="single" w:sz="8" w:space="0" w:color="5F5F5F" w:themeColor="accent3"/>
          <w:insideH w:val="nil"/>
          <w:insideV w:val="single" w:sz="8" w:space="0" w:color="5F5F5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insideH w:val="nil"/>
          <w:insideV w:val="single" w:sz="8" w:space="0" w:color="5F5F5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shd w:val="clear" w:color="auto" w:fill="D7D7D7" w:themeFill="accent3" w:themeFillTint="3F"/>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shd w:val="clear" w:color="auto" w:fill="D7D7D7" w:themeFill="accent3" w:themeFillTint="3F"/>
      </w:tcPr>
    </w:tblStylePr>
    <w:tblStylePr w:type="band2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tcPr>
    </w:tblStylePr>
  </w:style>
  <w:style w:type="table" w:styleId="LightGrid-Accent4">
    <w:name w:val="Light Grid Accent 4"/>
    <w:basedOn w:val="TableNormal"/>
    <w:uiPriority w:val="62"/>
    <w:semiHidden/>
    <w:rsid w:val="00144EBC"/>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18" w:space="0" w:color="969696" w:themeColor="accent4"/>
          <w:right w:val="single" w:sz="8" w:space="0" w:color="969696" w:themeColor="accent4"/>
          <w:insideH w:val="nil"/>
          <w:insideV w:val="single" w:sz="8" w:space="0" w:color="96969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insideH w:val="nil"/>
          <w:insideV w:val="single" w:sz="8" w:space="0" w:color="96969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shd w:val="clear" w:color="auto" w:fill="E5E5E5" w:themeFill="accent4" w:themeFillTint="3F"/>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shd w:val="clear" w:color="auto" w:fill="E5E5E5" w:themeFill="accent4" w:themeFillTint="3F"/>
      </w:tcPr>
    </w:tblStylePr>
    <w:tblStylePr w:type="band2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tcPr>
    </w:tblStylePr>
  </w:style>
  <w:style w:type="table" w:styleId="LightGrid-Accent5">
    <w:name w:val="Light Grid Accent 5"/>
    <w:basedOn w:val="TableNormal"/>
    <w:uiPriority w:val="62"/>
    <w:semiHidden/>
    <w:rsid w:val="00144EBC"/>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LightGrid-Accent6">
    <w:name w:val="Light Grid Accent 6"/>
    <w:basedOn w:val="TableNormal"/>
    <w:uiPriority w:val="62"/>
    <w:semiHidden/>
    <w:rsid w:val="00144EBC"/>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styleId="LightList">
    <w:name w:val="Light List"/>
    <w:basedOn w:val="TableNormal"/>
    <w:uiPriority w:val="61"/>
    <w:semiHidden/>
    <w:rsid w:val="00144EBC"/>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0072BC"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rsid w:val="00144EBC"/>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pPr>
        <w:spacing w:before="0" w:after="0" w:line="240" w:lineRule="auto"/>
      </w:pPr>
      <w:rPr>
        <w:b/>
        <w:bCs/>
        <w:color w:val="0072BC" w:themeColor="background1"/>
      </w:rPr>
      <w:tblPr/>
      <w:tcPr>
        <w:shd w:val="clear" w:color="auto" w:fill="0072BC" w:themeFill="accent1"/>
      </w:tcPr>
    </w:tblStylePr>
    <w:tblStylePr w:type="lastRow">
      <w:pPr>
        <w:spacing w:before="0" w:after="0" w:line="240" w:lineRule="auto"/>
      </w:pPr>
      <w:rPr>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tcBorders>
      </w:tcPr>
    </w:tblStylePr>
    <w:tblStylePr w:type="firstCol">
      <w:rPr>
        <w:b/>
        <w:bCs/>
      </w:rPr>
    </w:tblStylePr>
    <w:tblStylePr w:type="lastCol">
      <w:rPr>
        <w:b/>
        <w:bCs/>
      </w:r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style>
  <w:style w:type="table" w:styleId="LightList-Accent2">
    <w:name w:val="Light List Accent 2"/>
    <w:basedOn w:val="TableNormal"/>
    <w:uiPriority w:val="61"/>
    <w:semiHidden/>
    <w:rsid w:val="00144EBC"/>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pPr>
        <w:spacing w:before="0" w:after="0" w:line="240" w:lineRule="auto"/>
      </w:pPr>
      <w:rPr>
        <w:b/>
        <w:bCs/>
        <w:color w:val="0072BC" w:themeColor="background1"/>
      </w:rPr>
      <w:tblPr/>
      <w:tcPr>
        <w:shd w:val="clear" w:color="auto" w:fill="C00000" w:themeFill="accent2"/>
      </w:tcPr>
    </w:tblStylePr>
    <w:tblStylePr w:type="lastRow">
      <w:pPr>
        <w:spacing w:before="0" w:after="0" w:line="240" w:lineRule="auto"/>
      </w:pPr>
      <w:rPr>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tcBorders>
      </w:tcPr>
    </w:tblStylePr>
    <w:tblStylePr w:type="firstCol">
      <w:rPr>
        <w:b/>
        <w:bCs/>
      </w:rPr>
    </w:tblStylePr>
    <w:tblStylePr w:type="lastCol">
      <w:rPr>
        <w:b/>
        <w:bCs/>
      </w:r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style>
  <w:style w:type="table" w:styleId="LightList-Accent3">
    <w:name w:val="Light List Accent 3"/>
    <w:basedOn w:val="TableNormal"/>
    <w:uiPriority w:val="61"/>
    <w:semiHidden/>
    <w:rsid w:val="00144EBC"/>
    <w:rPr>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pPr>
        <w:spacing w:before="0" w:after="0" w:line="240" w:lineRule="auto"/>
      </w:pPr>
      <w:rPr>
        <w:b/>
        <w:bCs/>
        <w:color w:val="0072BC" w:themeColor="background1"/>
      </w:rPr>
      <w:tblPr/>
      <w:tcPr>
        <w:shd w:val="clear" w:color="auto" w:fill="5F5F5F" w:themeFill="accent3"/>
      </w:tcPr>
    </w:tblStylePr>
    <w:tblStylePr w:type="lastRow">
      <w:pPr>
        <w:spacing w:before="0" w:after="0" w:line="240" w:lineRule="auto"/>
      </w:pPr>
      <w:rPr>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tcBorders>
      </w:tcPr>
    </w:tblStylePr>
    <w:tblStylePr w:type="firstCol">
      <w:rPr>
        <w:b/>
        <w:bCs/>
      </w:rPr>
    </w:tblStylePr>
    <w:tblStylePr w:type="lastCol">
      <w:rPr>
        <w:b/>
        <w:bCs/>
      </w:r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style>
  <w:style w:type="table" w:styleId="LightList-Accent4">
    <w:name w:val="Light List Accent 4"/>
    <w:basedOn w:val="TableNormal"/>
    <w:uiPriority w:val="61"/>
    <w:semiHidden/>
    <w:rsid w:val="00144EBC"/>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pPr>
        <w:spacing w:before="0" w:after="0" w:line="240" w:lineRule="auto"/>
      </w:pPr>
      <w:rPr>
        <w:b/>
        <w:bCs/>
        <w:color w:val="0072BC" w:themeColor="background1"/>
      </w:rPr>
      <w:tblPr/>
      <w:tcPr>
        <w:shd w:val="clear" w:color="auto" w:fill="969696" w:themeFill="accent4"/>
      </w:tcPr>
    </w:tblStylePr>
    <w:tblStylePr w:type="lastRow">
      <w:pPr>
        <w:spacing w:before="0" w:after="0" w:line="240" w:lineRule="auto"/>
      </w:pPr>
      <w:rPr>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tcBorders>
      </w:tcPr>
    </w:tblStylePr>
    <w:tblStylePr w:type="firstCol">
      <w:rPr>
        <w:b/>
        <w:bCs/>
      </w:rPr>
    </w:tblStylePr>
    <w:tblStylePr w:type="lastCol">
      <w:rPr>
        <w:b/>
        <w:bCs/>
      </w:r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style>
  <w:style w:type="table" w:styleId="LightList-Accent5">
    <w:name w:val="Light List Accent 5"/>
    <w:basedOn w:val="TableNormal"/>
    <w:uiPriority w:val="61"/>
    <w:semiHidden/>
    <w:rsid w:val="00144EBC"/>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pPr>
        <w:spacing w:before="0" w:after="0" w:line="240" w:lineRule="auto"/>
      </w:pPr>
      <w:rPr>
        <w:b/>
        <w:bCs/>
        <w:color w:val="0072BC"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LightList-Accent6">
    <w:name w:val="Light List Accent 6"/>
    <w:basedOn w:val="TableNormal"/>
    <w:uiPriority w:val="61"/>
    <w:semiHidden/>
    <w:rsid w:val="00144EBC"/>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pPr>
        <w:spacing w:before="0" w:after="0" w:line="240" w:lineRule="auto"/>
      </w:pPr>
      <w:rPr>
        <w:b/>
        <w:bCs/>
        <w:color w:val="0072BC"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styleId="LightShading">
    <w:name w:val="Light Shading"/>
    <w:basedOn w:val="TableNormal"/>
    <w:uiPriority w:val="60"/>
    <w:semiHidden/>
    <w:rsid w:val="00144EBC"/>
    <w:rPr>
      <w:color w:val="000000" w:themeColor="text1" w:themeShade="BF"/>
      <w:sz w:val="24"/>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rsid w:val="00144EBC"/>
    <w:rPr>
      <w:color w:val="00548C" w:themeColor="accent1" w:themeShade="BF"/>
      <w:sz w:val="24"/>
      <w:szCs w:val="24"/>
    </w:rPr>
    <w:tblPr>
      <w:tblStyleRowBandSize w:val="1"/>
      <w:tblStyleColBandSize w:val="1"/>
      <w:tblBorders>
        <w:top w:val="single" w:sz="8" w:space="0" w:color="0072BC" w:themeColor="accent1"/>
        <w:bottom w:val="single" w:sz="8" w:space="0" w:color="0072BC" w:themeColor="accent1"/>
      </w:tblBorders>
    </w:tblPr>
    <w:tblStylePr w:type="fir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la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left w:val="nil"/>
          <w:right w:val="nil"/>
          <w:insideH w:val="nil"/>
          <w:insideV w:val="nil"/>
        </w:tcBorders>
        <w:shd w:val="clear" w:color="auto" w:fill="AFDFFF" w:themeFill="accent1" w:themeFillTint="3F"/>
      </w:tcPr>
    </w:tblStylePr>
  </w:style>
  <w:style w:type="table" w:styleId="LightShading-Accent2">
    <w:name w:val="Light Shading Accent 2"/>
    <w:basedOn w:val="TableNormal"/>
    <w:uiPriority w:val="60"/>
    <w:semiHidden/>
    <w:rsid w:val="00144EBC"/>
    <w:rPr>
      <w:color w:val="8F0000" w:themeColor="accent2" w:themeShade="BF"/>
      <w:sz w:val="24"/>
      <w:szCs w:val="24"/>
    </w:rPr>
    <w:tblPr>
      <w:tblStyleRowBandSize w:val="1"/>
      <w:tblStyleColBandSize w:val="1"/>
      <w:tblBorders>
        <w:top w:val="single" w:sz="8" w:space="0" w:color="C00000" w:themeColor="accent2"/>
        <w:bottom w:val="single" w:sz="8" w:space="0" w:color="C00000" w:themeColor="accent2"/>
      </w:tblBorders>
    </w:tblPr>
    <w:tblStylePr w:type="fir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la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left w:val="nil"/>
          <w:right w:val="nil"/>
          <w:insideH w:val="nil"/>
          <w:insideV w:val="nil"/>
        </w:tcBorders>
        <w:shd w:val="clear" w:color="auto" w:fill="FFB0B0" w:themeFill="accent2" w:themeFillTint="3F"/>
      </w:tcPr>
    </w:tblStylePr>
  </w:style>
  <w:style w:type="table" w:styleId="LightShading-Accent3">
    <w:name w:val="Light Shading Accent 3"/>
    <w:basedOn w:val="TableNormal"/>
    <w:uiPriority w:val="60"/>
    <w:semiHidden/>
    <w:rsid w:val="00144EBC"/>
    <w:rPr>
      <w:color w:val="474747" w:themeColor="accent3" w:themeShade="BF"/>
      <w:sz w:val="24"/>
      <w:szCs w:val="24"/>
    </w:rPr>
    <w:tblPr>
      <w:tblStyleRowBandSize w:val="1"/>
      <w:tblStyleColBandSize w:val="1"/>
      <w:tblBorders>
        <w:top w:val="single" w:sz="8" w:space="0" w:color="5F5F5F" w:themeColor="accent3"/>
        <w:bottom w:val="single" w:sz="8" w:space="0" w:color="5F5F5F" w:themeColor="accent3"/>
      </w:tblBorders>
    </w:tblPr>
    <w:tblStylePr w:type="fir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la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left w:val="nil"/>
          <w:right w:val="nil"/>
          <w:insideH w:val="nil"/>
          <w:insideV w:val="nil"/>
        </w:tcBorders>
        <w:shd w:val="clear" w:color="auto" w:fill="D7D7D7" w:themeFill="accent3" w:themeFillTint="3F"/>
      </w:tcPr>
    </w:tblStylePr>
  </w:style>
  <w:style w:type="table" w:styleId="LightShading-Accent4">
    <w:name w:val="Light Shading Accent 4"/>
    <w:basedOn w:val="TableNormal"/>
    <w:uiPriority w:val="60"/>
    <w:semiHidden/>
    <w:rsid w:val="00144EBC"/>
    <w:rPr>
      <w:color w:val="707070" w:themeColor="accent4" w:themeShade="BF"/>
      <w:sz w:val="24"/>
      <w:szCs w:val="24"/>
    </w:rPr>
    <w:tblPr>
      <w:tblStyleRowBandSize w:val="1"/>
      <w:tblStyleColBandSize w:val="1"/>
      <w:tblBorders>
        <w:top w:val="single" w:sz="8" w:space="0" w:color="969696" w:themeColor="accent4"/>
        <w:bottom w:val="single" w:sz="8" w:space="0" w:color="969696" w:themeColor="accent4"/>
      </w:tblBorders>
    </w:tblPr>
    <w:tblStylePr w:type="fir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la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left w:val="nil"/>
          <w:right w:val="nil"/>
          <w:insideH w:val="nil"/>
          <w:insideV w:val="nil"/>
        </w:tcBorders>
        <w:shd w:val="clear" w:color="auto" w:fill="E5E5E5" w:themeFill="accent4" w:themeFillTint="3F"/>
      </w:tcPr>
    </w:tblStylePr>
  </w:style>
  <w:style w:type="table" w:styleId="LightShading-Accent5">
    <w:name w:val="Light Shading Accent 5"/>
    <w:basedOn w:val="TableNormal"/>
    <w:uiPriority w:val="60"/>
    <w:semiHidden/>
    <w:rsid w:val="00144EBC"/>
    <w:rPr>
      <w:color w:val="474747" w:themeColor="accent5" w:themeShade="BF"/>
      <w:sz w:val="24"/>
      <w:szCs w:val="24"/>
    </w:rPr>
    <w:tblPr>
      <w:tblStyleRowBandSize w:val="1"/>
      <w:tblStyleColBandSize w:val="1"/>
      <w:tblBorders>
        <w:top w:val="single" w:sz="8" w:space="0" w:color="5F5F5F" w:themeColor="accent5"/>
        <w:bottom w:val="single" w:sz="8" w:space="0" w:color="5F5F5F" w:themeColor="accent5"/>
      </w:tblBorders>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LightShading-Accent6">
    <w:name w:val="Light Shading Accent 6"/>
    <w:basedOn w:val="TableNormal"/>
    <w:uiPriority w:val="60"/>
    <w:semiHidden/>
    <w:rsid w:val="00144EBC"/>
    <w:rPr>
      <w:color w:val="393939" w:themeColor="accent6" w:themeShade="BF"/>
      <w:sz w:val="24"/>
      <w:szCs w:val="24"/>
    </w:rPr>
    <w:tblPr>
      <w:tblStyleRowBandSize w:val="1"/>
      <w:tblStyleColBandSize w:val="1"/>
      <w:tblBorders>
        <w:top w:val="single" w:sz="8" w:space="0" w:color="4D4D4D" w:themeColor="accent6"/>
        <w:bottom w:val="single" w:sz="8" w:space="0" w:color="4D4D4D" w:themeColor="accent6"/>
      </w:tblBorders>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character" w:styleId="LineNumber">
    <w:name w:val="line number"/>
    <w:basedOn w:val="DefaultParagraphFont"/>
    <w:uiPriority w:val="98"/>
    <w:semiHidden/>
    <w:rsid w:val="00144EBC"/>
  </w:style>
  <w:style w:type="paragraph" w:styleId="List">
    <w:name w:val="List"/>
    <w:basedOn w:val="Normal"/>
    <w:uiPriority w:val="98"/>
    <w:semiHidden/>
    <w:rsid w:val="00144EBC"/>
    <w:pPr>
      <w:ind w:left="283" w:hanging="283"/>
      <w:contextualSpacing/>
    </w:pPr>
  </w:style>
  <w:style w:type="paragraph" w:styleId="List2">
    <w:name w:val="List 2"/>
    <w:basedOn w:val="Normal"/>
    <w:uiPriority w:val="98"/>
    <w:semiHidden/>
    <w:rsid w:val="00144EBC"/>
    <w:pPr>
      <w:ind w:left="566" w:hanging="283"/>
      <w:contextualSpacing/>
    </w:pPr>
  </w:style>
  <w:style w:type="paragraph" w:styleId="List3">
    <w:name w:val="List 3"/>
    <w:basedOn w:val="Normal"/>
    <w:uiPriority w:val="98"/>
    <w:semiHidden/>
    <w:rsid w:val="00144EBC"/>
    <w:pPr>
      <w:ind w:left="849" w:hanging="283"/>
      <w:contextualSpacing/>
    </w:pPr>
  </w:style>
  <w:style w:type="paragraph" w:styleId="List4">
    <w:name w:val="List 4"/>
    <w:basedOn w:val="Normal"/>
    <w:uiPriority w:val="98"/>
    <w:semiHidden/>
    <w:rsid w:val="00144EBC"/>
    <w:pPr>
      <w:ind w:left="1132" w:hanging="283"/>
      <w:contextualSpacing/>
    </w:pPr>
  </w:style>
  <w:style w:type="paragraph" w:styleId="List5">
    <w:name w:val="List 5"/>
    <w:basedOn w:val="Normal"/>
    <w:uiPriority w:val="98"/>
    <w:semiHidden/>
    <w:rsid w:val="00144EBC"/>
    <w:pPr>
      <w:ind w:left="1415" w:hanging="283"/>
      <w:contextualSpacing/>
    </w:pPr>
  </w:style>
  <w:style w:type="paragraph" w:styleId="ListBullet">
    <w:name w:val="List Bullet"/>
    <w:basedOn w:val="Normal"/>
    <w:uiPriority w:val="98"/>
    <w:semiHidden/>
    <w:rsid w:val="00144EBC"/>
    <w:pPr>
      <w:numPr>
        <w:numId w:val="11"/>
      </w:numPr>
    </w:pPr>
  </w:style>
  <w:style w:type="paragraph" w:styleId="ListBullet2">
    <w:name w:val="List Bullet 2"/>
    <w:basedOn w:val="Normal"/>
    <w:uiPriority w:val="98"/>
    <w:semiHidden/>
    <w:rsid w:val="00144EBC"/>
    <w:pPr>
      <w:numPr>
        <w:numId w:val="12"/>
      </w:numPr>
      <w:contextualSpacing/>
    </w:pPr>
  </w:style>
  <w:style w:type="paragraph" w:styleId="ListBullet3">
    <w:name w:val="List Bullet 3"/>
    <w:basedOn w:val="Normal"/>
    <w:uiPriority w:val="98"/>
    <w:semiHidden/>
    <w:rsid w:val="00144EBC"/>
    <w:pPr>
      <w:numPr>
        <w:numId w:val="13"/>
      </w:numPr>
      <w:contextualSpacing/>
    </w:pPr>
  </w:style>
  <w:style w:type="paragraph" w:styleId="ListBullet4">
    <w:name w:val="List Bullet 4"/>
    <w:basedOn w:val="Normal"/>
    <w:uiPriority w:val="98"/>
    <w:semiHidden/>
    <w:rsid w:val="00144EBC"/>
    <w:pPr>
      <w:numPr>
        <w:numId w:val="14"/>
      </w:numPr>
      <w:contextualSpacing/>
    </w:pPr>
  </w:style>
  <w:style w:type="paragraph" w:styleId="ListBullet5">
    <w:name w:val="List Bullet 5"/>
    <w:basedOn w:val="Normal"/>
    <w:uiPriority w:val="98"/>
    <w:semiHidden/>
    <w:rsid w:val="00144EBC"/>
    <w:pPr>
      <w:numPr>
        <w:numId w:val="15"/>
      </w:numPr>
      <w:contextualSpacing/>
    </w:pPr>
  </w:style>
  <w:style w:type="paragraph" w:styleId="ListContinue">
    <w:name w:val="List Continue"/>
    <w:basedOn w:val="Normal"/>
    <w:uiPriority w:val="98"/>
    <w:semiHidden/>
    <w:rsid w:val="00144EBC"/>
    <w:pPr>
      <w:spacing w:after="120"/>
      <w:ind w:left="283"/>
      <w:contextualSpacing/>
    </w:pPr>
  </w:style>
  <w:style w:type="paragraph" w:styleId="ListContinue2">
    <w:name w:val="List Continue 2"/>
    <w:basedOn w:val="Normal"/>
    <w:uiPriority w:val="98"/>
    <w:semiHidden/>
    <w:rsid w:val="00144EBC"/>
    <w:pPr>
      <w:spacing w:after="120"/>
      <w:ind w:left="566"/>
      <w:contextualSpacing/>
    </w:pPr>
  </w:style>
  <w:style w:type="paragraph" w:styleId="ListContinue3">
    <w:name w:val="List Continue 3"/>
    <w:basedOn w:val="Normal"/>
    <w:uiPriority w:val="98"/>
    <w:semiHidden/>
    <w:rsid w:val="00144EBC"/>
    <w:pPr>
      <w:spacing w:after="120"/>
      <w:ind w:left="849"/>
      <w:contextualSpacing/>
    </w:pPr>
  </w:style>
  <w:style w:type="paragraph" w:styleId="ListContinue4">
    <w:name w:val="List Continue 4"/>
    <w:basedOn w:val="Normal"/>
    <w:uiPriority w:val="98"/>
    <w:semiHidden/>
    <w:rsid w:val="00144EBC"/>
    <w:pPr>
      <w:spacing w:after="120"/>
      <w:ind w:left="1132"/>
      <w:contextualSpacing/>
    </w:pPr>
  </w:style>
  <w:style w:type="paragraph" w:styleId="ListContinue5">
    <w:name w:val="List Continue 5"/>
    <w:basedOn w:val="Normal"/>
    <w:uiPriority w:val="98"/>
    <w:semiHidden/>
    <w:rsid w:val="00144EBC"/>
    <w:pPr>
      <w:spacing w:after="120"/>
      <w:ind w:left="1415"/>
      <w:contextualSpacing/>
    </w:pPr>
  </w:style>
  <w:style w:type="paragraph" w:styleId="ListNumber">
    <w:name w:val="List Number"/>
    <w:basedOn w:val="Normal"/>
    <w:uiPriority w:val="98"/>
    <w:semiHidden/>
    <w:rsid w:val="00144EBC"/>
    <w:pPr>
      <w:numPr>
        <w:numId w:val="16"/>
      </w:numPr>
      <w:contextualSpacing/>
    </w:pPr>
  </w:style>
  <w:style w:type="paragraph" w:styleId="ListNumber2">
    <w:name w:val="List Number 2"/>
    <w:basedOn w:val="Normal"/>
    <w:uiPriority w:val="98"/>
    <w:semiHidden/>
    <w:rsid w:val="00144EBC"/>
    <w:pPr>
      <w:numPr>
        <w:numId w:val="17"/>
      </w:numPr>
      <w:contextualSpacing/>
    </w:pPr>
  </w:style>
  <w:style w:type="paragraph" w:styleId="ListNumber3">
    <w:name w:val="List Number 3"/>
    <w:basedOn w:val="Normal"/>
    <w:uiPriority w:val="98"/>
    <w:semiHidden/>
    <w:rsid w:val="00144EBC"/>
    <w:pPr>
      <w:numPr>
        <w:numId w:val="18"/>
      </w:numPr>
      <w:contextualSpacing/>
    </w:pPr>
  </w:style>
  <w:style w:type="paragraph" w:styleId="ListNumber4">
    <w:name w:val="List Number 4"/>
    <w:basedOn w:val="Normal"/>
    <w:uiPriority w:val="98"/>
    <w:semiHidden/>
    <w:rsid w:val="00144EBC"/>
    <w:pPr>
      <w:numPr>
        <w:numId w:val="19"/>
      </w:numPr>
      <w:contextualSpacing/>
    </w:pPr>
  </w:style>
  <w:style w:type="paragraph" w:styleId="ListNumber5">
    <w:name w:val="List Number 5"/>
    <w:basedOn w:val="Normal"/>
    <w:uiPriority w:val="98"/>
    <w:semiHidden/>
    <w:rsid w:val="00144EBC"/>
    <w:pPr>
      <w:numPr>
        <w:numId w:val="20"/>
      </w:numPr>
      <w:contextualSpacing/>
    </w:pPr>
  </w:style>
  <w:style w:type="paragraph" w:styleId="MacroText">
    <w:name w:val="macro"/>
    <w:link w:val="MacroTextChar"/>
    <w:uiPriority w:val="98"/>
    <w:semiHidden/>
    <w:rsid w:val="00144EBC"/>
    <w:pPr>
      <w:tabs>
        <w:tab w:val="left" w:pos="480"/>
        <w:tab w:val="left" w:pos="960"/>
        <w:tab w:val="left" w:pos="1440"/>
        <w:tab w:val="left" w:pos="1920"/>
        <w:tab w:val="left" w:pos="2400"/>
        <w:tab w:val="left" w:pos="2880"/>
        <w:tab w:val="left" w:pos="3360"/>
        <w:tab w:val="left" w:pos="3840"/>
        <w:tab w:val="left" w:pos="4320"/>
      </w:tabs>
      <w:jc w:val="both"/>
    </w:pPr>
    <w:rPr>
      <w:rFonts w:ascii="Consolas" w:eastAsiaTheme="minorEastAsia" w:hAnsi="Consolas" w:cs="Consolas"/>
      <w:sz w:val="20"/>
      <w:szCs w:val="20"/>
    </w:rPr>
  </w:style>
  <w:style w:type="character" w:customStyle="1" w:styleId="MacroTextChar">
    <w:name w:val="Macro Text Char"/>
    <w:basedOn w:val="DefaultParagraphFont"/>
    <w:link w:val="MacroText"/>
    <w:uiPriority w:val="98"/>
    <w:semiHidden/>
    <w:rsid w:val="00144EBC"/>
    <w:rPr>
      <w:rFonts w:ascii="Consolas" w:eastAsiaTheme="minorEastAsia" w:hAnsi="Consolas" w:cs="Consolas"/>
      <w:sz w:val="20"/>
      <w:szCs w:val="20"/>
    </w:rPr>
  </w:style>
  <w:style w:type="table" w:styleId="MediumGrid1">
    <w:name w:val="Medium Grid 1"/>
    <w:basedOn w:val="TableNormal"/>
    <w:uiPriority w:val="67"/>
    <w:semiHidden/>
    <w:rsid w:val="00144EBC"/>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rsid w:val="00144EBC"/>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insideV w:val="single" w:sz="8" w:space="0" w:color="0D9FFF" w:themeColor="accent1" w:themeTint="BF"/>
      </w:tblBorders>
    </w:tblPr>
    <w:tcPr>
      <w:shd w:val="clear" w:color="auto" w:fill="AFDFFF" w:themeFill="accent1" w:themeFillTint="3F"/>
    </w:tcPr>
    <w:tblStylePr w:type="firstRow">
      <w:rPr>
        <w:b/>
        <w:bCs/>
      </w:rPr>
    </w:tblStylePr>
    <w:tblStylePr w:type="lastRow">
      <w:rPr>
        <w:b/>
        <w:bCs/>
      </w:rPr>
      <w:tblPr/>
      <w:tcPr>
        <w:tcBorders>
          <w:top w:val="single" w:sz="18" w:space="0" w:color="0D9FFF" w:themeColor="accent1" w:themeTint="BF"/>
        </w:tcBorders>
      </w:tcPr>
    </w:tblStylePr>
    <w:tblStylePr w:type="firstCol">
      <w:rPr>
        <w:b/>
        <w:bCs/>
      </w:rPr>
    </w:tblStylePr>
    <w:tblStylePr w:type="lastCol">
      <w:rPr>
        <w:b/>
        <w:bCs/>
      </w:r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MediumGrid1-Accent2">
    <w:name w:val="Medium Grid 1 Accent 2"/>
    <w:basedOn w:val="TableNormal"/>
    <w:uiPriority w:val="67"/>
    <w:semiHidden/>
    <w:rsid w:val="00144EBC"/>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insideV w:val="single" w:sz="8" w:space="0" w:color="FF1010" w:themeColor="accent2" w:themeTint="BF"/>
      </w:tblBorders>
    </w:tblPr>
    <w:tcPr>
      <w:shd w:val="clear" w:color="auto" w:fill="FFB0B0" w:themeFill="accent2" w:themeFillTint="3F"/>
    </w:tcPr>
    <w:tblStylePr w:type="firstRow">
      <w:rPr>
        <w:b/>
        <w:bCs/>
      </w:rPr>
    </w:tblStylePr>
    <w:tblStylePr w:type="lastRow">
      <w:rPr>
        <w:b/>
        <w:bCs/>
      </w:rPr>
      <w:tblPr/>
      <w:tcPr>
        <w:tcBorders>
          <w:top w:val="single" w:sz="18" w:space="0" w:color="FF1010" w:themeColor="accent2" w:themeTint="BF"/>
        </w:tcBorders>
      </w:tcPr>
    </w:tblStylePr>
    <w:tblStylePr w:type="firstCol">
      <w:rPr>
        <w:b/>
        <w:bCs/>
      </w:rPr>
    </w:tblStylePr>
    <w:tblStylePr w:type="lastCol">
      <w:rPr>
        <w:b/>
        <w:bCs/>
      </w:r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MediumGrid1-Accent3">
    <w:name w:val="Medium Grid 1 Accent 3"/>
    <w:basedOn w:val="TableNormal"/>
    <w:uiPriority w:val="67"/>
    <w:semiHidden/>
    <w:rsid w:val="00144EBC"/>
    <w:rPr>
      <w:sz w:val="24"/>
      <w:szCs w:val="24"/>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insideV w:val="single" w:sz="8" w:space="0" w:color="878787" w:themeColor="accent3" w:themeTint="BF"/>
      </w:tblBorders>
    </w:tblPr>
    <w:tcPr>
      <w:shd w:val="clear" w:color="auto" w:fill="D7D7D7" w:themeFill="accent3" w:themeFillTint="3F"/>
    </w:tcPr>
    <w:tblStylePr w:type="firstRow">
      <w:rPr>
        <w:b/>
        <w:bCs/>
      </w:rPr>
    </w:tblStylePr>
    <w:tblStylePr w:type="lastRow">
      <w:rPr>
        <w:b/>
        <w:bCs/>
      </w:rPr>
      <w:tblPr/>
      <w:tcPr>
        <w:tcBorders>
          <w:top w:val="single" w:sz="18" w:space="0" w:color="878787" w:themeColor="accent3" w:themeTint="BF"/>
        </w:tcBorders>
      </w:tcPr>
    </w:tblStylePr>
    <w:tblStylePr w:type="firstCol">
      <w:rPr>
        <w:b/>
        <w:bCs/>
      </w:rPr>
    </w:tblStylePr>
    <w:tblStylePr w:type="lastCol">
      <w:rPr>
        <w:b/>
        <w:bCs/>
      </w:r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MediumGrid1-Accent4">
    <w:name w:val="Medium Grid 1 Accent 4"/>
    <w:basedOn w:val="TableNormal"/>
    <w:uiPriority w:val="67"/>
    <w:semiHidden/>
    <w:rsid w:val="00144EBC"/>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insideV w:val="single" w:sz="8" w:space="0" w:color="B0B0B0" w:themeColor="accent4" w:themeTint="BF"/>
      </w:tblBorders>
    </w:tblPr>
    <w:tcPr>
      <w:shd w:val="clear" w:color="auto" w:fill="E5E5E5" w:themeFill="accent4" w:themeFillTint="3F"/>
    </w:tcPr>
    <w:tblStylePr w:type="firstRow">
      <w:rPr>
        <w:b/>
        <w:bCs/>
      </w:rPr>
    </w:tblStylePr>
    <w:tblStylePr w:type="lastRow">
      <w:rPr>
        <w:b/>
        <w:bCs/>
      </w:rPr>
      <w:tblPr/>
      <w:tcPr>
        <w:tcBorders>
          <w:top w:val="single" w:sz="18" w:space="0" w:color="B0B0B0" w:themeColor="accent4" w:themeTint="BF"/>
        </w:tcBorders>
      </w:tcPr>
    </w:tblStylePr>
    <w:tblStylePr w:type="firstCol">
      <w:rPr>
        <w:b/>
        <w:bCs/>
      </w:rPr>
    </w:tblStylePr>
    <w:tblStylePr w:type="lastCol">
      <w:rPr>
        <w:b/>
        <w:bCs/>
      </w:r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MediumGrid1-Accent5">
    <w:name w:val="Medium Grid 1 Accent 5"/>
    <w:basedOn w:val="TableNormal"/>
    <w:uiPriority w:val="67"/>
    <w:semiHidden/>
    <w:rsid w:val="00144EBC"/>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Pr>
    <w:tcPr>
      <w:shd w:val="clear" w:color="auto" w:fill="D7D7D7" w:themeFill="accent5" w:themeFillTint="3F"/>
    </w:tcPr>
    <w:tblStylePr w:type="firstRow">
      <w:rPr>
        <w:b/>
        <w:bCs/>
      </w:rPr>
    </w:tblStylePr>
    <w:tblStylePr w:type="lastRow">
      <w:rPr>
        <w:b/>
        <w:bCs/>
      </w:rPr>
      <w:tblPr/>
      <w:tcPr>
        <w:tcBorders>
          <w:top w:val="single" w:sz="18" w:space="0" w:color="878787" w:themeColor="accent5" w:themeTint="BF"/>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MediumGrid1-Accent6">
    <w:name w:val="Medium Grid 1 Accent 6"/>
    <w:basedOn w:val="TableNormal"/>
    <w:uiPriority w:val="67"/>
    <w:semiHidden/>
    <w:rsid w:val="00144EBC"/>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Pr>
    <w:tcPr>
      <w:shd w:val="clear" w:color="auto" w:fill="D3D3D3" w:themeFill="accent6" w:themeFillTint="3F"/>
    </w:tcPr>
    <w:tblStylePr w:type="firstRow">
      <w:rPr>
        <w:b/>
        <w:bCs/>
      </w:rPr>
    </w:tblStylePr>
    <w:tblStylePr w:type="lastRow">
      <w:rPr>
        <w:b/>
        <w:bCs/>
      </w:rPr>
      <w:tblPr/>
      <w:tcPr>
        <w:tcBorders>
          <w:top w:val="single" w:sz="18" w:space="0" w:color="797979" w:themeColor="accent6" w:themeTint="BF"/>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MediumGrid2">
    <w:name w:val="Medium Grid 2"/>
    <w:basedOn w:val="TableNormal"/>
    <w:uiPriority w:val="68"/>
    <w:semiHidden/>
    <w:rsid w:val="00144EBC"/>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0072BC" w:themeFill="background1"/>
      </w:tcPr>
    </w:tblStylePr>
  </w:style>
  <w:style w:type="table" w:styleId="MediumGrid2-Accent1">
    <w:name w:val="Medium Grid 2 Accent 1"/>
    <w:basedOn w:val="TableNormal"/>
    <w:uiPriority w:val="68"/>
    <w:semiHidden/>
    <w:rsid w:val="00144EBC"/>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cPr>
      <w:shd w:val="clear" w:color="auto" w:fill="AFDFFF" w:themeFill="accent1" w:themeFillTint="3F"/>
    </w:tcPr>
    <w:tblStylePr w:type="firstRow">
      <w:rPr>
        <w:b/>
        <w:bCs/>
        <w:color w:val="000000" w:themeColor="text1"/>
      </w:rPr>
      <w:tblPr/>
      <w:tcPr>
        <w:shd w:val="clear" w:color="auto" w:fill="DFF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E5FF" w:themeFill="accent1" w:themeFillTint="33"/>
      </w:tcPr>
    </w:tblStylePr>
    <w:tblStylePr w:type="band1Vert">
      <w:tblPr/>
      <w:tcPr>
        <w:shd w:val="clear" w:color="auto" w:fill="5EBFFF" w:themeFill="accent1" w:themeFillTint="7F"/>
      </w:tcPr>
    </w:tblStylePr>
    <w:tblStylePr w:type="band1Horz">
      <w:tblPr/>
      <w:tcPr>
        <w:tcBorders>
          <w:insideH w:val="single" w:sz="6" w:space="0" w:color="0072BC" w:themeColor="accent1"/>
          <w:insideV w:val="single" w:sz="6" w:space="0" w:color="0072BC" w:themeColor="accent1"/>
        </w:tcBorders>
        <w:shd w:val="clear" w:color="auto" w:fill="5EBFFF" w:themeFill="accent1" w:themeFillTint="7F"/>
      </w:tcPr>
    </w:tblStylePr>
    <w:tblStylePr w:type="nwCell">
      <w:tblPr/>
      <w:tcPr>
        <w:shd w:val="clear" w:color="auto" w:fill="0072BC" w:themeFill="background1"/>
      </w:tcPr>
    </w:tblStylePr>
  </w:style>
  <w:style w:type="table" w:styleId="MediumGrid2-Accent2">
    <w:name w:val="Medium Grid 2 Accent 2"/>
    <w:basedOn w:val="TableNormal"/>
    <w:uiPriority w:val="68"/>
    <w:semiHidden/>
    <w:rsid w:val="00144EBC"/>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cPr>
      <w:shd w:val="clear" w:color="auto" w:fill="FFB0B0" w:themeFill="accent2" w:themeFillTint="3F"/>
    </w:tcPr>
    <w:tblStylePr w:type="firstRow">
      <w:rPr>
        <w:b/>
        <w:bCs/>
        <w:color w:val="000000" w:themeColor="text1"/>
      </w:rPr>
      <w:tblPr/>
      <w:tcPr>
        <w:shd w:val="clear" w:color="auto" w:fill="FFDFD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FBF" w:themeFill="accent2" w:themeFillTint="33"/>
      </w:tcPr>
    </w:tblStylePr>
    <w:tblStylePr w:type="band1Vert">
      <w:tblPr/>
      <w:tcPr>
        <w:shd w:val="clear" w:color="auto" w:fill="FF6060" w:themeFill="accent2" w:themeFillTint="7F"/>
      </w:tcPr>
    </w:tblStylePr>
    <w:tblStylePr w:type="band1Horz">
      <w:tblPr/>
      <w:tcPr>
        <w:tcBorders>
          <w:insideH w:val="single" w:sz="6" w:space="0" w:color="C00000" w:themeColor="accent2"/>
          <w:insideV w:val="single" w:sz="6" w:space="0" w:color="C00000" w:themeColor="accent2"/>
        </w:tcBorders>
        <w:shd w:val="clear" w:color="auto" w:fill="FF6060" w:themeFill="accent2" w:themeFillTint="7F"/>
      </w:tcPr>
    </w:tblStylePr>
    <w:tblStylePr w:type="nwCell">
      <w:tblPr/>
      <w:tcPr>
        <w:shd w:val="clear" w:color="auto" w:fill="0072BC" w:themeFill="background1"/>
      </w:tcPr>
    </w:tblStylePr>
  </w:style>
  <w:style w:type="table" w:styleId="MediumGrid2-Accent3">
    <w:name w:val="Medium Grid 2 Accent 3"/>
    <w:basedOn w:val="TableNormal"/>
    <w:uiPriority w:val="68"/>
    <w:semiHidden/>
    <w:rsid w:val="00144EBC"/>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cPr>
      <w:shd w:val="clear" w:color="auto" w:fill="D7D7D7" w:themeFill="accent3" w:themeFillTint="3F"/>
    </w:tcPr>
    <w:tblStylePr w:type="firstRow">
      <w:rPr>
        <w:b/>
        <w:bCs/>
        <w:color w:val="000000" w:themeColor="text1"/>
      </w:rPr>
      <w:tblPr/>
      <w:tcPr>
        <w:shd w:val="clear" w:color="auto" w:fill="EFEFE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3" w:themeFillTint="33"/>
      </w:tcPr>
    </w:tblStylePr>
    <w:tblStylePr w:type="band1Vert">
      <w:tblPr/>
      <w:tcPr>
        <w:shd w:val="clear" w:color="auto" w:fill="AFAFAF" w:themeFill="accent3" w:themeFillTint="7F"/>
      </w:tcPr>
    </w:tblStylePr>
    <w:tblStylePr w:type="band1Horz">
      <w:tblPr/>
      <w:tcPr>
        <w:tcBorders>
          <w:insideH w:val="single" w:sz="6" w:space="0" w:color="5F5F5F" w:themeColor="accent3"/>
          <w:insideV w:val="single" w:sz="6" w:space="0" w:color="5F5F5F" w:themeColor="accent3"/>
        </w:tcBorders>
        <w:shd w:val="clear" w:color="auto" w:fill="AFAFAF" w:themeFill="accent3" w:themeFillTint="7F"/>
      </w:tcPr>
    </w:tblStylePr>
    <w:tblStylePr w:type="nwCell">
      <w:tblPr/>
      <w:tcPr>
        <w:shd w:val="clear" w:color="auto" w:fill="0072BC" w:themeFill="background1"/>
      </w:tcPr>
    </w:tblStylePr>
  </w:style>
  <w:style w:type="table" w:styleId="MediumGrid2-Accent4">
    <w:name w:val="Medium Grid 2 Accent 4"/>
    <w:basedOn w:val="TableNormal"/>
    <w:uiPriority w:val="68"/>
    <w:semiHidden/>
    <w:rsid w:val="00144EBC"/>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cPr>
      <w:shd w:val="clear" w:color="auto" w:fill="E5E5E5" w:themeFill="accent4" w:themeFillTint="3F"/>
    </w:tcPr>
    <w:tblStylePr w:type="firstRow">
      <w:rPr>
        <w:b/>
        <w:bCs/>
        <w:color w:val="000000" w:themeColor="text1"/>
      </w:rPr>
      <w:tblPr/>
      <w:tcPr>
        <w:shd w:val="clear" w:color="auto" w:fill="F4F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4" w:themeFillTint="33"/>
      </w:tcPr>
    </w:tblStylePr>
    <w:tblStylePr w:type="band1Vert">
      <w:tblPr/>
      <w:tcPr>
        <w:shd w:val="clear" w:color="auto" w:fill="CACACA" w:themeFill="accent4" w:themeFillTint="7F"/>
      </w:tcPr>
    </w:tblStylePr>
    <w:tblStylePr w:type="band1Horz">
      <w:tblPr/>
      <w:tcPr>
        <w:tcBorders>
          <w:insideH w:val="single" w:sz="6" w:space="0" w:color="969696" w:themeColor="accent4"/>
          <w:insideV w:val="single" w:sz="6" w:space="0" w:color="969696" w:themeColor="accent4"/>
        </w:tcBorders>
        <w:shd w:val="clear" w:color="auto" w:fill="CACACA" w:themeFill="accent4" w:themeFillTint="7F"/>
      </w:tcPr>
    </w:tblStylePr>
    <w:tblStylePr w:type="nwCell">
      <w:tblPr/>
      <w:tcPr>
        <w:shd w:val="clear" w:color="auto" w:fill="0072BC" w:themeFill="background1"/>
      </w:tcPr>
    </w:tblStylePr>
  </w:style>
  <w:style w:type="table" w:styleId="MediumGrid2-Accent5">
    <w:name w:val="Medium Grid 2 Accent 5"/>
    <w:basedOn w:val="TableNormal"/>
    <w:uiPriority w:val="68"/>
    <w:semiHidden/>
    <w:rsid w:val="00144EBC"/>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0072BC" w:themeFill="background1"/>
      </w:tcPr>
    </w:tblStylePr>
  </w:style>
  <w:style w:type="table" w:styleId="MediumGrid2-Accent6">
    <w:name w:val="Medium Grid 2 Accent 6"/>
    <w:basedOn w:val="TableNormal"/>
    <w:uiPriority w:val="68"/>
    <w:semiHidden/>
    <w:rsid w:val="00144EBC"/>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0072BC" w:themeFill="background1"/>
      </w:tcPr>
    </w:tblStylePr>
  </w:style>
  <w:style w:type="table" w:styleId="MediumGrid3">
    <w:name w:val="Medium Grid 3"/>
    <w:basedOn w:val="TableNormal"/>
    <w:uiPriority w:val="69"/>
    <w:semiHidden/>
    <w:rsid w:val="00144EBC"/>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C0C0C0" w:themeFill="tex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0000" w:themeFill="tex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0000" w:themeFill="tex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808080" w:themeFill="tex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808080" w:themeFill="text1" w:themeFillTint="7F"/>
      </w:tcPr>
    </w:tblStylePr>
  </w:style>
  <w:style w:type="table" w:styleId="MediumGrid3-Accent1">
    <w:name w:val="Medium Grid 3 Accent 1"/>
    <w:basedOn w:val="TableNormal"/>
    <w:uiPriority w:val="69"/>
    <w:semiHidden/>
    <w:rsid w:val="00144EBC"/>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AFDFFF" w:themeFill="accen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72BC" w:themeFill="accen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72BC" w:themeFill="accen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5EBFFF" w:themeFill="accen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5EBFFF" w:themeFill="accent1" w:themeFillTint="7F"/>
      </w:tcPr>
    </w:tblStylePr>
  </w:style>
  <w:style w:type="table" w:styleId="MediumGrid3-Accent2">
    <w:name w:val="Medium Grid 3 Accent 2"/>
    <w:basedOn w:val="TableNormal"/>
    <w:uiPriority w:val="69"/>
    <w:semiHidden/>
    <w:rsid w:val="00144EBC"/>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FFB0B0" w:themeFill="accent2"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C00000" w:themeFill="accent2"/>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C00000" w:themeFill="accent2"/>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FF6060" w:themeFill="accent2"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FF6060" w:themeFill="accent2" w:themeFillTint="7F"/>
      </w:tcPr>
    </w:tblStylePr>
  </w:style>
  <w:style w:type="table" w:styleId="MediumGrid3-Accent3">
    <w:name w:val="Medium Grid 3 Accent 3"/>
    <w:basedOn w:val="TableNormal"/>
    <w:uiPriority w:val="69"/>
    <w:semiHidden/>
    <w:rsid w:val="00144EBC"/>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3"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3"/>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3"/>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3"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3" w:themeFillTint="7F"/>
      </w:tcPr>
    </w:tblStylePr>
  </w:style>
  <w:style w:type="table" w:styleId="MediumGrid3-Accent4">
    <w:name w:val="Medium Grid 3 Accent 4"/>
    <w:basedOn w:val="TableNormal"/>
    <w:uiPriority w:val="69"/>
    <w:semiHidden/>
    <w:rsid w:val="00144EBC"/>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E5E5E5" w:themeFill="accent4"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969696" w:themeFill="accent4"/>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969696" w:themeFill="accent4"/>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CACACA" w:themeFill="accent4"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CACACA" w:themeFill="accent4" w:themeFillTint="7F"/>
      </w:tcPr>
    </w:tblStylePr>
  </w:style>
  <w:style w:type="table" w:styleId="MediumGrid3-Accent5">
    <w:name w:val="Medium Grid 3 Accent 5"/>
    <w:basedOn w:val="TableNormal"/>
    <w:uiPriority w:val="69"/>
    <w:semiHidden/>
    <w:rsid w:val="00144EBC"/>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5"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5"/>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5"/>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5"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5" w:themeFillTint="7F"/>
      </w:tcPr>
    </w:tblStylePr>
  </w:style>
  <w:style w:type="table" w:styleId="MediumGrid3-Accent6">
    <w:name w:val="Medium Grid 3 Accent 6"/>
    <w:basedOn w:val="TableNormal"/>
    <w:uiPriority w:val="69"/>
    <w:semiHidden/>
    <w:rsid w:val="00144EBC"/>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3D3D3" w:themeFill="accent6"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4D4D4D" w:themeFill="accent6"/>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4D4D4D" w:themeFill="accent6"/>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6A6A6" w:themeFill="accent6"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6A6A6" w:themeFill="accent6" w:themeFillTint="7F"/>
      </w:tcPr>
    </w:tblStylePr>
  </w:style>
  <w:style w:type="table" w:styleId="MediumList1">
    <w:name w:val="Medium List 1"/>
    <w:basedOn w:val="TableNormal"/>
    <w:uiPriority w:val="65"/>
    <w:semiHidden/>
    <w:rsid w:val="00144EBC"/>
    <w:rPr>
      <w:color w:val="000000" w:themeColor="text1"/>
      <w:sz w:val="24"/>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C6C6C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rsid w:val="00144EBC"/>
    <w:rPr>
      <w:color w:val="000000" w:themeColor="text1"/>
      <w:sz w:val="24"/>
      <w:szCs w:val="24"/>
    </w:rPr>
    <w:tblPr>
      <w:tblStyleRowBandSize w:val="1"/>
      <w:tblStyleColBandSize w:val="1"/>
      <w:tblBorders>
        <w:top w:val="single" w:sz="8" w:space="0" w:color="0072BC" w:themeColor="accent1"/>
        <w:bottom w:val="single" w:sz="8" w:space="0" w:color="0072BC" w:themeColor="accent1"/>
      </w:tblBorders>
    </w:tblPr>
    <w:tblStylePr w:type="firstRow">
      <w:rPr>
        <w:rFonts w:asciiTheme="majorHAnsi" w:eastAsiaTheme="majorEastAsia" w:hAnsiTheme="majorHAnsi" w:cstheme="majorBidi"/>
      </w:rPr>
      <w:tblPr/>
      <w:tcPr>
        <w:tcBorders>
          <w:top w:val="nil"/>
          <w:bottom w:val="single" w:sz="8" w:space="0" w:color="0072BC" w:themeColor="accent1"/>
        </w:tcBorders>
      </w:tcPr>
    </w:tblStylePr>
    <w:tblStylePr w:type="lastRow">
      <w:rPr>
        <w:b/>
        <w:bCs/>
        <w:color w:val="C6C6C6" w:themeColor="text2"/>
      </w:rPr>
      <w:tblPr/>
      <w:tcPr>
        <w:tcBorders>
          <w:top w:val="single" w:sz="8" w:space="0" w:color="0072BC" w:themeColor="accent1"/>
          <w:bottom w:val="single" w:sz="8" w:space="0" w:color="0072BC" w:themeColor="accent1"/>
        </w:tcBorders>
      </w:tcPr>
    </w:tblStylePr>
    <w:tblStylePr w:type="firstCol">
      <w:rPr>
        <w:b/>
        <w:bCs/>
      </w:rPr>
    </w:tblStylePr>
    <w:tblStylePr w:type="lastCol">
      <w:rPr>
        <w:b/>
        <w:bCs/>
      </w:rPr>
      <w:tblPr/>
      <w:tcPr>
        <w:tcBorders>
          <w:top w:val="single" w:sz="8" w:space="0" w:color="0072BC" w:themeColor="accent1"/>
          <w:bottom w:val="single" w:sz="8" w:space="0" w:color="0072BC" w:themeColor="accent1"/>
        </w:tcBorders>
      </w:tcPr>
    </w:tblStylePr>
    <w:tblStylePr w:type="band1Vert">
      <w:tblPr/>
      <w:tcPr>
        <w:shd w:val="clear" w:color="auto" w:fill="AFDFFF" w:themeFill="accent1" w:themeFillTint="3F"/>
      </w:tcPr>
    </w:tblStylePr>
    <w:tblStylePr w:type="band1Horz">
      <w:tblPr/>
      <w:tcPr>
        <w:shd w:val="clear" w:color="auto" w:fill="AFDFFF" w:themeFill="accent1" w:themeFillTint="3F"/>
      </w:tcPr>
    </w:tblStylePr>
  </w:style>
  <w:style w:type="table" w:styleId="MediumList1-Accent2">
    <w:name w:val="Medium List 1 Accent 2"/>
    <w:basedOn w:val="TableNormal"/>
    <w:uiPriority w:val="65"/>
    <w:semiHidden/>
    <w:rsid w:val="00144EBC"/>
    <w:rPr>
      <w:color w:val="000000" w:themeColor="text1"/>
      <w:sz w:val="24"/>
      <w:szCs w:val="24"/>
    </w:rPr>
    <w:tblPr>
      <w:tblStyleRowBandSize w:val="1"/>
      <w:tblStyleColBandSize w:val="1"/>
      <w:tblBorders>
        <w:top w:val="single" w:sz="8" w:space="0" w:color="C00000" w:themeColor="accent2"/>
        <w:bottom w:val="single" w:sz="8" w:space="0" w:color="C00000" w:themeColor="accent2"/>
      </w:tblBorders>
    </w:tblPr>
    <w:tblStylePr w:type="firstRow">
      <w:rPr>
        <w:rFonts w:asciiTheme="majorHAnsi" w:eastAsiaTheme="majorEastAsia" w:hAnsiTheme="majorHAnsi" w:cstheme="majorBidi"/>
      </w:rPr>
      <w:tblPr/>
      <w:tcPr>
        <w:tcBorders>
          <w:top w:val="nil"/>
          <w:bottom w:val="single" w:sz="8" w:space="0" w:color="C00000" w:themeColor="accent2"/>
        </w:tcBorders>
      </w:tcPr>
    </w:tblStylePr>
    <w:tblStylePr w:type="lastRow">
      <w:rPr>
        <w:b/>
        <w:bCs/>
        <w:color w:val="C6C6C6" w:themeColor="text2"/>
      </w:rPr>
      <w:tblPr/>
      <w:tcPr>
        <w:tcBorders>
          <w:top w:val="single" w:sz="8" w:space="0" w:color="C00000" w:themeColor="accent2"/>
          <w:bottom w:val="single" w:sz="8" w:space="0" w:color="C00000" w:themeColor="accent2"/>
        </w:tcBorders>
      </w:tcPr>
    </w:tblStylePr>
    <w:tblStylePr w:type="firstCol">
      <w:rPr>
        <w:b/>
        <w:bCs/>
      </w:rPr>
    </w:tblStylePr>
    <w:tblStylePr w:type="lastCol">
      <w:rPr>
        <w:b/>
        <w:bCs/>
      </w:rPr>
      <w:tblPr/>
      <w:tcPr>
        <w:tcBorders>
          <w:top w:val="single" w:sz="8" w:space="0" w:color="C00000" w:themeColor="accent2"/>
          <w:bottom w:val="single" w:sz="8" w:space="0" w:color="C00000" w:themeColor="accent2"/>
        </w:tcBorders>
      </w:tcPr>
    </w:tblStylePr>
    <w:tblStylePr w:type="band1Vert">
      <w:tblPr/>
      <w:tcPr>
        <w:shd w:val="clear" w:color="auto" w:fill="FFB0B0" w:themeFill="accent2" w:themeFillTint="3F"/>
      </w:tcPr>
    </w:tblStylePr>
    <w:tblStylePr w:type="band1Horz">
      <w:tblPr/>
      <w:tcPr>
        <w:shd w:val="clear" w:color="auto" w:fill="FFB0B0" w:themeFill="accent2" w:themeFillTint="3F"/>
      </w:tcPr>
    </w:tblStylePr>
  </w:style>
  <w:style w:type="table" w:styleId="MediumList1-Accent3">
    <w:name w:val="Medium List 1 Accent 3"/>
    <w:basedOn w:val="TableNormal"/>
    <w:uiPriority w:val="65"/>
    <w:semiHidden/>
    <w:rsid w:val="00144EBC"/>
    <w:rPr>
      <w:color w:val="000000" w:themeColor="text1"/>
      <w:sz w:val="24"/>
      <w:szCs w:val="24"/>
    </w:rPr>
    <w:tblPr>
      <w:tblStyleRowBandSize w:val="1"/>
      <w:tblStyleColBandSize w:val="1"/>
      <w:tblBorders>
        <w:top w:val="single" w:sz="8" w:space="0" w:color="5F5F5F" w:themeColor="accent3"/>
        <w:bottom w:val="single" w:sz="8" w:space="0" w:color="5F5F5F" w:themeColor="accent3"/>
      </w:tblBorders>
    </w:tblPr>
    <w:tblStylePr w:type="firstRow">
      <w:rPr>
        <w:rFonts w:asciiTheme="majorHAnsi" w:eastAsiaTheme="majorEastAsia" w:hAnsiTheme="majorHAnsi" w:cstheme="majorBidi"/>
      </w:rPr>
      <w:tblPr/>
      <w:tcPr>
        <w:tcBorders>
          <w:top w:val="nil"/>
          <w:bottom w:val="single" w:sz="8" w:space="0" w:color="5F5F5F" w:themeColor="accent3"/>
        </w:tcBorders>
      </w:tcPr>
    </w:tblStylePr>
    <w:tblStylePr w:type="lastRow">
      <w:rPr>
        <w:b/>
        <w:bCs/>
        <w:color w:val="C6C6C6" w:themeColor="text2"/>
      </w:rPr>
      <w:tblPr/>
      <w:tcPr>
        <w:tcBorders>
          <w:top w:val="single" w:sz="8" w:space="0" w:color="5F5F5F" w:themeColor="accent3"/>
          <w:bottom w:val="single" w:sz="8" w:space="0" w:color="5F5F5F" w:themeColor="accent3"/>
        </w:tcBorders>
      </w:tcPr>
    </w:tblStylePr>
    <w:tblStylePr w:type="firstCol">
      <w:rPr>
        <w:b/>
        <w:bCs/>
      </w:rPr>
    </w:tblStylePr>
    <w:tblStylePr w:type="lastCol">
      <w:rPr>
        <w:b/>
        <w:bCs/>
      </w:rPr>
      <w:tblPr/>
      <w:tcPr>
        <w:tcBorders>
          <w:top w:val="single" w:sz="8" w:space="0" w:color="5F5F5F" w:themeColor="accent3"/>
          <w:bottom w:val="single" w:sz="8" w:space="0" w:color="5F5F5F" w:themeColor="accent3"/>
        </w:tcBorders>
      </w:tcPr>
    </w:tblStylePr>
    <w:tblStylePr w:type="band1Vert">
      <w:tblPr/>
      <w:tcPr>
        <w:shd w:val="clear" w:color="auto" w:fill="D7D7D7" w:themeFill="accent3" w:themeFillTint="3F"/>
      </w:tcPr>
    </w:tblStylePr>
    <w:tblStylePr w:type="band1Horz">
      <w:tblPr/>
      <w:tcPr>
        <w:shd w:val="clear" w:color="auto" w:fill="D7D7D7" w:themeFill="accent3" w:themeFillTint="3F"/>
      </w:tcPr>
    </w:tblStylePr>
  </w:style>
  <w:style w:type="table" w:styleId="MediumList1-Accent4">
    <w:name w:val="Medium List 1 Accent 4"/>
    <w:basedOn w:val="TableNormal"/>
    <w:uiPriority w:val="65"/>
    <w:semiHidden/>
    <w:rsid w:val="00144EBC"/>
    <w:rPr>
      <w:color w:val="000000" w:themeColor="text1"/>
      <w:sz w:val="24"/>
      <w:szCs w:val="24"/>
    </w:rPr>
    <w:tblPr>
      <w:tblStyleRowBandSize w:val="1"/>
      <w:tblStyleColBandSize w:val="1"/>
      <w:tblBorders>
        <w:top w:val="single" w:sz="8" w:space="0" w:color="969696" w:themeColor="accent4"/>
        <w:bottom w:val="single" w:sz="8" w:space="0" w:color="969696" w:themeColor="accent4"/>
      </w:tblBorders>
    </w:tblPr>
    <w:tblStylePr w:type="firstRow">
      <w:rPr>
        <w:rFonts w:asciiTheme="majorHAnsi" w:eastAsiaTheme="majorEastAsia" w:hAnsiTheme="majorHAnsi" w:cstheme="majorBidi"/>
      </w:rPr>
      <w:tblPr/>
      <w:tcPr>
        <w:tcBorders>
          <w:top w:val="nil"/>
          <w:bottom w:val="single" w:sz="8" w:space="0" w:color="969696" w:themeColor="accent4"/>
        </w:tcBorders>
      </w:tcPr>
    </w:tblStylePr>
    <w:tblStylePr w:type="lastRow">
      <w:rPr>
        <w:b/>
        <w:bCs/>
        <w:color w:val="C6C6C6" w:themeColor="text2"/>
      </w:rPr>
      <w:tblPr/>
      <w:tcPr>
        <w:tcBorders>
          <w:top w:val="single" w:sz="8" w:space="0" w:color="969696" w:themeColor="accent4"/>
          <w:bottom w:val="single" w:sz="8" w:space="0" w:color="969696" w:themeColor="accent4"/>
        </w:tcBorders>
      </w:tcPr>
    </w:tblStylePr>
    <w:tblStylePr w:type="firstCol">
      <w:rPr>
        <w:b/>
        <w:bCs/>
      </w:rPr>
    </w:tblStylePr>
    <w:tblStylePr w:type="lastCol">
      <w:rPr>
        <w:b/>
        <w:bCs/>
      </w:rPr>
      <w:tblPr/>
      <w:tcPr>
        <w:tcBorders>
          <w:top w:val="single" w:sz="8" w:space="0" w:color="969696" w:themeColor="accent4"/>
          <w:bottom w:val="single" w:sz="8" w:space="0" w:color="969696" w:themeColor="accent4"/>
        </w:tcBorders>
      </w:tcPr>
    </w:tblStylePr>
    <w:tblStylePr w:type="band1Vert">
      <w:tblPr/>
      <w:tcPr>
        <w:shd w:val="clear" w:color="auto" w:fill="E5E5E5" w:themeFill="accent4" w:themeFillTint="3F"/>
      </w:tcPr>
    </w:tblStylePr>
    <w:tblStylePr w:type="band1Horz">
      <w:tblPr/>
      <w:tcPr>
        <w:shd w:val="clear" w:color="auto" w:fill="E5E5E5" w:themeFill="accent4" w:themeFillTint="3F"/>
      </w:tcPr>
    </w:tblStylePr>
  </w:style>
  <w:style w:type="table" w:styleId="MediumList1-Accent5">
    <w:name w:val="Medium List 1 Accent 5"/>
    <w:basedOn w:val="TableNormal"/>
    <w:uiPriority w:val="65"/>
    <w:semiHidden/>
    <w:rsid w:val="00144EBC"/>
    <w:rPr>
      <w:color w:val="000000" w:themeColor="text1"/>
      <w:sz w:val="24"/>
      <w:szCs w:val="24"/>
    </w:rPr>
    <w:tblPr>
      <w:tblStyleRowBandSize w:val="1"/>
      <w:tblStyleColBandSize w:val="1"/>
      <w:tblBorders>
        <w:top w:val="single" w:sz="8" w:space="0" w:color="5F5F5F" w:themeColor="accent5"/>
        <w:bottom w:val="single" w:sz="8" w:space="0" w:color="5F5F5F" w:themeColor="accent5"/>
      </w:tblBorders>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C6C6C6"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MediumList1-Accent6">
    <w:name w:val="Medium List 1 Accent 6"/>
    <w:basedOn w:val="TableNormal"/>
    <w:uiPriority w:val="65"/>
    <w:semiHidden/>
    <w:rsid w:val="00144EBC"/>
    <w:rPr>
      <w:color w:val="000000" w:themeColor="text1"/>
      <w:sz w:val="24"/>
      <w:szCs w:val="24"/>
    </w:rPr>
    <w:tblPr>
      <w:tblStyleRowBandSize w:val="1"/>
      <w:tblStyleColBandSize w:val="1"/>
      <w:tblBorders>
        <w:top w:val="single" w:sz="8" w:space="0" w:color="4D4D4D" w:themeColor="accent6"/>
        <w:bottom w:val="single" w:sz="8" w:space="0" w:color="4D4D4D" w:themeColor="accent6"/>
      </w:tblBorders>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C6C6C6"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styleId="MediumList2">
    <w:name w:val="Medium List 2"/>
    <w:basedOn w:val="TableNormal"/>
    <w:uiPriority w:val="66"/>
    <w:semiHidden/>
    <w:rsid w:val="00144EBC"/>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0072BC" w:themeFill="background1"/>
      </w:tcPr>
    </w:tblStylePr>
    <w:tblStylePr w:type="lastRow">
      <w:tblPr/>
      <w:tcPr>
        <w:tcBorders>
          <w:top w:val="single" w:sz="8" w:space="0" w:color="000000" w:themeColor="tex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0000" w:themeColor="text1"/>
          <w:insideH w:val="nil"/>
          <w:insideV w:val="nil"/>
        </w:tcBorders>
        <w:shd w:val="clear" w:color="auto" w:fill="0072BC" w:themeFill="background1"/>
      </w:tcPr>
    </w:tblStylePr>
    <w:tblStylePr w:type="lastCol">
      <w:tblPr/>
      <w:tcPr>
        <w:tcBorders>
          <w:top w:val="nil"/>
          <w:left w:val="single" w:sz="8" w:space="0" w:color="000000" w:themeColor="tex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144EBC"/>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rPr>
        <w:sz w:val="24"/>
        <w:szCs w:val="24"/>
      </w:rPr>
      <w:tblPr/>
      <w:tcPr>
        <w:tcBorders>
          <w:top w:val="nil"/>
          <w:left w:val="nil"/>
          <w:bottom w:val="single" w:sz="24" w:space="0" w:color="0072BC" w:themeColor="accent1"/>
          <w:right w:val="nil"/>
          <w:insideH w:val="nil"/>
          <w:insideV w:val="nil"/>
        </w:tcBorders>
        <w:shd w:val="clear" w:color="auto" w:fill="0072BC" w:themeFill="background1"/>
      </w:tcPr>
    </w:tblStylePr>
    <w:tblStylePr w:type="lastRow">
      <w:tblPr/>
      <w:tcPr>
        <w:tcBorders>
          <w:top w:val="single" w:sz="8" w:space="0" w:color="0072BC" w:themeColor="accen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72BC" w:themeColor="accent1"/>
          <w:insideH w:val="nil"/>
          <w:insideV w:val="nil"/>
        </w:tcBorders>
        <w:shd w:val="clear" w:color="auto" w:fill="0072BC" w:themeFill="background1"/>
      </w:tcPr>
    </w:tblStylePr>
    <w:tblStylePr w:type="lastCol">
      <w:tblPr/>
      <w:tcPr>
        <w:tcBorders>
          <w:top w:val="nil"/>
          <w:left w:val="single" w:sz="8" w:space="0" w:color="0072BC" w:themeColor="accen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top w:val="nil"/>
          <w:bottom w:val="nil"/>
          <w:insideH w:val="nil"/>
          <w:insideV w:val="nil"/>
        </w:tcBorders>
        <w:shd w:val="clear" w:color="auto" w:fill="AFDFFF" w:themeFill="accen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144EBC"/>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rPr>
        <w:sz w:val="24"/>
        <w:szCs w:val="24"/>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tblPr/>
      <w:tcPr>
        <w:tcBorders>
          <w:top w:val="single" w:sz="8" w:space="0" w:color="C00000" w:themeColor="accent2"/>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C00000" w:themeColor="accent2"/>
          <w:insideH w:val="nil"/>
          <w:insideV w:val="nil"/>
        </w:tcBorders>
        <w:shd w:val="clear" w:color="auto" w:fill="0072BC" w:themeFill="background1"/>
      </w:tcPr>
    </w:tblStylePr>
    <w:tblStylePr w:type="lastCol">
      <w:tblPr/>
      <w:tcPr>
        <w:tcBorders>
          <w:top w:val="nil"/>
          <w:left w:val="single" w:sz="8" w:space="0" w:color="C00000" w:themeColor="accent2"/>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top w:val="nil"/>
          <w:bottom w:val="nil"/>
          <w:insideH w:val="nil"/>
          <w:insideV w:val="nil"/>
        </w:tcBorders>
        <w:shd w:val="clear" w:color="auto" w:fill="FFB0B0" w:themeFill="accent2"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144EBC"/>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rPr>
        <w:sz w:val="24"/>
        <w:szCs w:val="24"/>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tblPr/>
      <w:tcPr>
        <w:tcBorders>
          <w:top w:val="single" w:sz="8" w:space="0" w:color="5F5F5F" w:themeColor="accent3"/>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3"/>
          <w:insideH w:val="nil"/>
          <w:insideV w:val="nil"/>
        </w:tcBorders>
        <w:shd w:val="clear" w:color="auto" w:fill="0072BC" w:themeFill="background1"/>
      </w:tcPr>
    </w:tblStylePr>
    <w:tblStylePr w:type="lastCol">
      <w:tblPr/>
      <w:tcPr>
        <w:tcBorders>
          <w:top w:val="nil"/>
          <w:left w:val="single" w:sz="8" w:space="0" w:color="5F5F5F" w:themeColor="accent3"/>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top w:val="nil"/>
          <w:bottom w:val="nil"/>
          <w:insideH w:val="nil"/>
          <w:insideV w:val="nil"/>
        </w:tcBorders>
        <w:shd w:val="clear" w:color="auto" w:fill="D7D7D7" w:themeFill="accent3"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144EBC"/>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rPr>
        <w:sz w:val="24"/>
        <w:szCs w:val="24"/>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tblPr/>
      <w:tcPr>
        <w:tcBorders>
          <w:top w:val="single" w:sz="8" w:space="0" w:color="969696" w:themeColor="accent4"/>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969696" w:themeColor="accent4"/>
          <w:insideH w:val="nil"/>
          <w:insideV w:val="nil"/>
        </w:tcBorders>
        <w:shd w:val="clear" w:color="auto" w:fill="0072BC" w:themeFill="background1"/>
      </w:tcPr>
    </w:tblStylePr>
    <w:tblStylePr w:type="lastCol">
      <w:tblPr/>
      <w:tcPr>
        <w:tcBorders>
          <w:top w:val="nil"/>
          <w:left w:val="single" w:sz="8" w:space="0" w:color="969696" w:themeColor="accent4"/>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top w:val="nil"/>
          <w:bottom w:val="nil"/>
          <w:insideH w:val="nil"/>
          <w:insideV w:val="nil"/>
        </w:tcBorders>
        <w:shd w:val="clear" w:color="auto" w:fill="E5E5E5" w:themeFill="accent4"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144EBC"/>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rPr>
        <w:sz w:val="24"/>
        <w:szCs w:val="24"/>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tblPr/>
      <w:tcPr>
        <w:tcBorders>
          <w:top w:val="single" w:sz="8" w:space="0" w:color="5F5F5F" w:themeColor="accent5"/>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5"/>
          <w:insideH w:val="nil"/>
          <w:insideV w:val="nil"/>
        </w:tcBorders>
        <w:shd w:val="clear" w:color="auto" w:fill="0072BC" w:themeFill="background1"/>
      </w:tcPr>
    </w:tblStylePr>
    <w:tblStylePr w:type="lastCol">
      <w:tblPr/>
      <w:tcPr>
        <w:tcBorders>
          <w:top w:val="nil"/>
          <w:left w:val="single" w:sz="8" w:space="0" w:color="5F5F5F" w:themeColor="accent5"/>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144EBC"/>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rPr>
        <w:sz w:val="24"/>
        <w:szCs w:val="24"/>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tblPr/>
      <w:tcPr>
        <w:tcBorders>
          <w:top w:val="single" w:sz="8" w:space="0" w:color="4D4D4D" w:themeColor="accent6"/>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4D4D4D" w:themeColor="accent6"/>
          <w:insideH w:val="nil"/>
          <w:insideV w:val="nil"/>
        </w:tcBorders>
        <w:shd w:val="clear" w:color="auto" w:fill="0072BC" w:themeFill="background1"/>
      </w:tcPr>
    </w:tblStylePr>
    <w:tblStylePr w:type="lastCol">
      <w:tblPr/>
      <w:tcPr>
        <w:tcBorders>
          <w:top w:val="nil"/>
          <w:left w:val="single" w:sz="8" w:space="0" w:color="4D4D4D" w:themeColor="accent6"/>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Shading1">
    <w:name w:val="Medium Shading 1"/>
    <w:basedOn w:val="TableNormal"/>
    <w:uiPriority w:val="63"/>
    <w:semiHidden/>
    <w:rsid w:val="00144EBC"/>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0072BC"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144EBC"/>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tblBorders>
    </w:tblPr>
    <w:tblStylePr w:type="firstRow">
      <w:pPr>
        <w:spacing w:before="0" w:after="0" w:line="240" w:lineRule="auto"/>
      </w:pPr>
      <w:rPr>
        <w:b/>
        <w:bCs/>
        <w:color w:val="0072BC" w:themeColor="background1"/>
      </w:rPr>
      <w:tblPr/>
      <w:tcPr>
        <w:tc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shd w:val="clear" w:color="auto" w:fill="0072BC" w:themeFill="accent1"/>
      </w:tcPr>
    </w:tblStylePr>
    <w:tblStylePr w:type="lastRow">
      <w:pPr>
        <w:spacing w:before="0" w:after="0" w:line="240" w:lineRule="auto"/>
      </w:pPr>
      <w:rPr>
        <w:b/>
        <w:bCs/>
      </w:rPr>
      <w:tblPr/>
      <w:tcPr>
        <w:tcBorders>
          <w:top w:val="double" w:sz="6"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FDFFF" w:themeFill="accent1" w:themeFillTint="3F"/>
      </w:tcPr>
    </w:tblStylePr>
    <w:tblStylePr w:type="band1Horz">
      <w:tblPr/>
      <w:tcPr>
        <w:tcBorders>
          <w:insideH w:val="nil"/>
          <w:insideV w:val="nil"/>
        </w:tcBorders>
        <w:shd w:val="clear" w:color="auto" w:fill="AFDF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144EBC"/>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tblBorders>
    </w:tblPr>
    <w:tblStylePr w:type="firstRow">
      <w:pPr>
        <w:spacing w:before="0" w:after="0" w:line="240" w:lineRule="auto"/>
      </w:pPr>
      <w:rPr>
        <w:b/>
        <w:bCs/>
        <w:color w:val="0072BC" w:themeColor="background1"/>
      </w:rPr>
      <w:tblPr/>
      <w:tcPr>
        <w:tc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shd w:val="clear" w:color="auto" w:fill="C00000" w:themeFill="accent2"/>
      </w:tcPr>
    </w:tblStylePr>
    <w:tblStylePr w:type="lastRow">
      <w:pPr>
        <w:spacing w:before="0" w:after="0" w:line="240" w:lineRule="auto"/>
      </w:pPr>
      <w:rPr>
        <w:b/>
        <w:bCs/>
      </w:rPr>
      <w:tblPr/>
      <w:tcPr>
        <w:tcBorders>
          <w:top w:val="double" w:sz="6"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B0B0" w:themeFill="accent2" w:themeFillTint="3F"/>
      </w:tcPr>
    </w:tblStylePr>
    <w:tblStylePr w:type="band1Horz">
      <w:tblPr/>
      <w:tcPr>
        <w:tcBorders>
          <w:insideH w:val="nil"/>
          <w:insideV w:val="nil"/>
        </w:tcBorders>
        <w:shd w:val="clear" w:color="auto" w:fill="FFB0B0"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144EBC"/>
    <w:rPr>
      <w:sz w:val="24"/>
      <w:szCs w:val="24"/>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tblBorders>
    </w:tblPr>
    <w:tblStylePr w:type="firstRow">
      <w:pPr>
        <w:spacing w:before="0" w:after="0" w:line="240" w:lineRule="auto"/>
      </w:pPr>
      <w:rPr>
        <w:b/>
        <w:bCs/>
        <w:color w:val="0072BC" w:themeColor="background1"/>
      </w:rPr>
      <w:tblPr/>
      <w:tcPr>
        <w:tc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shd w:val="clear" w:color="auto" w:fill="5F5F5F" w:themeFill="accent3"/>
      </w:tcPr>
    </w:tblStylePr>
    <w:tblStylePr w:type="lastRow">
      <w:pPr>
        <w:spacing w:before="0" w:after="0" w:line="240" w:lineRule="auto"/>
      </w:pPr>
      <w:rPr>
        <w:b/>
        <w:bCs/>
      </w:rPr>
      <w:tblPr/>
      <w:tcPr>
        <w:tcBorders>
          <w:top w:val="double" w:sz="6"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3" w:themeFillTint="3F"/>
      </w:tcPr>
    </w:tblStylePr>
    <w:tblStylePr w:type="band1Horz">
      <w:tblPr/>
      <w:tcPr>
        <w:tcBorders>
          <w:insideH w:val="nil"/>
          <w:insideV w:val="nil"/>
        </w:tcBorders>
        <w:shd w:val="clear" w:color="auto" w:fill="D7D7D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144EBC"/>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tblBorders>
    </w:tblPr>
    <w:tblStylePr w:type="firstRow">
      <w:pPr>
        <w:spacing w:before="0" w:after="0" w:line="240" w:lineRule="auto"/>
      </w:pPr>
      <w:rPr>
        <w:b/>
        <w:bCs/>
        <w:color w:val="0072BC" w:themeColor="background1"/>
      </w:rPr>
      <w:tblPr/>
      <w:tcPr>
        <w:tc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shd w:val="clear" w:color="auto" w:fill="969696" w:themeFill="accent4"/>
      </w:tcPr>
    </w:tblStylePr>
    <w:tblStylePr w:type="lastRow">
      <w:pPr>
        <w:spacing w:before="0" w:after="0" w:line="240" w:lineRule="auto"/>
      </w:pPr>
      <w:rPr>
        <w:b/>
        <w:bCs/>
      </w:rPr>
      <w:tblPr/>
      <w:tcPr>
        <w:tcBorders>
          <w:top w:val="double" w:sz="6"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4" w:themeFillTint="3F"/>
      </w:tcPr>
    </w:tblStylePr>
    <w:tblStylePr w:type="band1Horz">
      <w:tblPr/>
      <w:tcPr>
        <w:tcBorders>
          <w:insideH w:val="nil"/>
          <w:insideV w:val="nil"/>
        </w:tcBorders>
        <w:shd w:val="clear" w:color="auto" w:fill="E5E5E5"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144EBC"/>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Pr>
    <w:tblStylePr w:type="firstRow">
      <w:pPr>
        <w:spacing w:before="0" w:after="0" w:line="240" w:lineRule="auto"/>
      </w:pPr>
      <w:rPr>
        <w:b/>
        <w:bCs/>
        <w:color w:val="0072BC" w:themeColor="background1"/>
      </w:rPr>
      <w:tblPr/>
      <w:tcPr>
        <w:tc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144EBC"/>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Pr>
    <w:tblStylePr w:type="firstRow">
      <w:pPr>
        <w:spacing w:before="0" w:after="0" w:line="240" w:lineRule="auto"/>
      </w:pPr>
      <w:rPr>
        <w:b/>
        <w:bCs/>
        <w:color w:val="0072BC" w:themeColor="background1"/>
      </w:rPr>
      <w:tblPr/>
      <w:tcPr>
        <w:tc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144EBC"/>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0072BC"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144EBC"/>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72B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72BC" w:themeFill="accent1"/>
      </w:tcPr>
    </w:tblStylePr>
    <w:tblStylePr w:type="lastCol">
      <w:rPr>
        <w:b/>
        <w:bCs/>
        <w:color w:val="0072BC" w:themeColor="background1"/>
      </w:rPr>
      <w:tblPr/>
      <w:tcPr>
        <w:tcBorders>
          <w:left w:val="nil"/>
          <w:right w:val="nil"/>
          <w:insideH w:val="nil"/>
          <w:insideV w:val="nil"/>
        </w:tcBorders>
        <w:shd w:val="clear" w:color="auto" w:fill="0072BC" w:themeFill="accen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144EBC"/>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C0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C00000" w:themeFill="accent2"/>
      </w:tcPr>
    </w:tblStylePr>
    <w:tblStylePr w:type="lastCol">
      <w:rPr>
        <w:b/>
        <w:bCs/>
        <w:color w:val="0072BC" w:themeColor="background1"/>
      </w:rPr>
      <w:tblPr/>
      <w:tcPr>
        <w:tcBorders>
          <w:left w:val="nil"/>
          <w:right w:val="nil"/>
          <w:insideH w:val="nil"/>
          <w:insideV w:val="nil"/>
        </w:tcBorders>
        <w:shd w:val="clear" w:color="auto" w:fill="C00000" w:themeFill="accent2"/>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144EBC"/>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3"/>
      </w:tcPr>
    </w:tblStylePr>
    <w:tblStylePr w:type="lastCol">
      <w:rPr>
        <w:b/>
        <w:bCs/>
        <w:color w:val="0072BC" w:themeColor="background1"/>
      </w:rPr>
      <w:tblPr/>
      <w:tcPr>
        <w:tcBorders>
          <w:left w:val="nil"/>
          <w:right w:val="nil"/>
          <w:insideH w:val="nil"/>
          <w:insideV w:val="nil"/>
        </w:tcBorders>
        <w:shd w:val="clear" w:color="auto" w:fill="5F5F5F" w:themeFill="accent3"/>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144EBC"/>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96969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969696" w:themeFill="accent4"/>
      </w:tcPr>
    </w:tblStylePr>
    <w:tblStylePr w:type="lastCol">
      <w:rPr>
        <w:b/>
        <w:bCs/>
        <w:color w:val="0072BC" w:themeColor="background1"/>
      </w:rPr>
      <w:tblPr/>
      <w:tcPr>
        <w:tcBorders>
          <w:left w:val="nil"/>
          <w:right w:val="nil"/>
          <w:insideH w:val="nil"/>
          <w:insideV w:val="nil"/>
        </w:tcBorders>
        <w:shd w:val="clear" w:color="auto" w:fill="969696" w:themeFill="accent4"/>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144EBC"/>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5"/>
      </w:tcPr>
    </w:tblStylePr>
    <w:tblStylePr w:type="lastCol">
      <w:rPr>
        <w:b/>
        <w:bCs/>
        <w:color w:val="0072BC"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144EBC"/>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4D4D4D" w:themeFill="accent6"/>
      </w:tcPr>
    </w:tblStylePr>
    <w:tblStylePr w:type="lastCol">
      <w:rPr>
        <w:b/>
        <w:bCs/>
        <w:color w:val="0072BC"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8"/>
    <w:semiHidden/>
    <w:rsid w:val="00144EBC"/>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8"/>
    <w:semiHidden/>
    <w:rsid w:val="00144EBC"/>
    <w:rPr>
      <w:rFonts w:asciiTheme="majorHAnsi" w:eastAsiaTheme="majorEastAsia" w:hAnsiTheme="majorHAnsi" w:cstheme="majorBidi"/>
      <w:sz w:val="24"/>
      <w:szCs w:val="24"/>
      <w:shd w:val="pct20" w:color="auto" w:fill="auto"/>
      <w:lang w:val="ro-RO"/>
    </w:rPr>
  </w:style>
  <w:style w:type="paragraph" w:styleId="NormalWeb">
    <w:name w:val="Normal (Web)"/>
    <w:basedOn w:val="Normal"/>
    <w:uiPriority w:val="99"/>
    <w:semiHidden/>
    <w:rsid w:val="00144EBC"/>
    <w:rPr>
      <w:rFonts w:ascii="Times New Roman" w:hAnsi="Times New Roman" w:cs="Times New Roman"/>
    </w:rPr>
  </w:style>
  <w:style w:type="paragraph" w:styleId="NormalIndent">
    <w:name w:val="Normal Indent"/>
    <w:basedOn w:val="Normal"/>
    <w:uiPriority w:val="98"/>
    <w:semiHidden/>
    <w:rsid w:val="00144EBC"/>
    <w:pPr>
      <w:ind w:left="720"/>
    </w:pPr>
  </w:style>
  <w:style w:type="table" w:customStyle="1" w:styleId="ECHRTableNoLines">
    <w:name w:val="ECHR_Table_No_Lines"/>
    <w:basedOn w:val="TableNormal"/>
    <w:uiPriority w:val="99"/>
    <w:rsid w:val="00144EBC"/>
    <w:rPr>
      <w:sz w:val="24"/>
      <w:szCs w:val="24"/>
    </w:rPr>
    <w:tblPr>
      <w:tblCellMar>
        <w:top w:w="85" w:type="dxa"/>
        <w:left w:w="142" w:type="dxa"/>
        <w:bottom w:w="28" w:type="dxa"/>
        <w:right w:w="142" w:type="dxa"/>
      </w:tblCellMar>
    </w:tblPr>
    <w:tblStylePr w:type="firstRow">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nil"/>
          <w:tl2br w:val="nil"/>
          <w:tr2bl w:val="nil"/>
        </w:tcBorders>
        <w:shd w:val="clear" w:color="auto" w:fill="DFDFDF" w:themeFill="background2" w:themeFillShade="E6"/>
      </w:tcPr>
    </w:tblStylePr>
    <w:tblStylePr w:type="firstCol">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tcPr>
    </w:tblStylePr>
  </w:style>
  <w:style w:type="table" w:customStyle="1" w:styleId="ECHRTableSimpleBox">
    <w:name w:val="ECHR_Table_Simple_Box"/>
    <w:basedOn w:val="TableNormal"/>
    <w:uiPriority w:val="99"/>
    <w:rsid w:val="00144EBC"/>
    <w:rPr>
      <w:sz w:val="24"/>
      <w:szCs w:val="24"/>
    </w:rPr>
    <w:tblPr>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tblBorders>
      <w:tblCellMar>
        <w:top w:w="113" w:type="dxa"/>
        <w:bottom w:w="113" w:type="dxa"/>
      </w:tblCellMar>
    </w:tblPr>
  </w:style>
  <w:style w:type="character" w:styleId="PlaceholderText">
    <w:name w:val="Placeholder Text"/>
    <w:basedOn w:val="DefaultParagraphFont"/>
    <w:uiPriority w:val="98"/>
    <w:semiHidden/>
    <w:rsid w:val="00144EBC"/>
    <w:rPr>
      <w:color w:val="auto"/>
      <w:bdr w:val="none" w:sz="0" w:space="0" w:color="auto"/>
      <w:shd w:val="clear" w:color="auto" w:fill="DFDFDF" w:themeFill="background2" w:themeFillShade="E6"/>
    </w:rPr>
  </w:style>
  <w:style w:type="paragraph" w:styleId="PlainText">
    <w:name w:val="Plain Text"/>
    <w:basedOn w:val="Normal"/>
    <w:link w:val="PlainTextChar"/>
    <w:uiPriority w:val="98"/>
    <w:semiHidden/>
    <w:rsid w:val="00144EBC"/>
    <w:rPr>
      <w:rFonts w:ascii="Consolas" w:hAnsi="Consolas" w:cs="Consolas"/>
      <w:sz w:val="21"/>
      <w:szCs w:val="21"/>
    </w:rPr>
  </w:style>
  <w:style w:type="character" w:customStyle="1" w:styleId="PlainTextChar">
    <w:name w:val="Plain Text Char"/>
    <w:basedOn w:val="DefaultParagraphFont"/>
    <w:link w:val="PlainText"/>
    <w:uiPriority w:val="98"/>
    <w:semiHidden/>
    <w:rsid w:val="00144EBC"/>
    <w:rPr>
      <w:rFonts w:ascii="Consolas" w:hAnsi="Consolas" w:cs="Consolas"/>
      <w:sz w:val="21"/>
      <w:szCs w:val="21"/>
      <w:lang w:val="ro-RO"/>
    </w:rPr>
  </w:style>
  <w:style w:type="paragraph" w:styleId="Salutation">
    <w:name w:val="Salutation"/>
    <w:basedOn w:val="Normal"/>
    <w:next w:val="Normal"/>
    <w:link w:val="SalutationChar"/>
    <w:uiPriority w:val="98"/>
    <w:semiHidden/>
    <w:rsid w:val="00144EBC"/>
  </w:style>
  <w:style w:type="character" w:customStyle="1" w:styleId="SalutationChar">
    <w:name w:val="Salutation Char"/>
    <w:basedOn w:val="DefaultParagraphFont"/>
    <w:link w:val="Salutation"/>
    <w:uiPriority w:val="98"/>
    <w:semiHidden/>
    <w:rsid w:val="00144EBC"/>
    <w:rPr>
      <w:sz w:val="24"/>
      <w:szCs w:val="24"/>
      <w:lang w:val="ro-RO"/>
    </w:rPr>
  </w:style>
  <w:style w:type="paragraph" w:styleId="Signature">
    <w:name w:val="Signature"/>
    <w:basedOn w:val="Normal"/>
    <w:link w:val="SignatureChar"/>
    <w:uiPriority w:val="98"/>
    <w:semiHidden/>
    <w:rsid w:val="00144EBC"/>
    <w:pPr>
      <w:ind w:left="4252"/>
    </w:pPr>
  </w:style>
  <w:style w:type="character" w:customStyle="1" w:styleId="SignatureChar">
    <w:name w:val="Signature Char"/>
    <w:basedOn w:val="DefaultParagraphFont"/>
    <w:link w:val="Signature"/>
    <w:uiPriority w:val="98"/>
    <w:semiHidden/>
    <w:rsid w:val="00144EBC"/>
    <w:rPr>
      <w:sz w:val="24"/>
      <w:szCs w:val="24"/>
      <w:lang w:val="ro-RO"/>
    </w:rPr>
  </w:style>
  <w:style w:type="table" w:styleId="Table3Deffects1">
    <w:name w:val="Table 3D effects 1"/>
    <w:basedOn w:val="TableNormal"/>
    <w:uiPriority w:val="99"/>
    <w:semiHidden/>
    <w:unhideWhenUsed/>
    <w:rsid w:val="00144EBC"/>
    <w:pPr>
      <w:jc w:val="both"/>
    </w:pPr>
    <w:rPr>
      <w:sz w:val="24"/>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144EBC"/>
    <w:pPr>
      <w:jc w:val="both"/>
    </w:pPr>
    <w:rPr>
      <w:sz w:val="24"/>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144EBC"/>
    <w:pPr>
      <w:jc w:val="both"/>
    </w:pPr>
    <w:rPr>
      <w:sz w:val="24"/>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144EBC"/>
    <w:pPr>
      <w:jc w:val="both"/>
    </w:pPr>
    <w:rPr>
      <w:sz w:val="24"/>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144EBC"/>
    <w:pPr>
      <w:jc w:val="both"/>
    </w:pPr>
    <w:rPr>
      <w:sz w:val="24"/>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144EBC"/>
    <w:pPr>
      <w:jc w:val="both"/>
    </w:pPr>
    <w:rPr>
      <w:color w:val="000080"/>
      <w:sz w:val="24"/>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144EBC"/>
    <w:pPr>
      <w:jc w:val="both"/>
    </w:pPr>
    <w:rPr>
      <w:sz w:val="24"/>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144EBC"/>
    <w:pPr>
      <w:jc w:val="both"/>
    </w:pPr>
    <w:rPr>
      <w:color w:val="FFFFFF"/>
      <w:sz w:val="24"/>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144EBC"/>
    <w:pPr>
      <w:jc w:val="both"/>
    </w:pPr>
    <w:rPr>
      <w:sz w:val="24"/>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144EBC"/>
    <w:pPr>
      <w:jc w:val="both"/>
    </w:pPr>
    <w:rPr>
      <w:sz w:val="24"/>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144EBC"/>
    <w:pPr>
      <w:jc w:val="both"/>
    </w:pPr>
    <w:rPr>
      <w:b/>
      <w:bCs/>
      <w:sz w:val="24"/>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144EBC"/>
    <w:pPr>
      <w:jc w:val="both"/>
    </w:pPr>
    <w:rPr>
      <w:b/>
      <w:bCs/>
      <w:sz w:val="24"/>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144EBC"/>
    <w:pPr>
      <w:jc w:val="both"/>
    </w:pPr>
    <w:rPr>
      <w:b/>
      <w:bCs/>
      <w:sz w:val="24"/>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144EBC"/>
    <w:pPr>
      <w:jc w:val="both"/>
    </w:pPr>
    <w:rPr>
      <w:sz w:val="24"/>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144EBC"/>
    <w:pPr>
      <w:jc w:val="both"/>
    </w:pPr>
    <w:rPr>
      <w:sz w:val="24"/>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144EBC"/>
    <w:pPr>
      <w:jc w:val="both"/>
    </w:pPr>
    <w:rPr>
      <w:sz w:val="24"/>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144EBC"/>
    <w:pPr>
      <w:jc w:val="both"/>
    </w:pPr>
    <w:rPr>
      <w:sz w:val="24"/>
      <w:szCs w:val="24"/>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59"/>
    <w:rsid w:val="00144EBC"/>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uiPriority w:val="99"/>
    <w:semiHidden/>
    <w:unhideWhenUsed/>
    <w:rsid w:val="00144EBC"/>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144EBC"/>
    <w:pPr>
      <w:jc w:val="both"/>
    </w:pPr>
    <w:rPr>
      <w:sz w:val="24"/>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144EBC"/>
    <w:pPr>
      <w:jc w:val="both"/>
    </w:pPr>
    <w:rPr>
      <w:sz w:val="24"/>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144EBC"/>
    <w:pPr>
      <w:jc w:val="both"/>
    </w:pPr>
    <w:rPr>
      <w:sz w:val="24"/>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144EBC"/>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144EBC"/>
    <w:pPr>
      <w:jc w:val="both"/>
    </w:pPr>
    <w:rPr>
      <w:sz w:val="24"/>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144EBC"/>
    <w:pPr>
      <w:jc w:val="both"/>
    </w:pPr>
    <w:rPr>
      <w:b/>
      <w:bCs/>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144EBC"/>
    <w:pPr>
      <w:jc w:val="both"/>
    </w:pPr>
    <w:rPr>
      <w:sz w:val="24"/>
      <w:szCs w:val="24"/>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144EBC"/>
    <w:pPr>
      <w:jc w:val="both"/>
    </w:pPr>
    <w:rPr>
      <w:sz w:val="24"/>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144EBC"/>
    <w:pPr>
      <w:jc w:val="both"/>
    </w:pPr>
    <w:rPr>
      <w:sz w:val="24"/>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144EBC"/>
    <w:pPr>
      <w:jc w:val="both"/>
    </w:pPr>
    <w:rPr>
      <w:sz w:val="24"/>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144EBC"/>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144EBC"/>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144EBC"/>
    <w:pPr>
      <w:jc w:val="both"/>
    </w:pPr>
    <w:rPr>
      <w:sz w:val="24"/>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144EBC"/>
    <w:pPr>
      <w:jc w:val="both"/>
    </w:pPr>
    <w:rPr>
      <w:sz w:val="24"/>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144EBC"/>
    <w:pPr>
      <w:jc w:val="both"/>
    </w:pPr>
    <w:rPr>
      <w:sz w:val="24"/>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8"/>
    <w:semiHidden/>
    <w:rsid w:val="00144EBC"/>
    <w:pPr>
      <w:ind w:left="240" w:hanging="240"/>
    </w:pPr>
  </w:style>
  <w:style w:type="paragraph" w:styleId="TableofFigures">
    <w:name w:val="table of figures"/>
    <w:basedOn w:val="Normal"/>
    <w:next w:val="Normal"/>
    <w:uiPriority w:val="98"/>
    <w:semiHidden/>
    <w:rsid w:val="00144EBC"/>
  </w:style>
  <w:style w:type="table" w:styleId="TableProfessional">
    <w:name w:val="Table Professional"/>
    <w:basedOn w:val="TableNormal"/>
    <w:uiPriority w:val="99"/>
    <w:semiHidden/>
    <w:unhideWhenUsed/>
    <w:rsid w:val="00144EBC"/>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144EBC"/>
    <w:pPr>
      <w:jc w:val="both"/>
    </w:pPr>
    <w:rPr>
      <w:sz w:val="24"/>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144EBC"/>
    <w:pPr>
      <w:jc w:val="both"/>
    </w:pPr>
    <w:rPr>
      <w:sz w:val="24"/>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144EBC"/>
    <w:pPr>
      <w:jc w:val="both"/>
    </w:pPr>
    <w:rPr>
      <w:sz w:val="24"/>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144EBC"/>
    <w:pPr>
      <w:jc w:val="both"/>
    </w:pPr>
    <w:rPr>
      <w:sz w:val="24"/>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144EBC"/>
    <w:pPr>
      <w:jc w:val="both"/>
    </w:pPr>
    <w:rPr>
      <w:sz w:val="24"/>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144EBC"/>
    <w:pPr>
      <w:jc w:val="both"/>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144EBC"/>
    <w:pPr>
      <w:jc w:val="both"/>
    </w:pPr>
    <w:rPr>
      <w:sz w:val="24"/>
      <w:szCs w:val="24"/>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144EBC"/>
    <w:pPr>
      <w:jc w:val="both"/>
    </w:pPr>
    <w:rPr>
      <w:sz w:val="24"/>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144EBC"/>
    <w:pPr>
      <w:jc w:val="both"/>
    </w:pPr>
    <w:rPr>
      <w:sz w:val="24"/>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8"/>
    <w:semiHidden/>
    <w:rsid w:val="00144EBC"/>
    <w:pPr>
      <w:keepNext/>
      <w:keepLines/>
      <w:spacing w:before="240"/>
      <w:contextualSpacing/>
      <w:jc w:val="center"/>
    </w:pPr>
    <w:rPr>
      <w:rFonts w:asciiTheme="majorHAnsi" w:eastAsiaTheme="majorEastAsia" w:hAnsiTheme="majorHAnsi" w:cstheme="majorBidi"/>
      <w:b/>
      <w:bCs/>
      <w:color w:val="474747" w:themeColor="accent3" w:themeShade="BF"/>
      <w:sz w:val="28"/>
    </w:rPr>
  </w:style>
  <w:style w:type="paragraph" w:styleId="TOC1">
    <w:name w:val="toc 1"/>
    <w:basedOn w:val="Normal"/>
    <w:next w:val="Normal"/>
    <w:autoRedefine/>
    <w:uiPriority w:val="98"/>
    <w:semiHidden/>
    <w:rsid w:val="00144EBC"/>
    <w:pPr>
      <w:keepNext/>
      <w:tabs>
        <w:tab w:val="right" w:leader="dot" w:pos="7371"/>
      </w:tabs>
      <w:spacing w:before="160" w:after="60" w:line="240" w:lineRule="exact"/>
      <w:ind w:left="340" w:right="567" w:hanging="340"/>
    </w:pPr>
    <w:rPr>
      <w:b/>
      <w:sz w:val="22"/>
    </w:rPr>
  </w:style>
  <w:style w:type="paragraph" w:styleId="TOC2">
    <w:name w:val="toc 2"/>
    <w:basedOn w:val="Normal"/>
    <w:next w:val="Normal"/>
    <w:autoRedefine/>
    <w:uiPriority w:val="98"/>
    <w:semiHidden/>
    <w:rsid w:val="00144EBC"/>
    <w:pPr>
      <w:keepNext/>
      <w:tabs>
        <w:tab w:val="right" w:leader="dot" w:pos="7371"/>
      </w:tabs>
      <w:spacing w:after="60" w:line="240" w:lineRule="exact"/>
      <w:ind w:left="680" w:right="567" w:hanging="340"/>
    </w:pPr>
    <w:rPr>
      <w:sz w:val="22"/>
    </w:rPr>
  </w:style>
  <w:style w:type="paragraph" w:styleId="TOC3">
    <w:name w:val="toc 3"/>
    <w:basedOn w:val="Normal"/>
    <w:next w:val="Normal"/>
    <w:autoRedefine/>
    <w:uiPriority w:val="98"/>
    <w:semiHidden/>
    <w:rsid w:val="00144EBC"/>
    <w:pPr>
      <w:keepNext/>
      <w:tabs>
        <w:tab w:val="right" w:leader="dot" w:pos="7371"/>
      </w:tabs>
      <w:spacing w:after="60" w:line="240" w:lineRule="exact"/>
      <w:ind w:left="1020" w:right="567" w:hanging="340"/>
    </w:pPr>
    <w:rPr>
      <w:sz w:val="20"/>
    </w:rPr>
  </w:style>
  <w:style w:type="paragraph" w:styleId="TOC4">
    <w:name w:val="toc 4"/>
    <w:basedOn w:val="Normal"/>
    <w:next w:val="Normal"/>
    <w:autoRedefine/>
    <w:uiPriority w:val="98"/>
    <w:semiHidden/>
    <w:rsid w:val="00144EBC"/>
    <w:pPr>
      <w:keepNext/>
      <w:tabs>
        <w:tab w:val="right" w:leader="dot" w:pos="7371"/>
      </w:tabs>
      <w:spacing w:after="60" w:line="240" w:lineRule="exact"/>
      <w:ind w:left="1361" w:right="567" w:hanging="340"/>
    </w:pPr>
    <w:rPr>
      <w:sz w:val="20"/>
    </w:rPr>
  </w:style>
  <w:style w:type="paragraph" w:styleId="TOC5">
    <w:name w:val="toc 5"/>
    <w:basedOn w:val="Normal"/>
    <w:next w:val="Normal"/>
    <w:autoRedefine/>
    <w:uiPriority w:val="98"/>
    <w:semiHidden/>
    <w:rsid w:val="00144EBC"/>
    <w:pPr>
      <w:tabs>
        <w:tab w:val="right" w:leader="dot" w:pos="7371"/>
      </w:tabs>
      <w:spacing w:after="60" w:line="240" w:lineRule="exact"/>
      <w:ind w:left="1701" w:right="567" w:hanging="340"/>
    </w:pPr>
    <w:rPr>
      <w:sz w:val="20"/>
    </w:rPr>
  </w:style>
  <w:style w:type="paragraph" w:styleId="TOC6">
    <w:name w:val="toc 6"/>
    <w:basedOn w:val="Normal"/>
    <w:next w:val="Normal"/>
    <w:autoRedefine/>
    <w:uiPriority w:val="98"/>
    <w:semiHidden/>
    <w:rsid w:val="00144EBC"/>
    <w:pPr>
      <w:tabs>
        <w:tab w:val="right" w:leader="dot" w:pos="7371"/>
      </w:tabs>
      <w:spacing w:after="60" w:line="240" w:lineRule="exact"/>
      <w:ind w:left="2041" w:right="567" w:hanging="340"/>
    </w:pPr>
    <w:rPr>
      <w:sz w:val="20"/>
    </w:rPr>
  </w:style>
  <w:style w:type="paragraph" w:styleId="TOC7">
    <w:name w:val="toc 7"/>
    <w:basedOn w:val="Normal"/>
    <w:next w:val="Normal"/>
    <w:autoRedefine/>
    <w:uiPriority w:val="98"/>
    <w:semiHidden/>
    <w:rsid w:val="00144EBC"/>
    <w:pPr>
      <w:tabs>
        <w:tab w:val="right" w:leader="dot" w:pos="7371"/>
      </w:tabs>
      <w:spacing w:after="60" w:line="240" w:lineRule="exact"/>
      <w:ind w:left="2381" w:right="567" w:hanging="340"/>
    </w:pPr>
    <w:rPr>
      <w:sz w:val="20"/>
    </w:rPr>
  </w:style>
  <w:style w:type="paragraph" w:styleId="TOC8">
    <w:name w:val="toc 8"/>
    <w:basedOn w:val="Normal"/>
    <w:next w:val="Normal"/>
    <w:autoRedefine/>
    <w:uiPriority w:val="98"/>
    <w:semiHidden/>
    <w:rsid w:val="00144EBC"/>
    <w:pPr>
      <w:spacing w:after="100"/>
      <w:ind w:left="1680"/>
    </w:pPr>
  </w:style>
  <w:style w:type="paragraph" w:styleId="TOC9">
    <w:name w:val="toc 9"/>
    <w:basedOn w:val="Normal"/>
    <w:next w:val="Normal"/>
    <w:autoRedefine/>
    <w:uiPriority w:val="98"/>
    <w:semiHidden/>
    <w:rsid w:val="00144EBC"/>
    <w:pPr>
      <w:spacing w:after="100"/>
      <w:ind w:left="1920"/>
    </w:pPr>
  </w:style>
  <w:style w:type="paragraph" w:customStyle="1" w:styleId="ECHRFooter">
    <w:name w:val="ECHR_Footer"/>
    <w:aliases w:val="Footer_ECHR"/>
    <w:basedOn w:val="Footer"/>
    <w:uiPriority w:val="57"/>
    <w:semiHidden/>
    <w:rsid w:val="00987A64"/>
    <w:rPr>
      <w:sz w:val="8"/>
    </w:rPr>
  </w:style>
  <w:style w:type="paragraph" w:customStyle="1" w:styleId="Footer0">
    <w:name w:val="_Footer"/>
    <w:aliases w:val="Footer_"/>
    <w:basedOn w:val="Footer"/>
    <w:uiPriority w:val="57"/>
    <w:semiHidden/>
    <w:rsid w:val="000D61E7"/>
    <w:rPr>
      <w:sz w:val="8"/>
    </w:rPr>
  </w:style>
  <w:style w:type="paragraph" w:styleId="Footer">
    <w:name w:val="footer"/>
    <w:basedOn w:val="Normal"/>
    <w:link w:val="FooterChar"/>
    <w:uiPriority w:val="98"/>
    <w:semiHidden/>
    <w:rsid w:val="00144EBC"/>
    <w:pPr>
      <w:tabs>
        <w:tab w:val="center" w:pos="3686"/>
        <w:tab w:val="right" w:pos="7371"/>
      </w:tabs>
    </w:pPr>
  </w:style>
  <w:style w:type="character" w:customStyle="1" w:styleId="FooterChar">
    <w:name w:val="Footer Char"/>
    <w:basedOn w:val="DefaultParagraphFont"/>
    <w:link w:val="Footer"/>
    <w:uiPriority w:val="98"/>
    <w:semiHidden/>
    <w:rsid w:val="00144EBC"/>
    <w:rPr>
      <w:sz w:val="24"/>
      <w:szCs w:val="24"/>
      <w:lang w:val="ro-RO"/>
    </w:rPr>
  </w:style>
  <w:style w:type="paragraph" w:customStyle="1" w:styleId="ECHRFooterLine">
    <w:name w:val="ECHR_Footer_Line"/>
    <w:aliases w:val="_Footer_Line"/>
    <w:basedOn w:val="Normal"/>
    <w:next w:val="Normal"/>
    <w:uiPriority w:val="30"/>
    <w:semiHidden/>
    <w:rsid w:val="00144EBC"/>
    <w:pPr>
      <w:pBdr>
        <w:top w:val="single" w:sz="6" w:space="1" w:color="5F5F5F"/>
      </w:pBdr>
      <w:tabs>
        <w:tab w:val="center" w:pos="3686"/>
        <w:tab w:val="right" w:pos="7371"/>
      </w:tabs>
      <w:ind w:left="-1474" w:right="-1474"/>
    </w:pPr>
    <w:rPr>
      <w:color w:val="5F5F5F"/>
    </w:rPr>
  </w:style>
  <w:style w:type="table" w:customStyle="1" w:styleId="ECHRListTable">
    <w:name w:val="ECHR_List_Table"/>
    <w:basedOn w:val="TableNormal"/>
    <w:uiPriority w:val="99"/>
    <w:rsid w:val="00144EBC"/>
    <w:rPr>
      <w:sz w:val="24"/>
      <w:szCs w:val="24"/>
    </w:rPr>
    <w:tblPr>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b/>
        <w:color w:val="474747" w:themeColor="accent3" w:themeShade="BF"/>
      </w:rPr>
      <w:tblPr/>
      <w:trPr>
        <w:tblHeader/>
      </w:tr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shd w:val="clear" w:color="auto" w:fill="DFDFDF" w:themeFill="background2" w:themeFillShade="E6"/>
      </w:tcPr>
    </w:tblStylePr>
  </w:style>
  <w:style w:type="paragraph" w:customStyle="1" w:styleId="JuCase">
    <w:name w:val="Ju_Case"/>
    <w:aliases w:val="_Case_Name"/>
    <w:basedOn w:val="Normal"/>
    <w:next w:val="JuPara"/>
    <w:uiPriority w:val="32"/>
    <w:rsid w:val="00144EBC"/>
    <w:pPr>
      <w:ind w:firstLine="284"/>
      <w:jc w:val="both"/>
    </w:pPr>
    <w:rPr>
      <w:b/>
    </w:rPr>
  </w:style>
  <w:style w:type="paragraph" w:styleId="NoteHeading">
    <w:name w:val="Note Heading"/>
    <w:basedOn w:val="Normal"/>
    <w:next w:val="Normal"/>
    <w:link w:val="NoteHeadingChar"/>
    <w:uiPriority w:val="98"/>
    <w:semiHidden/>
    <w:rsid w:val="00144EBC"/>
  </w:style>
  <w:style w:type="character" w:customStyle="1" w:styleId="NoteHeadingChar">
    <w:name w:val="Note Heading Char"/>
    <w:basedOn w:val="DefaultParagraphFont"/>
    <w:link w:val="NoteHeading"/>
    <w:uiPriority w:val="98"/>
    <w:semiHidden/>
    <w:rsid w:val="00144EBC"/>
    <w:rPr>
      <w:sz w:val="24"/>
      <w:szCs w:val="24"/>
      <w:lang w:val="ro-RO"/>
    </w:rPr>
  </w:style>
  <w:style w:type="paragraph" w:customStyle="1" w:styleId="ECHRHeaderLandscape">
    <w:name w:val="ECHR_Header_Landscape"/>
    <w:aliases w:val="_Header_Landscape"/>
    <w:basedOn w:val="JuHeader"/>
    <w:uiPriority w:val="29"/>
    <w:rsid w:val="00144EBC"/>
    <w:pPr>
      <w:tabs>
        <w:tab w:val="center" w:pos="6146"/>
        <w:tab w:val="right" w:pos="13778"/>
      </w:tabs>
      <w:ind w:left="-1474" w:right="-1474"/>
    </w:pPr>
  </w:style>
  <w:style w:type="paragraph" w:customStyle="1" w:styleId="ECHRBullet1">
    <w:name w:val="ECHR_Bullet_1"/>
    <w:aliases w:val="_Bul_1"/>
    <w:basedOn w:val="NormalJustified"/>
    <w:uiPriority w:val="23"/>
    <w:semiHidden/>
    <w:qFormat/>
    <w:rsid w:val="00144EBC"/>
    <w:pPr>
      <w:numPr>
        <w:numId w:val="7"/>
      </w:numPr>
      <w:spacing w:before="60" w:after="60"/>
    </w:pPr>
  </w:style>
  <w:style w:type="paragraph" w:customStyle="1" w:styleId="ECHRBullet2">
    <w:name w:val="ECHR_Bullet_2"/>
    <w:aliases w:val="_Bul_2"/>
    <w:basedOn w:val="ECHRBullet1"/>
    <w:uiPriority w:val="23"/>
    <w:semiHidden/>
    <w:rsid w:val="00144EBC"/>
    <w:pPr>
      <w:numPr>
        <w:ilvl w:val="1"/>
      </w:numPr>
    </w:pPr>
  </w:style>
  <w:style w:type="paragraph" w:customStyle="1" w:styleId="ECHRBullet3">
    <w:name w:val="ECHR_Bullet_3"/>
    <w:aliases w:val="_Bul_3"/>
    <w:basedOn w:val="ECHRBullet2"/>
    <w:uiPriority w:val="23"/>
    <w:semiHidden/>
    <w:rsid w:val="00144EBC"/>
    <w:pPr>
      <w:numPr>
        <w:ilvl w:val="2"/>
      </w:numPr>
    </w:pPr>
  </w:style>
  <w:style w:type="paragraph" w:customStyle="1" w:styleId="ECHRBullet4">
    <w:name w:val="ECHR_Bullet_4"/>
    <w:aliases w:val="_Bul_4"/>
    <w:basedOn w:val="ECHRBullet3"/>
    <w:uiPriority w:val="23"/>
    <w:semiHidden/>
    <w:rsid w:val="00144EBC"/>
    <w:pPr>
      <w:numPr>
        <w:ilvl w:val="3"/>
      </w:numPr>
    </w:pPr>
  </w:style>
  <w:style w:type="paragraph" w:customStyle="1" w:styleId="ECHRConfidential">
    <w:name w:val="ECHR_Confidential"/>
    <w:aliases w:val="_Confidential"/>
    <w:basedOn w:val="Normal"/>
    <w:next w:val="Normal"/>
    <w:uiPriority w:val="42"/>
    <w:semiHidden/>
    <w:qFormat/>
    <w:rsid w:val="00144EBC"/>
    <w:pPr>
      <w:jc w:val="right"/>
    </w:pPr>
    <w:rPr>
      <w:color w:val="C00000"/>
      <w:sz w:val="20"/>
    </w:rPr>
  </w:style>
  <w:style w:type="paragraph" w:customStyle="1" w:styleId="ECHRDecisionBody">
    <w:name w:val="ECHR_Decision_Body"/>
    <w:aliases w:val="_Decision_Body"/>
    <w:basedOn w:val="NormalJustified"/>
    <w:uiPriority w:val="54"/>
    <w:semiHidden/>
    <w:rsid w:val="00144EBC"/>
    <w:pPr>
      <w:tabs>
        <w:tab w:val="left" w:pos="567"/>
        <w:tab w:val="left" w:pos="1134"/>
      </w:tabs>
      <w:spacing w:line="240" w:lineRule="exact"/>
      <w:jc w:val="left"/>
    </w:pPr>
  </w:style>
  <w:style w:type="paragraph" w:customStyle="1" w:styleId="ECHRDivisionName">
    <w:name w:val="ECHR_DivisionName"/>
    <w:aliases w:val="_Div_Name"/>
    <w:basedOn w:val="Normal"/>
    <w:link w:val="ECHRDivisionNameChar"/>
    <w:uiPriority w:val="41"/>
    <w:semiHidden/>
    <w:qFormat/>
    <w:rsid w:val="00144EBC"/>
    <w:pPr>
      <w:contextualSpacing/>
      <w:jc w:val="center"/>
    </w:pPr>
    <w:rPr>
      <w:rFonts w:ascii="Arial" w:hAnsi="Arial"/>
      <w:i/>
      <w:color w:val="002856"/>
      <w:sz w:val="32"/>
    </w:rPr>
  </w:style>
  <w:style w:type="character" w:customStyle="1" w:styleId="ECHRDivisionNameChar">
    <w:name w:val="ECHR_DivisionName Char"/>
    <w:aliases w:val="_Div_Name Char"/>
    <w:basedOn w:val="DefaultParagraphFont"/>
    <w:link w:val="ECHRDivisionName"/>
    <w:uiPriority w:val="41"/>
    <w:semiHidden/>
    <w:rsid w:val="00144EBC"/>
    <w:rPr>
      <w:rFonts w:ascii="Arial" w:hAnsi="Arial"/>
      <w:i/>
      <w:color w:val="002856"/>
      <w:sz w:val="32"/>
      <w:szCs w:val="24"/>
      <w:lang w:val="ro-RO"/>
    </w:rPr>
  </w:style>
  <w:style w:type="paragraph" w:customStyle="1" w:styleId="ECHRFooterLineLandscape">
    <w:name w:val="ECHR_Footer_Line_Landscape"/>
    <w:aliases w:val="_Footer_Line_Landscape"/>
    <w:basedOn w:val="Normal"/>
    <w:uiPriority w:val="30"/>
    <w:semiHidden/>
    <w:rsid w:val="00144EBC"/>
    <w:pPr>
      <w:pBdr>
        <w:top w:val="single" w:sz="8" w:space="1" w:color="7F7F7F" w:themeColor="text1" w:themeTint="80"/>
      </w:pBdr>
      <w:tabs>
        <w:tab w:val="center" w:pos="6146"/>
        <w:tab w:val="right" w:pos="12293"/>
      </w:tabs>
      <w:ind w:left="-1474" w:right="-1474"/>
    </w:pPr>
    <w:rPr>
      <w:color w:val="474747" w:themeColor="accent3" w:themeShade="BF"/>
      <w:sz w:val="22"/>
    </w:rPr>
  </w:style>
  <w:style w:type="paragraph" w:customStyle="1" w:styleId="ECHRHeaderDate">
    <w:name w:val="ECHR_Header_Date"/>
    <w:aliases w:val="_Ref_Date"/>
    <w:basedOn w:val="Normal"/>
    <w:uiPriority w:val="44"/>
    <w:semiHidden/>
    <w:qFormat/>
    <w:rsid w:val="00144EBC"/>
    <w:pPr>
      <w:jc w:val="right"/>
    </w:pPr>
    <w:rPr>
      <w:sz w:val="20"/>
    </w:rPr>
  </w:style>
  <w:style w:type="paragraph" w:customStyle="1" w:styleId="ECHRHeaderRefIt">
    <w:name w:val="ECHR_Header_Ref_It"/>
    <w:aliases w:val="_Ref_Ital"/>
    <w:basedOn w:val="Normal"/>
    <w:next w:val="ECHRHeaderDate"/>
    <w:uiPriority w:val="43"/>
    <w:semiHidden/>
    <w:qFormat/>
    <w:rsid w:val="00144EBC"/>
    <w:pPr>
      <w:jc w:val="right"/>
    </w:pPr>
    <w:rPr>
      <w:i/>
      <w:sz w:val="20"/>
    </w:rPr>
  </w:style>
  <w:style w:type="paragraph" w:customStyle="1" w:styleId="ECHRHeading9">
    <w:name w:val="ECHR_Heading_9"/>
    <w:aliases w:val="_Head_9"/>
    <w:basedOn w:val="Heading9"/>
    <w:uiPriority w:val="17"/>
    <w:semiHidden/>
    <w:rsid w:val="00144EBC"/>
    <w:pPr>
      <w:keepNext/>
      <w:keepLines/>
      <w:numPr>
        <w:ilvl w:val="8"/>
        <w:numId w:val="9"/>
      </w:numPr>
      <w:spacing w:before="100" w:beforeAutospacing="1"/>
      <w:contextualSpacing/>
      <w:jc w:val="both"/>
    </w:pPr>
    <w:rPr>
      <w:i w:val="0"/>
      <w:sz w:val="18"/>
    </w:rPr>
  </w:style>
  <w:style w:type="paragraph" w:customStyle="1" w:styleId="ECHRLine">
    <w:name w:val="ECHR_Line"/>
    <w:aliases w:val="_Line"/>
    <w:basedOn w:val="NormalJustified"/>
    <w:next w:val="Normal"/>
    <w:uiPriority w:val="46"/>
    <w:semiHidden/>
    <w:rsid w:val="00144EBC"/>
    <w:pPr>
      <w:pBdr>
        <w:bottom w:val="single" w:sz="12" w:space="1" w:color="949494" w:themeColor="text2" w:themeShade="BF"/>
      </w:pBdr>
      <w:spacing w:after="120"/>
    </w:pPr>
    <w:rPr>
      <w:sz w:val="12"/>
    </w:rPr>
  </w:style>
  <w:style w:type="paragraph" w:customStyle="1" w:styleId="ECHRNumberedList1">
    <w:name w:val="ECHR_Numbered_List_1"/>
    <w:aliases w:val="_Num_1"/>
    <w:basedOn w:val="Normal"/>
    <w:uiPriority w:val="23"/>
    <w:qFormat/>
    <w:rsid w:val="00144EBC"/>
    <w:pPr>
      <w:numPr>
        <w:numId w:val="8"/>
      </w:numPr>
      <w:spacing w:before="60" w:after="60"/>
    </w:pPr>
  </w:style>
  <w:style w:type="paragraph" w:customStyle="1" w:styleId="ECHRNumberedList2">
    <w:name w:val="ECHR_Numbered_List_2"/>
    <w:aliases w:val="_Num_2"/>
    <w:basedOn w:val="ECHRNumberedList1"/>
    <w:uiPriority w:val="23"/>
    <w:rsid w:val="00144EBC"/>
    <w:pPr>
      <w:numPr>
        <w:ilvl w:val="1"/>
      </w:numPr>
    </w:pPr>
  </w:style>
  <w:style w:type="paragraph" w:customStyle="1" w:styleId="ECHRNumberedList3">
    <w:name w:val="ECHR_Numbered_List_3"/>
    <w:aliases w:val="_Num_3"/>
    <w:basedOn w:val="ECHRNumberedList2"/>
    <w:uiPriority w:val="23"/>
    <w:rsid w:val="00144EBC"/>
    <w:pPr>
      <w:numPr>
        <w:ilvl w:val="2"/>
      </w:numPr>
    </w:pPr>
  </w:style>
  <w:style w:type="paragraph" w:customStyle="1" w:styleId="ECHRParaHanging">
    <w:name w:val="ECHR_Para_Hanging"/>
    <w:aliases w:val="_Hanging"/>
    <w:basedOn w:val="Normal"/>
    <w:uiPriority w:val="8"/>
    <w:semiHidden/>
    <w:qFormat/>
    <w:rsid w:val="00144EBC"/>
    <w:pPr>
      <w:ind w:left="567" w:hanging="567"/>
      <w:jc w:val="both"/>
    </w:pPr>
  </w:style>
  <w:style w:type="paragraph" w:customStyle="1" w:styleId="ECHRParaIndent">
    <w:name w:val="ECHR_Para_Indent"/>
    <w:aliases w:val="_Indent"/>
    <w:basedOn w:val="Normal"/>
    <w:uiPriority w:val="7"/>
    <w:semiHidden/>
    <w:qFormat/>
    <w:rsid w:val="00144EBC"/>
    <w:pPr>
      <w:spacing w:before="120" w:after="120"/>
      <w:ind w:left="284"/>
      <w:jc w:val="both"/>
    </w:pPr>
  </w:style>
  <w:style w:type="character" w:customStyle="1" w:styleId="ECHRRed">
    <w:name w:val="ECHR_Red"/>
    <w:aliases w:val="_Red"/>
    <w:basedOn w:val="DefaultParagraphFont"/>
    <w:uiPriority w:val="15"/>
    <w:semiHidden/>
    <w:qFormat/>
    <w:rsid w:val="00144EBC"/>
    <w:rPr>
      <w:color w:val="C00000" w:themeColor="accent2"/>
    </w:rPr>
  </w:style>
  <w:style w:type="paragraph" w:customStyle="1" w:styleId="DecList">
    <w:name w:val="Dec_List"/>
    <w:aliases w:val="_List"/>
    <w:basedOn w:val="JuList"/>
    <w:uiPriority w:val="22"/>
    <w:rsid w:val="00144EBC"/>
    <w:pPr>
      <w:numPr>
        <w:numId w:val="0"/>
      </w:numPr>
      <w:ind w:left="284"/>
    </w:pPr>
  </w:style>
  <w:style w:type="table" w:customStyle="1" w:styleId="ECHRTable">
    <w:name w:val="ECHR_Table"/>
    <w:basedOn w:val="TableNormal"/>
    <w:rsid w:val="00144EBC"/>
    <w:rPr>
      <w:rFonts w:eastAsia="Times New Roman" w:cs="Times New Roman"/>
      <w:sz w:val="20"/>
      <w:szCs w:val="20"/>
    </w:rPr>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tblStylePr w:type="firstCol">
      <w:rPr>
        <w:b/>
      </w:rPr>
    </w:tblStylePr>
    <w:tblStylePr w:type="band2Vert">
      <w:tblPr/>
      <w:tcPr>
        <w:tcBorders>
          <w:top w:val="nil"/>
          <w:left w:val="nil"/>
          <w:bottom w:val="nil"/>
          <w:right w:val="nil"/>
          <w:insideH w:val="nil"/>
          <w:insideV w:val="nil"/>
          <w:tl2br w:val="nil"/>
          <w:tr2bl w:val="nil"/>
        </w:tcBorders>
        <w:shd w:val="clear" w:color="auto" w:fill="DFDFDF" w:themeFill="background2" w:themeFillShade="E6"/>
      </w:tcPr>
    </w:tblStylePr>
    <w:tblStylePr w:type="band2Horz">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style>
  <w:style w:type="table" w:customStyle="1" w:styleId="ECHRTable2">
    <w:name w:val="ECHR_Table_2"/>
    <w:basedOn w:val="TableNormal"/>
    <w:uiPriority w:val="99"/>
    <w:rsid w:val="00144EBC"/>
    <w:pPr>
      <w:tabs>
        <w:tab w:val="left" w:pos="567"/>
        <w:tab w:val="left" w:pos="851"/>
        <w:tab w:val="right" w:pos="5273"/>
      </w:tabs>
    </w:pPr>
    <w:rPr>
      <w:color w:val="262626" w:themeColor="text1" w:themeTint="D9"/>
      <w:sz w:val="24"/>
      <w:szCs w:val="24"/>
    </w:rPr>
    <w:tblPr>
      <w:tblStyleRowBandSize w:val="1"/>
      <w:tblStyleColBandSize w:val="1"/>
      <w:tblCellSpacing w:w="28" w:type="dxa"/>
      <w:tblInd w:w="-964" w:type="dxa"/>
      <w:tblCellMar>
        <w:top w:w="85" w:type="dxa"/>
        <w:left w:w="113" w:type="dxa"/>
        <w:bottom w:w="85" w:type="dxa"/>
        <w:right w:w="113" w:type="dxa"/>
      </w:tblCellMar>
    </w:tblPr>
    <w:trPr>
      <w:tblCellSpacing w:w="28" w:type="dxa"/>
    </w:trPr>
    <w:tblStylePr w:type="firstRow">
      <w:pPr>
        <w:jc w:val="center"/>
      </w:pPr>
      <w:rPr>
        <w:b/>
        <w:sz w:val="24"/>
      </w:rPr>
      <w:tblPr/>
      <w:tcPr>
        <w:tcBorders>
          <w:top w:val="nil"/>
          <w:left w:val="nil"/>
          <w:bottom w:val="nil"/>
          <w:right w:val="nil"/>
          <w:insideH w:val="nil"/>
          <w:insideV w:val="nil"/>
          <w:tl2br w:val="nil"/>
          <w:tr2bl w:val="nil"/>
        </w:tcBorders>
        <w:shd w:val="clear" w:color="auto" w:fill="DFDFDF" w:themeFill="background2" w:themeFillShade="E6"/>
      </w:tcPr>
    </w:tblStylePr>
    <w:tblStylePr w:type="lastRow">
      <w:rPr>
        <w:b/>
      </w:rPr>
      <w:tblPr/>
      <w:tcPr>
        <w:tcBorders>
          <w:top w:val="nil"/>
          <w:left w:val="nil"/>
          <w:bottom w:val="nil"/>
          <w:right w:val="nil"/>
          <w:insideH w:val="nil"/>
          <w:insideV w:val="nil"/>
          <w:tl2br w:val="nil"/>
          <w:tr2bl w:val="nil"/>
        </w:tcBorders>
        <w:shd w:val="clear" w:color="auto" w:fill="ECECEC"/>
      </w:tcPr>
    </w:tblStylePr>
    <w:tblStylePr w:type="firstCol">
      <w:tblPr/>
      <w:tcPr>
        <w:tcBorders>
          <w:top w:val="nil"/>
          <w:left w:val="nil"/>
          <w:bottom w:val="nil"/>
          <w:right w:val="nil"/>
          <w:insideH w:val="nil"/>
          <w:insideV w:val="nil"/>
          <w:tl2br w:val="nil"/>
          <w:tr2bl w:val="nil"/>
        </w:tcBorders>
        <w:shd w:val="clear" w:color="auto" w:fill="EFF8FF"/>
      </w:tcPr>
    </w:tblStylePr>
    <w:tblStylePr w:type="lastCol">
      <w:tblPr/>
      <w:tcPr>
        <w:tcBorders>
          <w:top w:val="nil"/>
          <w:left w:val="nil"/>
          <w:bottom w:val="nil"/>
          <w:right w:val="nil"/>
          <w:insideH w:val="nil"/>
          <w:insideV w:val="nil"/>
          <w:tl2br w:val="nil"/>
          <w:tr2bl w:val="nil"/>
        </w:tcBorders>
        <w:shd w:val="clear" w:color="auto" w:fill="F3FCE8"/>
      </w:tcPr>
    </w:tblStylePr>
    <w:tblStylePr w:type="band1Vert">
      <w:pPr>
        <w:jc w:val="center"/>
      </w:pPr>
      <w:rPr>
        <w:b/>
        <w:sz w:val="28"/>
      </w:rPr>
      <w:tblPr/>
      <w:tcPr>
        <w:tcBorders>
          <w:top w:val="nil"/>
          <w:left w:val="nil"/>
          <w:bottom w:val="nil"/>
          <w:right w:val="nil"/>
          <w:insideH w:val="nil"/>
          <w:insideV w:val="nil"/>
          <w:tl2br w:val="nil"/>
          <w:tr2bl w:val="nil"/>
        </w:tcBorders>
        <w:shd w:val="clear" w:color="auto" w:fill="A7DBFF"/>
      </w:tcPr>
    </w:tblStylePr>
    <w:tblStylePr w:type="band2Vert">
      <w:pPr>
        <w:jc w:val="center"/>
      </w:pPr>
      <w:rPr>
        <w:b/>
        <w:sz w:val="28"/>
      </w:rPr>
      <w:tblPr/>
      <w:tcPr>
        <w:tcBorders>
          <w:top w:val="nil"/>
          <w:left w:val="nil"/>
          <w:bottom w:val="nil"/>
          <w:right w:val="nil"/>
          <w:insideH w:val="nil"/>
          <w:insideV w:val="nil"/>
          <w:tl2br w:val="nil"/>
          <w:tr2bl w:val="nil"/>
        </w:tcBorders>
        <w:shd w:val="clear" w:color="auto" w:fill="C6F094"/>
      </w:tcPr>
    </w:tblStylePr>
    <w:tblStylePr w:type="band1Horz">
      <w:tblPr/>
      <w:tcPr>
        <w:tcBorders>
          <w:top w:val="nil"/>
          <w:left w:val="nil"/>
          <w:bottom w:val="nil"/>
          <w:right w:val="nil"/>
          <w:insideH w:val="nil"/>
          <w:insideV w:val="nil"/>
          <w:tl2br w:val="nil"/>
          <w:tr2bl w:val="nil"/>
        </w:tcBorders>
      </w:tcPr>
    </w:tblStylePr>
    <w:tblStylePr w:type="band2Horz">
      <w:tblPr/>
      <w:tcPr>
        <w:tcBorders>
          <w:top w:val="nil"/>
          <w:left w:val="nil"/>
          <w:bottom w:val="nil"/>
          <w:right w:val="nil"/>
          <w:insideH w:val="nil"/>
          <w:insideV w:val="nil"/>
          <w:tl2br w:val="nil"/>
          <w:tr2bl w:val="nil"/>
        </w:tcBorders>
        <w:shd w:val="clear" w:color="auto" w:fill="F8F8F8" w:themeFill="background2"/>
      </w:tcPr>
    </w:tblStylePr>
    <w:tblStylePr w:type="neCell">
      <w:pPr>
        <w:jc w:val="center"/>
      </w:pPr>
      <w:rPr>
        <w:b/>
      </w:rPr>
      <w:tblPr/>
      <w:tcPr>
        <w:tcBorders>
          <w:top w:val="nil"/>
          <w:left w:val="nil"/>
          <w:bottom w:val="nil"/>
          <w:right w:val="nil"/>
          <w:insideH w:val="nil"/>
          <w:insideV w:val="nil"/>
          <w:tl2br w:val="nil"/>
          <w:tr2bl w:val="nil"/>
        </w:tcBorders>
        <w:shd w:val="clear" w:color="auto" w:fill="DCF6BC"/>
      </w:tcPr>
    </w:tblStylePr>
    <w:tblStylePr w:type="nwCell">
      <w:pPr>
        <w:jc w:val="center"/>
      </w:pPr>
      <w:rPr>
        <w:b/>
      </w:rPr>
      <w:tblPr/>
      <w:tcPr>
        <w:tcBorders>
          <w:top w:val="nil"/>
          <w:left w:val="nil"/>
          <w:bottom w:val="nil"/>
          <w:right w:val="nil"/>
          <w:insideH w:val="nil"/>
          <w:insideV w:val="nil"/>
          <w:tl2br w:val="nil"/>
          <w:tr2bl w:val="nil"/>
        </w:tcBorders>
        <w:shd w:val="clear" w:color="auto" w:fill="CDEBFF"/>
      </w:tcPr>
    </w:tblStylePr>
    <w:tblStylePr w:type="seCell">
      <w:tblPr/>
      <w:tcPr>
        <w:tcBorders>
          <w:top w:val="nil"/>
          <w:left w:val="nil"/>
          <w:bottom w:val="nil"/>
          <w:right w:val="nil"/>
          <w:insideH w:val="nil"/>
          <w:insideV w:val="nil"/>
          <w:tl2br w:val="nil"/>
          <w:tr2bl w:val="nil"/>
        </w:tcBorders>
        <w:shd w:val="clear" w:color="auto" w:fill="C6F094"/>
      </w:tcPr>
    </w:tblStylePr>
    <w:tblStylePr w:type="swCell">
      <w:tblPr/>
      <w:tcPr>
        <w:tcBorders>
          <w:top w:val="nil"/>
          <w:left w:val="nil"/>
          <w:bottom w:val="nil"/>
          <w:right w:val="nil"/>
          <w:insideH w:val="nil"/>
          <w:insideV w:val="nil"/>
          <w:tl2br w:val="nil"/>
          <w:tr2bl w:val="nil"/>
        </w:tcBorders>
        <w:shd w:val="clear" w:color="auto" w:fill="A7DBFF"/>
      </w:tcPr>
    </w:tblStylePr>
  </w:style>
  <w:style w:type="table" w:customStyle="1" w:styleId="ECHRTable2016">
    <w:name w:val="ECHR_Table_2016"/>
    <w:basedOn w:val="TableNormal"/>
    <w:uiPriority w:val="99"/>
    <w:rsid w:val="00144EBC"/>
    <w:rPr>
      <w:sz w:val="24"/>
      <w:szCs w:val="24"/>
    </w:rPr>
    <w:tblPr>
      <w:tblStyleRowBandSize w:val="1"/>
      <w:tblStyleColBandSize w:val="1"/>
      <w:jc w:val="center"/>
      <w:tbl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blBorders>
    </w:tblPr>
    <w:trPr>
      <w:jc w:val="center"/>
    </w:trPr>
    <w:tblStylePr w:type="firstRow">
      <w:rPr>
        <w:rFonts w:asciiTheme="majorHAnsi" w:hAnsiTheme="majorHAnsi"/>
        <w:b/>
        <w:i w:val="0"/>
        <w:color w:val="F8F8F8" w:themeColor="background2"/>
        <w:sz w:val="22"/>
      </w:rPr>
      <w:tblPr/>
      <w:trPr>
        <w:tblHeader/>
      </w:tr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F8F8F8" w:themeColor="background2"/>
          <w:tl2br w:val="nil"/>
          <w:tr2bl w:val="nil"/>
        </w:tcBorders>
        <w:shd w:val="clear" w:color="auto" w:fill="5F5F5F" w:themeFill="accent3"/>
      </w:tcPr>
    </w:tblStylePr>
    <w:tblStylePr w:type="lastRow">
      <w:rPr>
        <w:b/>
        <w:i w:val="0"/>
      </w:rPr>
      <w:tblPr/>
      <w:tcPr>
        <w:tcBorders>
          <w:top w:val="single" w:sz="8" w:space="0" w:color="5F5F5F" w:themeColor="accent3"/>
          <w:left w:val="single" w:sz="4" w:space="0" w:color="5F5F5F" w:themeColor="accent3"/>
          <w:bottom w:val="single" w:sz="8" w:space="0" w:color="5F5F5F" w:themeColor="accent3"/>
          <w:right w:val="single" w:sz="4" w:space="0" w:color="5F5F5F" w:themeColor="accent3"/>
          <w:insideH w:val="nil"/>
          <w:insideV w:val="single" w:sz="4" w:space="0" w:color="5F5F5F"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E8E8E8" w:themeFill="text2" w:themeFillTint="66"/>
      </w:tcPr>
    </w:tblStylePr>
    <w:tblStylePr w:type="lastCol">
      <w:rPr>
        <w:b/>
        <w:i w:val="0"/>
      </w:rPr>
    </w:tblStylePr>
    <w:tblStylePr w:type="band2Vert">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E8E8E8" w:themeFill="text2" w:themeFillTint="66"/>
      </w:tcPr>
    </w:tblStylePr>
    <w:tblStylePr w:type="band2Horz">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single" w:sz="4" w:space="0" w:color="0072BC" w:themeColor="accent1"/>
          <w:insideV w:val="single" w:sz="4" w:space="0" w:color="0072BC" w:themeColor="accent1"/>
          <w:tl2br w:val="nil"/>
          <w:tr2bl w:val="nil"/>
        </w:tcBorders>
        <w:shd w:val="clear" w:color="auto" w:fill="E8E8E8" w:themeFill="text2" w:themeFillTint="66"/>
      </w:tcPr>
    </w:tblStylePr>
  </w:style>
  <w:style w:type="paragraph" w:customStyle="1" w:styleId="ECHRTitle1">
    <w:name w:val="ECHR_Title_1"/>
    <w:aliases w:val="_Title_L_1"/>
    <w:basedOn w:val="Normal"/>
    <w:next w:val="Normal"/>
    <w:uiPriority w:val="28"/>
    <w:semiHidden/>
    <w:qFormat/>
    <w:rsid w:val="00144EBC"/>
    <w:pPr>
      <w:keepNext/>
      <w:keepLines/>
      <w:spacing w:before="240"/>
      <w:contextualSpacing/>
    </w:pPr>
    <w:rPr>
      <w:rFonts w:asciiTheme="majorHAnsi" w:hAnsiTheme="majorHAnsi"/>
      <w:b/>
      <w:color w:val="2F2F2F" w:themeColor="accent3" w:themeShade="80"/>
      <w:sz w:val="32"/>
    </w:rPr>
  </w:style>
  <w:style w:type="paragraph" w:customStyle="1" w:styleId="ECHRTitle2">
    <w:name w:val="ECHR_Title_2"/>
    <w:aliases w:val="_Title_L_2"/>
    <w:basedOn w:val="Normal"/>
    <w:next w:val="Normal"/>
    <w:uiPriority w:val="28"/>
    <w:semiHidden/>
    <w:qFormat/>
    <w:rsid w:val="00144EBC"/>
    <w:pPr>
      <w:keepNext/>
      <w:keepLines/>
      <w:spacing w:before="240"/>
      <w:contextualSpacing/>
    </w:pPr>
    <w:rPr>
      <w:rFonts w:asciiTheme="majorHAnsi" w:hAnsiTheme="majorHAnsi"/>
      <w:b/>
      <w:color w:val="474747" w:themeColor="accent3" w:themeShade="BF"/>
      <w:sz w:val="28"/>
    </w:rPr>
  </w:style>
  <w:style w:type="paragraph" w:customStyle="1" w:styleId="ECHRTitle3">
    <w:name w:val="ECHR_Title_3"/>
    <w:aliases w:val="_Title_L_3"/>
    <w:basedOn w:val="Normal"/>
    <w:next w:val="Normal"/>
    <w:uiPriority w:val="28"/>
    <w:semiHidden/>
    <w:qFormat/>
    <w:rsid w:val="00144EBC"/>
    <w:pPr>
      <w:keepNext/>
      <w:keepLines/>
      <w:spacing w:before="240"/>
      <w:contextualSpacing/>
    </w:pPr>
    <w:rPr>
      <w:rFonts w:asciiTheme="majorHAnsi" w:hAnsiTheme="majorHAnsi"/>
      <w:b/>
      <w:color w:val="474747" w:themeColor="accent3" w:themeShade="BF"/>
    </w:rPr>
  </w:style>
  <w:style w:type="paragraph" w:customStyle="1" w:styleId="ECHRTitleCentre1">
    <w:name w:val="ECHR_Title_Centre_1"/>
    <w:aliases w:val="_Title_C_1"/>
    <w:basedOn w:val="Normal"/>
    <w:next w:val="Normal"/>
    <w:uiPriority w:val="26"/>
    <w:semiHidden/>
    <w:qFormat/>
    <w:rsid w:val="00144EBC"/>
    <w:pPr>
      <w:keepNext/>
      <w:keepLines/>
      <w:spacing w:before="240"/>
      <w:contextualSpacing/>
      <w:jc w:val="center"/>
    </w:pPr>
    <w:rPr>
      <w:rFonts w:asciiTheme="majorHAnsi" w:hAnsiTheme="majorHAnsi"/>
      <w:b/>
      <w:color w:val="2F2F2F" w:themeColor="accent3" w:themeShade="80"/>
      <w:sz w:val="32"/>
    </w:rPr>
  </w:style>
  <w:style w:type="paragraph" w:customStyle="1" w:styleId="ECHRTitleCentre2">
    <w:name w:val="ECHR_Title_Centre_2"/>
    <w:aliases w:val="_Title_C_2"/>
    <w:basedOn w:val="Normal"/>
    <w:next w:val="Normal"/>
    <w:uiPriority w:val="26"/>
    <w:semiHidden/>
    <w:qFormat/>
    <w:rsid w:val="00144EBC"/>
    <w:pPr>
      <w:keepNext/>
      <w:keepLines/>
      <w:spacing w:before="240"/>
      <w:contextualSpacing/>
      <w:jc w:val="center"/>
    </w:pPr>
    <w:rPr>
      <w:rFonts w:asciiTheme="majorHAnsi" w:hAnsiTheme="majorHAnsi"/>
      <w:b/>
      <w:color w:val="474747" w:themeColor="accent3" w:themeShade="BF"/>
      <w:sz w:val="28"/>
    </w:rPr>
  </w:style>
  <w:style w:type="paragraph" w:customStyle="1" w:styleId="ECHRTitleCentre3">
    <w:name w:val="ECHR_Title_Centre_3"/>
    <w:aliases w:val="_Title_C_3"/>
    <w:basedOn w:val="Normal"/>
    <w:next w:val="Normal"/>
    <w:uiPriority w:val="26"/>
    <w:semiHidden/>
    <w:qFormat/>
    <w:rsid w:val="00144EBC"/>
    <w:pPr>
      <w:keepNext/>
      <w:keepLines/>
      <w:spacing w:before="240"/>
      <w:contextualSpacing/>
      <w:jc w:val="center"/>
    </w:pPr>
    <w:rPr>
      <w:rFonts w:asciiTheme="majorHAnsi" w:hAnsiTheme="majorHAnsi"/>
      <w:b/>
      <w:color w:val="474747" w:themeColor="accent3" w:themeShade="BF"/>
    </w:rPr>
  </w:style>
  <w:style w:type="paragraph" w:customStyle="1" w:styleId="ECHRTitleCentreTOC1">
    <w:name w:val="ECHR_Title_Centre_TOC_1"/>
    <w:aliases w:val="_Title_C_TOC"/>
    <w:basedOn w:val="ECHRTitleCentre1"/>
    <w:next w:val="Normal"/>
    <w:uiPriority w:val="25"/>
    <w:semiHidden/>
    <w:qFormat/>
    <w:rsid w:val="00144EBC"/>
    <w:pPr>
      <w:outlineLvl w:val="0"/>
    </w:pPr>
  </w:style>
  <w:style w:type="paragraph" w:customStyle="1" w:styleId="ECHRTitleTOC1">
    <w:name w:val="ECHR_Title_TOC_1"/>
    <w:aliases w:val="_Title_L_TOC"/>
    <w:basedOn w:val="ECHRTitle1"/>
    <w:next w:val="Normal"/>
    <w:uiPriority w:val="27"/>
    <w:semiHidden/>
    <w:qFormat/>
    <w:rsid w:val="00144EBC"/>
    <w:pPr>
      <w:outlineLvl w:val="0"/>
    </w:pPr>
  </w:style>
  <w:style w:type="table" w:customStyle="1" w:styleId="LtrTableAddress">
    <w:name w:val="Ltr_Table_Address"/>
    <w:aliases w:val="ECHR_Ltr_Table_Address"/>
    <w:basedOn w:val="TableNormal"/>
    <w:uiPriority w:val="99"/>
    <w:rsid w:val="00144EBC"/>
    <w:rPr>
      <w:sz w:val="24"/>
      <w:szCs w:val="24"/>
    </w:rPr>
    <w:tblPr>
      <w:tblInd w:w="5103" w:type="dxa"/>
    </w:tblPr>
  </w:style>
  <w:style w:type="table" w:customStyle="1" w:styleId="PCFTableStyle">
    <w:name w:val="PCF_Table_Style"/>
    <w:aliases w:val="ECHR_PCF_Table_Style"/>
    <w:basedOn w:val="TableNormal"/>
    <w:uiPriority w:val="99"/>
    <w:rsid w:val="00144EBC"/>
    <w:rPr>
      <w:color w:val="000000" w:themeColor="text1"/>
      <w:sz w:val="18"/>
      <w:szCs w:val="24"/>
    </w:rPr>
    <w:tblPr>
      <w:tblBorders>
        <w:top w:val="single" w:sz="8" w:space="0" w:color="9F9F9F" w:themeColor="accent3" w:themeTint="99"/>
        <w:left w:val="single" w:sz="8" w:space="0" w:color="9F9F9F" w:themeColor="accent3" w:themeTint="99"/>
        <w:bottom w:val="single" w:sz="8" w:space="0" w:color="9F9F9F" w:themeColor="accent3" w:themeTint="99"/>
        <w:right w:val="single" w:sz="8" w:space="0" w:color="9F9F9F" w:themeColor="accent3" w:themeTint="99"/>
        <w:insideH w:val="single" w:sz="8" w:space="0" w:color="9F9F9F" w:themeColor="accent3" w:themeTint="99"/>
        <w:insideV w:val="single" w:sz="8" w:space="0" w:color="9F9F9F" w:themeColor="accent3" w:themeTint="99"/>
      </w:tblBorders>
    </w:tblPr>
    <w:tblStylePr w:type="firstRow">
      <w:pPr>
        <w:wordWrap/>
        <w:spacing w:beforeLines="0" w:before="120" w:beforeAutospacing="0" w:afterLines="0" w:after="12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0072BC" w:themeFill="accent1"/>
        <w:vAlign w:val="center"/>
      </w:tcPr>
    </w:tblStylePr>
    <w:tblStylePr w:type="firstCol">
      <w:pPr>
        <w:jc w:val="left"/>
      </w:pPr>
      <w:tblPr/>
      <w:tcPr>
        <w:vAlign w:val="center"/>
      </w:tcPr>
    </w:tblStylePr>
  </w:style>
  <w:style w:type="table" w:customStyle="1" w:styleId="UGTable">
    <w:name w:val="UG_Table"/>
    <w:aliases w:val="ECHR_UG_Table"/>
    <w:basedOn w:val="TableNormal"/>
    <w:uiPriority w:val="99"/>
    <w:rsid w:val="00144EBC"/>
    <w:rPr>
      <w:rFonts w:eastAsiaTheme="minorEastAsia"/>
      <w:sz w:val="20"/>
      <w:szCs w:val="24"/>
      <w:lang w:eastAsia="en-GB"/>
    </w:rPr>
    <w:tblPr>
      <w:tblInd w:w="-1191" w:type="dxa"/>
      <w:tblCellMar>
        <w:top w:w="57" w:type="dxa"/>
        <w:left w:w="0" w:type="dxa"/>
        <w:right w:w="0"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aliases w:val="ECHR_UG_Table_White_Box"/>
    <w:basedOn w:val="TableNormal"/>
    <w:uiPriority w:val="99"/>
    <w:rsid w:val="00144EBC"/>
    <w:rPr>
      <w:rFonts w:eastAsiaTheme="minorEastAsia"/>
      <w:sz w:val="24"/>
      <w:szCs w:val="24"/>
      <w:lang w:eastAsia="en-GB"/>
    </w:rPr>
    <w:tblPr>
      <w:tbl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blBorders>
      <w:tblCellMar>
        <w:top w:w="113" w:type="dxa"/>
        <w:left w:w="113" w:type="dxa"/>
        <w:bottom w:w="113" w:type="dxa"/>
        <w:right w:w="113" w:type="dxa"/>
      </w:tblCellMar>
    </w:tblPr>
    <w:tcPr>
      <w:shd w:val="clear" w:color="auto" w:fill="FFFFFF"/>
    </w:tcPr>
  </w:style>
  <w:style w:type="paragraph" w:customStyle="1" w:styleId="ECHRPlaceholder">
    <w:name w:val="ECHR_Placeholder"/>
    <w:aliases w:val="_Placeholder"/>
    <w:basedOn w:val="JuSigned"/>
    <w:uiPriority w:val="31"/>
    <w:rsid w:val="00144EBC"/>
    <w:rPr>
      <w:color w:val="FFFFFF"/>
    </w:rPr>
  </w:style>
  <w:style w:type="paragraph" w:customStyle="1" w:styleId="ECHRSpacer">
    <w:name w:val="ECHR_Spacer"/>
    <w:aliases w:val="_Spacer"/>
    <w:basedOn w:val="Normal"/>
    <w:uiPriority w:val="45"/>
    <w:semiHidden/>
    <w:rsid w:val="00144EBC"/>
    <w:rPr>
      <w:sz w:val="4"/>
    </w:rPr>
  </w:style>
  <w:style w:type="table" w:customStyle="1" w:styleId="ECHRTableGrey">
    <w:name w:val="ECHR_Table_Grey"/>
    <w:basedOn w:val="TableNormal"/>
    <w:uiPriority w:val="99"/>
    <w:rsid w:val="00144EBC"/>
    <w:pPr>
      <w:tabs>
        <w:tab w:val="left" w:pos="397"/>
      </w:tabs>
    </w:pPr>
    <w:tblPr>
      <w:jc w:val="center"/>
      <w:tblBorders>
        <w:top w:val="single" w:sz="4" w:space="0" w:color="636363" w:themeColor="text2" w:themeShade="80"/>
        <w:left w:val="single" w:sz="4" w:space="0" w:color="636363" w:themeColor="text2" w:themeShade="80"/>
        <w:bottom w:val="single" w:sz="4" w:space="0" w:color="636363" w:themeColor="text2" w:themeShade="80"/>
        <w:right w:val="single" w:sz="4" w:space="0" w:color="636363" w:themeColor="text2" w:themeShade="80"/>
      </w:tblBorders>
      <w:tblCellMar>
        <w:top w:w="142" w:type="dxa"/>
        <w:bottom w:w="85" w:type="dxa"/>
      </w:tblCellMar>
    </w:tblPr>
    <w:trPr>
      <w:jc w:val="center"/>
    </w:trPr>
    <w:tcPr>
      <w:shd w:val="clear" w:color="auto" w:fill="F8F8F8" w:themeFill="background2"/>
    </w:tcPr>
    <w:tblStylePr w:type="firstRow">
      <w:rPr>
        <w:b/>
        <w:color w:val="262626" w:themeColor="text1" w:themeTint="D9"/>
      </w:rPr>
    </w:tblStylePr>
  </w:style>
  <w:style w:type="table" w:customStyle="1" w:styleId="ECHRTableOddBanded">
    <w:name w:val="ECHR_Table_Odd_Banded"/>
    <w:basedOn w:val="TableNormal"/>
    <w:uiPriority w:val="99"/>
    <w:rsid w:val="00144EBC"/>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single" w:sz="4" w:space="0" w:color="949494" w:themeColor="text2" w:themeShade="BF"/>
          <w:tl2br w:val="nil"/>
          <w:tr2bl w:val="nil"/>
        </w:tcBorders>
        <w:shd w:val="clear" w:color="auto" w:fill="DFDFDF" w:themeFill="background2" w:themeFillShade="E6"/>
      </w:tcPr>
    </w:tblStylePr>
    <w:tblStylePr w:type="band1Vert">
      <w:tblPr/>
      <w:tcPr>
        <w:tcBorders>
          <w:top w:val="nil"/>
          <w:left w:val="nil"/>
          <w:bottom w:val="nil"/>
          <w:right w:val="nil"/>
          <w:insideH w:val="nil"/>
          <w:insideV w:val="nil"/>
          <w:tl2br w:val="nil"/>
          <w:tr2bl w:val="nil"/>
        </w:tcBorders>
        <w:shd w:val="clear" w:color="auto" w:fill="DFDFDF" w:themeFill="background2" w:themeFillShade="E6"/>
      </w:tcPr>
    </w:tblStylePr>
    <w:tblStylePr w:type="band1Horz">
      <w:rPr>
        <w:b/>
      </w:rPr>
      <w:tblPr/>
      <w:tcPr>
        <w:shd w:val="clear" w:color="auto" w:fill="DFDFDF" w:themeFill="background2" w:themeFillShade="E6"/>
      </w:tcPr>
    </w:tblStylePr>
  </w:style>
  <w:style w:type="character" w:customStyle="1" w:styleId="UnresolvedMention">
    <w:name w:val="Unresolved Mention"/>
    <w:basedOn w:val="DefaultParagraphFont"/>
    <w:uiPriority w:val="99"/>
    <w:semiHidden/>
    <w:unhideWhenUsed/>
    <w:rsid w:val="00CB3BD9"/>
    <w:rPr>
      <w:color w:val="605E5C"/>
      <w:shd w:val="clear" w:color="auto" w:fill="E1DFDD"/>
    </w:rPr>
  </w:style>
  <w:style w:type="table" w:customStyle="1" w:styleId="GridTable1Light1">
    <w:name w:val="Grid Table 1 Light1"/>
    <w:basedOn w:val="TableNormal"/>
    <w:uiPriority w:val="46"/>
    <w:semiHidden/>
    <w:rsid w:val="007C12B0"/>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1">
    <w:name w:val="Grid Table 1 Light - Accent 11"/>
    <w:basedOn w:val="TableNormal"/>
    <w:uiPriority w:val="46"/>
    <w:semiHidden/>
    <w:rsid w:val="007C12B0"/>
    <w:tblPr>
      <w:tblStyleRowBandSize w:val="1"/>
      <w:tblStyleColBandSize w:val="1"/>
      <w:tblBorders>
        <w:top w:val="single" w:sz="4" w:space="0" w:color="7ECBFF" w:themeColor="accent1" w:themeTint="66"/>
        <w:left w:val="single" w:sz="4" w:space="0" w:color="7ECBFF" w:themeColor="accent1" w:themeTint="66"/>
        <w:bottom w:val="single" w:sz="4" w:space="0" w:color="7ECBFF" w:themeColor="accent1" w:themeTint="66"/>
        <w:right w:val="single" w:sz="4" w:space="0" w:color="7ECBFF" w:themeColor="accent1" w:themeTint="66"/>
        <w:insideH w:val="single" w:sz="4" w:space="0" w:color="7ECBFF" w:themeColor="accent1" w:themeTint="66"/>
        <w:insideV w:val="single" w:sz="4" w:space="0" w:color="7ECBFF" w:themeColor="accent1" w:themeTint="66"/>
      </w:tblBorders>
    </w:tblPr>
    <w:tblStylePr w:type="firstRow">
      <w:rPr>
        <w:b/>
        <w:bCs/>
      </w:rPr>
      <w:tblPr/>
      <w:tcPr>
        <w:tcBorders>
          <w:bottom w:val="single" w:sz="12" w:space="0" w:color="3DB2FF" w:themeColor="accent1" w:themeTint="99"/>
        </w:tcBorders>
      </w:tcPr>
    </w:tblStylePr>
    <w:tblStylePr w:type="lastRow">
      <w:rPr>
        <w:b/>
        <w:bCs/>
      </w:rPr>
      <w:tblPr/>
      <w:tcPr>
        <w:tcBorders>
          <w:top w:val="double" w:sz="2" w:space="0" w:color="3DB2FF" w:themeColor="accent1" w:themeTint="99"/>
        </w:tcBorders>
      </w:tcPr>
    </w:tblStylePr>
    <w:tblStylePr w:type="firstCol">
      <w:rPr>
        <w:b/>
        <w:bCs/>
      </w:rPr>
    </w:tblStylePr>
    <w:tblStylePr w:type="lastCol">
      <w:rPr>
        <w:b/>
        <w:bCs/>
      </w:rPr>
    </w:tblStylePr>
  </w:style>
  <w:style w:type="table" w:customStyle="1" w:styleId="GridTable1Light-Accent21">
    <w:name w:val="Grid Table 1 Light - Accent 21"/>
    <w:basedOn w:val="TableNormal"/>
    <w:uiPriority w:val="46"/>
    <w:semiHidden/>
    <w:rsid w:val="007C12B0"/>
    <w:tblPr>
      <w:tblStyleRowBandSize w:val="1"/>
      <w:tblStyleColBandSize w:val="1"/>
      <w:tblBorders>
        <w:top w:val="single" w:sz="4" w:space="0" w:color="FF7F7F" w:themeColor="accent2" w:themeTint="66"/>
        <w:left w:val="single" w:sz="4" w:space="0" w:color="FF7F7F" w:themeColor="accent2" w:themeTint="66"/>
        <w:bottom w:val="single" w:sz="4" w:space="0" w:color="FF7F7F" w:themeColor="accent2" w:themeTint="66"/>
        <w:right w:val="single" w:sz="4" w:space="0" w:color="FF7F7F" w:themeColor="accent2" w:themeTint="66"/>
        <w:insideH w:val="single" w:sz="4" w:space="0" w:color="FF7F7F" w:themeColor="accent2" w:themeTint="66"/>
        <w:insideV w:val="single" w:sz="4" w:space="0" w:color="FF7F7F" w:themeColor="accent2" w:themeTint="66"/>
      </w:tblBorders>
    </w:tblPr>
    <w:tblStylePr w:type="firstRow">
      <w:rPr>
        <w:b/>
        <w:bCs/>
      </w:rPr>
      <w:tblPr/>
      <w:tcPr>
        <w:tcBorders>
          <w:bottom w:val="single" w:sz="12" w:space="0" w:color="FF4040" w:themeColor="accent2" w:themeTint="99"/>
        </w:tcBorders>
      </w:tcPr>
    </w:tblStylePr>
    <w:tblStylePr w:type="lastRow">
      <w:rPr>
        <w:b/>
        <w:bCs/>
      </w:rPr>
      <w:tblPr/>
      <w:tcPr>
        <w:tcBorders>
          <w:top w:val="double" w:sz="2" w:space="0" w:color="FF4040" w:themeColor="accent2" w:themeTint="99"/>
        </w:tcBorders>
      </w:tcPr>
    </w:tblStylePr>
    <w:tblStylePr w:type="firstCol">
      <w:rPr>
        <w:b/>
        <w:bCs/>
      </w:rPr>
    </w:tblStylePr>
    <w:tblStylePr w:type="lastCol">
      <w:rPr>
        <w:b/>
        <w:bCs/>
      </w:rPr>
    </w:tblStylePr>
  </w:style>
  <w:style w:type="table" w:customStyle="1" w:styleId="GridTable1Light-Accent31">
    <w:name w:val="Grid Table 1 Light - Accent 31"/>
    <w:basedOn w:val="TableNormal"/>
    <w:uiPriority w:val="46"/>
    <w:semiHidden/>
    <w:rsid w:val="007C12B0"/>
    <w:tblPr>
      <w:tblStyleRowBandSize w:val="1"/>
      <w:tblStyleColBandSize w:val="1"/>
      <w:tblBorders>
        <w:top w:val="single" w:sz="4" w:space="0" w:color="BFBFBF" w:themeColor="accent3" w:themeTint="66"/>
        <w:left w:val="single" w:sz="4" w:space="0" w:color="BFBFBF" w:themeColor="accent3" w:themeTint="66"/>
        <w:bottom w:val="single" w:sz="4" w:space="0" w:color="BFBFBF" w:themeColor="accent3" w:themeTint="66"/>
        <w:right w:val="single" w:sz="4" w:space="0" w:color="BFBFBF" w:themeColor="accent3" w:themeTint="66"/>
        <w:insideH w:val="single" w:sz="4" w:space="0" w:color="BFBFBF" w:themeColor="accent3" w:themeTint="66"/>
        <w:insideV w:val="single" w:sz="4" w:space="0" w:color="BFBFBF" w:themeColor="accent3" w:themeTint="66"/>
      </w:tblBorders>
    </w:tblPr>
    <w:tblStylePr w:type="firstRow">
      <w:rPr>
        <w:b/>
        <w:bCs/>
      </w:rPr>
      <w:tblPr/>
      <w:tcPr>
        <w:tcBorders>
          <w:bottom w:val="single" w:sz="12" w:space="0" w:color="9F9F9F" w:themeColor="accent3" w:themeTint="99"/>
        </w:tcBorders>
      </w:tcPr>
    </w:tblStylePr>
    <w:tblStylePr w:type="lastRow">
      <w:rPr>
        <w:b/>
        <w:bCs/>
      </w:rPr>
      <w:tblPr/>
      <w:tcPr>
        <w:tcBorders>
          <w:top w:val="double" w:sz="2" w:space="0" w:color="9F9F9F" w:themeColor="accent3" w:themeTint="99"/>
        </w:tcBorders>
      </w:tcPr>
    </w:tblStylePr>
    <w:tblStylePr w:type="firstCol">
      <w:rPr>
        <w:b/>
        <w:bCs/>
      </w:rPr>
    </w:tblStylePr>
    <w:tblStylePr w:type="lastCol">
      <w:rPr>
        <w:b/>
        <w:bCs/>
      </w:rPr>
    </w:tblStylePr>
  </w:style>
  <w:style w:type="table" w:customStyle="1" w:styleId="GridTable1Light-Accent41">
    <w:name w:val="Grid Table 1 Light - Accent 41"/>
    <w:basedOn w:val="TableNormal"/>
    <w:uiPriority w:val="46"/>
    <w:semiHidden/>
    <w:rsid w:val="007C12B0"/>
    <w:tblPr>
      <w:tblStyleRowBandSize w:val="1"/>
      <w:tblStyleColBandSize w:val="1"/>
      <w:tblBorders>
        <w:top w:val="single" w:sz="4" w:space="0" w:color="D5D5D5" w:themeColor="accent4" w:themeTint="66"/>
        <w:left w:val="single" w:sz="4" w:space="0" w:color="D5D5D5" w:themeColor="accent4" w:themeTint="66"/>
        <w:bottom w:val="single" w:sz="4" w:space="0" w:color="D5D5D5" w:themeColor="accent4" w:themeTint="66"/>
        <w:right w:val="single" w:sz="4" w:space="0" w:color="D5D5D5" w:themeColor="accent4" w:themeTint="66"/>
        <w:insideH w:val="single" w:sz="4" w:space="0" w:color="D5D5D5" w:themeColor="accent4" w:themeTint="66"/>
        <w:insideV w:val="single" w:sz="4" w:space="0" w:color="D5D5D5" w:themeColor="accent4" w:themeTint="66"/>
      </w:tblBorders>
    </w:tblPr>
    <w:tblStylePr w:type="firstRow">
      <w:rPr>
        <w:b/>
        <w:bCs/>
      </w:rPr>
      <w:tblPr/>
      <w:tcPr>
        <w:tcBorders>
          <w:bottom w:val="single" w:sz="12" w:space="0" w:color="C0C0C0" w:themeColor="accent4" w:themeTint="99"/>
        </w:tcBorders>
      </w:tcPr>
    </w:tblStylePr>
    <w:tblStylePr w:type="lastRow">
      <w:rPr>
        <w:b/>
        <w:bCs/>
      </w:rPr>
      <w:tblPr/>
      <w:tcPr>
        <w:tcBorders>
          <w:top w:val="double" w:sz="2" w:space="0" w:color="C0C0C0" w:themeColor="accent4" w:themeTint="99"/>
        </w:tcBorders>
      </w:tcPr>
    </w:tblStylePr>
    <w:tblStylePr w:type="firstCol">
      <w:rPr>
        <w:b/>
        <w:bCs/>
      </w:rPr>
    </w:tblStylePr>
    <w:tblStylePr w:type="lastCol">
      <w:rPr>
        <w:b/>
        <w:bCs/>
      </w:rPr>
    </w:tblStylePr>
  </w:style>
  <w:style w:type="table" w:customStyle="1" w:styleId="GridTable1Light-Accent51">
    <w:name w:val="Grid Table 1 Light - Accent 51"/>
    <w:basedOn w:val="TableNormal"/>
    <w:uiPriority w:val="46"/>
    <w:semiHidden/>
    <w:rsid w:val="007C12B0"/>
    <w:tblPr>
      <w:tblStyleRowBandSize w:val="1"/>
      <w:tblStyleColBandSize w:val="1"/>
      <w:tblBorders>
        <w:top w:val="single" w:sz="4" w:space="0" w:color="BFBFBF" w:themeColor="accent5" w:themeTint="66"/>
        <w:left w:val="single" w:sz="4" w:space="0" w:color="BFBFBF" w:themeColor="accent5" w:themeTint="66"/>
        <w:bottom w:val="single" w:sz="4" w:space="0" w:color="BFBFBF" w:themeColor="accent5" w:themeTint="66"/>
        <w:right w:val="single" w:sz="4" w:space="0" w:color="BFBFBF" w:themeColor="accent5" w:themeTint="66"/>
        <w:insideH w:val="single" w:sz="4" w:space="0" w:color="BFBFBF" w:themeColor="accent5" w:themeTint="66"/>
        <w:insideV w:val="single" w:sz="4" w:space="0" w:color="BFBFBF" w:themeColor="accent5" w:themeTint="66"/>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2" w:space="0" w:color="9F9F9F" w:themeColor="accent5" w:themeTint="99"/>
        </w:tcBorders>
      </w:tcPr>
    </w:tblStylePr>
    <w:tblStylePr w:type="firstCol">
      <w:rPr>
        <w:b/>
        <w:bCs/>
      </w:rPr>
    </w:tblStylePr>
    <w:tblStylePr w:type="lastCol">
      <w:rPr>
        <w:b/>
        <w:bCs/>
      </w:rPr>
    </w:tblStylePr>
  </w:style>
  <w:style w:type="table" w:customStyle="1" w:styleId="GridTable1Light-Accent61">
    <w:name w:val="Grid Table 1 Light - Accent 61"/>
    <w:basedOn w:val="TableNormal"/>
    <w:uiPriority w:val="46"/>
    <w:semiHidden/>
    <w:rsid w:val="007C12B0"/>
    <w:tblPr>
      <w:tblStyleRowBandSize w:val="1"/>
      <w:tblStyleColBandSize w:val="1"/>
      <w:tblBorders>
        <w:top w:val="single" w:sz="4" w:space="0" w:color="B7B7B7" w:themeColor="accent6" w:themeTint="66"/>
        <w:left w:val="single" w:sz="4" w:space="0" w:color="B7B7B7" w:themeColor="accent6" w:themeTint="66"/>
        <w:bottom w:val="single" w:sz="4" w:space="0" w:color="B7B7B7" w:themeColor="accent6" w:themeTint="66"/>
        <w:right w:val="single" w:sz="4" w:space="0" w:color="B7B7B7" w:themeColor="accent6" w:themeTint="66"/>
        <w:insideH w:val="single" w:sz="4" w:space="0" w:color="B7B7B7" w:themeColor="accent6" w:themeTint="66"/>
        <w:insideV w:val="single" w:sz="4" w:space="0" w:color="B7B7B7" w:themeColor="accent6" w:themeTint="66"/>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2" w:space="0" w:color="949494" w:themeColor="accent6" w:themeTint="99"/>
        </w:tcBorders>
      </w:tcPr>
    </w:tblStylePr>
    <w:tblStylePr w:type="firstCol">
      <w:rPr>
        <w:b/>
        <w:bCs/>
      </w:rPr>
    </w:tblStylePr>
    <w:tblStylePr w:type="lastCol">
      <w:rPr>
        <w:b/>
        <w:bCs/>
      </w:rPr>
    </w:tblStylePr>
  </w:style>
  <w:style w:type="table" w:customStyle="1" w:styleId="GridTable21">
    <w:name w:val="Grid Table 21"/>
    <w:basedOn w:val="TableNormal"/>
    <w:uiPriority w:val="47"/>
    <w:semiHidden/>
    <w:rsid w:val="007C12B0"/>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0072BC" w:themeFill="background1"/>
      </w:tcPr>
    </w:tblStylePr>
    <w:tblStylePr w:type="lastRow">
      <w:rPr>
        <w:b/>
        <w:bCs/>
      </w:rPr>
      <w:tblPr/>
      <w:tcPr>
        <w:tcBorders>
          <w:top w:val="double" w:sz="2" w:space="0" w:color="666666" w:themeColor="text1"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1">
    <w:name w:val="Grid Table 2 - Accent 11"/>
    <w:basedOn w:val="TableNormal"/>
    <w:uiPriority w:val="47"/>
    <w:semiHidden/>
    <w:rsid w:val="007C12B0"/>
    <w:tblPr>
      <w:tblStyleRowBandSize w:val="1"/>
      <w:tblStyleColBandSize w:val="1"/>
      <w:tblBorders>
        <w:top w:val="single" w:sz="2" w:space="0" w:color="3DB2FF" w:themeColor="accent1" w:themeTint="99"/>
        <w:bottom w:val="single" w:sz="2" w:space="0" w:color="3DB2FF" w:themeColor="accent1" w:themeTint="99"/>
        <w:insideH w:val="single" w:sz="2" w:space="0" w:color="3DB2FF" w:themeColor="accent1" w:themeTint="99"/>
        <w:insideV w:val="single" w:sz="2" w:space="0" w:color="3DB2FF" w:themeColor="accent1" w:themeTint="99"/>
      </w:tblBorders>
    </w:tblPr>
    <w:tblStylePr w:type="firstRow">
      <w:rPr>
        <w:b/>
        <w:bCs/>
      </w:rPr>
      <w:tblPr/>
      <w:tcPr>
        <w:tcBorders>
          <w:top w:val="nil"/>
          <w:bottom w:val="single" w:sz="12" w:space="0" w:color="3DB2FF" w:themeColor="accent1" w:themeTint="99"/>
          <w:insideH w:val="nil"/>
          <w:insideV w:val="nil"/>
        </w:tcBorders>
        <w:shd w:val="clear" w:color="auto" w:fill="0072BC" w:themeFill="background1"/>
      </w:tcPr>
    </w:tblStylePr>
    <w:tblStylePr w:type="lastRow">
      <w:rPr>
        <w:b/>
        <w:bCs/>
      </w:rPr>
      <w:tblPr/>
      <w:tcPr>
        <w:tcBorders>
          <w:top w:val="double" w:sz="2" w:space="0" w:color="3DB2FF" w:themeColor="accent1"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customStyle="1" w:styleId="GridTable2-Accent21">
    <w:name w:val="Grid Table 2 - Accent 21"/>
    <w:basedOn w:val="TableNormal"/>
    <w:uiPriority w:val="47"/>
    <w:semiHidden/>
    <w:rsid w:val="007C12B0"/>
    <w:tblPr>
      <w:tblStyleRowBandSize w:val="1"/>
      <w:tblStyleColBandSize w:val="1"/>
      <w:tblBorders>
        <w:top w:val="single" w:sz="2" w:space="0" w:color="FF4040" w:themeColor="accent2" w:themeTint="99"/>
        <w:bottom w:val="single" w:sz="2" w:space="0" w:color="FF4040" w:themeColor="accent2" w:themeTint="99"/>
        <w:insideH w:val="single" w:sz="2" w:space="0" w:color="FF4040" w:themeColor="accent2" w:themeTint="99"/>
        <w:insideV w:val="single" w:sz="2" w:space="0" w:color="FF4040" w:themeColor="accent2" w:themeTint="99"/>
      </w:tblBorders>
    </w:tblPr>
    <w:tblStylePr w:type="firstRow">
      <w:rPr>
        <w:b/>
        <w:bCs/>
      </w:rPr>
      <w:tblPr/>
      <w:tcPr>
        <w:tcBorders>
          <w:top w:val="nil"/>
          <w:bottom w:val="single" w:sz="12" w:space="0" w:color="FF4040" w:themeColor="accent2" w:themeTint="99"/>
          <w:insideH w:val="nil"/>
          <w:insideV w:val="nil"/>
        </w:tcBorders>
        <w:shd w:val="clear" w:color="auto" w:fill="0072BC" w:themeFill="background1"/>
      </w:tcPr>
    </w:tblStylePr>
    <w:tblStylePr w:type="lastRow">
      <w:rPr>
        <w:b/>
        <w:bCs/>
      </w:rPr>
      <w:tblPr/>
      <w:tcPr>
        <w:tcBorders>
          <w:top w:val="double" w:sz="2" w:space="0" w:color="FF4040" w:themeColor="accent2"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customStyle="1" w:styleId="GridTable2-Accent31">
    <w:name w:val="Grid Table 2 - Accent 31"/>
    <w:basedOn w:val="TableNormal"/>
    <w:uiPriority w:val="47"/>
    <w:semiHidden/>
    <w:rsid w:val="007C12B0"/>
    <w:tblPr>
      <w:tblStyleRowBandSize w:val="1"/>
      <w:tblStyleColBandSize w:val="1"/>
      <w:tblBorders>
        <w:top w:val="single" w:sz="2" w:space="0" w:color="9F9F9F" w:themeColor="accent3" w:themeTint="99"/>
        <w:bottom w:val="single" w:sz="2" w:space="0" w:color="9F9F9F" w:themeColor="accent3" w:themeTint="99"/>
        <w:insideH w:val="single" w:sz="2" w:space="0" w:color="9F9F9F" w:themeColor="accent3" w:themeTint="99"/>
        <w:insideV w:val="single" w:sz="2" w:space="0" w:color="9F9F9F" w:themeColor="accent3" w:themeTint="99"/>
      </w:tblBorders>
    </w:tblPr>
    <w:tblStylePr w:type="firstRow">
      <w:rPr>
        <w:b/>
        <w:bCs/>
      </w:rPr>
      <w:tblPr/>
      <w:tcPr>
        <w:tcBorders>
          <w:top w:val="nil"/>
          <w:bottom w:val="single" w:sz="12" w:space="0" w:color="9F9F9F" w:themeColor="accent3" w:themeTint="99"/>
          <w:insideH w:val="nil"/>
          <w:insideV w:val="nil"/>
        </w:tcBorders>
        <w:shd w:val="clear" w:color="auto" w:fill="0072BC" w:themeFill="background1"/>
      </w:tcPr>
    </w:tblStylePr>
    <w:tblStylePr w:type="lastRow">
      <w:rPr>
        <w:b/>
        <w:bCs/>
      </w:rPr>
      <w:tblPr/>
      <w:tcPr>
        <w:tcBorders>
          <w:top w:val="double" w:sz="2" w:space="0" w:color="9F9F9F" w:themeColor="accent3"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customStyle="1" w:styleId="GridTable2-Accent41">
    <w:name w:val="Grid Table 2 - Accent 41"/>
    <w:basedOn w:val="TableNormal"/>
    <w:uiPriority w:val="47"/>
    <w:semiHidden/>
    <w:rsid w:val="007C12B0"/>
    <w:tblPr>
      <w:tblStyleRowBandSize w:val="1"/>
      <w:tblStyleColBandSize w:val="1"/>
      <w:tblBorders>
        <w:top w:val="single" w:sz="2" w:space="0" w:color="C0C0C0" w:themeColor="accent4" w:themeTint="99"/>
        <w:bottom w:val="single" w:sz="2" w:space="0" w:color="C0C0C0" w:themeColor="accent4" w:themeTint="99"/>
        <w:insideH w:val="single" w:sz="2" w:space="0" w:color="C0C0C0" w:themeColor="accent4" w:themeTint="99"/>
        <w:insideV w:val="single" w:sz="2" w:space="0" w:color="C0C0C0" w:themeColor="accent4" w:themeTint="99"/>
      </w:tblBorders>
    </w:tblPr>
    <w:tblStylePr w:type="firstRow">
      <w:rPr>
        <w:b/>
        <w:bCs/>
      </w:rPr>
      <w:tblPr/>
      <w:tcPr>
        <w:tcBorders>
          <w:top w:val="nil"/>
          <w:bottom w:val="single" w:sz="12" w:space="0" w:color="C0C0C0" w:themeColor="accent4" w:themeTint="99"/>
          <w:insideH w:val="nil"/>
          <w:insideV w:val="nil"/>
        </w:tcBorders>
        <w:shd w:val="clear" w:color="auto" w:fill="0072BC" w:themeFill="background1"/>
      </w:tcPr>
    </w:tblStylePr>
    <w:tblStylePr w:type="lastRow">
      <w:rPr>
        <w:b/>
        <w:bCs/>
      </w:rPr>
      <w:tblPr/>
      <w:tcPr>
        <w:tcBorders>
          <w:top w:val="double" w:sz="2" w:space="0" w:color="C0C0C0" w:themeColor="accent4"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customStyle="1" w:styleId="GridTable2-Accent51">
    <w:name w:val="Grid Table 2 - Accent 51"/>
    <w:basedOn w:val="TableNormal"/>
    <w:uiPriority w:val="47"/>
    <w:semiHidden/>
    <w:rsid w:val="007C12B0"/>
    <w:tblPr>
      <w:tblStyleRowBandSize w:val="1"/>
      <w:tblStyleColBandSize w:val="1"/>
      <w:tblBorders>
        <w:top w:val="single" w:sz="2" w:space="0" w:color="9F9F9F" w:themeColor="accent5" w:themeTint="99"/>
        <w:bottom w:val="single" w:sz="2" w:space="0" w:color="9F9F9F" w:themeColor="accent5" w:themeTint="99"/>
        <w:insideH w:val="single" w:sz="2" w:space="0" w:color="9F9F9F" w:themeColor="accent5" w:themeTint="99"/>
        <w:insideV w:val="single" w:sz="2" w:space="0" w:color="9F9F9F" w:themeColor="accent5" w:themeTint="99"/>
      </w:tblBorders>
    </w:tblPr>
    <w:tblStylePr w:type="firstRow">
      <w:rPr>
        <w:b/>
        <w:bCs/>
      </w:rPr>
      <w:tblPr/>
      <w:tcPr>
        <w:tcBorders>
          <w:top w:val="nil"/>
          <w:bottom w:val="single" w:sz="12" w:space="0" w:color="9F9F9F" w:themeColor="accent5" w:themeTint="99"/>
          <w:insideH w:val="nil"/>
          <w:insideV w:val="nil"/>
        </w:tcBorders>
        <w:shd w:val="clear" w:color="auto" w:fill="0072BC" w:themeFill="background1"/>
      </w:tcPr>
    </w:tblStylePr>
    <w:tblStylePr w:type="lastRow">
      <w:rPr>
        <w:b/>
        <w:bCs/>
      </w:rPr>
      <w:tblPr/>
      <w:tcPr>
        <w:tcBorders>
          <w:top w:val="double" w:sz="2" w:space="0" w:color="9F9F9F" w:themeColor="accent5"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customStyle="1" w:styleId="GridTable2-Accent61">
    <w:name w:val="Grid Table 2 - Accent 61"/>
    <w:basedOn w:val="TableNormal"/>
    <w:uiPriority w:val="47"/>
    <w:semiHidden/>
    <w:rsid w:val="007C12B0"/>
    <w:tblPr>
      <w:tblStyleRowBandSize w:val="1"/>
      <w:tblStyleColBandSize w:val="1"/>
      <w:tblBorders>
        <w:top w:val="single" w:sz="2" w:space="0" w:color="949494" w:themeColor="accent6" w:themeTint="99"/>
        <w:bottom w:val="single" w:sz="2" w:space="0" w:color="949494" w:themeColor="accent6" w:themeTint="99"/>
        <w:insideH w:val="single" w:sz="2" w:space="0" w:color="949494" w:themeColor="accent6" w:themeTint="99"/>
        <w:insideV w:val="single" w:sz="2" w:space="0" w:color="949494" w:themeColor="accent6" w:themeTint="99"/>
      </w:tblBorders>
    </w:tblPr>
    <w:tblStylePr w:type="firstRow">
      <w:rPr>
        <w:b/>
        <w:bCs/>
      </w:rPr>
      <w:tblPr/>
      <w:tcPr>
        <w:tcBorders>
          <w:top w:val="nil"/>
          <w:bottom w:val="single" w:sz="12" w:space="0" w:color="949494" w:themeColor="accent6" w:themeTint="99"/>
          <w:insideH w:val="nil"/>
          <w:insideV w:val="nil"/>
        </w:tcBorders>
        <w:shd w:val="clear" w:color="auto" w:fill="0072BC" w:themeFill="background1"/>
      </w:tcPr>
    </w:tblStylePr>
    <w:tblStylePr w:type="lastRow">
      <w:rPr>
        <w:b/>
        <w:bCs/>
      </w:rPr>
      <w:tblPr/>
      <w:tcPr>
        <w:tcBorders>
          <w:top w:val="double" w:sz="2" w:space="0" w:color="949494" w:themeColor="accent6"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customStyle="1" w:styleId="GridTable31">
    <w:name w:val="Grid Table 31"/>
    <w:basedOn w:val="TableNormal"/>
    <w:uiPriority w:val="48"/>
    <w:semiHidden/>
    <w:rsid w:val="007C12B0"/>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1">
    <w:name w:val="Grid Table 3 - Accent 11"/>
    <w:basedOn w:val="TableNormal"/>
    <w:uiPriority w:val="48"/>
    <w:semiHidden/>
    <w:rsid w:val="007C12B0"/>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bottom w:val="single" w:sz="4" w:space="0" w:color="3DB2FF" w:themeColor="accent1" w:themeTint="99"/>
        </w:tcBorders>
      </w:tcPr>
    </w:tblStylePr>
    <w:tblStylePr w:type="nwCell">
      <w:tblPr/>
      <w:tcPr>
        <w:tcBorders>
          <w:bottom w:val="single" w:sz="4" w:space="0" w:color="3DB2FF" w:themeColor="accent1" w:themeTint="99"/>
        </w:tcBorders>
      </w:tcPr>
    </w:tblStylePr>
    <w:tblStylePr w:type="seCell">
      <w:tblPr/>
      <w:tcPr>
        <w:tcBorders>
          <w:top w:val="single" w:sz="4" w:space="0" w:color="3DB2FF" w:themeColor="accent1" w:themeTint="99"/>
        </w:tcBorders>
      </w:tcPr>
    </w:tblStylePr>
    <w:tblStylePr w:type="swCell">
      <w:tblPr/>
      <w:tcPr>
        <w:tcBorders>
          <w:top w:val="single" w:sz="4" w:space="0" w:color="3DB2FF" w:themeColor="accent1" w:themeTint="99"/>
        </w:tcBorders>
      </w:tcPr>
    </w:tblStylePr>
  </w:style>
  <w:style w:type="table" w:customStyle="1" w:styleId="GridTable3-Accent21">
    <w:name w:val="Grid Table 3 - Accent 21"/>
    <w:basedOn w:val="TableNormal"/>
    <w:uiPriority w:val="48"/>
    <w:semiHidden/>
    <w:rsid w:val="007C12B0"/>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bottom w:val="single" w:sz="4" w:space="0" w:color="FF4040" w:themeColor="accent2" w:themeTint="99"/>
        </w:tcBorders>
      </w:tcPr>
    </w:tblStylePr>
    <w:tblStylePr w:type="nwCell">
      <w:tblPr/>
      <w:tcPr>
        <w:tcBorders>
          <w:bottom w:val="single" w:sz="4" w:space="0" w:color="FF4040" w:themeColor="accent2" w:themeTint="99"/>
        </w:tcBorders>
      </w:tcPr>
    </w:tblStylePr>
    <w:tblStylePr w:type="seCell">
      <w:tblPr/>
      <w:tcPr>
        <w:tcBorders>
          <w:top w:val="single" w:sz="4" w:space="0" w:color="FF4040" w:themeColor="accent2" w:themeTint="99"/>
        </w:tcBorders>
      </w:tcPr>
    </w:tblStylePr>
    <w:tblStylePr w:type="swCell">
      <w:tblPr/>
      <w:tcPr>
        <w:tcBorders>
          <w:top w:val="single" w:sz="4" w:space="0" w:color="FF4040" w:themeColor="accent2" w:themeTint="99"/>
        </w:tcBorders>
      </w:tcPr>
    </w:tblStylePr>
  </w:style>
  <w:style w:type="table" w:customStyle="1" w:styleId="GridTable3-Accent31">
    <w:name w:val="Grid Table 3 - Accent 31"/>
    <w:basedOn w:val="TableNormal"/>
    <w:uiPriority w:val="48"/>
    <w:semiHidden/>
    <w:rsid w:val="007C12B0"/>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bottom w:val="single" w:sz="4" w:space="0" w:color="9F9F9F" w:themeColor="accent3" w:themeTint="99"/>
        </w:tcBorders>
      </w:tcPr>
    </w:tblStylePr>
    <w:tblStylePr w:type="nwCell">
      <w:tblPr/>
      <w:tcPr>
        <w:tcBorders>
          <w:bottom w:val="single" w:sz="4" w:space="0" w:color="9F9F9F" w:themeColor="accent3" w:themeTint="99"/>
        </w:tcBorders>
      </w:tcPr>
    </w:tblStylePr>
    <w:tblStylePr w:type="seCell">
      <w:tblPr/>
      <w:tcPr>
        <w:tcBorders>
          <w:top w:val="single" w:sz="4" w:space="0" w:color="9F9F9F" w:themeColor="accent3" w:themeTint="99"/>
        </w:tcBorders>
      </w:tcPr>
    </w:tblStylePr>
    <w:tblStylePr w:type="swCell">
      <w:tblPr/>
      <w:tcPr>
        <w:tcBorders>
          <w:top w:val="single" w:sz="4" w:space="0" w:color="9F9F9F" w:themeColor="accent3" w:themeTint="99"/>
        </w:tcBorders>
      </w:tcPr>
    </w:tblStylePr>
  </w:style>
  <w:style w:type="table" w:customStyle="1" w:styleId="GridTable3-Accent41">
    <w:name w:val="Grid Table 3 - Accent 41"/>
    <w:basedOn w:val="TableNormal"/>
    <w:uiPriority w:val="48"/>
    <w:semiHidden/>
    <w:rsid w:val="007C12B0"/>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bottom w:val="single" w:sz="4" w:space="0" w:color="C0C0C0" w:themeColor="accent4" w:themeTint="99"/>
        </w:tcBorders>
      </w:tcPr>
    </w:tblStylePr>
    <w:tblStylePr w:type="nwCell">
      <w:tblPr/>
      <w:tcPr>
        <w:tcBorders>
          <w:bottom w:val="single" w:sz="4" w:space="0" w:color="C0C0C0" w:themeColor="accent4" w:themeTint="99"/>
        </w:tcBorders>
      </w:tcPr>
    </w:tblStylePr>
    <w:tblStylePr w:type="seCell">
      <w:tblPr/>
      <w:tcPr>
        <w:tcBorders>
          <w:top w:val="single" w:sz="4" w:space="0" w:color="C0C0C0" w:themeColor="accent4" w:themeTint="99"/>
        </w:tcBorders>
      </w:tcPr>
    </w:tblStylePr>
    <w:tblStylePr w:type="swCell">
      <w:tblPr/>
      <w:tcPr>
        <w:tcBorders>
          <w:top w:val="single" w:sz="4" w:space="0" w:color="C0C0C0" w:themeColor="accent4" w:themeTint="99"/>
        </w:tcBorders>
      </w:tcPr>
    </w:tblStylePr>
  </w:style>
  <w:style w:type="table" w:customStyle="1" w:styleId="GridTable3-Accent51">
    <w:name w:val="Grid Table 3 - Accent 51"/>
    <w:basedOn w:val="TableNormal"/>
    <w:uiPriority w:val="48"/>
    <w:semiHidden/>
    <w:rsid w:val="007C12B0"/>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customStyle="1" w:styleId="GridTable3-Accent61">
    <w:name w:val="Grid Table 3 - Accent 61"/>
    <w:basedOn w:val="TableNormal"/>
    <w:uiPriority w:val="48"/>
    <w:semiHidden/>
    <w:rsid w:val="007C12B0"/>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table" w:customStyle="1" w:styleId="GridTable41">
    <w:name w:val="Grid Table 41"/>
    <w:basedOn w:val="TableNormal"/>
    <w:uiPriority w:val="49"/>
    <w:semiHidden/>
    <w:rsid w:val="007C12B0"/>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0072BC"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1">
    <w:name w:val="Grid Table 4 - Accent 11"/>
    <w:basedOn w:val="TableNormal"/>
    <w:uiPriority w:val="49"/>
    <w:semiHidden/>
    <w:rsid w:val="007C12B0"/>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color w:val="0072BC" w:themeColor="background1"/>
      </w:rPr>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nil"/>
          <w:insideV w:val="nil"/>
        </w:tcBorders>
        <w:shd w:val="clear" w:color="auto" w:fill="0072BC" w:themeFill="accent1"/>
      </w:tcPr>
    </w:tblStylePr>
    <w:tblStylePr w:type="lastRow">
      <w:rPr>
        <w:b/>
        <w:bCs/>
      </w:rPr>
      <w:tblPr/>
      <w:tcPr>
        <w:tcBorders>
          <w:top w:val="double" w:sz="4" w:space="0" w:color="0072BC" w:themeColor="accent1"/>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customStyle="1" w:styleId="GridTable4-Accent21">
    <w:name w:val="Grid Table 4 - Accent 21"/>
    <w:basedOn w:val="TableNormal"/>
    <w:uiPriority w:val="49"/>
    <w:semiHidden/>
    <w:rsid w:val="007C12B0"/>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color w:val="0072BC" w:themeColor="background1"/>
      </w:rPr>
      <w:tblPr/>
      <w:tcPr>
        <w:tcBorders>
          <w:top w:val="single" w:sz="4" w:space="0" w:color="C00000" w:themeColor="accent2"/>
          <w:left w:val="single" w:sz="4" w:space="0" w:color="C00000" w:themeColor="accent2"/>
          <w:bottom w:val="single" w:sz="4" w:space="0" w:color="C00000" w:themeColor="accent2"/>
          <w:right w:val="single" w:sz="4" w:space="0" w:color="C00000" w:themeColor="accent2"/>
          <w:insideH w:val="nil"/>
          <w:insideV w:val="nil"/>
        </w:tcBorders>
        <w:shd w:val="clear" w:color="auto" w:fill="C00000" w:themeFill="accent2"/>
      </w:tcPr>
    </w:tblStylePr>
    <w:tblStylePr w:type="lastRow">
      <w:rPr>
        <w:b/>
        <w:bCs/>
      </w:rPr>
      <w:tblPr/>
      <w:tcPr>
        <w:tcBorders>
          <w:top w:val="double" w:sz="4" w:space="0" w:color="C00000" w:themeColor="accent2"/>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customStyle="1" w:styleId="GridTable4-Accent31">
    <w:name w:val="Grid Table 4 - Accent 31"/>
    <w:basedOn w:val="TableNormal"/>
    <w:uiPriority w:val="49"/>
    <w:semiHidden/>
    <w:rsid w:val="007C12B0"/>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color w:val="0072BC" w:themeColor="background1"/>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cBorders>
        <w:shd w:val="clear" w:color="auto" w:fill="5F5F5F" w:themeFill="accent3"/>
      </w:tcPr>
    </w:tblStylePr>
    <w:tblStylePr w:type="lastRow">
      <w:rPr>
        <w:b/>
        <w:bCs/>
      </w:rPr>
      <w:tblPr/>
      <w:tcPr>
        <w:tcBorders>
          <w:top w:val="double" w:sz="4" w:space="0" w:color="5F5F5F" w:themeColor="accent3"/>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customStyle="1" w:styleId="GridTable4-Accent41">
    <w:name w:val="Grid Table 4 - Accent 41"/>
    <w:basedOn w:val="TableNormal"/>
    <w:uiPriority w:val="49"/>
    <w:semiHidden/>
    <w:rsid w:val="007C12B0"/>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color w:val="0072BC" w:themeColor="background1"/>
      </w:rPr>
      <w:tblPr/>
      <w:tcPr>
        <w:tcBorders>
          <w:top w:val="single" w:sz="4" w:space="0" w:color="969696" w:themeColor="accent4"/>
          <w:left w:val="single" w:sz="4" w:space="0" w:color="969696" w:themeColor="accent4"/>
          <w:bottom w:val="single" w:sz="4" w:space="0" w:color="969696" w:themeColor="accent4"/>
          <w:right w:val="single" w:sz="4" w:space="0" w:color="969696" w:themeColor="accent4"/>
          <w:insideH w:val="nil"/>
          <w:insideV w:val="nil"/>
        </w:tcBorders>
        <w:shd w:val="clear" w:color="auto" w:fill="969696" w:themeFill="accent4"/>
      </w:tcPr>
    </w:tblStylePr>
    <w:tblStylePr w:type="lastRow">
      <w:rPr>
        <w:b/>
        <w:bCs/>
      </w:rPr>
      <w:tblPr/>
      <w:tcPr>
        <w:tcBorders>
          <w:top w:val="double" w:sz="4" w:space="0" w:color="969696" w:themeColor="accent4"/>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customStyle="1" w:styleId="GridTable4-Accent51">
    <w:name w:val="Grid Table 4 - Accent 51"/>
    <w:basedOn w:val="TableNormal"/>
    <w:uiPriority w:val="49"/>
    <w:semiHidden/>
    <w:rsid w:val="007C12B0"/>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color w:val="0072BC"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insideV w:val="nil"/>
        </w:tcBorders>
        <w:shd w:val="clear" w:color="auto" w:fill="5F5F5F" w:themeFill="accent5"/>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customStyle="1" w:styleId="GridTable4-Accent61">
    <w:name w:val="Grid Table 4 - Accent 61"/>
    <w:basedOn w:val="TableNormal"/>
    <w:uiPriority w:val="49"/>
    <w:semiHidden/>
    <w:rsid w:val="007C12B0"/>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color w:val="0072BC"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insideV w:val="nil"/>
        </w:tcBorders>
        <w:shd w:val="clear" w:color="auto" w:fill="4D4D4D" w:themeFill="accent6"/>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customStyle="1" w:styleId="GridTable5Dark1">
    <w:name w:val="Grid Table 5 Dark1"/>
    <w:basedOn w:val="TableNormal"/>
    <w:uiPriority w:val="50"/>
    <w:semiHidden/>
    <w:rsid w:val="007C12B0"/>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CCCCCC" w:themeFill="text1"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000000" w:themeFill="text1"/>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000000" w:themeFill="text1"/>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000000" w:themeFill="text1"/>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1">
    <w:name w:val="Grid Table 5 Dark - Accent 11"/>
    <w:basedOn w:val="TableNormal"/>
    <w:uiPriority w:val="50"/>
    <w:semiHidden/>
    <w:rsid w:val="007C12B0"/>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BEE5FF" w:themeFill="accent1"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0072BC" w:themeFill="accent1"/>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0072BC" w:themeFill="accent1"/>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0072BC" w:themeFill="accent1"/>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0072BC" w:themeFill="accent1"/>
      </w:tcPr>
    </w:tblStylePr>
    <w:tblStylePr w:type="band1Vert">
      <w:tblPr/>
      <w:tcPr>
        <w:shd w:val="clear" w:color="auto" w:fill="7ECBFF" w:themeFill="accent1" w:themeFillTint="66"/>
      </w:tcPr>
    </w:tblStylePr>
    <w:tblStylePr w:type="band1Horz">
      <w:tblPr/>
      <w:tcPr>
        <w:shd w:val="clear" w:color="auto" w:fill="7ECBFF" w:themeFill="accent1" w:themeFillTint="66"/>
      </w:tcPr>
    </w:tblStylePr>
  </w:style>
  <w:style w:type="table" w:customStyle="1" w:styleId="GridTable5Dark-Accent21">
    <w:name w:val="Grid Table 5 Dark - Accent 21"/>
    <w:basedOn w:val="TableNormal"/>
    <w:uiPriority w:val="50"/>
    <w:semiHidden/>
    <w:rsid w:val="007C12B0"/>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FFBFBF" w:themeFill="accent2"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C00000" w:themeFill="accent2"/>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C00000" w:themeFill="accent2"/>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C00000" w:themeFill="accent2"/>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C00000" w:themeFill="accent2"/>
      </w:tcPr>
    </w:tblStylePr>
    <w:tblStylePr w:type="band1Vert">
      <w:tblPr/>
      <w:tcPr>
        <w:shd w:val="clear" w:color="auto" w:fill="FF7F7F" w:themeFill="accent2" w:themeFillTint="66"/>
      </w:tcPr>
    </w:tblStylePr>
    <w:tblStylePr w:type="band1Horz">
      <w:tblPr/>
      <w:tcPr>
        <w:shd w:val="clear" w:color="auto" w:fill="FF7F7F" w:themeFill="accent2" w:themeFillTint="66"/>
      </w:tcPr>
    </w:tblStylePr>
  </w:style>
  <w:style w:type="table" w:customStyle="1" w:styleId="GridTable5Dark-Accent31">
    <w:name w:val="Grid Table 5 Dark - Accent 31"/>
    <w:basedOn w:val="TableNormal"/>
    <w:uiPriority w:val="50"/>
    <w:semiHidden/>
    <w:rsid w:val="007C12B0"/>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FDFDF" w:themeFill="accent3"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5F5F5F" w:themeFill="accent3"/>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5F5F5F" w:themeFill="accent3"/>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5F5F5F" w:themeFill="accent3"/>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5F5F5F" w:themeFill="accent3"/>
      </w:tcPr>
    </w:tblStylePr>
    <w:tblStylePr w:type="band1Vert">
      <w:tblPr/>
      <w:tcPr>
        <w:shd w:val="clear" w:color="auto" w:fill="BFBFBF" w:themeFill="accent3" w:themeFillTint="66"/>
      </w:tcPr>
    </w:tblStylePr>
    <w:tblStylePr w:type="band1Horz">
      <w:tblPr/>
      <w:tcPr>
        <w:shd w:val="clear" w:color="auto" w:fill="BFBFBF" w:themeFill="accent3" w:themeFillTint="66"/>
      </w:tcPr>
    </w:tblStylePr>
  </w:style>
  <w:style w:type="table" w:customStyle="1" w:styleId="GridTable5Dark-Accent41">
    <w:name w:val="Grid Table 5 Dark - Accent 41"/>
    <w:basedOn w:val="TableNormal"/>
    <w:uiPriority w:val="50"/>
    <w:semiHidden/>
    <w:rsid w:val="007C12B0"/>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EAEAEA" w:themeFill="accent4"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969696" w:themeFill="accent4"/>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969696" w:themeFill="accent4"/>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969696" w:themeFill="accent4"/>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969696" w:themeFill="accent4"/>
      </w:tcPr>
    </w:tblStylePr>
    <w:tblStylePr w:type="band1Vert">
      <w:tblPr/>
      <w:tcPr>
        <w:shd w:val="clear" w:color="auto" w:fill="D5D5D5" w:themeFill="accent4" w:themeFillTint="66"/>
      </w:tcPr>
    </w:tblStylePr>
    <w:tblStylePr w:type="band1Horz">
      <w:tblPr/>
      <w:tcPr>
        <w:shd w:val="clear" w:color="auto" w:fill="D5D5D5" w:themeFill="accent4" w:themeFillTint="66"/>
      </w:tcPr>
    </w:tblStylePr>
  </w:style>
  <w:style w:type="table" w:customStyle="1" w:styleId="GridTable5Dark-Accent51">
    <w:name w:val="Grid Table 5 Dark - Accent 51"/>
    <w:basedOn w:val="TableNormal"/>
    <w:uiPriority w:val="50"/>
    <w:semiHidden/>
    <w:rsid w:val="007C12B0"/>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FDFDF" w:themeFill="accent5"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5F5F5F" w:themeFill="accent5"/>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5F5F5F" w:themeFill="accent5"/>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5F5F5F" w:themeFill="accent5"/>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5F5F5F" w:themeFill="accent5"/>
      </w:tcPr>
    </w:tblStylePr>
    <w:tblStylePr w:type="band1Vert">
      <w:tblPr/>
      <w:tcPr>
        <w:shd w:val="clear" w:color="auto" w:fill="BFBFBF" w:themeFill="accent5" w:themeFillTint="66"/>
      </w:tcPr>
    </w:tblStylePr>
    <w:tblStylePr w:type="band1Horz">
      <w:tblPr/>
      <w:tcPr>
        <w:shd w:val="clear" w:color="auto" w:fill="BFBFBF" w:themeFill="accent5" w:themeFillTint="66"/>
      </w:tcPr>
    </w:tblStylePr>
  </w:style>
  <w:style w:type="table" w:customStyle="1" w:styleId="GridTable5Dark-Accent61">
    <w:name w:val="Grid Table 5 Dark - Accent 61"/>
    <w:basedOn w:val="TableNormal"/>
    <w:uiPriority w:val="50"/>
    <w:semiHidden/>
    <w:rsid w:val="007C12B0"/>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BDBDB" w:themeFill="accent6"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4D4D4D" w:themeFill="accent6"/>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4D4D4D" w:themeFill="accent6"/>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4D4D4D" w:themeFill="accent6"/>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4D4D4D" w:themeFill="accent6"/>
      </w:tcPr>
    </w:tblStylePr>
    <w:tblStylePr w:type="band1Vert">
      <w:tblPr/>
      <w:tcPr>
        <w:shd w:val="clear" w:color="auto" w:fill="B7B7B7" w:themeFill="accent6" w:themeFillTint="66"/>
      </w:tcPr>
    </w:tblStylePr>
    <w:tblStylePr w:type="band1Horz">
      <w:tblPr/>
      <w:tcPr>
        <w:shd w:val="clear" w:color="auto" w:fill="B7B7B7" w:themeFill="accent6" w:themeFillTint="66"/>
      </w:tcPr>
    </w:tblStylePr>
  </w:style>
  <w:style w:type="table" w:customStyle="1" w:styleId="GridTable6Colorful1">
    <w:name w:val="Grid Table 6 Colorful1"/>
    <w:basedOn w:val="TableNormal"/>
    <w:uiPriority w:val="51"/>
    <w:semiHidden/>
    <w:rsid w:val="007C12B0"/>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1">
    <w:name w:val="Grid Table 6 Colorful - Accent 11"/>
    <w:basedOn w:val="TableNormal"/>
    <w:uiPriority w:val="51"/>
    <w:semiHidden/>
    <w:rsid w:val="007C12B0"/>
    <w:rPr>
      <w:color w:val="00548C" w:themeColor="accent1" w:themeShade="BF"/>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bottom w:val="single" w:sz="12" w:space="0" w:color="3DB2FF" w:themeColor="accent1" w:themeTint="99"/>
        </w:tcBorders>
      </w:tcPr>
    </w:tblStylePr>
    <w:tblStylePr w:type="lastRow">
      <w:rPr>
        <w:b/>
        <w:bCs/>
      </w:rPr>
      <w:tblPr/>
      <w:tcPr>
        <w:tcBorders>
          <w:top w:val="doub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customStyle="1" w:styleId="GridTable6Colorful-Accent21">
    <w:name w:val="Grid Table 6 Colorful - Accent 21"/>
    <w:basedOn w:val="TableNormal"/>
    <w:uiPriority w:val="51"/>
    <w:semiHidden/>
    <w:rsid w:val="007C12B0"/>
    <w:rPr>
      <w:color w:val="8F0000" w:themeColor="accent2" w:themeShade="BF"/>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bottom w:val="single" w:sz="12" w:space="0" w:color="FF4040" w:themeColor="accent2" w:themeTint="99"/>
        </w:tcBorders>
      </w:tcPr>
    </w:tblStylePr>
    <w:tblStylePr w:type="lastRow">
      <w:rPr>
        <w:b/>
        <w:bCs/>
      </w:rPr>
      <w:tblPr/>
      <w:tcPr>
        <w:tcBorders>
          <w:top w:val="doub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customStyle="1" w:styleId="GridTable6Colorful-Accent31">
    <w:name w:val="Grid Table 6 Colorful - Accent 31"/>
    <w:basedOn w:val="TableNormal"/>
    <w:uiPriority w:val="51"/>
    <w:semiHidden/>
    <w:rsid w:val="007C12B0"/>
    <w:rPr>
      <w:color w:val="474747" w:themeColor="accent3" w:themeShade="BF"/>
    </w:rPr>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bottom w:val="single" w:sz="12" w:space="0" w:color="9F9F9F" w:themeColor="accent3" w:themeTint="99"/>
        </w:tcBorders>
      </w:tcPr>
    </w:tblStylePr>
    <w:tblStylePr w:type="lastRow">
      <w:rPr>
        <w:b/>
        <w:bCs/>
      </w:rPr>
      <w:tblPr/>
      <w:tcPr>
        <w:tcBorders>
          <w:top w:val="doub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customStyle="1" w:styleId="GridTable6Colorful-Accent41">
    <w:name w:val="Grid Table 6 Colorful - Accent 41"/>
    <w:basedOn w:val="TableNormal"/>
    <w:uiPriority w:val="51"/>
    <w:semiHidden/>
    <w:rsid w:val="007C12B0"/>
    <w:rPr>
      <w:color w:val="707070" w:themeColor="accent4" w:themeShade="BF"/>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bottom w:val="single" w:sz="12" w:space="0" w:color="C0C0C0" w:themeColor="accent4" w:themeTint="99"/>
        </w:tcBorders>
      </w:tcPr>
    </w:tblStylePr>
    <w:tblStylePr w:type="lastRow">
      <w:rPr>
        <w:b/>
        <w:bCs/>
      </w:rPr>
      <w:tblPr/>
      <w:tcPr>
        <w:tcBorders>
          <w:top w:val="doub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customStyle="1" w:styleId="GridTable6Colorful-Accent51">
    <w:name w:val="Grid Table 6 Colorful - Accent 51"/>
    <w:basedOn w:val="TableNormal"/>
    <w:uiPriority w:val="51"/>
    <w:semiHidden/>
    <w:rsid w:val="007C12B0"/>
    <w:rPr>
      <w:color w:val="474747" w:themeColor="accent5" w:themeShade="BF"/>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customStyle="1" w:styleId="GridTable6Colorful-Accent61">
    <w:name w:val="Grid Table 6 Colorful - Accent 61"/>
    <w:basedOn w:val="TableNormal"/>
    <w:uiPriority w:val="51"/>
    <w:semiHidden/>
    <w:rsid w:val="007C12B0"/>
    <w:rPr>
      <w:color w:val="393939" w:themeColor="accent6" w:themeShade="BF"/>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customStyle="1" w:styleId="GridTable7Colorful1">
    <w:name w:val="Grid Table 7 Colorful1"/>
    <w:basedOn w:val="TableNormal"/>
    <w:uiPriority w:val="52"/>
    <w:semiHidden/>
    <w:rsid w:val="007C12B0"/>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1">
    <w:name w:val="Grid Table 7 Colorful - Accent 11"/>
    <w:basedOn w:val="TableNormal"/>
    <w:uiPriority w:val="52"/>
    <w:semiHidden/>
    <w:rsid w:val="007C12B0"/>
    <w:rPr>
      <w:color w:val="00548C" w:themeColor="accent1" w:themeShade="BF"/>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bottom w:val="single" w:sz="4" w:space="0" w:color="3DB2FF" w:themeColor="accent1" w:themeTint="99"/>
        </w:tcBorders>
      </w:tcPr>
    </w:tblStylePr>
    <w:tblStylePr w:type="nwCell">
      <w:tblPr/>
      <w:tcPr>
        <w:tcBorders>
          <w:bottom w:val="single" w:sz="4" w:space="0" w:color="3DB2FF" w:themeColor="accent1" w:themeTint="99"/>
        </w:tcBorders>
      </w:tcPr>
    </w:tblStylePr>
    <w:tblStylePr w:type="seCell">
      <w:tblPr/>
      <w:tcPr>
        <w:tcBorders>
          <w:top w:val="single" w:sz="4" w:space="0" w:color="3DB2FF" w:themeColor="accent1" w:themeTint="99"/>
        </w:tcBorders>
      </w:tcPr>
    </w:tblStylePr>
    <w:tblStylePr w:type="swCell">
      <w:tblPr/>
      <w:tcPr>
        <w:tcBorders>
          <w:top w:val="single" w:sz="4" w:space="0" w:color="3DB2FF" w:themeColor="accent1" w:themeTint="99"/>
        </w:tcBorders>
      </w:tcPr>
    </w:tblStylePr>
  </w:style>
  <w:style w:type="table" w:customStyle="1" w:styleId="GridTable7Colorful-Accent21">
    <w:name w:val="Grid Table 7 Colorful - Accent 21"/>
    <w:basedOn w:val="TableNormal"/>
    <w:uiPriority w:val="52"/>
    <w:semiHidden/>
    <w:rsid w:val="007C12B0"/>
    <w:rPr>
      <w:color w:val="8F0000" w:themeColor="accent2" w:themeShade="BF"/>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bottom w:val="single" w:sz="4" w:space="0" w:color="FF4040" w:themeColor="accent2" w:themeTint="99"/>
        </w:tcBorders>
      </w:tcPr>
    </w:tblStylePr>
    <w:tblStylePr w:type="nwCell">
      <w:tblPr/>
      <w:tcPr>
        <w:tcBorders>
          <w:bottom w:val="single" w:sz="4" w:space="0" w:color="FF4040" w:themeColor="accent2" w:themeTint="99"/>
        </w:tcBorders>
      </w:tcPr>
    </w:tblStylePr>
    <w:tblStylePr w:type="seCell">
      <w:tblPr/>
      <w:tcPr>
        <w:tcBorders>
          <w:top w:val="single" w:sz="4" w:space="0" w:color="FF4040" w:themeColor="accent2" w:themeTint="99"/>
        </w:tcBorders>
      </w:tcPr>
    </w:tblStylePr>
    <w:tblStylePr w:type="swCell">
      <w:tblPr/>
      <w:tcPr>
        <w:tcBorders>
          <w:top w:val="single" w:sz="4" w:space="0" w:color="FF4040" w:themeColor="accent2" w:themeTint="99"/>
        </w:tcBorders>
      </w:tcPr>
    </w:tblStylePr>
  </w:style>
  <w:style w:type="table" w:customStyle="1" w:styleId="GridTable7Colorful-Accent31">
    <w:name w:val="Grid Table 7 Colorful - Accent 31"/>
    <w:basedOn w:val="TableNormal"/>
    <w:uiPriority w:val="52"/>
    <w:semiHidden/>
    <w:rsid w:val="007C12B0"/>
    <w:rPr>
      <w:color w:val="474747" w:themeColor="accent3" w:themeShade="BF"/>
    </w:rPr>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bottom w:val="single" w:sz="4" w:space="0" w:color="9F9F9F" w:themeColor="accent3" w:themeTint="99"/>
        </w:tcBorders>
      </w:tcPr>
    </w:tblStylePr>
    <w:tblStylePr w:type="nwCell">
      <w:tblPr/>
      <w:tcPr>
        <w:tcBorders>
          <w:bottom w:val="single" w:sz="4" w:space="0" w:color="9F9F9F" w:themeColor="accent3" w:themeTint="99"/>
        </w:tcBorders>
      </w:tcPr>
    </w:tblStylePr>
    <w:tblStylePr w:type="seCell">
      <w:tblPr/>
      <w:tcPr>
        <w:tcBorders>
          <w:top w:val="single" w:sz="4" w:space="0" w:color="9F9F9F" w:themeColor="accent3" w:themeTint="99"/>
        </w:tcBorders>
      </w:tcPr>
    </w:tblStylePr>
    <w:tblStylePr w:type="swCell">
      <w:tblPr/>
      <w:tcPr>
        <w:tcBorders>
          <w:top w:val="single" w:sz="4" w:space="0" w:color="9F9F9F" w:themeColor="accent3" w:themeTint="99"/>
        </w:tcBorders>
      </w:tcPr>
    </w:tblStylePr>
  </w:style>
  <w:style w:type="table" w:customStyle="1" w:styleId="GridTable7Colorful-Accent41">
    <w:name w:val="Grid Table 7 Colorful - Accent 41"/>
    <w:basedOn w:val="TableNormal"/>
    <w:uiPriority w:val="52"/>
    <w:semiHidden/>
    <w:rsid w:val="007C12B0"/>
    <w:rPr>
      <w:color w:val="707070" w:themeColor="accent4" w:themeShade="BF"/>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bottom w:val="single" w:sz="4" w:space="0" w:color="C0C0C0" w:themeColor="accent4" w:themeTint="99"/>
        </w:tcBorders>
      </w:tcPr>
    </w:tblStylePr>
    <w:tblStylePr w:type="nwCell">
      <w:tblPr/>
      <w:tcPr>
        <w:tcBorders>
          <w:bottom w:val="single" w:sz="4" w:space="0" w:color="C0C0C0" w:themeColor="accent4" w:themeTint="99"/>
        </w:tcBorders>
      </w:tcPr>
    </w:tblStylePr>
    <w:tblStylePr w:type="seCell">
      <w:tblPr/>
      <w:tcPr>
        <w:tcBorders>
          <w:top w:val="single" w:sz="4" w:space="0" w:color="C0C0C0" w:themeColor="accent4" w:themeTint="99"/>
        </w:tcBorders>
      </w:tcPr>
    </w:tblStylePr>
    <w:tblStylePr w:type="swCell">
      <w:tblPr/>
      <w:tcPr>
        <w:tcBorders>
          <w:top w:val="single" w:sz="4" w:space="0" w:color="C0C0C0" w:themeColor="accent4" w:themeTint="99"/>
        </w:tcBorders>
      </w:tcPr>
    </w:tblStylePr>
  </w:style>
  <w:style w:type="table" w:customStyle="1" w:styleId="GridTable7Colorful-Accent51">
    <w:name w:val="Grid Table 7 Colorful - Accent 51"/>
    <w:basedOn w:val="TableNormal"/>
    <w:uiPriority w:val="52"/>
    <w:semiHidden/>
    <w:rsid w:val="007C12B0"/>
    <w:rPr>
      <w:color w:val="474747" w:themeColor="accent5" w:themeShade="BF"/>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customStyle="1" w:styleId="GridTable7Colorful-Accent61">
    <w:name w:val="Grid Table 7 Colorful - Accent 61"/>
    <w:basedOn w:val="TableNormal"/>
    <w:uiPriority w:val="52"/>
    <w:semiHidden/>
    <w:rsid w:val="007C12B0"/>
    <w:rPr>
      <w:color w:val="393939" w:themeColor="accent6" w:themeShade="BF"/>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table" w:styleId="GridTable1Light">
    <w:name w:val="Grid Table 1 Light"/>
    <w:basedOn w:val="TableNormal"/>
    <w:uiPriority w:val="98"/>
    <w:rsid w:val="007C12B0"/>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ListTable1Light1">
    <w:name w:val="List Table 1 Light1"/>
    <w:basedOn w:val="TableNormal"/>
    <w:uiPriority w:val="46"/>
    <w:semiHidden/>
    <w:rsid w:val="007C12B0"/>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1">
    <w:name w:val="List Table 1 Light - Accent 11"/>
    <w:basedOn w:val="TableNormal"/>
    <w:uiPriority w:val="46"/>
    <w:semiHidden/>
    <w:rsid w:val="007C12B0"/>
    <w:tblPr>
      <w:tblStyleRowBandSize w:val="1"/>
      <w:tblStyleColBandSize w:val="1"/>
    </w:tblPr>
    <w:tblStylePr w:type="firstRow">
      <w:rPr>
        <w:b/>
        <w:bCs/>
      </w:rPr>
      <w:tblPr/>
      <w:tcPr>
        <w:tcBorders>
          <w:bottom w:val="single" w:sz="4" w:space="0" w:color="3DB2FF" w:themeColor="accent1" w:themeTint="99"/>
        </w:tcBorders>
      </w:tcPr>
    </w:tblStylePr>
    <w:tblStylePr w:type="lastRow">
      <w:rPr>
        <w:b/>
        <w:bCs/>
      </w:rPr>
      <w:tblPr/>
      <w:tcPr>
        <w:tcBorders>
          <w:top w:val="sing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customStyle="1" w:styleId="ListTable1Light-Accent21">
    <w:name w:val="List Table 1 Light - Accent 21"/>
    <w:basedOn w:val="TableNormal"/>
    <w:uiPriority w:val="46"/>
    <w:semiHidden/>
    <w:rsid w:val="007C12B0"/>
    <w:tblPr>
      <w:tblStyleRowBandSize w:val="1"/>
      <w:tblStyleColBandSize w:val="1"/>
    </w:tblPr>
    <w:tblStylePr w:type="firstRow">
      <w:rPr>
        <w:b/>
        <w:bCs/>
      </w:rPr>
      <w:tblPr/>
      <w:tcPr>
        <w:tcBorders>
          <w:bottom w:val="single" w:sz="4" w:space="0" w:color="FF4040" w:themeColor="accent2" w:themeTint="99"/>
        </w:tcBorders>
      </w:tcPr>
    </w:tblStylePr>
    <w:tblStylePr w:type="lastRow">
      <w:rPr>
        <w:b/>
        <w:bCs/>
      </w:rPr>
      <w:tblPr/>
      <w:tcPr>
        <w:tcBorders>
          <w:top w:val="sing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customStyle="1" w:styleId="ListTable1Light-Accent31">
    <w:name w:val="List Table 1 Light - Accent 31"/>
    <w:basedOn w:val="TableNormal"/>
    <w:uiPriority w:val="46"/>
    <w:semiHidden/>
    <w:rsid w:val="007C12B0"/>
    <w:tblPr>
      <w:tblStyleRowBandSize w:val="1"/>
      <w:tblStyleColBandSize w:val="1"/>
    </w:tblPr>
    <w:tblStylePr w:type="firstRow">
      <w:rPr>
        <w:b/>
        <w:bCs/>
      </w:rPr>
      <w:tblPr/>
      <w:tcPr>
        <w:tcBorders>
          <w:bottom w:val="single" w:sz="4" w:space="0" w:color="9F9F9F" w:themeColor="accent3" w:themeTint="99"/>
        </w:tcBorders>
      </w:tcPr>
    </w:tblStylePr>
    <w:tblStylePr w:type="lastRow">
      <w:rPr>
        <w:b/>
        <w:bCs/>
      </w:rPr>
      <w:tblPr/>
      <w:tcPr>
        <w:tcBorders>
          <w:top w:val="sing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customStyle="1" w:styleId="ListTable1Light-Accent41">
    <w:name w:val="List Table 1 Light - Accent 41"/>
    <w:basedOn w:val="TableNormal"/>
    <w:uiPriority w:val="46"/>
    <w:semiHidden/>
    <w:rsid w:val="007C12B0"/>
    <w:tblPr>
      <w:tblStyleRowBandSize w:val="1"/>
      <w:tblStyleColBandSize w:val="1"/>
    </w:tblPr>
    <w:tblStylePr w:type="firstRow">
      <w:rPr>
        <w:b/>
        <w:bCs/>
      </w:rPr>
      <w:tblPr/>
      <w:tcPr>
        <w:tcBorders>
          <w:bottom w:val="single" w:sz="4" w:space="0" w:color="C0C0C0" w:themeColor="accent4" w:themeTint="99"/>
        </w:tcBorders>
      </w:tcPr>
    </w:tblStylePr>
    <w:tblStylePr w:type="lastRow">
      <w:rPr>
        <w:b/>
        <w:bCs/>
      </w:rPr>
      <w:tblPr/>
      <w:tcPr>
        <w:tcBorders>
          <w:top w:val="sing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customStyle="1" w:styleId="ListTable1Light-Accent51">
    <w:name w:val="List Table 1 Light - Accent 51"/>
    <w:basedOn w:val="TableNormal"/>
    <w:uiPriority w:val="46"/>
    <w:semiHidden/>
    <w:rsid w:val="007C12B0"/>
    <w:tblPr>
      <w:tblStyleRowBandSize w:val="1"/>
      <w:tblStyleColBandSize w:val="1"/>
    </w:tblPr>
    <w:tblStylePr w:type="firstRow">
      <w:rPr>
        <w:b/>
        <w:bCs/>
      </w:rPr>
      <w:tblPr/>
      <w:tcPr>
        <w:tcBorders>
          <w:bottom w:val="single" w:sz="4" w:space="0" w:color="9F9F9F" w:themeColor="accent5" w:themeTint="99"/>
        </w:tcBorders>
      </w:tcPr>
    </w:tblStylePr>
    <w:tblStylePr w:type="lastRow">
      <w:rPr>
        <w:b/>
        <w:bCs/>
      </w:rPr>
      <w:tblPr/>
      <w:tcPr>
        <w:tcBorders>
          <w:top w:val="sing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customStyle="1" w:styleId="ListTable1Light-Accent61">
    <w:name w:val="List Table 1 Light - Accent 61"/>
    <w:basedOn w:val="TableNormal"/>
    <w:uiPriority w:val="46"/>
    <w:semiHidden/>
    <w:rsid w:val="007C12B0"/>
    <w:tblPr>
      <w:tblStyleRowBandSize w:val="1"/>
      <w:tblStyleColBandSize w:val="1"/>
    </w:tblPr>
    <w:tblStylePr w:type="firstRow">
      <w:rPr>
        <w:b/>
        <w:bCs/>
      </w:rPr>
      <w:tblPr/>
      <w:tcPr>
        <w:tcBorders>
          <w:bottom w:val="single" w:sz="4" w:space="0" w:color="949494" w:themeColor="accent6" w:themeTint="99"/>
        </w:tcBorders>
      </w:tcPr>
    </w:tblStylePr>
    <w:tblStylePr w:type="lastRow">
      <w:rPr>
        <w:b/>
        <w:bCs/>
      </w:rPr>
      <w:tblPr/>
      <w:tcPr>
        <w:tcBorders>
          <w:top w:val="sing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customStyle="1" w:styleId="ListTable21">
    <w:name w:val="List Table 21"/>
    <w:basedOn w:val="TableNormal"/>
    <w:uiPriority w:val="47"/>
    <w:semiHidden/>
    <w:rsid w:val="007C12B0"/>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1">
    <w:name w:val="List Table 2 - Accent 11"/>
    <w:basedOn w:val="TableNormal"/>
    <w:uiPriority w:val="47"/>
    <w:semiHidden/>
    <w:rsid w:val="007C12B0"/>
    <w:tblPr>
      <w:tblStyleRowBandSize w:val="1"/>
      <w:tblStyleColBandSize w:val="1"/>
      <w:tblBorders>
        <w:top w:val="single" w:sz="4" w:space="0" w:color="3DB2FF" w:themeColor="accent1" w:themeTint="99"/>
        <w:bottom w:val="single" w:sz="4" w:space="0" w:color="3DB2FF" w:themeColor="accent1" w:themeTint="99"/>
        <w:insideH w:val="single" w:sz="4" w:space="0" w:color="3DB2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customStyle="1" w:styleId="ListTable2-Accent21">
    <w:name w:val="List Table 2 - Accent 21"/>
    <w:basedOn w:val="TableNormal"/>
    <w:uiPriority w:val="47"/>
    <w:semiHidden/>
    <w:rsid w:val="007C12B0"/>
    <w:tblPr>
      <w:tblStyleRowBandSize w:val="1"/>
      <w:tblStyleColBandSize w:val="1"/>
      <w:tblBorders>
        <w:top w:val="single" w:sz="4" w:space="0" w:color="FF4040" w:themeColor="accent2" w:themeTint="99"/>
        <w:bottom w:val="single" w:sz="4" w:space="0" w:color="FF4040" w:themeColor="accent2" w:themeTint="99"/>
        <w:insideH w:val="single" w:sz="4" w:space="0" w:color="FF4040"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customStyle="1" w:styleId="ListTable2-Accent31">
    <w:name w:val="List Table 2 - Accent 31"/>
    <w:basedOn w:val="TableNormal"/>
    <w:uiPriority w:val="47"/>
    <w:semiHidden/>
    <w:rsid w:val="007C12B0"/>
    <w:tblPr>
      <w:tblStyleRowBandSize w:val="1"/>
      <w:tblStyleColBandSize w:val="1"/>
      <w:tblBorders>
        <w:top w:val="single" w:sz="4" w:space="0" w:color="9F9F9F" w:themeColor="accent3" w:themeTint="99"/>
        <w:bottom w:val="single" w:sz="4" w:space="0" w:color="9F9F9F" w:themeColor="accent3" w:themeTint="99"/>
        <w:insideH w:val="single" w:sz="4" w:space="0" w:color="9F9F9F"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customStyle="1" w:styleId="ListTable2-Accent41">
    <w:name w:val="List Table 2 - Accent 41"/>
    <w:basedOn w:val="TableNormal"/>
    <w:uiPriority w:val="47"/>
    <w:semiHidden/>
    <w:rsid w:val="007C12B0"/>
    <w:tblPr>
      <w:tblStyleRowBandSize w:val="1"/>
      <w:tblStyleColBandSize w:val="1"/>
      <w:tblBorders>
        <w:top w:val="single" w:sz="4" w:space="0" w:color="C0C0C0" w:themeColor="accent4" w:themeTint="99"/>
        <w:bottom w:val="single" w:sz="4" w:space="0" w:color="C0C0C0" w:themeColor="accent4" w:themeTint="99"/>
        <w:insideH w:val="single" w:sz="4" w:space="0" w:color="C0C0C0"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customStyle="1" w:styleId="ListTable2-Accent51">
    <w:name w:val="List Table 2 - Accent 51"/>
    <w:basedOn w:val="TableNormal"/>
    <w:uiPriority w:val="47"/>
    <w:semiHidden/>
    <w:rsid w:val="007C12B0"/>
    <w:tblPr>
      <w:tblStyleRowBandSize w:val="1"/>
      <w:tblStyleColBandSize w:val="1"/>
      <w:tblBorders>
        <w:top w:val="single" w:sz="4" w:space="0" w:color="9F9F9F" w:themeColor="accent5" w:themeTint="99"/>
        <w:bottom w:val="single" w:sz="4" w:space="0" w:color="9F9F9F" w:themeColor="accent5" w:themeTint="99"/>
        <w:insideH w:val="single" w:sz="4" w:space="0" w:color="9F9F9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customStyle="1" w:styleId="ListTable2-Accent61">
    <w:name w:val="List Table 2 - Accent 61"/>
    <w:basedOn w:val="TableNormal"/>
    <w:uiPriority w:val="47"/>
    <w:semiHidden/>
    <w:rsid w:val="007C12B0"/>
    <w:tblPr>
      <w:tblStyleRowBandSize w:val="1"/>
      <w:tblStyleColBandSize w:val="1"/>
      <w:tblBorders>
        <w:top w:val="single" w:sz="4" w:space="0" w:color="949494" w:themeColor="accent6" w:themeTint="99"/>
        <w:bottom w:val="single" w:sz="4" w:space="0" w:color="949494" w:themeColor="accent6" w:themeTint="99"/>
        <w:insideH w:val="single" w:sz="4" w:space="0" w:color="94949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customStyle="1" w:styleId="ListTable31">
    <w:name w:val="List Table 31"/>
    <w:basedOn w:val="TableNormal"/>
    <w:uiPriority w:val="48"/>
    <w:semiHidden/>
    <w:rsid w:val="007C12B0"/>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0072BC"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1">
    <w:name w:val="List Table 3 - Accent 11"/>
    <w:basedOn w:val="TableNormal"/>
    <w:uiPriority w:val="48"/>
    <w:semiHidden/>
    <w:rsid w:val="007C12B0"/>
    <w:tblPr>
      <w:tblStyleRowBandSize w:val="1"/>
      <w:tblStyleColBandSize w:val="1"/>
      <w:tblBorders>
        <w:top w:val="single" w:sz="4" w:space="0" w:color="0072BC" w:themeColor="accent1"/>
        <w:left w:val="single" w:sz="4" w:space="0" w:color="0072BC" w:themeColor="accent1"/>
        <w:bottom w:val="single" w:sz="4" w:space="0" w:color="0072BC" w:themeColor="accent1"/>
        <w:right w:val="single" w:sz="4" w:space="0" w:color="0072BC" w:themeColor="accent1"/>
      </w:tblBorders>
    </w:tblPr>
    <w:tblStylePr w:type="firstRow">
      <w:rPr>
        <w:b/>
        <w:bCs/>
        <w:color w:val="0072BC" w:themeColor="background1"/>
      </w:rPr>
      <w:tblPr/>
      <w:tcPr>
        <w:shd w:val="clear" w:color="auto" w:fill="0072BC" w:themeFill="accent1"/>
      </w:tcPr>
    </w:tblStylePr>
    <w:tblStylePr w:type="lastRow">
      <w:rPr>
        <w:b/>
        <w:bCs/>
      </w:rPr>
      <w:tblPr/>
      <w:tcPr>
        <w:tcBorders>
          <w:top w:val="double" w:sz="4" w:space="0" w:color="0072BC" w:themeColor="accent1"/>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0072BC" w:themeColor="accent1"/>
          <w:right w:val="single" w:sz="4" w:space="0" w:color="0072BC" w:themeColor="accent1"/>
        </w:tcBorders>
      </w:tcPr>
    </w:tblStylePr>
    <w:tblStylePr w:type="band1Horz">
      <w:tblPr/>
      <w:tcPr>
        <w:tcBorders>
          <w:top w:val="single" w:sz="4" w:space="0" w:color="0072BC" w:themeColor="accent1"/>
          <w:bottom w:val="single" w:sz="4" w:space="0" w:color="0072BC"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72BC" w:themeColor="accent1"/>
          <w:left w:val="nil"/>
        </w:tcBorders>
      </w:tcPr>
    </w:tblStylePr>
    <w:tblStylePr w:type="swCell">
      <w:tblPr/>
      <w:tcPr>
        <w:tcBorders>
          <w:top w:val="double" w:sz="4" w:space="0" w:color="0072BC" w:themeColor="accent1"/>
          <w:right w:val="nil"/>
        </w:tcBorders>
      </w:tcPr>
    </w:tblStylePr>
  </w:style>
  <w:style w:type="table" w:customStyle="1" w:styleId="ListTable3-Accent21">
    <w:name w:val="List Table 3 - Accent 21"/>
    <w:basedOn w:val="TableNormal"/>
    <w:uiPriority w:val="48"/>
    <w:semiHidden/>
    <w:rsid w:val="007C12B0"/>
    <w:tblPr>
      <w:tblStyleRowBandSize w:val="1"/>
      <w:tblStyleColBandSize w:val="1"/>
      <w:tblBorders>
        <w:top w:val="single" w:sz="4" w:space="0" w:color="C00000" w:themeColor="accent2"/>
        <w:left w:val="single" w:sz="4" w:space="0" w:color="C00000" w:themeColor="accent2"/>
        <w:bottom w:val="single" w:sz="4" w:space="0" w:color="C00000" w:themeColor="accent2"/>
        <w:right w:val="single" w:sz="4" w:space="0" w:color="C00000" w:themeColor="accent2"/>
      </w:tblBorders>
    </w:tblPr>
    <w:tblStylePr w:type="firstRow">
      <w:rPr>
        <w:b/>
        <w:bCs/>
        <w:color w:val="0072BC" w:themeColor="background1"/>
      </w:rPr>
      <w:tblPr/>
      <w:tcPr>
        <w:shd w:val="clear" w:color="auto" w:fill="C00000" w:themeFill="accent2"/>
      </w:tcPr>
    </w:tblStylePr>
    <w:tblStylePr w:type="lastRow">
      <w:rPr>
        <w:b/>
        <w:bCs/>
      </w:rPr>
      <w:tblPr/>
      <w:tcPr>
        <w:tcBorders>
          <w:top w:val="double" w:sz="4" w:space="0" w:color="C00000" w:themeColor="accent2"/>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C00000" w:themeColor="accent2"/>
          <w:right w:val="single" w:sz="4" w:space="0" w:color="C00000" w:themeColor="accent2"/>
        </w:tcBorders>
      </w:tcPr>
    </w:tblStylePr>
    <w:tblStylePr w:type="band1Horz">
      <w:tblPr/>
      <w:tcPr>
        <w:tcBorders>
          <w:top w:val="single" w:sz="4" w:space="0" w:color="C00000" w:themeColor="accent2"/>
          <w:bottom w:val="single" w:sz="4" w:space="0" w:color="C0000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0000" w:themeColor="accent2"/>
          <w:left w:val="nil"/>
        </w:tcBorders>
      </w:tcPr>
    </w:tblStylePr>
    <w:tblStylePr w:type="swCell">
      <w:tblPr/>
      <w:tcPr>
        <w:tcBorders>
          <w:top w:val="double" w:sz="4" w:space="0" w:color="C00000" w:themeColor="accent2"/>
          <w:right w:val="nil"/>
        </w:tcBorders>
      </w:tcPr>
    </w:tblStylePr>
  </w:style>
  <w:style w:type="table" w:customStyle="1" w:styleId="ListTable3-Accent31">
    <w:name w:val="List Table 3 - Accent 31"/>
    <w:basedOn w:val="TableNormal"/>
    <w:uiPriority w:val="48"/>
    <w:semiHidden/>
    <w:rsid w:val="007C12B0"/>
    <w:tblPr>
      <w:tblStyleRowBandSize w:val="1"/>
      <w:tblStyleColBandSize w:val="1"/>
      <w:tblBorders>
        <w:top w:val="single" w:sz="4" w:space="0" w:color="5F5F5F" w:themeColor="accent3"/>
        <w:left w:val="single" w:sz="4" w:space="0" w:color="5F5F5F" w:themeColor="accent3"/>
        <w:bottom w:val="single" w:sz="4" w:space="0" w:color="5F5F5F" w:themeColor="accent3"/>
        <w:right w:val="single" w:sz="4" w:space="0" w:color="5F5F5F" w:themeColor="accent3"/>
      </w:tblBorders>
    </w:tblPr>
    <w:tblStylePr w:type="firstRow">
      <w:rPr>
        <w:b/>
        <w:bCs/>
        <w:color w:val="0072BC" w:themeColor="background1"/>
      </w:rPr>
      <w:tblPr/>
      <w:tcPr>
        <w:shd w:val="clear" w:color="auto" w:fill="5F5F5F" w:themeFill="accent3"/>
      </w:tcPr>
    </w:tblStylePr>
    <w:tblStylePr w:type="lastRow">
      <w:rPr>
        <w:b/>
        <w:bCs/>
      </w:rPr>
      <w:tblPr/>
      <w:tcPr>
        <w:tcBorders>
          <w:top w:val="double" w:sz="4" w:space="0" w:color="5F5F5F" w:themeColor="accent3"/>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5F5F5F" w:themeColor="accent3"/>
          <w:right w:val="single" w:sz="4" w:space="0" w:color="5F5F5F" w:themeColor="accent3"/>
        </w:tcBorders>
      </w:tcPr>
    </w:tblStylePr>
    <w:tblStylePr w:type="band1Horz">
      <w:tblPr/>
      <w:tcPr>
        <w:tcBorders>
          <w:top w:val="single" w:sz="4" w:space="0" w:color="5F5F5F" w:themeColor="accent3"/>
          <w:bottom w:val="single" w:sz="4" w:space="0" w:color="5F5F5F"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5F5F" w:themeColor="accent3"/>
          <w:left w:val="nil"/>
        </w:tcBorders>
      </w:tcPr>
    </w:tblStylePr>
    <w:tblStylePr w:type="swCell">
      <w:tblPr/>
      <w:tcPr>
        <w:tcBorders>
          <w:top w:val="double" w:sz="4" w:space="0" w:color="5F5F5F" w:themeColor="accent3"/>
          <w:right w:val="nil"/>
        </w:tcBorders>
      </w:tcPr>
    </w:tblStylePr>
  </w:style>
  <w:style w:type="table" w:customStyle="1" w:styleId="ListTable3-Accent41">
    <w:name w:val="List Table 3 - Accent 41"/>
    <w:basedOn w:val="TableNormal"/>
    <w:uiPriority w:val="48"/>
    <w:semiHidden/>
    <w:rsid w:val="007C12B0"/>
    <w:tblPr>
      <w:tblStyleRowBandSize w:val="1"/>
      <w:tblStyleColBandSize w:val="1"/>
      <w:tblBorders>
        <w:top w:val="single" w:sz="4" w:space="0" w:color="969696" w:themeColor="accent4"/>
        <w:left w:val="single" w:sz="4" w:space="0" w:color="969696" w:themeColor="accent4"/>
        <w:bottom w:val="single" w:sz="4" w:space="0" w:color="969696" w:themeColor="accent4"/>
        <w:right w:val="single" w:sz="4" w:space="0" w:color="969696" w:themeColor="accent4"/>
      </w:tblBorders>
    </w:tblPr>
    <w:tblStylePr w:type="firstRow">
      <w:rPr>
        <w:b/>
        <w:bCs/>
        <w:color w:val="0072BC" w:themeColor="background1"/>
      </w:rPr>
      <w:tblPr/>
      <w:tcPr>
        <w:shd w:val="clear" w:color="auto" w:fill="969696" w:themeFill="accent4"/>
      </w:tcPr>
    </w:tblStylePr>
    <w:tblStylePr w:type="lastRow">
      <w:rPr>
        <w:b/>
        <w:bCs/>
      </w:rPr>
      <w:tblPr/>
      <w:tcPr>
        <w:tcBorders>
          <w:top w:val="double" w:sz="4" w:space="0" w:color="969696" w:themeColor="accent4"/>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969696" w:themeColor="accent4"/>
          <w:right w:val="single" w:sz="4" w:space="0" w:color="969696" w:themeColor="accent4"/>
        </w:tcBorders>
      </w:tcPr>
    </w:tblStylePr>
    <w:tblStylePr w:type="band1Horz">
      <w:tblPr/>
      <w:tcPr>
        <w:tcBorders>
          <w:top w:val="single" w:sz="4" w:space="0" w:color="969696" w:themeColor="accent4"/>
          <w:bottom w:val="single" w:sz="4" w:space="0" w:color="969696"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69696" w:themeColor="accent4"/>
          <w:left w:val="nil"/>
        </w:tcBorders>
      </w:tcPr>
    </w:tblStylePr>
    <w:tblStylePr w:type="swCell">
      <w:tblPr/>
      <w:tcPr>
        <w:tcBorders>
          <w:top w:val="double" w:sz="4" w:space="0" w:color="969696" w:themeColor="accent4"/>
          <w:right w:val="nil"/>
        </w:tcBorders>
      </w:tcPr>
    </w:tblStylePr>
  </w:style>
  <w:style w:type="table" w:customStyle="1" w:styleId="ListTable3-Accent51">
    <w:name w:val="List Table 3 - Accent 51"/>
    <w:basedOn w:val="TableNormal"/>
    <w:uiPriority w:val="48"/>
    <w:semiHidden/>
    <w:rsid w:val="007C12B0"/>
    <w:tblPr>
      <w:tblStyleRowBandSize w:val="1"/>
      <w:tblStyleColBandSize w:val="1"/>
      <w:tblBorders>
        <w:top w:val="single" w:sz="4" w:space="0" w:color="5F5F5F" w:themeColor="accent5"/>
        <w:left w:val="single" w:sz="4" w:space="0" w:color="5F5F5F" w:themeColor="accent5"/>
        <w:bottom w:val="single" w:sz="4" w:space="0" w:color="5F5F5F" w:themeColor="accent5"/>
        <w:right w:val="single" w:sz="4" w:space="0" w:color="5F5F5F" w:themeColor="accent5"/>
      </w:tblBorders>
    </w:tblPr>
    <w:tblStylePr w:type="firstRow">
      <w:rPr>
        <w:b/>
        <w:bCs/>
        <w:color w:val="0072BC" w:themeColor="background1"/>
      </w:rPr>
      <w:tblPr/>
      <w:tcPr>
        <w:shd w:val="clear" w:color="auto" w:fill="5F5F5F" w:themeFill="accent5"/>
      </w:tcPr>
    </w:tblStylePr>
    <w:tblStylePr w:type="lastRow">
      <w:rPr>
        <w:b/>
        <w:bCs/>
      </w:rPr>
      <w:tblPr/>
      <w:tcPr>
        <w:tcBorders>
          <w:top w:val="double" w:sz="4" w:space="0" w:color="5F5F5F" w:themeColor="accent5"/>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5F5F5F" w:themeColor="accent5"/>
          <w:right w:val="single" w:sz="4" w:space="0" w:color="5F5F5F" w:themeColor="accent5"/>
        </w:tcBorders>
      </w:tcPr>
    </w:tblStylePr>
    <w:tblStylePr w:type="band1Horz">
      <w:tblPr/>
      <w:tcPr>
        <w:tcBorders>
          <w:top w:val="single" w:sz="4" w:space="0" w:color="5F5F5F" w:themeColor="accent5"/>
          <w:bottom w:val="single" w:sz="4" w:space="0" w:color="5F5F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5F5F" w:themeColor="accent5"/>
          <w:left w:val="nil"/>
        </w:tcBorders>
      </w:tcPr>
    </w:tblStylePr>
    <w:tblStylePr w:type="swCell">
      <w:tblPr/>
      <w:tcPr>
        <w:tcBorders>
          <w:top w:val="double" w:sz="4" w:space="0" w:color="5F5F5F" w:themeColor="accent5"/>
          <w:right w:val="nil"/>
        </w:tcBorders>
      </w:tcPr>
    </w:tblStylePr>
  </w:style>
  <w:style w:type="table" w:customStyle="1" w:styleId="ListTable3-Accent61">
    <w:name w:val="List Table 3 - Accent 61"/>
    <w:basedOn w:val="TableNormal"/>
    <w:uiPriority w:val="48"/>
    <w:semiHidden/>
    <w:rsid w:val="007C12B0"/>
    <w:tblPr>
      <w:tblStyleRowBandSize w:val="1"/>
      <w:tblStyleColBandSize w:val="1"/>
      <w:tblBorders>
        <w:top w:val="single" w:sz="4" w:space="0" w:color="4D4D4D" w:themeColor="accent6"/>
        <w:left w:val="single" w:sz="4" w:space="0" w:color="4D4D4D" w:themeColor="accent6"/>
        <w:bottom w:val="single" w:sz="4" w:space="0" w:color="4D4D4D" w:themeColor="accent6"/>
        <w:right w:val="single" w:sz="4" w:space="0" w:color="4D4D4D" w:themeColor="accent6"/>
      </w:tblBorders>
    </w:tblPr>
    <w:tblStylePr w:type="firstRow">
      <w:rPr>
        <w:b/>
        <w:bCs/>
        <w:color w:val="0072BC" w:themeColor="background1"/>
      </w:rPr>
      <w:tblPr/>
      <w:tcPr>
        <w:shd w:val="clear" w:color="auto" w:fill="4D4D4D" w:themeFill="accent6"/>
      </w:tcPr>
    </w:tblStylePr>
    <w:tblStylePr w:type="lastRow">
      <w:rPr>
        <w:b/>
        <w:bCs/>
      </w:rPr>
      <w:tblPr/>
      <w:tcPr>
        <w:tcBorders>
          <w:top w:val="double" w:sz="4" w:space="0" w:color="4D4D4D" w:themeColor="accent6"/>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4D4D4D" w:themeColor="accent6"/>
          <w:right w:val="single" w:sz="4" w:space="0" w:color="4D4D4D" w:themeColor="accent6"/>
        </w:tcBorders>
      </w:tcPr>
    </w:tblStylePr>
    <w:tblStylePr w:type="band1Horz">
      <w:tblPr/>
      <w:tcPr>
        <w:tcBorders>
          <w:top w:val="single" w:sz="4" w:space="0" w:color="4D4D4D" w:themeColor="accent6"/>
          <w:bottom w:val="single" w:sz="4" w:space="0" w:color="4D4D4D"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D4D4D" w:themeColor="accent6"/>
          <w:left w:val="nil"/>
        </w:tcBorders>
      </w:tcPr>
    </w:tblStylePr>
    <w:tblStylePr w:type="swCell">
      <w:tblPr/>
      <w:tcPr>
        <w:tcBorders>
          <w:top w:val="double" w:sz="4" w:space="0" w:color="4D4D4D" w:themeColor="accent6"/>
          <w:right w:val="nil"/>
        </w:tcBorders>
      </w:tcPr>
    </w:tblStylePr>
  </w:style>
  <w:style w:type="table" w:customStyle="1" w:styleId="ListTable41">
    <w:name w:val="List Table 41"/>
    <w:basedOn w:val="TableNormal"/>
    <w:uiPriority w:val="49"/>
    <w:semiHidden/>
    <w:rsid w:val="007C12B0"/>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0072BC"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1">
    <w:name w:val="List Table 4 - Accent 11"/>
    <w:basedOn w:val="TableNormal"/>
    <w:uiPriority w:val="49"/>
    <w:semiHidden/>
    <w:rsid w:val="007C12B0"/>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tblBorders>
    </w:tblPr>
    <w:tblStylePr w:type="firstRow">
      <w:rPr>
        <w:b/>
        <w:bCs/>
        <w:color w:val="0072BC" w:themeColor="background1"/>
      </w:rPr>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nil"/>
        </w:tcBorders>
        <w:shd w:val="clear" w:color="auto" w:fill="0072BC" w:themeFill="accent1"/>
      </w:tcPr>
    </w:tblStylePr>
    <w:tblStylePr w:type="lastRow">
      <w:rPr>
        <w:b/>
        <w:bCs/>
      </w:rPr>
      <w:tblPr/>
      <w:tcPr>
        <w:tcBorders>
          <w:top w:val="doub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customStyle="1" w:styleId="ListTable4-Accent21">
    <w:name w:val="List Table 4 - Accent 21"/>
    <w:basedOn w:val="TableNormal"/>
    <w:uiPriority w:val="49"/>
    <w:semiHidden/>
    <w:rsid w:val="007C12B0"/>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tblBorders>
    </w:tblPr>
    <w:tblStylePr w:type="firstRow">
      <w:rPr>
        <w:b/>
        <w:bCs/>
        <w:color w:val="0072BC" w:themeColor="background1"/>
      </w:rPr>
      <w:tblPr/>
      <w:tcPr>
        <w:tcBorders>
          <w:top w:val="single" w:sz="4" w:space="0" w:color="C00000" w:themeColor="accent2"/>
          <w:left w:val="single" w:sz="4" w:space="0" w:color="C00000" w:themeColor="accent2"/>
          <w:bottom w:val="single" w:sz="4" w:space="0" w:color="C00000" w:themeColor="accent2"/>
          <w:right w:val="single" w:sz="4" w:space="0" w:color="C00000" w:themeColor="accent2"/>
          <w:insideH w:val="nil"/>
        </w:tcBorders>
        <w:shd w:val="clear" w:color="auto" w:fill="C00000" w:themeFill="accent2"/>
      </w:tcPr>
    </w:tblStylePr>
    <w:tblStylePr w:type="lastRow">
      <w:rPr>
        <w:b/>
        <w:bCs/>
      </w:rPr>
      <w:tblPr/>
      <w:tcPr>
        <w:tcBorders>
          <w:top w:val="doub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customStyle="1" w:styleId="ListTable4-Accent31">
    <w:name w:val="List Table 4 - Accent 31"/>
    <w:basedOn w:val="TableNormal"/>
    <w:uiPriority w:val="49"/>
    <w:semiHidden/>
    <w:rsid w:val="007C12B0"/>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tblBorders>
    </w:tblPr>
    <w:tblStylePr w:type="firstRow">
      <w:rPr>
        <w:b/>
        <w:bCs/>
        <w:color w:val="0072BC" w:themeColor="background1"/>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tcBorders>
        <w:shd w:val="clear" w:color="auto" w:fill="5F5F5F" w:themeFill="accent3"/>
      </w:tcPr>
    </w:tblStylePr>
    <w:tblStylePr w:type="lastRow">
      <w:rPr>
        <w:b/>
        <w:bCs/>
      </w:rPr>
      <w:tblPr/>
      <w:tcPr>
        <w:tcBorders>
          <w:top w:val="doub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customStyle="1" w:styleId="ListTable4-Accent41">
    <w:name w:val="List Table 4 - Accent 41"/>
    <w:basedOn w:val="TableNormal"/>
    <w:uiPriority w:val="49"/>
    <w:semiHidden/>
    <w:rsid w:val="007C12B0"/>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tblBorders>
    </w:tblPr>
    <w:tblStylePr w:type="firstRow">
      <w:rPr>
        <w:b/>
        <w:bCs/>
        <w:color w:val="0072BC" w:themeColor="background1"/>
      </w:rPr>
      <w:tblPr/>
      <w:tcPr>
        <w:tcBorders>
          <w:top w:val="single" w:sz="4" w:space="0" w:color="969696" w:themeColor="accent4"/>
          <w:left w:val="single" w:sz="4" w:space="0" w:color="969696" w:themeColor="accent4"/>
          <w:bottom w:val="single" w:sz="4" w:space="0" w:color="969696" w:themeColor="accent4"/>
          <w:right w:val="single" w:sz="4" w:space="0" w:color="969696" w:themeColor="accent4"/>
          <w:insideH w:val="nil"/>
        </w:tcBorders>
        <w:shd w:val="clear" w:color="auto" w:fill="969696" w:themeFill="accent4"/>
      </w:tcPr>
    </w:tblStylePr>
    <w:tblStylePr w:type="lastRow">
      <w:rPr>
        <w:b/>
        <w:bCs/>
      </w:rPr>
      <w:tblPr/>
      <w:tcPr>
        <w:tcBorders>
          <w:top w:val="doub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customStyle="1" w:styleId="ListTable4-Accent51">
    <w:name w:val="List Table 4 - Accent 51"/>
    <w:basedOn w:val="TableNormal"/>
    <w:uiPriority w:val="49"/>
    <w:semiHidden/>
    <w:rsid w:val="007C12B0"/>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tblBorders>
    </w:tblPr>
    <w:tblStylePr w:type="firstRow">
      <w:rPr>
        <w:b/>
        <w:bCs/>
        <w:color w:val="0072BC"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tcBorders>
        <w:shd w:val="clear" w:color="auto" w:fill="5F5F5F" w:themeFill="accent5"/>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customStyle="1" w:styleId="ListTable4-Accent61">
    <w:name w:val="List Table 4 - Accent 61"/>
    <w:basedOn w:val="TableNormal"/>
    <w:uiPriority w:val="49"/>
    <w:semiHidden/>
    <w:rsid w:val="007C12B0"/>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tblBorders>
    </w:tblPr>
    <w:tblStylePr w:type="firstRow">
      <w:rPr>
        <w:b/>
        <w:bCs/>
        <w:color w:val="0072BC"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tcBorders>
        <w:shd w:val="clear" w:color="auto" w:fill="4D4D4D" w:themeFill="accent6"/>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customStyle="1" w:styleId="ListTable5Dark1">
    <w:name w:val="List Table 5 Dark1"/>
    <w:basedOn w:val="TableNormal"/>
    <w:uiPriority w:val="50"/>
    <w:semiHidden/>
    <w:rsid w:val="007C12B0"/>
    <w:rPr>
      <w:color w:val="0072BC"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1">
    <w:name w:val="List Table 5 Dark - Accent 11"/>
    <w:basedOn w:val="TableNormal"/>
    <w:uiPriority w:val="50"/>
    <w:semiHidden/>
    <w:rsid w:val="007C12B0"/>
    <w:rPr>
      <w:color w:val="0072BC" w:themeColor="background1"/>
    </w:rPr>
    <w:tblPr>
      <w:tblStyleRowBandSize w:val="1"/>
      <w:tblStyleColBandSize w:val="1"/>
      <w:tblBorders>
        <w:top w:val="single" w:sz="24" w:space="0" w:color="0072BC" w:themeColor="accent1"/>
        <w:left w:val="single" w:sz="24" w:space="0" w:color="0072BC" w:themeColor="accent1"/>
        <w:bottom w:val="single" w:sz="24" w:space="0" w:color="0072BC" w:themeColor="accent1"/>
        <w:right w:val="single" w:sz="24" w:space="0" w:color="0072BC" w:themeColor="accent1"/>
      </w:tblBorders>
    </w:tblPr>
    <w:tcPr>
      <w:shd w:val="clear" w:color="auto" w:fill="0072BC" w:themeFill="accent1"/>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1">
    <w:name w:val="List Table 5 Dark - Accent 21"/>
    <w:basedOn w:val="TableNormal"/>
    <w:uiPriority w:val="50"/>
    <w:semiHidden/>
    <w:rsid w:val="007C12B0"/>
    <w:rPr>
      <w:color w:val="0072BC" w:themeColor="background1"/>
    </w:rPr>
    <w:tblPr>
      <w:tblStyleRowBandSize w:val="1"/>
      <w:tblStyleColBandSize w:val="1"/>
      <w:tblBorders>
        <w:top w:val="single" w:sz="24" w:space="0" w:color="C00000" w:themeColor="accent2"/>
        <w:left w:val="single" w:sz="24" w:space="0" w:color="C00000" w:themeColor="accent2"/>
        <w:bottom w:val="single" w:sz="24" w:space="0" w:color="C00000" w:themeColor="accent2"/>
        <w:right w:val="single" w:sz="24" w:space="0" w:color="C00000" w:themeColor="accent2"/>
      </w:tblBorders>
    </w:tblPr>
    <w:tcPr>
      <w:shd w:val="clear" w:color="auto" w:fill="C00000" w:themeFill="accent2"/>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1">
    <w:name w:val="List Table 5 Dark - Accent 31"/>
    <w:basedOn w:val="TableNormal"/>
    <w:uiPriority w:val="50"/>
    <w:semiHidden/>
    <w:rsid w:val="007C12B0"/>
    <w:rPr>
      <w:color w:val="0072BC" w:themeColor="background1"/>
    </w:rPr>
    <w:tblPr>
      <w:tblStyleRowBandSize w:val="1"/>
      <w:tblStyleColBandSize w:val="1"/>
      <w:tblBorders>
        <w:top w:val="single" w:sz="24" w:space="0" w:color="5F5F5F" w:themeColor="accent3"/>
        <w:left w:val="single" w:sz="24" w:space="0" w:color="5F5F5F" w:themeColor="accent3"/>
        <w:bottom w:val="single" w:sz="24" w:space="0" w:color="5F5F5F" w:themeColor="accent3"/>
        <w:right w:val="single" w:sz="24" w:space="0" w:color="5F5F5F" w:themeColor="accent3"/>
      </w:tblBorders>
    </w:tblPr>
    <w:tcPr>
      <w:shd w:val="clear" w:color="auto" w:fill="5F5F5F" w:themeFill="accent3"/>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1">
    <w:name w:val="List Table 5 Dark - Accent 41"/>
    <w:basedOn w:val="TableNormal"/>
    <w:uiPriority w:val="50"/>
    <w:semiHidden/>
    <w:rsid w:val="007C12B0"/>
    <w:rPr>
      <w:color w:val="0072BC" w:themeColor="background1"/>
    </w:rPr>
    <w:tblPr>
      <w:tblStyleRowBandSize w:val="1"/>
      <w:tblStyleColBandSize w:val="1"/>
      <w:tblBorders>
        <w:top w:val="single" w:sz="24" w:space="0" w:color="969696" w:themeColor="accent4"/>
        <w:left w:val="single" w:sz="24" w:space="0" w:color="969696" w:themeColor="accent4"/>
        <w:bottom w:val="single" w:sz="24" w:space="0" w:color="969696" w:themeColor="accent4"/>
        <w:right w:val="single" w:sz="24" w:space="0" w:color="969696" w:themeColor="accent4"/>
      </w:tblBorders>
    </w:tblPr>
    <w:tcPr>
      <w:shd w:val="clear" w:color="auto" w:fill="969696" w:themeFill="accent4"/>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1">
    <w:name w:val="List Table 5 Dark - Accent 51"/>
    <w:basedOn w:val="TableNormal"/>
    <w:uiPriority w:val="50"/>
    <w:semiHidden/>
    <w:rsid w:val="007C12B0"/>
    <w:rPr>
      <w:color w:val="0072BC" w:themeColor="background1"/>
    </w:rPr>
    <w:tblPr>
      <w:tblStyleRowBandSize w:val="1"/>
      <w:tblStyleColBandSize w:val="1"/>
      <w:tblBorders>
        <w:top w:val="single" w:sz="24" w:space="0" w:color="5F5F5F" w:themeColor="accent5"/>
        <w:left w:val="single" w:sz="24" w:space="0" w:color="5F5F5F" w:themeColor="accent5"/>
        <w:bottom w:val="single" w:sz="24" w:space="0" w:color="5F5F5F" w:themeColor="accent5"/>
        <w:right w:val="single" w:sz="24" w:space="0" w:color="5F5F5F" w:themeColor="accent5"/>
      </w:tblBorders>
    </w:tblPr>
    <w:tcPr>
      <w:shd w:val="clear" w:color="auto" w:fill="5F5F5F" w:themeFill="accent5"/>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1">
    <w:name w:val="List Table 5 Dark - Accent 61"/>
    <w:basedOn w:val="TableNormal"/>
    <w:uiPriority w:val="50"/>
    <w:semiHidden/>
    <w:rsid w:val="007C12B0"/>
    <w:rPr>
      <w:color w:val="0072BC" w:themeColor="background1"/>
    </w:rPr>
    <w:tblPr>
      <w:tblStyleRowBandSize w:val="1"/>
      <w:tblStyleColBandSize w:val="1"/>
      <w:tblBorders>
        <w:top w:val="single" w:sz="24" w:space="0" w:color="4D4D4D" w:themeColor="accent6"/>
        <w:left w:val="single" w:sz="24" w:space="0" w:color="4D4D4D" w:themeColor="accent6"/>
        <w:bottom w:val="single" w:sz="24" w:space="0" w:color="4D4D4D" w:themeColor="accent6"/>
        <w:right w:val="single" w:sz="24" w:space="0" w:color="4D4D4D" w:themeColor="accent6"/>
      </w:tblBorders>
    </w:tblPr>
    <w:tcPr>
      <w:shd w:val="clear" w:color="auto" w:fill="4D4D4D" w:themeFill="accent6"/>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1">
    <w:name w:val="List Table 6 Colorful1"/>
    <w:basedOn w:val="TableNormal"/>
    <w:uiPriority w:val="51"/>
    <w:semiHidden/>
    <w:rsid w:val="007C12B0"/>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1">
    <w:name w:val="List Table 6 Colorful - Accent 11"/>
    <w:basedOn w:val="TableNormal"/>
    <w:uiPriority w:val="51"/>
    <w:semiHidden/>
    <w:rsid w:val="007C12B0"/>
    <w:rPr>
      <w:color w:val="00548C" w:themeColor="accent1" w:themeShade="BF"/>
    </w:rPr>
    <w:tblPr>
      <w:tblStyleRowBandSize w:val="1"/>
      <w:tblStyleColBandSize w:val="1"/>
      <w:tblBorders>
        <w:top w:val="single" w:sz="4" w:space="0" w:color="0072BC" w:themeColor="accent1"/>
        <w:bottom w:val="single" w:sz="4" w:space="0" w:color="0072BC" w:themeColor="accent1"/>
      </w:tblBorders>
    </w:tblPr>
    <w:tblStylePr w:type="firstRow">
      <w:rPr>
        <w:b/>
        <w:bCs/>
      </w:rPr>
      <w:tblPr/>
      <w:tcPr>
        <w:tcBorders>
          <w:bottom w:val="single" w:sz="4" w:space="0" w:color="0072BC" w:themeColor="accent1"/>
        </w:tcBorders>
      </w:tcPr>
    </w:tblStylePr>
    <w:tblStylePr w:type="lastRow">
      <w:rPr>
        <w:b/>
        <w:bCs/>
      </w:rPr>
      <w:tblPr/>
      <w:tcPr>
        <w:tcBorders>
          <w:top w:val="double" w:sz="4" w:space="0" w:color="0072BC" w:themeColor="accent1"/>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customStyle="1" w:styleId="ListTable6Colorful-Accent21">
    <w:name w:val="List Table 6 Colorful - Accent 21"/>
    <w:basedOn w:val="TableNormal"/>
    <w:uiPriority w:val="51"/>
    <w:semiHidden/>
    <w:rsid w:val="007C12B0"/>
    <w:rPr>
      <w:color w:val="8F0000" w:themeColor="accent2" w:themeShade="BF"/>
    </w:rPr>
    <w:tblPr>
      <w:tblStyleRowBandSize w:val="1"/>
      <w:tblStyleColBandSize w:val="1"/>
      <w:tblBorders>
        <w:top w:val="single" w:sz="4" w:space="0" w:color="C00000" w:themeColor="accent2"/>
        <w:bottom w:val="single" w:sz="4" w:space="0" w:color="C00000" w:themeColor="accent2"/>
      </w:tblBorders>
    </w:tblPr>
    <w:tblStylePr w:type="firstRow">
      <w:rPr>
        <w:b/>
        <w:bCs/>
      </w:rPr>
      <w:tblPr/>
      <w:tcPr>
        <w:tcBorders>
          <w:bottom w:val="single" w:sz="4" w:space="0" w:color="C00000" w:themeColor="accent2"/>
        </w:tcBorders>
      </w:tcPr>
    </w:tblStylePr>
    <w:tblStylePr w:type="lastRow">
      <w:rPr>
        <w:b/>
        <w:bCs/>
      </w:rPr>
      <w:tblPr/>
      <w:tcPr>
        <w:tcBorders>
          <w:top w:val="double" w:sz="4" w:space="0" w:color="C00000" w:themeColor="accent2"/>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customStyle="1" w:styleId="ListTable6Colorful-Accent31">
    <w:name w:val="List Table 6 Colorful - Accent 31"/>
    <w:basedOn w:val="TableNormal"/>
    <w:uiPriority w:val="51"/>
    <w:semiHidden/>
    <w:rsid w:val="007C12B0"/>
    <w:rPr>
      <w:color w:val="474747" w:themeColor="accent3" w:themeShade="BF"/>
    </w:rPr>
    <w:tblPr>
      <w:tblStyleRowBandSize w:val="1"/>
      <w:tblStyleColBandSize w:val="1"/>
      <w:tblBorders>
        <w:top w:val="single" w:sz="4" w:space="0" w:color="5F5F5F" w:themeColor="accent3"/>
        <w:bottom w:val="single" w:sz="4" w:space="0" w:color="5F5F5F" w:themeColor="accent3"/>
      </w:tblBorders>
    </w:tblPr>
    <w:tblStylePr w:type="firstRow">
      <w:rPr>
        <w:b/>
        <w:bCs/>
      </w:rPr>
      <w:tblPr/>
      <w:tcPr>
        <w:tcBorders>
          <w:bottom w:val="single" w:sz="4" w:space="0" w:color="5F5F5F" w:themeColor="accent3"/>
        </w:tcBorders>
      </w:tcPr>
    </w:tblStylePr>
    <w:tblStylePr w:type="lastRow">
      <w:rPr>
        <w:b/>
        <w:bCs/>
      </w:rPr>
      <w:tblPr/>
      <w:tcPr>
        <w:tcBorders>
          <w:top w:val="double" w:sz="4" w:space="0" w:color="5F5F5F" w:themeColor="accent3"/>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customStyle="1" w:styleId="ListTable6Colorful-Accent41">
    <w:name w:val="List Table 6 Colorful - Accent 41"/>
    <w:basedOn w:val="TableNormal"/>
    <w:uiPriority w:val="51"/>
    <w:semiHidden/>
    <w:rsid w:val="007C12B0"/>
    <w:rPr>
      <w:color w:val="707070" w:themeColor="accent4" w:themeShade="BF"/>
    </w:rPr>
    <w:tblPr>
      <w:tblStyleRowBandSize w:val="1"/>
      <w:tblStyleColBandSize w:val="1"/>
      <w:tblBorders>
        <w:top w:val="single" w:sz="4" w:space="0" w:color="969696" w:themeColor="accent4"/>
        <w:bottom w:val="single" w:sz="4" w:space="0" w:color="969696" w:themeColor="accent4"/>
      </w:tblBorders>
    </w:tblPr>
    <w:tblStylePr w:type="firstRow">
      <w:rPr>
        <w:b/>
        <w:bCs/>
      </w:rPr>
      <w:tblPr/>
      <w:tcPr>
        <w:tcBorders>
          <w:bottom w:val="single" w:sz="4" w:space="0" w:color="969696" w:themeColor="accent4"/>
        </w:tcBorders>
      </w:tcPr>
    </w:tblStylePr>
    <w:tblStylePr w:type="lastRow">
      <w:rPr>
        <w:b/>
        <w:bCs/>
      </w:rPr>
      <w:tblPr/>
      <w:tcPr>
        <w:tcBorders>
          <w:top w:val="double" w:sz="4" w:space="0" w:color="969696" w:themeColor="accent4"/>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customStyle="1" w:styleId="ListTable6Colorful-Accent51">
    <w:name w:val="List Table 6 Colorful - Accent 51"/>
    <w:basedOn w:val="TableNormal"/>
    <w:uiPriority w:val="51"/>
    <w:semiHidden/>
    <w:rsid w:val="007C12B0"/>
    <w:rPr>
      <w:color w:val="474747" w:themeColor="accent5" w:themeShade="BF"/>
    </w:rPr>
    <w:tblPr>
      <w:tblStyleRowBandSize w:val="1"/>
      <w:tblStyleColBandSize w:val="1"/>
      <w:tblBorders>
        <w:top w:val="single" w:sz="4" w:space="0" w:color="5F5F5F" w:themeColor="accent5"/>
        <w:bottom w:val="single" w:sz="4" w:space="0" w:color="5F5F5F" w:themeColor="accent5"/>
      </w:tblBorders>
    </w:tblPr>
    <w:tblStylePr w:type="firstRow">
      <w:rPr>
        <w:b/>
        <w:bCs/>
      </w:rPr>
      <w:tblPr/>
      <w:tcPr>
        <w:tcBorders>
          <w:bottom w:val="single" w:sz="4" w:space="0" w:color="5F5F5F" w:themeColor="accent5"/>
        </w:tcBorders>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customStyle="1" w:styleId="ListTable6Colorful-Accent61">
    <w:name w:val="List Table 6 Colorful - Accent 61"/>
    <w:basedOn w:val="TableNormal"/>
    <w:uiPriority w:val="51"/>
    <w:semiHidden/>
    <w:rsid w:val="007C12B0"/>
    <w:rPr>
      <w:color w:val="393939" w:themeColor="accent6" w:themeShade="BF"/>
    </w:rPr>
    <w:tblPr>
      <w:tblStyleRowBandSize w:val="1"/>
      <w:tblStyleColBandSize w:val="1"/>
      <w:tblBorders>
        <w:top w:val="single" w:sz="4" w:space="0" w:color="4D4D4D" w:themeColor="accent6"/>
        <w:bottom w:val="single" w:sz="4" w:space="0" w:color="4D4D4D" w:themeColor="accent6"/>
      </w:tblBorders>
    </w:tblPr>
    <w:tblStylePr w:type="firstRow">
      <w:rPr>
        <w:b/>
        <w:bCs/>
      </w:rPr>
      <w:tblPr/>
      <w:tcPr>
        <w:tcBorders>
          <w:bottom w:val="single" w:sz="4" w:space="0" w:color="4D4D4D" w:themeColor="accent6"/>
        </w:tcBorders>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customStyle="1" w:styleId="ListTable7Colorful1">
    <w:name w:val="List Table 7 Colorful1"/>
    <w:basedOn w:val="TableNormal"/>
    <w:uiPriority w:val="52"/>
    <w:semiHidden/>
    <w:rsid w:val="007C12B0"/>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1">
    <w:name w:val="List Table 7 Colorful - Accent 11"/>
    <w:basedOn w:val="TableNormal"/>
    <w:uiPriority w:val="52"/>
    <w:semiHidden/>
    <w:rsid w:val="007C12B0"/>
    <w:rPr>
      <w:color w:val="00548C"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72BC" w:themeColor="accent1"/>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0072BC" w:themeColor="accent1"/>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72BC" w:themeColor="accent1"/>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0072BC" w:themeColor="accent1"/>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1">
    <w:name w:val="List Table 7 Colorful - Accent 21"/>
    <w:basedOn w:val="TableNormal"/>
    <w:uiPriority w:val="52"/>
    <w:semiHidden/>
    <w:rsid w:val="007C12B0"/>
    <w:rPr>
      <w:color w:val="8F0000"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0000" w:themeColor="accent2"/>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C00000" w:themeColor="accent2"/>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0000" w:themeColor="accent2"/>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C00000" w:themeColor="accent2"/>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1">
    <w:name w:val="List Table 7 Colorful - Accent 31"/>
    <w:basedOn w:val="TableNormal"/>
    <w:uiPriority w:val="52"/>
    <w:semiHidden/>
    <w:rsid w:val="007C12B0"/>
    <w:rPr>
      <w:color w:val="474747"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F5F5F" w:themeColor="accent3"/>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5F5F5F" w:themeColor="accent3"/>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F5F5F" w:themeColor="accent3"/>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5F5F5F" w:themeColor="accent3"/>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1">
    <w:name w:val="List Table 7 Colorful - Accent 41"/>
    <w:basedOn w:val="TableNormal"/>
    <w:uiPriority w:val="52"/>
    <w:semiHidden/>
    <w:rsid w:val="007C12B0"/>
    <w:rPr>
      <w:color w:val="70707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69696" w:themeColor="accent4"/>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969696" w:themeColor="accent4"/>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69696" w:themeColor="accent4"/>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969696" w:themeColor="accent4"/>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1">
    <w:name w:val="List Table 7 Colorful - Accent 51"/>
    <w:basedOn w:val="TableNormal"/>
    <w:uiPriority w:val="52"/>
    <w:semiHidden/>
    <w:rsid w:val="007C12B0"/>
    <w:rPr>
      <w:color w:val="4747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F5F5F" w:themeColor="accent5"/>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5F5F5F" w:themeColor="accent5"/>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F5F5F" w:themeColor="accent5"/>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5F5F5F" w:themeColor="accent5"/>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1">
    <w:name w:val="List Table 7 Colorful - Accent 61"/>
    <w:basedOn w:val="TableNormal"/>
    <w:uiPriority w:val="52"/>
    <w:semiHidden/>
    <w:rsid w:val="007C12B0"/>
    <w:rPr>
      <w:color w:val="393939"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D4D4D" w:themeColor="accent6"/>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4D4D4D" w:themeColor="accent6"/>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D4D4D" w:themeColor="accent6"/>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4D4D4D" w:themeColor="accent6"/>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Accent1">
    <w:name w:val="Grid Table 1 Light Accent 1"/>
    <w:basedOn w:val="TableNormal"/>
    <w:uiPriority w:val="98"/>
    <w:rsid w:val="007C12B0"/>
    <w:tblPr>
      <w:tblStyleRowBandSize w:val="1"/>
      <w:tblStyleColBandSize w:val="1"/>
      <w:tblBorders>
        <w:top w:val="single" w:sz="4" w:space="0" w:color="7ECBFF" w:themeColor="accent1" w:themeTint="66"/>
        <w:left w:val="single" w:sz="4" w:space="0" w:color="7ECBFF" w:themeColor="accent1" w:themeTint="66"/>
        <w:bottom w:val="single" w:sz="4" w:space="0" w:color="7ECBFF" w:themeColor="accent1" w:themeTint="66"/>
        <w:right w:val="single" w:sz="4" w:space="0" w:color="7ECBFF" w:themeColor="accent1" w:themeTint="66"/>
        <w:insideH w:val="single" w:sz="4" w:space="0" w:color="7ECBFF" w:themeColor="accent1" w:themeTint="66"/>
        <w:insideV w:val="single" w:sz="4" w:space="0" w:color="7ECBFF" w:themeColor="accent1" w:themeTint="66"/>
      </w:tblBorders>
    </w:tblPr>
    <w:tblStylePr w:type="firstRow">
      <w:rPr>
        <w:b/>
        <w:bCs/>
      </w:rPr>
      <w:tblPr/>
      <w:tcPr>
        <w:tcBorders>
          <w:bottom w:val="single" w:sz="12" w:space="0" w:color="3DB2FF" w:themeColor="accent1" w:themeTint="99"/>
        </w:tcBorders>
      </w:tcPr>
    </w:tblStylePr>
    <w:tblStylePr w:type="lastRow">
      <w:rPr>
        <w:b/>
        <w:bCs/>
      </w:rPr>
      <w:tblPr/>
      <w:tcPr>
        <w:tcBorders>
          <w:top w:val="double" w:sz="2" w:space="0" w:color="3DB2FF" w:themeColor="accent1" w:themeTint="99"/>
        </w:tcBorders>
      </w:tcPr>
    </w:tblStylePr>
    <w:tblStylePr w:type="firstCol">
      <w:rPr>
        <w:b/>
        <w:bCs/>
      </w:rPr>
    </w:tblStylePr>
    <w:tblStylePr w:type="lastCol">
      <w:rPr>
        <w:b/>
        <w:bCs/>
      </w:rPr>
    </w:tblStylePr>
  </w:style>
  <w:style w:type="table" w:customStyle="1" w:styleId="PlainTable11">
    <w:name w:val="Plain Table 11"/>
    <w:basedOn w:val="TableNormal"/>
    <w:uiPriority w:val="41"/>
    <w:semiHidden/>
    <w:rsid w:val="007C12B0"/>
    <w:tblPr>
      <w:tblStyleRowBandSize w:val="1"/>
      <w:tblStyleColBandSize w:val="1"/>
      <w:tblBorders>
        <w:top w:val="single" w:sz="4" w:space="0" w:color="00548C" w:themeColor="background1" w:themeShade="BF"/>
        <w:left w:val="single" w:sz="4" w:space="0" w:color="00548C" w:themeColor="background1" w:themeShade="BF"/>
        <w:bottom w:val="single" w:sz="4" w:space="0" w:color="00548C" w:themeColor="background1" w:themeShade="BF"/>
        <w:right w:val="single" w:sz="4" w:space="0" w:color="00548C" w:themeColor="background1" w:themeShade="BF"/>
        <w:insideH w:val="single" w:sz="4" w:space="0" w:color="00548C" w:themeColor="background1" w:themeShade="BF"/>
        <w:insideV w:val="single" w:sz="4" w:space="0" w:color="00548C" w:themeColor="background1" w:themeShade="BF"/>
      </w:tblBorders>
    </w:tblPr>
    <w:tblStylePr w:type="firstRow">
      <w:rPr>
        <w:b/>
        <w:bCs/>
      </w:rPr>
    </w:tblStylePr>
    <w:tblStylePr w:type="lastRow">
      <w:rPr>
        <w:b/>
        <w:bCs/>
      </w:rPr>
      <w:tblPr/>
      <w:tcPr>
        <w:tcBorders>
          <w:top w:val="double" w:sz="4" w:space="0" w:color="00548C" w:themeColor="background1" w:themeShade="BF"/>
        </w:tcBorders>
      </w:tcPr>
    </w:tblStylePr>
    <w:tblStylePr w:type="firstCol">
      <w:rPr>
        <w:b/>
        <w:bCs/>
      </w:rPr>
    </w:tblStylePr>
    <w:tblStylePr w:type="lastCol">
      <w:rPr>
        <w:b/>
        <w:bCs/>
      </w:r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style>
  <w:style w:type="table" w:customStyle="1" w:styleId="PlainTable21">
    <w:name w:val="Plain Table 21"/>
    <w:basedOn w:val="TableNormal"/>
    <w:uiPriority w:val="42"/>
    <w:semiHidden/>
    <w:rsid w:val="007C12B0"/>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1">
    <w:name w:val="Plain Table 31"/>
    <w:basedOn w:val="TableNormal"/>
    <w:uiPriority w:val="43"/>
    <w:semiHidden/>
    <w:rsid w:val="007C12B0"/>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TableNormal"/>
    <w:uiPriority w:val="44"/>
    <w:semiHidden/>
    <w:rsid w:val="007C12B0"/>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style>
  <w:style w:type="table" w:customStyle="1" w:styleId="PlainTable51">
    <w:name w:val="Plain Table 51"/>
    <w:basedOn w:val="TableNormal"/>
    <w:uiPriority w:val="45"/>
    <w:semiHidden/>
    <w:rsid w:val="007C12B0"/>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0072BC" w:themeFill="background1"/>
      </w:tc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Accent2">
    <w:name w:val="Grid Table 1 Light Accent 2"/>
    <w:basedOn w:val="TableNormal"/>
    <w:uiPriority w:val="98"/>
    <w:rsid w:val="007C12B0"/>
    <w:tblPr>
      <w:tblStyleRowBandSize w:val="1"/>
      <w:tblStyleColBandSize w:val="1"/>
      <w:tblBorders>
        <w:top w:val="single" w:sz="4" w:space="0" w:color="FF7F7F" w:themeColor="accent2" w:themeTint="66"/>
        <w:left w:val="single" w:sz="4" w:space="0" w:color="FF7F7F" w:themeColor="accent2" w:themeTint="66"/>
        <w:bottom w:val="single" w:sz="4" w:space="0" w:color="FF7F7F" w:themeColor="accent2" w:themeTint="66"/>
        <w:right w:val="single" w:sz="4" w:space="0" w:color="FF7F7F" w:themeColor="accent2" w:themeTint="66"/>
        <w:insideH w:val="single" w:sz="4" w:space="0" w:color="FF7F7F" w:themeColor="accent2" w:themeTint="66"/>
        <w:insideV w:val="single" w:sz="4" w:space="0" w:color="FF7F7F" w:themeColor="accent2" w:themeTint="66"/>
      </w:tblBorders>
    </w:tblPr>
    <w:tblStylePr w:type="firstRow">
      <w:rPr>
        <w:b/>
        <w:bCs/>
      </w:rPr>
      <w:tblPr/>
      <w:tcPr>
        <w:tcBorders>
          <w:bottom w:val="single" w:sz="12" w:space="0" w:color="FF4040" w:themeColor="accent2" w:themeTint="99"/>
        </w:tcBorders>
      </w:tcPr>
    </w:tblStylePr>
    <w:tblStylePr w:type="lastRow">
      <w:rPr>
        <w:b/>
        <w:bCs/>
      </w:rPr>
      <w:tblPr/>
      <w:tcPr>
        <w:tcBorders>
          <w:top w:val="double" w:sz="2" w:space="0" w:color="FF4040"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98"/>
    <w:rsid w:val="007C12B0"/>
    <w:tblPr>
      <w:tblStyleRowBandSize w:val="1"/>
      <w:tblStyleColBandSize w:val="1"/>
      <w:tblBorders>
        <w:top w:val="single" w:sz="4" w:space="0" w:color="BFBFBF" w:themeColor="accent3" w:themeTint="66"/>
        <w:left w:val="single" w:sz="4" w:space="0" w:color="BFBFBF" w:themeColor="accent3" w:themeTint="66"/>
        <w:bottom w:val="single" w:sz="4" w:space="0" w:color="BFBFBF" w:themeColor="accent3" w:themeTint="66"/>
        <w:right w:val="single" w:sz="4" w:space="0" w:color="BFBFBF" w:themeColor="accent3" w:themeTint="66"/>
        <w:insideH w:val="single" w:sz="4" w:space="0" w:color="BFBFBF" w:themeColor="accent3" w:themeTint="66"/>
        <w:insideV w:val="single" w:sz="4" w:space="0" w:color="BFBFBF" w:themeColor="accent3" w:themeTint="66"/>
      </w:tblBorders>
    </w:tblPr>
    <w:tblStylePr w:type="firstRow">
      <w:rPr>
        <w:b/>
        <w:bCs/>
      </w:rPr>
      <w:tblPr/>
      <w:tcPr>
        <w:tcBorders>
          <w:bottom w:val="single" w:sz="12" w:space="0" w:color="9F9F9F" w:themeColor="accent3" w:themeTint="99"/>
        </w:tcBorders>
      </w:tcPr>
    </w:tblStylePr>
    <w:tblStylePr w:type="lastRow">
      <w:rPr>
        <w:b/>
        <w:bCs/>
      </w:rPr>
      <w:tblPr/>
      <w:tcPr>
        <w:tcBorders>
          <w:top w:val="double" w:sz="2" w:space="0" w:color="9F9F9F" w:themeColor="accent3" w:themeTint="99"/>
        </w:tcBorders>
      </w:tcPr>
    </w:tblStylePr>
    <w:tblStylePr w:type="firstCol">
      <w:rPr>
        <w:b/>
        <w:bCs/>
      </w:rPr>
    </w:tblStylePr>
    <w:tblStylePr w:type="lastCol">
      <w:rPr>
        <w:b/>
        <w:bCs/>
      </w:rPr>
    </w:tblStylePr>
  </w:style>
  <w:style w:type="table" w:customStyle="1" w:styleId="TableGridLight1">
    <w:name w:val="Table Grid Light1"/>
    <w:basedOn w:val="TableNormal"/>
    <w:uiPriority w:val="40"/>
    <w:semiHidden/>
    <w:rsid w:val="007C12B0"/>
    <w:tblPr>
      <w:tblBorders>
        <w:top w:val="single" w:sz="4" w:space="0" w:color="00548C" w:themeColor="background1" w:themeShade="BF"/>
        <w:left w:val="single" w:sz="4" w:space="0" w:color="00548C" w:themeColor="background1" w:themeShade="BF"/>
        <w:bottom w:val="single" w:sz="4" w:space="0" w:color="00548C" w:themeColor="background1" w:themeShade="BF"/>
        <w:right w:val="single" w:sz="4" w:space="0" w:color="00548C" w:themeColor="background1" w:themeShade="BF"/>
        <w:insideH w:val="single" w:sz="4" w:space="0" w:color="00548C" w:themeColor="background1" w:themeShade="BF"/>
        <w:insideV w:val="single" w:sz="4" w:space="0" w:color="00548C" w:themeColor="background1" w:themeShade="BF"/>
      </w:tblBorders>
    </w:tblPr>
  </w:style>
  <w:style w:type="table" w:styleId="GridTable1Light-Accent4">
    <w:name w:val="Grid Table 1 Light Accent 4"/>
    <w:basedOn w:val="TableNormal"/>
    <w:uiPriority w:val="98"/>
    <w:rsid w:val="007C12B0"/>
    <w:tblPr>
      <w:tblStyleRowBandSize w:val="1"/>
      <w:tblStyleColBandSize w:val="1"/>
      <w:tblBorders>
        <w:top w:val="single" w:sz="4" w:space="0" w:color="D5D5D5" w:themeColor="accent4" w:themeTint="66"/>
        <w:left w:val="single" w:sz="4" w:space="0" w:color="D5D5D5" w:themeColor="accent4" w:themeTint="66"/>
        <w:bottom w:val="single" w:sz="4" w:space="0" w:color="D5D5D5" w:themeColor="accent4" w:themeTint="66"/>
        <w:right w:val="single" w:sz="4" w:space="0" w:color="D5D5D5" w:themeColor="accent4" w:themeTint="66"/>
        <w:insideH w:val="single" w:sz="4" w:space="0" w:color="D5D5D5" w:themeColor="accent4" w:themeTint="66"/>
        <w:insideV w:val="single" w:sz="4" w:space="0" w:color="D5D5D5" w:themeColor="accent4" w:themeTint="66"/>
      </w:tblBorders>
    </w:tblPr>
    <w:tblStylePr w:type="firstRow">
      <w:rPr>
        <w:b/>
        <w:bCs/>
      </w:rPr>
      <w:tblPr/>
      <w:tcPr>
        <w:tcBorders>
          <w:bottom w:val="single" w:sz="12" w:space="0" w:color="C0C0C0" w:themeColor="accent4" w:themeTint="99"/>
        </w:tcBorders>
      </w:tcPr>
    </w:tblStylePr>
    <w:tblStylePr w:type="lastRow">
      <w:rPr>
        <w:b/>
        <w:bCs/>
      </w:rPr>
      <w:tblPr/>
      <w:tcPr>
        <w:tcBorders>
          <w:top w:val="double" w:sz="2" w:space="0" w:color="C0C0C0" w:themeColor="accent4" w:themeTint="99"/>
        </w:tcBorders>
      </w:tcPr>
    </w:tblStylePr>
    <w:tblStylePr w:type="firstCol">
      <w:rPr>
        <w:b/>
        <w:bCs/>
      </w:rPr>
    </w:tblStylePr>
    <w:tblStylePr w:type="lastCol">
      <w:rPr>
        <w:b/>
        <w:bCs/>
      </w:rPr>
    </w:tblStylePr>
  </w:style>
  <w:style w:type="character" w:customStyle="1" w:styleId="JuParaChar">
    <w:name w:val="Ju_Para Char"/>
    <w:aliases w:val="_Para Char"/>
    <w:link w:val="JuPara"/>
    <w:uiPriority w:val="4"/>
    <w:rsid w:val="007C12B0"/>
    <w:rPr>
      <w:sz w:val="24"/>
      <w:szCs w:val="24"/>
      <w:lang w:val="ro-RO"/>
    </w:rPr>
  </w:style>
  <w:style w:type="table" w:styleId="GridTable1Light-Accent5">
    <w:name w:val="Grid Table 1 Light Accent 5"/>
    <w:basedOn w:val="TableNormal"/>
    <w:uiPriority w:val="98"/>
    <w:rsid w:val="007C12B0"/>
    <w:tblPr>
      <w:tblStyleRowBandSize w:val="1"/>
      <w:tblStyleColBandSize w:val="1"/>
      <w:tblBorders>
        <w:top w:val="single" w:sz="4" w:space="0" w:color="BFBFBF" w:themeColor="accent5" w:themeTint="66"/>
        <w:left w:val="single" w:sz="4" w:space="0" w:color="BFBFBF" w:themeColor="accent5" w:themeTint="66"/>
        <w:bottom w:val="single" w:sz="4" w:space="0" w:color="BFBFBF" w:themeColor="accent5" w:themeTint="66"/>
        <w:right w:val="single" w:sz="4" w:space="0" w:color="BFBFBF" w:themeColor="accent5" w:themeTint="66"/>
        <w:insideH w:val="single" w:sz="4" w:space="0" w:color="BFBFBF" w:themeColor="accent5" w:themeTint="66"/>
        <w:insideV w:val="single" w:sz="4" w:space="0" w:color="BFBFBF" w:themeColor="accent5" w:themeTint="66"/>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2" w:space="0" w:color="9F9F9F"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98"/>
    <w:rsid w:val="007C12B0"/>
    <w:tblPr>
      <w:tblStyleRowBandSize w:val="1"/>
      <w:tblStyleColBandSize w:val="1"/>
      <w:tblBorders>
        <w:top w:val="single" w:sz="4" w:space="0" w:color="B7B7B7" w:themeColor="accent6" w:themeTint="66"/>
        <w:left w:val="single" w:sz="4" w:space="0" w:color="B7B7B7" w:themeColor="accent6" w:themeTint="66"/>
        <w:bottom w:val="single" w:sz="4" w:space="0" w:color="B7B7B7" w:themeColor="accent6" w:themeTint="66"/>
        <w:right w:val="single" w:sz="4" w:space="0" w:color="B7B7B7" w:themeColor="accent6" w:themeTint="66"/>
        <w:insideH w:val="single" w:sz="4" w:space="0" w:color="B7B7B7" w:themeColor="accent6" w:themeTint="66"/>
        <w:insideV w:val="single" w:sz="4" w:space="0" w:color="B7B7B7" w:themeColor="accent6" w:themeTint="66"/>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2" w:space="0" w:color="949494"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98"/>
    <w:rsid w:val="007C12B0"/>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0072BC" w:themeFill="background1"/>
      </w:tcPr>
    </w:tblStylePr>
    <w:tblStylePr w:type="lastRow">
      <w:rPr>
        <w:b/>
        <w:bCs/>
      </w:rPr>
      <w:tblPr/>
      <w:tcPr>
        <w:tcBorders>
          <w:top w:val="double" w:sz="2" w:space="0" w:color="666666" w:themeColor="text1"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98"/>
    <w:rsid w:val="007C12B0"/>
    <w:tblPr>
      <w:tblStyleRowBandSize w:val="1"/>
      <w:tblStyleColBandSize w:val="1"/>
      <w:tblBorders>
        <w:top w:val="single" w:sz="2" w:space="0" w:color="3DB2FF" w:themeColor="accent1" w:themeTint="99"/>
        <w:bottom w:val="single" w:sz="2" w:space="0" w:color="3DB2FF" w:themeColor="accent1" w:themeTint="99"/>
        <w:insideH w:val="single" w:sz="2" w:space="0" w:color="3DB2FF" w:themeColor="accent1" w:themeTint="99"/>
        <w:insideV w:val="single" w:sz="2" w:space="0" w:color="3DB2FF" w:themeColor="accent1" w:themeTint="99"/>
      </w:tblBorders>
    </w:tblPr>
    <w:tblStylePr w:type="firstRow">
      <w:rPr>
        <w:b/>
        <w:bCs/>
      </w:rPr>
      <w:tblPr/>
      <w:tcPr>
        <w:tcBorders>
          <w:top w:val="nil"/>
          <w:bottom w:val="single" w:sz="12" w:space="0" w:color="3DB2FF" w:themeColor="accent1" w:themeTint="99"/>
          <w:insideH w:val="nil"/>
          <w:insideV w:val="nil"/>
        </w:tcBorders>
        <w:shd w:val="clear" w:color="auto" w:fill="0072BC" w:themeFill="background1"/>
      </w:tcPr>
    </w:tblStylePr>
    <w:tblStylePr w:type="lastRow">
      <w:rPr>
        <w:b/>
        <w:bCs/>
      </w:rPr>
      <w:tblPr/>
      <w:tcPr>
        <w:tcBorders>
          <w:top w:val="double" w:sz="2" w:space="0" w:color="3DB2FF" w:themeColor="accent1"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2-Accent2">
    <w:name w:val="Grid Table 2 Accent 2"/>
    <w:basedOn w:val="TableNormal"/>
    <w:uiPriority w:val="98"/>
    <w:rsid w:val="007C12B0"/>
    <w:tblPr>
      <w:tblStyleRowBandSize w:val="1"/>
      <w:tblStyleColBandSize w:val="1"/>
      <w:tblBorders>
        <w:top w:val="single" w:sz="2" w:space="0" w:color="FF4040" w:themeColor="accent2" w:themeTint="99"/>
        <w:bottom w:val="single" w:sz="2" w:space="0" w:color="FF4040" w:themeColor="accent2" w:themeTint="99"/>
        <w:insideH w:val="single" w:sz="2" w:space="0" w:color="FF4040" w:themeColor="accent2" w:themeTint="99"/>
        <w:insideV w:val="single" w:sz="2" w:space="0" w:color="FF4040" w:themeColor="accent2" w:themeTint="99"/>
      </w:tblBorders>
    </w:tblPr>
    <w:tblStylePr w:type="firstRow">
      <w:rPr>
        <w:b/>
        <w:bCs/>
      </w:rPr>
      <w:tblPr/>
      <w:tcPr>
        <w:tcBorders>
          <w:top w:val="nil"/>
          <w:bottom w:val="single" w:sz="12" w:space="0" w:color="FF4040" w:themeColor="accent2" w:themeTint="99"/>
          <w:insideH w:val="nil"/>
          <w:insideV w:val="nil"/>
        </w:tcBorders>
        <w:shd w:val="clear" w:color="auto" w:fill="0072BC" w:themeFill="background1"/>
      </w:tcPr>
    </w:tblStylePr>
    <w:tblStylePr w:type="lastRow">
      <w:rPr>
        <w:b/>
        <w:bCs/>
      </w:rPr>
      <w:tblPr/>
      <w:tcPr>
        <w:tcBorders>
          <w:top w:val="double" w:sz="2" w:space="0" w:color="FF4040" w:themeColor="accent2"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2-Accent3">
    <w:name w:val="Grid Table 2 Accent 3"/>
    <w:basedOn w:val="TableNormal"/>
    <w:uiPriority w:val="98"/>
    <w:rsid w:val="007C12B0"/>
    <w:tblPr>
      <w:tblStyleRowBandSize w:val="1"/>
      <w:tblStyleColBandSize w:val="1"/>
      <w:tblBorders>
        <w:top w:val="single" w:sz="2" w:space="0" w:color="9F9F9F" w:themeColor="accent3" w:themeTint="99"/>
        <w:bottom w:val="single" w:sz="2" w:space="0" w:color="9F9F9F" w:themeColor="accent3" w:themeTint="99"/>
        <w:insideH w:val="single" w:sz="2" w:space="0" w:color="9F9F9F" w:themeColor="accent3" w:themeTint="99"/>
        <w:insideV w:val="single" w:sz="2" w:space="0" w:color="9F9F9F" w:themeColor="accent3" w:themeTint="99"/>
      </w:tblBorders>
    </w:tblPr>
    <w:tblStylePr w:type="firstRow">
      <w:rPr>
        <w:b/>
        <w:bCs/>
      </w:rPr>
      <w:tblPr/>
      <w:tcPr>
        <w:tcBorders>
          <w:top w:val="nil"/>
          <w:bottom w:val="single" w:sz="12" w:space="0" w:color="9F9F9F" w:themeColor="accent3" w:themeTint="99"/>
          <w:insideH w:val="nil"/>
          <w:insideV w:val="nil"/>
        </w:tcBorders>
        <w:shd w:val="clear" w:color="auto" w:fill="0072BC" w:themeFill="background1"/>
      </w:tcPr>
    </w:tblStylePr>
    <w:tblStylePr w:type="lastRow">
      <w:rPr>
        <w:b/>
        <w:bCs/>
      </w:rPr>
      <w:tblPr/>
      <w:tcPr>
        <w:tcBorders>
          <w:top w:val="double" w:sz="2" w:space="0" w:color="9F9F9F" w:themeColor="accent3"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2-Accent4">
    <w:name w:val="Grid Table 2 Accent 4"/>
    <w:basedOn w:val="TableNormal"/>
    <w:uiPriority w:val="98"/>
    <w:rsid w:val="007C12B0"/>
    <w:tblPr>
      <w:tblStyleRowBandSize w:val="1"/>
      <w:tblStyleColBandSize w:val="1"/>
      <w:tblBorders>
        <w:top w:val="single" w:sz="2" w:space="0" w:color="C0C0C0" w:themeColor="accent4" w:themeTint="99"/>
        <w:bottom w:val="single" w:sz="2" w:space="0" w:color="C0C0C0" w:themeColor="accent4" w:themeTint="99"/>
        <w:insideH w:val="single" w:sz="2" w:space="0" w:color="C0C0C0" w:themeColor="accent4" w:themeTint="99"/>
        <w:insideV w:val="single" w:sz="2" w:space="0" w:color="C0C0C0" w:themeColor="accent4" w:themeTint="99"/>
      </w:tblBorders>
    </w:tblPr>
    <w:tblStylePr w:type="firstRow">
      <w:rPr>
        <w:b/>
        <w:bCs/>
      </w:rPr>
      <w:tblPr/>
      <w:tcPr>
        <w:tcBorders>
          <w:top w:val="nil"/>
          <w:bottom w:val="single" w:sz="12" w:space="0" w:color="C0C0C0" w:themeColor="accent4" w:themeTint="99"/>
          <w:insideH w:val="nil"/>
          <w:insideV w:val="nil"/>
        </w:tcBorders>
        <w:shd w:val="clear" w:color="auto" w:fill="0072BC" w:themeFill="background1"/>
      </w:tcPr>
    </w:tblStylePr>
    <w:tblStylePr w:type="lastRow">
      <w:rPr>
        <w:b/>
        <w:bCs/>
      </w:rPr>
      <w:tblPr/>
      <w:tcPr>
        <w:tcBorders>
          <w:top w:val="double" w:sz="2" w:space="0" w:color="C0C0C0" w:themeColor="accent4"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2-Accent5">
    <w:name w:val="Grid Table 2 Accent 5"/>
    <w:basedOn w:val="TableNormal"/>
    <w:uiPriority w:val="98"/>
    <w:rsid w:val="007C12B0"/>
    <w:tblPr>
      <w:tblStyleRowBandSize w:val="1"/>
      <w:tblStyleColBandSize w:val="1"/>
      <w:tblBorders>
        <w:top w:val="single" w:sz="2" w:space="0" w:color="9F9F9F" w:themeColor="accent5" w:themeTint="99"/>
        <w:bottom w:val="single" w:sz="2" w:space="0" w:color="9F9F9F" w:themeColor="accent5" w:themeTint="99"/>
        <w:insideH w:val="single" w:sz="2" w:space="0" w:color="9F9F9F" w:themeColor="accent5" w:themeTint="99"/>
        <w:insideV w:val="single" w:sz="2" w:space="0" w:color="9F9F9F" w:themeColor="accent5" w:themeTint="99"/>
      </w:tblBorders>
    </w:tblPr>
    <w:tblStylePr w:type="firstRow">
      <w:rPr>
        <w:b/>
        <w:bCs/>
      </w:rPr>
      <w:tblPr/>
      <w:tcPr>
        <w:tcBorders>
          <w:top w:val="nil"/>
          <w:bottom w:val="single" w:sz="12" w:space="0" w:color="9F9F9F" w:themeColor="accent5" w:themeTint="99"/>
          <w:insideH w:val="nil"/>
          <w:insideV w:val="nil"/>
        </w:tcBorders>
        <w:shd w:val="clear" w:color="auto" w:fill="0072BC" w:themeFill="background1"/>
      </w:tcPr>
    </w:tblStylePr>
    <w:tblStylePr w:type="lastRow">
      <w:rPr>
        <w:b/>
        <w:bCs/>
      </w:rPr>
      <w:tblPr/>
      <w:tcPr>
        <w:tcBorders>
          <w:top w:val="double" w:sz="2" w:space="0" w:color="9F9F9F" w:themeColor="accent5"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2-Accent6">
    <w:name w:val="Grid Table 2 Accent 6"/>
    <w:basedOn w:val="TableNormal"/>
    <w:uiPriority w:val="98"/>
    <w:rsid w:val="007C12B0"/>
    <w:tblPr>
      <w:tblStyleRowBandSize w:val="1"/>
      <w:tblStyleColBandSize w:val="1"/>
      <w:tblBorders>
        <w:top w:val="single" w:sz="2" w:space="0" w:color="949494" w:themeColor="accent6" w:themeTint="99"/>
        <w:bottom w:val="single" w:sz="2" w:space="0" w:color="949494" w:themeColor="accent6" w:themeTint="99"/>
        <w:insideH w:val="single" w:sz="2" w:space="0" w:color="949494" w:themeColor="accent6" w:themeTint="99"/>
        <w:insideV w:val="single" w:sz="2" w:space="0" w:color="949494" w:themeColor="accent6" w:themeTint="99"/>
      </w:tblBorders>
    </w:tblPr>
    <w:tblStylePr w:type="firstRow">
      <w:rPr>
        <w:b/>
        <w:bCs/>
      </w:rPr>
      <w:tblPr/>
      <w:tcPr>
        <w:tcBorders>
          <w:top w:val="nil"/>
          <w:bottom w:val="single" w:sz="12" w:space="0" w:color="949494" w:themeColor="accent6" w:themeTint="99"/>
          <w:insideH w:val="nil"/>
          <w:insideV w:val="nil"/>
        </w:tcBorders>
        <w:shd w:val="clear" w:color="auto" w:fill="0072BC" w:themeFill="background1"/>
      </w:tcPr>
    </w:tblStylePr>
    <w:tblStylePr w:type="lastRow">
      <w:rPr>
        <w:b/>
        <w:bCs/>
      </w:rPr>
      <w:tblPr/>
      <w:tcPr>
        <w:tcBorders>
          <w:top w:val="double" w:sz="2" w:space="0" w:color="949494" w:themeColor="accent6"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3">
    <w:name w:val="Grid Table 3"/>
    <w:basedOn w:val="TableNormal"/>
    <w:uiPriority w:val="98"/>
    <w:rsid w:val="007C12B0"/>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paragraph" w:styleId="Revision">
    <w:name w:val="Revision"/>
    <w:hidden/>
    <w:uiPriority w:val="99"/>
    <w:semiHidden/>
    <w:rsid w:val="007C12B0"/>
    <w:rPr>
      <w:sz w:val="24"/>
      <w:szCs w:val="24"/>
    </w:rPr>
  </w:style>
  <w:style w:type="table" w:styleId="GridTable3-Accent1">
    <w:name w:val="Grid Table 3 Accent 1"/>
    <w:basedOn w:val="TableNormal"/>
    <w:uiPriority w:val="98"/>
    <w:rsid w:val="007C12B0"/>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bottom w:val="single" w:sz="4" w:space="0" w:color="3DB2FF" w:themeColor="accent1" w:themeTint="99"/>
        </w:tcBorders>
      </w:tcPr>
    </w:tblStylePr>
    <w:tblStylePr w:type="nwCell">
      <w:tblPr/>
      <w:tcPr>
        <w:tcBorders>
          <w:bottom w:val="single" w:sz="4" w:space="0" w:color="3DB2FF" w:themeColor="accent1" w:themeTint="99"/>
        </w:tcBorders>
      </w:tcPr>
    </w:tblStylePr>
    <w:tblStylePr w:type="seCell">
      <w:tblPr/>
      <w:tcPr>
        <w:tcBorders>
          <w:top w:val="single" w:sz="4" w:space="0" w:color="3DB2FF" w:themeColor="accent1" w:themeTint="99"/>
        </w:tcBorders>
      </w:tcPr>
    </w:tblStylePr>
    <w:tblStylePr w:type="swCell">
      <w:tblPr/>
      <w:tcPr>
        <w:tcBorders>
          <w:top w:val="single" w:sz="4" w:space="0" w:color="3DB2FF" w:themeColor="accent1" w:themeTint="99"/>
        </w:tcBorders>
      </w:tcPr>
    </w:tblStylePr>
  </w:style>
  <w:style w:type="table" w:styleId="GridTable3-Accent2">
    <w:name w:val="Grid Table 3 Accent 2"/>
    <w:basedOn w:val="TableNormal"/>
    <w:uiPriority w:val="98"/>
    <w:rsid w:val="007C12B0"/>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bottom w:val="single" w:sz="4" w:space="0" w:color="FF4040" w:themeColor="accent2" w:themeTint="99"/>
        </w:tcBorders>
      </w:tcPr>
    </w:tblStylePr>
    <w:tblStylePr w:type="nwCell">
      <w:tblPr/>
      <w:tcPr>
        <w:tcBorders>
          <w:bottom w:val="single" w:sz="4" w:space="0" w:color="FF4040" w:themeColor="accent2" w:themeTint="99"/>
        </w:tcBorders>
      </w:tcPr>
    </w:tblStylePr>
    <w:tblStylePr w:type="seCell">
      <w:tblPr/>
      <w:tcPr>
        <w:tcBorders>
          <w:top w:val="single" w:sz="4" w:space="0" w:color="FF4040" w:themeColor="accent2" w:themeTint="99"/>
        </w:tcBorders>
      </w:tcPr>
    </w:tblStylePr>
    <w:tblStylePr w:type="swCell">
      <w:tblPr/>
      <w:tcPr>
        <w:tcBorders>
          <w:top w:val="single" w:sz="4" w:space="0" w:color="FF4040" w:themeColor="accent2" w:themeTint="99"/>
        </w:tcBorders>
      </w:tcPr>
    </w:tblStylePr>
  </w:style>
  <w:style w:type="table" w:styleId="GridTable3-Accent3">
    <w:name w:val="Grid Table 3 Accent 3"/>
    <w:basedOn w:val="TableNormal"/>
    <w:uiPriority w:val="98"/>
    <w:rsid w:val="007C12B0"/>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bottom w:val="single" w:sz="4" w:space="0" w:color="9F9F9F" w:themeColor="accent3" w:themeTint="99"/>
        </w:tcBorders>
      </w:tcPr>
    </w:tblStylePr>
    <w:tblStylePr w:type="nwCell">
      <w:tblPr/>
      <w:tcPr>
        <w:tcBorders>
          <w:bottom w:val="single" w:sz="4" w:space="0" w:color="9F9F9F" w:themeColor="accent3" w:themeTint="99"/>
        </w:tcBorders>
      </w:tcPr>
    </w:tblStylePr>
    <w:tblStylePr w:type="seCell">
      <w:tblPr/>
      <w:tcPr>
        <w:tcBorders>
          <w:top w:val="single" w:sz="4" w:space="0" w:color="9F9F9F" w:themeColor="accent3" w:themeTint="99"/>
        </w:tcBorders>
      </w:tcPr>
    </w:tblStylePr>
    <w:tblStylePr w:type="swCell">
      <w:tblPr/>
      <w:tcPr>
        <w:tcBorders>
          <w:top w:val="single" w:sz="4" w:space="0" w:color="9F9F9F" w:themeColor="accent3" w:themeTint="99"/>
        </w:tcBorders>
      </w:tcPr>
    </w:tblStylePr>
  </w:style>
  <w:style w:type="table" w:styleId="GridTable3-Accent4">
    <w:name w:val="Grid Table 3 Accent 4"/>
    <w:basedOn w:val="TableNormal"/>
    <w:uiPriority w:val="98"/>
    <w:rsid w:val="007C12B0"/>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bottom w:val="single" w:sz="4" w:space="0" w:color="C0C0C0" w:themeColor="accent4" w:themeTint="99"/>
        </w:tcBorders>
      </w:tcPr>
    </w:tblStylePr>
    <w:tblStylePr w:type="nwCell">
      <w:tblPr/>
      <w:tcPr>
        <w:tcBorders>
          <w:bottom w:val="single" w:sz="4" w:space="0" w:color="C0C0C0" w:themeColor="accent4" w:themeTint="99"/>
        </w:tcBorders>
      </w:tcPr>
    </w:tblStylePr>
    <w:tblStylePr w:type="seCell">
      <w:tblPr/>
      <w:tcPr>
        <w:tcBorders>
          <w:top w:val="single" w:sz="4" w:space="0" w:color="C0C0C0" w:themeColor="accent4" w:themeTint="99"/>
        </w:tcBorders>
      </w:tcPr>
    </w:tblStylePr>
    <w:tblStylePr w:type="swCell">
      <w:tblPr/>
      <w:tcPr>
        <w:tcBorders>
          <w:top w:val="single" w:sz="4" w:space="0" w:color="C0C0C0" w:themeColor="accent4" w:themeTint="99"/>
        </w:tcBorders>
      </w:tcPr>
    </w:tblStylePr>
  </w:style>
  <w:style w:type="table" w:styleId="GridTable3-Accent5">
    <w:name w:val="Grid Table 3 Accent 5"/>
    <w:basedOn w:val="TableNormal"/>
    <w:uiPriority w:val="98"/>
    <w:rsid w:val="007C12B0"/>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3-Accent6">
    <w:name w:val="Grid Table 3 Accent 6"/>
    <w:basedOn w:val="TableNormal"/>
    <w:uiPriority w:val="98"/>
    <w:rsid w:val="007C12B0"/>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table" w:styleId="GridTable4">
    <w:name w:val="Grid Table 4"/>
    <w:basedOn w:val="TableNormal"/>
    <w:uiPriority w:val="98"/>
    <w:rsid w:val="007C12B0"/>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0072BC"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98"/>
    <w:rsid w:val="007C12B0"/>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color w:val="0072BC" w:themeColor="background1"/>
      </w:rPr>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nil"/>
          <w:insideV w:val="nil"/>
        </w:tcBorders>
        <w:shd w:val="clear" w:color="auto" w:fill="0072BC" w:themeFill="accent1"/>
      </w:tcPr>
    </w:tblStylePr>
    <w:tblStylePr w:type="lastRow">
      <w:rPr>
        <w:b/>
        <w:bCs/>
      </w:rPr>
      <w:tblPr/>
      <w:tcPr>
        <w:tcBorders>
          <w:top w:val="double" w:sz="4" w:space="0" w:color="0072BC" w:themeColor="accent1"/>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4-Accent2">
    <w:name w:val="Grid Table 4 Accent 2"/>
    <w:basedOn w:val="TableNormal"/>
    <w:uiPriority w:val="98"/>
    <w:rsid w:val="007C12B0"/>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color w:val="0072BC" w:themeColor="background1"/>
      </w:rPr>
      <w:tblPr/>
      <w:tcPr>
        <w:tcBorders>
          <w:top w:val="single" w:sz="4" w:space="0" w:color="C00000" w:themeColor="accent2"/>
          <w:left w:val="single" w:sz="4" w:space="0" w:color="C00000" w:themeColor="accent2"/>
          <w:bottom w:val="single" w:sz="4" w:space="0" w:color="C00000" w:themeColor="accent2"/>
          <w:right w:val="single" w:sz="4" w:space="0" w:color="C00000" w:themeColor="accent2"/>
          <w:insideH w:val="nil"/>
          <w:insideV w:val="nil"/>
        </w:tcBorders>
        <w:shd w:val="clear" w:color="auto" w:fill="C00000" w:themeFill="accent2"/>
      </w:tcPr>
    </w:tblStylePr>
    <w:tblStylePr w:type="lastRow">
      <w:rPr>
        <w:b/>
        <w:bCs/>
      </w:rPr>
      <w:tblPr/>
      <w:tcPr>
        <w:tcBorders>
          <w:top w:val="double" w:sz="4" w:space="0" w:color="C00000" w:themeColor="accent2"/>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4-Accent3">
    <w:name w:val="Grid Table 4 Accent 3"/>
    <w:basedOn w:val="TableNormal"/>
    <w:uiPriority w:val="98"/>
    <w:rsid w:val="007C12B0"/>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color w:val="0072BC" w:themeColor="background1"/>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cBorders>
        <w:shd w:val="clear" w:color="auto" w:fill="5F5F5F" w:themeFill="accent3"/>
      </w:tcPr>
    </w:tblStylePr>
    <w:tblStylePr w:type="lastRow">
      <w:rPr>
        <w:b/>
        <w:bCs/>
      </w:rPr>
      <w:tblPr/>
      <w:tcPr>
        <w:tcBorders>
          <w:top w:val="double" w:sz="4" w:space="0" w:color="5F5F5F" w:themeColor="accent3"/>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4-Accent4">
    <w:name w:val="Grid Table 4 Accent 4"/>
    <w:basedOn w:val="TableNormal"/>
    <w:uiPriority w:val="98"/>
    <w:rsid w:val="007C12B0"/>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color w:val="0072BC" w:themeColor="background1"/>
      </w:rPr>
      <w:tblPr/>
      <w:tcPr>
        <w:tcBorders>
          <w:top w:val="single" w:sz="4" w:space="0" w:color="969696" w:themeColor="accent4"/>
          <w:left w:val="single" w:sz="4" w:space="0" w:color="969696" w:themeColor="accent4"/>
          <w:bottom w:val="single" w:sz="4" w:space="0" w:color="969696" w:themeColor="accent4"/>
          <w:right w:val="single" w:sz="4" w:space="0" w:color="969696" w:themeColor="accent4"/>
          <w:insideH w:val="nil"/>
          <w:insideV w:val="nil"/>
        </w:tcBorders>
        <w:shd w:val="clear" w:color="auto" w:fill="969696" w:themeFill="accent4"/>
      </w:tcPr>
    </w:tblStylePr>
    <w:tblStylePr w:type="lastRow">
      <w:rPr>
        <w:b/>
        <w:bCs/>
      </w:rPr>
      <w:tblPr/>
      <w:tcPr>
        <w:tcBorders>
          <w:top w:val="double" w:sz="4" w:space="0" w:color="969696" w:themeColor="accent4"/>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4-Accent5">
    <w:name w:val="Grid Table 4 Accent 5"/>
    <w:basedOn w:val="TableNormal"/>
    <w:uiPriority w:val="98"/>
    <w:rsid w:val="007C12B0"/>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color w:val="0072BC"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insideV w:val="nil"/>
        </w:tcBorders>
        <w:shd w:val="clear" w:color="auto" w:fill="5F5F5F" w:themeFill="accent5"/>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4-Accent6">
    <w:name w:val="Grid Table 4 Accent 6"/>
    <w:basedOn w:val="TableNormal"/>
    <w:uiPriority w:val="98"/>
    <w:rsid w:val="007C12B0"/>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color w:val="0072BC"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insideV w:val="nil"/>
        </w:tcBorders>
        <w:shd w:val="clear" w:color="auto" w:fill="4D4D4D" w:themeFill="accent6"/>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5Dark">
    <w:name w:val="Grid Table 5 Dark"/>
    <w:basedOn w:val="TableNormal"/>
    <w:uiPriority w:val="98"/>
    <w:rsid w:val="007C12B0"/>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CCCCCC" w:themeFill="text1"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000000" w:themeFill="text1"/>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000000" w:themeFill="text1"/>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000000" w:themeFill="text1"/>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98"/>
    <w:rsid w:val="007C12B0"/>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BEE5FF" w:themeFill="accent1"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0072BC" w:themeFill="accent1"/>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0072BC" w:themeFill="accent1"/>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0072BC" w:themeFill="accent1"/>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0072BC" w:themeFill="accent1"/>
      </w:tcPr>
    </w:tblStylePr>
    <w:tblStylePr w:type="band1Vert">
      <w:tblPr/>
      <w:tcPr>
        <w:shd w:val="clear" w:color="auto" w:fill="7ECBFF" w:themeFill="accent1" w:themeFillTint="66"/>
      </w:tcPr>
    </w:tblStylePr>
    <w:tblStylePr w:type="band1Horz">
      <w:tblPr/>
      <w:tcPr>
        <w:shd w:val="clear" w:color="auto" w:fill="7ECBFF" w:themeFill="accent1" w:themeFillTint="66"/>
      </w:tcPr>
    </w:tblStylePr>
  </w:style>
  <w:style w:type="table" w:styleId="GridTable5Dark-Accent2">
    <w:name w:val="Grid Table 5 Dark Accent 2"/>
    <w:basedOn w:val="TableNormal"/>
    <w:uiPriority w:val="98"/>
    <w:rsid w:val="007C12B0"/>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FFBFBF" w:themeFill="accent2"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C00000" w:themeFill="accent2"/>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C00000" w:themeFill="accent2"/>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C00000" w:themeFill="accent2"/>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C00000" w:themeFill="accent2"/>
      </w:tcPr>
    </w:tblStylePr>
    <w:tblStylePr w:type="band1Vert">
      <w:tblPr/>
      <w:tcPr>
        <w:shd w:val="clear" w:color="auto" w:fill="FF7F7F" w:themeFill="accent2" w:themeFillTint="66"/>
      </w:tcPr>
    </w:tblStylePr>
    <w:tblStylePr w:type="band1Horz">
      <w:tblPr/>
      <w:tcPr>
        <w:shd w:val="clear" w:color="auto" w:fill="FF7F7F" w:themeFill="accent2" w:themeFillTint="66"/>
      </w:tcPr>
    </w:tblStylePr>
  </w:style>
  <w:style w:type="table" w:styleId="GridTable5Dark-Accent3">
    <w:name w:val="Grid Table 5 Dark Accent 3"/>
    <w:basedOn w:val="TableNormal"/>
    <w:uiPriority w:val="98"/>
    <w:rsid w:val="007C12B0"/>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FDFDF" w:themeFill="accent3"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5F5F5F" w:themeFill="accent3"/>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5F5F5F" w:themeFill="accent3"/>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5F5F5F" w:themeFill="accent3"/>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5F5F5F" w:themeFill="accent3"/>
      </w:tcPr>
    </w:tblStylePr>
    <w:tblStylePr w:type="band1Vert">
      <w:tblPr/>
      <w:tcPr>
        <w:shd w:val="clear" w:color="auto" w:fill="BFBFBF" w:themeFill="accent3" w:themeFillTint="66"/>
      </w:tcPr>
    </w:tblStylePr>
    <w:tblStylePr w:type="band1Horz">
      <w:tblPr/>
      <w:tcPr>
        <w:shd w:val="clear" w:color="auto" w:fill="BFBFBF" w:themeFill="accent3" w:themeFillTint="66"/>
      </w:tcPr>
    </w:tblStylePr>
  </w:style>
  <w:style w:type="table" w:styleId="GridTable5Dark-Accent4">
    <w:name w:val="Grid Table 5 Dark Accent 4"/>
    <w:basedOn w:val="TableNormal"/>
    <w:uiPriority w:val="98"/>
    <w:rsid w:val="007C12B0"/>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EAEAEA" w:themeFill="accent4"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969696" w:themeFill="accent4"/>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969696" w:themeFill="accent4"/>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969696" w:themeFill="accent4"/>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969696" w:themeFill="accent4"/>
      </w:tcPr>
    </w:tblStylePr>
    <w:tblStylePr w:type="band1Vert">
      <w:tblPr/>
      <w:tcPr>
        <w:shd w:val="clear" w:color="auto" w:fill="D5D5D5" w:themeFill="accent4" w:themeFillTint="66"/>
      </w:tcPr>
    </w:tblStylePr>
    <w:tblStylePr w:type="band1Horz">
      <w:tblPr/>
      <w:tcPr>
        <w:shd w:val="clear" w:color="auto" w:fill="D5D5D5" w:themeFill="accent4" w:themeFillTint="66"/>
      </w:tcPr>
    </w:tblStylePr>
  </w:style>
  <w:style w:type="table" w:styleId="GridTable5Dark-Accent5">
    <w:name w:val="Grid Table 5 Dark Accent 5"/>
    <w:basedOn w:val="TableNormal"/>
    <w:uiPriority w:val="98"/>
    <w:rsid w:val="007C12B0"/>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FDFDF" w:themeFill="accent5"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5F5F5F" w:themeFill="accent5"/>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5F5F5F" w:themeFill="accent5"/>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5F5F5F" w:themeFill="accent5"/>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5F5F5F" w:themeFill="accent5"/>
      </w:tcPr>
    </w:tblStylePr>
    <w:tblStylePr w:type="band1Vert">
      <w:tblPr/>
      <w:tcPr>
        <w:shd w:val="clear" w:color="auto" w:fill="BFBFBF" w:themeFill="accent5" w:themeFillTint="66"/>
      </w:tcPr>
    </w:tblStylePr>
    <w:tblStylePr w:type="band1Horz">
      <w:tblPr/>
      <w:tcPr>
        <w:shd w:val="clear" w:color="auto" w:fill="BFBFBF" w:themeFill="accent5" w:themeFillTint="66"/>
      </w:tcPr>
    </w:tblStylePr>
  </w:style>
  <w:style w:type="table" w:styleId="GridTable5Dark-Accent6">
    <w:name w:val="Grid Table 5 Dark Accent 6"/>
    <w:basedOn w:val="TableNormal"/>
    <w:uiPriority w:val="98"/>
    <w:rsid w:val="007C12B0"/>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BDBDB" w:themeFill="accent6"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4D4D4D" w:themeFill="accent6"/>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4D4D4D" w:themeFill="accent6"/>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4D4D4D" w:themeFill="accent6"/>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4D4D4D" w:themeFill="accent6"/>
      </w:tcPr>
    </w:tblStylePr>
    <w:tblStylePr w:type="band1Vert">
      <w:tblPr/>
      <w:tcPr>
        <w:shd w:val="clear" w:color="auto" w:fill="B7B7B7" w:themeFill="accent6" w:themeFillTint="66"/>
      </w:tcPr>
    </w:tblStylePr>
    <w:tblStylePr w:type="band1Horz">
      <w:tblPr/>
      <w:tcPr>
        <w:shd w:val="clear" w:color="auto" w:fill="B7B7B7" w:themeFill="accent6" w:themeFillTint="66"/>
      </w:tcPr>
    </w:tblStylePr>
  </w:style>
  <w:style w:type="table" w:styleId="GridTable6Colorful">
    <w:name w:val="Grid Table 6 Colorful"/>
    <w:basedOn w:val="TableNormal"/>
    <w:uiPriority w:val="98"/>
    <w:rsid w:val="007C12B0"/>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98"/>
    <w:rsid w:val="007C12B0"/>
    <w:rPr>
      <w:color w:val="00548C" w:themeColor="accent1" w:themeShade="BF"/>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bottom w:val="single" w:sz="12" w:space="0" w:color="3DB2FF" w:themeColor="accent1" w:themeTint="99"/>
        </w:tcBorders>
      </w:tcPr>
    </w:tblStylePr>
    <w:tblStylePr w:type="lastRow">
      <w:rPr>
        <w:b/>
        <w:bCs/>
      </w:rPr>
      <w:tblPr/>
      <w:tcPr>
        <w:tcBorders>
          <w:top w:val="doub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6Colorful-Accent2">
    <w:name w:val="Grid Table 6 Colorful Accent 2"/>
    <w:basedOn w:val="TableNormal"/>
    <w:uiPriority w:val="98"/>
    <w:rsid w:val="007C12B0"/>
    <w:rPr>
      <w:color w:val="8F0000" w:themeColor="accent2" w:themeShade="BF"/>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bottom w:val="single" w:sz="12" w:space="0" w:color="FF4040" w:themeColor="accent2" w:themeTint="99"/>
        </w:tcBorders>
      </w:tcPr>
    </w:tblStylePr>
    <w:tblStylePr w:type="lastRow">
      <w:rPr>
        <w:b/>
        <w:bCs/>
      </w:rPr>
      <w:tblPr/>
      <w:tcPr>
        <w:tcBorders>
          <w:top w:val="doub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6Colorful-Accent3">
    <w:name w:val="Grid Table 6 Colorful Accent 3"/>
    <w:basedOn w:val="TableNormal"/>
    <w:uiPriority w:val="98"/>
    <w:rsid w:val="007C12B0"/>
    <w:rPr>
      <w:color w:val="474747" w:themeColor="accent3" w:themeShade="BF"/>
    </w:rPr>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bottom w:val="single" w:sz="12" w:space="0" w:color="9F9F9F" w:themeColor="accent3" w:themeTint="99"/>
        </w:tcBorders>
      </w:tcPr>
    </w:tblStylePr>
    <w:tblStylePr w:type="lastRow">
      <w:rPr>
        <w:b/>
        <w:bCs/>
      </w:rPr>
      <w:tblPr/>
      <w:tcPr>
        <w:tcBorders>
          <w:top w:val="doub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6Colorful-Accent4">
    <w:name w:val="Grid Table 6 Colorful Accent 4"/>
    <w:basedOn w:val="TableNormal"/>
    <w:uiPriority w:val="98"/>
    <w:rsid w:val="007C12B0"/>
    <w:rPr>
      <w:color w:val="707070" w:themeColor="accent4" w:themeShade="BF"/>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bottom w:val="single" w:sz="12" w:space="0" w:color="C0C0C0" w:themeColor="accent4" w:themeTint="99"/>
        </w:tcBorders>
      </w:tcPr>
    </w:tblStylePr>
    <w:tblStylePr w:type="lastRow">
      <w:rPr>
        <w:b/>
        <w:bCs/>
      </w:rPr>
      <w:tblPr/>
      <w:tcPr>
        <w:tcBorders>
          <w:top w:val="doub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6Colorful-Accent5">
    <w:name w:val="Grid Table 6 Colorful Accent 5"/>
    <w:basedOn w:val="TableNormal"/>
    <w:uiPriority w:val="98"/>
    <w:rsid w:val="007C12B0"/>
    <w:rPr>
      <w:color w:val="474747" w:themeColor="accent5" w:themeShade="BF"/>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6Colorful-Accent6">
    <w:name w:val="Grid Table 6 Colorful Accent 6"/>
    <w:basedOn w:val="TableNormal"/>
    <w:uiPriority w:val="98"/>
    <w:rsid w:val="007C12B0"/>
    <w:rPr>
      <w:color w:val="393939" w:themeColor="accent6" w:themeShade="BF"/>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7Colorful">
    <w:name w:val="Grid Table 7 Colorful"/>
    <w:basedOn w:val="TableNormal"/>
    <w:uiPriority w:val="98"/>
    <w:rsid w:val="007C12B0"/>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98"/>
    <w:rsid w:val="007C12B0"/>
    <w:rPr>
      <w:color w:val="00548C" w:themeColor="accent1" w:themeShade="BF"/>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bottom w:val="single" w:sz="4" w:space="0" w:color="3DB2FF" w:themeColor="accent1" w:themeTint="99"/>
        </w:tcBorders>
      </w:tcPr>
    </w:tblStylePr>
    <w:tblStylePr w:type="nwCell">
      <w:tblPr/>
      <w:tcPr>
        <w:tcBorders>
          <w:bottom w:val="single" w:sz="4" w:space="0" w:color="3DB2FF" w:themeColor="accent1" w:themeTint="99"/>
        </w:tcBorders>
      </w:tcPr>
    </w:tblStylePr>
    <w:tblStylePr w:type="seCell">
      <w:tblPr/>
      <w:tcPr>
        <w:tcBorders>
          <w:top w:val="single" w:sz="4" w:space="0" w:color="3DB2FF" w:themeColor="accent1" w:themeTint="99"/>
        </w:tcBorders>
      </w:tcPr>
    </w:tblStylePr>
    <w:tblStylePr w:type="swCell">
      <w:tblPr/>
      <w:tcPr>
        <w:tcBorders>
          <w:top w:val="single" w:sz="4" w:space="0" w:color="3DB2FF" w:themeColor="accent1" w:themeTint="99"/>
        </w:tcBorders>
      </w:tcPr>
    </w:tblStylePr>
  </w:style>
  <w:style w:type="table" w:styleId="GridTable7Colorful-Accent2">
    <w:name w:val="Grid Table 7 Colorful Accent 2"/>
    <w:basedOn w:val="TableNormal"/>
    <w:uiPriority w:val="98"/>
    <w:rsid w:val="007C12B0"/>
    <w:rPr>
      <w:color w:val="8F0000" w:themeColor="accent2" w:themeShade="BF"/>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bottom w:val="single" w:sz="4" w:space="0" w:color="FF4040" w:themeColor="accent2" w:themeTint="99"/>
        </w:tcBorders>
      </w:tcPr>
    </w:tblStylePr>
    <w:tblStylePr w:type="nwCell">
      <w:tblPr/>
      <w:tcPr>
        <w:tcBorders>
          <w:bottom w:val="single" w:sz="4" w:space="0" w:color="FF4040" w:themeColor="accent2" w:themeTint="99"/>
        </w:tcBorders>
      </w:tcPr>
    </w:tblStylePr>
    <w:tblStylePr w:type="seCell">
      <w:tblPr/>
      <w:tcPr>
        <w:tcBorders>
          <w:top w:val="single" w:sz="4" w:space="0" w:color="FF4040" w:themeColor="accent2" w:themeTint="99"/>
        </w:tcBorders>
      </w:tcPr>
    </w:tblStylePr>
    <w:tblStylePr w:type="swCell">
      <w:tblPr/>
      <w:tcPr>
        <w:tcBorders>
          <w:top w:val="single" w:sz="4" w:space="0" w:color="FF4040" w:themeColor="accent2" w:themeTint="99"/>
        </w:tcBorders>
      </w:tcPr>
    </w:tblStylePr>
  </w:style>
  <w:style w:type="table" w:styleId="GridTable7Colorful-Accent3">
    <w:name w:val="Grid Table 7 Colorful Accent 3"/>
    <w:basedOn w:val="TableNormal"/>
    <w:uiPriority w:val="98"/>
    <w:rsid w:val="007C12B0"/>
    <w:rPr>
      <w:color w:val="474747" w:themeColor="accent3" w:themeShade="BF"/>
    </w:rPr>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bottom w:val="single" w:sz="4" w:space="0" w:color="9F9F9F" w:themeColor="accent3" w:themeTint="99"/>
        </w:tcBorders>
      </w:tcPr>
    </w:tblStylePr>
    <w:tblStylePr w:type="nwCell">
      <w:tblPr/>
      <w:tcPr>
        <w:tcBorders>
          <w:bottom w:val="single" w:sz="4" w:space="0" w:color="9F9F9F" w:themeColor="accent3" w:themeTint="99"/>
        </w:tcBorders>
      </w:tcPr>
    </w:tblStylePr>
    <w:tblStylePr w:type="seCell">
      <w:tblPr/>
      <w:tcPr>
        <w:tcBorders>
          <w:top w:val="single" w:sz="4" w:space="0" w:color="9F9F9F" w:themeColor="accent3" w:themeTint="99"/>
        </w:tcBorders>
      </w:tcPr>
    </w:tblStylePr>
    <w:tblStylePr w:type="swCell">
      <w:tblPr/>
      <w:tcPr>
        <w:tcBorders>
          <w:top w:val="single" w:sz="4" w:space="0" w:color="9F9F9F" w:themeColor="accent3" w:themeTint="99"/>
        </w:tcBorders>
      </w:tcPr>
    </w:tblStylePr>
  </w:style>
  <w:style w:type="table" w:styleId="GridTable7Colorful-Accent4">
    <w:name w:val="Grid Table 7 Colorful Accent 4"/>
    <w:basedOn w:val="TableNormal"/>
    <w:uiPriority w:val="98"/>
    <w:rsid w:val="007C12B0"/>
    <w:rPr>
      <w:color w:val="707070" w:themeColor="accent4" w:themeShade="BF"/>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bottom w:val="single" w:sz="4" w:space="0" w:color="C0C0C0" w:themeColor="accent4" w:themeTint="99"/>
        </w:tcBorders>
      </w:tcPr>
    </w:tblStylePr>
    <w:tblStylePr w:type="nwCell">
      <w:tblPr/>
      <w:tcPr>
        <w:tcBorders>
          <w:bottom w:val="single" w:sz="4" w:space="0" w:color="C0C0C0" w:themeColor="accent4" w:themeTint="99"/>
        </w:tcBorders>
      </w:tcPr>
    </w:tblStylePr>
    <w:tblStylePr w:type="seCell">
      <w:tblPr/>
      <w:tcPr>
        <w:tcBorders>
          <w:top w:val="single" w:sz="4" w:space="0" w:color="C0C0C0" w:themeColor="accent4" w:themeTint="99"/>
        </w:tcBorders>
      </w:tcPr>
    </w:tblStylePr>
    <w:tblStylePr w:type="swCell">
      <w:tblPr/>
      <w:tcPr>
        <w:tcBorders>
          <w:top w:val="single" w:sz="4" w:space="0" w:color="C0C0C0" w:themeColor="accent4" w:themeTint="99"/>
        </w:tcBorders>
      </w:tcPr>
    </w:tblStylePr>
  </w:style>
  <w:style w:type="table" w:styleId="GridTable7Colorful-Accent5">
    <w:name w:val="Grid Table 7 Colorful Accent 5"/>
    <w:basedOn w:val="TableNormal"/>
    <w:uiPriority w:val="98"/>
    <w:rsid w:val="007C12B0"/>
    <w:rPr>
      <w:color w:val="474747" w:themeColor="accent5" w:themeShade="BF"/>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7Colorful-Accent6">
    <w:name w:val="Grid Table 7 Colorful Accent 6"/>
    <w:basedOn w:val="TableNormal"/>
    <w:uiPriority w:val="98"/>
    <w:rsid w:val="007C12B0"/>
    <w:rPr>
      <w:color w:val="393939" w:themeColor="accent6" w:themeShade="BF"/>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character" w:customStyle="1" w:styleId="Hashtag">
    <w:name w:val="Hashtag"/>
    <w:basedOn w:val="DefaultParagraphFont"/>
    <w:uiPriority w:val="98"/>
    <w:semiHidden/>
    <w:rsid w:val="007C12B0"/>
    <w:rPr>
      <w:color w:val="2B579A"/>
      <w:shd w:val="clear" w:color="auto" w:fill="E1DFDD"/>
    </w:rPr>
  </w:style>
  <w:style w:type="table" w:styleId="ListTable1Light">
    <w:name w:val="List Table 1 Light"/>
    <w:basedOn w:val="TableNormal"/>
    <w:uiPriority w:val="98"/>
    <w:rsid w:val="007C12B0"/>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98"/>
    <w:rsid w:val="007C12B0"/>
    <w:tblPr>
      <w:tblStyleRowBandSize w:val="1"/>
      <w:tblStyleColBandSize w:val="1"/>
    </w:tblPr>
    <w:tblStylePr w:type="firstRow">
      <w:rPr>
        <w:b/>
        <w:bCs/>
      </w:rPr>
      <w:tblPr/>
      <w:tcPr>
        <w:tcBorders>
          <w:bottom w:val="single" w:sz="4" w:space="0" w:color="3DB2FF" w:themeColor="accent1" w:themeTint="99"/>
        </w:tcBorders>
      </w:tcPr>
    </w:tblStylePr>
    <w:tblStylePr w:type="lastRow">
      <w:rPr>
        <w:b/>
        <w:bCs/>
      </w:rPr>
      <w:tblPr/>
      <w:tcPr>
        <w:tcBorders>
          <w:top w:val="sing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1Light-Accent2">
    <w:name w:val="List Table 1 Light Accent 2"/>
    <w:basedOn w:val="TableNormal"/>
    <w:uiPriority w:val="98"/>
    <w:rsid w:val="007C12B0"/>
    <w:tblPr>
      <w:tblStyleRowBandSize w:val="1"/>
      <w:tblStyleColBandSize w:val="1"/>
    </w:tblPr>
    <w:tblStylePr w:type="firstRow">
      <w:rPr>
        <w:b/>
        <w:bCs/>
      </w:rPr>
      <w:tblPr/>
      <w:tcPr>
        <w:tcBorders>
          <w:bottom w:val="single" w:sz="4" w:space="0" w:color="FF4040" w:themeColor="accent2" w:themeTint="99"/>
        </w:tcBorders>
      </w:tcPr>
    </w:tblStylePr>
    <w:tblStylePr w:type="lastRow">
      <w:rPr>
        <w:b/>
        <w:bCs/>
      </w:rPr>
      <w:tblPr/>
      <w:tcPr>
        <w:tcBorders>
          <w:top w:val="sing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1Light-Accent3">
    <w:name w:val="List Table 1 Light Accent 3"/>
    <w:basedOn w:val="TableNormal"/>
    <w:uiPriority w:val="98"/>
    <w:rsid w:val="007C12B0"/>
    <w:tblPr>
      <w:tblStyleRowBandSize w:val="1"/>
      <w:tblStyleColBandSize w:val="1"/>
    </w:tblPr>
    <w:tblStylePr w:type="firstRow">
      <w:rPr>
        <w:b/>
        <w:bCs/>
      </w:rPr>
      <w:tblPr/>
      <w:tcPr>
        <w:tcBorders>
          <w:bottom w:val="single" w:sz="4" w:space="0" w:color="9F9F9F" w:themeColor="accent3" w:themeTint="99"/>
        </w:tcBorders>
      </w:tcPr>
    </w:tblStylePr>
    <w:tblStylePr w:type="lastRow">
      <w:rPr>
        <w:b/>
        <w:bCs/>
      </w:rPr>
      <w:tblPr/>
      <w:tcPr>
        <w:tcBorders>
          <w:top w:val="sing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1Light-Accent4">
    <w:name w:val="List Table 1 Light Accent 4"/>
    <w:basedOn w:val="TableNormal"/>
    <w:uiPriority w:val="98"/>
    <w:rsid w:val="007C12B0"/>
    <w:tblPr>
      <w:tblStyleRowBandSize w:val="1"/>
      <w:tblStyleColBandSize w:val="1"/>
    </w:tblPr>
    <w:tblStylePr w:type="firstRow">
      <w:rPr>
        <w:b/>
        <w:bCs/>
      </w:rPr>
      <w:tblPr/>
      <w:tcPr>
        <w:tcBorders>
          <w:bottom w:val="single" w:sz="4" w:space="0" w:color="C0C0C0" w:themeColor="accent4" w:themeTint="99"/>
        </w:tcBorders>
      </w:tcPr>
    </w:tblStylePr>
    <w:tblStylePr w:type="lastRow">
      <w:rPr>
        <w:b/>
        <w:bCs/>
      </w:rPr>
      <w:tblPr/>
      <w:tcPr>
        <w:tcBorders>
          <w:top w:val="sing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1Light-Accent5">
    <w:name w:val="List Table 1 Light Accent 5"/>
    <w:basedOn w:val="TableNormal"/>
    <w:uiPriority w:val="98"/>
    <w:rsid w:val="007C12B0"/>
    <w:tblPr>
      <w:tblStyleRowBandSize w:val="1"/>
      <w:tblStyleColBandSize w:val="1"/>
    </w:tblPr>
    <w:tblStylePr w:type="firstRow">
      <w:rPr>
        <w:b/>
        <w:bCs/>
      </w:rPr>
      <w:tblPr/>
      <w:tcPr>
        <w:tcBorders>
          <w:bottom w:val="single" w:sz="4" w:space="0" w:color="9F9F9F" w:themeColor="accent5" w:themeTint="99"/>
        </w:tcBorders>
      </w:tcPr>
    </w:tblStylePr>
    <w:tblStylePr w:type="lastRow">
      <w:rPr>
        <w:b/>
        <w:bCs/>
      </w:rPr>
      <w:tblPr/>
      <w:tcPr>
        <w:tcBorders>
          <w:top w:val="sing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1Light-Accent6">
    <w:name w:val="List Table 1 Light Accent 6"/>
    <w:basedOn w:val="TableNormal"/>
    <w:uiPriority w:val="98"/>
    <w:rsid w:val="007C12B0"/>
    <w:tblPr>
      <w:tblStyleRowBandSize w:val="1"/>
      <w:tblStyleColBandSize w:val="1"/>
    </w:tblPr>
    <w:tblStylePr w:type="firstRow">
      <w:rPr>
        <w:b/>
        <w:bCs/>
      </w:rPr>
      <w:tblPr/>
      <w:tcPr>
        <w:tcBorders>
          <w:bottom w:val="single" w:sz="4" w:space="0" w:color="949494" w:themeColor="accent6" w:themeTint="99"/>
        </w:tcBorders>
      </w:tcPr>
    </w:tblStylePr>
    <w:tblStylePr w:type="lastRow">
      <w:rPr>
        <w:b/>
        <w:bCs/>
      </w:rPr>
      <w:tblPr/>
      <w:tcPr>
        <w:tcBorders>
          <w:top w:val="sing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2">
    <w:name w:val="List Table 2"/>
    <w:basedOn w:val="TableNormal"/>
    <w:uiPriority w:val="98"/>
    <w:rsid w:val="007C12B0"/>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98"/>
    <w:rsid w:val="007C12B0"/>
    <w:tblPr>
      <w:tblStyleRowBandSize w:val="1"/>
      <w:tblStyleColBandSize w:val="1"/>
      <w:tblBorders>
        <w:top w:val="single" w:sz="4" w:space="0" w:color="3DB2FF" w:themeColor="accent1" w:themeTint="99"/>
        <w:bottom w:val="single" w:sz="4" w:space="0" w:color="3DB2FF" w:themeColor="accent1" w:themeTint="99"/>
        <w:insideH w:val="single" w:sz="4" w:space="0" w:color="3DB2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2-Accent2">
    <w:name w:val="List Table 2 Accent 2"/>
    <w:basedOn w:val="TableNormal"/>
    <w:uiPriority w:val="98"/>
    <w:rsid w:val="007C12B0"/>
    <w:tblPr>
      <w:tblStyleRowBandSize w:val="1"/>
      <w:tblStyleColBandSize w:val="1"/>
      <w:tblBorders>
        <w:top w:val="single" w:sz="4" w:space="0" w:color="FF4040" w:themeColor="accent2" w:themeTint="99"/>
        <w:bottom w:val="single" w:sz="4" w:space="0" w:color="FF4040" w:themeColor="accent2" w:themeTint="99"/>
        <w:insideH w:val="single" w:sz="4" w:space="0" w:color="FF4040"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2-Accent3">
    <w:name w:val="List Table 2 Accent 3"/>
    <w:basedOn w:val="TableNormal"/>
    <w:uiPriority w:val="98"/>
    <w:rsid w:val="007C12B0"/>
    <w:tblPr>
      <w:tblStyleRowBandSize w:val="1"/>
      <w:tblStyleColBandSize w:val="1"/>
      <w:tblBorders>
        <w:top w:val="single" w:sz="4" w:space="0" w:color="9F9F9F" w:themeColor="accent3" w:themeTint="99"/>
        <w:bottom w:val="single" w:sz="4" w:space="0" w:color="9F9F9F" w:themeColor="accent3" w:themeTint="99"/>
        <w:insideH w:val="single" w:sz="4" w:space="0" w:color="9F9F9F"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2-Accent4">
    <w:name w:val="List Table 2 Accent 4"/>
    <w:basedOn w:val="TableNormal"/>
    <w:uiPriority w:val="98"/>
    <w:rsid w:val="007C12B0"/>
    <w:tblPr>
      <w:tblStyleRowBandSize w:val="1"/>
      <w:tblStyleColBandSize w:val="1"/>
      <w:tblBorders>
        <w:top w:val="single" w:sz="4" w:space="0" w:color="C0C0C0" w:themeColor="accent4" w:themeTint="99"/>
        <w:bottom w:val="single" w:sz="4" w:space="0" w:color="C0C0C0" w:themeColor="accent4" w:themeTint="99"/>
        <w:insideH w:val="single" w:sz="4" w:space="0" w:color="C0C0C0"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2-Accent5">
    <w:name w:val="List Table 2 Accent 5"/>
    <w:basedOn w:val="TableNormal"/>
    <w:uiPriority w:val="98"/>
    <w:rsid w:val="007C12B0"/>
    <w:tblPr>
      <w:tblStyleRowBandSize w:val="1"/>
      <w:tblStyleColBandSize w:val="1"/>
      <w:tblBorders>
        <w:top w:val="single" w:sz="4" w:space="0" w:color="9F9F9F" w:themeColor="accent5" w:themeTint="99"/>
        <w:bottom w:val="single" w:sz="4" w:space="0" w:color="9F9F9F" w:themeColor="accent5" w:themeTint="99"/>
        <w:insideH w:val="single" w:sz="4" w:space="0" w:color="9F9F9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2-Accent6">
    <w:name w:val="List Table 2 Accent 6"/>
    <w:basedOn w:val="TableNormal"/>
    <w:uiPriority w:val="98"/>
    <w:rsid w:val="007C12B0"/>
    <w:tblPr>
      <w:tblStyleRowBandSize w:val="1"/>
      <w:tblStyleColBandSize w:val="1"/>
      <w:tblBorders>
        <w:top w:val="single" w:sz="4" w:space="0" w:color="949494" w:themeColor="accent6" w:themeTint="99"/>
        <w:bottom w:val="single" w:sz="4" w:space="0" w:color="949494" w:themeColor="accent6" w:themeTint="99"/>
        <w:insideH w:val="single" w:sz="4" w:space="0" w:color="94949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3">
    <w:name w:val="List Table 3"/>
    <w:basedOn w:val="TableNormal"/>
    <w:uiPriority w:val="98"/>
    <w:rsid w:val="007C12B0"/>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0072BC"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98"/>
    <w:rsid w:val="007C12B0"/>
    <w:tblPr>
      <w:tblStyleRowBandSize w:val="1"/>
      <w:tblStyleColBandSize w:val="1"/>
      <w:tblBorders>
        <w:top w:val="single" w:sz="4" w:space="0" w:color="0072BC" w:themeColor="accent1"/>
        <w:left w:val="single" w:sz="4" w:space="0" w:color="0072BC" w:themeColor="accent1"/>
        <w:bottom w:val="single" w:sz="4" w:space="0" w:color="0072BC" w:themeColor="accent1"/>
        <w:right w:val="single" w:sz="4" w:space="0" w:color="0072BC" w:themeColor="accent1"/>
      </w:tblBorders>
    </w:tblPr>
    <w:tblStylePr w:type="firstRow">
      <w:rPr>
        <w:b/>
        <w:bCs/>
        <w:color w:val="0072BC" w:themeColor="background1"/>
      </w:rPr>
      <w:tblPr/>
      <w:tcPr>
        <w:shd w:val="clear" w:color="auto" w:fill="0072BC" w:themeFill="accent1"/>
      </w:tcPr>
    </w:tblStylePr>
    <w:tblStylePr w:type="lastRow">
      <w:rPr>
        <w:b/>
        <w:bCs/>
      </w:rPr>
      <w:tblPr/>
      <w:tcPr>
        <w:tcBorders>
          <w:top w:val="double" w:sz="4" w:space="0" w:color="0072BC" w:themeColor="accent1"/>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0072BC" w:themeColor="accent1"/>
          <w:right w:val="single" w:sz="4" w:space="0" w:color="0072BC" w:themeColor="accent1"/>
        </w:tcBorders>
      </w:tcPr>
    </w:tblStylePr>
    <w:tblStylePr w:type="band1Horz">
      <w:tblPr/>
      <w:tcPr>
        <w:tcBorders>
          <w:top w:val="single" w:sz="4" w:space="0" w:color="0072BC" w:themeColor="accent1"/>
          <w:bottom w:val="single" w:sz="4" w:space="0" w:color="0072BC"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72BC" w:themeColor="accent1"/>
          <w:left w:val="nil"/>
        </w:tcBorders>
      </w:tcPr>
    </w:tblStylePr>
    <w:tblStylePr w:type="swCell">
      <w:tblPr/>
      <w:tcPr>
        <w:tcBorders>
          <w:top w:val="double" w:sz="4" w:space="0" w:color="0072BC" w:themeColor="accent1"/>
          <w:right w:val="nil"/>
        </w:tcBorders>
      </w:tcPr>
    </w:tblStylePr>
  </w:style>
  <w:style w:type="table" w:styleId="ListTable3-Accent2">
    <w:name w:val="List Table 3 Accent 2"/>
    <w:basedOn w:val="TableNormal"/>
    <w:uiPriority w:val="98"/>
    <w:rsid w:val="007C12B0"/>
    <w:tblPr>
      <w:tblStyleRowBandSize w:val="1"/>
      <w:tblStyleColBandSize w:val="1"/>
      <w:tblBorders>
        <w:top w:val="single" w:sz="4" w:space="0" w:color="C00000" w:themeColor="accent2"/>
        <w:left w:val="single" w:sz="4" w:space="0" w:color="C00000" w:themeColor="accent2"/>
        <w:bottom w:val="single" w:sz="4" w:space="0" w:color="C00000" w:themeColor="accent2"/>
        <w:right w:val="single" w:sz="4" w:space="0" w:color="C00000" w:themeColor="accent2"/>
      </w:tblBorders>
    </w:tblPr>
    <w:tblStylePr w:type="firstRow">
      <w:rPr>
        <w:b/>
        <w:bCs/>
        <w:color w:val="0072BC" w:themeColor="background1"/>
      </w:rPr>
      <w:tblPr/>
      <w:tcPr>
        <w:shd w:val="clear" w:color="auto" w:fill="C00000" w:themeFill="accent2"/>
      </w:tcPr>
    </w:tblStylePr>
    <w:tblStylePr w:type="lastRow">
      <w:rPr>
        <w:b/>
        <w:bCs/>
      </w:rPr>
      <w:tblPr/>
      <w:tcPr>
        <w:tcBorders>
          <w:top w:val="double" w:sz="4" w:space="0" w:color="C00000" w:themeColor="accent2"/>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C00000" w:themeColor="accent2"/>
          <w:right w:val="single" w:sz="4" w:space="0" w:color="C00000" w:themeColor="accent2"/>
        </w:tcBorders>
      </w:tcPr>
    </w:tblStylePr>
    <w:tblStylePr w:type="band1Horz">
      <w:tblPr/>
      <w:tcPr>
        <w:tcBorders>
          <w:top w:val="single" w:sz="4" w:space="0" w:color="C00000" w:themeColor="accent2"/>
          <w:bottom w:val="single" w:sz="4" w:space="0" w:color="C0000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0000" w:themeColor="accent2"/>
          <w:left w:val="nil"/>
        </w:tcBorders>
      </w:tcPr>
    </w:tblStylePr>
    <w:tblStylePr w:type="swCell">
      <w:tblPr/>
      <w:tcPr>
        <w:tcBorders>
          <w:top w:val="double" w:sz="4" w:space="0" w:color="C00000" w:themeColor="accent2"/>
          <w:right w:val="nil"/>
        </w:tcBorders>
      </w:tcPr>
    </w:tblStylePr>
  </w:style>
  <w:style w:type="table" w:styleId="ListTable3-Accent3">
    <w:name w:val="List Table 3 Accent 3"/>
    <w:basedOn w:val="TableNormal"/>
    <w:uiPriority w:val="98"/>
    <w:rsid w:val="007C12B0"/>
    <w:tblPr>
      <w:tblStyleRowBandSize w:val="1"/>
      <w:tblStyleColBandSize w:val="1"/>
      <w:tblBorders>
        <w:top w:val="single" w:sz="4" w:space="0" w:color="5F5F5F" w:themeColor="accent3"/>
        <w:left w:val="single" w:sz="4" w:space="0" w:color="5F5F5F" w:themeColor="accent3"/>
        <w:bottom w:val="single" w:sz="4" w:space="0" w:color="5F5F5F" w:themeColor="accent3"/>
        <w:right w:val="single" w:sz="4" w:space="0" w:color="5F5F5F" w:themeColor="accent3"/>
      </w:tblBorders>
    </w:tblPr>
    <w:tblStylePr w:type="firstRow">
      <w:rPr>
        <w:b/>
        <w:bCs/>
        <w:color w:val="0072BC" w:themeColor="background1"/>
      </w:rPr>
      <w:tblPr/>
      <w:tcPr>
        <w:shd w:val="clear" w:color="auto" w:fill="5F5F5F" w:themeFill="accent3"/>
      </w:tcPr>
    </w:tblStylePr>
    <w:tblStylePr w:type="lastRow">
      <w:rPr>
        <w:b/>
        <w:bCs/>
      </w:rPr>
      <w:tblPr/>
      <w:tcPr>
        <w:tcBorders>
          <w:top w:val="double" w:sz="4" w:space="0" w:color="5F5F5F" w:themeColor="accent3"/>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5F5F5F" w:themeColor="accent3"/>
          <w:right w:val="single" w:sz="4" w:space="0" w:color="5F5F5F" w:themeColor="accent3"/>
        </w:tcBorders>
      </w:tcPr>
    </w:tblStylePr>
    <w:tblStylePr w:type="band1Horz">
      <w:tblPr/>
      <w:tcPr>
        <w:tcBorders>
          <w:top w:val="single" w:sz="4" w:space="0" w:color="5F5F5F" w:themeColor="accent3"/>
          <w:bottom w:val="single" w:sz="4" w:space="0" w:color="5F5F5F"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5F5F" w:themeColor="accent3"/>
          <w:left w:val="nil"/>
        </w:tcBorders>
      </w:tcPr>
    </w:tblStylePr>
    <w:tblStylePr w:type="swCell">
      <w:tblPr/>
      <w:tcPr>
        <w:tcBorders>
          <w:top w:val="double" w:sz="4" w:space="0" w:color="5F5F5F" w:themeColor="accent3"/>
          <w:right w:val="nil"/>
        </w:tcBorders>
      </w:tcPr>
    </w:tblStylePr>
  </w:style>
  <w:style w:type="table" w:styleId="ListTable3-Accent4">
    <w:name w:val="List Table 3 Accent 4"/>
    <w:basedOn w:val="TableNormal"/>
    <w:uiPriority w:val="98"/>
    <w:rsid w:val="007C12B0"/>
    <w:tblPr>
      <w:tblStyleRowBandSize w:val="1"/>
      <w:tblStyleColBandSize w:val="1"/>
      <w:tblBorders>
        <w:top w:val="single" w:sz="4" w:space="0" w:color="969696" w:themeColor="accent4"/>
        <w:left w:val="single" w:sz="4" w:space="0" w:color="969696" w:themeColor="accent4"/>
        <w:bottom w:val="single" w:sz="4" w:space="0" w:color="969696" w:themeColor="accent4"/>
        <w:right w:val="single" w:sz="4" w:space="0" w:color="969696" w:themeColor="accent4"/>
      </w:tblBorders>
    </w:tblPr>
    <w:tblStylePr w:type="firstRow">
      <w:rPr>
        <w:b/>
        <w:bCs/>
        <w:color w:val="0072BC" w:themeColor="background1"/>
      </w:rPr>
      <w:tblPr/>
      <w:tcPr>
        <w:shd w:val="clear" w:color="auto" w:fill="969696" w:themeFill="accent4"/>
      </w:tcPr>
    </w:tblStylePr>
    <w:tblStylePr w:type="lastRow">
      <w:rPr>
        <w:b/>
        <w:bCs/>
      </w:rPr>
      <w:tblPr/>
      <w:tcPr>
        <w:tcBorders>
          <w:top w:val="double" w:sz="4" w:space="0" w:color="969696" w:themeColor="accent4"/>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969696" w:themeColor="accent4"/>
          <w:right w:val="single" w:sz="4" w:space="0" w:color="969696" w:themeColor="accent4"/>
        </w:tcBorders>
      </w:tcPr>
    </w:tblStylePr>
    <w:tblStylePr w:type="band1Horz">
      <w:tblPr/>
      <w:tcPr>
        <w:tcBorders>
          <w:top w:val="single" w:sz="4" w:space="0" w:color="969696" w:themeColor="accent4"/>
          <w:bottom w:val="single" w:sz="4" w:space="0" w:color="969696"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69696" w:themeColor="accent4"/>
          <w:left w:val="nil"/>
        </w:tcBorders>
      </w:tcPr>
    </w:tblStylePr>
    <w:tblStylePr w:type="swCell">
      <w:tblPr/>
      <w:tcPr>
        <w:tcBorders>
          <w:top w:val="double" w:sz="4" w:space="0" w:color="969696" w:themeColor="accent4"/>
          <w:right w:val="nil"/>
        </w:tcBorders>
      </w:tcPr>
    </w:tblStylePr>
  </w:style>
  <w:style w:type="table" w:styleId="ListTable3-Accent5">
    <w:name w:val="List Table 3 Accent 5"/>
    <w:basedOn w:val="TableNormal"/>
    <w:uiPriority w:val="98"/>
    <w:rsid w:val="007C12B0"/>
    <w:tblPr>
      <w:tblStyleRowBandSize w:val="1"/>
      <w:tblStyleColBandSize w:val="1"/>
      <w:tblBorders>
        <w:top w:val="single" w:sz="4" w:space="0" w:color="5F5F5F" w:themeColor="accent5"/>
        <w:left w:val="single" w:sz="4" w:space="0" w:color="5F5F5F" w:themeColor="accent5"/>
        <w:bottom w:val="single" w:sz="4" w:space="0" w:color="5F5F5F" w:themeColor="accent5"/>
        <w:right w:val="single" w:sz="4" w:space="0" w:color="5F5F5F" w:themeColor="accent5"/>
      </w:tblBorders>
    </w:tblPr>
    <w:tblStylePr w:type="firstRow">
      <w:rPr>
        <w:b/>
        <w:bCs/>
        <w:color w:val="0072BC" w:themeColor="background1"/>
      </w:rPr>
      <w:tblPr/>
      <w:tcPr>
        <w:shd w:val="clear" w:color="auto" w:fill="5F5F5F" w:themeFill="accent5"/>
      </w:tcPr>
    </w:tblStylePr>
    <w:tblStylePr w:type="lastRow">
      <w:rPr>
        <w:b/>
        <w:bCs/>
      </w:rPr>
      <w:tblPr/>
      <w:tcPr>
        <w:tcBorders>
          <w:top w:val="double" w:sz="4" w:space="0" w:color="5F5F5F" w:themeColor="accent5"/>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5F5F5F" w:themeColor="accent5"/>
          <w:right w:val="single" w:sz="4" w:space="0" w:color="5F5F5F" w:themeColor="accent5"/>
        </w:tcBorders>
      </w:tcPr>
    </w:tblStylePr>
    <w:tblStylePr w:type="band1Horz">
      <w:tblPr/>
      <w:tcPr>
        <w:tcBorders>
          <w:top w:val="single" w:sz="4" w:space="0" w:color="5F5F5F" w:themeColor="accent5"/>
          <w:bottom w:val="single" w:sz="4" w:space="0" w:color="5F5F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5F5F" w:themeColor="accent5"/>
          <w:left w:val="nil"/>
        </w:tcBorders>
      </w:tcPr>
    </w:tblStylePr>
    <w:tblStylePr w:type="swCell">
      <w:tblPr/>
      <w:tcPr>
        <w:tcBorders>
          <w:top w:val="double" w:sz="4" w:space="0" w:color="5F5F5F" w:themeColor="accent5"/>
          <w:right w:val="nil"/>
        </w:tcBorders>
      </w:tcPr>
    </w:tblStylePr>
  </w:style>
  <w:style w:type="table" w:styleId="ListTable3-Accent6">
    <w:name w:val="List Table 3 Accent 6"/>
    <w:basedOn w:val="TableNormal"/>
    <w:uiPriority w:val="98"/>
    <w:rsid w:val="007C12B0"/>
    <w:tblPr>
      <w:tblStyleRowBandSize w:val="1"/>
      <w:tblStyleColBandSize w:val="1"/>
      <w:tblBorders>
        <w:top w:val="single" w:sz="4" w:space="0" w:color="4D4D4D" w:themeColor="accent6"/>
        <w:left w:val="single" w:sz="4" w:space="0" w:color="4D4D4D" w:themeColor="accent6"/>
        <w:bottom w:val="single" w:sz="4" w:space="0" w:color="4D4D4D" w:themeColor="accent6"/>
        <w:right w:val="single" w:sz="4" w:space="0" w:color="4D4D4D" w:themeColor="accent6"/>
      </w:tblBorders>
    </w:tblPr>
    <w:tblStylePr w:type="firstRow">
      <w:rPr>
        <w:b/>
        <w:bCs/>
        <w:color w:val="0072BC" w:themeColor="background1"/>
      </w:rPr>
      <w:tblPr/>
      <w:tcPr>
        <w:shd w:val="clear" w:color="auto" w:fill="4D4D4D" w:themeFill="accent6"/>
      </w:tcPr>
    </w:tblStylePr>
    <w:tblStylePr w:type="lastRow">
      <w:rPr>
        <w:b/>
        <w:bCs/>
      </w:rPr>
      <w:tblPr/>
      <w:tcPr>
        <w:tcBorders>
          <w:top w:val="double" w:sz="4" w:space="0" w:color="4D4D4D" w:themeColor="accent6"/>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4D4D4D" w:themeColor="accent6"/>
          <w:right w:val="single" w:sz="4" w:space="0" w:color="4D4D4D" w:themeColor="accent6"/>
        </w:tcBorders>
      </w:tcPr>
    </w:tblStylePr>
    <w:tblStylePr w:type="band1Horz">
      <w:tblPr/>
      <w:tcPr>
        <w:tcBorders>
          <w:top w:val="single" w:sz="4" w:space="0" w:color="4D4D4D" w:themeColor="accent6"/>
          <w:bottom w:val="single" w:sz="4" w:space="0" w:color="4D4D4D"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D4D4D" w:themeColor="accent6"/>
          <w:left w:val="nil"/>
        </w:tcBorders>
      </w:tcPr>
    </w:tblStylePr>
    <w:tblStylePr w:type="swCell">
      <w:tblPr/>
      <w:tcPr>
        <w:tcBorders>
          <w:top w:val="double" w:sz="4" w:space="0" w:color="4D4D4D" w:themeColor="accent6"/>
          <w:right w:val="nil"/>
        </w:tcBorders>
      </w:tcPr>
    </w:tblStylePr>
  </w:style>
  <w:style w:type="table" w:styleId="ListTable4">
    <w:name w:val="List Table 4"/>
    <w:basedOn w:val="TableNormal"/>
    <w:uiPriority w:val="98"/>
    <w:rsid w:val="007C12B0"/>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0072BC"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98"/>
    <w:rsid w:val="007C12B0"/>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tblBorders>
    </w:tblPr>
    <w:tblStylePr w:type="firstRow">
      <w:rPr>
        <w:b/>
        <w:bCs/>
        <w:color w:val="0072BC" w:themeColor="background1"/>
      </w:rPr>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nil"/>
        </w:tcBorders>
        <w:shd w:val="clear" w:color="auto" w:fill="0072BC" w:themeFill="accent1"/>
      </w:tcPr>
    </w:tblStylePr>
    <w:tblStylePr w:type="lastRow">
      <w:rPr>
        <w:b/>
        <w:bCs/>
      </w:rPr>
      <w:tblPr/>
      <w:tcPr>
        <w:tcBorders>
          <w:top w:val="doub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4-Accent2">
    <w:name w:val="List Table 4 Accent 2"/>
    <w:basedOn w:val="TableNormal"/>
    <w:uiPriority w:val="98"/>
    <w:rsid w:val="007C12B0"/>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tblBorders>
    </w:tblPr>
    <w:tblStylePr w:type="firstRow">
      <w:rPr>
        <w:b/>
        <w:bCs/>
        <w:color w:val="0072BC" w:themeColor="background1"/>
      </w:rPr>
      <w:tblPr/>
      <w:tcPr>
        <w:tcBorders>
          <w:top w:val="single" w:sz="4" w:space="0" w:color="C00000" w:themeColor="accent2"/>
          <w:left w:val="single" w:sz="4" w:space="0" w:color="C00000" w:themeColor="accent2"/>
          <w:bottom w:val="single" w:sz="4" w:space="0" w:color="C00000" w:themeColor="accent2"/>
          <w:right w:val="single" w:sz="4" w:space="0" w:color="C00000" w:themeColor="accent2"/>
          <w:insideH w:val="nil"/>
        </w:tcBorders>
        <w:shd w:val="clear" w:color="auto" w:fill="C00000" w:themeFill="accent2"/>
      </w:tcPr>
    </w:tblStylePr>
    <w:tblStylePr w:type="lastRow">
      <w:rPr>
        <w:b/>
        <w:bCs/>
      </w:rPr>
      <w:tblPr/>
      <w:tcPr>
        <w:tcBorders>
          <w:top w:val="doub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4-Accent3">
    <w:name w:val="List Table 4 Accent 3"/>
    <w:basedOn w:val="TableNormal"/>
    <w:uiPriority w:val="98"/>
    <w:rsid w:val="007C12B0"/>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tblBorders>
    </w:tblPr>
    <w:tblStylePr w:type="firstRow">
      <w:rPr>
        <w:b/>
        <w:bCs/>
        <w:color w:val="0072BC" w:themeColor="background1"/>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tcBorders>
        <w:shd w:val="clear" w:color="auto" w:fill="5F5F5F" w:themeFill="accent3"/>
      </w:tcPr>
    </w:tblStylePr>
    <w:tblStylePr w:type="lastRow">
      <w:rPr>
        <w:b/>
        <w:bCs/>
      </w:rPr>
      <w:tblPr/>
      <w:tcPr>
        <w:tcBorders>
          <w:top w:val="doub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4-Accent4">
    <w:name w:val="List Table 4 Accent 4"/>
    <w:basedOn w:val="TableNormal"/>
    <w:uiPriority w:val="98"/>
    <w:rsid w:val="007C12B0"/>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tblBorders>
    </w:tblPr>
    <w:tblStylePr w:type="firstRow">
      <w:rPr>
        <w:b/>
        <w:bCs/>
        <w:color w:val="0072BC" w:themeColor="background1"/>
      </w:rPr>
      <w:tblPr/>
      <w:tcPr>
        <w:tcBorders>
          <w:top w:val="single" w:sz="4" w:space="0" w:color="969696" w:themeColor="accent4"/>
          <w:left w:val="single" w:sz="4" w:space="0" w:color="969696" w:themeColor="accent4"/>
          <w:bottom w:val="single" w:sz="4" w:space="0" w:color="969696" w:themeColor="accent4"/>
          <w:right w:val="single" w:sz="4" w:space="0" w:color="969696" w:themeColor="accent4"/>
          <w:insideH w:val="nil"/>
        </w:tcBorders>
        <w:shd w:val="clear" w:color="auto" w:fill="969696" w:themeFill="accent4"/>
      </w:tcPr>
    </w:tblStylePr>
    <w:tblStylePr w:type="lastRow">
      <w:rPr>
        <w:b/>
        <w:bCs/>
      </w:rPr>
      <w:tblPr/>
      <w:tcPr>
        <w:tcBorders>
          <w:top w:val="doub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4-Accent5">
    <w:name w:val="List Table 4 Accent 5"/>
    <w:basedOn w:val="TableNormal"/>
    <w:uiPriority w:val="98"/>
    <w:rsid w:val="007C12B0"/>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tblBorders>
    </w:tblPr>
    <w:tblStylePr w:type="firstRow">
      <w:rPr>
        <w:b/>
        <w:bCs/>
        <w:color w:val="0072BC"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tcBorders>
        <w:shd w:val="clear" w:color="auto" w:fill="5F5F5F" w:themeFill="accent5"/>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4-Accent6">
    <w:name w:val="List Table 4 Accent 6"/>
    <w:basedOn w:val="TableNormal"/>
    <w:uiPriority w:val="98"/>
    <w:rsid w:val="007C12B0"/>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tblBorders>
    </w:tblPr>
    <w:tblStylePr w:type="firstRow">
      <w:rPr>
        <w:b/>
        <w:bCs/>
        <w:color w:val="0072BC"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tcBorders>
        <w:shd w:val="clear" w:color="auto" w:fill="4D4D4D" w:themeFill="accent6"/>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5Dark">
    <w:name w:val="List Table 5 Dark"/>
    <w:basedOn w:val="TableNormal"/>
    <w:uiPriority w:val="98"/>
    <w:rsid w:val="007C12B0"/>
    <w:rPr>
      <w:color w:val="0072BC"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98"/>
    <w:rsid w:val="007C12B0"/>
    <w:rPr>
      <w:color w:val="0072BC" w:themeColor="background1"/>
    </w:rPr>
    <w:tblPr>
      <w:tblStyleRowBandSize w:val="1"/>
      <w:tblStyleColBandSize w:val="1"/>
      <w:tblBorders>
        <w:top w:val="single" w:sz="24" w:space="0" w:color="0072BC" w:themeColor="accent1"/>
        <w:left w:val="single" w:sz="24" w:space="0" w:color="0072BC" w:themeColor="accent1"/>
        <w:bottom w:val="single" w:sz="24" w:space="0" w:color="0072BC" w:themeColor="accent1"/>
        <w:right w:val="single" w:sz="24" w:space="0" w:color="0072BC" w:themeColor="accent1"/>
      </w:tblBorders>
    </w:tblPr>
    <w:tcPr>
      <w:shd w:val="clear" w:color="auto" w:fill="0072BC" w:themeFill="accent1"/>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98"/>
    <w:rsid w:val="007C12B0"/>
    <w:rPr>
      <w:color w:val="0072BC" w:themeColor="background1"/>
    </w:rPr>
    <w:tblPr>
      <w:tblStyleRowBandSize w:val="1"/>
      <w:tblStyleColBandSize w:val="1"/>
      <w:tblBorders>
        <w:top w:val="single" w:sz="24" w:space="0" w:color="C00000" w:themeColor="accent2"/>
        <w:left w:val="single" w:sz="24" w:space="0" w:color="C00000" w:themeColor="accent2"/>
        <w:bottom w:val="single" w:sz="24" w:space="0" w:color="C00000" w:themeColor="accent2"/>
        <w:right w:val="single" w:sz="24" w:space="0" w:color="C00000" w:themeColor="accent2"/>
      </w:tblBorders>
    </w:tblPr>
    <w:tcPr>
      <w:shd w:val="clear" w:color="auto" w:fill="C00000" w:themeFill="accent2"/>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98"/>
    <w:rsid w:val="007C12B0"/>
    <w:rPr>
      <w:color w:val="0072BC" w:themeColor="background1"/>
    </w:rPr>
    <w:tblPr>
      <w:tblStyleRowBandSize w:val="1"/>
      <w:tblStyleColBandSize w:val="1"/>
      <w:tblBorders>
        <w:top w:val="single" w:sz="24" w:space="0" w:color="5F5F5F" w:themeColor="accent3"/>
        <w:left w:val="single" w:sz="24" w:space="0" w:color="5F5F5F" w:themeColor="accent3"/>
        <w:bottom w:val="single" w:sz="24" w:space="0" w:color="5F5F5F" w:themeColor="accent3"/>
        <w:right w:val="single" w:sz="24" w:space="0" w:color="5F5F5F" w:themeColor="accent3"/>
      </w:tblBorders>
    </w:tblPr>
    <w:tcPr>
      <w:shd w:val="clear" w:color="auto" w:fill="5F5F5F" w:themeFill="accent3"/>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98"/>
    <w:rsid w:val="007C12B0"/>
    <w:rPr>
      <w:color w:val="0072BC" w:themeColor="background1"/>
    </w:rPr>
    <w:tblPr>
      <w:tblStyleRowBandSize w:val="1"/>
      <w:tblStyleColBandSize w:val="1"/>
      <w:tblBorders>
        <w:top w:val="single" w:sz="24" w:space="0" w:color="969696" w:themeColor="accent4"/>
        <w:left w:val="single" w:sz="24" w:space="0" w:color="969696" w:themeColor="accent4"/>
        <w:bottom w:val="single" w:sz="24" w:space="0" w:color="969696" w:themeColor="accent4"/>
        <w:right w:val="single" w:sz="24" w:space="0" w:color="969696" w:themeColor="accent4"/>
      </w:tblBorders>
    </w:tblPr>
    <w:tcPr>
      <w:shd w:val="clear" w:color="auto" w:fill="969696" w:themeFill="accent4"/>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98"/>
    <w:rsid w:val="007C12B0"/>
    <w:rPr>
      <w:color w:val="0072BC" w:themeColor="background1"/>
    </w:rPr>
    <w:tblPr>
      <w:tblStyleRowBandSize w:val="1"/>
      <w:tblStyleColBandSize w:val="1"/>
      <w:tblBorders>
        <w:top w:val="single" w:sz="24" w:space="0" w:color="5F5F5F" w:themeColor="accent5"/>
        <w:left w:val="single" w:sz="24" w:space="0" w:color="5F5F5F" w:themeColor="accent5"/>
        <w:bottom w:val="single" w:sz="24" w:space="0" w:color="5F5F5F" w:themeColor="accent5"/>
        <w:right w:val="single" w:sz="24" w:space="0" w:color="5F5F5F" w:themeColor="accent5"/>
      </w:tblBorders>
    </w:tblPr>
    <w:tcPr>
      <w:shd w:val="clear" w:color="auto" w:fill="5F5F5F" w:themeFill="accent5"/>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98"/>
    <w:rsid w:val="007C12B0"/>
    <w:rPr>
      <w:color w:val="0072BC" w:themeColor="background1"/>
    </w:rPr>
    <w:tblPr>
      <w:tblStyleRowBandSize w:val="1"/>
      <w:tblStyleColBandSize w:val="1"/>
      <w:tblBorders>
        <w:top w:val="single" w:sz="24" w:space="0" w:color="4D4D4D" w:themeColor="accent6"/>
        <w:left w:val="single" w:sz="24" w:space="0" w:color="4D4D4D" w:themeColor="accent6"/>
        <w:bottom w:val="single" w:sz="24" w:space="0" w:color="4D4D4D" w:themeColor="accent6"/>
        <w:right w:val="single" w:sz="24" w:space="0" w:color="4D4D4D" w:themeColor="accent6"/>
      </w:tblBorders>
    </w:tblPr>
    <w:tcPr>
      <w:shd w:val="clear" w:color="auto" w:fill="4D4D4D" w:themeFill="accent6"/>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98"/>
    <w:rsid w:val="007C12B0"/>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98"/>
    <w:rsid w:val="007C12B0"/>
    <w:rPr>
      <w:color w:val="00548C" w:themeColor="accent1" w:themeShade="BF"/>
    </w:rPr>
    <w:tblPr>
      <w:tblStyleRowBandSize w:val="1"/>
      <w:tblStyleColBandSize w:val="1"/>
      <w:tblBorders>
        <w:top w:val="single" w:sz="4" w:space="0" w:color="0072BC" w:themeColor="accent1"/>
        <w:bottom w:val="single" w:sz="4" w:space="0" w:color="0072BC" w:themeColor="accent1"/>
      </w:tblBorders>
    </w:tblPr>
    <w:tblStylePr w:type="firstRow">
      <w:rPr>
        <w:b/>
        <w:bCs/>
      </w:rPr>
      <w:tblPr/>
      <w:tcPr>
        <w:tcBorders>
          <w:bottom w:val="single" w:sz="4" w:space="0" w:color="0072BC" w:themeColor="accent1"/>
        </w:tcBorders>
      </w:tcPr>
    </w:tblStylePr>
    <w:tblStylePr w:type="lastRow">
      <w:rPr>
        <w:b/>
        <w:bCs/>
      </w:rPr>
      <w:tblPr/>
      <w:tcPr>
        <w:tcBorders>
          <w:top w:val="double" w:sz="4" w:space="0" w:color="0072BC" w:themeColor="accent1"/>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6Colorful-Accent2">
    <w:name w:val="List Table 6 Colorful Accent 2"/>
    <w:basedOn w:val="TableNormal"/>
    <w:uiPriority w:val="98"/>
    <w:rsid w:val="007C12B0"/>
    <w:rPr>
      <w:color w:val="8F0000" w:themeColor="accent2" w:themeShade="BF"/>
    </w:rPr>
    <w:tblPr>
      <w:tblStyleRowBandSize w:val="1"/>
      <w:tblStyleColBandSize w:val="1"/>
      <w:tblBorders>
        <w:top w:val="single" w:sz="4" w:space="0" w:color="C00000" w:themeColor="accent2"/>
        <w:bottom w:val="single" w:sz="4" w:space="0" w:color="C00000" w:themeColor="accent2"/>
      </w:tblBorders>
    </w:tblPr>
    <w:tblStylePr w:type="firstRow">
      <w:rPr>
        <w:b/>
        <w:bCs/>
      </w:rPr>
      <w:tblPr/>
      <w:tcPr>
        <w:tcBorders>
          <w:bottom w:val="single" w:sz="4" w:space="0" w:color="C00000" w:themeColor="accent2"/>
        </w:tcBorders>
      </w:tcPr>
    </w:tblStylePr>
    <w:tblStylePr w:type="lastRow">
      <w:rPr>
        <w:b/>
        <w:bCs/>
      </w:rPr>
      <w:tblPr/>
      <w:tcPr>
        <w:tcBorders>
          <w:top w:val="double" w:sz="4" w:space="0" w:color="C00000" w:themeColor="accent2"/>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6Colorful-Accent3">
    <w:name w:val="List Table 6 Colorful Accent 3"/>
    <w:basedOn w:val="TableNormal"/>
    <w:uiPriority w:val="98"/>
    <w:rsid w:val="007C12B0"/>
    <w:rPr>
      <w:color w:val="474747" w:themeColor="accent3" w:themeShade="BF"/>
    </w:rPr>
    <w:tblPr>
      <w:tblStyleRowBandSize w:val="1"/>
      <w:tblStyleColBandSize w:val="1"/>
      <w:tblBorders>
        <w:top w:val="single" w:sz="4" w:space="0" w:color="5F5F5F" w:themeColor="accent3"/>
        <w:bottom w:val="single" w:sz="4" w:space="0" w:color="5F5F5F" w:themeColor="accent3"/>
      </w:tblBorders>
    </w:tblPr>
    <w:tblStylePr w:type="firstRow">
      <w:rPr>
        <w:b/>
        <w:bCs/>
      </w:rPr>
      <w:tblPr/>
      <w:tcPr>
        <w:tcBorders>
          <w:bottom w:val="single" w:sz="4" w:space="0" w:color="5F5F5F" w:themeColor="accent3"/>
        </w:tcBorders>
      </w:tcPr>
    </w:tblStylePr>
    <w:tblStylePr w:type="lastRow">
      <w:rPr>
        <w:b/>
        <w:bCs/>
      </w:rPr>
      <w:tblPr/>
      <w:tcPr>
        <w:tcBorders>
          <w:top w:val="double" w:sz="4" w:space="0" w:color="5F5F5F" w:themeColor="accent3"/>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6Colorful-Accent4">
    <w:name w:val="List Table 6 Colorful Accent 4"/>
    <w:basedOn w:val="TableNormal"/>
    <w:uiPriority w:val="98"/>
    <w:rsid w:val="007C12B0"/>
    <w:rPr>
      <w:color w:val="707070" w:themeColor="accent4" w:themeShade="BF"/>
    </w:rPr>
    <w:tblPr>
      <w:tblStyleRowBandSize w:val="1"/>
      <w:tblStyleColBandSize w:val="1"/>
      <w:tblBorders>
        <w:top w:val="single" w:sz="4" w:space="0" w:color="969696" w:themeColor="accent4"/>
        <w:bottom w:val="single" w:sz="4" w:space="0" w:color="969696" w:themeColor="accent4"/>
      </w:tblBorders>
    </w:tblPr>
    <w:tblStylePr w:type="firstRow">
      <w:rPr>
        <w:b/>
        <w:bCs/>
      </w:rPr>
      <w:tblPr/>
      <w:tcPr>
        <w:tcBorders>
          <w:bottom w:val="single" w:sz="4" w:space="0" w:color="969696" w:themeColor="accent4"/>
        </w:tcBorders>
      </w:tcPr>
    </w:tblStylePr>
    <w:tblStylePr w:type="lastRow">
      <w:rPr>
        <w:b/>
        <w:bCs/>
      </w:rPr>
      <w:tblPr/>
      <w:tcPr>
        <w:tcBorders>
          <w:top w:val="double" w:sz="4" w:space="0" w:color="969696" w:themeColor="accent4"/>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6Colorful-Accent5">
    <w:name w:val="List Table 6 Colorful Accent 5"/>
    <w:basedOn w:val="TableNormal"/>
    <w:uiPriority w:val="98"/>
    <w:rsid w:val="007C12B0"/>
    <w:rPr>
      <w:color w:val="474747" w:themeColor="accent5" w:themeShade="BF"/>
    </w:rPr>
    <w:tblPr>
      <w:tblStyleRowBandSize w:val="1"/>
      <w:tblStyleColBandSize w:val="1"/>
      <w:tblBorders>
        <w:top w:val="single" w:sz="4" w:space="0" w:color="5F5F5F" w:themeColor="accent5"/>
        <w:bottom w:val="single" w:sz="4" w:space="0" w:color="5F5F5F" w:themeColor="accent5"/>
      </w:tblBorders>
    </w:tblPr>
    <w:tblStylePr w:type="firstRow">
      <w:rPr>
        <w:b/>
        <w:bCs/>
      </w:rPr>
      <w:tblPr/>
      <w:tcPr>
        <w:tcBorders>
          <w:bottom w:val="single" w:sz="4" w:space="0" w:color="5F5F5F" w:themeColor="accent5"/>
        </w:tcBorders>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6Colorful-Accent6">
    <w:name w:val="List Table 6 Colorful Accent 6"/>
    <w:basedOn w:val="TableNormal"/>
    <w:uiPriority w:val="98"/>
    <w:rsid w:val="007C12B0"/>
    <w:rPr>
      <w:color w:val="393939" w:themeColor="accent6" w:themeShade="BF"/>
    </w:rPr>
    <w:tblPr>
      <w:tblStyleRowBandSize w:val="1"/>
      <w:tblStyleColBandSize w:val="1"/>
      <w:tblBorders>
        <w:top w:val="single" w:sz="4" w:space="0" w:color="4D4D4D" w:themeColor="accent6"/>
        <w:bottom w:val="single" w:sz="4" w:space="0" w:color="4D4D4D" w:themeColor="accent6"/>
      </w:tblBorders>
    </w:tblPr>
    <w:tblStylePr w:type="firstRow">
      <w:rPr>
        <w:b/>
        <w:bCs/>
      </w:rPr>
      <w:tblPr/>
      <w:tcPr>
        <w:tcBorders>
          <w:bottom w:val="single" w:sz="4" w:space="0" w:color="4D4D4D" w:themeColor="accent6"/>
        </w:tcBorders>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7Colorful">
    <w:name w:val="List Table 7 Colorful"/>
    <w:basedOn w:val="TableNormal"/>
    <w:uiPriority w:val="98"/>
    <w:rsid w:val="007C12B0"/>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98"/>
    <w:rsid w:val="007C12B0"/>
    <w:rPr>
      <w:color w:val="00548C"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72BC" w:themeColor="accent1"/>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0072BC" w:themeColor="accent1"/>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72BC" w:themeColor="accent1"/>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0072BC" w:themeColor="accent1"/>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98"/>
    <w:rsid w:val="007C12B0"/>
    <w:rPr>
      <w:color w:val="8F0000"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0000" w:themeColor="accent2"/>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C00000" w:themeColor="accent2"/>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0000" w:themeColor="accent2"/>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C00000" w:themeColor="accent2"/>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98"/>
    <w:rsid w:val="007C12B0"/>
    <w:rPr>
      <w:color w:val="474747"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F5F5F" w:themeColor="accent3"/>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5F5F5F" w:themeColor="accent3"/>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F5F5F" w:themeColor="accent3"/>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5F5F5F" w:themeColor="accent3"/>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98"/>
    <w:rsid w:val="007C12B0"/>
    <w:rPr>
      <w:color w:val="70707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69696" w:themeColor="accent4"/>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969696" w:themeColor="accent4"/>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69696" w:themeColor="accent4"/>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969696" w:themeColor="accent4"/>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98"/>
    <w:rsid w:val="007C12B0"/>
    <w:rPr>
      <w:color w:val="4747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F5F5F" w:themeColor="accent5"/>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5F5F5F" w:themeColor="accent5"/>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F5F5F" w:themeColor="accent5"/>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5F5F5F" w:themeColor="accent5"/>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98"/>
    <w:rsid w:val="007C12B0"/>
    <w:rPr>
      <w:color w:val="393939"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D4D4D" w:themeColor="accent6"/>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4D4D4D" w:themeColor="accent6"/>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D4D4D" w:themeColor="accent6"/>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4D4D4D" w:themeColor="accent6"/>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Mention">
    <w:name w:val="Mention"/>
    <w:basedOn w:val="DefaultParagraphFont"/>
    <w:uiPriority w:val="98"/>
    <w:semiHidden/>
    <w:rsid w:val="007C12B0"/>
    <w:rPr>
      <w:color w:val="2B579A"/>
      <w:shd w:val="clear" w:color="auto" w:fill="E1DFDD"/>
    </w:rPr>
  </w:style>
  <w:style w:type="table" w:styleId="PlainTable1">
    <w:name w:val="Plain Table 1"/>
    <w:basedOn w:val="TableNormal"/>
    <w:uiPriority w:val="98"/>
    <w:rsid w:val="007C12B0"/>
    <w:tblPr>
      <w:tblStyleRowBandSize w:val="1"/>
      <w:tblStyleColBandSize w:val="1"/>
      <w:tblBorders>
        <w:top w:val="single" w:sz="4" w:space="0" w:color="00548C" w:themeColor="background1" w:themeShade="BF"/>
        <w:left w:val="single" w:sz="4" w:space="0" w:color="00548C" w:themeColor="background1" w:themeShade="BF"/>
        <w:bottom w:val="single" w:sz="4" w:space="0" w:color="00548C" w:themeColor="background1" w:themeShade="BF"/>
        <w:right w:val="single" w:sz="4" w:space="0" w:color="00548C" w:themeColor="background1" w:themeShade="BF"/>
        <w:insideH w:val="single" w:sz="4" w:space="0" w:color="00548C" w:themeColor="background1" w:themeShade="BF"/>
        <w:insideV w:val="single" w:sz="4" w:space="0" w:color="00548C" w:themeColor="background1" w:themeShade="BF"/>
      </w:tblBorders>
    </w:tblPr>
    <w:tblStylePr w:type="firstRow">
      <w:rPr>
        <w:b/>
        <w:bCs/>
      </w:rPr>
    </w:tblStylePr>
    <w:tblStylePr w:type="lastRow">
      <w:rPr>
        <w:b/>
        <w:bCs/>
      </w:rPr>
      <w:tblPr/>
      <w:tcPr>
        <w:tcBorders>
          <w:top w:val="double" w:sz="4" w:space="0" w:color="00548C" w:themeColor="background1" w:themeShade="BF"/>
        </w:tcBorders>
      </w:tcPr>
    </w:tblStylePr>
    <w:tblStylePr w:type="firstCol">
      <w:rPr>
        <w:b/>
        <w:bCs/>
      </w:rPr>
    </w:tblStylePr>
    <w:tblStylePr w:type="lastCol">
      <w:rPr>
        <w:b/>
        <w:bCs/>
      </w:r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style>
  <w:style w:type="table" w:styleId="PlainTable2">
    <w:name w:val="Plain Table 2"/>
    <w:basedOn w:val="TableNormal"/>
    <w:uiPriority w:val="98"/>
    <w:rsid w:val="007C12B0"/>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8"/>
    <w:rsid w:val="007C12B0"/>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98"/>
    <w:rsid w:val="007C12B0"/>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style>
  <w:style w:type="table" w:styleId="PlainTable5">
    <w:name w:val="Plain Table 5"/>
    <w:basedOn w:val="TableNormal"/>
    <w:uiPriority w:val="98"/>
    <w:rsid w:val="007C12B0"/>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0072BC" w:themeFill="background1"/>
      </w:tc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SmartHyperlink">
    <w:name w:val="Smart Hyperlink"/>
    <w:basedOn w:val="DefaultParagraphFont"/>
    <w:uiPriority w:val="98"/>
    <w:semiHidden/>
    <w:rsid w:val="007C12B0"/>
    <w:rPr>
      <w:u w:val="dotted"/>
    </w:rPr>
  </w:style>
  <w:style w:type="character" w:customStyle="1" w:styleId="SmartLink">
    <w:name w:val="Smart Link"/>
    <w:basedOn w:val="DefaultParagraphFont"/>
    <w:uiPriority w:val="98"/>
    <w:semiHidden/>
    <w:rsid w:val="007C12B0"/>
    <w:rPr>
      <w:color w:val="0000FF"/>
      <w:u w:val="single"/>
      <w:shd w:val="clear" w:color="auto" w:fill="F3F2F1"/>
    </w:rPr>
  </w:style>
  <w:style w:type="table" w:styleId="TableGridLight">
    <w:name w:val="Grid Table Light"/>
    <w:basedOn w:val="TableNormal"/>
    <w:uiPriority w:val="98"/>
    <w:rsid w:val="007C12B0"/>
    <w:tblPr>
      <w:tblBorders>
        <w:top w:val="single" w:sz="4" w:space="0" w:color="00548C" w:themeColor="background1" w:themeShade="BF"/>
        <w:left w:val="single" w:sz="4" w:space="0" w:color="00548C" w:themeColor="background1" w:themeShade="BF"/>
        <w:bottom w:val="single" w:sz="4" w:space="0" w:color="00548C" w:themeColor="background1" w:themeShade="BF"/>
        <w:right w:val="single" w:sz="4" w:space="0" w:color="00548C" w:themeColor="background1" w:themeShade="BF"/>
        <w:insideH w:val="single" w:sz="4" w:space="0" w:color="00548C" w:themeColor="background1" w:themeShade="BF"/>
        <w:insideV w:val="single" w:sz="4" w:space="0" w:color="00548C" w:themeColor="background1" w:themeShade="BF"/>
      </w:tblBorders>
    </w:tblPr>
  </w:style>
  <w:style w:type="character" w:customStyle="1" w:styleId="s68f5eaef">
    <w:name w:val="s68f5eaef"/>
    <w:basedOn w:val="DefaultParagraphFont"/>
    <w:rsid w:val="007C12B0"/>
  </w:style>
  <w:style w:type="character" w:customStyle="1" w:styleId="sbc73225d">
    <w:name w:val="sbc73225d"/>
    <w:basedOn w:val="DefaultParagraphFont"/>
    <w:rsid w:val="007C12B0"/>
  </w:style>
  <w:style w:type="paragraph" w:customStyle="1" w:styleId="sa98acedd">
    <w:name w:val="sa98acedd"/>
    <w:basedOn w:val="Normal"/>
    <w:rsid w:val="007C12B0"/>
    <w:pPr>
      <w:spacing w:before="100" w:beforeAutospacing="1" w:after="100" w:afterAutospacing="1"/>
    </w:pPr>
    <w:rPr>
      <w:rFonts w:ascii="Times New Roman" w:eastAsia="Times New Roman" w:hAnsi="Times New Roman" w:cs="Times New Roman"/>
      <w:lang w:eastAsia="fr-FR"/>
    </w:rPr>
  </w:style>
  <w:style w:type="paragraph" w:customStyle="1" w:styleId="Default">
    <w:name w:val="Default"/>
    <w:basedOn w:val="Normal"/>
    <w:rsid w:val="00AF7618"/>
    <w:pPr>
      <w:autoSpaceDE w:val="0"/>
      <w:autoSpaceDN w:val="0"/>
    </w:pPr>
    <w:rPr>
      <w:rFonts w:ascii="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udoc.echr.coe.int/eng"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http://ier.gov.ro/" TargetMode="External"/><Relationship Id="rId1" Type="http://schemas.openxmlformats.org/officeDocument/2006/relationships/hyperlink" Target="http://ier.gov.ro/en/home-en/" TargetMode="External"/></Relationships>
</file>

<file path=word/theme/theme1.xml><?xml version="1.0" encoding="utf-8"?>
<a:theme xmlns:a="http://schemas.openxmlformats.org/drawingml/2006/main" name="ECHR_Theme_Judgments_Decisions_Reports">
  <a:themeElements>
    <a:clrScheme name="ECHR_grey">
      <a:dk1>
        <a:sysClr val="windowText" lastClr="000000"/>
      </a:dk1>
      <a:lt1>
        <a:srgbClr val="0072BC"/>
      </a:lt1>
      <a:dk2>
        <a:srgbClr val="C6C6C6"/>
      </a:dk2>
      <a:lt2>
        <a:srgbClr val="F8F8F8"/>
      </a:lt2>
      <a:accent1>
        <a:srgbClr val="0072BC"/>
      </a:accent1>
      <a:accent2>
        <a:srgbClr val="C00000"/>
      </a:accent2>
      <a:accent3>
        <a:srgbClr val="5F5F5F"/>
      </a:accent3>
      <a:accent4>
        <a:srgbClr val="969696"/>
      </a:accent4>
      <a:accent5>
        <a:srgbClr val="5F5F5F"/>
      </a:accent5>
      <a:accent6>
        <a:srgbClr val="4D4D4D"/>
      </a:accent6>
      <a:hlink>
        <a:srgbClr val="0072BC"/>
      </a:hlink>
      <a:folHlink>
        <a:srgbClr val="7030A0"/>
      </a:folHlink>
    </a:clrScheme>
    <a:fontScheme name="ECHR_Judgments_Reports_Decisions">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ECE8F5-9736-451A-A7B0-7708333AC7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7922</Words>
  <Characters>45162</Characters>
  <Application>Microsoft Office Word</Application>
  <DocSecurity>0</DocSecurity>
  <Lines>376</Lines>
  <Paragraphs>105</Paragraphs>
  <ScaleCrop>false</ScaleCrop>
  <HeadingPairs>
    <vt:vector size="2" baseType="variant">
      <vt:variant>
        <vt:lpstr>Title</vt:lpstr>
      </vt:variant>
      <vt:variant>
        <vt:i4>1</vt:i4>
      </vt:variant>
    </vt:vector>
  </HeadingPairs>
  <TitlesOfParts>
    <vt:vector size="1" baseType="lpstr">
      <vt:lpstr>Pivkina si altii impotriva Rusiei (dec)</vt:lpstr>
    </vt:vector>
  </TitlesOfParts>
  <Company/>
  <LinksUpToDate>false</LinksUpToDate>
  <CharactersWithSpaces>52979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Pivkina si altii impotriva Rusiei (dec)</dc:title>
  <dc:subject>DC</dc:subject>
  <dc:creator/>
  <cp:lastModifiedBy/>
  <cp:revision>1</cp:revision>
  <dcterms:created xsi:type="dcterms:W3CDTF">2023-12-15T10:55:00Z</dcterms:created>
  <dcterms:modified xsi:type="dcterms:W3CDTF">2024-01-04T14:08:00Z</dcterms:modified>
  <cp:category>ECHR 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SEID">
    <vt:lpwstr>1811409</vt:lpwstr>
  </property>
  <property fmtid="{D5CDD505-2E9C-101B-9397-08002B2CF9AE}" pid="3" name="cstLanguage">
    <vt:i4>2057</vt:i4>
  </property>
  <property fmtid="{D5CDD505-2E9C-101B-9397-08002B2CF9AE}" pid="4" name="RegisteredNo">
    <vt:lpwstr>2134/23</vt:lpwstr>
  </property>
</Properties>
</file>