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A5D" w:rsidRPr="00BF6A5D" w:rsidRDefault="00BF6A5D" w:rsidP="00BF6A5D">
      <w:pPr>
        <w:pStyle w:val="JuPara"/>
        <w:jc w:val="center"/>
        <w:rPr>
          <w:rFonts w:asciiTheme="majorHAnsi" w:hAnsiTheme="majorHAnsi"/>
          <w:sz w:val="28"/>
        </w:rPr>
      </w:pPr>
      <w:r>
        <w:rPr>
          <w:rFonts w:asciiTheme="majorHAnsi" w:hAnsiTheme="majorHAnsi"/>
          <w:sz w:val="28"/>
        </w:rPr>
        <w:t>CURTEA EUROPEANĂ A DREPTURILOR OMULUI</w:t>
      </w:r>
    </w:p>
    <w:p w:rsidR="00BF6A5D" w:rsidRPr="00BF6A5D" w:rsidRDefault="00BF6A5D" w:rsidP="00BF6A5D">
      <w:pPr>
        <w:pStyle w:val="JuPara"/>
        <w:jc w:val="center"/>
      </w:pPr>
      <w:r>
        <w:t>MAREA CAMERĂ</w:t>
      </w:r>
    </w:p>
    <w:p w:rsidR="00BF6A5D" w:rsidRPr="00BF6A5D" w:rsidRDefault="00BF6A5D" w:rsidP="00BF6A5D">
      <w:pPr>
        <w:pStyle w:val="JuPara"/>
        <w:contextualSpacing/>
      </w:pPr>
    </w:p>
    <w:p w:rsidR="00BF6A5D" w:rsidRPr="00BF6A5D" w:rsidRDefault="00BF6A5D" w:rsidP="00BF6A5D">
      <w:pPr>
        <w:pStyle w:val="JuPara"/>
        <w:contextualSpacing/>
      </w:pPr>
    </w:p>
    <w:p w:rsidR="00BF6A5D" w:rsidRPr="00BF6A5D" w:rsidRDefault="00BF6A5D" w:rsidP="00BF6A5D">
      <w:pPr>
        <w:pStyle w:val="JuPara"/>
        <w:contextualSpacing/>
      </w:pPr>
    </w:p>
    <w:p w:rsidR="00BF6A5D" w:rsidRPr="00BF6A5D" w:rsidRDefault="00BF6A5D" w:rsidP="00BF6A5D">
      <w:pPr>
        <w:pStyle w:val="JuPara"/>
      </w:pPr>
    </w:p>
    <w:p w:rsidR="00BF6A5D" w:rsidRPr="00BF6A5D" w:rsidRDefault="00BF6A5D" w:rsidP="00BF6A5D">
      <w:pPr>
        <w:pStyle w:val="JuTitle"/>
        <w:spacing w:before="840"/>
        <w:rPr>
          <w:b w:val="0"/>
          <w:bCs/>
        </w:rPr>
      </w:pPr>
    </w:p>
    <w:p w:rsidR="00BF6A5D" w:rsidRPr="00BF6A5D" w:rsidRDefault="00BF6A5D" w:rsidP="00BF6A5D">
      <w:pPr>
        <w:pStyle w:val="DecHCase"/>
        <w:rPr>
          <w:b/>
          <w:bCs/>
        </w:rPr>
      </w:pPr>
      <w:r>
        <w:rPr>
          <w:b/>
        </w:rPr>
        <w:t xml:space="preserve">CAUZA DUARTE AGOSTINHO ȘI ALȚII ÎMPOTRIVA PORTUGALIEI </w:t>
      </w:r>
      <w:r>
        <w:rPr>
          <w:b/>
        </w:rPr>
        <w:br/>
        <w:t>ȘI A ALTOR 32 DE STATE</w:t>
      </w:r>
    </w:p>
    <w:p w:rsidR="00BF6A5D" w:rsidRPr="00BF6A5D" w:rsidRDefault="00BF6A5D" w:rsidP="00BF6A5D">
      <w:pPr>
        <w:pStyle w:val="DecHCase"/>
        <w:rPr>
          <w:i/>
          <w:iCs/>
        </w:rPr>
      </w:pPr>
      <w:r>
        <w:rPr>
          <w:i/>
        </w:rPr>
        <w:t>(Cererea nr. 39371/20)</w:t>
      </w:r>
    </w:p>
    <w:p w:rsidR="00BF6A5D" w:rsidRPr="00BF6A5D" w:rsidRDefault="00BF6A5D" w:rsidP="00BF6A5D"/>
    <w:p w:rsidR="00BF6A5D" w:rsidRPr="00BF6A5D" w:rsidRDefault="00BF6A5D" w:rsidP="00BF6A5D"/>
    <w:p w:rsidR="00BF6A5D" w:rsidRPr="00BF6A5D" w:rsidRDefault="00BF6A5D" w:rsidP="00BF6A5D"/>
    <w:p w:rsidR="00BF6A5D" w:rsidRPr="00BF6A5D" w:rsidRDefault="00BF6A5D" w:rsidP="00BF6A5D"/>
    <w:p w:rsidR="00BF6A5D" w:rsidRPr="00BF6A5D" w:rsidRDefault="00BF6A5D" w:rsidP="00BF6A5D"/>
    <w:p w:rsidR="00BF6A5D" w:rsidRPr="00BF6A5D" w:rsidRDefault="00BF6A5D" w:rsidP="00BF6A5D"/>
    <w:p w:rsidR="00BF6A5D" w:rsidRPr="00BF6A5D" w:rsidRDefault="00BF6A5D" w:rsidP="00BF6A5D">
      <w:pPr>
        <w:pStyle w:val="DecHTitle"/>
        <w:outlineLvl w:val="9"/>
      </w:pPr>
      <w:r>
        <w:t>DECIZIE</w:t>
      </w:r>
    </w:p>
    <w:p w:rsidR="00BF6A5D" w:rsidRPr="00BF6A5D" w:rsidRDefault="00BF6A5D" w:rsidP="00BF6A5D"/>
    <w:p w:rsidR="00BF6A5D" w:rsidRPr="00BF6A5D" w:rsidRDefault="00BF6A5D" w:rsidP="00BF6A5D"/>
    <w:p w:rsidR="00BF6A5D" w:rsidRPr="00BF6A5D" w:rsidRDefault="00BF6A5D" w:rsidP="00BF6A5D">
      <w:pPr>
        <w:pStyle w:val="DecHCase"/>
      </w:pPr>
      <w:r>
        <w:t>STRASBOURG</w:t>
      </w:r>
    </w:p>
    <w:p w:rsidR="00BF6A5D" w:rsidRPr="00BF6A5D" w:rsidRDefault="00BF6A5D" w:rsidP="00BF6A5D">
      <w:pPr>
        <w:pStyle w:val="DecHCase"/>
        <w:rPr>
          <w:rFonts w:ascii="Times New Roman" w:hAnsi="Times New Roman" w:cs="Times New Roman"/>
        </w:rPr>
      </w:pPr>
      <w:r>
        <w:rPr>
          <w:rFonts w:ascii="Times New Roman" w:hAnsi="Times New Roman"/>
        </w:rPr>
        <w:t>9 aprilie 2024</w:t>
      </w:r>
    </w:p>
    <w:p w:rsidR="00BF6A5D" w:rsidRPr="00BF6A5D" w:rsidRDefault="00BF6A5D" w:rsidP="00BF6A5D">
      <w:pPr>
        <w:rPr>
          <w:i/>
        </w:rPr>
      </w:pPr>
    </w:p>
    <w:p w:rsidR="00BF6A5D" w:rsidRPr="00BF6A5D" w:rsidRDefault="00BF6A5D" w:rsidP="00BF6A5D">
      <w:pPr>
        <w:sectPr w:rsidR="00BF6A5D" w:rsidRPr="00BF6A5D" w:rsidSect="006410E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134" w:footer="720" w:gutter="0"/>
          <w:pgNumType w:start="1"/>
          <w:cols w:space="720"/>
          <w:noEndnote/>
          <w:titlePg/>
          <w:docGrid w:linePitch="326"/>
        </w:sectPr>
      </w:pPr>
    </w:p>
    <w:p w:rsidR="00BF6A5D" w:rsidRPr="00BF6A5D" w:rsidRDefault="00BF6A5D" w:rsidP="00BF6A5D">
      <w:pPr>
        <w:pStyle w:val="JuTitle"/>
        <w:spacing w:before="280"/>
        <w:rPr>
          <w:sz w:val="22"/>
          <w:szCs w:val="22"/>
        </w:rPr>
      </w:pPr>
      <w:r>
        <w:rPr>
          <w:sz w:val="22"/>
        </w:rPr>
        <w:lastRenderedPageBreak/>
        <w:t>CUPRINS</w:t>
      </w:r>
    </w:p>
    <w:bookmarkStart w:id="0" w:name="_GoBack"/>
    <w:bookmarkEnd w:id="0"/>
    <w:p w:rsidR="007E5AAC" w:rsidRDefault="00BF6A5D">
      <w:pPr>
        <w:pStyle w:val="TOC1"/>
        <w:rPr>
          <w:rFonts w:eastAsiaTheme="minorEastAsia"/>
          <w:b w:val="0"/>
          <w:noProof/>
          <w:szCs w:val="22"/>
          <w:lang w:eastAsia="ro-RO"/>
        </w:rPr>
      </w:pPr>
      <w:r w:rsidRPr="00BF6A5D">
        <w:fldChar w:fldCharType="begin"/>
      </w:r>
      <w:r w:rsidRPr="00BF6A5D">
        <w:instrText xml:space="preserve"> TOC \o "1-5" \h \z \u </w:instrText>
      </w:r>
      <w:r w:rsidRPr="00BF6A5D">
        <w:fldChar w:fldCharType="separate"/>
      </w:r>
      <w:hyperlink w:anchor="_Toc177058363" w:history="1">
        <w:r w:rsidR="007E5AAC" w:rsidRPr="005B674B">
          <w:rPr>
            <w:rStyle w:val="Hyperlink"/>
            <w:noProof/>
          </w:rPr>
          <w:t>PROCEDURA</w:t>
        </w:r>
        <w:r w:rsidR="007E5AAC">
          <w:rPr>
            <w:noProof/>
            <w:webHidden/>
          </w:rPr>
          <w:tab/>
        </w:r>
        <w:r w:rsidR="007E5AAC">
          <w:rPr>
            <w:noProof/>
            <w:webHidden/>
          </w:rPr>
          <w:fldChar w:fldCharType="begin"/>
        </w:r>
        <w:r w:rsidR="007E5AAC">
          <w:rPr>
            <w:noProof/>
            <w:webHidden/>
          </w:rPr>
          <w:instrText xml:space="preserve"> PAGEREF _Toc177058363 \h </w:instrText>
        </w:r>
        <w:r w:rsidR="007E5AAC">
          <w:rPr>
            <w:noProof/>
            <w:webHidden/>
          </w:rPr>
        </w:r>
        <w:r w:rsidR="007E5AAC">
          <w:rPr>
            <w:noProof/>
            <w:webHidden/>
          </w:rPr>
          <w:fldChar w:fldCharType="separate"/>
        </w:r>
        <w:r w:rsidR="007E5AAC">
          <w:rPr>
            <w:noProof/>
            <w:webHidden/>
          </w:rPr>
          <w:t>4</w:t>
        </w:r>
        <w:r w:rsidR="007E5AAC">
          <w:rPr>
            <w:noProof/>
            <w:webHidden/>
          </w:rPr>
          <w:fldChar w:fldCharType="end"/>
        </w:r>
      </w:hyperlink>
    </w:p>
    <w:p w:rsidR="007E5AAC" w:rsidRDefault="007E5AAC">
      <w:pPr>
        <w:pStyle w:val="TOC1"/>
        <w:rPr>
          <w:rFonts w:eastAsiaTheme="minorEastAsia"/>
          <w:b w:val="0"/>
          <w:noProof/>
          <w:szCs w:val="22"/>
          <w:lang w:eastAsia="ro-RO"/>
        </w:rPr>
      </w:pPr>
      <w:hyperlink w:anchor="_Toc177058364" w:history="1">
        <w:r w:rsidRPr="005B674B">
          <w:rPr>
            <w:rStyle w:val="Hyperlink"/>
            <w:noProof/>
          </w:rPr>
          <w:t>ÎN FAPT</w:t>
        </w:r>
        <w:r>
          <w:rPr>
            <w:noProof/>
            <w:webHidden/>
          </w:rPr>
          <w:tab/>
        </w:r>
        <w:r>
          <w:rPr>
            <w:noProof/>
            <w:webHidden/>
          </w:rPr>
          <w:fldChar w:fldCharType="begin"/>
        </w:r>
        <w:r>
          <w:rPr>
            <w:noProof/>
            <w:webHidden/>
          </w:rPr>
          <w:instrText xml:space="preserve"> PAGEREF _Toc177058364 \h </w:instrText>
        </w:r>
        <w:r>
          <w:rPr>
            <w:noProof/>
            <w:webHidden/>
          </w:rPr>
        </w:r>
        <w:r>
          <w:rPr>
            <w:noProof/>
            <w:webHidden/>
          </w:rPr>
          <w:fldChar w:fldCharType="separate"/>
        </w:r>
        <w:r>
          <w:rPr>
            <w:noProof/>
            <w:webHidden/>
          </w:rPr>
          <w:t>6</w:t>
        </w:r>
        <w:r>
          <w:rPr>
            <w:noProof/>
            <w:webHidden/>
          </w:rPr>
          <w:fldChar w:fldCharType="end"/>
        </w:r>
      </w:hyperlink>
    </w:p>
    <w:p w:rsidR="007E5AAC" w:rsidRDefault="007E5AAC">
      <w:pPr>
        <w:pStyle w:val="TOC2"/>
        <w:tabs>
          <w:tab w:val="left" w:pos="680"/>
        </w:tabs>
        <w:rPr>
          <w:rFonts w:eastAsiaTheme="minorEastAsia"/>
          <w:noProof/>
          <w:szCs w:val="22"/>
          <w:lang w:eastAsia="ro-RO"/>
        </w:rPr>
      </w:pPr>
      <w:hyperlink w:anchor="_Toc177058365" w:history="1">
        <w:r w:rsidRPr="005B674B">
          <w:rPr>
            <w:rStyle w:val="Hyperlink"/>
            <w:noProof/>
          </w:rPr>
          <w:t>I.</w:t>
        </w:r>
        <w:r>
          <w:rPr>
            <w:rFonts w:eastAsiaTheme="minorEastAsia"/>
            <w:noProof/>
            <w:szCs w:val="22"/>
            <w:lang w:eastAsia="ro-RO"/>
          </w:rPr>
          <w:tab/>
        </w:r>
        <w:r w:rsidRPr="005B674B">
          <w:rPr>
            <w:rStyle w:val="Hyperlink"/>
            <w:noProof/>
          </w:rPr>
          <w:t>FAPTELE EXPUSE DE RECLAMANȚI</w:t>
        </w:r>
        <w:r>
          <w:rPr>
            <w:noProof/>
            <w:webHidden/>
          </w:rPr>
          <w:tab/>
        </w:r>
        <w:r>
          <w:rPr>
            <w:noProof/>
            <w:webHidden/>
          </w:rPr>
          <w:fldChar w:fldCharType="begin"/>
        </w:r>
        <w:r>
          <w:rPr>
            <w:noProof/>
            <w:webHidden/>
          </w:rPr>
          <w:instrText xml:space="preserve"> PAGEREF _Toc177058365 \h </w:instrText>
        </w:r>
        <w:r>
          <w:rPr>
            <w:noProof/>
            <w:webHidden/>
          </w:rPr>
        </w:r>
        <w:r>
          <w:rPr>
            <w:noProof/>
            <w:webHidden/>
          </w:rPr>
          <w:fldChar w:fldCharType="separate"/>
        </w:r>
        <w:r>
          <w:rPr>
            <w:noProof/>
            <w:webHidden/>
          </w:rPr>
          <w:t>7</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66" w:history="1">
        <w:r w:rsidRPr="005B674B">
          <w:rPr>
            <w:rStyle w:val="Hyperlink"/>
            <w:noProof/>
          </w:rPr>
          <w:t>A.</w:t>
        </w:r>
        <w:r>
          <w:rPr>
            <w:rFonts w:eastAsiaTheme="minorEastAsia"/>
            <w:noProof/>
            <w:sz w:val="22"/>
            <w:szCs w:val="22"/>
            <w:lang w:eastAsia="ro-RO"/>
          </w:rPr>
          <w:tab/>
        </w:r>
        <w:r w:rsidRPr="005B674B">
          <w:rPr>
            <w:rStyle w:val="Hyperlink"/>
            <w:noProof/>
          </w:rPr>
          <w:t>Faptele expuse în formularul de cerere</w:t>
        </w:r>
        <w:r>
          <w:rPr>
            <w:noProof/>
            <w:webHidden/>
          </w:rPr>
          <w:tab/>
        </w:r>
        <w:r>
          <w:rPr>
            <w:noProof/>
            <w:webHidden/>
          </w:rPr>
          <w:fldChar w:fldCharType="begin"/>
        </w:r>
        <w:r>
          <w:rPr>
            <w:noProof/>
            <w:webHidden/>
          </w:rPr>
          <w:instrText xml:space="preserve"> PAGEREF _Toc177058366 \h </w:instrText>
        </w:r>
        <w:r>
          <w:rPr>
            <w:noProof/>
            <w:webHidden/>
          </w:rPr>
        </w:r>
        <w:r>
          <w:rPr>
            <w:noProof/>
            <w:webHidden/>
          </w:rPr>
          <w:fldChar w:fldCharType="separate"/>
        </w:r>
        <w:r>
          <w:rPr>
            <w:noProof/>
            <w:webHidden/>
          </w:rPr>
          <w:t>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67" w:history="1">
        <w:r w:rsidRPr="005B674B">
          <w:rPr>
            <w:rStyle w:val="Hyperlink"/>
            <w:noProof/>
          </w:rPr>
          <w:t>1.</w:t>
        </w:r>
        <w:r>
          <w:rPr>
            <w:rFonts w:eastAsiaTheme="minorEastAsia"/>
            <w:noProof/>
            <w:sz w:val="22"/>
            <w:szCs w:val="22"/>
            <w:lang w:eastAsia="ro-RO"/>
          </w:rPr>
          <w:tab/>
        </w:r>
        <w:r w:rsidRPr="005B674B">
          <w:rPr>
            <w:rStyle w:val="Hyperlink"/>
            <w:noProof/>
          </w:rPr>
          <w:t>Reclamanții nr. 1–3</w:t>
        </w:r>
        <w:r>
          <w:rPr>
            <w:noProof/>
            <w:webHidden/>
          </w:rPr>
          <w:tab/>
        </w:r>
        <w:r>
          <w:rPr>
            <w:noProof/>
            <w:webHidden/>
          </w:rPr>
          <w:fldChar w:fldCharType="begin"/>
        </w:r>
        <w:r>
          <w:rPr>
            <w:noProof/>
            <w:webHidden/>
          </w:rPr>
          <w:instrText xml:space="preserve"> PAGEREF _Toc177058367 \h </w:instrText>
        </w:r>
        <w:r>
          <w:rPr>
            <w:noProof/>
            <w:webHidden/>
          </w:rPr>
        </w:r>
        <w:r>
          <w:rPr>
            <w:noProof/>
            <w:webHidden/>
          </w:rPr>
          <w:fldChar w:fldCharType="separate"/>
        </w:r>
        <w:r>
          <w:rPr>
            <w:noProof/>
            <w:webHidden/>
          </w:rPr>
          <w:t>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68" w:history="1">
        <w:r w:rsidRPr="005B674B">
          <w:rPr>
            <w:rStyle w:val="Hyperlink"/>
            <w:noProof/>
          </w:rPr>
          <w:t>2.</w:t>
        </w:r>
        <w:r>
          <w:rPr>
            <w:rFonts w:eastAsiaTheme="minorEastAsia"/>
            <w:noProof/>
            <w:sz w:val="22"/>
            <w:szCs w:val="22"/>
            <w:lang w:eastAsia="ro-RO"/>
          </w:rPr>
          <w:tab/>
        </w:r>
        <w:r w:rsidRPr="005B674B">
          <w:rPr>
            <w:rStyle w:val="Hyperlink"/>
            <w:noProof/>
          </w:rPr>
          <w:t>Reclamanta nr. 4</w:t>
        </w:r>
        <w:r>
          <w:rPr>
            <w:noProof/>
            <w:webHidden/>
          </w:rPr>
          <w:tab/>
        </w:r>
        <w:r>
          <w:rPr>
            <w:noProof/>
            <w:webHidden/>
          </w:rPr>
          <w:fldChar w:fldCharType="begin"/>
        </w:r>
        <w:r>
          <w:rPr>
            <w:noProof/>
            <w:webHidden/>
          </w:rPr>
          <w:instrText xml:space="preserve"> PAGEREF _Toc177058368 \h </w:instrText>
        </w:r>
        <w:r>
          <w:rPr>
            <w:noProof/>
            <w:webHidden/>
          </w:rPr>
        </w:r>
        <w:r>
          <w:rPr>
            <w:noProof/>
            <w:webHidden/>
          </w:rPr>
          <w:fldChar w:fldCharType="separate"/>
        </w:r>
        <w:r>
          <w:rPr>
            <w:noProof/>
            <w:webHidden/>
          </w:rPr>
          <w:t>9</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69" w:history="1">
        <w:r w:rsidRPr="005B674B">
          <w:rPr>
            <w:rStyle w:val="Hyperlink"/>
            <w:noProof/>
          </w:rPr>
          <w:t>3.</w:t>
        </w:r>
        <w:r>
          <w:rPr>
            <w:rFonts w:eastAsiaTheme="minorEastAsia"/>
            <w:noProof/>
            <w:sz w:val="22"/>
            <w:szCs w:val="22"/>
            <w:lang w:eastAsia="ro-RO"/>
          </w:rPr>
          <w:tab/>
        </w:r>
        <w:r w:rsidRPr="005B674B">
          <w:rPr>
            <w:rStyle w:val="Hyperlink"/>
            <w:noProof/>
          </w:rPr>
          <w:t>Reclamanții nr. 5 și 6</w:t>
        </w:r>
        <w:r>
          <w:rPr>
            <w:noProof/>
            <w:webHidden/>
          </w:rPr>
          <w:tab/>
        </w:r>
        <w:r>
          <w:rPr>
            <w:noProof/>
            <w:webHidden/>
          </w:rPr>
          <w:fldChar w:fldCharType="begin"/>
        </w:r>
        <w:r>
          <w:rPr>
            <w:noProof/>
            <w:webHidden/>
          </w:rPr>
          <w:instrText xml:space="preserve"> PAGEREF _Toc177058369 \h </w:instrText>
        </w:r>
        <w:r>
          <w:rPr>
            <w:noProof/>
            <w:webHidden/>
          </w:rPr>
        </w:r>
        <w:r>
          <w:rPr>
            <w:noProof/>
            <w:webHidden/>
          </w:rPr>
          <w:fldChar w:fldCharType="separate"/>
        </w:r>
        <w:r>
          <w:rPr>
            <w:noProof/>
            <w:webHidden/>
          </w:rPr>
          <w:t>9</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70" w:history="1">
        <w:r w:rsidRPr="005B674B">
          <w:rPr>
            <w:rStyle w:val="Hyperlink"/>
            <w:noProof/>
          </w:rPr>
          <w:t>B.</w:t>
        </w:r>
        <w:r>
          <w:rPr>
            <w:rFonts w:eastAsiaTheme="minorEastAsia"/>
            <w:noProof/>
            <w:sz w:val="22"/>
            <w:szCs w:val="22"/>
            <w:lang w:eastAsia="ro-RO"/>
          </w:rPr>
          <w:tab/>
        </w:r>
        <w:r w:rsidRPr="005B674B">
          <w:rPr>
            <w:rStyle w:val="Hyperlink"/>
            <w:noProof/>
          </w:rPr>
          <w:t>Situația de fapt prezentată Marii Camere</w:t>
        </w:r>
        <w:r>
          <w:rPr>
            <w:noProof/>
            <w:webHidden/>
          </w:rPr>
          <w:tab/>
        </w:r>
        <w:r>
          <w:rPr>
            <w:noProof/>
            <w:webHidden/>
          </w:rPr>
          <w:fldChar w:fldCharType="begin"/>
        </w:r>
        <w:r>
          <w:rPr>
            <w:noProof/>
            <w:webHidden/>
          </w:rPr>
          <w:instrText xml:space="preserve"> PAGEREF _Toc177058370 \h </w:instrText>
        </w:r>
        <w:r>
          <w:rPr>
            <w:noProof/>
            <w:webHidden/>
          </w:rPr>
        </w:r>
        <w:r>
          <w:rPr>
            <w:noProof/>
            <w:webHidden/>
          </w:rPr>
          <w:fldChar w:fldCharType="separate"/>
        </w:r>
        <w:r>
          <w:rPr>
            <w:noProof/>
            <w:webHidden/>
          </w:rPr>
          <w:t>10</w:t>
        </w:r>
        <w:r>
          <w:rPr>
            <w:noProof/>
            <w:webHidden/>
          </w:rPr>
          <w:fldChar w:fldCharType="end"/>
        </w:r>
      </w:hyperlink>
    </w:p>
    <w:p w:rsidR="007E5AAC" w:rsidRDefault="007E5AAC">
      <w:pPr>
        <w:pStyle w:val="TOC2"/>
        <w:tabs>
          <w:tab w:val="left" w:pos="1020"/>
        </w:tabs>
        <w:rPr>
          <w:rFonts w:eastAsiaTheme="minorEastAsia"/>
          <w:noProof/>
          <w:szCs w:val="22"/>
          <w:lang w:eastAsia="ro-RO"/>
        </w:rPr>
      </w:pPr>
      <w:hyperlink w:anchor="_Toc177058371" w:history="1">
        <w:r w:rsidRPr="005B674B">
          <w:rPr>
            <w:rStyle w:val="Hyperlink"/>
            <w:noProof/>
          </w:rPr>
          <w:t>II.</w:t>
        </w:r>
        <w:r>
          <w:rPr>
            <w:rFonts w:eastAsiaTheme="minorEastAsia"/>
            <w:noProof/>
            <w:szCs w:val="22"/>
            <w:lang w:eastAsia="ro-RO"/>
          </w:rPr>
          <w:tab/>
        </w:r>
        <w:r w:rsidRPr="005B674B">
          <w:rPr>
            <w:rStyle w:val="Hyperlink"/>
            <w:noProof/>
          </w:rPr>
          <w:t>FAPTELE PREZENTATE DE GUVERNELE PÂRÂTE</w:t>
        </w:r>
        <w:r>
          <w:rPr>
            <w:noProof/>
            <w:webHidden/>
          </w:rPr>
          <w:tab/>
        </w:r>
        <w:r>
          <w:rPr>
            <w:noProof/>
            <w:webHidden/>
          </w:rPr>
          <w:fldChar w:fldCharType="begin"/>
        </w:r>
        <w:r>
          <w:rPr>
            <w:noProof/>
            <w:webHidden/>
          </w:rPr>
          <w:instrText xml:space="preserve"> PAGEREF _Toc177058371 \h </w:instrText>
        </w:r>
        <w:r>
          <w:rPr>
            <w:noProof/>
            <w:webHidden/>
          </w:rPr>
        </w:r>
        <w:r>
          <w:rPr>
            <w:noProof/>
            <w:webHidden/>
          </w:rPr>
          <w:fldChar w:fldCharType="separate"/>
        </w:r>
        <w:r>
          <w:rPr>
            <w:noProof/>
            <w:webHidden/>
          </w:rPr>
          <w:t>12</w:t>
        </w:r>
        <w:r>
          <w:rPr>
            <w:noProof/>
            <w:webHidden/>
          </w:rPr>
          <w:fldChar w:fldCharType="end"/>
        </w:r>
      </w:hyperlink>
    </w:p>
    <w:p w:rsidR="007E5AAC" w:rsidRDefault="007E5AAC">
      <w:pPr>
        <w:pStyle w:val="TOC1"/>
        <w:rPr>
          <w:rFonts w:eastAsiaTheme="minorEastAsia"/>
          <w:b w:val="0"/>
          <w:noProof/>
          <w:szCs w:val="22"/>
          <w:lang w:eastAsia="ro-RO"/>
        </w:rPr>
      </w:pPr>
      <w:hyperlink w:anchor="_Toc177058372" w:history="1">
        <w:r w:rsidRPr="005B674B">
          <w:rPr>
            <w:rStyle w:val="Hyperlink"/>
            <w:noProof/>
          </w:rPr>
          <w:t>CADRUL JURIDIC ȘI PRACTICA RELEVANTE</w:t>
        </w:r>
        <w:r>
          <w:rPr>
            <w:noProof/>
            <w:webHidden/>
          </w:rPr>
          <w:tab/>
        </w:r>
        <w:r>
          <w:rPr>
            <w:noProof/>
            <w:webHidden/>
          </w:rPr>
          <w:fldChar w:fldCharType="begin"/>
        </w:r>
        <w:r>
          <w:rPr>
            <w:noProof/>
            <w:webHidden/>
          </w:rPr>
          <w:instrText xml:space="preserve"> PAGEREF _Toc177058372 \h </w:instrText>
        </w:r>
        <w:r>
          <w:rPr>
            <w:noProof/>
            <w:webHidden/>
          </w:rPr>
        </w:r>
        <w:r>
          <w:rPr>
            <w:noProof/>
            <w:webHidden/>
          </w:rPr>
          <w:fldChar w:fldCharType="separate"/>
        </w:r>
        <w:r>
          <w:rPr>
            <w:noProof/>
            <w:webHidden/>
          </w:rPr>
          <w:t>15</w:t>
        </w:r>
        <w:r>
          <w:rPr>
            <w:noProof/>
            <w:webHidden/>
          </w:rPr>
          <w:fldChar w:fldCharType="end"/>
        </w:r>
      </w:hyperlink>
    </w:p>
    <w:p w:rsidR="007E5AAC" w:rsidRDefault="007E5AAC">
      <w:pPr>
        <w:pStyle w:val="TOC2"/>
        <w:tabs>
          <w:tab w:val="left" w:pos="680"/>
        </w:tabs>
        <w:rPr>
          <w:rFonts w:eastAsiaTheme="minorEastAsia"/>
          <w:noProof/>
          <w:szCs w:val="22"/>
          <w:lang w:eastAsia="ro-RO"/>
        </w:rPr>
      </w:pPr>
      <w:hyperlink w:anchor="_Toc177058373" w:history="1">
        <w:r w:rsidRPr="005B674B">
          <w:rPr>
            <w:rStyle w:val="Hyperlink"/>
            <w:noProof/>
          </w:rPr>
          <w:t>I.</w:t>
        </w:r>
        <w:r>
          <w:rPr>
            <w:rFonts w:eastAsiaTheme="minorEastAsia"/>
            <w:noProof/>
            <w:szCs w:val="22"/>
            <w:lang w:eastAsia="ro-RO"/>
          </w:rPr>
          <w:tab/>
        </w:r>
        <w:r w:rsidRPr="005B674B">
          <w:rPr>
            <w:rStyle w:val="Hyperlink"/>
            <w:noProof/>
          </w:rPr>
          <w:t>CADRUL JURIDIC INTERN AL PORTUGALIEI</w:t>
        </w:r>
        <w:r>
          <w:rPr>
            <w:noProof/>
            <w:webHidden/>
          </w:rPr>
          <w:tab/>
        </w:r>
        <w:r>
          <w:rPr>
            <w:noProof/>
            <w:webHidden/>
          </w:rPr>
          <w:fldChar w:fldCharType="begin"/>
        </w:r>
        <w:r>
          <w:rPr>
            <w:noProof/>
            <w:webHidden/>
          </w:rPr>
          <w:instrText xml:space="preserve"> PAGEREF _Toc177058373 \h </w:instrText>
        </w:r>
        <w:r>
          <w:rPr>
            <w:noProof/>
            <w:webHidden/>
          </w:rPr>
        </w:r>
        <w:r>
          <w:rPr>
            <w:noProof/>
            <w:webHidden/>
          </w:rPr>
          <w:fldChar w:fldCharType="separate"/>
        </w:r>
        <w:r>
          <w:rPr>
            <w:noProof/>
            <w:webHidden/>
          </w:rPr>
          <w:t>15</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74" w:history="1">
        <w:r w:rsidRPr="005B674B">
          <w:rPr>
            <w:rStyle w:val="Hyperlink"/>
            <w:noProof/>
          </w:rPr>
          <w:t>A.</w:t>
        </w:r>
        <w:r>
          <w:rPr>
            <w:rFonts w:eastAsiaTheme="minorEastAsia"/>
            <w:noProof/>
            <w:sz w:val="22"/>
            <w:szCs w:val="22"/>
            <w:lang w:eastAsia="ro-RO"/>
          </w:rPr>
          <w:tab/>
        </w:r>
        <w:r w:rsidRPr="005B674B">
          <w:rPr>
            <w:rStyle w:val="Hyperlink"/>
            <w:noProof/>
          </w:rPr>
          <w:t>Dreptul intern relevant</w:t>
        </w:r>
        <w:r>
          <w:rPr>
            <w:noProof/>
            <w:webHidden/>
          </w:rPr>
          <w:tab/>
        </w:r>
        <w:r>
          <w:rPr>
            <w:noProof/>
            <w:webHidden/>
          </w:rPr>
          <w:fldChar w:fldCharType="begin"/>
        </w:r>
        <w:r>
          <w:rPr>
            <w:noProof/>
            <w:webHidden/>
          </w:rPr>
          <w:instrText xml:space="preserve"> PAGEREF _Toc177058374 \h </w:instrText>
        </w:r>
        <w:r>
          <w:rPr>
            <w:noProof/>
            <w:webHidden/>
          </w:rPr>
        </w:r>
        <w:r>
          <w:rPr>
            <w:noProof/>
            <w:webHidden/>
          </w:rPr>
          <w:fldChar w:fldCharType="separate"/>
        </w:r>
        <w:r>
          <w:rPr>
            <w:noProof/>
            <w:webHidden/>
          </w:rPr>
          <w:t>15</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75" w:history="1">
        <w:r w:rsidRPr="005B674B">
          <w:rPr>
            <w:rStyle w:val="Hyperlink"/>
            <w:noProof/>
          </w:rPr>
          <w:t>1.</w:t>
        </w:r>
        <w:r>
          <w:rPr>
            <w:rFonts w:eastAsiaTheme="minorEastAsia"/>
            <w:noProof/>
            <w:sz w:val="22"/>
            <w:szCs w:val="22"/>
            <w:lang w:eastAsia="ro-RO"/>
          </w:rPr>
          <w:tab/>
        </w:r>
        <w:r w:rsidRPr="005B674B">
          <w:rPr>
            <w:rStyle w:val="Hyperlink"/>
            <w:noProof/>
          </w:rPr>
          <w:t>Constituția</w:t>
        </w:r>
        <w:r>
          <w:rPr>
            <w:noProof/>
            <w:webHidden/>
          </w:rPr>
          <w:tab/>
        </w:r>
        <w:r>
          <w:rPr>
            <w:noProof/>
            <w:webHidden/>
          </w:rPr>
          <w:fldChar w:fldCharType="begin"/>
        </w:r>
        <w:r>
          <w:rPr>
            <w:noProof/>
            <w:webHidden/>
          </w:rPr>
          <w:instrText xml:space="preserve"> PAGEREF _Toc177058375 \h </w:instrText>
        </w:r>
        <w:r>
          <w:rPr>
            <w:noProof/>
            <w:webHidden/>
          </w:rPr>
        </w:r>
        <w:r>
          <w:rPr>
            <w:noProof/>
            <w:webHidden/>
          </w:rPr>
          <w:fldChar w:fldCharType="separate"/>
        </w:r>
        <w:r>
          <w:rPr>
            <w:noProof/>
            <w:webHidden/>
          </w:rPr>
          <w:t>15</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76" w:history="1">
        <w:r w:rsidRPr="005B674B">
          <w:rPr>
            <w:rStyle w:val="Hyperlink"/>
            <w:noProof/>
          </w:rPr>
          <w:t>2.</w:t>
        </w:r>
        <w:r>
          <w:rPr>
            <w:rFonts w:eastAsiaTheme="minorEastAsia"/>
            <w:noProof/>
            <w:sz w:val="22"/>
            <w:szCs w:val="22"/>
            <w:lang w:eastAsia="ro-RO"/>
          </w:rPr>
          <w:tab/>
        </w:r>
        <w:r w:rsidRPr="005B674B">
          <w:rPr>
            <w:rStyle w:val="Hyperlink"/>
            <w:noProof/>
          </w:rPr>
          <w:t>Legea nr. 83/95 din 31 august 1995</w:t>
        </w:r>
        <w:r>
          <w:rPr>
            <w:noProof/>
            <w:webHidden/>
          </w:rPr>
          <w:tab/>
        </w:r>
        <w:r>
          <w:rPr>
            <w:noProof/>
            <w:webHidden/>
          </w:rPr>
          <w:fldChar w:fldCharType="begin"/>
        </w:r>
        <w:r>
          <w:rPr>
            <w:noProof/>
            <w:webHidden/>
          </w:rPr>
          <w:instrText xml:space="preserve"> PAGEREF _Toc177058376 \h </w:instrText>
        </w:r>
        <w:r>
          <w:rPr>
            <w:noProof/>
            <w:webHidden/>
          </w:rPr>
        </w:r>
        <w:r>
          <w:rPr>
            <w:noProof/>
            <w:webHidden/>
          </w:rPr>
          <w:fldChar w:fldCharType="separate"/>
        </w:r>
        <w:r>
          <w:rPr>
            <w:noProof/>
            <w:webHidden/>
          </w:rPr>
          <w:t>16</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77" w:history="1">
        <w:r w:rsidRPr="005B674B">
          <w:rPr>
            <w:rStyle w:val="Hyperlink"/>
            <w:noProof/>
          </w:rPr>
          <w:t>3.</w:t>
        </w:r>
        <w:r>
          <w:rPr>
            <w:rFonts w:eastAsiaTheme="minorEastAsia"/>
            <w:noProof/>
            <w:sz w:val="22"/>
            <w:szCs w:val="22"/>
            <w:lang w:eastAsia="ro-RO"/>
          </w:rPr>
          <w:tab/>
        </w:r>
        <w:r w:rsidRPr="005B674B">
          <w:rPr>
            <w:rStyle w:val="Hyperlink"/>
            <w:noProof/>
          </w:rPr>
          <w:t>Codul civil</w:t>
        </w:r>
        <w:r>
          <w:rPr>
            <w:noProof/>
            <w:webHidden/>
          </w:rPr>
          <w:tab/>
        </w:r>
        <w:r>
          <w:rPr>
            <w:noProof/>
            <w:webHidden/>
          </w:rPr>
          <w:fldChar w:fldCharType="begin"/>
        </w:r>
        <w:r>
          <w:rPr>
            <w:noProof/>
            <w:webHidden/>
          </w:rPr>
          <w:instrText xml:space="preserve"> PAGEREF _Toc177058377 \h </w:instrText>
        </w:r>
        <w:r>
          <w:rPr>
            <w:noProof/>
            <w:webHidden/>
          </w:rPr>
        </w:r>
        <w:r>
          <w:rPr>
            <w:noProof/>
            <w:webHidden/>
          </w:rPr>
          <w:fldChar w:fldCharType="separate"/>
        </w:r>
        <w:r>
          <w:rPr>
            <w:noProof/>
            <w:webHidden/>
          </w:rPr>
          <w:t>16</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78" w:history="1">
        <w:r w:rsidRPr="005B674B">
          <w:rPr>
            <w:rStyle w:val="Hyperlink"/>
            <w:noProof/>
          </w:rPr>
          <w:t>4.</w:t>
        </w:r>
        <w:r>
          <w:rPr>
            <w:rFonts w:eastAsiaTheme="minorEastAsia"/>
            <w:noProof/>
            <w:sz w:val="22"/>
            <w:szCs w:val="22"/>
            <w:lang w:eastAsia="ro-RO"/>
          </w:rPr>
          <w:tab/>
        </w:r>
        <w:r w:rsidRPr="005B674B">
          <w:rPr>
            <w:rStyle w:val="Hyperlink"/>
            <w:noProof/>
          </w:rPr>
          <w:t>Codul de procedură civilă</w:t>
        </w:r>
        <w:r>
          <w:rPr>
            <w:noProof/>
            <w:webHidden/>
          </w:rPr>
          <w:tab/>
        </w:r>
        <w:r>
          <w:rPr>
            <w:noProof/>
            <w:webHidden/>
          </w:rPr>
          <w:fldChar w:fldCharType="begin"/>
        </w:r>
        <w:r>
          <w:rPr>
            <w:noProof/>
            <w:webHidden/>
          </w:rPr>
          <w:instrText xml:space="preserve"> PAGEREF _Toc177058378 \h </w:instrText>
        </w:r>
        <w:r>
          <w:rPr>
            <w:noProof/>
            <w:webHidden/>
          </w:rPr>
        </w:r>
        <w:r>
          <w:rPr>
            <w:noProof/>
            <w:webHidden/>
          </w:rPr>
          <w:fldChar w:fldCharType="separate"/>
        </w:r>
        <w:r>
          <w:rPr>
            <w:noProof/>
            <w:webHidden/>
          </w:rPr>
          <w:t>17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79" w:history="1">
        <w:r w:rsidRPr="005B674B">
          <w:rPr>
            <w:rStyle w:val="Hyperlink"/>
            <w:noProof/>
          </w:rPr>
          <w:t>5.</w:t>
        </w:r>
        <w:r>
          <w:rPr>
            <w:rFonts w:eastAsiaTheme="minorEastAsia"/>
            <w:noProof/>
            <w:sz w:val="22"/>
            <w:szCs w:val="22"/>
            <w:lang w:eastAsia="ro-RO"/>
          </w:rPr>
          <w:tab/>
        </w:r>
        <w:r w:rsidRPr="005B674B">
          <w:rPr>
            <w:rStyle w:val="Hyperlink"/>
            <w:noProof/>
          </w:rPr>
          <w:t>Legea nr. 19/2014 din 14 aprilie 2014</w:t>
        </w:r>
        <w:r>
          <w:rPr>
            <w:noProof/>
            <w:webHidden/>
          </w:rPr>
          <w:tab/>
        </w:r>
        <w:r>
          <w:rPr>
            <w:noProof/>
            <w:webHidden/>
          </w:rPr>
          <w:fldChar w:fldCharType="begin"/>
        </w:r>
        <w:r>
          <w:rPr>
            <w:noProof/>
            <w:webHidden/>
          </w:rPr>
          <w:instrText xml:space="preserve"> PAGEREF _Toc177058379 \h </w:instrText>
        </w:r>
        <w:r>
          <w:rPr>
            <w:noProof/>
            <w:webHidden/>
          </w:rPr>
        </w:r>
        <w:r>
          <w:rPr>
            <w:noProof/>
            <w:webHidden/>
          </w:rPr>
          <w:fldChar w:fldCharType="separate"/>
        </w:r>
        <w:r>
          <w:rPr>
            <w:noProof/>
            <w:webHidden/>
          </w:rPr>
          <w:t>17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0" w:history="1">
        <w:r w:rsidRPr="005B674B">
          <w:rPr>
            <w:rStyle w:val="Hyperlink"/>
            <w:noProof/>
          </w:rPr>
          <w:t>6.</w:t>
        </w:r>
        <w:r>
          <w:rPr>
            <w:rFonts w:eastAsiaTheme="minorEastAsia"/>
            <w:noProof/>
            <w:sz w:val="22"/>
            <w:szCs w:val="22"/>
            <w:lang w:eastAsia="ro-RO"/>
          </w:rPr>
          <w:tab/>
        </w:r>
        <w:r w:rsidRPr="005B674B">
          <w:rPr>
            <w:rStyle w:val="Hyperlink"/>
            <w:noProof/>
          </w:rPr>
          <w:t>Legea nr. 67/2007 din 31 decembrie 2007</w:t>
        </w:r>
        <w:r>
          <w:rPr>
            <w:noProof/>
            <w:webHidden/>
          </w:rPr>
          <w:tab/>
        </w:r>
        <w:r>
          <w:rPr>
            <w:noProof/>
            <w:webHidden/>
          </w:rPr>
          <w:fldChar w:fldCharType="begin"/>
        </w:r>
        <w:r>
          <w:rPr>
            <w:noProof/>
            <w:webHidden/>
          </w:rPr>
          <w:instrText xml:space="preserve"> PAGEREF _Toc177058380 \h </w:instrText>
        </w:r>
        <w:r>
          <w:rPr>
            <w:noProof/>
            <w:webHidden/>
          </w:rPr>
        </w:r>
        <w:r>
          <w:rPr>
            <w:noProof/>
            <w:webHidden/>
          </w:rPr>
          <w:fldChar w:fldCharType="separate"/>
        </w:r>
        <w:r>
          <w:rPr>
            <w:noProof/>
            <w:webHidden/>
          </w:rPr>
          <w:t>18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1" w:history="1">
        <w:r w:rsidRPr="005B674B">
          <w:rPr>
            <w:rStyle w:val="Hyperlink"/>
            <w:noProof/>
          </w:rPr>
          <w:t>7.</w:t>
        </w:r>
        <w:r>
          <w:rPr>
            <w:rFonts w:eastAsiaTheme="minorEastAsia"/>
            <w:noProof/>
            <w:sz w:val="22"/>
            <w:szCs w:val="22"/>
            <w:lang w:eastAsia="ro-RO"/>
          </w:rPr>
          <w:tab/>
        </w:r>
        <w:r w:rsidRPr="005B674B">
          <w:rPr>
            <w:rStyle w:val="Hyperlink"/>
            <w:noProof/>
          </w:rPr>
          <w:t>Codul de procedură administrativă</w:t>
        </w:r>
        <w:r>
          <w:rPr>
            <w:noProof/>
            <w:webHidden/>
          </w:rPr>
          <w:tab/>
        </w:r>
        <w:r>
          <w:rPr>
            <w:noProof/>
            <w:webHidden/>
          </w:rPr>
          <w:fldChar w:fldCharType="begin"/>
        </w:r>
        <w:r>
          <w:rPr>
            <w:noProof/>
            <w:webHidden/>
          </w:rPr>
          <w:instrText xml:space="preserve"> PAGEREF _Toc177058381 \h </w:instrText>
        </w:r>
        <w:r>
          <w:rPr>
            <w:noProof/>
            <w:webHidden/>
          </w:rPr>
        </w:r>
        <w:r>
          <w:rPr>
            <w:noProof/>
            <w:webHidden/>
          </w:rPr>
          <w:fldChar w:fldCharType="separate"/>
        </w:r>
        <w:r>
          <w:rPr>
            <w:noProof/>
            <w:webHidden/>
          </w:rPr>
          <w:t>18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2" w:history="1">
        <w:r w:rsidRPr="005B674B">
          <w:rPr>
            <w:rStyle w:val="Hyperlink"/>
            <w:noProof/>
          </w:rPr>
          <w:t>8.</w:t>
        </w:r>
        <w:r>
          <w:rPr>
            <w:rFonts w:eastAsiaTheme="minorEastAsia"/>
            <w:noProof/>
            <w:sz w:val="22"/>
            <w:szCs w:val="22"/>
            <w:lang w:eastAsia="ro-RO"/>
          </w:rPr>
          <w:tab/>
        </w:r>
        <w:r w:rsidRPr="005B674B">
          <w:rPr>
            <w:rStyle w:val="Hyperlink"/>
            <w:noProof/>
          </w:rPr>
          <w:t>Legea nr. 35/98 din 18 iulie 1998</w:t>
        </w:r>
        <w:r>
          <w:rPr>
            <w:noProof/>
            <w:webHidden/>
          </w:rPr>
          <w:tab/>
        </w:r>
        <w:r>
          <w:rPr>
            <w:noProof/>
            <w:webHidden/>
          </w:rPr>
          <w:fldChar w:fldCharType="begin"/>
        </w:r>
        <w:r>
          <w:rPr>
            <w:noProof/>
            <w:webHidden/>
          </w:rPr>
          <w:instrText xml:space="preserve"> PAGEREF _Toc177058382 \h </w:instrText>
        </w:r>
        <w:r>
          <w:rPr>
            <w:noProof/>
            <w:webHidden/>
          </w:rPr>
        </w:r>
        <w:r>
          <w:rPr>
            <w:noProof/>
            <w:webHidden/>
          </w:rPr>
          <w:fldChar w:fldCharType="separate"/>
        </w:r>
        <w:r>
          <w:rPr>
            <w:noProof/>
            <w:webHidden/>
          </w:rPr>
          <w:t>19</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3" w:history="1">
        <w:r w:rsidRPr="005B674B">
          <w:rPr>
            <w:rStyle w:val="Hyperlink"/>
            <w:noProof/>
          </w:rPr>
          <w:t>9.</w:t>
        </w:r>
        <w:r>
          <w:rPr>
            <w:rFonts w:eastAsiaTheme="minorEastAsia"/>
            <w:noProof/>
            <w:sz w:val="22"/>
            <w:szCs w:val="22"/>
            <w:lang w:eastAsia="ro-RO"/>
          </w:rPr>
          <w:tab/>
        </w:r>
        <w:r w:rsidRPr="005B674B">
          <w:rPr>
            <w:rStyle w:val="Hyperlink"/>
            <w:noProof/>
          </w:rPr>
          <w:t>Decretul-lege nr. 147/2008 din 20 iulie 2008</w:t>
        </w:r>
        <w:r>
          <w:rPr>
            <w:noProof/>
            <w:webHidden/>
          </w:rPr>
          <w:tab/>
        </w:r>
        <w:r>
          <w:rPr>
            <w:noProof/>
            <w:webHidden/>
          </w:rPr>
          <w:fldChar w:fldCharType="begin"/>
        </w:r>
        <w:r>
          <w:rPr>
            <w:noProof/>
            <w:webHidden/>
          </w:rPr>
          <w:instrText xml:space="preserve"> PAGEREF _Toc177058383 \h </w:instrText>
        </w:r>
        <w:r>
          <w:rPr>
            <w:noProof/>
            <w:webHidden/>
          </w:rPr>
        </w:r>
        <w:r>
          <w:rPr>
            <w:noProof/>
            <w:webHidden/>
          </w:rPr>
          <w:fldChar w:fldCharType="separate"/>
        </w:r>
        <w:r>
          <w:rPr>
            <w:noProof/>
            <w:webHidden/>
          </w:rPr>
          <w:t>20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4" w:history="1">
        <w:r w:rsidRPr="005B674B">
          <w:rPr>
            <w:rStyle w:val="Hyperlink"/>
            <w:noProof/>
          </w:rPr>
          <w:t>10.</w:t>
        </w:r>
        <w:r>
          <w:rPr>
            <w:rFonts w:eastAsiaTheme="minorEastAsia"/>
            <w:noProof/>
            <w:sz w:val="22"/>
            <w:szCs w:val="22"/>
            <w:lang w:eastAsia="ro-RO"/>
          </w:rPr>
          <w:tab/>
        </w:r>
        <w:r w:rsidRPr="005B674B">
          <w:rPr>
            <w:rStyle w:val="Hyperlink"/>
            <w:noProof/>
          </w:rPr>
          <w:t>Legea nr. 98/2021 din 31 decembrie 2021</w:t>
        </w:r>
        <w:r>
          <w:rPr>
            <w:noProof/>
            <w:webHidden/>
          </w:rPr>
          <w:tab/>
        </w:r>
        <w:r>
          <w:rPr>
            <w:noProof/>
            <w:webHidden/>
          </w:rPr>
          <w:fldChar w:fldCharType="begin"/>
        </w:r>
        <w:r>
          <w:rPr>
            <w:noProof/>
            <w:webHidden/>
          </w:rPr>
          <w:instrText xml:space="preserve"> PAGEREF _Toc177058384 \h </w:instrText>
        </w:r>
        <w:r>
          <w:rPr>
            <w:noProof/>
            <w:webHidden/>
          </w:rPr>
        </w:r>
        <w:r>
          <w:rPr>
            <w:noProof/>
            <w:webHidden/>
          </w:rPr>
          <w:fldChar w:fldCharType="separate"/>
        </w:r>
        <w:r>
          <w:rPr>
            <w:noProof/>
            <w:webHidden/>
          </w:rPr>
          <w:t>20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5" w:history="1">
        <w:r w:rsidRPr="005B674B">
          <w:rPr>
            <w:rStyle w:val="Hyperlink"/>
            <w:noProof/>
          </w:rPr>
          <w:t>11.</w:t>
        </w:r>
        <w:r>
          <w:rPr>
            <w:rFonts w:eastAsiaTheme="minorEastAsia"/>
            <w:noProof/>
            <w:sz w:val="22"/>
            <w:szCs w:val="22"/>
            <w:lang w:eastAsia="ro-RO"/>
          </w:rPr>
          <w:tab/>
        </w:r>
        <w:r w:rsidRPr="005B674B">
          <w:rPr>
            <w:rStyle w:val="Hyperlink"/>
            <w:noProof/>
          </w:rPr>
          <w:t>Legea nr. 34/2004 din 29 iulie 2004</w:t>
        </w:r>
        <w:r>
          <w:rPr>
            <w:noProof/>
            <w:webHidden/>
          </w:rPr>
          <w:tab/>
        </w:r>
        <w:r>
          <w:rPr>
            <w:noProof/>
            <w:webHidden/>
          </w:rPr>
          <w:fldChar w:fldCharType="begin"/>
        </w:r>
        <w:r>
          <w:rPr>
            <w:noProof/>
            <w:webHidden/>
          </w:rPr>
          <w:instrText xml:space="preserve"> PAGEREF _Toc177058385 \h </w:instrText>
        </w:r>
        <w:r>
          <w:rPr>
            <w:noProof/>
            <w:webHidden/>
          </w:rPr>
        </w:r>
        <w:r>
          <w:rPr>
            <w:noProof/>
            <w:webHidden/>
          </w:rPr>
          <w:fldChar w:fldCharType="separate"/>
        </w:r>
        <w:r>
          <w:rPr>
            <w:noProof/>
            <w:webHidden/>
          </w:rPr>
          <w:t>21</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86" w:history="1">
        <w:r w:rsidRPr="005B674B">
          <w:rPr>
            <w:rStyle w:val="Hyperlink"/>
            <w:noProof/>
          </w:rPr>
          <w:t>12.</w:t>
        </w:r>
        <w:r>
          <w:rPr>
            <w:rFonts w:eastAsiaTheme="minorEastAsia"/>
            <w:noProof/>
            <w:sz w:val="22"/>
            <w:szCs w:val="22"/>
            <w:lang w:eastAsia="ro-RO"/>
          </w:rPr>
          <w:tab/>
        </w:r>
        <w:r w:rsidRPr="005B674B">
          <w:rPr>
            <w:rStyle w:val="Hyperlink"/>
            <w:noProof/>
          </w:rPr>
          <w:t>Legea nr. 108/2017 din 23 noiembrie 2017</w:t>
        </w:r>
        <w:r>
          <w:rPr>
            <w:noProof/>
            <w:webHidden/>
          </w:rPr>
          <w:tab/>
        </w:r>
        <w:r>
          <w:rPr>
            <w:noProof/>
            <w:webHidden/>
          </w:rPr>
          <w:fldChar w:fldCharType="begin"/>
        </w:r>
        <w:r>
          <w:rPr>
            <w:noProof/>
            <w:webHidden/>
          </w:rPr>
          <w:instrText xml:space="preserve"> PAGEREF _Toc177058386 \h </w:instrText>
        </w:r>
        <w:r>
          <w:rPr>
            <w:noProof/>
            <w:webHidden/>
          </w:rPr>
        </w:r>
        <w:r>
          <w:rPr>
            <w:noProof/>
            <w:webHidden/>
          </w:rPr>
          <w:fldChar w:fldCharType="separate"/>
        </w:r>
        <w:r>
          <w:rPr>
            <w:noProof/>
            <w:webHidden/>
          </w:rPr>
          <w:t>21</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87" w:history="1">
        <w:r w:rsidRPr="005B674B">
          <w:rPr>
            <w:rStyle w:val="Hyperlink"/>
            <w:noProof/>
          </w:rPr>
          <w:t>B.</w:t>
        </w:r>
        <w:r>
          <w:rPr>
            <w:rFonts w:eastAsiaTheme="minorEastAsia"/>
            <w:noProof/>
            <w:sz w:val="22"/>
            <w:szCs w:val="22"/>
            <w:lang w:eastAsia="ro-RO"/>
          </w:rPr>
          <w:tab/>
        </w:r>
        <w:r w:rsidRPr="005B674B">
          <w:rPr>
            <w:rStyle w:val="Hyperlink"/>
            <w:noProof/>
          </w:rPr>
          <w:t>Practica internă relevantă</w:t>
        </w:r>
        <w:r>
          <w:rPr>
            <w:noProof/>
            <w:webHidden/>
          </w:rPr>
          <w:tab/>
        </w:r>
        <w:r>
          <w:rPr>
            <w:noProof/>
            <w:webHidden/>
          </w:rPr>
          <w:fldChar w:fldCharType="begin"/>
        </w:r>
        <w:r>
          <w:rPr>
            <w:noProof/>
            <w:webHidden/>
          </w:rPr>
          <w:instrText xml:space="preserve"> PAGEREF _Toc177058387 \h </w:instrText>
        </w:r>
        <w:r>
          <w:rPr>
            <w:noProof/>
            <w:webHidden/>
          </w:rPr>
        </w:r>
        <w:r>
          <w:rPr>
            <w:noProof/>
            <w:webHidden/>
          </w:rPr>
          <w:fldChar w:fldCharType="separate"/>
        </w:r>
        <w:r>
          <w:rPr>
            <w:noProof/>
            <w:webHidden/>
          </w:rPr>
          <w:t>22</w:t>
        </w:r>
        <w:r>
          <w:rPr>
            <w:noProof/>
            <w:webHidden/>
          </w:rPr>
          <w:fldChar w:fldCharType="end"/>
        </w:r>
      </w:hyperlink>
    </w:p>
    <w:p w:rsidR="007E5AAC" w:rsidRDefault="007E5AAC">
      <w:pPr>
        <w:pStyle w:val="TOC2"/>
        <w:tabs>
          <w:tab w:val="left" w:pos="1020"/>
        </w:tabs>
        <w:rPr>
          <w:rFonts w:eastAsiaTheme="minorEastAsia"/>
          <w:noProof/>
          <w:szCs w:val="22"/>
          <w:lang w:eastAsia="ro-RO"/>
        </w:rPr>
      </w:pPr>
      <w:hyperlink w:anchor="_Toc177058388" w:history="1">
        <w:r w:rsidRPr="005B674B">
          <w:rPr>
            <w:rStyle w:val="Hyperlink"/>
            <w:noProof/>
          </w:rPr>
          <w:t>II.</w:t>
        </w:r>
        <w:r>
          <w:rPr>
            <w:rFonts w:eastAsiaTheme="minorEastAsia"/>
            <w:noProof/>
            <w:szCs w:val="22"/>
            <w:lang w:eastAsia="ro-RO"/>
          </w:rPr>
          <w:tab/>
        </w:r>
        <w:r w:rsidRPr="005B674B">
          <w:rPr>
            <w:rStyle w:val="Hyperlink"/>
            <w:noProof/>
          </w:rPr>
          <w:t>TEXTE INTERNAȚIONALE RELEVANTE</w:t>
        </w:r>
        <w:r>
          <w:rPr>
            <w:noProof/>
            <w:webHidden/>
          </w:rPr>
          <w:tab/>
        </w:r>
        <w:r>
          <w:rPr>
            <w:noProof/>
            <w:webHidden/>
          </w:rPr>
          <w:fldChar w:fldCharType="begin"/>
        </w:r>
        <w:r>
          <w:rPr>
            <w:noProof/>
            <w:webHidden/>
          </w:rPr>
          <w:instrText xml:space="preserve"> PAGEREF _Toc177058388 \h </w:instrText>
        </w:r>
        <w:r>
          <w:rPr>
            <w:noProof/>
            <w:webHidden/>
          </w:rPr>
        </w:r>
        <w:r>
          <w:rPr>
            <w:noProof/>
            <w:webHidden/>
          </w:rPr>
          <w:fldChar w:fldCharType="separate"/>
        </w:r>
        <w:r>
          <w:rPr>
            <w:noProof/>
            <w:webHidden/>
          </w:rPr>
          <w:t>23</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89" w:history="1">
        <w:r w:rsidRPr="005B674B">
          <w:rPr>
            <w:rStyle w:val="Hyperlink"/>
            <w:noProof/>
          </w:rPr>
          <w:t>A.</w:t>
        </w:r>
        <w:r>
          <w:rPr>
            <w:rFonts w:eastAsiaTheme="minorEastAsia"/>
            <w:noProof/>
            <w:sz w:val="22"/>
            <w:szCs w:val="22"/>
            <w:lang w:eastAsia="ro-RO"/>
          </w:rPr>
          <w:tab/>
        </w:r>
        <w:r w:rsidRPr="005B674B">
          <w:rPr>
            <w:rStyle w:val="Hyperlink"/>
            <w:noProof/>
          </w:rPr>
          <w:t>Organizația Națiunilor Unite (ONU)</w:t>
        </w:r>
        <w:r>
          <w:rPr>
            <w:noProof/>
            <w:webHidden/>
          </w:rPr>
          <w:tab/>
        </w:r>
        <w:r>
          <w:rPr>
            <w:noProof/>
            <w:webHidden/>
          </w:rPr>
          <w:fldChar w:fldCharType="begin"/>
        </w:r>
        <w:r>
          <w:rPr>
            <w:noProof/>
            <w:webHidden/>
          </w:rPr>
          <w:instrText xml:space="preserve"> PAGEREF _Toc177058389 \h </w:instrText>
        </w:r>
        <w:r>
          <w:rPr>
            <w:noProof/>
            <w:webHidden/>
          </w:rPr>
        </w:r>
        <w:r>
          <w:rPr>
            <w:noProof/>
            <w:webHidden/>
          </w:rPr>
          <w:fldChar w:fldCharType="separate"/>
        </w:r>
        <w:r>
          <w:rPr>
            <w:noProof/>
            <w:webHidden/>
          </w:rPr>
          <w:t>23</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90" w:history="1">
        <w:r w:rsidRPr="005B674B">
          <w:rPr>
            <w:rStyle w:val="Hyperlink"/>
            <w:noProof/>
          </w:rPr>
          <w:t>B.</w:t>
        </w:r>
        <w:r>
          <w:rPr>
            <w:rFonts w:eastAsiaTheme="minorEastAsia"/>
            <w:noProof/>
            <w:sz w:val="22"/>
            <w:szCs w:val="22"/>
            <w:lang w:eastAsia="ro-RO"/>
          </w:rPr>
          <w:tab/>
        </w:r>
        <w:r w:rsidRPr="005B674B">
          <w:rPr>
            <w:rStyle w:val="Hyperlink"/>
            <w:noProof/>
          </w:rPr>
          <w:t>Consiliul Europei</w:t>
        </w:r>
        <w:r>
          <w:rPr>
            <w:noProof/>
            <w:webHidden/>
          </w:rPr>
          <w:tab/>
        </w:r>
        <w:r>
          <w:rPr>
            <w:noProof/>
            <w:webHidden/>
          </w:rPr>
          <w:fldChar w:fldCharType="begin"/>
        </w:r>
        <w:r>
          <w:rPr>
            <w:noProof/>
            <w:webHidden/>
          </w:rPr>
          <w:instrText xml:space="preserve"> PAGEREF _Toc177058390 \h </w:instrText>
        </w:r>
        <w:r>
          <w:rPr>
            <w:noProof/>
            <w:webHidden/>
          </w:rPr>
        </w:r>
        <w:r>
          <w:rPr>
            <w:noProof/>
            <w:webHidden/>
          </w:rPr>
          <w:fldChar w:fldCharType="separate"/>
        </w:r>
        <w:r>
          <w:rPr>
            <w:noProof/>
            <w:webHidden/>
          </w:rPr>
          <w:t>26</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91" w:history="1">
        <w:r w:rsidRPr="005B674B">
          <w:rPr>
            <w:rStyle w:val="Hyperlink"/>
            <w:noProof/>
          </w:rPr>
          <w:t>C.</w:t>
        </w:r>
        <w:r>
          <w:rPr>
            <w:rFonts w:eastAsiaTheme="minorEastAsia"/>
            <w:noProof/>
            <w:sz w:val="22"/>
            <w:szCs w:val="22"/>
            <w:lang w:eastAsia="ro-RO"/>
          </w:rPr>
          <w:tab/>
        </w:r>
        <w:r w:rsidRPr="005B674B">
          <w:rPr>
            <w:rStyle w:val="Hyperlink"/>
            <w:noProof/>
          </w:rPr>
          <w:t>Sistemele regionale de protecție a drepturilor omului</w:t>
        </w:r>
        <w:r>
          <w:rPr>
            <w:noProof/>
            <w:webHidden/>
          </w:rPr>
          <w:tab/>
        </w:r>
        <w:r>
          <w:rPr>
            <w:noProof/>
            <w:webHidden/>
          </w:rPr>
          <w:fldChar w:fldCharType="begin"/>
        </w:r>
        <w:r>
          <w:rPr>
            <w:noProof/>
            <w:webHidden/>
          </w:rPr>
          <w:instrText xml:space="preserve"> PAGEREF _Toc177058391 \h </w:instrText>
        </w:r>
        <w:r>
          <w:rPr>
            <w:noProof/>
            <w:webHidden/>
          </w:rPr>
        </w:r>
        <w:r>
          <w:rPr>
            <w:noProof/>
            <w:webHidden/>
          </w:rPr>
          <w:fldChar w:fldCharType="separate"/>
        </w:r>
        <w:r>
          <w:rPr>
            <w:noProof/>
            <w:webHidden/>
          </w:rPr>
          <w:t>27</w:t>
        </w:r>
        <w:r>
          <w:rPr>
            <w:noProof/>
            <w:webHidden/>
          </w:rPr>
          <w:fldChar w:fldCharType="end"/>
        </w:r>
      </w:hyperlink>
    </w:p>
    <w:p w:rsidR="007E5AAC" w:rsidRDefault="007E5AAC">
      <w:pPr>
        <w:pStyle w:val="TOC2"/>
        <w:tabs>
          <w:tab w:val="left" w:pos="1020"/>
        </w:tabs>
        <w:rPr>
          <w:rFonts w:eastAsiaTheme="minorEastAsia"/>
          <w:noProof/>
          <w:szCs w:val="22"/>
          <w:lang w:eastAsia="ro-RO"/>
        </w:rPr>
      </w:pPr>
      <w:hyperlink w:anchor="_Toc177058392" w:history="1">
        <w:r w:rsidRPr="005B674B">
          <w:rPr>
            <w:rStyle w:val="Hyperlink"/>
            <w:noProof/>
          </w:rPr>
          <w:t>III.</w:t>
        </w:r>
        <w:r>
          <w:rPr>
            <w:rFonts w:eastAsiaTheme="minorEastAsia"/>
            <w:noProof/>
            <w:szCs w:val="22"/>
            <w:lang w:eastAsia="ro-RO"/>
          </w:rPr>
          <w:tab/>
        </w:r>
        <w:r w:rsidRPr="005B674B">
          <w:rPr>
            <w:rStyle w:val="Hyperlink"/>
            <w:noProof/>
          </w:rPr>
          <w:t>PREZENTARE GENERALĂ A JURISPRUDENȚEI INTERNE PRIVIND SCHIMBĂRILE CLIMATICE</w:t>
        </w:r>
        <w:r>
          <w:rPr>
            <w:noProof/>
            <w:webHidden/>
          </w:rPr>
          <w:tab/>
        </w:r>
        <w:r>
          <w:rPr>
            <w:noProof/>
            <w:webHidden/>
          </w:rPr>
          <w:fldChar w:fldCharType="begin"/>
        </w:r>
        <w:r>
          <w:rPr>
            <w:noProof/>
            <w:webHidden/>
          </w:rPr>
          <w:instrText xml:space="preserve"> PAGEREF _Toc177058392 \h </w:instrText>
        </w:r>
        <w:r>
          <w:rPr>
            <w:noProof/>
            <w:webHidden/>
          </w:rPr>
        </w:r>
        <w:r>
          <w:rPr>
            <w:noProof/>
            <w:webHidden/>
          </w:rPr>
          <w:fldChar w:fldCharType="separate"/>
        </w:r>
        <w:r>
          <w:rPr>
            <w:noProof/>
            <w:webHidden/>
          </w:rPr>
          <w:t>28</w:t>
        </w:r>
        <w:r>
          <w:rPr>
            <w:noProof/>
            <w:webHidden/>
          </w:rPr>
          <w:fldChar w:fldCharType="end"/>
        </w:r>
      </w:hyperlink>
    </w:p>
    <w:p w:rsidR="007E5AAC" w:rsidRDefault="007E5AAC">
      <w:pPr>
        <w:pStyle w:val="TOC1"/>
        <w:rPr>
          <w:rFonts w:eastAsiaTheme="minorEastAsia"/>
          <w:b w:val="0"/>
          <w:noProof/>
          <w:szCs w:val="22"/>
          <w:lang w:eastAsia="ro-RO"/>
        </w:rPr>
      </w:pPr>
      <w:hyperlink w:anchor="_Toc177058393" w:history="1">
        <w:r w:rsidRPr="005B674B">
          <w:rPr>
            <w:rStyle w:val="Hyperlink"/>
            <w:noProof/>
          </w:rPr>
          <w:t>CAPĂT DE CERERE</w:t>
        </w:r>
        <w:r>
          <w:rPr>
            <w:noProof/>
            <w:webHidden/>
          </w:rPr>
          <w:tab/>
        </w:r>
        <w:r>
          <w:rPr>
            <w:noProof/>
            <w:webHidden/>
          </w:rPr>
          <w:fldChar w:fldCharType="begin"/>
        </w:r>
        <w:r>
          <w:rPr>
            <w:noProof/>
            <w:webHidden/>
          </w:rPr>
          <w:instrText xml:space="preserve"> PAGEREF _Toc177058393 \h </w:instrText>
        </w:r>
        <w:r>
          <w:rPr>
            <w:noProof/>
            <w:webHidden/>
          </w:rPr>
        </w:r>
        <w:r>
          <w:rPr>
            <w:noProof/>
            <w:webHidden/>
          </w:rPr>
          <w:fldChar w:fldCharType="separate"/>
        </w:r>
        <w:r>
          <w:rPr>
            <w:noProof/>
            <w:webHidden/>
          </w:rPr>
          <w:t>30</w:t>
        </w:r>
        <w:r>
          <w:rPr>
            <w:noProof/>
            <w:webHidden/>
          </w:rPr>
          <w:fldChar w:fldCharType="end"/>
        </w:r>
      </w:hyperlink>
    </w:p>
    <w:p w:rsidR="007E5AAC" w:rsidRDefault="007E5AAC">
      <w:pPr>
        <w:pStyle w:val="TOC1"/>
        <w:rPr>
          <w:rFonts w:eastAsiaTheme="minorEastAsia"/>
          <w:b w:val="0"/>
          <w:noProof/>
          <w:szCs w:val="22"/>
          <w:lang w:eastAsia="ro-RO"/>
        </w:rPr>
      </w:pPr>
      <w:hyperlink w:anchor="_Toc177058394" w:history="1">
        <w:r w:rsidRPr="005B674B">
          <w:rPr>
            <w:rStyle w:val="Hyperlink"/>
            <w:noProof/>
          </w:rPr>
          <w:t>ÎN DREPT</w:t>
        </w:r>
        <w:r>
          <w:rPr>
            <w:noProof/>
            <w:webHidden/>
          </w:rPr>
          <w:tab/>
        </w:r>
        <w:r>
          <w:rPr>
            <w:noProof/>
            <w:webHidden/>
          </w:rPr>
          <w:fldChar w:fldCharType="begin"/>
        </w:r>
        <w:r>
          <w:rPr>
            <w:noProof/>
            <w:webHidden/>
          </w:rPr>
          <w:instrText xml:space="preserve"> PAGEREF _Toc177058394 \h </w:instrText>
        </w:r>
        <w:r>
          <w:rPr>
            <w:noProof/>
            <w:webHidden/>
          </w:rPr>
        </w:r>
        <w:r>
          <w:rPr>
            <w:noProof/>
            <w:webHidden/>
          </w:rPr>
          <w:fldChar w:fldCharType="separate"/>
        </w:r>
        <w:r>
          <w:rPr>
            <w:noProof/>
            <w:webHidden/>
          </w:rPr>
          <w:t>30</w:t>
        </w:r>
        <w:r>
          <w:rPr>
            <w:noProof/>
            <w:webHidden/>
          </w:rPr>
          <w:fldChar w:fldCharType="end"/>
        </w:r>
      </w:hyperlink>
    </w:p>
    <w:p w:rsidR="007E5AAC" w:rsidRDefault="007E5AAC">
      <w:pPr>
        <w:pStyle w:val="TOC2"/>
        <w:tabs>
          <w:tab w:val="left" w:pos="680"/>
        </w:tabs>
        <w:rPr>
          <w:rFonts w:eastAsiaTheme="minorEastAsia"/>
          <w:noProof/>
          <w:szCs w:val="22"/>
          <w:lang w:eastAsia="ro-RO"/>
        </w:rPr>
      </w:pPr>
      <w:hyperlink w:anchor="_Toc177058395" w:history="1">
        <w:r w:rsidRPr="005B674B">
          <w:rPr>
            <w:rStyle w:val="Hyperlink"/>
            <w:noProof/>
          </w:rPr>
          <w:t>I.</w:t>
        </w:r>
        <w:r>
          <w:rPr>
            <w:rFonts w:eastAsiaTheme="minorEastAsia"/>
            <w:noProof/>
            <w:szCs w:val="22"/>
            <w:lang w:eastAsia="ro-RO"/>
          </w:rPr>
          <w:tab/>
        </w:r>
        <w:r w:rsidRPr="005B674B">
          <w:rPr>
            <w:rStyle w:val="Hyperlink"/>
            <w:noProof/>
          </w:rPr>
          <w:t>ARGUMENTELE PĂRȚILOR</w:t>
        </w:r>
        <w:r>
          <w:rPr>
            <w:noProof/>
            <w:webHidden/>
          </w:rPr>
          <w:tab/>
        </w:r>
        <w:r>
          <w:rPr>
            <w:noProof/>
            <w:webHidden/>
          </w:rPr>
          <w:fldChar w:fldCharType="begin"/>
        </w:r>
        <w:r>
          <w:rPr>
            <w:noProof/>
            <w:webHidden/>
          </w:rPr>
          <w:instrText xml:space="preserve"> PAGEREF _Toc177058395 \h </w:instrText>
        </w:r>
        <w:r>
          <w:rPr>
            <w:noProof/>
            <w:webHidden/>
          </w:rPr>
        </w:r>
        <w:r>
          <w:rPr>
            <w:noProof/>
            <w:webHidden/>
          </w:rPr>
          <w:fldChar w:fldCharType="separate"/>
        </w:r>
        <w:r>
          <w:rPr>
            <w:noProof/>
            <w:webHidden/>
          </w:rPr>
          <w:t>30</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396" w:history="1">
        <w:r w:rsidRPr="005B674B">
          <w:rPr>
            <w:rStyle w:val="Hyperlink"/>
            <w:noProof/>
          </w:rPr>
          <w:t>A.</w:t>
        </w:r>
        <w:r>
          <w:rPr>
            <w:rFonts w:eastAsiaTheme="minorEastAsia"/>
            <w:noProof/>
            <w:sz w:val="22"/>
            <w:szCs w:val="22"/>
            <w:lang w:eastAsia="ro-RO"/>
          </w:rPr>
          <w:tab/>
        </w:r>
        <w:r w:rsidRPr="005B674B">
          <w:rPr>
            <w:rStyle w:val="Hyperlink"/>
            <w:noProof/>
          </w:rPr>
          <w:t>Guvernele pârâte</w:t>
        </w:r>
        <w:r>
          <w:rPr>
            <w:noProof/>
            <w:webHidden/>
          </w:rPr>
          <w:tab/>
        </w:r>
        <w:r>
          <w:rPr>
            <w:noProof/>
            <w:webHidden/>
          </w:rPr>
          <w:fldChar w:fldCharType="begin"/>
        </w:r>
        <w:r>
          <w:rPr>
            <w:noProof/>
            <w:webHidden/>
          </w:rPr>
          <w:instrText xml:space="preserve"> PAGEREF _Toc177058396 \h </w:instrText>
        </w:r>
        <w:r>
          <w:rPr>
            <w:noProof/>
            <w:webHidden/>
          </w:rPr>
        </w:r>
        <w:r>
          <w:rPr>
            <w:noProof/>
            <w:webHidden/>
          </w:rPr>
          <w:fldChar w:fldCharType="separate"/>
        </w:r>
        <w:r>
          <w:rPr>
            <w:noProof/>
            <w:webHidden/>
          </w:rPr>
          <w:t>30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397" w:history="1">
        <w:r w:rsidRPr="005B674B">
          <w:rPr>
            <w:rStyle w:val="Hyperlink"/>
            <w:noProof/>
          </w:rPr>
          <w:t>1.</w:t>
        </w:r>
        <w:r>
          <w:rPr>
            <w:rFonts w:eastAsiaTheme="minorEastAsia"/>
            <w:noProof/>
            <w:sz w:val="22"/>
            <w:szCs w:val="22"/>
            <w:lang w:eastAsia="ro-RO"/>
          </w:rPr>
          <w:tab/>
        </w:r>
        <w:r w:rsidRPr="005B674B">
          <w:rPr>
            <w:rStyle w:val="Hyperlink"/>
            <w:noProof/>
          </w:rPr>
          <w:t>Observații comune</w:t>
        </w:r>
        <w:r>
          <w:rPr>
            <w:noProof/>
            <w:webHidden/>
          </w:rPr>
          <w:tab/>
        </w:r>
        <w:r>
          <w:rPr>
            <w:noProof/>
            <w:webHidden/>
          </w:rPr>
          <w:fldChar w:fldCharType="begin"/>
        </w:r>
        <w:r>
          <w:rPr>
            <w:noProof/>
            <w:webHidden/>
          </w:rPr>
          <w:instrText xml:space="preserve"> PAGEREF _Toc177058397 \h </w:instrText>
        </w:r>
        <w:r>
          <w:rPr>
            <w:noProof/>
            <w:webHidden/>
          </w:rPr>
        </w:r>
        <w:r>
          <w:rPr>
            <w:noProof/>
            <w:webHidden/>
          </w:rPr>
          <w:fldChar w:fldCharType="separate"/>
        </w:r>
        <w:r>
          <w:rPr>
            <w:noProof/>
            <w:webHidden/>
          </w:rPr>
          <w:t>31</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398" w:history="1">
        <w:r w:rsidRPr="005B674B">
          <w:rPr>
            <w:rStyle w:val="Hyperlink"/>
            <w:noProof/>
          </w:rPr>
          <w:t>a)</w:t>
        </w:r>
        <w:r>
          <w:rPr>
            <w:rFonts w:eastAsiaTheme="minorEastAsia"/>
            <w:noProof/>
            <w:sz w:val="22"/>
            <w:szCs w:val="22"/>
            <w:lang w:eastAsia="ro-RO"/>
          </w:rPr>
          <w:tab/>
        </w:r>
        <w:r w:rsidRPr="005B674B">
          <w:rPr>
            <w:rStyle w:val="Hyperlink"/>
            <w:noProof/>
          </w:rPr>
          <w:t>Remarci generale</w:t>
        </w:r>
        <w:r>
          <w:rPr>
            <w:noProof/>
            <w:webHidden/>
          </w:rPr>
          <w:tab/>
        </w:r>
        <w:r>
          <w:rPr>
            <w:noProof/>
            <w:webHidden/>
          </w:rPr>
          <w:fldChar w:fldCharType="begin"/>
        </w:r>
        <w:r>
          <w:rPr>
            <w:noProof/>
            <w:webHidden/>
          </w:rPr>
          <w:instrText xml:space="preserve"> PAGEREF _Toc177058398 \h </w:instrText>
        </w:r>
        <w:r>
          <w:rPr>
            <w:noProof/>
            <w:webHidden/>
          </w:rPr>
        </w:r>
        <w:r>
          <w:rPr>
            <w:noProof/>
            <w:webHidden/>
          </w:rPr>
          <w:fldChar w:fldCharType="separate"/>
        </w:r>
        <w:r>
          <w:rPr>
            <w:noProof/>
            <w:webHidden/>
          </w:rPr>
          <w:t>31</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399" w:history="1">
        <w:r w:rsidRPr="005B674B">
          <w:rPr>
            <w:rStyle w:val="Hyperlink"/>
            <w:noProof/>
          </w:rPr>
          <w:t>b)</w:t>
        </w:r>
        <w:r>
          <w:rPr>
            <w:rFonts w:eastAsiaTheme="minorEastAsia"/>
            <w:noProof/>
            <w:sz w:val="22"/>
            <w:szCs w:val="22"/>
            <w:lang w:eastAsia="ro-RO"/>
          </w:rPr>
          <w:tab/>
        </w:r>
        <w:r w:rsidRPr="005B674B">
          <w:rPr>
            <w:rStyle w:val="Hyperlink"/>
            <w:noProof/>
          </w:rPr>
          <w:t>Cu privire la jurisdicție</w:t>
        </w:r>
        <w:r>
          <w:rPr>
            <w:noProof/>
            <w:webHidden/>
          </w:rPr>
          <w:tab/>
        </w:r>
        <w:r>
          <w:rPr>
            <w:noProof/>
            <w:webHidden/>
          </w:rPr>
          <w:fldChar w:fldCharType="begin"/>
        </w:r>
        <w:r>
          <w:rPr>
            <w:noProof/>
            <w:webHidden/>
          </w:rPr>
          <w:instrText xml:space="preserve"> PAGEREF _Toc177058399 \h </w:instrText>
        </w:r>
        <w:r>
          <w:rPr>
            <w:noProof/>
            <w:webHidden/>
          </w:rPr>
        </w:r>
        <w:r>
          <w:rPr>
            <w:noProof/>
            <w:webHidden/>
          </w:rPr>
          <w:fldChar w:fldCharType="separate"/>
        </w:r>
        <w:r>
          <w:rPr>
            <w:noProof/>
            <w:webHidden/>
          </w:rPr>
          <w:t>32</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0" w:history="1">
        <w:r w:rsidRPr="005B674B">
          <w:rPr>
            <w:rStyle w:val="Hyperlink"/>
            <w:noProof/>
          </w:rPr>
          <w:t>c)</w:t>
        </w:r>
        <w:r>
          <w:rPr>
            <w:rFonts w:eastAsiaTheme="minorEastAsia"/>
            <w:noProof/>
            <w:sz w:val="22"/>
            <w:szCs w:val="22"/>
            <w:lang w:eastAsia="ro-RO"/>
          </w:rPr>
          <w:tab/>
        </w:r>
        <w:r w:rsidRPr="005B674B">
          <w:rPr>
            <w:rStyle w:val="Hyperlink"/>
            <w:noProof/>
          </w:rPr>
          <w:t>Cu privire la epuizarea căilor de atac interne</w:t>
        </w:r>
        <w:r>
          <w:rPr>
            <w:noProof/>
            <w:webHidden/>
          </w:rPr>
          <w:tab/>
        </w:r>
        <w:r>
          <w:rPr>
            <w:noProof/>
            <w:webHidden/>
          </w:rPr>
          <w:fldChar w:fldCharType="begin"/>
        </w:r>
        <w:r>
          <w:rPr>
            <w:noProof/>
            <w:webHidden/>
          </w:rPr>
          <w:instrText xml:space="preserve"> PAGEREF _Toc177058400 \h </w:instrText>
        </w:r>
        <w:r>
          <w:rPr>
            <w:noProof/>
            <w:webHidden/>
          </w:rPr>
        </w:r>
        <w:r>
          <w:rPr>
            <w:noProof/>
            <w:webHidden/>
          </w:rPr>
          <w:fldChar w:fldCharType="separate"/>
        </w:r>
        <w:r>
          <w:rPr>
            <w:noProof/>
            <w:webHidden/>
          </w:rPr>
          <w:t>35</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1" w:history="1">
        <w:r w:rsidRPr="005B674B">
          <w:rPr>
            <w:rStyle w:val="Hyperlink"/>
            <w:noProof/>
          </w:rPr>
          <w:t>d)</w:t>
        </w:r>
        <w:r>
          <w:rPr>
            <w:rFonts w:eastAsiaTheme="minorEastAsia"/>
            <w:noProof/>
            <w:sz w:val="22"/>
            <w:szCs w:val="22"/>
            <w:lang w:eastAsia="ro-RO"/>
          </w:rPr>
          <w:tab/>
        </w:r>
        <w:r w:rsidRPr="005B674B">
          <w:rPr>
            <w:rStyle w:val="Hyperlink"/>
            <w:noProof/>
          </w:rPr>
          <w:t>Cu privire la calitatea de victimă</w:t>
        </w:r>
        <w:r>
          <w:rPr>
            <w:noProof/>
            <w:webHidden/>
          </w:rPr>
          <w:tab/>
        </w:r>
        <w:r>
          <w:rPr>
            <w:noProof/>
            <w:webHidden/>
          </w:rPr>
          <w:fldChar w:fldCharType="begin"/>
        </w:r>
        <w:r>
          <w:rPr>
            <w:noProof/>
            <w:webHidden/>
          </w:rPr>
          <w:instrText xml:space="preserve"> PAGEREF _Toc177058401 \h </w:instrText>
        </w:r>
        <w:r>
          <w:rPr>
            <w:noProof/>
            <w:webHidden/>
          </w:rPr>
        </w:r>
        <w:r>
          <w:rPr>
            <w:noProof/>
            <w:webHidden/>
          </w:rPr>
          <w:fldChar w:fldCharType="separate"/>
        </w:r>
        <w:r>
          <w:rPr>
            <w:noProof/>
            <w:webHidden/>
          </w:rPr>
          <w:t>37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02" w:history="1">
        <w:r w:rsidRPr="005B674B">
          <w:rPr>
            <w:rStyle w:val="Hyperlink"/>
            <w:noProof/>
          </w:rPr>
          <w:t>2.</w:t>
        </w:r>
        <w:r>
          <w:rPr>
            <w:rFonts w:eastAsiaTheme="minorEastAsia"/>
            <w:noProof/>
            <w:sz w:val="22"/>
            <w:szCs w:val="22"/>
            <w:lang w:eastAsia="ro-RO"/>
          </w:rPr>
          <w:tab/>
        </w:r>
        <w:r w:rsidRPr="005B674B">
          <w:rPr>
            <w:rStyle w:val="Hyperlink"/>
            <w:noProof/>
          </w:rPr>
          <w:t>Observații individuale comunicate de statele pârâte</w:t>
        </w:r>
        <w:r>
          <w:rPr>
            <w:noProof/>
            <w:webHidden/>
          </w:rPr>
          <w:tab/>
        </w:r>
        <w:r>
          <w:rPr>
            <w:noProof/>
            <w:webHidden/>
          </w:rPr>
          <w:fldChar w:fldCharType="begin"/>
        </w:r>
        <w:r>
          <w:rPr>
            <w:noProof/>
            <w:webHidden/>
          </w:rPr>
          <w:instrText xml:space="preserve"> PAGEREF _Toc177058402 \h </w:instrText>
        </w:r>
        <w:r>
          <w:rPr>
            <w:noProof/>
            <w:webHidden/>
          </w:rPr>
        </w:r>
        <w:r>
          <w:rPr>
            <w:noProof/>
            <w:webHidden/>
          </w:rPr>
          <w:fldChar w:fldCharType="separate"/>
        </w:r>
        <w:r>
          <w:rPr>
            <w:noProof/>
            <w:webHidden/>
          </w:rPr>
          <w:t>38</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3" w:history="1">
        <w:r w:rsidRPr="005B674B">
          <w:rPr>
            <w:rStyle w:val="Hyperlink"/>
            <w:noProof/>
          </w:rPr>
          <w:t>a)</w:t>
        </w:r>
        <w:r>
          <w:rPr>
            <w:rFonts w:eastAsiaTheme="minorEastAsia"/>
            <w:noProof/>
            <w:sz w:val="22"/>
            <w:szCs w:val="22"/>
            <w:lang w:eastAsia="ro-RO"/>
          </w:rPr>
          <w:tab/>
        </w:r>
        <w:r w:rsidRPr="005B674B">
          <w:rPr>
            <w:rStyle w:val="Hyperlink"/>
            <w:noProof/>
          </w:rPr>
          <w:t>Guvernul Bulgariei</w:t>
        </w:r>
        <w:r>
          <w:rPr>
            <w:noProof/>
            <w:webHidden/>
          </w:rPr>
          <w:tab/>
        </w:r>
        <w:r>
          <w:rPr>
            <w:noProof/>
            <w:webHidden/>
          </w:rPr>
          <w:fldChar w:fldCharType="begin"/>
        </w:r>
        <w:r>
          <w:rPr>
            <w:noProof/>
            <w:webHidden/>
          </w:rPr>
          <w:instrText xml:space="preserve"> PAGEREF _Toc177058403 \h </w:instrText>
        </w:r>
        <w:r>
          <w:rPr>
            <w:noProof/>
            <w:webHidden/>
          </w:rPr>
        </w:r>
        <w:r>
          <w:rPr>
            <w:noProof/>
            <w:webHidden/>
          </w:rPr>
          <w:fldChar w:fldCharType="separate"/>
        </w:r>
        <w:r>
          <w:rPr>
            <w:noProof/>
            <w:webHidden/>
          </w:rPr>
          <w:t>38</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4" w:history="1">
        <w:r w:rsidRPr="005B674B">
          <w:rPr>
            <w:rStyle w:val="Hyperlink"/>
            <w:noProof/>
          </w:rPr>
          <w:t>b)</w:t>
        </w:r>
        <w:r>
          <w:rPr>
            <w:rFonts w:eastAsiaTheme="minorEastAsia"/>
            <w:noProof/>
            <w:sz w:val="22"/>
            <w:szCs w:val="22"/>
            <w:lang w:eastAsia="ro-RO"/>
          </w:rPr>
          <w:tab/>
        </w:r>
        <w:r w:rsidRPr="005B674B">
          <w:rPr>
            <w:rStyle w:val="Hyperlink"/>
            <w:noProof/>
          </w:rPr>
          <w:t>Guvernul Croației</w:t>
        </w:r>
        <w:r>
          <w:rPr>
            <w:noProof/>
            <w:webHidden/>
          </w:rPr>
          <w:tab/>
        </w:r>
        <w:r>
          <w:rPr>
            <w:noProof/>
            <w:webHidden/>
          </w:rPr>
          <w:fldChar w:fldCharType="begin"/>
        </w:r>
        <w:r>
          <w:rPr>
            <w:noProof/>
            <w:webHidden/>
          </w:rPr>
          <w:instrText xml:space="preserve"> PAGEREF _Toc177058404 \h </w:instrText>
        </w:r>
        <w:r>
          <w:rPr>
            <w:noProof/>
            <w:webHidden/>
          </w:rPr>
        </w:r>
        <w:r>
          <w:rPr>
            <w:noProof/>
            <w:webHidden/>
          </w:rPr>
          <w:fldChar w:fldCharType="separate"/>
        </w:r>
        <w:r>
          <w:rPr>
            <w:noProof/>
            <w:webHidden/>
          </w:rPr>
          <w:t>38</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5" w:history="1">
        <w:r w:rsidRPr="005B674B">
          <w:rPr>
            <w:rStyle w:val="Hyperlink"/>
            <w:noProof/>
          </w:rPr>
          <w:t>c)</w:t>
        </w:r>
        <w:r>
          <w:rPr>
            <w:rFonts w:eastAsiaTheme="minorEastAsia"/>
            <w:noProof/>
            <w:sz w:val="22"/>
            <w:szCs w:val="22"/>
            <w:lang w:eastAsia="ro-RO"/>
          </w:rPr>
          <w:tab/>
        </w:r>
        <w:r w:rsidRPr="005B674B">
          <w:rPr>
            <w:rStyle w:val="Hyperlink"/>
            <w:noProof/>
          </w:rPr>
          <w:t>Guvernul Franței</w:t>
        </w:r>
        <w:r>
          <w:rPr>
            <w:noProof/>
            <w:webHidden/>
          </w:rPr>
          <w:tab/>
        </w:r>
        <w:r>
          <w:rPr>
            <w:noProof/>
            <w:webHidden/>
          </w:rPr>
          <w:fldChar w:fldCharType="begin"/>
        </w:r>
        <w:r>
          <w:rPr>
            <w:noProof/>
            <w:webHidden/>
          </w:rPr>
          <w:instrText xml:space="preserve"> PAGEREF _Toc177058405 \h </w:instrText>
        </w:r>
        <w:r>
          <w:rPr>
            <w:noProof/>
            <w:webHidden/>
          </w:rPr>
        </w:r>
        <w:r>
          <w:rPr>
            <w:noProof/>
            <w:webHidden/>
          </w:rPr>
          <w:fldChar w:fldCharType="separate"/>
        </w:r>
        <w:r>
          <w:rPr>
            <w:noProof/>
            <w:webHidden/>
          </w:rPr>
          <w:t>38</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6" w:history="1">
        <w:r w:rsidRPr="005B674B">
          <w:rPr>
            <w:rStyle w:val="Hyperlink"/>
            <w:noProof/>
          </w:rPr>
          <w:t>d)</w:t>
        </w:r>
        <w:r>
          <w:rPr>
            <w:rFonts w:eastAsiaTheme="minorEastAsia"/>
            <w:noProof/>
            <w:sz w:val="22"/>
            <w:szCs w:val="22"/>
            <w:lang w:eastAsia="ro-RO"/>
          </w:rPr>
          <w:tab/>
        </w:r>
        <w:r w:rsidRPr="005B674B">
          <w:rPr>
            <w:rStyle w:val="Hyperlink"/>
            <w:noProof/>
          </w:rPr>
          <w:t>Guvernul Ungariei</w:t>
        </w:r>
        <w:r>
          <w:rPr>
            <w:noProof/>
            <w:webHidden/>
          </w:rPr>
          <w:tab/>
        </w:r>
        <w:r>
          <w:rPr>
            <w:noProof/>
            <w:webHidden/>
          </w:rPr>
          <w:fldChar w:fldCharType="begin"/>
        </w:r>
        <w:r>
          <w:rPr>
            <w:noProof/>
            <w:webHidden/>
          </w:rPr>
          <w:instrText xml:space="preserve"> PAGEREF _Toc177058406 \h </w:instrText>
        </w:r>
        <w:r>
          <w:rPr>
            <w:noProof/>
            <w:webHidden/>
          </w:rPr>
        </w:r>
        <w:r>
          <w:rPr>
            <w:noProof/>
            <w:webHidden/>
          </w:rPr>
          <w:fldChar w:fldCharType="separate"/>
        </w:r>
        <w:r>
          <w:rPr>
            <w:noProof/>
            <w:webHidden/>
          </w:rPr>
          <w:t>39</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7" w:history="1">
        <w:r w:rsidRPr="005B674B">
          <w:rPr>
            <w:rStyle w:val="Hyperlink"/>
            <w:noProof/>
          </w:rPr>
          <w:t>e)</w:t>
        </w:r>
        <w:r>
          <w:rPr>
            <w:rFonts w:eastAsiaTheme="minorEastAsia"/>
            <w:noProof/>
            <w:sz w:val="22"/>
            <w:szCs w:val="22"/>
            <w:lang w:eastAsia="ro-RO"/>
          </w:rPr>
          <w:tab/>
        </w:r>
        <w:r w:rsidRPr="005B674B">
          <w:rPr>
            <w:rStyle w:val="Hyperlink"/>
            <w:noProof/>
          </w:rPr>
          <w:t>Guvernul Letoniei</w:t>
        </w:r>
        <w:r>
          <w:rPr>
            <w:noProof/>
            <w:webHidden/>
          </w:rPr>
          <w:tab/>
        </w:r>
        <w:r>
          <w:rPr>
            <w:noProof/>
            <w:webHidden/>
          </w:rPr>
          <w:fldChar w:fldCharType="begin"/>
        </w:r>
        <w:r>
          <w:rPr>
            <w:noProof/>
            <w:webHidden/>
          </w:rPr>
          <w:instrText xml:space="preserve"> PAGEREF _Toc177058407 \h </w:instrText>
        </w:r>
        <w:r>
          <w:rPr>
            <w:noProof/>
            <w:webHidden/>
          </w:rPr>
        </w:r>
        <w:r>
          <w:rPr>
            <w:noProof/>
            <w:webHidden/>
          </w:rPr>
          <w:fldChar w:fldCharType="separate"/>
        </w:r>
        <w:r>
          <w:rPr>
            <w:noProof/>
            <w:webHidden/>
          </w:rPr>
          <w:t>40</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8" w:history="1">
        <w:r w:rsidRPr="005B674B">
          <w:rPr>
            <w:rStyle w:val="Hyperlink"/>
            <w:noProof/>
          </w:rPr>
          <w:t>f)</w:t>
        </w:r>
        <w:r>
          <w:rPr>
            <w:rFonts w:eastAsiaTheme="minorEastAsia"/>
            <w:noProof/>
            <w:sz w:val="22"/>
            <w:szCs w:val="22"/>
            <w:lang w:eastAsia="ro-RO"/>
          </w:rPr>
          <w:tab/>
        </w:r>
        <w:r w:rsidRPr="005B674B">
          <w:rPr>
            <w:rStyle w:val="Hyperlink"/>
            <w:noProof/>
          </w:rPr>
          <w:t>Guvernul Țărilor de Jos</w:t>
        </w:r>
        <w:r>
          <w:rPr>
            <w:noProof/>
            <w:webHidden/>
          </w:rPr>
          <w:tab/>
        </w:r>
        <w:r>
          <w:rPr>
            <w:noProof/>
            <w:webHidden/>
          </w:rPr>
          <w:fldChar w:fldCharType="begin"/>
        </w:r>
        <w:r>
          <w:rPr>
            <w:noProof/>
            <w:webHidden/>
          </w:rPr>
          <w:instrText xml:space="preserve"> PAGEREF _Toc177058408 \h </w:instrText>
        </w:r>
        <w:r>
          <w:rPr>
            <w:noProof/>
            <w:webHidden/>
          </w:rPr>
        </w:r>
        <w:r>
          <w:rPr>
            <w:noProof/>
            <w:webHidden/>
          </w:rPr>
          <w:fldChar w:fldCharType="separate"/>
        </w:r>
        <w:r>
          <w:rPr>
            <w:noProof/>
            <w:webHidden/>
          </w:rPr>
          <w:t>40</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09" w:history="1">
        <w:r w:rsidRPr="005B674B">
          <w:rPr>
            <w:rStyle w:val="Hyperlink"/>
            <w:noProof/>
          </w:rPr>
          <w:t>g)</w:t>
        </w:r>
        <w:r>
          <w:rPr>
            <w:rFonts w:eastAsiaTheme="minorEastAsia"/>
            <w:noProof/>
            <w:sz w:val="22"/>
            <w:szCs w:val="22"/>
            <w:lang w:eastAsia="ro-RO"/>
          </w:rPr>
          <w:tab/>
        </w:r>
        <w:r w:rsidRPr="005B674B">
          <w:rPr>
            <w:rStyle w:val="Hyperlink"/>
            <w:noProof/>
          </w:rPr>
          <w:t>Guvernul Portugaliei</w:t>
        </w:r>
        <w:r>
          <w:rPr>
            <w:noProof/>
            <w:webHidden/>
          </w:rPr>
          <w:tab/>
        </w:r>
        <w:r>
          <w:rPr>
            <w:noProof/>
            <w:webHidden/>
          </w:rPr>
          <w:fldChar w:fldCharType="begin"/>
        </w:r>
        <w:r>
          <w:rPr>
            <w:noProof/>
            <w:webHidden/>
          </w:rPr>
          <w:instrText xml:space="preserve"> PAGEREF _Toc177058409 \h </w:instrText>
        </w:r>
        <w:r>
          <w:rPr>
            <w:noProof/>
            <w:webHidden/>
          </w:rPr>
        </w:r>
        <w:r>
          <w:rPr>
            <w:noProof/>
            <w:webHidden/>
          </w:rPr>
          <w:fldChar w:fldCharType="separate"/>
        </w:r>
        <w:r>
          <w:rPr>
            <w:noProof/>
            <w:webHidden/>
          </w:rPr>
          <w:t>43</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10" w:history="1">
        <w:r w:rsidRPr="005B674B">
          <w:rPr>
            <w:rStyle w:val="Hyperlink"/>
            <w:noProof/>
          </w:rPr>
          <w:t>h)</w:t>
        </w:r>
        <w:r>
          <w:rPr>
            <w:rFonts w:eastAsiaTheme="minorEastAsia"/>
            <w:noProof/>
            <w:sz w:val="22"/>
            <w:szCs w:val="22"/>
            <w:lang w:eastAsia="ro-RO"/>
          </w:rPr>
          <w:tab/>
        </w:r>
        <w:r w:rsidRPr="005B674B">
          <w:rPr>
            <w:rStyle w:val="Hyperlink"/>
            <w:noProof/>
          </w:rPr>
          <w:t>Guvernul Elveției</w:t>
        </w:r>
        <w:r>
          <w:rPr>
            <w:noProof/>
            <w:webHidden/>
          </w:rPr>
          <w:tab/>
        </w:r>
        <w:r>
          <w:rPr>
            <w:noProof/>
            <w:webHidden/>
          </w:rPr>
          <w:fldChar w:fldCharType="begin"/>
        </w:r>
        <w:r>
          <w:rPr>
            <w:noProof/>
            <w:webHidden/>
          </w:rPr>
          <w:instrText xml:space="preserve"> PAGEREF _Toc177058410 \h </w:instrText>
        </w:r>
        <w:r>
          <w:rPr>
            <w:noProof/>
            <w:webHidden/>
          </w:rPr>
        </w:r>
        <w:r>
          <w:rPr>
            <w:noProof/>
            <w:webHidden/>
          </w:rPr>
          <w:fldChar w:fldCharType="separate"/>
        </w:r>
        <w:r>
          <w:rPr>
            <w:noProof/>
            <w:webHidden/>
          </w:rPr>
          <w:t>46</w:t>
        </w:r>
        <w:r>
          <w:rPr>
            <w:noProof/>
            <w:webHidden/>
          </w:rPr>
          <w:fldChar w:fldCharType="end"/>
        </w:r>
      </w:hyperlink>
    </w:p>
    <w:p w:rsidR="007E5AAC" w:rsidRDefault="007E5AAC">
      <w:pPr>
        <w:pStyle w:val="TOC5"/>
        <w:tabs>
          <w:tab w:val="left" w:pos="1701"/>
        </w:tabs>
        <w:rPr>
          <w:rFonts w:eastAsiaTheme="minorEastAsia"/>
          <w:noProof/>
          <w:sz w:val="22"/>
          <w:szCs w:val="22"/>
          <w:lang w:eastAsia="ro-RO"/>
        </w:rPr>
      </w:pPr>
      <w:hyperlink w:anchor="_Toc177058411" w:history="1">
        <w:r w:rsidRPr="005B674B">
          <w:rPr>
            <w:rStyle w:val="Hyperlink"/>
            <w:noProof/>
          </w:rPr>
          <w:t>i)</w:t>
        </w:r>
        <w:r>
          <w:rPr>
            <w:rFonts w:eastAsiaTheme="minorEastAsia"/>
            <w:noProof/>
            <w:sz w:val="22"/>
            <w:szCs w:val="22"/>
            <w:lang w:eastAsia="ro-RO"/>
          </w:rPr>
          <w:tab/>
        </w:r>
        <w:r w:rsidRPr="005B674B">
          <w:rPr>
            <w:rStyle w:val="Hyperlink"/>
            <w:noProof/>
          </w:rPr>
          <w:t>Guvernul Turciei</w:t>
        </w:r>
        <w:r>
          <w:rPr>
            <w:noProof/>
            <w:webHidden/>
          </w:rPr>
          <w:tab/>
        </w:r>
        <w:r>
          <w:rPr>
            <w:noProof/>
            <w:webHidden/>
          </w:rPr>
          <w:fldChar w:fldCharType="begin"/>
        </w:r>
        <w:r>
          <w:rPr>
            <w:noProof/>
            <w:webHidden/>
          </w:rPr>
          <w:instrText xml:space="preserve"> PAGEREF _Toc177058411 \h </w:instrText>
        </w:r>
        <w:r>
          <w:rPr>
            <w:noProof/>
            <w:webHidden/>
          </w:rPr>
        </w:r>
        <w:r>
          <w:rPr>
            <w:noProof/>
            <w:webHidden/>
          </w:rPr>
          <w:fldChar w:fldCharType="separate"/>
        </w:r>
        <w:r>
          <w:rPr>
            <w:noProof/>
            <w:webHidden/>
          </w:rPr>
          <w:t>46</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12" w:history="1">
        <w:r w:rsidRPr="005B674B">
          <w:rPr>
            <w:rStyle w:val="Hyperlink"/>
            <w:noProof/>
          </w:rPr>
          <w:t>B.</w:t>
        </w:r>
        <w:r>
          <w:rPr>
            <w:rFonts w:eastAsiaTheme="minorEastAsia"/>
            <w:noProof/>
            <w:sz w:val="22"/>
            <w:szCs w:val="22"/>
            <w:lang w:eastAsia="ro-RO"/>
          </w:rPr>
          <w:tab/>
        </w:r>
        <w:r w:rsidRPr="005B674B">
          <w:rPr>
            <w:rStyle w:val="Hyperlink"/>
            <w:noProof/>
          </w:rPr>
          <w:t>Reclamanții</w:t>
        </w:r>
        <w:r>
          <w:rPr>
            <w:noProof/>
            <w:webHidden/>
          </w:rPr>
          <w:tab/>
        </w:r>
        <w:r>
          <w:rPr>
            <w:noProof/>
            <w:webHidden/>
          </w:rPr>
          <w:fldChar w:fldCharType="begin"/>
        </w:r>
        <w:r>
          <w:rPr>
            <w:noProof/>
            <w:webHidden/>
          </w:rPr>
          <w:instrText xml:space="preserve"> PAGEREF _Toc177058412 \h </w:instrText>
        </w:r>
        <w:r>
          <w:rPr>
            <w:noProof/>
            <w:webHidden/>
          </w:rPr>
        </w:r>
        <w:r>
          <w:rPr>
            <w:noProof/>
            <w:webHidden/>
          </w:rPr>
          <w:fldChar w:fldCharType="separate"/>
        </w:r>
        <w:r>
          <w:rPr>
            <w:noProof/>
            <w:webHidden/>
          </w:rPr>
          <w:t>47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3" w:history="1">
        <w:r w:rsidRPr="005B674B">
          <w:rPr>
            <w:rStyle w:val="Hyperlink"/>
            <w:noProof/>
          </w:rPr>
          <w:t>1.</w:t>
        </w:r>
        <w:r>
          <w:rPr>
            <w:rFonts w:eastAsiaTheme="minorEastAsia"/>
            <w:noProof/>
            <w:sz w:val="22"/>
            <w:szCs w:val="22"/>
            <w:lang w:eastAsia="ro-RO"/>
          </w:rPr>
          <w:tab/>
        </w:r>
        <w:r w:rsidRPr="005B674B">
          <w:rPr>
            <w:rStyle w:val="Hyperlink"/>
            <w:noProof/>
          </w:rPr>
          <w:t>Remarci generale</w:t>
        </w:r>
        <w:r>
          <w:rPr>
            <w:noProof/>
            <w:webHidden/>
          </w:rPr>
          <w:tab/>
        </w:r>
        <w:r>
          <w:rPr>
            <w:noProof/>
            <w:webHidden/>
          </w:rPr>
          <w:fldChar w:fldCharType="begin"/>
        </w:r>
        <w:r>
          <w:rPr>
            <w:noProof/>
            <w:webHidden/>
          </w:rPr>
          <w:instrText xml:space="preserve"> PAGEREF _Toc177058413 \h </w:instrText>
        </w:r>
        <w:r>
          <w:rPr>
            <w:noProof/>
            <w:webHidden/>
          </w:rPr>
        </w:r>
        <w:r>
          <w:rPr>
            <w:noProof/>
            <w:webHidden/>
          </w:rPr>
          <w:fldChar w:fldCharType="separate"/>
        </w:r>
        <w:r>
          <w:rPr>
            <w:noProof/>
            <w:webHidden/>
          </w:rPr>
          <w:t>47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4" w:history="1">
        <w:r w:rsidRPr="005B674B">
          <w:rPr>
            <w:rStyle w:val="Hyperlink"/>
            <w:noProof/>
          </w:rPr>
          <w:t>2.</w:t>
        </w:r>
        <w:r>
          <w:rPr>
            <w:rFonts w:eastAsiaTheme="minorEastAsia"/>
            <w:noProof/>
            <w:sz w:val="22"/>
            <w:szCs w:val="22"/>
            <w:lang w:eastAsia="ro-RO"/>
          </w:rPr>
          <w:tab/>
        </w:r>
        <w:r w:rsidRPr="005B674B">
          <w:rPr>
            <w:rStyle w:val="Hyperlink"/>
            <w:noProof/>
          </w:rPr>
          <w:t>Cu privire la jurisdicție</w:t>
        </w:r>
        <w:r>
          <w:rPr>
            <w:noProof/>
            <w:webHidden/>
          </w:rPr>
          <w:tab/>
        </w:r>
        <w:r>
          <w:rPr>
            <w:noProof/>
            <w:webHidden/>
          </w:rPr>
          <w:fldChar w:fldCharType="begin"/>
        </w:r>
        <w:r>
          <w:rPr>
            <w:noProof/>
            <w:webHidden/>
          </w:rPr>
          <w:instrText xml:space="preserve"> PAGEREF _Toc177058414 \h </w:instrText>
        </w:r>
        <w:r>
          <w:rPr>
            <w:noProof/>
            <w:webHidden/>
          </w:rPr>
        </w:r>
        <w:r>
          <w:rPr>
            <w:noProof/>
            <w:webHidden/>
          </w:rPr>
          <w:fldChar w:fldCharType="separate"/>
        </w:r>
        <w:r>
          <w:rPr>
            <w:noProof/>
            <w:webHidden/>
          </w:rPr>
          <w:t>47</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5" w:history="1">
        <w:r w:rsidRPr="005B674B">
          <w:rPr>
            <w:rStyle w:val="Hyperlink"/>
            <w:noProof/>
          </w:rPr>
          <w:t>3.</w:t>
        </w:r>
        <w:r>
          <w:rPr>
            <w:rFonts w:eastAsiaTheme="minorEastAsia"/>
            <w:noProof/>
            <w:sz w:val="22"/>
            <w:szCs w:val="22"/>
            <w:lang w:eastAsia="ro-RO"/>
          </w:rPr>
          <w:tab/>
        </w:r>
        <w:r w:rsidRPr="005B674B">
          <w:rPr>
            <w:rStyle w:val="Hyperlink"/>
            <w:noProof/>
          </w:rPr>
          <w:t>Cu privire la epuizarea căilor de atac interne</w:t>
        </w:r>
        <w:r>
          <w:rPr>
            <w:noProof/>
            <w:webHidden/>
          </w:rPr>
          <w:tab/>
        </w:r>
        <w:r>
          <w:rPr>
            <w:noProof/>
            <w:webHidden/>
          </w:rPr>
          <w:fldChar w:fldCharType="begin"/>
        </w:r>
        <w:r>
          <w:rPr>
            <w:noProof/>
            <w:webHidden/>
          </w:rPr>
          <w:instrText xml:space="preserve"> PAGEREF _Toc177058415 \h </w:instrText>
        </w:r>
        <w:r>
          <w:rPr>
            <w:noProof/>
            <w:webHidden/>
          </w:rPr>
        </w:r>
        <w:r>
          <w:rPr>
            <w:noProof/>
            <w:webHidden/>
          </w:rPr>
          <w:fldChar w:fldCharType="separate"/>
        </w:r>
        <w:r>
          <w:rPr>
            <w:noProof/>
            <w:webHidden/>
          </w:rPr>
          <w:t>50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6" w:history="1">
        <w:r w:rsidRPr="005B674B">
          <w:rPr>
            <w:rStyle w:val="Hyperlink"/>
            <w:noProof/>
          </w:rPr>
          <w:t>4.</w:t>
        </w:r>
        <w:r>
          <w:rPr>
            <w:rFonts w:eastAsiaTheme="minorEastAsia"/>
            <w:noProof/>
            <w:sz w:val="22"/>
            <w:szCs w:val="22"/>
            <w:lang w:eastAsia="ro-RO"/>
          </w:rPr>
          <w:tab/>
        </w:r>
        <w:r w:rsidRPr="005B674B">
          <w:rPr>
            <w:rStyle w:val="Hyperlink"/>
            <w:noProof/>
          </w:rPr>
          <w:t>Cu privire la calitatea de victimă</w:t>
        </w:r>
        <w:r>
          <w:rPr>
            <w:noProof/>
            <w:webHidden/>
          </w:rPr>
          <w:tab/>
        </w:r>
        <w:r>
          <w:rPr>
            <w:noProof/>
            <w:webHidden/>
          </w:rPr>
          <w:fldChar w:fldCharType="begin"/>
        </w:r>
        <w:r>
          <w:rPr>
            <w:noProof/>
            <w:webHidden/>
          </w:rPr>
          <w:instrText xml:space="preserve"> PAGEREF _Toc177058416 \h </w:instrText>
        </w:r>
        <w:r>
          <w:rPr>
            <w:noProof/>
            <w:webHidden/>
          </w:rPr>
        </w:r>
        <w:r>
          <w:rPr>
            <w:noProof/>
            <w:webHidden/>
          </w:rPr>
          <w:fldChar w:fldCharType="separate"/>
        </w:r>
        <w:r>
          <w:rPr>
            <w:noProof/>
            <w:webHidden/>
          </w:rPr>
          <w:t>52</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17" w:history="1">
        <w:r w:rsidRPr="005B674B">
          <w:rPr>
            <w:rStyle w:val="Hyperlink"/>
            <w:noProof/>
          </w:rPr>
          <w:t>C.</w:t>
        </w:r>
        <w:r>
          <w:rPr>
            <w:rFonts w:eastAsiaTheme="minorEastAsia"/>
            <w:noProof/>
            <w:sz w:val="22"/>
            <w:szCs w:val="22"/>
            <w:lang w:eastAsia="ro-RO"/>
          </w:rPr>
          <w:tab/>
        </w:r>
        <w:r w:rsidRPr="005B674B">
          <w:rPr>
            <w:rStyle w:val="Hyperlink"/>
            <w:noProof/>
          </w:rPr>
          <w:t>Terții intervenienți</w:t>
        </w:r>
        <w:r>
          <w:rPr>
            <w:noProof/>
            <w:webHidden/>
          </w:rPr>
          <w:tab/>
        </w:r>
        <w:r>
          <w:rPr>
            <w:noProof/>
            <w:webHidden/>
          </w:rPr>
          <w:fldChar w:fldCharType="begin"/>
        </w:r>
        <w:r>
          <w:rPr>
            <w:noProof/>
            <w:webHidden/>
          </w:rPr>
          <w:instrText xml:space="preserve"> PAGEREF _Toc177058417 \h </w:instrText>
        </w:r>
        <w:r>
          <w:rPr>
            <w:noProof/>
            <w:webHidden/>
          </w:rPr>
        </w:r>
        <w:r>
          <w:rPr>
            <w:noProof/>
            <w:webHidden/>
          </w:rPr>
          <w:fldChar w:fldCharType="separate"/>
        </w:r>
        <w:r>
          <w:rPr>
            <w:noProof/>
            <w:webHidden/>
          </w:rPr>
          <w:t>52</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8" w:history="1">
        <w:r w:rsidRPr="005B674B">
          <w:rPr>
            <w:rStyle w:val="Hyperlink"/>
            <w:noProof/>
          </w:rPr>
          <w:t>1.</w:t>
        </w:r>
        <w:r>
          <w:rPr>
            <w:rFonts w:eastAsiaTheme="minorEastAsia"/>
            <w:noProof/>
            <w:sz w:val="22"/>
            <w:szCs w:val="22"/>
            <w:lang w:eastAsia="ro-RO"/>
          </w:rPr>
          <w:tab/>
        </w:r>
        <w:r w:rsidRPr="005B674B">
          <w:rPr>
            <w:rStyle w:val="Hyperlink"/>
            <w:noProof/>
          </w:rPr>
          <w:t>Comisarul pentru Drepturile Omului al Consiliului Europei</w:t>
        </w:r>
        <w:r>
          <w:rPr>
            <w:noProof/>
            <w:webHidden/>
          </w:rPr>
          <w:tab/>
        </w:r>
        <w:r>
          <w:rPr>
            <w:noProof/>
            <w:webHidden/>
          </w:rPr>
          <w:fldChar w:fldCharType="begin"/>
        </w:r>
        <w:r>
          <w:rPr>
            <w:noProof/>
            <w:webHidden/>
          </w:rPr>
          <w:instrText xml:space="preserve"> PAGEREF _Toc177058418 \h </w:instrText>
        </w:r>
        <w:r>
          <w:rPr>
            <w:noProof/>
            <w:webHidden/>
          </w:rPr>
        </w:r>
        <w:r>
          <w:rPr>
            <w:noProof/>
            <w:webHidden/>
          </w:rPr>
          <w:fldChar w:fldCharType="separate"/>
        </w:r>
        <w:r>
          <w:rPr>
            <w:noProof/>
            <w:webHidden/>
          </w:rPr>
          <w:t>52</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19" w:history="1">
        <w:r w:rsidRPr="005B674B">
          <w:rPr>
            <w:rStyle w:val="Hyperlink"/>
            <w:noProof/>
          </w:rPr>
          <w:t>2.</w:t>
        </w:r>
        <w:r>
          <w:rPr>
            <w:rFonts w:eastAsiaTheme="minorEastAsia"/>
            <w:noProof/>
            <w:sz w:val="22"/>
            <w:szCs w:val="22"/>
            <w:lang w:eastAsia="ro-RO"/>
          </w:rPr>
          <w:tab/>
        </w:r>
        <w:r w:rsidRPr="005B674B">
          <w:rPr>
            <w:rStyle w:val="Hyperlink"/>
            <w:noProof/>
          </w:rPr>
          <w:t>Uniunea Europeană</w:t>
        </w:r>
        <w:r>
          <w:rPr>
            <w:noProof/>
            <w:webHidden/>
          </w:rPr>
          <w:tab/>
        </w:r>
        <w:r>
          <w:rPr>
            <w:noProof/>
            <w:webHidden/>
          </w:rPr>
          <w:fldChar w:fldCharType="begin"/>
        </w:r>
        <w:r>
          <w:rPr>
            <w:noProof/>
            <w:webHidden/>
          </w:rPr>
          <w:instrText xml:space="preserve"> PAGEREF _Toc177058419 \h </w:instrText>
        </w:r>
        <w:r>
          <w:rPr>
            <w:noProof/>
            <w:webHidden/>
          </w:rPr>
        </w:r>
        <w:r>
          <w:rPr>
            <w:noProof/>
            <w:webHidden/>
          </w:rPr>
          <w:fldChar w:fldCharType="separate"/>
        </w:r>
        <w:r>
          <w:rPr>
            <w:noProof/>
            <w:webHidden/>
          </w:rPr>
          <w:t>54</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0" w:history="1">
        <w:r w:rsidRPr="005B674B">
          <w:rPr>
            <w:rStyle w:val="Hyperlink"/>
            <w:noProof/>
          </w:rPr>
          <w:t>3.</w:t>
        </w:r>
        <w:r>
          <w:rPr>
            <w:rFonts w:eastAsiaTheme="minorEastAsia"/>
            <w:noProof/>
            <w:sz w:val="22"/>
            <w:szCs w:val="22"/>
            <w:lang w:eastAsia="ro-RO"/>
          </w:rPr>
          <w:tab/>
        </w:r>
        <w:r w:rsidRPr="005B674B">
          <w:rPr>
            <w:rStyle w:val="Hyperlink"/>
            <w:noProof/>
          </w:rPr>
          <w:t>Raportorul special al ONU privind drepturile omului și mediu, precum și Raportorul special al ONU privind substanțele toxice și drepturile omului</w:t>
        </w:r>
        <w:r>
          <w:rPr>
            <w:noProof/>
            <w:webHidden/>
          </w:rPr>
          <w:tab/>
        </w:r>
        <w:r>
          <w:rPr>
            <w:noProof/>
            <w:webHidden/>
          </w:rPr>
          <w:fldChar w:fldCharType="begin"/>
        </w:r>
        <w:r>
          <w:rPr>
            <w:noProof/>
            <w:webHidden/>
          </w:rPr>
          <w:instrText xml:space="preserve"> PAGEREF _Toc177058420 \h </w:instrText>
        </w:r>
        <w:r>
          <w:rPr>
            <w:noProof/>
            <w:webHidden/>
          </w:rPr>
        </w:r>
        <w:r>
          <w:rPr>
            <w:noProof/>
            <w:webHidden/>
          </w:rPr>
          <w:fldChar w:fldCharType="separate"/>
        </w:r>
        <w:r>
          <w:rPr>
            <w:noProof/>
            <w:webHidden/>
          </w:rPr>
          <w:t>54</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1" w:history="1">
        <w:r w:rsidRPr="005B674B">
          <w:rPr>
            <w:rStyle w:val="Hyperlink"/>
            <w:noProof/>
          </w:rPr>
          <w:t>4.</w:t>
        </w:r>
        <w:r>
          <w:rPr>
            <w:rFonts w:eastAsiaTheme="minorEastAsia"/>
            <w:noProof/>
            <w:sz w:val="22"/>
            <w:szCs w:val="22"/>
            <w:lang w:eastAsia="ro-RO"/>
          </w:rPr>
          <w:tab/>
        </w:r>
        <w:r w:rsidRPr="005B674B">
          <w:rPr>
            <w:rStyle w:val="Hyperlink"/>
            <w:noProof/>
          </w:rPr>
          <w:t>Rețeaua Europeană a Instituțiilor Naționale pentru Drepturile Omului (European Network of National Human Rights Institutions - ENNHRI)</w:t>
        </w:r>
        <w:r>
          <w:rPr>
            <w:noProof/>
            <w:webHidden/>
          </w:rPr>
          <w:tab/>
        </w:r>
        <w:r>
          <w:rPr>
            <w:noProof/>
            <w:webHidden/>
          </w:rPr>
          <w:fldChar w:fldCharType="begin"/>
        </w:r>
        <w:r>
          <w:rPr>
            <w:noProof/>
            <w:webHidden/>
          </w:rPr>
          <w:instrText xml:space="preserve"> PAGEREF _Toc177058421 \h </w:instrText>
        </w:r>
        <w:r>
          <w:rPr>
            <w:noProof/>
            <w:webHidden/>
          </w:rPr>
        </w:r>
        <w:r>
          <w:rPr>
            <w:noProof/>
            <w:webHidden/>
          </w:rPr>
          <w:fldChar w:fldCharType="separate"/>
        </w:r>
        <w:r>
          <w:rPr>
            <w:noProof/>
            <w:webHidden/>
          </w:rPr>
          <w:t>55</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2" w:history="1">
        <w:r w:rsidRPr="005B674B">
          <w:rPr>
            <w:rStyle w:val="Hyperlink"/>
            <w:noProof/>
          </w:rPr>
          <w:t>5.</w:t>
        </w:r>
        <w:r>
          <w:rPr>
            <w:rFonts w:eastAsiaTheme="minorEastAsia"/>
            <w:noProof/>
            <w:sz w:val="22"/>
            <w:szCs w:val="22"/>
            <w:lang w:eastAsia="ro-RO"/>
          </w:rPr>
          <w:tab/>
        </w:r>
        <w:r w:rsidRPr="005B674B">
          <w:rPr>
            <w:rStyle w:val="Hyperlink"/>
            <w:noProof/>
          </w:rPr>
          <w:t>Save the Children International</w:t>
        </w:r>
        <w:r>
          <w:rPr>
            <w:noProof/>
            <w:webHidden/>
          </w:rPr>
          <w:tab/>
        </w:r>
        <w:r>
          <w:rPr>
            <w:noProof/>
            <w:webHidden/>
          </w:rPr>
          <w:fldChar w:fldCharType="begin"/>
        </w:r>
        <w:r>
          <w:rPr>
            <w:noProof/>
            <w:webHidden/>
          </w:rPr>
          <w:instrText xml:space="preserve"> PAGEREF _Toc177058422 \h </w:instrText>
        </w:r>
        <w:r>
          <w:rPr>
            <w:noProof/>
            <w:webHidden/>
          </w:rPr>
        </w:r>
        <w:r>
          <w:rPr>
            <w:noProof/>
            <w:webHidden/>
          </w:rPr>
          <w:fldChar w:fldCharType="separate"/>
        </w:r>
        <w:r>
          <w:rPr>
            <w:noProof/>
            <w:webHidden/>
          </w:rPr>
          <w:t>56</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3" w:history="1">
        <w:r w:rsidRPr="005B674B">
          <w:rPr>
            <w:rStyle w:val="Hyperlink"/>
            <w:noProof/>
          </w:rPr>
          <w:t>6.</w:t>
        </w:r>
        <w:r>
          <w:rPr>
            <w:rFonts w:eastAsiaTheme="minorEastAsia"/>
            <w:noProof/>
            <w:sz w:val="22"/>
            <w:szCs w:val="22"/>
            <w:lang w:eastAsia="ro-RO"/>
          </w:rPr>
          <w:tab/>
        </w:r>
        <w:r w:rsidRPr="005B674B">
          <w:rPr>
            <w:rStyle w:val="Hyperlink"/>
            <w:noProof/>
          </w:rPr>
          <w:t>Climate Action Network Europe (CAN-E)</w:t>
        </w:r>
        <w:r>
          <w:rPr>
            <w:noProof/>
            <w:webHidden/>
          </w:rPr>
          <w:tab/>
        </w:r>
        <w:r>
          <w:rPr>
            <w:noProof/>
            <w:webHidden/>
          </w:rPr>
          <w:fldChar w:fldCharType="begin"/>
        </w:r>
        <w:r>
          <w:rPr>
            <w:noProof/>
            <w:webHidden/>
          </w:rPr>
          <w:instrText xml:space="preserve"> PAGEREF _Toc177058423 \h </w:instrText>
        </w:r>
        <w:r>
          <w:rPr>
            <w:noProof/>
            <w:webHidden/>
          </w:rPr>
        </w:r>
        <w:r>
          <w:rPr>
            <w:noProof/>
            <w:webHidden/>
          </w:rPr>
          <w:fldChar w:fldCharType="separate"/>
        </w:r>
        <w:r>
          <w:rPr>
            <w:noProof/>
            <w:webHidden/>
          </w:rPr>
          <w:t>56</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4" w:history="1">
        <w:r w:rsidRPr="005B674B">
          <w:rPr>
            <w:rStyle w:val="Hyperlink"/>
            <w:noProof/>
          </w:rPr>
          <w:t>7.</w:t>
        </w:r>
        <w:r>
          <w:rPr>
            <w:rFonts w:eastAsiaTheme="minorEastAsia"/>
            <w:noProof/>
            <w:sz w:val="22"/>
            <w:szCs w:val="22"/>
            <w:lang w:eastAsia="ro-RO"/>
          </w:rPr>
          <w:tab/>
        </w:r>
        <w:r w:rsidRPr="005B674B">
          <w:rPr>
            <w:rStyle w:val="Hyperlink"/>
            <w:noProof/>
          </w:rPr>
          <w:t xml:space="preserve">Extraterritorial Obligations Consortium (ETO), Amnesty International, Centrul pentru Studii Juridice și Sociale (Centro de Estudios Legales y Sociales), Center for Transnational Environmental Accountability („CTEA”), Economic and Social Rights Centre (Hakijamii), FIAN International, Great Lakes Initiative for Human Rights and Development („GLIHD”), profesorii universitari Mark Gibney, Sigrun Skogly, Wouter Vandenhole și Jingjing Zhang, profesorii doctori Gamze Erdem Türkelli, Nicolás Carillo-Santarelli, Jernej Letnar Černič, Tom </w:t>
        </w:r>
        <w:r w:rsidRPr="005B674B">
          <w:rPr>
            <w:rStyle w:val="Hyperlink"/>
            <w:noProof/>
          </w:rPr>
          <w:lastRenderedPageBreak/>
          <w:t>Mulisa, Nicholas Orago și Sara Seck și Grupul de cercetare în drept și dezvoltare al Universității din Anvers</w:t>
        </w:r>
        <w:r>
          <w:rPr>
            <w:noProof/>
            <w:webHidden/>
          </w:rPr>
          <w:tab/>
        </w:r>
        <w:r>
          <w:rPr>
            <w:noProof/>
            <w:webHidden/>
          </w:rPr>
          <w:fldChar w:fldCharType="begin"/>
        </w:r>
        <w:r>
          <w:rPr>
            <w:noProof/>
            <w:webHidden/>
          </w:rPr>
          <w:instrText xml:space="preserve"> PAGEREF _Toc177058424 \h </w:instrText>
        </w:r>
        <w:r>
          <w:rPr>
            <w:noProof/>
            <w:webHidden/>
          </w:rPr>
        </w:r>
        <w:r>
          <w:rPr>
            <w:noProof/>
            <w:webHidden/>
          </w:rPr>
          <w:fldChar w:fldCharType="separate"/>
        </w:r>
        <w:r>
          <w:rPr>
            <w:noProof/>
            <w:webHidden/>
          </w:rPr>
          <w:t>58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5" w:history="1">
        <w:r w:rsidRPr="005B674B">
          <w:rPr>
            <w:rStyle w:val="Hyperlink"/>
            <w:noProof/>
          </w:rPr>
          <w:t>8.</w:t>
        </w:r>
        <w:r>
          <w:rPr>
            <w:rFonts w:eastAsiaTheme="minorEastAsia"/>
            <w:noProof/>
            <w:sz w:val="22"/>
            <w:szCs w:val="22"/>
            <w:lang w:eastAsia="ro-RO"/>
          </w:rPr>
          <w:tab/>
        </w:r>
        <w:r w:rsidRPr="005B674B">
          <w:rPr>
            <w:rStyle w:val="Hyperlink"/>
            <w:noProof/>
          </w:rPr>
          <w:t>Center for International Environmental Law, Greenpeace International și Union of Concerned Scientists</w:t>
        </w:r>
        <w:r>
          <w:rPr>
            <w:noProof/>
            <w:webHidden/>
          </w:rPr>
          <w:tab/>
        </w:r>
        <w:r>
          <w:rPr>
            <w:noProof/>
            <w:webHidden/>
          </w:rPr>
          <w:fldChar w:fldCharType="begin"/>
        </w:r>
        <w:r>
          <w:rPr>
            <w:noProof/>
            <w:webHidden/>
          </w:rPr>
          <w:instrText xml:space="preserve"> PAGEREF _Toc177058425 \h </w:instrText>
        </w:r>
        <w:r>
          <w:rPr>
            <w:noProof/>
            <w:webHidden/>
          </w:rPr>
        </w:r>
        <w:r>
          <w:rPr>
            <w:noProof/>
            <w:webHidden/>
          </w:rPr>
          <w:fldChar w:fldCharType="separate"/>
        </w:r>
        <w:r>
          <w:rPr>
            <w:noProof/>
            <w:webHidden/>
          </w:rPr>
          <w:t>58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6" w:history="1">
        <w:r w:rsidRPr="005B674B">
          <w:rPr>
            <w:rStyle w:val="Hyperlink"/>
            <w:noProof/>
          </w:rPr>
          <w:t>9.</w:t>
        </w:r>
        <w:r>
          <w:rPr>
            <w:rFonts w:eastAsiaTheme="minorEastAsia"/>
            <w:noProof/>
            <w:sz w:val="22"/>
            <w:szCs w:val="22"/>
            <w:lang w:eastAsia="ro-RO"/>
          </w:rPr>
          <w:tab/>
        </w:r>
        <w:r w:rsidRPr="005B674B">
          <w:rPr>
            <w:rStyle w:val="Hyperlink"/>
            <w:noProof/>
          </w:rPr>
          <w:t>International Network for Economic, Social and Cultural Rights („ESCR-Net”)</w:t>
        </w:r>
        <w:r>
          <w:rPr>
            <w:noProof/>
            <w:webHidden/>
          </w:rPr>
          <w:tab/>
        </w:r>
        <w:r>
          <w:rPr>
            <w:noProof/>
            <w:webHidden/>
          </w:rPr>
          <w:fldChar w:fldCharType="begin"/>
        </w:r>
        <w:r>
          <w:rPr>
            <w:noProof/>
            <w:webHidden/>
          </w:rPr>
          <w:instrText xml:space="preserve"> PAGEREF _Toc177058426 \h </w:instrText>
        </w:r>
        <w:r>
          <w:rPr>
            <w:noProof/>
            <w:webHidden/>
          </w:rPr>
        </w:r>
        <w:r>
          <w:rPr>
            <w:noProof/>
            <w:webHidden/>
          </w:rPr>
          <w:fldChar w:fldCharType="separate"/>
        </w:r>
        <w:r>
          <w:rPr>
            <w:noProof/>
            <w:webHidden/>
          </w:rPr>
          <w:t>58</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7" w:history="1">
        <w:r w:rsidRPr="005B674B">
          <w:rPr>
            <w:rStyle w:val="Hyperlink"/>
            <w:noProof/>
          </w:rPr>
          <w:t>10.</w:t>
        </w:r>
        <w:r>
          <w:rPr>
            <w:rFonts w:eastAsiaTheme="minorEastAsia"/>
            <w:noProof/>
            <w:sz w:val="22"/>
            <w:szCs w:val="22"/>
            <w:lang w:eastAsia="ro-RO"/>
          </w:rPr>
          <w:tab/>
        </w:r>
        <w:r w:rsidRPr="005B674B">
          <w:rPr>
            <w:rStyle w:val="Hyperlink"/>
            <w:noProof/>
          </w:rPr>
          <w:t>Proiectul de cercetare ALL-YOUTH și Grupul de cercetare în drept public al Universității din Tampere</w:t>
        </w:r>
        <w:r>
          <w:rPr>
            <w:noProof/>
            <w:webHidden/>
          </w:rPr>
          <w:tab/>
        </w:r>
        <w:r>
          <w:rPr>
            <w:noProof/>
            <w:webHidden/>
          </w:rPr>
          <w:fldChar w:fldCharType="begin"/>
        </w:r>
        <w:r>
          <w:rPr>
            <w:noProof/>
            <w:webHidden/>
          </w:rPr>
          <w:instrText xml:space="preserve"> PAGEREF _Toc177058427 \h </w:instrText>
        </w:r>
        <w:r>
          <w:rPr>
            <w:noProof/>
            <w:webHidden/>
          </w:rPr>
        </w:r>
        <w:r>
          <w:rPr>
            <w:noProof/>
            <w:webHidden/>
          </w:rPr>
          <w:fldChar w:fldCharType="separate"/>
        </w:r>
        <w:r>
          <w:rPr>
            <w:noProof/>
            <w:webHidden/>
          </w:rPr>
          <w:t>59</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8" w:history="1">
        <w:r w:rsidRPr="005B674B">
          <w:rPr>
            <w:rStyle w:val="Hyperlink"/>
            <w:noProof/>
          </w:rPr>
          <w:t>11.</w:t>
        </w:r>
        <w:r>
          <w:rPr>
            <w:rFonts w:eastAsiaTheme="minorEastAsia"/>
            <w:noProof/>
            <w:sz w:val="22"/>
            <w:szCs w:val="22"/>
            <w:lang w:eastAsia="ro-RO"/>
          </w:rPr>
          <w:tab/>
        </w:r>
        <w:r w:rsidRPr="005B674B">
          <w:rPr>
            <w:rStyle w:val="Hyperlink"/>
            <w:noProof/>
          </w:rPr>
          <w:t>Doamna profesor universitar Christel Cournil și Notre Affaire à Tous („NAAT”)</w:t>
        </w:r>
        <w:r>
          <w:rPr>
            <w:noProof/>
            <w:webHidden/>
          </w:rPr>
          <w:tab/>
        </w:r>
        <w:r>
          <w:rPr>
            <w:noProof/>
            <w:webHidden/>
          </w:rPr>
          <w:fldChar w:fldCharType="begin"/>
        </w:r>
        <w:r>
          <w:rPr>
            <w:noProof/>
            <w:webHidden/>
          </w:rPr>
          <w:instrText xml:space="preserve"> PAGEREF _Toc177058428 \h </w:instrText>
        </w:r>
        <w:r>
          <w:rPr>
            <w:noProof/>
            <w:webHidden/>
          </w:rPr>
        </w:r>
        <w:r>
          <w:rPr>
            <w:noProof/>
            <w:webHidden/>
          </w:rPr>
          <w:fldChar w:fldCharType="separate"/>
        </w:r>
        <w:r>
          <w:rPr>
            <w:noProof/>
            <w:webHidden/>
          </w:rPr>
          <w:t>59</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29" w:history="1">
        <w:r w:rsidRPr="005B674B">
          <w:rPr>
            <w:rStyle w:val="Hyperlink"/>
            <w:noProof/>
          </w:rPr>
          <w:t>12.</w:t>
        </w:r>
        <w:r>
          <w:rPr>
            <w:rFonts w:eastAsiaTheme="minorEastAsia"/>
            <w:noProof/>
            <w:sz w:val="22"/>
            <w:szCs w:val="22"/>
            <w:lang w:eastAsia="ro-RO"/>
          </w:rPr>
          <w:tab/>
        </w:r>
        <w:r w:rsidRPr="005B674B">
          <w:rPr>
            <w:rStyle w:val="Hyperlink"/>
            <w:noProof/>
          </w:rPr>
          <w:t>Our Children’s Trust (OCT), Oxfam International și afiliații (Oxfam), Centre for Climate Repair din cadrul Universității din Cambridge și Centre for Child Law din cadrul Universității din Pretoria</w:t>
        </w:r>
        <w:r>
          <w:rPr>
            <w:noProof/>
            <w:webHidden/>
          </w:rPr>
          <w:tab/>
        </w:r>
        <w:r>
          <w:rPr>
            <w:noProof/>
            <w:webHidden/>
          </w:rPr>
          <w:fldChar w:fldCharType="begin"/>
        </w:r>
        <w:r>
          <w:rPr>
            <w:noProof/>
            <w:webHidden/>
          </w:rPr>
          <w:instrText xml:space="preserve"> PAGEREF _Toc177058429 \h </w:instrText>
        </w:r>
        <w:r>
          <w:rPr>
            <w:noProof/>
            <w:webHidden/>
          </w:rPr>
        </w:r>
        <w:r>
          <w:rPr>
            <w:noProof/>
            <w:webHidden/>
          </w:rPr>
          <w:fldChar w:fldCharType="separate"/>
        </w:r>
        <w:r>
          <w:rPr>
            <w:noProof/>
            <w:webHidden/>
          </w:rPr>
          <w:t>59</w:t>
        </w:r>
        <w:r>
          <w:rPr>
            <w:noProof/>
            <w:webHidden/>
          </w:rPr>
          <w:fldChar w:fldCharType="end"/>
        </w:r>
      </w:hyperlink>
    </w:p>
    <w:p w:rsidR="007E5AAC" w:rsidRDefault="007E5AAC">
      <w:pPr>
        <w:pStyle w:val="TOC2"/>
        <w:tabs>
          <w:tab w:val="left" w:pos="1020"/>
        </w:tabs>
        <w:rPr>
          <w:rFonts w:eastAsiaTheme="minorEastAsia"/>
          <w:noProof/>
          <w:szCs w:val="22"/>
          <w:lang w:eastAsia="ro-RO"/>
        </w:rPr>
      </w:pPr>
      <w:hyperlink w:anchor="_Toc177058430" w:history="1">
        <w:r w:rsidRPr="005B674B">
          <w:rPr>
            <w:rStyle w:val="Hyperlink"/>
            <w:noProof/>
          </w:rPr>
          <w:t>II.</w:t>
        </w:r>
        <w:r>
          <w:rPr>
            <w:rFonts w:eastAsiaTheme="minorEastAsia"/>
            <w:noProof/>
            <w:szCs w:val="22"/>
            <w:lang w:eastAsia="ro-RO"/>
          </w:rPr>
          <w:tab/>
        </w:r>
        <w:r w:rsidRPr="005B674B">
          <w:rPr>
            <w:rStyle w:val="Hyperlink"/>
            <w:noProof/>
          </w:rPr>
          <w:t>MOTIVAREA CURȚII</w:t>
        </w:r>
        <w:r>
          <w:rPr>
            <w:noProof/>
            <w:webHidden/>
          </w:rPr>
          <w:tab/>
        </w:r>
        <w:r>
          <w:rPr>
            <w:noProof/>
            <w:webHidden/>
          </w:rPr>
          <w:fldChar w:fldCharType="begin"/>
        </w:r>
        <w:r>
          <w:rPr>
            <w:noProof/>
            <w:webHidden/>
          </w:rPr>
          <w:instrText xml:space="preserve"> PAGEREF _Toc177058430 \h </w:instrText>
        </w:r>
        <w:r>
          <w:rPr>
            <w:noProof/>
            <w:webHidden/>
          </w:rPr>
        </w:r>
        <w:r>
          <w:rPr>
            <w:noProof/>
            <w:webHidden/>
          </w:rPr>
          <w:fldChar w:fldCharType="separate"/>
        </w:r>
        <w:r>
          <w:rPr>
            <w:noProof/>
            <w:webHidden/>
          </w:rPr>
          <w:t>60</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31" w:history="1">
        <w:r w:rsidRPr="005B674B">
          <w:rPr>
            <w:rStyle w:val="Hyperlink"/>
            <w:noProof/>
          </w:rPr>
          <w:t>A.</w:t>
        </w:r>
        <w:r>
          <w:rPr>
            <w:rFonts w:eastAsiaTheme="minorEastAsia"/>
            <w:noProof/>
            <w:sz w:val="22"/>
            <w:szCs w:val="22"/>
            <w:lang w:eastAsia="ro-RO"/>
          </w:rPr>
          <w:tab/>
        </w:r>
        <w:r w:rsidRPr="005B674B">
          <w:rPr>
            <w:rStyle w:val="Hyperlink"/>
            <w:noProof/>
          </w:rPr>
          <w:t>Chestiuni preliminare</w:t>
        </w:r>
        <w:r>
          <w:rPr>
            <w:noProof/>
            <w:webHidden/>
          </w:rPr>
          <w:tab/>
        </w:r>
        <w:r>
          <w:rPr>
            <w:noProof/>
            <w:webHidden/>
          </w:rPr>
          <w:fldChar w:fldCharType="begin"/>
        </w:r>
        <w:r>
          <w:rPr>
            <w:noProof/>
            <w:webHidden/>
          </w:rPr>
          <w:instrText xml:space="preserve"> PAGEREF _Toc177058431 \h </w:instrText>
        </w:r>
        <w:r>
          <w:rPr>
            <w:noProof/>
            <w:webHidden/>
          </w:rPr>
        </w:r>
        <w:r>
          <w:rPr>
            <w:noProof/>
            <w:webHidden/>
          </w:rPr>
          <w:fldChar w:fldCharType="separate"/>
        </w:r>
        <w:r>
          <w:rPr>
            <w:noProof/>
            <w:webHidden/>
          </w:rPr>
          <w:t>60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32" w:history="1">
        <w:r w:rsidRPr="005B674B">
          <w:rPr>
            <w:rStyle w:val="Hyperlink"/>
            <w:noProof/>
          </w:rPr>
          <w:t>1.</w:t>
        </w:r>
        <w:r>
          <w:rPr>
            <w:rFonts w:eastAsiaTheme="minorEastAsia"/>
            <w:noProof/>
            <w:sz w:val="22"/>
            <w:szCs w:val="22"/>
            <w:lang w:eastAsia="ro-RO"/>
          </w:rPr>
          <w:tab/>
        </w:r>
        <w:r w:rsidRPr="005B674B">
          <w:rPr>
            <w:rStyle w:val="Hyperlink"/>
            <w:noProof/>
          </w:rPr>
          <w:t>Cererea îndreptată împotriva Ucrainei</w:t>
        </w:r>
        <w:r>
          <w:rPr>
            <w:noProof/>
            <w:webHidden/>
          </w:rPr>
          <w:tab/>
        </w:r>
        <w:r>
          <w:rPr>
            <w:noProof/>
            <w:webHidden/>
          </w:rPr>
          <w:fldChar w:fldCharType="begin"/>
        </w:r>
        <w:r>
          <w:rPr>
            <w:noProof/>
            <w:webHidden/>
          </w:rPr>
          <w:instrText xml:space="preserve"> PAGEREF _Toc177058432 \h </w:instrText>
        </w:r>
        <w:r>
          <w:rPr>
            <w:noProof/>
            <w:webHidden/>
          </w:rPr>
        </w:r>
        <w:r>
          <w:rPr>
            <w:noProof/>
            <w:webHidden/>
          </w:rPr>
          <w:fldChar w:fldCharType="separate"/>
        </w:r>
        <w:r>
          <w:rPr>
            <w:noProof/>
            <w:webHidden/>
          </w:rPr>
          <w:t>60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33" w:history="1">
        <w:r w:rsidRPr="005B674B">
          <w:rPr>
            <w:rStyle w:val="Hyperlink"/>
            <w:noProof/>
          </w:rPr>
          <w:t>2.</w:t>
        </w:r>
        <w:r>
          <w:rPr>
            <w:rFonts w:eastAsiaTheme="minorEastAsia"/>
            <w:noProof/>
            <w:sz w:val="22"/>
            <w:szCs w:val="22"/>
            <w:lang w:eastAsia="ro-RO"/>
          </w:rPr>
          <w:tab/>
        </w:r>
        <w:r w:rsidRPr="005B674B">
          <w:rPr>
            <w:rStyle w:val="Hyperlink"/>
            <w:noProof/>
          </w:rPr>
          <w:t>Cererea îndreptată împotriva Federației Ruse</w:t>
        </w:r>
        <w:r>
          <w:rPr>
            <w:noProof/>
            <w:webHidden/>
          </w:rPr>
          <w:tab/>
        </w:r>
        <w:r>
          <w:rPr>
            <w:noProof/>
            <w:webHidden/>
          </w:rPr>
          <w:fldChar w:fldCharType="begin"/>
        </w:r>
        <w:r>
          <w:rPr>
            <w:noProof/>
            <w:webHidden/>
          </w:rPr>
          <w:instrText xml:space="preserve"> PAGEREF _Toc177058433 \h </w:instrText>
        </w:r>
        <w:r>
          <w:rPr>
            <w:noProof/>
            <w:webHidden/>
          </w:rPr>
        </w:r>
        <w:r>
          <w:rPr>
            <w:noProof/>
            <w:webHidden/>
          </w:rPr>
          <w:fldChar w:fldCharType="separate"/>
        </w:r>
        <w:r>
          <w:rPr>
            <w:noProof/>
            <w:webHidden/>
          </w:rPr>
          <w:t>61</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34" w:history="1">
        <w:r w:rsidRPr="005B674B">
          <w:rPr>
            <w:rStyle w:val="Hyperlink"/>
            <w:noProof/>
          </w:rPr>
          <w:t>B.</w:t>
        </w:r>
        <w:r>
          <w:rPr>
            <w:rFonts w:eastAsiaTheme="minorEastAsia"/>
            <w:noProof/>
            <w:sz w:val="22"/>
            <w:szCs w:val="22"/>
            <w:lang w:eastAsia="ro-RO"/>
          </w:rPr>
          <w:tab/>
        </w:r>
        <w:r w:rsidRPr="005B674B">
          <w:rPr>
            <w:rStyle w:val="Hyperlink"/>
            <w:noProof/>
          </w:rPr>
          <w:t>Observații introductive privind chestiunile de drept ridicate în fața Curții</w:t>
        </w:r>
        <w:r>
          <w:rPr>
            <w:noProof/>
            <w:webHidden/>
          </w:rPr>
          <w:tab/>
        </w:r>
        <w:r>
          <w:rPr>
            <w:noProof/>
            <w:webHidden/>
          </w:rPr>
          <w:fldChar w:fldCharType="begin"/>
        </w:r>
        <w:r>
          <w:rPr>
            <w:noProof/>
            <w:webHidden/>
          </w:rPr>
          <w:instrText xml:space="preserve"> PAGEREF _Toc177058434 \h </w:instrText>
        </w:r>
        <w:r>
          <w:rPr>
            <w:noProof/>
            <w:webHidden/>
          </w:rPr>
        </w:r>
        <w:r>
          <w:rPr>
            <w:noProof/>
            <w:webHidden/>
          </w:rPr>
          <w:fldChar w:fldCharType="separate"/>
        </w:r>
        <w:r>
          <w:rPr>
            <w:noProof/>
            <w:webHidden/>
          </w:rPr>
          <w:t>62</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35" w:history="1">
        <w:r w:rsidRPr="005B674B">
          <w:rPr>
            <w:rStyle w:val="Hyperlink"/>
            <w:noProof/>
          </w:rPr>
          <w:t>C.</w:t>
        </w:r>
        <w:r>
          <w:rPr>
            <w:rFonts w:eastAsiaTheme="minorEastAsia"/>
            <w:noProof/>
            <w:sz w:val="22"/>
            <w:szCs w:val="22"/>
            <w:lang w:eastAsia="ro-RO"/>
          </w:rPr>
          <w:tab/>
        </w:r>
        <w:r w:rsidRPr="005B674B">
          <w:rPr>
            <w:rStyle w:val="Hyperlink"/>
            <w:noProof/>
          </w:rPr>
          <w:t>Cu privire la jurisdicție</w:t>
        </w:r>
        <w:r>
          <w:rPr>
            <w:noProof/>
            <w:webHidden/>
          </w:rPr>
          <w:tab/>
        </w:r>
        <w:r>
          <w:rPr>
            <w:noProof/>
            <w:webHidden/>
          </w:rPr>
          <w:fldChar w:fldCharType="begin"/>
        </w:r>
        <w:r>
          <w:rPr>
            <w:noProof/>
            <w:webHidden/>
          </w:rPr>
          <w:instrText xml:space="preserve"> PAGEREF _Toc177058435 \h </w:instrText>
        </w:r>
        <w:r>
          <w:rPr>
            <w:noProof/>
            <w:webHidden/>
          </w:rPr>
        </w:r>
        <w:r>
          <w:rPr>
            <w:noProof/>
            <w:webHidden/>
          </w:rPr>
          <w:fldChar w:fldCharType="separate"/>
        </w:r>
        <w:r>
          <w:rPr>
            <w:noProof/>
            <w:webHidden/>
          </w:rPr>
          <w:t>62</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36" w:history="1">
        <w:r w:rsidRPr="005B674B">
          <w:rPr>
            <w:rStyle w:val="Hyperlink"/>
            <w:noProof/>
          </w:rPr>
          <w:t>1.</w:t>
        </w:r>
        <w:r>
          <w:rPr>
            <w:rFonts w:eastAsiaTheme="minorEastAsia"/>
            <w:noProof/>
            <w:sz w:val="22"/>
            <w:szCs w:val="22"/>
            <w:lang w:eastAsia="ro-RO"/>
          </w:rPr>
          <w:tab/>
        </w:r>
        <w:r w:rsidRPr="005B674B">
          <w:rPr>
            <w:rStyle w:val="Hyperlink"/>
            <w:noProof/>
          </w:rPr>
          <w:t>Principii generale</w:t>
        </w:r>
        <w:r>
          <w:rPr>
            <w:noProof/>
            <w:webHidden/>
          </w:rPr>
          <w:tab/>
        </w:r>
        <w:r>
          <w:rPr>
            <w:noProof/>
            <w:webHidden/>
          </w:rPr>
          <w:fldChar w:fldCharType="begin"/>
        </w:r>
        <w:r>
          <w:rPr>
            <w:noProof/>
            <w:webHidden/>
          </w:rPr>
          <w:instrText xml:space="preserve"> PAGEREF _Toc177058436 \h </w:instrText>
        </w:r>
        <w:r>
          <w:rPr>
            <w:noProof/>
            <w:webHidden/>
          </w:rPr>
        </w:r>
        <w:r>
          <w:rPr>
            <w:noProof/>
            <w:webHidden/>
          </w:rPr>
          <w:fldChar w:fldCharType="separate"/>
        </w:r>
        <w:r>
          <w:rPr>
            <w:noProof/>
            <w:webHidden/>
          </w:rPr>
          <w:t>62</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37" w:history="1">
        <w:r w:rsidRPr="005B674B">
          <w:rPr>
            <w:rStyle w:val="Hyperlink"/>
            <w:noProof/>
          </w:rPr>
          <w:t>2.</w:t>
        </w:r>
        <w:r>
          <w:rPr>
            <w:rFonts w:eastAsiaTheme="minorEastAsia"/>
            <w:noProof/>
            <w:sz w:val="22"/>
            <w:szCs w:val="22"/>
            <w:lang w:eastAsia="ro-RO"/>
          </w:rPr>
          <w:tab/>
        </w:r>
        <w:r w:rsidRPr="005B674B">
          <w:rPr>
            <w:rStyle w:val="Hyperlink"/>
            <w:noProof/>
          </w:rPr>
          <w:t>Aplicarea în prezenta cauză a principiilor și considerațiilor de mai sus</w:t>
        </w:r>
        <w:r>
          <w:rPr>
            <w:noProof/>
            <w:webHidden/>
          </w:rPr>
          <w:tab/>
        </w:r>
        <w:r>
          <w:rPr>
            <w:noProof/>
            <w:webHidden/>
          </w:rPr>
          <w:fldChar w:fldCharType="begin"/>
        </w:r>
        <w:r>
          <w:rPr>
            <w:noProof/>
            <w:webHidden/>
          </w:rPr>
          <w:instrText xml:space="preserve"> PAGEREF _Toc177058437 \h </w:instrText>
        </w:r>
        <w:r>
          <w:rPr>
            <w:noProof/>
            <w:webHidden/>
          </w:rPr>
        </w:r>
        <w:r>
          <w:rPr>
            <w:noProof/>
            <w:webHidden/>
          </w:rPr>
          <w:fldChar w:fldCharType="separate"/>
        </w:r>
        <w:r>
          <w:rPr>
            <w:noProof/>
            <w:webHidden/>
          </w:rPr>
          <w:t>71</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38" w:history="1">
        <w:r w:rsidRPr="005B674B">
          <w:rPr>
            <w:rStyle w:val="Hyperlink"/>
            <w:noProof/>
          </w:rPr>
          <w:t>a)</w:t>
        </w:r>
        <w:r>
          <w:rPr>
            <w:rFonts w:eastAsiaTheme="minorEastAsia"/>
            <w:noProof/>
            <w:sz w:val="22"/>
            <w:szCs w:val="22"/>
            <w:lang w:eastAsia="ro-RO"/>
          </w:rPr>
          <w:tab/>
        </w:r>
        <w:r w:rsidRPr="005B674B">
          <w:rPr>
            <w:rStyle w:val="Hyperlink"/>
            <w:noProof/>
          </w:rPr>
          <w:t>Cu privire la jurisdicția teritorială</w:t>
        </w:r>
        <w:r>
          <w:rPr>
            <w:noProof/>
            <w:webHidden/>
          </w:rPr>
          <w:tab/>
        </w:r>
        <w:r>
          <w:rPr>
            <w:noProof/>
            <w:webHidden/>
          </w:rPr>
          <w:fldChar w:fldCharType="begin"/>
        </w:r>
        <w:r>
          <w:rPr>
            <w:noProof/>
            <w:webHidden/>
          </w:rPr>
          <w:instrText xml:space="preserve"> PAGEREF _Toc177058438 \h </w:instrText>
        </w:r>
        <w:r>
          <w:rPr>
            <w:noProof/>
            <w:webHidden/>
          </w:rPr>
        </w:r>
        <w:r>
          <w:rPr>
            <w:noProof/>
            <w:webHidden/>
          </w:rPr>
          <w:fldChar w:fldCharType="separate"/>
        </w:r>
        <w:r>
          <w:rPr>
            <w:noProof/>
            <w:webHidden/>
          </w:rPr>
          <w:t>71</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39" w:history="1">
        <w:r w:rsidRPr="005B674B">
          <w:rPr>
            <w:rStyle w:val="Hyperlink"/>
            <w:noProof/>
          </w:rPr>
          <w:t>b)</w:t>
        </w:r>
        <w:r>
          <w:rPr>
            <w:rFonts w:eastAsiaTheme="minorEastAsia"/>
            <w:noProof/>
            <w:sz w:val="22"/>
            <w:szCs w:val="22"/>
            <w:lang w:eastAsia="ro-RO"/>
          </w:rPr>
          <w:tab/>
        </w:r>
        <w:r w:rsidRPr="005B674B">
          <w:rPr>
            <w:rStyle w:val="Hyperlink"/>
            <w:noProof/>
          </w:rPr>
          <w:t>Cu privire la jurisdicția extrateritorială</w:t>
        </w:r>
        <w:r>
          <w:rPr>
            <w:noProof/>
            <w:webHidden/>
          </w:rPr>
          <w:tab/>
        </w:r>
        <w:r>
          <w:rPr>
            <w:noProof/>
            <w:webHidden/>
          </w:rPr>
          <w:fldChar w:fldCharType="begin"/>
        </w:r>
        <w:r>
          <w:rPr>
            <w:noProof/>
            <w:webHidden/>
          </w:rPr>
          <w:instrText xml:space="preserve"> PAGEREF _Toc177058439 \h </w:instrText>
        </w:r>
        <w:r>
          <w:rPr>
            <w:noProof/>
            <w:webHidden/>
          </w:rPr>
        </w:r>
        <w:r>
          <w:rPr>
            <w:noProof/>
            <w:webHidden/>
          </w:rPr>
          <w:fldChar w:fldCharType="separate"/>
        </w:r>
        <w:r>
          <w:rPr>
            <w:noProof/>
            <w:webHidden/>
          </w:rPr>
          <w:t>72</w:t>
        </w:r>
        <w:r>
          <w:rPr>
            <w:noProof/>
            <w:webHidden/>
          </w:rPr>
          <w:fldChar w:fldCharType="end"/>
        </w:r>
      </w:hyperlink>
    </w:p>
    <w:p w:rsidR="007E5AAC" w:rsidRDefault="007E5AAC">
      <w:pPr>
        <w:pStyle w:val="TOC5"/>
        <w:tabs>
          <w:tab w:val="left" w:pos="2041"/>
        </w:tabs>
        <w:rPr>
          <w:rFonts w:eastAsiaTheme="minorEastAsia"/>
          <w:noProof/>
          <w:sz w:val="22"/>
          <w:szCs w:val="22"/>
          <w:lang w:eastAsia="ro-RO"/>
        </w:rPr>
      </w:pPr>
      <w:hyperlink w:anchor="_Toc177058440" w:history="1">
        <w:r w:rsidRPr="005B674B">
          <w:rPr>
            <w:rStyle w:val="Hyperlink"/>
            <w:noProof/>
          </w:rPr>
          <w:t>c)</w:t>
        </w:r>
        <w:r>
          <w:rPr>
            <w:rFonts w:eastAsiaTheme="minorEastAsia"/>
            <w:noProof/>
            <w:sz w:val="22"/>
            <w:szCs w:val="22"/>
            <w:lang w:eastAsia="ro-RO"/>
          </w:rPr>
          <w:tab/>
        </w:r>
        <w:r w:rsidRPr="005B674B">
          <w:rPr>
            <w:rStyle w:val="Hyperlink"/>
            <w:noProof/>
          </w:rPr>
          <w:t>Concluzie</w:t>
        </w:r>
        <w:r>
          <w:rPr>
            <w:noProof/>
            <w:webHidden/>
          </w:rPr>
          <w:tab/>
        </w:r>
        <w:r>
          <w:rPr>
            <w:noProof/>
            <w:webHidden/>
          </w:rPr>
          <w:fldChar w:fldCharType="begin"/>
        </w:r>
        <w:r>
          <w:rPr>
            <w:noProof/>
            <w:webHidden/>
          </w:rPr>
          <w:instrText xml:space="preserve"> PAGEREF _Toc177058440 \h </w:instrText>
        </w:r>
        <w:r>
          <w:rPr>
            <w:noProof/>
            <w:webHidden/>
          </w:rPr>
        </w:r>
        <w:r>
          <w:rPr>
            <w:noProof/>
            <w:webHidden/>
          </w:rPr>
          <w:fldChar w:fldCharType="separate"/>
        </w:r>
        <w:r>
          <w:rPr>
            <w:noProof/>
            <w:webHidden/>
          </w:rPr>
          <w:t>80</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41" w:history="1">
        <w:r w:rsidRPr="005B674B">
          <w:rPr>
            <w:rStyle w:val="Hyperlink"/>
            <w:noProof/>
          </w:rPr>
          <w:t>D.</w:t>
        </w:r>
        <w:r>
          <w:rPr>
            <w:rFonts w:eastAsiaTheme="minorEastAsia"/>
            <w:noProof/>
            <w:sz w:val="22"/>
            <w:szCs w:val="22"/>
            <w:lang w:eastAsia="ro-RO"/>
          </w:rPr>
          <w:tab/>
        </w:r>
        <w:r w:rsidRPr="005B674B">
          <w:rPr>
            <w:rStyle w:val="Hyperlink"/>
            <w:noProof/>
          </w:rPr>
          <w:t>Cu privire la epuizarea căilor de atac interne</w:t>
        </w:r>
        <w:r>
          <w:rPr>
            <w:noProof/>
            <w:webHidden/>
          </w:rPr>
          <w:tab/>
        </w:r>
        <w:r>
          <w:rPr>
            <w:noProof/>
            <w:webHidden/>
          </w:rPr>
          <w:fldChar w:fldCharType="begin"/>
        </w:r>
        <w:r>
          <w:rPr>
            <w:noProof/>
            <w:webHidden/>
          </w:rPr>
          <w:instrText xml:space="preserve"> PAGEREF _Toc177058441 \h </w:instrText>
        </w:r>
        <w:r>
          <w:rPr>
            <w:noProof/>
            <w:webHidden/>
          </w:rPr>
        </w:r>
        <w:r>
          <w:rPr>
            <w:noProof/>
            <w:webHidden/>
          </w:rPr>
          <w:fldChar w:fldCharType="separate"/>
        </w:r>
        <w:r>
          <w:rPr>
            <w:noProof/>
            <w:webHidden/>
          </w:rPr>
          <w:t>80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42" w:history="1">
        <w:r w:rsidRPr="005B674B">
          <w:rPr>
            <w:rStyle w:val="Hyperlink"/>
            <w:noProof/>
          </w:rPr>
          <w:t>1.</w:t>
        </w:r>
        <w:r>
          <w:rPr>
            <w:rFonts w:eastAsiaTheme="minorEastAsia"/>
            <w:noProof/>
            <w:sz w:val="22"/>
            <w:szCs w:val="22"/>
            <w:lang w:eastAsia="ro-RO"/>
          </w:rPr>
          <w:tab/>
        </w:r>
        <w:r w:rsidRPr="005B674B">
          <w:rPr>
            <w:rStyle w:val="Hyperlink"/>
            <w:noProof/>
          </w:rPr>
          <w:t>Principii generale</w:t>
        </w:r>
        <w:r>
          <w:rPr>
            <w:noProof/>
            <w:webHidden/>
          </w:rPr>
          <w:tab/>
        </w:r>
        <w:r>
          <w:rPr>
            <w:noProof/>
            <w:webHidden/>
          </w:rPr>
          <w:fldChar w:fldCharType="begin"/>
        </w:r>
        <w:r>
          <w:rPr>
            <w:noProof/>
            <w:webHidden/>
          </w:rPr>
          <w:instrText xml:space="preserve"> PAGEREF _Toc177058442 \h </w:instrText>
        </w:r>
        <w:r>
          <w:rPr>
            <w:noProof/>
            <w:webHidden/>
          </w:rPr>
        </w:r>
        <w:r>
          <w:rPr>
            <w:noProof/>
            <w:webHidden/>
          </w:rPr>
          <w:fldChar w:fldCharType="separate"/>
        </w:r>
        <w:r>
          <w:rPr>
            <w:noProof/>
            <w:webHidden/>
          </w:rPr>
          <w:t>80</w:t>
        </w:r>
        <w:r>
          <w:rPr>
            <w:noProof/>
            <w:webHidden/>
          </w:rPr>
          <w:fldChar w:fldCharType="end"/>
        </w:r>
      </w:hyperlink>
    </w:p>
    <w:p w:rsidR="007E5AAC" w:rsidRDefault="007E5AAC">
      <w:pPr>
        <w:pStyle w:val="TOC4"/>
        <w:tabs>
          <w:tab w:val="left" w:pos="1701"/>
        </w:tabs>
        <w:rPr>
          <w:rFonts w:eastAsiaTheme="minorEastAsia"/>
          <w:noProof/>
          <w:sz w:val="22"/>
          <w:szCs w:val="22"/>
          <w:lang w:eastAsia="ro-RO"/>
        </w:rPr>
      </w:pPr>
      <w:hyperlink w:anchor="_Toc177058443" w:history="1">
        <w:r w:rsidRPr="005B674B">
          <w:rPr>
            <w:rStyle w:val="Hyperlink"/>
            <w:noProof/>
          </w:rPr>
          <w:t>2.</w:t>
        </w:r>
        <w:r>
          <w:rPr>
            <w:rFonts w:eastAsiaTheme="minorEastAsia"/>
            <w:noProof/>
            <w:sz w:val="22"/>
            <w:szCs w:val="22"/>
            <w:lang w:eastAsia="ro-RO"/>
          </w:rPr>
          <w:tab/>
        </w:r>
        <w:r w:rsidRPr="005B674B">
          <w:rPr>
            <w:rStyle w:val="Hyperlink"/>
            <w:noProof/>
          </w:rPr>
          <w:t>Aplicarea principiilor de mai sus în prezenta speță</w:t>
        </w:r>
        <w:r>
          <w:rPr>
            <w:noProof/>
            <w:webHidden/>
          </w:rPr>
          <w:tab/>
        </w:r>
        <w:r>
          <w:rPr>
            <w:noProof/>
            <w:webHidden/>
          </w:rPr>
          <w:fldChar w:fldCharType="begin"/>
        </w:r>
        <w:r>
          <w:rPr>
            <w:noProof/>
            <w:webHidden/>
          </w:rPr>
          <w:instrText xml:space="preserve"> PAGEREF _Toc177058443 \h </w:instrText>
        </w:r>
        <w:r>
          <w:rPr>
            <w:noProof/>
            <w:webHidden/>
          </w:rPr>
        </w:r>
        <w:r>
          <w:rPr>
            <w:noProof/>
            <w:webHidden/>
          </w:rPr>
          <w:fldChar w:fldCharType="separate"/>
        </w:r>
        <w:r>
          <w:rPr>
            <w:noProof/>
            <w:webHidden/>
          </w:rPr>
          <w:t>82</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44" w:history="1">
        <w:r w:rsidRPr="005B674B">
          <w:rPr>
            <w:rStyle w:val="Hyperlink"/>
            <w:noProof/>
          </w:rPr>
          <w:t>E.</w:t>
        </w:r>
        <w:r>
          <w:rPr>
            <w:rFonts w:eastAsiaTheme="minorEastAsia"/>
            <w:noProof/>
            <w:sz w:val="22"/>
            <w:szCs w:val="22"/>
            <w:lang w:eastAsia="ro-RO"/>
          </w:rPr>
          <w:tab/>
        </w:r>
        <w:r w:rsidRPr="005B674B">
          <w:rPr>
            <w:rStyle w:val="Hyperlink"/>
            <w:noProof/>
          </w:rPr>
          <w:t>Cu privire la calitatea de victimă</w:t>
        </w:r>
        <w:r>
          <w:rPr>
            <w:noProof/>
            <w:webHidden/>
          </w:rPr>
          <w:tab/>
        </w:r>
        <w:r>
          <w:rPr>
            <w:noProof/>
            <w:webHidden/>
          </w:rPr>
          <w:fldChar w:fldCharType="begin"/>
        </w:r>
        <w:r>
          <w:rPr>
            <w:noProof/>
            <w:webHidden/>
          </w:rPr>
          <w:instrText xml:space="preserve"> PAGEREF _Toc177058444 \h </w:instrText>
        </w:r>
        <w:r>
          <w:rPr>
            <w:noProof/>
            <w:webHidden/>
          </w:rPr>
        </w:r>
        <w:r>
          <w:rPr>
            <w:noProof/>
            <w:webHidden/>
          </w:rPr>
          <w:fldChar w:fldCharType="separate"/>
        </w:r>
        <w:r>
          <w:rPr>
            <w:noProof/>
            <w:webHidden/>
          </w:rPr>
          <w:t>85</w:t>
        </w:r>
        <w:r>
          <w:rPr>
            <w:noProof/>
            <w:webHidden/>
          </w:rPr>
          <w:fldChar w:fldCharType="end"/>
        </w:r>
      </w:hyperlink>
    </w:p>
    <w:p w:rsidR="007E5AAC" w:rsidRDefault="007E5AAC">
      <w:pPr>
        <w:pStyle w:val="TOC3"/>
        <w:tabs>
          <w:tab w:val="left" w:pos="1361"/>
        </w:tabs>
        <w:rPr>
          <w:rFonts w:eastAsiaTheme="minorEastAsia"/>
          <w:noProof/>
          <w:sz w:val="22"/>
          <w:szCs w:val="22"/>
          <w:lang w:eastAsia="ro-RO"/>
        </w:rPr>
      </w:pPr>
      <w:hyperlink w:anchor="_Toc177058445" w:history="1">
        <w:r w:rsidRPr="005B674B">
          <w:rPr>
            <w:rStyle w:val="Hyperlink"/>
            <w:noProof/>
          </w:rPr>
          <w:t>F.</w:t>
        </w:r>
        <w:r>
          <w:rPr>
            <w:rFonts w:eastAsiaTheme="minorEastAsia"/>
            <w:noProof/>
            <w:sz w:val="22"/>
            <w:szCs w:val="22"/>
            <w:lang w:eastAsia="ro-RO"/>
          </w:rPr>
          <w:tab/>
        </w:r>
        <w:r w:rsidRPr="005B674B">
          <w:rPr>
            <w:rStyle w:val="Hyperlink"/>
            <w:noProof/>
          </w:rPr>
          <w:t>Concluzie</w:t>
        </w:r>
        <w:r>
          <w:rPr>
            <w:noProof/>
            <w:webHidden/>
          </w:rPr>
          <w:tab/>
        </w:r>
        <w:r>
          <w:rPr>
            <w:noProof/>
            <w:webHidden/>
          </w:rPr>
          <w:fldChar w:fldCharType="begin"/>
        </w:r>
        <w:r>
          <w:rPr>
            <w:noProof/>
            <w:webHidden/>
          </w:rPr>
          <w:instrText xml:space="preserve"> PAGEREF _Toc177058445 \h </w:instrText>
        </w:r>
        <w:r>
          <w:rPr>
            <w:noProof/>
            <w:webHidden/>
          </w:rPr>
        </w:r>
        <w:r>
          <w:rPr>
            <w:noProof/>
            <w:webHidden/>
          </w:rPr>
          <w:fldChar w:fldCharType="separate"/>
        </w:r>
        <w:r>
          <w:rPr>
            <w:noProof/>
            <w:webHidden/>
          </w:rPr>
          <w:t>85</w:t>
        </w:r>
        <w:r>
          <w:rPr>
            <w:noProof/>
            <w:webHidden/>
          </w:rPr>
          <w:fldChar w:fldCharType="end"/>
        </w:r>
      </w:hyperlink>
    </w:p>
    <w:p w:rsidR="00BF6A5D" w:rsidRPr="00BF6A5D" w:rsidRDefault="00BF6A5D" w:rsidP="00BF6A5D">
      <w:r w:rsidRPr="00BF6A5D">
        <w:fldChar w:fldCharType="end"/>
      </w:r>
    </w:p>
    <w:p w:rsidR="00BF6A5D" w:rsidRPr="00BF6A5D" w:rsidRDefault="00BF6A5D" w:rsidP="00BF6A5D">
      <w:r>
        <w:br w:type="page"/>
      </w:r>
    </w:p>
    <w:p w:rsidR="00BF6A5D" w:rsidRPr="00BF6A5D" w:rsidRDefault="00BF6A5D" w:rsidP="00BF6A5D">
      <w:pPr>
        <w:pStyle w:val="JuPara"/>
      </w:pPr>
      <w:r>
        <w:lastRenderedPageBreak/>
        <w:t>Curtea Europeană a Drepturilor Omului, reunită în Marea Cameră compusă din:</w:t>
      </w:r>
    </w:p>
    <w:p w:rsidR="00BF6A5D" w:rsidRPr="00BF6A5D" w:rsidRDefault="00BF6A5D" w:rsidP="00BF6A5D">
      <w:pPr>
        <w:pStyle w:val="JuJudges"/>
      </w:pPr>
      <w:r>
        <w:tab/>
        <w:t>Síofra O’Leary,</w:t>
      </w:r>
      <w:r>
        <w:br/>
      </w:r>
      <w:r>
        <w:tab/>
        <w:t>Georges Ravarani,</w:t>
      </w:r>
      <w:r>
        <w:br/>
      </w:r>
      <w:r>
        <w:tab/>
        <w:t>Marko Bošnjak,</w:t>
      </w:r>
      <w:r>
        <w:br/>
      </w:r>
      <w:r>
        <w:tab/>
        <w:t>Gabriele Kucsko-Stadlmayer,</w:t>
      </w:r>
      <w:r>
        <w:br/>
      </w:r>
      <w:r>
        <w:tab/>
        <w:t>Pere Pastor Vilanova,</w:t>
      </w:r>
      <w:r>
        <w:br/>
      </w:r>
      <w:r>
        <w:tab/>
        <w:t>Arnfinn Bårdsen,</w:t>
      </w:r>
      <w:r>
        <w:br/>
      </w:r>
      <w:r>
        <w:tab/>
        <w:t>Armen Harutyunyan,</w:t>
      </w:r>
      <w:r>
        <w:br/>
      </w:r>
      <w:r>
        <w:tab/>
        <w:t>Pauliine Koskelo,</w:t>
      </w:r>
      <w:r>
        <w:br/>
      </w:r>
      <w:r>
        <w:tab/>
        <w:t>Tim Eicke,</w:t>
      </w:r>
      <w:r>
        <w:br/>
      </w:r>
      <w:r>
        <w:tab/>
        <w:t>Darian Pavli,</w:t>
      </w:r>
      <w:r>
        <w:br/>
      </w:r>
      <w:r>
        <w:tab/>
        <w:t>Raffaele Sabato,</w:t>
      </w:r>
      <w:r>
        <w:br/>
      </w:r>
      <w:r>
        <w:tab/>
        <w:t>Lorraine Schembri Orland,</w:t>
      </w:r>
      <w:r>
        <w:br/>
      </w:r>
      <w:r>
        <w:tab/>
        <w:t>Anja Seibert-Fohr,</w:t>
      </w:r>
      <w:r>
        <w:br/>
      </w:r>
      <w:r>
        <w:tab/>
        <w:t>Peeter Roosma,</w:t>
      </w:r>
      <w:r>
        <w:br/>
      </w:r>
      <w:r>
        <w:tab/>
        <w:t>Ana Maria Guerra Martins,</w:t>
      </w:r>
      <w:r>
        <w:br/>
      </w:r>
      <w:r>
        <w:tab/>
        <w:t>Mattias Guyomar,</w:t>
      </w:r>
      <w:r>
        <w:br/>
      </w:r>
      <w:r>
        <w:tab/>
        <w:t>Andreas Zünd</w:t>
      </w:r>
      <w:r>
        <w:rPr>
          <w:i/>
        </w:rPr>
        <w:t>, judecători</w:t>
      </w:r>
      <w:r>
        <w:t>,</w:t>
      </w:r>
    </w:p>
    <w:p w:rsidR="00BF6A5D" w:rsidRPr="00BF6A5D" w:rsidRDefault="00BF6A5D" w:rsidP="00BF6A5D">
      <w:pPr>
        <w:pStyle w:val="JuJudges"/>
      </w:pPr>
      <w:r>
        <w:t xml:space="preserve">și Søren Prebensen, </w:t>
      </w:r>
      <w:r>
        <w:rPr>
          <w:i/>
          <w:iCs/>
        </w:rPr>
        <w:t>grefier adjunct al Marii Camere</w:t>
      </w:r>
      <w:r>
        <w:t>,</w:t>
      </w:r>
    </w:p>
    <w:p w:rsidR="00BF6A5D" w:rsidRPr="00BF6A5D" w:rsidRDefault="00BF6A5D" w:rsidP="00BF6A5D">
      <w:pPr>
        <w:pStyle w:val="JuPara"/>
      </w:pPr>
      <w:r>
        <w:t>având în vedere cererea menționată anterior, introdusă la 7 septembrie 2020,</w:t>
      </w:r>
    </w:p>
    <w:p w:rsidR="00BF6A5D" w:rsidRPr="00BF6A5D" w:rsidRDefault="00BF6A5D" w:rsidP="00BF6A5D">
      <w:pPr>
        <w:pStyle w:val="JuPara"/>
      </w:pPr>
      <w:r>
        <w:t>după ce a deliberat în camera de consiliu la 28 septembrie 2023, 11 ianuarie 2024 și 15 februarie 2024, pronunță următoarea decizie:</w:t>
      </w:r>
    </w:p>
    <w:p w:rsidR="00BF6A5D" w:rsidRPr="00BF6A5D" w:rsidRDefault="00BF6A5D" w:rsidP="00BF6A5D">
      <w:pPr>
        <w:pStyle w:val="JuHHead"/>
        <w:ind w:left="360" w:hanging="360"/>
      </w:pPr>
      <w:bookmarkStart w:id="1" w:name="_Toc177058363"/>
      <w:r>
        <w:t>PROCEDURA</w:t>
      </w:r>
      <w:bookmarkEnd w:id="1"/>
    </w:p>
    <w:p w:rsidR="00BF6A5D" w:rsidRPr="00BF6A5D" w:rsidRDefault="00D340B2" w:rsidP="00BF6A5D">
      <w:pPr>
        <w:pStyle w:val="JuPara"/>
      </w:pPr>
      <w:fldSimple w:instr=" SEQ level0 \*arabic ">
        <w:r w:rsidR="00BF6A5D" w:rsidRPr="00BF6A5D">
          <w:t>1</w:t>
        </w:r>
      </w:fldSimple>
      <w:r w:rsidR="00BF6A5D">
        <w:t xml:space="preserve">.  La originea cauzei se află o cerere (nr. 39371/20) îndreptată împotriva Republicii Portugheze și a altor 32 de state (Republica Austria, Regatul Belgiei, Republica Bulgaria, Confederația Elvețiană, Republica Cipru, Republica Cehă, Republica Federală Germania, Regatul Danemarcei, Regatul Spaniei, Republica Estonia, Republica Finlanda, Republica Franceză, Regatul Unit al Marii Britanii și Irlandei de Nord, Republica Elenă, Republica Croația, Republica Ungaria, Irlanda, Republica Italiană, Republica Lituania, Marele Ducat al Luxemburgului, Republica Letonia, Republica Malta, Regatul Țărilor de Jos, Regatul Norvegiei, Republica Polonă, România, Federația Rusă, Republica Slovacă, Republica Slovenia, Regatul Suediei, Republica Turcia și Ucraina), prin care șase resortisanți portughezi (enumerați la pct. </w:t>
      </w:r>
      <w:r w:rsidR="00BF6A5D" w:rsidRPr="00BF6A5D">
        <w:fldChar w:fldCharType="begin"/>
      </w:r>
      <w:r w:rsidR="00BF6A5D" w:rsidRPr="00BF6A5D">
        <w:instrText xml:space="preserve"> REF paragraph00010 \h  \* CharFormat </w:instrText>
      </w:r>
      <w:r w:rsidR="00BF6A5D" w:rsidRPr="00BF6A5D">
        <w:fldChar w:fldCharType="separate"/>
      </w:r>
      <w:r w:rsidR="00BF6A5D" w:rsidRPr="00BF6A5D">
        <w:t>11</w:t>
      </w:r>
      <w:r w:rsidR="00BF6A5D" w:rsidRPr="00BF6A5D">
        <w:fldChar w:fldCharType="end"/>
      </w:r>
      <w:r w:rsidR="00BF6A5D">
        <w:t xml:space="preserve"> </w:t>
      </w:r>
      <w:r w:rsidR="00BF6A5D">
        <w:rPr>
          <w:i/>
          <w:iCs/>
        </w:rPr>
        <w:t>infra</w:t>
      </w:r>
      <w:r w:rsidR="00BF6A5D">
        <w:t>) au sesizat Curtea la 7 septembrie 2020 în temeiul art. 34 din Convenția pentru apărarea drepturilor omului și a libertăților fundamentale („Convenția”).</w:t>
      </w:r>
    </w:p>
    <w:p w:rsidR="00BF6A5D" w:rsidRPr="00BF6A5D" w:rsidRDefault="00D340B2" w:rsidP="00BF6A5D">
      <w:pPr>
        <w:pStyle w:val="JuPara"/>
      </w:pPr>
      <w:fldSimple w:instr=" SEQ level0 \*arabic ">
        <w:r w:rsidR="00BF6A5D" w:rsidRPr="00BF6A5D">
          <w:t>2</w:t>
        </w:r>
      </w:fldSimple>
      <w:r w:rsidR="00BF6A5D">
        <w:t>.  Guvernele pârâte („guvernele”) au fost reprezentate de agenții lor, ale căror nume sunt menționate în anexă.</w:t>
      </w:r>
    </w:p>
    <w:p w:rsidR="00BF6A5D" w:rsidRPr="00BF6A5D" w:rsidRDefault="00D340B2" w:rsidP="00BF6A5D">
      <w:pPr>
        <w:pStyle w:val="JuPara"/>
      </w:pPr>
      <w:fldSimple w:instr=" SEQ level0 \*arabic ">
        <w:r w:rsidR="00BF6A5D" w:rsidRPr="00BF6A5D">
          <w:t>3</w:t>
        </w:r>
      </w:fldSimple>
      <w:r w:rsidR="00BF6A5D">
        <w:t>.  Reclamanții au susținut în special că au fost victime ale unor încălcări ale art. 2, 3, 8 și 14 din Convenție din cauza efectelor actuale și a efectelor viitoare grave ale schimbărilor climatice, pe care le-au atribuit statelor pârâte. În special, au menționat valurile de căldură, incendiile de pădure și fumul degajat de incendii care, în opinia lor, au avut efecte asupra vieții, bunăstării și sănătății lor mintale, precum și a confortului locuințelor lor.</w:t>
      </w:r>
    </w:p>
    <w:p w:rsidR="00BF6A5D" w:rsidRPr="00BF6A5D" w:rsidRDefault="00D340B2" w:rsidP="00BF6A5D">
      <w:pPr>
        <w:pStyle w:val="JuPara"/>
      </w:pPr>
      <w:fldSimple w:instr=" SEQ level0 \*arabic ">
        <w:r w:rsidR="00BF6A5D" w:rsidRPr="00BF6A5D">
          <w:t>4</w:t>
        </w:r>
      </w:fldSimple>
      <w:r w:rsidR="00BF6A5D">
        <w:t>.  Cererea a fost repartizată Secției a patra a Curții [art. 52 § 1 din Regulamentul Curții („Regulamentul”)]. La 13 noiembrie 2020, aceasta a fost comunicată Guvernelor. Domnul judecător Eicke a fost numit judecător al comunității de interese la 24 mai 2022 (art. 30 din Regulament). La 28 iunie 2022, Camera căreia i s-a încredințat cererea s-a desesizat în favoarea Marii Camere (art. 30 din Convenție și art. 72 din Regulament).</w:t>
      </w:r>
    </w:p>
    <w:p w:rsidR="00BF6A5D" w:rsidRPr="00BF6A5D" w:rsidRDefault="00D340B2" w:rsidP="00BF6A5D">
      <w:pPr>
        <w:pStyle w:val="JuPara"/>
      </w:pPr>
      <w:fldSimple w:instr=" SEQ level0 \*arabic \* MERGEFORMAT ">
        <w:r w:rsidR="00BF6A5D" w:rsidRPr="00BF6A5D">
          <w:t>5</w:t>
        </w:r>
      </w:fldSimple>
      <w:r w:rsidR="00BF6A5D">
        <w:t xml:space="preserve">.  Compunerea Marii Camere a fost stabilită în conformitate cu art. 26 § 4 și 5 din Convenție, precum și art. 24 din Regulament. Președintele Curții a decis că, în interesul bunei administrări a justiției, prezenta cauză trebuia să fie atribuită aceluiași complet al Marii Camere ca cel din cauzele </w:t>
      </w:r>
      <w:r w:rsidR="00BF6A5D">
        <w:rPr>
          <w:i/>
        </w:rPr>
        <w:t>Verein KlimaSeniorinnen Schweiz</w:t>
      </w:r>
      <w:r w:rsidR="00BF6A5D">
        <w:rPr>
          <w:i/>
          <w:iCs/>
        </w:rPr>
        <w:t xml:space="preserve"> și alții împotriva Elveției</w:t>
      </w:r>
      <w:r w:rsidR="00BF6A5D">
        <w:t xml:space="preserve"> (cererea nr. 53600/20) și </w:t>
      </w:r>
      <w:r w:rsidR="00BF6A5D">
        <w:rPr>
          <w:i/>
          <w:iCs/>
        </w:rPr>
        <w:t>Carême împotriva Franței</w:t>
      </w:r>
      <w:r w:rsidR="00BF6A5D">
        <w:t xml:space="preserve"> (cererea nr. 7189/21) (art. 24, art. 42 § 2 și art. 71 din Regulament), în care s-au desesizat camere din cadrul Secției a treia și, respectiv, al Secției a cincea.</w:t>
      </w:r>
    </w:p>
    <w:p w:rsidR="00BF6A5D" w:rsidRPr="00BF6A5D" w:rsidRDefault="00D340B2" w:rsidP="00BF6A5D">
      <w:pPr>
        <w:pStyle w:val="JuPara"/>
      </w:pPr>
      <w:fldSimple w:instr=" SEQ level0 \*arabic \* MERGEFORMAT ">
        <w:r w:rsidR="00BF6A5D" w:rsidRPr="00BF6A5D">
          <w:t>6</w:t>
        </w:r>
      </w:fldSimple>
      <w:r w:rsidR="00BF6A5D">
        <w:t>.  Atât reclamanții, cât și guvernele pârâte (</w:t>
      </w:r>
      <w:r w:rsidR="00BF6A5D">
        <w:rPr>
          <w:i/>
          <w:iCs/>
        </w:rPr>
        <w:t>infra</w:t>
      </w:r>
      <w:r w:rsidR="00BF6A5D">
        <w:t xml:space="preserve">, pct. </w:t>
      </w:r>
      <w:r w:rsidR="00BF6A5D" w:rsidRPr="00BF6A5D">
        <w:fldChar w:fldCharType="begin"/>
      </w:r>
      <w:r w:rsidR="00BF6A5D" w:rsidRPr="00BF6A5D">
        <w:instrText xml:space="preserve"> REF paragraph00072 \h  \* MERGEFORMAT </w:instrText>
      </w:r>
      <w:r w:rsidR="00BF6A5D" w:rsidRPr="00BF6A5D">
        <w:fldChar w:fldCharType="separate"/>
      </w:r>
      <w:r w:rsidR="00BF6A5D" w:rsidRPr="00BF6A5D">
        <w:t>72</w:t>
      </w:r>
      <w:r w:rsidR="00BF6A5D" w:rsidRPr="00BF6A5D">
        <w:fldChar w:fldCharType="end"/>
      </w:r>
      <w:r w:rsidR="00BF6A5D">
        <w:t>-</w:t>
      </w:r>
      <w:r w:rsidR="00BF6A5D" w:rsidRPr="00BF6A5D">
        <w:fldChar w:fldCharType="begin"/>
      </w:r>
      <w:r w:rsidR="00BF6A5D" w:rsidRPr="00BF6A5D">
        <w:instrText xml:space="preserve"> REF paragraph00074 \h </w:instrText>
      </w:r>
      <w:r w:rsidR="00BF6A5D" w:rsidRPr="00BF6A5D">
        <w:fldChar w:fldCharType="separate"/>
      </w:r>
      <w:r w:rsidR="00BF6A5D" w:rsidRPr="00BF6A5D">
        <w:t>74</w:t>
      </w:r>
      <w:r w:rsidR="00BF6A5D" w:rsidRPr="00BF6A5D">
        <w:fldChar w:fldCharType="end"/>
      </w:r>
      <w:r w:rsidR="00BF6A5D">
        <w:t>) au depus memorii cu privire la admisibilitatea și fondul cauzei. Comisarul pentru Drepturile Omului al Consiliului Europei și-a exercitat dreptul de a lua parte la procedură și a prezentat observații scrise (art. 36 § 3 din Convenție). În plus, după ce președintele le-a autorizat intervenția în procedura scrisă (art. 36 § 2 din Convenție și art. 44 § 3 din Regulament), următorii terți intervenienți au adresat Curții observațiile lor: Comisia Europeană, Raportorul special al ONU privind drepturile omului și mediu, precum și Raportorul special al ONU privind substanțele toxice și drepturile omului, Rețeaua Europeană a Instituțiilor Naționale pentru Drepturilor Omului („ENNHRI”), Save the Children International, Climate Action Network Europe („CAN-E”), consorțiul ETO și partenerii acestuia, Center for International Environmental Law („CIEL”), Greenpeace International și Union of Concerned Scientists, International Network for Economic, Social and Cultural Rights („ESCR-Net”), proiectul de cercetare ALL-YOUTH și Grupul de cercetare în drept public al Universității din Tampere, doamna profesor universitar Christel Cournil și Notre Affaire à Tous („NAAT”), precum și Our Children’s Trust („OCT”), Oxfam International și afiliații (Oxfam), Centre for Climate Repair din cadrul Universității din Cambridge și Centre for Child Law din cadrul Universității din Pretoria.</w:t>
      </w:r>
    </w:p>
    <w:p w:rsidR="00BF6A5D" w:rsidRPr="00BF6A5D" w:rsidRDefault="00D340B2" w:rsidP="00BF6A5D">
      <w:pPr>
        <w:pStyle w:val="JuPara"/>
      </w:pPr>
      <w:fldSimple w:instr=" SEQ level0 \*arabic \* MERGEFORMAT ">
        <w:r w:rsidR="00BF6A5D" w:rsidRPr="00BF6A5D">
          <w:t>7</w:t>
        </w:r>
      </w:fldSimple>
      <w:r w:rsidR="00BF6A5D">
        <w:t xml:space="preserve">.  La 11 ianuarie 2023, Marea Cameră a decis ca, în interesul bunei administrări a justiției, după finalizarea procedurii scrise a acestor trei cauze, procedurile orale să fie organizate astfel încât să aibă loc o ședință în cauzele </w:t>
      </w:r>
      <w:r w:rsidR="00BF6A5D">
        <w:rPr>
          <w:i/>
          <w:iCs/>
        </w:rPr>
        <w:t>Verein KlimaSeniorinnen Schweiz și alții împotriva Elveției</w:t>
      </w:r>
      <w:r w:rsidR="00BF6A5D">
        <w:t xml:space="preserve"> și </w:t>
      </w:r>
      <w:r w:rsidR="00BF6A5D">
        <w:rPr>
          <w:i/>
          <w:iCs/>
        </w:rPr>
        <w:t xml:space="preserve">Carême </w:t>
      </w:r>
      <w:r w:rsidR="00BF6A5D">
        <w:rPr>
          <w:i/>
          <w:iCs/>
        </w:rPr>
        <w:lastRenderedPageBreak/>
        <w:t>împotriva Franței</w:t>
      </w:r>
      <w:r w:rsidR="00BF6A5D">
        <w:t xml:space="preserve"> la 29 martie 2023 și ca o ședință în prezenta cauză să aibă loc într-o etapă ulterioară, în fața aceluiași complet al Marii Camere.</w:t>
      </w:r>
    </w:p>
    <w:p w:rsidR="00BF6A5D" w:rsidRPr="00BF6A5D" w:rsidRDefault="00D340B2" w:rsidP="00BF6A5D">
      <w:pPr>
        <w:pStyle w:val="JuPara"/>
      </w:pPr>
      <w:fldSimple w:instr=" SEQ level0 \*arabic \* MERGEFORMAT ">
        <w:r w:rsidR="00BF6A5D" w:rsidRPr="00BF6A5D">
          <w:t>8</w:t>
        </w:r>
      </w:fldSimple>
      <w:r w:rsidR="00BF6A5D">
        <w:t>.  La 27 septembrie 2023, a avut loc o ședință publică la Palatul Drepturilor Omului din Strasbourg.</w:t>
      </w:r>
    </w:p>
    <w:p w:rsidR="00BF6A5D" w:rsidRPr="00BF6A5D" w:rsidRDefault="00D340B2" w:rsidP="00BF6A5D">
      <w:pPr>
        <w:pStyle w:val="JuPara"/>
      </w:pPr>
      <w:fldSimple w:instr=" SEQ level0 \*arabic \* MERGEFORMAT ">
        <w:r w:rsidR="00BF6A5D" w:rsidRPr="00BF6A5D">
          <w:t>9</w:t>
        </w:r>
      </w:fldSimple>
      <w:r w:rsidR="00BF6A5D">
        <w:t>.  Lista celor care s-au înfățișat este inclusă în anexă. Curtea a ascultat declarațiile făcute de domnul S. Swaroop KC, doamna I. Niedlispacher și domnul R. Matos, care au prezentat observații comune pentru guvernele pârâte, domnii V. de Graaf, R. Matos și H.A. Açikgül, care au prezentat observații specifice pentru Guvernul Țărilor de Jos, cel al Portugaliei și, respectiv, cel al Turciei, precum și doamnele A. Macdonald KC și A. Sander, care i-au reprezentat pe reclamanți. De asemenea, Curtea a ascultat declarațiile făcute de Comisarul pentru Drepturile Omului al Consiliului Europei, doamna D. Mijatović (art. 44 § 2 din Regulament), precum și de terții intervenienți care au fost autorizați să participe la ședință (art. 44 § 3 din Regulament), domnul D. Calleja Crespo, pentru Comisia Europeană, și doamna A. Matheson Mestad, pentru ENNHRI.</w:t>
      </w:r>
    </w:p>
    <w:p w:rsidR="00BF6A5D" w:rsidRPr="00BF6A5D" w:rsidRDefault="00D340B2" w:rsidP="00BF6A5D">
      <w:pPr>
        <w:pStyle w:val="JuPara"/>
      </w:pPr>
      <w:fldSimple w:instr=" SEQ level0 \*arabic \* MERGEFORMAT ">
        <w:r w:rsidR="00BF6A5D" w:rsidRPr="00BF6A5D">
          <w:t>10</w:t>
        </w:r>
      </w:fldSimple>
      <w:r w:rsidR="00BF6A5D">
        <w:t>.  Răspunsurile la întrebările adresate de Curte au fost oferite de domnul Swaroop KC, doamna Niedlispacher și domnul Matos în numele guvernelor, precum și de doamna Macdonald KC pentru reclamanți. În plus, președintele a autorizat în mod excepțional guvernele pârâte să răspundă în scris la anumite întrebări. Reclamanții au obținut aceste răspunsuri și au avut posibilitatea de a formula observații cu privire la acestea.</w:t>
      </w:r>
    </w:p>
    <w:p w:rsidR="00BF6A5D" w:rsidRPr="00BF6A5D" w:rsidRDefault="00BF6A5D" w:rsidP="00BF6A5D">
      <w:pPr>
        <w:pStyle w:val="JuHHead"/>
        <w:ind w:left="360" w:hanging="360"/>
      </w:pPr>
      <w:bookmarkStart w:id="2" w:name="_Toc177058364"/>
      <w:r>
        <w:t>ÎN FAPT</w:t>
      </w:r>
      <w:bookmarkEnd w:id="2"/>
    </w:p>
    <w:bookmarkStart w:id="3" w:name="paragraph00010"/>
    <w:p w:rsidR="00BF6A5D" w:rsidRPr="00BF6A5D" w:rsidRDefault="00BF6A5D" w:rsidP="00BF6A5D">
      <w:pPr>
        <w:pStyle w:val="JuPara"/>
      </w:pPr>
      <w:r w:rsidRPr="00BF6A5D">
        <w:fldChar w:fldCharType="begin"/>
      </w:r>
      <w:r w:rsidRPr="00BF6A5D">
        <w:instrText xml:space="preserve"> SEQ level0 \*arabic </w:instrText>
      </w:r>
      <w:r w:rsidRPr="00BF6A5D">
        <w:fldChar w:fldCharType="separate"/>
      </w:r>
      <w:r w:rsidRPr="00BF6A5D">
        <w:t>11</w:t>
      </w:r>
      <w:r w:rsidRPr="00BF6A5D">
        <w:fldChar w:fldCharType="end"/>
      </w:r>
      <w:bookmarkEnd w:id="3"/>
      <w:r>
        <w:t>.  Reclamanții, enumerați mai jos, sunt cu toții resortisanți portughezi cu domiciliul sau reședința în Portugalia:</w:t>
      </w:r>
    </w:p>
    <w:p w:rsidR="00BF6A5D" w:rsidRPr="00BF6A5D" w:rsidRDefault="00BF6A5D" w:rsidP="00BF6A5D">
      <w:pPr>
        <w:pStyle w:val="JuPara"/>
      </w:pPr>
      <w:r>
        <w:t>1.  prima reclamantă, doamna Clàudia Duarte Agostinho, s-a născut în 1999;</w:t>
      </w:r>
    </w:p>
    <w:p w:rsidR="00BF6A5D" w:rsidRPr="00BF6A5D" w:rsidRDefault="00BF6A5D" w:rsidP="00BF6A5D">
      <w:pPr>
        <w:pStyle w:val="JuPara"/>
      </w:pPr>
      <w:r>
        <w:t>2.  al doilea reclamant, domnul Martim Duarte Agostinho, s-a născut în 2003;</w:t>
      </w:r>
    </w:p>
    <w:p w:rsidR="00BF6A5D" w:rsidRPr="00BF6A5D" w:rsidRDefault="00BF6A5D" w:rsidP="00BF6A5D">
      <w:pPr>
        <w:pStyle w:val="JuPara"/>
      </w:pPr>
      <w:r>
        <w:t>3.  a treia reclamantă, doamna Mariana Duarte Agostinho, s-a născut în 2012;</w:t>
      </w:r>
    </w:p>
    <w:p w:rsidR="00BF6A5D" w:rsidRPr="00BF6A5D" w:rsidRDefault="00BF6A5D" w:rsidP="00BF6A5D">
      <w:pPr>
        <w:pStyle w:val="JuPara"/>
      </w:pPr>
      <w:r>
        <w:t>4.  a patra reclamantă, doamna Catarina Dos Santos Mota, s-a născut în 2000;</w:t>
      </w:r>
    </w:p>
    <w:p w:rsidR="00BF6A5D" w:rsidRPr="00BF6A5D" w:rsidRDefault="00BF6A5D" w:rsidP="00BF6A5D">
      <w:pPr>
        <w:pStyle w:val="JuPara"/>
      </w:pPr>
      <w:r>
        <w:t>5.  a cincea reclamantă, doamna Sofia Isabel Dos Santos Oliveira, s-a născut în 2005;</w:t>
      </w:r>
    </w:p>
    <w:p w:rsidR="00BF6A5D" w:rsidRPr="00BF6A5D" w:rsidRDefault="00BF6A5D" w:rsidP="00BF6A5D">
      <w:pPr>
        <w:pStyle w:val="JuPara"/>
      </w:pPr>
      <w:r>
        <w:t>6.  al șaselea reclamant, domnul André Dos Santos Oliveira, s-a născut în 2008.</w:t>
      </w:r>
    </w:p>
    <w:p w:rsidR="00BF6A5D" w:rsidRPr="00BF6A5D" w:rsidRDefault="00BF6A5D" w:rsidP="00BF6A5D">
      <w:pPr>
        <w:pStyle w:val="JuPara"/>
      </w:pPr>
      <w:r>
        <w:t>Prima, a treia și a patra reclamantă locuiesc în Merinhas (localitatea Pombal); al doilea reclamant locuiește în Leiria; cele două localități se situează în districtul Leiria. A cincea reclamantă și al șaselea reclamant locuiesc în Sobreda, parohie civilă a localității Almada, care face parte din zona metropolitană Lisabona.</w:t>
      </w:r>
    </w:p>
    <w:p w:rsidR="00BF6A5D" w:rsidRPr="00BF6A5D" w:rsidRDefault="00BF6A5D" w:rsidP="00BF6A5D">
      <w:pPr>
        <w:pStyle w:val="JuHIRoman"/>
      </w:pPr>
      <w:bookmarkStart w:id="4" w:name="_Toc177058365"/>
      <w:r>
        <w:lastRenderedPageBreak/>
        <w:t>FAPTELE EXPUSE DE RECLAMANȚI</w:t>
      </w:r>
      <w:bookmarkEnd w:id="4"/>
    </w:p>
    <w:p w:rsidR="00BF6A5D" w:rsidRPr="00BF6A5D" w:rsidRDefault="00BF6A5D" w:rsidP="00BF6A5D">
      <w:pPr>
        <w:pStyle w:val="JuHA"/>
      </w:pPr>
      <w:bookmarkStart w:id="5" w:name="_Toc177058366"/>
      <w:r>
        <w:t>Faptele expuse în formularul de cerere</w:t>
      </w:r>
      <w:bookmarkEnd w:id="5"/>
    </w:p>
    <w:p w:rsidR="00BF6A5D" w:rsidRPr="00BF6A5D" w:rsidRDefault="00D340B2" w:rsidP="00BF6A5D">
      <w:pPr>
        <w:pStyle w:val="JuPara"/>
      </w:pPr>
      <w:fldSimple w:instr=" SEQ level0 \*arabic \* MERGEFORMAT ">
        <w:r w:rsidR="00BF6A5D" w:rsidRPr="00BF6A5D">
          <w:t>12</w:t>
        </w:r>
      </w:fldSimple>
      <w:r w:rsidR="00BF6A5D">
        <w:t>.  Reclamanții se bazează pe documente internaționale</w:t>
      </w:r>
      <w:r w:rsidR="00BF6A5D" w:rsidRPr="00BF6A5D">
        <w:rPr>
          <w:vertAlign w:val="superscript"/>
        </w:rPr>
        <w:footnoteReference w:id="1"/>
      </w:r>
      <w:r w:rsidR="00BF6A5D">
        <w:t>, rapoarte generale și rapoarte de expertiză</w:t>
      </w:r>
      <w:r w:rsidR="00BF6A5D" w:rsidRPr="00BF6A5D">
        <w:rPr>
          <w:vertAlign w:val="superscript"/>
        </w:rPr>
        <w:footnoteReference w:id="2"/>
      </w:r>
      <w:r w:rsidR="00BF6A5D">
        <w:t xml:space="preserve"> relevante privind prejudiciile cauzate sănătății oamenilor de schimbările climatice. Potrivit acestor documente, în special, Portugalia se confruntă deja cu o serie de efecte ale schimbărilor climatice, inclusiv o creștere a temperaturilor medii, precum și temperaturi extreme ce cauzează valuri de căldură care, la rândul lor, constituie factori majori pentru declanșarea incendiilor de pădure.</w:t>
      </w:r>
    </w:p>
    <w:bookmarkStart w:id="6" w:name="paragraph0001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13</w:t>
      </w:r>
      <w:r w:rsidRPr="00BF6A5D">
        <w:fldChar w:fldCharType="end"/>
      </w:r>
      <w:bookmarkEnd w:id="6"/>
      <w:r>
        <w:t>.  Reclamanții consideră că toate statele pârâte sunt răspunzătoare pentru această situație. Susțin, în special, că statele au contribuit la schimbările climatice, printre altele autorizând:</w:t>
      </w:r>
    </w:p>
    <w:p w:rsidR="00BF6A5D" w:rsidRPr="00BF6A5D" w:rsidRDefault="00BF6A5D" w:rsidP="00BF6A5D">
      <w:pPr>
        <w:pStyle w:val="JuPara"/>
      </w:pPr>
      <w:r>
        <w:t>a) eliberarea de emisii pe teritoriul lor național și în zonele de pe mare „sub jurisdicția lor”;</w:t>
      </w:r>
    </w:p>
    <w:p w:rsidR="00BF6A5D" w:rsidRPr="00BF6A5D" w:rsidRDefault="00BF6A5D" w:rsidP="00BF6A5D">
      <w:pPr>
        <w:pStyle w:val="JuPara"/>
      </w:pPr>
      <w:r>
        <w:t>b) exportul de combustibili fosili extrași pe teritoriul lor;</w:t>
      </w:r>
    </w:p>
    <w:p w:rsidR="00BF6A5D" w:rsidRPr="00BF6A5D" w:rsidRDefault="00BF6A5D" w:rsidP="00BF6A5D">
      <w:pPr>
        <w:pStyle w:val="JuPara"/>
      </w:pPr>
      <w:r>
        <w:t>c) importul de mărfuri a căror producție cauzează emisii în atmosferă; și</w:t>
      </w:r>
    </w:p>
    <w:p w:rsidR="00BF6A5D" w:rsidRPr="00BF6A5D" w:rsidRDefault="00BF6A5D" w:rsidP="00BF6A5D">
      <w:pPr>
        <w:pStyle w:val="JuPara"/>
      </w:pPr>
      <w:r>
        <w:t>d) contribuția entităților aflate sub jurisdicția lor la eliberarea de emisii în străinătate, prin extracția de combustibili fosili în străinătate sau prin finanțarea unei astfel de activități.</w:t>
      </w:r>
    </w:p>
    <w:bookmarkStart w:id="7" w:name="paragraph0001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14</w:t>
      </w:r>
      <w:r w:rsidRPr="00BF6A5D">
        <w:fldChar w:fldCharType="end"/>
      </w:r>
      <w:bookmarkEnd w:id="7"/>
      <w:r>
        <w:t>.  Reclamanții se consideră amenințați de schimbările climatice și susțin că riscul la care sunt expuși nu va face decât să crească în mod semnificativ pe parcursul vieții lor și îi va amenința, de asemenea, pe copiii pe care i-ar putea avea. Susțin că deja s-au confruntat cu scăderi ale nivelurilor de energie, dificultăți în a dormi și o scădere a capacității lor de a petrece timp sau a face mișcare în aer liber în timpul valurilor de căldură recente. Regiunile în care locuiesc sunt expuse unui risc crescut de incendii extreme. Incendiile din 2017 au ajuns în imediata vecinătate a locuințelor reclamanților nr. 1–4, iar grădina casei reclamanților nr. 1–3 a fost acoperită de cenușă. Incendiile de vegetație i-au stresat și tulburat pe reclamanții nr. 5 și 6. Reclamanții nr. 1–4 au aflat cu groază că incendiile în discuție au omorât oameni în apropierea locuinței lor. Al doilea reclamant nu a putut merge la școală timp de mai multe zile din cauza cantității de fum din aer. De asemenea, se declară îngrijorați de gândul la efectele pe care schimbările climatice le-ar putea avea asupra lor și a familiilor lor, precum și asupra familiilor pe care speră să le întemeieze în viitor.</w:t>
      </w:r>
    </w:p>
    <w:p w:rsidR="00BF6A5D" w:rsidRPr="00BF6A5D" w:rsidRDefault="00D340B2" w:rsidP="00BF6A5D">
      <w:pPr>
        <w:pStyle w:val="JuPara"/>
      </w:pPr>
      <w:fldSimple w:instr=" SEQ level0 \*arabic \* MERGEFORMAT ">
        <w:r w:rsidR="00BF6A5D" w:rsidRPr="00BF6A5D">
          <w:t>15</w:t>
        </w:r>
      </w:fldSimple>
      <w:r w:rsidR="00BF6A5D">
        <w:t>.  În susținerea cererii lor, reclamanții au comunicat declarații personale scrise, al căror rezumat este expus mai jos.</w:t>
      </w:r>
    </w:p>
    <w:p w:rsidR="00BF6A5D" w:rsidRPr="00BF6A5D" w:rsidRDefault="00BF6A5D" w:rsidP="00BF6A5D">
      <w:pPr>
        <w:pStyle w:val="JuH1"/>
      </w:pPr>
      <w:bookmarkStart w:id="8" w:name="_Toc177058367"/>
      <w:r>
        <w:t>Reclamanții nr. 1–3</w:t>
      </w:r>
      <w:bookmarkEnd w:id="8"/>
    </w:p>
    <w:p w:rsidR="00BF6A5D" w:rsidRPr="00BF6A5D" w:rsidRDefault="00D340B2" w:rsidP="00BF6A5D">
      <w:pPr>
        <w:pStyle w:val="JuPara"/>
      </w:pPr>
      <w:fldSimple w:instr=" SEQ level0 \*arabic \* MERGEFORMAT ">
        <w:r w:rsidR="00BF6A5D" w:rsidRPr="00BF6A5D">
          <w:t>16</w:t>
        </w:r>
      </w:fldSimple>
      <w:r w:rsidR="00BF6A5D">
        <w:t xml:space="preserve">.  Într-o declarație scrisă care a fost semnată de aceștia și care însoțește formularul de cerere, reclamanții nr. 1-3 explică faptul că au decis să sesizeze Curtea în urma incendiilor de pădure care au afectat Portugalia în vara anului 2017. Reiterează susținerile pe care le-au enunțat în formularul de cerere (a se vedea </w:t>
      </w:r>
      <w:r w:rsidR="00BF6A5D">
        <w:rPr>
          <w:i/>
          <w:iCs/>
        </w:rPr>
        <w:t>supra</w:t>
      </w:r>
      <w:r w:rsidR="00BF6A5D">
        <w:t xml:space="preserve">, pct. </w:t>
      </w:r>
      <w:r w:rsidR="00BF6A5D" w:rsidRPr="00BF6A5D">
        <w:fldChar w:fldCharType="begin"/>
      </w:r>
      <w:r w:rsidR="00BF6A5D" w:rsidRPr="00BF6A5D">
        <w:instrText xml:space="preserve">REF paragraph00013 \h \* CharFormat  \* MERGEFORMAT </w:instrText>
      </w:r>
      <w:r w:rsidR="00BF6A5D" w:rsidRPr="00BF6A5D">
        <w:fldChar w:fldCharType="separate"/>
      </w:r>
      <w:r w:rsidR="00BF6A5D" w:rsidRPr="00BF6A5D">
        <w:t>14</w:t>
      </w:r>
      <w:r w:rsidR="00BF6A5D" w:rsidRPr="00BF6A5D">
        <w:fldChar w:fldCharType="end"/>
      </w:r>
      <w:r w:rsidR="00BF6A5D">
        <w:t>) și adaugă că nici ei înșiși, nici vreunul dintre prietenii sau rudele lor nu au fost răniți în incendii și că familia lor nu a suferit niciun prejudiciu. Susțin totuși că incendiile s-au soldat cu peste 60 de victime și numeroși răniți și că toate faptele în discuție au avut loc la o oră de mers cu mașina de la domiciliul lor. Declară că au trăit momente de groază în timpul acestor incendii, cu atât mai mult cu cât știau că mor oameni în cel mai atroce mod atât de aproape de casă. În octombrie 2017 au izbucnit noi incendii, afectând întreaga jumătate de nord a Portugaliei, inclusiv unele zone din imediata vecinătate a domiciliului lor, provocând aproximativ 45 de decese la nivel național.</w:t>
      </w:r>
    </w:p>
    <w:p w:rsidR="00BF6A5D" w:rsidRPr="00BF6A5D" w:rsidRDefault="00D340B2" w:rsidP="00BF6A5D">
      <w:pPr>
        <w:pStyle w:val="JuPara"/>
      </w:pPr>
      <w:fldSimple w:instr=" SEQ level0 \*arabic \* MERGEFORMAT ">
        <w:r w:rsidR="00BF6A5D" w:rsidRPr="00BF6A5D">
          <w:t>17</w:t>
        </w:r>
      </w:fldSimple>
      <w:r w:rsidR="00BF6A5D">
        <w:t>.  În ceea ce privește motivele care au stat la baza deciziei lor de a sesiza Curtea, reclamanții au declarat următoarele:</w:t>
      </w:r>
    </w:p>
    <w:p w:rsidR="00BF6A5D" w:rsidRPr="00BF6A5D" w:rsidRDefault="00BF6A5D" w:rsidP="00BF6A5D">
      <w:pPr>
        <w:pStyle w:val="JuQuot"/>
      </w:pPr>
      <w:r>
        <w:t>„Incendiile ne-au făcut să ne dăm seama că schimbările climatice reprezintă o amenințare, nu doar pentru viitorul planetei sau pentru calotele glaciare, ci și pentru noi, aici, acum, la ușa noastră. În acea perioadă, am simțit nevoia presantă de a face ceva. Știm că dacă guvernele nu acționează imediat pentru a reduce la nivel mondial emisiile de gaze cu efect de seră, amenințarea pe care o reprezintă schimbările climatice pentru noi nu va face decât să se amplifice. Sigur, nu am suferit niciun prejudiciu în 2017, dar șansele noastre de a scăpa iar nevătămați se vor diminua pe măsură ce timpul trece, dacă vom merge în continuare în direcția în care am luat-o. Încă o dată, Portugalia s-a confruntat în această vară (2020) cu incendii de pădure uriașe ca urmare a temperaturilor ridicate și a vânturilor puternice. Din fericire, aceste incendii nu au fost la fel de grave ca în 2017, dar ne amintesc de amenințarea cu care ne confruntăm. Acesta este motivul pentru care am decis să introducem prezenta cerere.</w:t>
      </w:r>
    </w:p>
    <w:p w:rsidR="00BF6A5D" w:rsidRPr="00BF6A5D" w:rsidRDefault="00BF6A5D" w:rsidP="00BF6A5D">
      <w:pPr>
        <w:pStyle w:val="JuQuot"/>
      </w:pPr>
      <w:r>
        <w:t>Schimbările climatice ne fac să ne temem de ceea ce ne rezervă viitorul, nouă și familiilor pe care sperăm să le întemeiem. Desigur, am putea dori la un moment dat să petrecem timp în străinătate; cu toate acestea, Portugalia rămâne țara noastră, țara în care, după toate probabilitățile, ne vom petrece cea mai mare parte a vieții și ne vom întemeia propriile familii. Și totuși, am aflat din citirea raportului de expertiză publicat de Climate Analytics că Portugalia este o zonă critică pentru schimbările climatice. Ne întristează și ne sperie gândul că, dacă guvernele continuă în direcția actuală, vom experimenta valuri de căldură mult mai extreme decât cele care deja au afectat țara noastră în ultimii ani, iar evenimente similare incendiilor care au izbucnit în jurul nostru în 2017 vor reapărea iar și iar, crescând în intensitate în viitor. Chiar și Mariana, care are doar 8 ani, înțelege că mediul natural din jurul ei este amenințat, ceea ce o neliniștește profund, pe ea care iubește atât de mult natura.”</w:t>
      </w:r>
    </w:p>
    <w:p w:rsidR="00BF6A5D" w:rsidRPr="00BF6A5D" w:rsidRDefault="00D340B2" w:rsidP="00BF6A5D">
      <w:pPr>
        <w:pStyle w:val="JuPara"/>
      </w:pPr>
      <w:fldSimple w:instr=" SEQ level0 \*arabic \* MERGEFORMAT ">
        <w:r w:rsidR="00BF6A5D" w:rsidRPr="00BF6A5D">
          <w:t>18</w:t>
        </w:r>
      </w:fldSimple>
      <w:r w:rsidR="00BF6A5D">
        <w:t xml:space="preserve">.  Reclamanții susțin, de asemenea, că consecințele schimbărilor climatice, ale temperaturilor ridicate și ale secetei, în special, au sau vor avea </w:t>
      </w:r>
      <w:r w:rsidR="00BF6A5D">
        <w:lastRenderedPageBreak/>
        <w:t>efecte multiple asupra vieții lor. Susțin că temperaturile extreme sunt greu de suportat și îi forțează să petreacă mai mult timp în interior, că energia lor este scăzută și că au probleme cu somnul, ceea ce le afectează productivitatea. Secetele intense le-ar putea afecta capacitatea de a cultiva pământul și de a-și folosi fântânile. Reclamanții nr. 1 și 2 adaugă că suferă de alergii (alergie la soare, rinite alergice și, respectiv, sinuzite) și că sunt îngrijorați deoarece schimbările climatice le vor agrava pe unele dintre acestea.</w:t>
      </w:r>
    </w:p>
    <w:p w:rsidR="00BF6A5D" w:rsidRPr="00BF6A5D" w:rsidRDefault="00D340B2" w:rsidP="00BF6A5D">
      <w:pPr>
        <w:pStyle w:val="JuPara"/>
      </w:pPr>
      <w:fldSimple w:instr=" SEQ level0 \*arabic \* MERGEFORMAT ">
        <w:r w:rsidR="00BF6A5D" w:rsidRPr="00BF6A5D">
          <w:t>19</w:t>
        </w:r>
      </w:fldSimple>
      <w:r w:rsidR="00BF6A5D">
        <w:t>.  În final, reclamanții precizează următoarele: „[a]ceastă declarație a fost elaborată cu ajutorul părinților noștri (Teresa și Sérgio), care atestă veridicitatea afirmațiilor referitoare la Mariana și Martim.”</w:t>
      </w:r>
    </w:p>
    <w:p w:rsidR="00BF6A5D" w:rsidRPr="00BF6A5D" w:rsidRDefault="00BF6A5D" w:rsidP="00BF6A5D">
      <w:pPr>
        <w:pStyle w:val="JuH1"/>
      </w:pPr>
      <w:bookmarkStart w:id="9" w:name="_Toc177058368"/>
      <w:r>
        <w:t>Reclamanta nr. 4</w:t>
      </w:r>
      <w:bookmarkEnd w:id="9"/>
    </w:p>
    <w:p w:rsidR="00BF6A5D" w:rsidRPr="00BF6A5D" w:rsidRDefault="00D340B2" w:rsidP="00BF6A5D">
      <w:pPr>
        <w:pStyle w:val="JuPara"/>
      </w:pPr>
      <w:fldSimple w:instr=" SEQ level0 \*arabic \* MERGEFORMAT ">
        <w:r w:rsidR="00BF6A5D" w:rsidRPr="00BF6A5D">
          <w:t>20</w:t>
        </w:r>
      </w:fldSimple>
      <w:r w:rsidR="00BF6A5D">
        <w:t>.  Într-o declarație scrisă, a patra reclamantă explică faptul că este prietenă și vecină a familiei Duarte Agostinho. Aceasta prezintă motivele care au determinat-o să sesizeze Curtea:</w:t>
      </w:r>
    </w:p>
    <w:p w:rsidR="00BF6A5D" w:rsidRPr="00BF6A5D" w:rsidRDefault="00BF6A5D" w:rsidP="00BF6A5D">
      <w:pPr>
        <w:pStyle w:val="JuQuot"/>
      </w:pPr>
      <w:r>
        <w:t>„Am decis să mă alătur Claudiei, lui Martim și Marianei Duarte Agostinho când am aflat că au sesizat Curtea. Și eu am resimțit groaza provocată de incendiile care au afectat Portugalia în 2017, deși, din fericire, nici eu, nici vreun membru al familiei mele nu am suferit niciun prejudiciu fizic sau material. Schimbările climatice mă preocupă de ceva vreme. Prin urmare, mi-am schimbat modul de viață. De exemplu, consum mult mai puțină carne decât înainte, pentru că știu că producția de carne contribuie la schimbările climatice.”</w:t>
      </w:r>
    </w:p>
    <w:p w:rsidR="00BF6A5D" w:rsidRPr="00BF6A5D" w:rsidRDefault="00D340B2" w:rsidP="00BF6A5D">
      <w:pPr>
        <w:pStyle w:val="JuPara"/>
      </w:pPr>
      <w:fldSimple w:instr=" SEQ level0 \*arabic \* MERGEFORMAT ">
        <w:r w:rsidR="00BF6A5D" w:rsidRPr="00BF6A5D">
          <w:t>21</w:t>
        </w:r>
      </w:fldSimple>
      <w:r w:rsidR="00BF6A5D">
        <w:t>.  A patra reclamantă susține totodată că nu a fost în măsură să practice niciun sport în aer liber în timpul valurilor extreme de căldură care au afectat țara și că au fost zile în vara anului 2020 în care chiar a evitat complet să petreacă timp în aer liber. Se plânge de tulburări de somn care, susține ea, o împiedică să funcționeze normal în timpul zilei. Se declară din ce în ce mai îngrijorată de repercusiunile pe care schimbările climatice le vor avea asupra viitorului ei și asupra generației sale, fenomen care, în opinia sa, reprezintă în acest moment o amenințare clară la adresa vieții, a sănătății și a calității vieții. Adaugă că în copilărie a suferit de astm acut (care acum ridică mai puține probleme) și că suferă ocazional de bronșită. O deteriorare semnificativă a calității aerului i-ar putea provoca reapariția astmului acut și agravarea simptomelor asociate bronșitei de care spune că suferă.</w:t>
      </w:r>
    </w:p>
    <w:p w:rsidR="00BF6A5D" w:rsidRPr="00BF6A5D" w:rsidRDefault="00BF6A5D" w:rsidP="00BF6A5D">
      <w:pPr>
        <w:pStyle w:val="JuH1"/>
      </w:pPr>
      <w:bookmarkStart w:id="10" w:name="_Toc177058369"/>
      <w:r>
        <w:t>Reclamanții nr. 5 și 6</w:t>
      </w:r>
      <w:bookmarkEnd w:id="10"/>
    </w:p>
    <w:p w:rsidR="00BF6A5D" w:rsidRPr="00BF6A5D" w:rsidRDefault="00D340B2" w:rsidP="00BF6A5D">
      <w:pPr>
        <w:pStyle w:val="JuPara"/>
      </w:pPr>
      <w:fldSimple w:instr=" SEQ level0 \*arabic \* MERGEFORMAT ">
        <w:r w:rsidR="00BF6A5D" w:rsidRPr="00BF6A5D">
          <w:t>22</w:t>
        </w:r>
      </w:fldSimple>
      <w:r w:rsidR="00BF6A5D">
        <w:t>.  Reclamanții precizează că au decis să introducă prezenta cerere la Curte pentru următoarele motive:</w:t>
      </w:r>
    </w:p>
    <w:p w:rsidR="00BF6A5D" w:rsidRPr="00BF6A5D" w:rsidRDefault="00BF6A5D" w:rsidP="00BF6A5D">
      <w:pPr>
        <w:pStyle w:val="JuQuot"/>
      </w:pPr>
      <w:r>
        <w:t xml:space="preserve">„La scurt timp după incendiile de pădure majore care au afectat Portugalia în 2017, prima dată în iunie, apoi în octombrie, soldate cu peste 100 de morți, noi și părinții noștri am decis să ne alăturăm acestei cereri. Din fericire, nimeni dintre prietenii noștri sau rudele noastre nu a fost ucis sau rănit în timpul acestor incendii, dar scenele de distrugere care s-au repetat în întreaga țară ne-au făcut să înțelegem realitatea amenințării cauzate de schimbările climatice. Am fost tulburați de cele văzute, la știri, </w:t>
      </w:r>
      <w:r>
        <w:lastRenderedPageBreak/>
        <w:t>imaginile incendiilor, oameni care cereau ajutor în urma distrugerilor. Ne-am stresat și tulburat foarte tare.”</w:t>
      </w:r>
    </w:p>
    <w:p w:rsidR="00BF6A5D" w:rsidRPr="00BF6A5D" w:rsidRDefault="00D340B2" w:rsidP="00BF6A5D">
      <w:pPr>
        <w:pStyle w:val="JuPara"/>
      </w:pPr>
      <w:fldSimple w:instr=" SEQ level0 \*arabic \* MERGEFORMAT ">
        <w:r w:rsidR="00BF6A5D" w:rsidRPr="00BF6A5D">
          <w:t>23</w:t>
        </w:r>
      </w:fldSimple>
      <w:r w:rsidR="00BF6A5D">
        <w:t>.  Reclamanții susțin de asemenea că îi îngrijorează schimbările climatice, cu atât mai mult de când au luat cunoștință de rezumatul raportului publicat de Climate Analytics. Spun că au tulburări de somn, nu au energie și nu pot ieși în timpul zilelor cu temperaturi mari. Imaginile cu morți și distrugeri legate de incendiile de pădure le-au provocat frică și anxietate. Suferă de alergii care vor fi exacerbate în caz de temperaturi ridicate. De asemenea, se tem că nu vor putea petrece timp afară în viitor. Locuința lor este aproape de mare, suficient de aproape pentru a suferi efectele furtunilor de iarnă.</w:t>
      </w:r>
    </w:p>
    <w:p w:rsidR="00BF6A5D" w:rsidRPr="00BF6A5D" w:rsidRDefault="00D340B2" w:rsidP="00BF6A5D">
      <w:pPr>
        <w:pStyle w:val="JuPara"/>
      </w:pPr>
      <w:fldSimple w:instr=" SEQ level0 \*arabic \* MERGEFORMAT ">
        <w:r w:rsidR="00BF6A5D" w:rsidRPr="00BF6A5D">
          <w:t>24</w:t>
        </w:r>
      </w:fldSimple>
      <w:r w:rsidR="00BF6A5D">
        <w:t>.  Reclamanții afirmă că părinții lor erau prezenți atunci când au furnizat informațiile cuprinse în declarația lor și că au confirmat veridicitatea acesteia.</w:t>
      </w:r>
    </w:p>
    <w:p w:rsidR="00BF6A5D" w:rsidRPr="00BF6A5D" w:rsidRDefault="00BF6A5D" w:rsidP="00BF6A5D">
      <w:pPr>
        <w:pStyle w:val="JuHA"/>
      </w:pPr>
      <w:bookmarkStart w:id="11" w:name="_Toc177058370"/>
      <w:r>
        <w:t>Situația de fapt prezentată Marii Camere</w:t>
      </w:r>
      <w:bookmarkEnd w:id="11"/>
    </w:p>
    <w:p w:rsidR="00BF6A5D" w:rsidRPr="00BF6A5D" w:rsidRDefault="00D340B2" w:rsidP="00BF6A5D">
      <w:pPr>
        <w:pStyle w:val="JuPara"/>
      </w:pPr>
      <w:fldSimple w:instr=" SEQ level0 \*arabic \* MERGEFORMAT ">
        <w:r w:rsidR="00BF6A5D" w:rsidRPr="00BF6A5D">
          <w:t>25</w:t>
        </w:r>
      </w:fldSimple>
      <w:r w:rsidR="00BF6A5D">
        <w:t>.  În memoriul lor din 5 decembrie 2022, reclamanții reiterează argumentele pe care le-au prezentat în formularul de cerere și se bazează pe rapoartele mai recente ale Grupului interguvernamental privind schimbările climatice („IPCC”)</w:t>
      </w:r>
      <w:r w:rsidR="00BF6A5D" w:rsidRPr="00BF6A5D">
        <w:rPr>
          <w:vertAlign w:val="superscript"/>
        </w:rPr>
        <w:footnoteReference w:id="3"/>
      </w:r>
      <w:r w:rsidR="00BF6A5D">
        <w:t xml:space="preserve"> și alte rapoarte științifice</w:t>
      </w:r>
      <w:r w:rsidR="00BF6A5D" w:rsidRPr="00BF6A5D">
        <w:rPr>
          <w:vertAlign w:val="superscript"/>
        </w:rPr>
        <w:footnoteReference w:id="4"/>
      </w:r>
      <w:r w:rsidR="00BF6A5D">
        <w:t xml:space="preserve"> care arată pericolul încălzirii globale actuale și necesitatea de a reduce emisiile „în mod rapid și drastic” până în 2030 pentru a atinge obiectivul convenit de limitare a creșterii temperaturii la 1,5°C. De la adoptarea Convenției-cadru a Națiunilor Unite asupra schimbărilor climatice („UNFCCC”) în 1992 și a Acordului de la Paris</w:t>
      </w:r>
      <w:r w:rsidR="00BF6A5D" w:rsidRPr="00BF6A5D">
        <w:rPr>
          <w:vertAlign w:val="superscript"/>
        </w:rPr>
        <w:footnoteReference w:id="5"/>
      </w:r>
      <w:r w:rsidR="00BF6A5D">
        <w:t xml:space="preserve">, statele pârâte au fost conștiente de pericolele pe care, în opinia lor, le constituie schimbările climatice. Fiecare stat pârât trebuie să acționeze în cele patru domenii identificate la pct. </w:t>
      </w:r>
      <w:r w:rsidR="00BF6A5D" w:rsidRPr="00BF6A5D">
        <w:fldChar w:fldCharType="begin"/>
      </w:r>
      <w:r w:rsidR="00BF6A5D" w:rsidRPr="00BF6A5D">
        <w:instrText xml:space="preserve">REF paragraph00012 \h \* CharFormat  \* MERGEFORMAT </w:instrText>
      </w:r>
      <w:r w:rsidR="00BF6A5D" w:rsidRPr="00BF6A5D">
        <w:fldChar w:fldCharType="separate"/>
      </w:r>
      <w:r w:rsidR="00BF6A5D" w:rsidRPr="00BF6A5D">
        <w:t>13</w:t>
      </w:r>
      <w:r w:rsidR="00BF6A5D" w:rsidRPr="00BF6A5D">
        <w:fldChar w:fldCharType="end"/>
      </w:r>
      <w:r w:rsidR="00BF6A5D">
        <w:t xml:space="preserve"> </w:t>
      </w:r>
      <w:r w:rsidR="00BF6A5D">
        <w:rPr>
          <w:i/>
          <w:iCs/>
        </w:rPr>
        <w:t>supra</w:t>
      </w:r>
      <w:r w:rsidR="00BF6A5D">
        <w:t>. Aceștia susțin că Portugalia este una dintre țările din Europa care vor fi cele mai afectate de consecințele negative ale schimbărilor climatice și că această țară se confruntă cu „obstacole greu de depășit” în ceea ce privește capacitatea sa de a se adapta la efectele încălzirii globale</w:t>
      </w:r>
      <w:r w:rsidR="00BF6A5D" w:rsidRPr="00BF6A5D">
        <w:rPr>
          <w:vertAlign w:val="superscript"/>
        </w:rPr>
        <w:footnoteReference w:id="6"/>
      </w:r>
      <w:r w:rsidR="00BF6A5D">
        <w:t>.</w:t>
      </w:r>
    </w:p>
    <w:bookmarkStart w:id="12" w:name="paragraph00025"/>
    <w:p w:rsidR="00BF6A5D" w:rsidRPr="00BF6A5D" w:rsidRDefault="00BF6A5D" w:rsidP="00BF6A5D">
      <w:pPr>
        <w:pStyle w:val="JuPara"/>
      </w:pPr>
      <w:r w:rsidRPr="00BF6A5D">
        <w:lastRenderedPageBreak/>
        <w:fldChar w:fldCharType="begin"/>
      </w:r>
      <w:r w:rsidRPr="00BF6A5D">
        <w:instrText xml:space="preserve"> SEQ level0 \*arabic \* MERGEFORMAT </w:instrText>
      </w:r>
      <w:r w:rsidRPr="00BF6A5D">
        <w:fldChar w:fldCharType="separate"/>
      </w:r>
      <w:r w:rsidRPr="00BF6A5D">
        <w:t>26</w:t>
      </w:r>
      <w:r w:rsidRPr="00BF6A5D">
        <w:fldChar w:fldCharType="end"/>
      </w:r>
      <w:bookmarkEnd w:id="12"/>
      <w:r>
        <w:t>.  Reclamanții au transmis o listă în care identifică efectele și riscurile specifice pe care consideră că le prezintă schimbările climatice pentru ei. Această listă, care se bazează în principal pe schimbările climatice generale din Portugalia</w:t>
      </w:r>
      <w:r w:rsidRPr="00BF6A5D">
        <w:rPr>
          <w:vertAlign w:val="superscript"/>
          <w:lang w:bidi="en-US"/>
        </w:rPr>
        <w:footnoteReference w:id="7"/>
      </w:r>
      <w:r>
        <w:t>, conține următoarele elemente:</w:t>
      </w:r>
    </w:p>
    <w:p w:rsidR="00BF6A5D" w:rsidRPr="00BF6A5D" w:rsidRDefault="00BF6A5D" w:rsidP="00BF6A5D">
      <w:pPr>
        <w:pStyle w:val="JuPara"/>
      </w:pPr>
      <w:r>
        <w:t>a)  Efecte legate de căldură – reclamanții reiterează faptul că, în perioadele de căldură extremă, sunt obligați să își limiteze activitățile de tineret obișnuite, și anume să se joace și să facă sport în aer liber și să se bucure de lumea exterioară. În perioada de căldură ridicată pe timp de noapte, se confruntă cu tulburări de somn, ceea ce, în zilele următoare, duce la o oboseală mai mare și o productivitate mai scăzută. Reclamanții nr. 2, 4 și 6 susțin că suferă de tulburări respiratorii și că o creștere a temperaturii medii ar duce la o creștere cu 2,7% a mortalității la nivel global și cu 1,7% a morbidității respiratorii.</w:t>
      </w:r>
    </w:p>
    <w:p w:rsidR="00BF6A5D" w:rsidRPr="00BF6A5D" w:rsidRDefault="00BF6A5D" w:rsidP="00BF6A5D">
      <w:pPr>
        <w:pStyle w:val="JuPara"/>
      </w:pPr>
      <w:r>
        <w:t>b)  Incendiile de pădure și gazele de ardere – reclamanții nr. 1–3 au descris „oroarea” pe care aceste incendii le-au provocat-o și precizează că prima reclamantă suferă în prezent de anxietate de fiecare dată când se apropie vara. Adaugă că, în timpul incendiilor de pădure, grădina lor a fost acoperită de cenușă, că al doilea reclamant nu a putut să meargă la școală și că gazele de ardere (care conțineau substanțe chimice dăunătoare pentru oameni) au umplut cerul. Afirmă că se tem că în viitor vor avea loc incendii de pădure cel puțin la fel de grave ca cele din 2017. În zonele în care se află locuințele lor, numărul de zile cu risc extrem de incendiu este de așteptat să crească semnificativ între anii 2000 și 2100.</w:t>
      </w:r>
    </w:p>
    <w:p w:rsidR="00BF6A5D" w:rsidRPr="00BF6A5D" w:rsidRDefault="00BF6A5D" w:rsidP="00BF6A5D">
      <w:pPr>
        <w:pStyle w:val="JuPara"/>
      </w:pPr>
      <w:r>
        <w:t>c)  Poluarea aerului și alergenii – schimbările climatice expun persoanele care trăiesc în Portugalia la niveluri ridicate de poluare și ar putea crește nivelurile de alergeni din aer, ceea ce ar avea un efect agravant asupra bolilor respiratorii, cum este astmul. Reclamanții nr. 2, 4, 5 și 6 au probleme de sănătate cauzate de poluare și alergeni. Al doilea reclamant a prezentat un certificat medical care atestă că suferă de rinite și de astm, iar al șaselea reclamant a prezentat un certificat medical scris de mână care atestă că suferă de astm bronșic agravat de o modificare a temperaturii ca urmare a schimbărilor climatice și, mai precis, de căldura extremă.</w:t>
      </w:r>
    </w:p>
    <w:p w:rsidR="00BF6A5D" w:rsidRPr="00BF6A5D" w:rsidRDefault="00BF6A5D" w:rsidP="00BF6A5D">
      <w:pPr>
        <w:pStyle w:val="JuPara"/>
      </w:pPr>
      <w:r>
        <w:t>d)  Efecte asupra sănătății mintale – autoarea principală a unui studiu privind efectele schimbărilor climatice asupra sănătății mintale a tinerilor din Portugalia</w:t>
      </w:r>
      <w:r w:rsidRPr="00BF6A5D">
        <w:rPr>
          <w:vertAlign w:val="superscript"/>
          <w:lang w:bidi="en-US"/>
        </w:rPr>
        <w:footnoteReference w:id="8"/>
      </w:r>
      <w:r>
        <w:t xml:space="preserve"> a întocmit un raport de expertiză cu privire la reclamanții din prezenta cauză, în care susține că reclamanții nr. 2, 5 și 6 suferă de o „experiență negativă trăită în copilărie” în legătură cu o anxietate prelungită </w:t>
      </w:r>
      <w:r>
        <w:lastRenderedPageBreak/>
        <w:t>legată de climă și că cunoașterea faptului că cei care dețin autoritatea nu i-au protejat le-a cauzat o formă de suferință mentală numită „vătămare morală”.</w:t>
      </w:r>
    </w:p>
    <w:p w:rsidR="00BF6A5D" w:rsidRPr="00BF6A5D" w:rsidRDefault="00D340B2" w:rsidP="00BF6A5D">
      <w:pPr>
        <w:pStyle w:val="JuPara"/>
      </w:pPr>
      <w:fldSimple w:instr=" SEQ level0 \*arabic \* MERGEFORMAT ">
        <w:r w:rsidR="00BF6A5D" w:rsidRPr="00BF6A5D">
          <w:t>27</w:t>
        </w:r>
      </w:fldSimple>
      <w:r w:rsidR="00BF6A5D">
        <w:t>.  În observațiile lor suplimentare din 29 martie 2023, reclamanții susțin că există, de fapt, puține elemente faptice cu privire la care ei și statele pârâte nu sunt de acord. Consideră că nu există contradicții privind următoarele elemente: i) cauzele și efectele schimbărilor climatice la nivel mondial; ii) efectele schimbărilor climatice în Portugalia și limitele capacității de adaptare a Portugaliei; iii) necesitatea de a limita încălzirea globală la 1,5°C; iv) insuficiența traiectoriei actuale; v) necesitatea, evidențiată de IPCC, de a reduce rapid emisiile la nivel global; (vi) necesitatea de a reduce drastic producția de combustibili fosili; și (vii) contribuția la schimbările climatice a emisiilor intrinsece și externe ale entităților cu sediul în statele pârâte.</w:t>
      </w:r>
    </w:p>
    <w:p w:rsidR="00BF6A5D" w:rsidRPr="00BF6A5D" w:rsidRDefault="00D340B2" w:rsidP="00BF6A5D">
      <w:pPr>
        <w:pStyle w:val="JuPara"/>
      </w:pPr>
      <w:fldSimple w:instr=" SEQ level0 \*arabic \* MERGEFORMAT ">
        <w:r w:rsidR="00BF6A5D" w:rsidRPr="00BF6A5D">
          <w:t>28</w:t>
        </w:r>
      </w:fldSimple>
      <w:r w:rsidR="00BF6A5D">
        <w:t>.  Reclamanții susțin că riscul ca districtele în care își au reședința să fie afectate de valuri de căldură este comparabil cu riscul general ridicat și din ce în ce mai mare ca Portugalia în ansamblu să fie afectată de astfel de fenomene. Aceștia precizează că trăiesc cu toții în zone care au înregistrat temperaturi record, de peste 40℃, în ultimii ani. Reclamanții nr. 1–4 locuiesc în zone clasificate ca prezentând un risc „moderat” și toți reclamanții locuiesc în zone situate pe coastă sau în apropierea acesteia, unde umiditatea este mai ridicată și unde problemele legate de căldură pot să apară la temperaturi mai scăzute. Districtul în care locuiesc reclamanții nr. 1–4 a fost unul dintre cele trei cel mai afectate de incendiile de pădure care au avut loc în Portugalia în 2022.</w:t>
      </w:r>
    </w:p>
    <w:p w:rsidR="00BF6A5D" w:rsidRPr="00BF6A5D" w:rsidRDefault="00D340B2" w:rsidP="00BF6A5D">
      <w:pPr>
        <w:pStyle w:val="JuPara"/>
      </w:pPr>
      <w:fldSimple w:instr=" SEQ level0 \*arabic \* MERGEFORMAT ">
        <w:r w:rsidR="00BF6A5D" w:rsidRPr="00BF6A5D">
          <w:t>29</w:t>
        </w:r>
      </w:fldSimple>
      <w:r w:rsidR="00BF6A5D">
        <w:t xml:space="preserve">.  Reclamanții susțin că faptul de a fi nevoiți să rămână în interior în timpul valurilor de căldură nu poate fi considerat o „problemă banală”. Frecvența valurilor de căldură va crește semnificativ ca urmare a schimbărilor climatice, iar statele pârâte trebuie să abordeze această problemă (a se vedea </w:t>
      </w:r>
      <w:r w:rsidR="00BF6A5D">
        <w:rPr>
          <w:i/>
          <w:iCs/>
        </w:rPr>
        <w:t>infra</w:t>
      </w:r>
      <w:r w:rsidR="00BF6A5D">
        <w:t xml:space="preserve">, pct. </w:t>
      </w:r>
      <w:r w:rsidR="00BF6A5D" w:rsidRPr="00BF6A5D">
        <w:fldChar w:fldCharType="begin"/>
      </w:r>
      <w:r w:rsidR="00BF6A5D" w:rsidRPr="00BF6A5D">
        <w:instrText xml:space="preserve">REF paragraph00034 \h \* CharFormat  \* MERGEFORMAT </w:instrText>
      </w:r>
      <w:r w:rsidR="00BF6A5D" w:rsidRPr="00BF6A5D">
        <w:fldChar w:fldCharType="separate"/>
      </w:r>
      <w:r w:rsidR="00BF6A5D" w:rsidRPr="00BF6A5D">
        <w:t>35</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30</w:t>
        </w:r>
      </w:fldSimple>
      <w:r w:rsidR="00BF6A5D">
        <w:t>.  Reclamanții precizează că referirea lor la incendiile de pădure din 2017 ar trebui înțeleasă ca un exemplu al efectelor tot mai frecvente și grave pe care schimbările climatice le provoacă și vor continua să le producă în Portugalia, dar că nu au afirmat niciodată că plângerea lor referitoare la efectele schimbărilor climatice asupra lor se limita la incendiile de pădure din 2017.</w:t>
      </w:r>
    </w:p>
    <w:p w:rsidR="00BF6A5D" w:rsidRPr="00BF6A5D" w:rsidRDefault="00BF6A5D" w:rsidP="00BF6A5D">
      <w:pPr>
        <w:pStyle w:val="JuHIRoman"/>
      </w:pPr>
      <w:bookmarkStart w:id="13" w:name="_Toc177058371"/>
      <w:r>
        <w:t>FAPTELE PREZENTATE DE GUVERNELE PÂRÂTE</w:t>
      </w:r>
      <w:bookmarkEnd w:id="13"/>
    </w:p>
    <w:p w:rsidR="00BF6A5D" w:rsidRPr="00BF6A5D" w:rsidRDefault="00D340B2" w:rsidP="00BF6A5D">
      <w:pPr>
        <w:pStyle w:val="JuPara"/>
      </w:pPr>
      <w:fldSimple w:instr=" SEQ level0 \*arabic \* MERGEFORMAT ">
        <w:r w:rsidR="00BF6A5D" w:rsidRPr="00BF6A5D">
          <w:t>31</w:t>
        </w:r>
      </w:fldSimple>
      <w:r w:rsidR="00BF6A5D">
        <w:t xml:space="preserve">.  În observațiile lor comune pe care le-au comunicat Marii Camere (a se vedea </w:t>
      </w:r>
      <w:r w:rsidR="00BF6A5D">
        <w:rPr>
          <w:i/>
          <w:iCs/>
        </w:rPr>
        <w:t>infra</w:t>
      </w:r>
      <w:r w:rsidR="00BF6A5D">
        <w:t xml:space="preserve">, pct. </w:t>
      </w:r>
      <w:r w:rsidR="00BF6A5D" w:rsidRPr="00BF6A5D">
        <w:fldChar w:fldCharType="begin"/>
      </w:r>
      <w:r w:rsidR="00BF6A5D" w:rsidRPr="00BF6A5D">
        <w:instrText xml:space="preserve"> REF paragraph00072 \h </w:instrText>
      </w:r>
      <w:r w:rsidR="00BF6A5D" w:rsidRPr="00BF6A5D">
        <w:fldChar w:fldCharType="separate"/>
      </w:r>
      <w:r w:rsidR="00BF6A5D" w:rsidRPr="00BF6A5D">
        <w:t>72</w:t>
      </w:r>
      <w:r w:rsidR="00BF6A5D" w:rsidRPr="00BF6A5D">
        <w:fldChar w:fldCharType="end"/>
      </w:r>
      <w:r w:rsidR="00BF6A5D">
        <w:t>-</w:t>
      </w:r>
      <w:r w:rsidR="00BF6A5D" w:rsidRPr="00BF6A5D">
        <w:fldChar w:fldCharType="begin"/>
      </w:r>
      <w:r w:rsidR="00BF6A5D" w:rsidRPr="00BF6A5D">
        <w:instrText xml:space="preserve"> REF paragraph00073 \h </w:instrText>
      </w:r>
      <w:r w:rsidR="00BF6A5D" w:rsidRPr="00BF6A5D">
        <w:fldChar w:fldCharType="separate"/>
      </w:r>
      <w:r w:rsidR="00BF6A5D" w:rsidRPr="00BF6A5D">
        <w:t>73</w:t>
      </w:r>
      <w:r w:rsidR="00BF6A5D" w:rsidRPr="00BF6A5D">
        <w:fldChar w:fldCharType="end"/>
      </w:r>
      <w:r w:rsidR="00BF6A5D">
        <w:t xml:space="preserve">), guvernele pârâte contestă valoarea probatorie a rapoartelor de expertiză invocate de reclamanți în susținerea afirmațiilor lor privind schimbările climatice și efectele acestora asupra lor. Acestea susțin că rapoartele în discuție nu au fost evaluate </w:t>
      </w:r>
      <w:r w:rsidR="00BF6A5D">
        <w:rPr>
          <w:i/>
          <w:iCs/>
        </w:rPr>
        <w:t>inter pares</w:t>
      </w:r>
      <w:r w:rsidR="00BF6A5D">
        <w:t xml:space="preserve"> și că unele se bazează pe ipoteze contestate care nu constituie cele mai bune dovezi disponibile.</w:t>
      </w:r>
    </w:p>
    <w:p w:rsidR="00BF6A5D" w:rsidRPr="00BF6A5D" w:rsidRDefault="00D340B2" w:rsidP="00BF6A5D">
      <w:pPr>
        <w:pStyle w:val="JuPara"/>
      </w:pPr>
      <w:fldSimple w:instr=" SEQ level0 \*arabic \* MERGEFORMAT ">
        <w:r w:rsidR="00BF6A5D" w:rsidRPr="00BF6A5D">
          <w:t>32</w:t>
        </w:r>
      </w:fldSimple>
      <w:r w:rsidR="00BF6A5D">
        <w:t>.  Guvernele explică, de asemenea, faptul că informațiile faptice referitoare la cauză au fost colectate și examinate de Guvernul Portugaliei și că celelalte guverne pârâte nu au avut acces la informații detaliate privind situația reclamanților și contextul faptic al cauzei.</w:t>
      </w:r>
    </w:p>
    <w:p w:rsidR="00BF6A5D" w:rsidRPr="00BF6A5D" w:rsidRDefault="00D340B2" w:rsidP="00BF6A5D">
      <w:pPr>
        <w:pStyle w:val="JuPara"/>
      </w:pPr>
      <w:fldSimple w:instr=" SEQ level0 \*arabic \* MERGEFORMAT ">
        <w:r w:rsidR="00BF6A5D" w:rsidRPr="00BF6A5D">
          <w:t>33</w:t>
        </w:r>
      </w:fldSimple>
      <w:r w:rsidR="00BF6A5D">
        <w:t>.  Guvernele pârâte evidențiază următoarele fapte:</w:t>
      </w:r>
    </w:p>
    <w:p w:rsidR="00BF6A5D" w:rsidRPr="00BF6A5D" w:rsidRDefault="00BF6A5D" w:rsidP="00BF6A5D">
      <w:pPr>
        <w:pStyle w:val="JuPara"/>
      </w:pPr>
      <w:r>
        <w:t>a)  Două incendii majore au izbucnit în Portugalia în 2017, primul în iunie, iar al doilea în octombrie.</w:t>
      </w:r>
    </w:p>
    <w:p w:rsidR="00BF6A5D" w:rsidRPr="00BF6A5D" w:rsidRDefault="00BF6A5D" w:rsidP="00BF6A5D">
      <w:pPr>
        <w:pStyle w:val="JuPara"/>
      </w:pPr>
      <w:r>
        <w:t>b)  Casele în care locuiesc reclamanții nr. 1–4 sunt situate în Meirinhas, în localitatea Pombal, care se află în centrul Portugaliei, unde a izbucnit al doilea incendiu major în octombrie 2017.</w:t>
      </w:r>
    </w:p>
    <w:p w:rsidR="00BF6A5D" w:rsidRPr="00BF6A5D" w:rsidRDefault="00BF6A5D" w:rsidP="00BF6A5D">
      <w:pPr>
        <w:pStyle w:val="JuPara"/>
      </w:pPr>
      <w:r>
        <w:t>c)  Casele reclamanților se află la aproximativ o oră de zona în care a izbucnit primul incendiu în iunie 2017.</w:t>
      </w:r>
    </w:p>
    <w:p w:rsidR="00BF6A5D" w:rsidRPr="00BF6A5D" w:rsidRDefault="00BF6A5D" w:rsidP="00BF6A5D">
      <w:pPr>
        <w:pStyle w:val="JuPara"/>
      </w:pPr>
      <w:r>
        <w:t>d)  Este posibil să fi căzut cenușă în grădina casei în care locuiesc primii trei reclamanți.</w:t>
      </w:r>
    </w:p>
    <w:p w:rsidR="00BF6A5D" w:rsidRPr="00BF6A5D" w:rsidRDefault="00BF6A5D" w:rsidP="00BF6A5D">
      <w:pPr>
        <w:pStyle w:val="JuPara"/>
      </w:pPr>
      <w:r>
        <w:t>e)  Al doilea reclamant nu a putut merge la școală în după-amiaza zilei de 16 octombrie 2017, întrucât școala a fost închisă în acel moment din cauza gazelor de ardere cauzate de cel de-al doilea incendiu major.</w:t>
      </w:r>
    </w:p>
    <w:p w:rsidR="00BF6A5D" w:rsidRPr="00BF6A5D" w:rsidRDefault="00BF6A5D" w:rsidP="00BF6A5D">
      <w:pPr>
        <w:pStyle w:val="JuPara"/>
      </w:pPr>
      <w:r>
        <w:t>f)  Reclamanții nr. 5 și 6 locuiesc în Sobreda, în regiunea Lisabona, în apropiere de mare.</w:t>
      </w:r>
    </w:p>
    <w:p w:rsidR="00BF6A5D" w:rsidRPr="00BF6A5D" w:rsidRDefault="00BF6A5D" w:rsidP="00BF6A5D">
      <w:pPr>
        <w:pStyle w:val="JuPara"/>
      </w:pPr>
      <w:r>
        <w:t>g)  Sobreda se află la aproximativ 200 de kilometri de zona care a fost afectată de incendii.</w:t>
      </w:r>
    </w:p>
    <w:p w:rsidR="00BF6A5D" w:rsidRPr="00BF6A5D" w:rsidRDefault="00D340B2" w:rsidP="00BF6A5D">
      <w:pPr>
        <w:pStyle w:val="JuPara"/>
      </w:pPr>
      <w:fldSimple w:instr=" SEQ level0 \*arabic \* MERGEFORMAT ">
        <w:r w:rsidR="00BF6A5D" w:rsidRPr="00BF6A5D">
          <w:t>34</w:t>
        </w:r>
      </w:fldSimple>
      <w:r w:rsidR="00BF6A5D">
        <w:t>.  Guvernele pârâte contestă toate celelalte fapte cu caracter personal invocate de reclamanți. Cu privire la declarațiile personale prezentate de reclamanți, guvernele formulează următoarele observații.</w:t>
      </w:r>
    </w:p>
    <w:bookmarkStart w:id="14" w:name="paragraph0003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35</w:t>
      </w:r>
      <w:r w:rsidRPr="00BF6A5D">
        <w:fldChar w:fldCharType="end"/>
      </w:r>
      <w:bookmarkEnd w:id="14"/>
      <w:r>
        <w:t>.  Toți reclamanții au recunoscut că nici ei, nici rudele lor nu au suferit nicio vătămare corporală și niciun prejudiciu material. Tulburările de somn sau dificultățile în a petrece timp în aer liber în perioadele de căldură prea intensă menționate de reclamanți reprezintă o problemă banală și nu ridică motive specifice de îngrijorare pentru persoanele respective. Temerile reclamanților cu privire la viitor nu sunt fundamentate suficient.</w:t>
      </w:r>
    </w:p>
    <w:p w:rsidR="00BF6A5D" w:rsidRPr="00BF6A5D" w:rsidRDefault="00D340B2" w:rsidP="00BF6A5D">
      <w:pPr>
        <w:pStyle w:val="JuPara"/>
      </w:pPr>
      <w:fldSimple w:instr=" SEQ level0 \*arabic \* MERGEFORMAT ">
        <w:r w:rsidR="00BF6A5D" w:rsidRPr="00BF6A5D">
          <w:t>36</w:t>
        </w:r>
      </w:fldSimple>
      <w:r w:rsidR="00BF6A5D">
        <w:t>.  În ceea ce privește prejudiciile invocate de reclamanții nr. 1–3, reclamanții nu au precizat când și unde s-au produs prejudiciile în discuție și nici nu au explicat natura prejudiciilor suferite. Aceștia nu au stabilit nicio legătură de cauzalitate între prejudiciile invocate și evenimentele în discuție. Numele reclamanților nu se regăsesc în lista victimelor care au suferit vătămări ori prejudicii, materiale sau de alt tip, ca urmare a celor două incendii majore din anul 2017 și care, pentru acest motiv, au primit despăgubiri din partea statului.</w:t>
      </w:r>
    </w:p>
    <w:p w:rsidR="00BF6A5D" w:rsidRPr="00BF6A5D" w:rsidRDefault="00D340B2" w:rsidP="00BF6A5D">
      <w:pPr>
        <w:pStyle w:val="JuPara"/>
      </w:pPr>
      <w:fldSimple w:instr=" SEQ level0 \*arabic \* MERGEFORMAT ">
        <w:r w:rsidR="00BF6A5D" w:rsidRPr="00BF6A5D">
          <w:t>37</w:t>
        </w:r>
      </w:fldSimple>
      <w:r w:rsidR="00BF6A5D">
        <w:t xml:space="preserve">.  Reclamanții nr. 2 și 6 au furnizat dovezi medicale în sprijinul capetelor lor de cerere, dar certificatul medical al reclamantului nr. 2 este datat din noiembrie 2018 și nu conține nicio informație cu privire la gravitatea sau intensitatea tulburărilor în discuție (rinită și astm), cu privire la tratamentele medicale acordate eventual la momentul respectiv sau ulterior, sau cu privire la cauza pretinselor tulburări. Certificatul medical referitor la </w:t>
      </w:r>
      <w:r w:rsidR="00BF6A5D">
        <w:lastRenderedPageBreak/>
        <w:t>reclamantul nr. 6 este o notă scrisă de mână, nedatată, în care se precizează că persoana în discuție suferă de astm bronșic „agravat” de căldurile extreme. Nu s-a furnizat nicio informație cu privire la gravitatea sau intensitatea tulburărilor în discuție sau cu privire la un eventual tratament medical.</w:t>
      </w:r>
    </w:p>
    <w:p w:rsidR="00BF6A5D" w:rsidRPr="00BF6A5D" w:rsidRDefault="00D340B2" w:rsidP="00BF6A5D">
      <w:pPr>
        <w:pStyle w:val="JuPara"/>
      </w:pPr>
      <w:fldSimple w:instr=" SEQ level0 \*arabic \* MERGEFORMAT ">
        <w:r w:rsidR="00BF6A5D" w:rsidRPr="00BF6A5D">
          <w:t>38</w:t>
        </w:r>
      </w:fldSimple>
      <w:r w:rsidR="00BF6A5D">
        <w:t>.  Guvernele pârâte susțin că argumentele reclamanților și-au schimbat natura și amploarea în ceea ce privește obiectul real al cauzei. În special, se pare că reclamanții urmăresc să coreleze prejudiciul sau inconvenientul pe care pretind că l-au suferit nu numai cu incendiile din 2017, ci și (sau mai ales) cu emisiile de gaze cu efect de seră („GES”) din statele reprezentate de diferitele guverne pârâte.</w:t>
      </w:r>
    </w:p>
    <w:p w:rsidR="00BF6A5D" w:rsidRPr="00BF6A5D" w:rsidRDefault="00D340B2" w:rsidP="00BF6A5D">
      <w:pPr>
        <w:pStyle w:val="JuPara"/>
      </w:pPr>
      <w:fldSimple w:instr=" SEQ level0 \*arabic \* MERGEFORMAT ">
        <w:r w:rsidR="00BF6A5D" w:rsidRPr="00BF6A5D">
          <w:t>39</w:t>
        </w:r>
      </w:fldSimple>
      <w:r w:rsidR="00BF6A5D">
        <w:t>.  În acest sens, guvernele subliniază următoarele:</w:t>
      </w:r>
    </w:p>
    <w:p w:rsidR="00BF6A5D" w:rsidRPr="00BF6A5D" w:rsidRDefault="00BF6A5D" w:rsidP="00BF6A5D">
      <w:pPr>
        <w:pStyle w:val="JuPara"/>
      </w:pPr>
      <w:r>
        <w:t>a)  În ceea ce privește afirmația reclamanților potrivit căreia regiunea în care își au reședința este afectată în mod special de valuri de căldură și de incendii, guvernele arată că locurile de reședință ale reclamanților sunt situate în apropierea coastei și sunt încadrate în „Evaluarea națională a riscurilor” (comunicată de Guvernul portughez), care clasifică diferitele zone ale Portugaliei în funcție de patru categorii de risc (foarte ridicat, ridicat, moderat, scăzut), printre zonele geografice în care nivelul de risc legat de valurile de căldură sau episoadele de căldură extremă este considerat a fi „moderat” sau „scăzut”. Regiunile în care locuiesc reclamanții nu prezintă un risc crescut în comparație cu restul teritoriului portughez. Portugalia a evitat, în orice caz, cele mai grave consecințe ale incendiilor de pădure în perioada 2018–2022, reușind să reducă numărul acestora la jumătate.</w:t>
      </w:r>
    </w:p>
    <w:p w:rsidR="00BF6A5D" w:rsidRPr="00BF6A5D" w:rsidRDefault="00BF6A5D" w:rsidP="00BF6A5D">
      <w:pPr>
        <w:pStyle w:val="JuPara"/>
      </w:pPr>
      <w:r>
        <w:t>b)  Potrivit guvernelor, reclamanții susțin în prezent că sănătatea lor mintală este grav afectată de efectele schimbărilor climatice și/sau a fost grav afectată de incendiile din 2017. Totuși, părțile interesate și-au exprimat anterior îngrijorarea cu privire la posibilele consecințe viitoare ale schimbărilor climatice, în special teama de agravare a bolilor respiratorii și a alergiilor de care suferă.</w:t>
      </w:r>
    </w:p>
    <w:p w:rsidR="00BF6A5D" w:rsidRPr="00BF6A5D" w:rsidRDefault="00BF6A5D" w:rsidP="00BF6A5D">
      <w:pPr>
        <w:pStyle w:val="JuPara"/>
      </w:pPr>
      <w:r>
        <w:t xml:space="preserve">c)  În ceea ce privește problema pretinselor efecte asupra sănătății mintale, și în măsura în care reclamanții se bazează pe raportul de expertiză [a se vedea </w:t>
      </w:r>
      <w:r>
        <w:rPr>
          <w:i/>
          <w:iCs/>
        </w:rPr>
        <w:t>supra</w:t>
      </w:r>
      <w:r>
        <w:t xml:space="preserve">, pct. </w:t>
      </w:r>
      <w:r w:rsidRPr="00BF6A5D">
        <w:fldChar w:fldCharType="begin"/>
      </w:r>
      <w:r w:rsidRPr="00BF6A5D">
        <w:instrText xml:space="preserve">REF paragraph00025 \h \* CharFormat  \* MERGEFORMAT </w:instrText>
      </w:r>
      <w:r w:rsidRPr="00BF6A5D">
        <w:fldChar w:fldCharType="separate"/>
      </w:r>
      <w:r w:rsidRPr="00BF6A5D">
        <w:t>26</w:t>
      </w:r>
      <w:r w:rsidRPr="00BF6A5D">
        <w:fldChar w:fldCharType="end"/>
      </w:r>
      <w:r>
        <w:t xml:space="preserve"> lit. d)], guvernele își exprimă îndoielile cu privire la posibilitatea de a considera că documentul respectiv este un „raport de expertiză”. Acestea observă că chiar în raportul respectiv se recunoaște faptul că anxietatea legată de climă nu este încă o boală psihică diagnosticabilă. Susțin că nu există nicio dovadă că vreunul dintre reclamanți a urmat un tratament, fie pentru anxietate sau depresie în general, fie pentru anxietate legată de climă. Se pare că „raportul de expertiză” a fost întocmit fără examinarea directă a reclamanților de către expert. Se pare că reclamanții au fost ascultați exclusiv online, în condiții nespecificate.</w:t>
      </w:r>
    </w:p>
    <w:p w:rsidR="00BF6A5D" w:rsidRPr="00BF6A5D" w:rsidRDefault="00BF6A5D" w:rsidP="00BF6A5D">
      <w:pPr>
        <w:pStyle w:val="JuHHead"/>
      </w:pPr>
      <w:bookmarkStart w:id="15" w:name="_Toc177058372"/>
      <w:r>
        <w:lastRenderedPageBreak/>
        <w:t>CADRUL JURIDIC ȘI PRACTICA RELEVANTE</w:t>
      </w:r>
      <w:bookmarkEnd w:id="15"/>
    </w:p>
    <w:p w:rsidR="00BF6A5D" w:rsidRPr="00BF6A5D" w:rsidRDefault="00BF6A5D" w:rsidP="00BF6A5D">
      <w:pPr>
        <w:pStyle w:val="JuHIRoman"/>
      </w:pPr>
      <w:bookmarkStart w:id="16" w:name="_Toc177058373"/>
      <w:r>
        <w:t>CADRUL JURIDIC INTERN AL PORTUGALIEI</w:t>
      </w:r>
      <w:bookmarkEnd w:id="16"/>
    </w:p>
    <w:p w:rsidR="00BF6A5D" w:rsidRPr="00BF6A5D" w:rsidRDefault="00BF6A5D" w:rsidP="00BF6A5D">
      <w:pPr>
        <w:pStyle w:val="JuHA"/>
      </w:pPr>
      <w:bookmarkStart w:id="17" w:name="_Toc177058374"/>
      <w:r>
        <w:t>Dreptul intern relevant</w:t>
      </w:r>
      <w:bookmarkEnd w:id="17"/>
    </w:p>
    <w:p w:rsidR="00BF6A5D" w:rsidRPr="00BF6A5D" w:rsidRDefault="00BF6A5D" w:rsidP="00BF6A5D">
      <w:pPr>
        <w:pStyle w:val="JuH1"/>
      </w:pPr>
      <w:bookmarkStart w:id="18" w:name="_Toc177058375"/>
      <w:r>
        <w:t>Constituția</w:t>
      </w:r>
      <w:bookmarkEnd w:id="18"/>
    </w:p>
    <w:bookmarkStart w:id="19" w:name="paragraph00039"/>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40</w:t>
      </w:r>
      <w:r w:rsidRPr="00BF6A5D">
        <w:fldChar w:fldCharType="end"/>
      </w:r>
      <w:bookmarkEnd w:id="19"/>
      <w:r>
        <w:t>.  Dispozițiile relevante din Constituția Portugaliei sunt redactate după cum urmează:</w:t>
      </w:r>
    </w:p>
    <w:p w:rsidR="00BF6A5D" w:rsidRPr="00BF6A5D" w:rsidRDefault="00BF6A5D" w:rsidP="00BF6A5D">
      <w:pPr>
        <w:pStyle w:val="JuHArticle"/>
      </w:pPr>
      <w:r>
        <w:t>Articolul 9</w:t>
      </w:r>
    </w:p>
    <w:p w:rsidR="00BF6A5D" w:rsidRPr="00BF6A5D" w:rsidRDefault="00BF6A5D" w:rsidP="00BF6A5D">
      <w:pPr>
        <w:pStyle w:val="JuHArticle"/>
      </w:pPr>
      <w:r>
        <w:t>Sarcinile fundamentale ale statului</w:t>
      </w:r>
    </w:p>
    <w:p w:rsidR="00BF6A5D" w:rsidRPr="00BF6A5D" w:rsidRDefault="00BF6A5D" w:rsidP="00BF6A5D">
      <w:pPr>
        <w:pStyle w:val="JuQuot"/>
      </w:pPr>
      <w:r>
        <w:t>„Sarcinile fundamentale ale statului sunt:</w:t>
      </w:r>
    </w:p>
    <w:p w:rsidR="00BF6A5D" w:rsidRPr="00BF6A5D" w:rsidRDefault="00BF6A5D" w:rsidP="00BF6A5D">
      <w:pPr>
        <w:pStyle w:val="JuQuot"/>
      </w:pPr>
      <w:r>
        <w:t>[...]</w:t>
      </w:r>
    </w:p>
    <w:p w:rsidR="00BF6A5D" w:rsidRPr="00BF6A5D" w:rsidRDefault="00BF6A5D" w:rsidP="00BF6A5D">
      <w:pPr>
        <w:pStyle w:val="JuQuot"/>
      </w:pPr>
      <w:r>
        <w:t>e)  [...] apărarea naturii și a mediului, conservarea resurselor naturale [...]”</w:t>
      </w:r>
    </w:p>
    <w:p w:rsidR="00BF6A5D" w:rsidRPr="00BF6A5D" w:rsidRDefault="00BF6A5D" w:rsidP="00BF6A5D">
      <w:pPr>
        <w:pStyle w:val="JuHArticle"/>
      </w:pPr>
    </w:p>
    <w:p w:rsidR="00BF6A5D" w:rsidRPr="00BF6A5D" w:rsidRDefault="00BF6A5D" w:rsidP="00BF6A5D">
      <w:pPr>
        <w:pStyle w:val="JuHArticle"/>
      </w:pPr>
      <w:r>
        <w:t>Articolul 16</w:t>
      </w:r>
    </w:p>
    <w:p w:rsidR="00BF6A5D" w:rsidRPr="00BF6A5D" w:rsidRDefault="00BF6A5D" w:rsidP="00BF6A5D">
      <w:pPr>
        <w:pStyle w:val="JuHArticle"/>
      </w:pPr>
      <w:r>
        <w:t>Domeniul de aplicare și interpretarea drepturilor fundamentale</w:t>
      </w:r>
    </w:p>
    <w:p w:rsidR="00BF6A5D" w:rsidRPr="00BF6A5D" w:rsidRDefault="00BF6A5D" w:rsidP="00BF6A5D">
      <w:pPr>
        <w:pStyle w:val="JuQuot"/>
      </w:pPr>
      <w:r>
        <w:t>„1.  Drepturile fundamentale consacrate în prezenta Constituție nu exclud alte drepturi în conformitate cu legile și cu normele aplicabile ale dreptului internațional.</w:t>
      </w:r>
    </w:p>
    <w:p w:rsidR="00BF6A5D" w:rsidRPr="00BF6A5D" w:rsidRDefault="00BF6A5D" w:rsidP="00BF6A5D">
      <w:pPr>
        <w:pStyle w:val="JuQuot"/>
      </w:pPr>
      <w:r>
        <w:t>2.  Prevederile prezentei Constituții și ale legilor privind drepturile fundamentale sunt interpretate și aplicate în conformitate cu Declarația Universală a Drepturilor Omului.”</w:t>
      </w:r>
    </w:p>
    <w:p w:rsidR="00BF6A5D" w:rsidRPr="00BF6A5D" w:rsidRDefault="00BF6A5D" w:rsidP="00BF6A5D">
      <w:pPr>
        <w:pStyle w:val="JuHArticle"/>
      </w:pPr>
      <w:r>
        <w:t>Articolul 17</w:t>
      </w:r>
    </w:p>
    <w:p w:rsidR="00BF6A5D" w:rsidRPr="00BF6A5D" w:rsidRDefault="00BF6A5D" w:rsidP="00BF6A5D">
      <w:pPr>
        <w:pStyle w:val="JuHArticle"/>
      </w:pPr>
      <w:r>
        <w:t>Regimul drepturilor, libertăților și garanțiilor</w:t>
      </w:r>
    </w:p>
    <w:p w:rsidR="00BF6A5D" w:rsidRPr="00BF6A5D" w:rsidRDefault="00BF6A5D" w:rsidP="00BF6A5D">
      <w:pPr>
        <w:pStyle w:val="JuQuot"/>
      </w:pPr>
      <w:r>
        <w:t>„Regimul aplicabil drepturilor, libertăților și garanțiilor se aplică celor enunțate în titlul II și drepturilor fundamentale de natură analogă.”</w:t>
      </w:r>
    </w:p>
    <w:p w:rsidR="00BF6A5D" w:rsidRPr="00BF6A5D" w:rsidRDefault="00BF6A5D" w:rsidP="00BF6A5D">
      <w:pPr>
        <w:pStyle w:val="JuHArticle"/>
      </w:pPr>
      <w:r>
        <w:t>Articolul 18</w:t>
      </w:r>
    </w:p>
    <w:p w:rsidR="00BF6A5D" w:rsidRPr="00BF6A5D" w:rsidRDefault="00BF6A5D" w:rsidP="00BF6A5D">
      <w:pPr>
        <w:pStyle w:val="JuHArticle"/>
      </w:pPr>
      <w:r>
        <w:t>Forța juridică</w:t>
      </w:r>
    </w:p>
    <w:p w:rsidR="00BF6A5D" w:rsidRPr="00BF6A5D" w:rsidRDefault="00BF6A5D" w:rsidP="00BF6A5D">
      <w:pPr>
        <w:pStyle w:val="JuQuot"/>
      </w:pPr>
      <w:r>
        <w:t>„1.  Prevederile prezentei Constituții cu privire la drepturi, libertăți și garanții sunt direct aplicabile și obligatorii pentru entitățile publice și private.</w:t>
      </w:r>
    </w:p>
    <w:p w:rsidR="00BF6A5D" w:rsidRPr="00BF6A5D" w:rsidRDefault="00BF6A5D" w:rsidP="00BF6A5D">
      <w:pPr>
        <w:pStyle w:val="JuQuot"/>
      </w:pPr>
      <w:r>
        <w:t>[...]”</w:t>
      </w:r>
    </w:p>
    <w:p w:rsidR="00BF6A5D" w:rsidRPr="00BF6A5D" w:rsidRDefault="00BF6A5D" w:rsidP="00BF6A5D">
      <w:pPr>
        <w:pStyle w:val="JuHArticle"/>
      </w:pPr>
      <w:r>
        <w:t>Articolul 52</w:t>
      </w:r>
    </w:p>
    <w:p w:rsidR="00BF6A5D" w:rsidRPr="00BF6A5D" w:rsidRDefault="00BF6A5D" w:rsidP="00BF6A5D">
      <w:pPr>
        <w:pStyle w:val="JuHArticle"/>
      </w:pPr>
      <w:r>
        <w:t>Dreptul de recurs și dreptul la acțiune populară (</w:t>
      </w:r>
      <w:r>
        <w:rPr>
          <w:i/>
          <w:iCs/>
        </w:rPr>
        <w:t>actio popularis</w:t>
      </w:r>
      <w:r>
        <w:t>)</w:t>
      </w:r>
    </w:p>
    <w:p w:rsidR="00BF6A5D" w:rsidRPr="00BF6A5D" w:rsidRDefault="00BF6A5D" w:rsidP="00BF6A5D">
      <w:pPr>
        <w:pStyle w:val="JuQuot"/>
      </w:pPr>
      <w:r>
        <w:t>„1.  Toți cetățenii au dreptul să depună, individual sau în colectiv, petiții, expuneri, reclamații sau plângeri în vederea apărării drepturilor proprii, a prezentei Constituții, a legilor sau a interesului general în fața organelor care exercită puterea suverană, a organelor administrative ale regiunilor autonome sau a oricărei autorități, precum și dreptul de a fi informați, într-o perioadă rezonabilă de timp, cu privire la rezultatul analizării acestora.</w:t>
      </w:r>
    </w:p>
    <w:p w:rsidR="00BF6A5D" w:rsidRPr="00BF6A5D" w:rsidRDefault="00BF6A5D" w:rsidP="00BF6A5D">
      <w:pPr>
        <w:pStyle w:val="JuQuot"/>
      </w:pPr>
      <w:r>
        <w:t>2.  Legea stabilește termenii în care petițiile comune adresate Adunării Republicii și Adunărilor Legislative ale regiunilor autonome sunt analizate în ședință plenară.</w:t>
      </w:r>
    </w:p>
    <w:p w:rsidR="00BF6A5D" w:rsidRPr="00BF6A5D" w:rsidRDefault="00BF6A5D" w:rsidP="00BF6A5D">
      <w:pPr>
        <w:pStyle w:val="JuQuot"/>
      </w:pPr>
      <w:r>
        <w:lastRenderedPageBreak/>
        <w:t>3.  Toate persoanele au dreptul la promovarea unei acțiuni de interes general (</w:t>
      </w:r>
      <w:r>
        <w:rPr>
          <w:i/>
        </w:rPr>
        <w:t>actio popularis</w:t>
      </w:r>
      <w:r>
        <w:t>), care include dreptul de a solicita despăgubiri adecvate pentru o parte sau mai multe părți prejudiciate, în cazurile și conform termenilor stabiliți prin lege, fie personal, fie prin intermediul asociațiilor care au ca scop apărarea intereselor în cauză, în special pentru:</w:t>
      </w:r>
    </w:p>
    <w:p w:rsidR="00BF6A5D" w:rsidRPr="00BF6A5D" w:rsidRDefault="00BF6A5D" w:rsidP="00BF6A5D">
      <w:pPr>
        <w:pStyle w:val="JuQuot"/>
      </w:pPr>
      <w:r>
        <w:t>a)   a promova prevenirea, încetarea sau urmărirea în justiție a infracțiunilor săvârșite împotriva sănătății publice, drepturilor consumatorului, calității vieții sau conservării mediului și a patrimoniului cultural [...]”</w:t>
      </w:r>
    </w:p>
    <w:p w:rsidR="00BF6A5D" w:rsidRPr="00BF6A5D" w:rsidRDefault="00BF6A5D" w:rsidP="00BF6A5D">
      <w:pPr>
        <w:pStyle w:val="JuHArticle"/>
      </w:pPr>
      <w:r>
        <w:t>Articolul 66</w:t>
      </w:r>
    </w:p>
    <w:p w:rsidR="00BF6A5D" w:rsidRPr="00BF6A5D" w:rsidRDefault="00BF6A5D" w:rsidP="00BF6A5D">
      <w:pPr>
        <w:pStyle w:val="JuHArticle"/>
      </w:pPr>
      <w:r>
        <w:t>Mediul și calitatea vieții</w:t>
      </w:r>
    </w:p>
    <w:p w:rsidR="00BF6A5D" w:rsidRPr="00BF6A5D" w:rsidRDefault="00BF6A5D" w:rsidP="00BF6A5D">
      <w:pPr>
        <w:pStyle w:val="JuQuot"/>
      </w:pPr>
      <w:r>
        <w:t>„1.  Orice persoană are dreptul la un mediu de viață sănătos și echilibrat din punct de vedere ecologic și are îndatorirea de a proteja un astfel de mediu.</w:t>
      </w:r>
    </w:p>
    <w:p w:rsidR="00BF6A5D" w:rsidRPr="00BF6A5D" w:rsidRDefault="00BF6A5D" w:rsidP="00BF6A5D">
      <w:pPr>
        <w:pStyle w:val="JuQuot"/>
      </w:pPr>
      <w:r>
        <w:t>2.  Pentru a asigura dreptul la un astfel de mediu, în cadrul general al dezvoltării durabile, acționând prin intermediul organelor competente și cu implicarea și participarea cetățenilor, statul este responsabil de:</w:t>
      </w:r>
    </w:p>
    <w:p w:rsidR="00BF6A5D" w:rsidRPr="00BF6A5D" w:rsidRDefault="00BF6A5D" w:rsidP="00BF6A5D">
      <w:pPr>
        <w:pStyle w:val="JuQuot"/>
      </w:pPr>
      <w:r>
        <w:t>a)  prevenirea și controlul poluării și al efectelor acesteia, precum și al formelor nocive de eroziune [...]”</w:t>
      </w:r>
    </w:p>
    <w:p w:rsidR="00BF6A5D" w:rsidRPr="00BF6A5D" w:rsidRDefault="00BF6A5D" w:rsidP="00BF6A5D">
      <w:pPr>
        <w:pStyle w:val="JuH1"/>
      </w:pPr>
      <w:bookmarkStart w:id="20" w:name="_Toc177058376"/>
      <w:r>
        <w:t>Legea nr. 83/95 din 31 august 1995</w:t>
      </w:r>
      <w:bookmarkEnd w:id="20"/>
    </w:p>
    <w:bookmarkStart w:id="21" w:name="paragraph00040"/>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41</w:t>
      </w:r>
      <w:r w:rsidRPr="00BF6A5D">
        <w:fldChar w:fldCharType="end"/>
      </w:r>
      <w:bookmarkEnd w:id="21"/>
      <w:r>
        <w:t xml:space="preserve">.  Dispozițiile relevante ale Legii nr. 83/95 privind dreptul de a participa la procedură și dreptul la </w:t>
      </w:r>
      <w:r>
        <w:rPr>
          <w:i/>
          <w:iCs/>
        </w:rPr>
        <w:t>actio popularis</w:t>
      </w:r>
      <w:r>
        <w:t xml:space="preserve"> sunt redactate după cum urmează:</w:t>
      </w:r>
    </w:p>
    <w:p w:rsidR="00BF6A5D" w:rsidRPr="00BF6A5D" w:rsidRDefault="00BF6A5D" w:rsidP="00BF6A5D">
      <w:pPr>
        <w:pStyle w:val="JuHArticle"/>
      </w:pPr>
      <w:r>
        <w:t>Articolul 1</w:t>
      </w:r>
    </w:p>
    <w:p w:rsidR="00BF6A5D" w:rsidRPr="00BF6A5D" w:rsidRDefault="00BF6A5D" w:rsidP="00BF6A5D">
      <w:pPr>
        <w:pStyle w:val="JuHArticle"/>
      </w:pPr>
      <w:r>
        <w:t>Domeniul de aplicare al legii</w:t>
      </w:r>
    </w:p>
    <w:p w:rsidR="00BF6A5D" w:rsidRPr="00BF6A5D" w:rsidRDefault="00BF6A5D" w:rsidP="00BF6A5D">
      <w:pPr>
        <w:pStyle w:val="JuQuot"/>
      </w:pPr>
      <w:r>
        <w:t xml:space="preserve">„1.  Prezenta lege stabilește situațiile și condițiile în care dreptul de participare populară la o procedură administrativă și dreptul la </w:t>
      </w:r>
      <w:r>
        <w:rPr>
          <w:i/>
          <w:iCs/>
        </w:rPr>
        <w:t>actio popularis</w:t>
      </w:r>
      <w:r>
        <w:t xml:space="preserve"> sunt garantate și pot fi exercitate în scopul prevenirii, încetării sau urmăririi în justiție a infracțiunilor prevăzute de art. 52 alin. 2 din Constituție.</w:t>
      </w:r>
    </w:p>
    <w:p w:rsidR="00BF6A5D" w:rsidRPr="00BF6A5D" w:rsidRDefault="00BF6A5D" w:rsidP="00BF6A5D">
      <w:pPr>
        <w:pStyle w:val="JuQuot"/>
      </w:pPr>
      <w:r>
        <w:t>2.  [...] [I]nteresele protejate de prezenta lege sunt sănătatea publică, mediul, calitatea vieții [...]”</w:t>
      </w:r>
    </w:p>
    <w:p w:rsidR="00BF6A5D" w:rsidRPr="00BF6A5D" w:rsidRDefault="00BF6A5D" w:rsidP="00BF6A5D">
      <w:pPr>
        <w:pStyle w:val="JuHArticle"/>
      </w:pPr>
      <w:r>
        <w:t>Articolul 2</w:t>
      </w:r>
    </w:p>
    <w:p w:rsidR="00BF6A5D" w:rsidRPr="00BF6A5D" w:rsidRDefault="00BF6A5D" w:rsidP="00BF6A5D">
      <w:pPr>
        <w:pStyle w:val="JuHArticle"/>
      </w:pPr>
      <w:r>
        <w:t xml:space="preserve">Dreptul de a participa la proceduri și dreptul la </w:t>
      </w:r>
      <w:r>
        <w:rPr>
          <w:i/>
          <w:iCs/>
        </w:rPr>
        <w:t>actio popularis</w:t>
      </w:r>
    </w:p>
    <w:p w:rsidR="00BF6A5D" w:rsidRPr="00BF6A5D" w:rsidRDefault="00BF6A5D" w:rsidP="00BF6A5D">
      <w:pPr>
        <w:pStyle w:val="JuQuot"/>
      </w:pPr>
      <w:r>
        <w:t xml:space="preserve">„1.  Orice cetățean cu capacitate deplină de exercițiu al drepturilor sale civile și politice și orice asociație sau fundație care apără interesele menționate la articolul precedent beneficiază de dreptul de a participa la o procedură și de dreptul la </w:t>
      </w:r>
      <w:r>
        <w:rPr>
          <w:i/>
          <w:iCs/>
        </w:rPr>
        <w:t>actio popularis</w:t>
      </w:r>
      <w:r>
        <w:t>, indiferent dacă are sau nu un interes direct în acțiunea respectivă.”</w:t>
      </w:r>
    </w:p>
    <w:p w:rsidR="00BF6A5D" w:rsidRPr="00BF6A5D" w:rsidRDefault="00BF6A5D" w:rsidP="00BF6A5D">
      <w:pPr>
        <w:pStyle w:val="JuH1"/>
      </w:pPr>
      <w:bookmarkStart w:id="22" w:name="_Toc177058377"/>
      <w:r>
        <w:t>Codul civil</w:t>
      </w:r>
      <w:bookmarkEnd w:id="22"/>
    </w:p>
    <w:bookmarkStart w:id="23" w:name="paragraph00041"/>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42</w:t>
      </w:r>
      <w:r w:rsidRPr="00BF6A5D">
        <w:fldChar w:fldCharType="end"/>
      </w:r>
      <w:bookmarkEnd w:id="23"/>
      <w:r>
        <w:t>.  Art. 70 din Codul civil (Protecția personalității) prevede următoarele:</w:t>
      </w:r>
    </w:p>
    <w:p w:rsidR="00BF6A5D" w:rsidRPr="00BF6A5D" w:rsidRDefault="00BF6A5D" w:rsidP="00BF6A5D">
      <w:pPr>
        <w:pStyle w:val="JuQuot"/>
      </w:pPr>
      <w:r>
        <w:t>„1.  Legea protejează persoanele împotriva oricărei atingeri sau amenințări cu atingere adusă integrității lor corporale sau morale.</w:t>
      </w:r>
    </w:p>
    <w:p w:rsidR="00BF6A5D" w:rsidRPr="00BF6A5D" w:rsidRDefault="00BF6A5D" w:rsidP="00BF6A5D">
      <w:pPr>
        <w:pStyle w:val="JuQuot"/>
      </w:pPr>
      <w:r>
        <w:t xml:space="preserve">2.  Indiferent de eventuala răspundere civilă, o persoană amenințată sau victimă a unei atingeri aduse integrității sale corporale sau morale poate solicita măsuri adecvate </w:t>
      </w:r>
      <w:r>
        <w:lastRenderedPageBreak/>
        <w:t>circumstanțelor cauzei pentru a evita concretizarea amenințării la adresa sa, ori pentru a atenua efectele unei atingeri deja săvârșite.”</w:t>
      </w:r>
    </w:p>
    <w:p w:rsidR="00BF6A5D" w:rsidRPr="00BF6A5D" w:rsidRDefault="00BF6A5D" w:rsidP="00BF6A5D">
      <w:pPr>
        <w:pStyle w:val="JuH1"/>
      </w:pPr>
      <w:bookmarkStart w:id="24" w:name="_Toc177058378"/>
      <w:r>
        <w:t>Codul de procedură civilă</w:t>
      </w:r>
      <w:bookmarkEnd w:id="24"/>
    </w:p>
    <w:bookmarkStart w:id="25" w:name="paragraph0004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43</w:t>
      </w:r>
      <w:r w:rsidRPr="00BF6A5D">
        <w:fldChar w:fldCharType="end"/>
      </w:r>
      <w:bookmarkEnd w:id="25"/>
      <w:r>
        <w:t>.  Dispozițiile relevante din Codul de procedură civilă sunt redactate după cum urmează:</w:t>
      </w:r>
    </w:p>
    <w:p w:rsidR="00BF6A5D" w:rsidRPr="00BF6A5D" w:rsidRDefault="00BF6A5D" w:rsidP="00BF6A5D">
      <w:pPr>
        <w:pStyle w:val="JuHArticle"/>
      </w:pPr>
      <w:r>
        <w:t>Articolul 16</w:t>
      </w:r>
    </w:p>
    <w:p w:rsidR="00BF6A5D" w:rsidRPr="00BF6A5D" w:rsidRDefault="00BF6A5D" w:rsidP="00BF6A5D">
      <w:pPr>
        <w:pStyle w:val="JuHArticle"/>
      </w:pPr>
      <w:r>
        <w:t>Incapacitate</w:t>
      </w:r>
    </w:p>
    <w:p w:rsidR="00BF6A5D" w:rsidRPr="00BF6A5D" w:rsidRDefault="00BF6A5D" w:rsidP="00BF6A5D">
      <w:pPr>
        <w:pStyle w:val="JuQuot"/>
      </w:pPr>
      <w:r>
        <w:t>„1.  Minorii și adulții însoțiți supuși reprezentării nu se pot prezenta în fața unei instanțe decât prin intermediul reprezentanților lor legali, cu excepția actelor pe care le pot efectua în mod personal și liber.”</w:t>
      </w:r>
    </w:p>
    <w:p w:rsidR="00BF6A5D" w:rsidRPr="00BF6A5D" w:rsidRDefault="00BF6A5D" w:rsidP="00BF6A5D">
      <w:pPr>
        <w:pStyle w:val="JuHArticle"/>
      </w:pPr>
      <w:r>
        <w:t>Titlul 1</w:t>
      </w:r>
    </w:p>
    <w:p w:rsidR="00BF6A5D" w:rsidRPr="00BF6A5D" w:rsidRDefault="00BF6A5D" w:rsidP="00BF6A5D">
      <w:pPr>
        <w:pStyle w:val="JuHArticle"/>
      </w:pPr>
      <w:r>
        <w:t>Protecția personalității</w:t>
      </w:r>
    </w:p>
    <w:p w:rsidR="00BF6A5D" w:rsidRPr="00BF6A5D" w:rsidRDefault="00BF6A5D" w:rsidP="00BF6A5D">
      <w:pPr>
        <w:pStyle w:val="JuHArticle"/>
      </w:pPr>
      <w:r>
        <w:t>Articolul 878</w:t>
      </w:r>
    </w:p>
    <w:p w:rsidR="00BF6A5D" w:rsidRPr="00BF6A5D" w:rsidRDefault="00BF6A5D" w:rsidP="00BF6A5D">
      <w:pPr>
        <w:pStyle w:val="JuHArticle"/>
      </w:pPr>
      <w:r>
        <w:t>Cerințe [privind procedurile speciale de protecție a personalității]</w:t>
      </w:r>
    </w:p>
    <w:p w:rsidR="00BF6A5D" w:rsidRPr="00BF6A5D" w:rsidRDefault="00BF6A5D" w:rsidP="00BF6A5D">
      <w:pPr>
        <w:pStyle w:val="JuQuot"/>
      </w:pPr>
      <w:r>
        <w:t>„Se poate depune o cerere în vederea adoptării unor măsuri concrete adecvate pentru a evita [concretizarea oricărei] amenințări directe și ilegale la adresa personalității fizice sau juridice a unei persoane sau pentru a atenua ori a face să înceteze efectele unei atingeri deja săvârșite.”</w:t>
      </w:r>
    </w:p>
    <w:p w:rsidR="00BF6A5D" w:rsidRPr="00BF6A5D" w:rsidRDefault="00BF6A5D" w:rsidP="00BF6A5D">
      <w:pPr>
        <w:pStyle w:val="JuH1"/>
      </w:pPr>
      <w:bookmarkStart w:id="26" w:name="_Toc177058379"/>
      <w:r>
        <w:t>Legea nr. 19/2014 din 14 aprilie 2014</w:t>
      </w:r>
      <w:bookmarkEnd w:id="26"/>
    </w:p>
    <w:bookmarkStart w:id="27" w:name="paragraph0004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44</w:t>
      </w:r>
      <w:r w:rsidRPr="00BF6A5D">
        <w:fldChar w:fldCharType="end"/>
      </w:r>
      <w:bookmarkEnd w:id="27"/>
      <w:r>
        <w:t>.  În părțile relevante, Legea nr. 19/2014 privind cadrul politicii de mediu este redactată după cum urmează:</w:t>
      </w:r>
    </w:p>
    <w:p w:rsidR="00BF6A5D" w:rsidRPr="00BF6A5D" w:rsidRDefault="00BF6A5D" w:rsidP="00BF6A5D">
      <w:pPr>
        <w:pStyle w:val="JuHArticle"/>
      </w:pPr>
      <w:r>
        <w:t>Articolul 1</w:t>
      </w:r>
    </w:p>
    <w:p w:rsidR="00BF6A5D" w:rsidRPr="00BF6A5D" w:rsidRDefault="00BF6A5D" w:rsidP="00BF6A5D">
      <w:pPr>
        <w:pStyle w:val="JuHArticle"/>
      </w:pPr>
      <w:r>
        <w:t>Domeniul de aplicare</w:t>
      </w:r>
    </w:p>
    <w:p w:rsidR="00BF6A5D" w:rsidRPr="00BF6A5D" w:rsidRDefault="00BF6A5D" w:rsidP="00BF6A5D">
      <w:pPr>
        <w:pStyle w:val="JuQuot"/>
      </w:pPr>
      <w:r>
        <w:t>„Prezenta lege stabilește cadrul politicii de mediu, în conformitate cu art. 9 și 66 din Constituție.”</w:t>
      </w:r>
    </w:p>
    <w:p w:rsidR="00BF6A5D" w:rsidRPr="00BF6A5D" w:rsidRDefault="00BF6A5D" w:rsidP="00BF6A5D">
      <w:pPr>
        <w:pStyle w:val="JuHArticle"/>
      </w:pPr>
      <w:r>
        <w:t>Articolul 5</w:t>
      </w:r>
    </w:p>
    <w:p w:rsidR="00BF6A5D" w:rsidRPr="00BF6A5D" w:rsidRDefault="00BF6A5D" w:rsidP="00BF6A5D">
      <w:pPr>
        <w:pStyle w:val="JuHArticle"/>
      </w:pPr>
      <w:r>
        <w:t>Dreptul la mediu</w:t>
      </w:r>
    </w:p>
    <w:p w:rsidR="00BF6A5D" w:rsidRPr="00BF6A5D" w:rsidRDefault="00BF6A5D" w:rsidP="00BF6A5D">
      <w:pPr>
        <w:pStyle w:val="JuQuot"/>
      </w:pPr>
      <w:r>
        <w:t>„1.  Orice persoană are dreptul la mediu și la calitatea vieții, în conformitate cu Constituția și tratatele internaționale.</w:t>
      </w:r>
    </w:p>
    <w:p w:rsidR="00BF6A5D" w:rsidRPr="00BF6A5D" w:rsidRDefault="00BF6A5D" w:rsidP="00BF6A5D">
      <w:pPr>
        <w:pStyle w:val="JuQuot"/>
      </w:pPr>
      <w:r>
        <w:t>2.  «Dreptul la mediu» înseamnă dreptul de a fi protejat împotriva oricărei ingerințe în sfera specifică fiecărui cetățean protejată de Constituție și dreptul internațional, precum și prerogativa de a solicita entităților publice și private să respecte toate îndatoririle și obligațiile care le sunt impuse prin lege în materie de mediu [...]”</w:t>
      </w:r>
    </w:p>
    <w:p w:rsidR="00BF6A5D" w:rsidRPr="00BF6A5D" w:rsidRDefault="00BF6A5D" w:rsidP="00BF6A5D">
      <w:pPr>
        <w:pStyle w:val="JuHArticle"/>
      </w:pPr>
      <w:r>
        <w:t>Articolul 7</w:t>
      </w:r>
    </w:p>
    <w:p w:rsidR="00BF6A5D" w:rsidRPr="00BF6A5D" w:rsidRDefault="00BF6A5D" w:rsidP="00BF6A5D">
      <w:pPr>
        <w:pStyle w:val="JuHArticle"/>
      </w:pPr>
      <w:r>
        <w:t>Drepturi procedurale în materie de mediu</w:t>
      </w:r>
    </w:p>
    <w:p w:rsidR="00BF6A5D" w:rsidRPr="00BF6A5D" w:rsidRDefault="00BF6A5D" w:rsidP="00BF6A5D">
      <w:pPr>
        <w:pStyle w:val="JuQuot"/>
      </w:pPr>
      <w:r>
        <w:t>„1.  Orice persoană are dreptul la protecția deplină și efectivă a drepturilor și intereselor sale în materie de mediu.</w:t>
      </w:r>
    </w:p>
    <w:p w:rsidR="00BF6A5D" w:rsidRPr="00BF6A5D" w:rsidRDefault="00BF6A5D" w:rsidP="00BF6A5D">
      <w:pPr>
        <w:pStyle w:val="JuQuot"/>
      </w:pPr>
      <w:r>
        <w:t>2.  În special, drepturile procedurale sus-menționate includ în principal:</w:t>
      </w:r>
    </w:p>
    <w:p w:rsidR="00BF6A5D" w:rsidRPr="00BF6A5D" w:rsidRDefault="00BF6A5D" w:rsidP="00BF6A5D">
      <w:pPr>
        <w:pStyle w:val="JuQuot"/>
      </w:pPr>
      <w:r>
        <w:lastRenderedPageBreak/>
        <w:t xml:space="preserve">a)  dreptul de acțiune în apărarea drepturilor și intereselor individuale protejate de lege, precum și exercitarea dreptului de acțiune publică și a dreptului de </w:t>
      </w:r>
      <w:r>
        <w:rPr>
          <w:i/>
          <w:iCs/>
        </w:rPr>
        <w:t>actio popularis</w:t>
      </w:r>
      <w:r>
        <w:t>;</w:t>
      </w:r>
    </w:p>
    <w:p w:rsidR="00BF6A5D" w:rsidRPr="00BF6A5D" w:rsidRDefault="00BF6A5D" w:rsidP="00BF6A5D">
      <w:pPr>
        <w:pStyle w:val="JuQuot"/>
      </w:pPr>
      <w:r>
        <w:t>b)  dreptul de a promova prevenirea, încetarea și repararea, cât mai curând posibil, a atingerilor aduse bunurilor și intereselor în materie de mediu;</w:t>
      </w:r>
    </w:p>
    <w:p w:rsidR="00BF6A5D" w:rsidRPr="00BF6A5D" w:rsidRDefault="00BF6A5D" w:rsidP="00BF6A5D">
      <w:pPr>
        <w:pStyle w:val="JuQuot"/>
      </w:pPr>
      <w:r>
        <w:t>c)  dreptul de a solicita încetarea imediată a oricărei activități care cauzează sau amenință să cauzeze daune mediului, precum și restabilirea situației anterioare și plata despăgubirii corespunzătoare, în conformitate cu legea.”</w:t>
      </w:r>
    </w:p>
    <w:p w:rsidR="00BF6A5D" w:rsidRPr="00BF6A5D" w:rsidRDefault="00BF6A5D" w:rsidP="00BF6A5D">
      <w:pPr>
        <w:pStyle w:val="JuH1"/>
      </w:pPr>
      <w:bookmarkStart w:id="28" w:name="_Toc177058380"/>
      <w:r>
        <w:t>Legea nr. 67/2007 din 31 decembrie 2007</w:t>
      </w:r>
      <w:bookmarkEnd w:id="28"/>
    </w:p>
    <w:bookmarkStart w:id="29" w:name="paragraph0004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45</w:t>
      </w:r>
      <w:r w:rsidRPr="00BF6A5D">
        <w:fldChar w:fldCharType="end"/>
      </w:r>
      <w:bookmarkEnd w:id="29"/>
      <w:r>
        <w:t>.  Legea nr. 67/2007 privind cadrul legal al răspunderii civile extracontractuale a statului și a altor entități publice este redactată după cum urmează:</w:t>
      </w:r>
    </w:p>
    <w:p w:rsidR="00BF6A5D" w:rsidRPr="00BF6A5D" w:rsidRDefault="00BF6A5D" w:rsidP="00BF6A5D">
      <w:pPr>
        <w:pStyle w:val="JuHArticle"/>
      </w:pPr>
      <w:r>
        <w:t>Articolul 3</w:t>
      </w:r>
    </w:p>
    <w:p w:rsidR="00BF6A5D" w:rsidRPr="00BF6A5D" w:rsidRDefault="00BF6A5D" w:rsidP="00BF6A5D">
      <w:pPr>
        <w:pStyle w:val="JuHArticle"/>
      </w:pPr>
      <w:r>
        <w:t>Obligația de a plăti despăgubiri</w:t>
      </w:r>
    </w:p>
    <w:p w:rsidR="00BF6A5D" w:rsidRPr="00BF6A5D" w:rsidRDefault="00BF6A5D" w:rsidP="00BF6A5D">
      <w:pPr>
        <w:pStyle w:val="JuQuot"/>
      </w:pPr>
      <w:r>
        <w:t>„[...]</w:t>
      </w:r>
    </w:p>
    <w:p w:rsidR="00BF6A5D" w:rsidRPr="00BF6A5D" w:rsidRDefault="00BF6A5D" w:rsidP="00BF6A5D">
      <w:pPr>
        <w:pStyle w:val="JuQuot"/>
      </w:pPr>
      <w:r>
        <w:t>3.  Regimul de răspundere prevăzut de prezenta lege acoperă prejudiciile materiale și morale, precum și prejudiciile deja produse și prejudiciile viitoare, în conformitate cu dispozițiile generale ale legii.”</w:t>
      </w:r>
    </w:p>
    <w:p w:rsidR="00BF6A5D" w:rsidRPr="00BF6A5D" w:rsidRDefault="00BF6A5D" w:rsidP="00BF6A5D">
      <w:pPr>
        <w:pStyle w:val="JuHArticle"/>
      </w:pPr>
      <w:r>
        <w:t>Articolul 7</w:t>
      </w:r>
    </w:p>
    <w:p w:rsidR="00BF6A5D" w:rsidRPr="00BF6A5D" w:rsidRDefault="00BF6A5D" w:rsidP="00BF6A5D">
      <w:pPr>
        <w:pStyle w:val="JuHArticle"/>
      </w:pPr>
      <w:r>
        <w:t>Răspunderea exclusivă a statului și a altor persoane juridice de drept public</w:t>
      </w:r>
    </w:p>
    <w:p w:rsidR="00BF6A5D" w:rsidRPr="00BF6A5D" w:rsidRDefault="00BF6A5D" w:rsidP="00BF6A5D">
      <w:pPr>
        <w:pStyle w:val="JuQuot"/>
      </w:pPr>
      <w:r>
        <w:t>„1.  Statul și celelalte persoane juridice de drept public sunt răspunzătoare exclusiv pentru prejudiciile rezultate din fapte sau omisiuni [ilicite], care constituie o ușoară abatere, imputabile reprezentanților oficiali, angajaților sau agenților care au acționat în exercitarea atribuțiilor lor administrative și care rezultă din această exercitare.</w:t>
      </w:r>
    </w:p>
    <w:p w:rsidR="00BF6A5D" w:rsidRPr="00BF6A5D" w:rsidRDefault="00BF6A5D" w:rsidP="00BF6A5D">
      <w:pPr>
        <w:pStyle w:val="JuQuot"/>
      </w:pPr>
      <w:r>
        <w:t>[...]</w:t>
      </w:r>
    </w:p>
    <w:p w:rsidR="00BF6A5D" w:rsidRPr="00BF6A5D" w:rsidRDefault="00BF6A5D" w:rsidP="00BF6A5D">
      <w:pPr>
        <w:pStyle w:val="JuQuot"/>
      </w:pPr>
      <w:r>
        <w:t>3.  Statul și celelalte persoane juridice de drept public sunt răspunzătoare, de asemenea, în cazul în care prejudiciul nu este rezultatul comportamentului propriu-zis al unui anumit reprezentant oficial, funcționar ori agent sau în cazul în care nu se poate stabili nicio răspundere individuală pentru fapta sau omisiunea în discuție, iar fapta sau omisiunea poate fi imputată funcționării [necorespunzătoare] a unui serviciu.</w:t>
      </w:r>
    </w:p>
    <w:p w:rsidR="00BF6A5D" w:rsidRPr="00BF6A5D" w:rsidRDefault="00BF6A5D" w:rsidP="00BF6A5D">
      <w:pPr>
        <w:pStyle w:val="JuQuot"/>
      </w:pPr>
      <w:r>
        <w:t>4.  Un serviciu funcționează [necorespunzător] atunci când, luând în considerare circumstanțele și modelele medii de performanță, ar fi rezonabil să se solicite o formă de acțiune din partea serviciului în discuție pentru a evita prejudiciul cauzat.”</w:t>
      </w:r>
    </w:p>
    <w:p w:rsidR="00BF6A5D" w:rsidRPr="00BF6A5D" w:rsidRDefault="00BF6A5D" w:rsidP="00BF6A5D">
      <w:pPr>
        <w:pStyle w:val="JuH1"/>
      </w:pPr>
      <w:bookmarkStart w:id="30" w:name="_Toc177058381"/>
      <w:r>
        <w:t>Codul de procedură administrativă</w:t>
      </w:r>
      <w:bookmarkEnd w:id="30"/>
    </w:p>
    <w:bookmarkStart w:id="31" w:name="paragraph00045"/>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46</w:t>
      </w:r>
      <w:r w:rsidRPr="00BF6A5D">
        <w:fldChar w:fldCharType="end"/>
      </w:r>
      <w:bookmarkEnd w:id="31"/>
      <w:r>
        <w:t>.  Dispozițiile relevante din Codul de procedură administrativă prevăd următoarele:</w:t>
      </w:r>
    </w:p>
    <w:p w:rsidR="00BF6A5D" w:rsidRPr="00BF6A5D" w:rsidRDefault="00BF6A5D" w:rsidP="00BF6A5D">
      <w:pPr>
        <w:pStyle w:val="JuHArticle"/>
      </w:pPr>
      <w:r>
        <w:t>Articolul 9</w:t>
      </w:r>
    </w:p>
    <w:p w:rsidR="00BF6A5D" w:rsidRPr="00BF6A5D" w:rsidRDefault="00BF6A5D" w:rsidP="00BF6A5D">
      <w:pPr>
        <w:pStyle w:val="JuHArticle"/>
      </w:pPr>
      <w:r>
        <w:t>Calitatea procesuală</w:t>
      </w:r>
    </w:p>
    <w:p w:rsidR="00BF6A5D" w:rsidRPr="00BF6A5D" w:rsidRDefault="00BF6A5D" w:rsidP="00BF6A5D">
      <w:pPr>
        <w:pStyle w:val="JuQuot"/>
      </w:pPr>
      <w:r>
        <w:t>„[...]</w:t>
      </w:r>
    </w:p>
    <w:p w:rsidR="00BF6A5D" w:rsidRPr="00BF6A5D" w:rsidRDefault="00BF6A5D" w:rsidP="00BF6A5D">
      <w:pPr>
        <w:pStyle w:val="JuQuot"/>
      </w:pPr>
      <w:r>
        <w:lastRenderedPageBreak/>
        <w:t>2.  Indiferent de interesul său personal în cadrul procedurii, orice persoană, precum și orice asociație sau fundație care apără interesele în discuție, [...] are calitate procesuală de acțiune și de intervenție, în conformitate cu dispozițiile legale, în procedurile principale și provizorii care au ca obiect apărarea valorilor și bunurilor protejate de Constituție, cum ar fi sănătatea publică, mediul [...] calitatea vieții [...]”</w:t>
      </w:r>
    </w:p>
    <w:p w:rsidR="00BF6A5D" w:rsidRPr="00BF6A5D" w:rsidRDefault="00BF6A5D" w:rsidP="00BF6A5D">
      <w:pPr>
        <w:pStyle w:val="JuHArticle"/>
      </w:pPr>
      <w:r>
        <w:t>Articolul 109</w:t>
      </w:r>
    </w:p>
    <w:p w:rsidR="00BF6A5D" w:rsidRPr="00BF6A5D" w:rsidRDefault="00BF6A5D" w:rsidP="00BF6A5D">
      <w:pPr>
        <w:pStyle w:val="JuHArticle"/>
      </w:pPr>
      <w:r>
        <w:t>Cerințe [privind acțiunile în încetare având ca obiect protecția drepturilor, libertăților și garanțiilor]</w:t>
      </w:r>
    </w:p>
    <w:p w:rsidR="00BF6A5D" w:rsidRPr="00BF6A5D" w:rsidRDefault="00BF6A5D" w:rsidP="00BF6A5D">
      <w:pPr>
        <w:pStyle w:val="JuQuot"/>
      </w:pPr>
      <w:r>
        <w:t>„1.  În cazurile în care o decizie pe fond rapidă prin care se solicită administrației să adopte un comportament pozitiv sau negativ se dovedește a fi indispensabilă pentru a garanta exercitarea, în timp util, a unui drept, a unei libertăți sau a unei garanții, se poate solicita o ordonanță de protejare a drepturilor, libertăților și garanțiilor atunci când este imposibil sau insuficient, în raport cu circumstanțele cauzei, [să se dispună] o măsură provizorie.</w:t>
      </w:r>
    </w:p>
    <w:p w:rsidR="00BF6A5D" w:rsidRPr="00BF6A5D" w:rsidRDefault="00BF6A5D" w:rsidP="00BF6A5D">
      <w:pPr>
        <w:pStyle w:val="JuQuot"/>
      </w:pPr>
      <w:r>
        <w:t>[...]”</w:t>
      </w:r>
    </w:p>
    <w:p w:rsidR="00BF6A5D" w:rsidRPr="00BF6A5D" w:rsidRDefault="00BF6A5D" w:rsidP="00BF6A5D">
      <w:pPr>
        <w:pStyle w:val="JuHArticle"/>
      </w:pPr>
      <w:r>
        <w:t>Articolul 112</w:t>
      </w:r>
    </w:p>
    <w:p w:rsidR="00BF6A5D" w:rsidRPr="00BF6A5D" w:rsidRDefault="00BF6A5D" w:rsidP="00BF6A5D">
      <w:pPr>
        <w:pStyle w:val="JuHArticle"/>
      </w:pPr>
      <w:r>
        <w:t>Măsuri provizorii</w:t>
      </w:r>
    </w:p>
    <w:p w:rsidR="00BF6A5D" w:rsidRPr="00BF6A5D" w:rsidRDefault="00BF6A5D" w:rsidP="00BF6A5D">
      <w:pPr>
        <w:pStyle w:val="JuQuot"/>
      </w:pPr>
      <w:r>
        <w:t>„1.  Orice persoană care are calitate procesuală în fața instanțelor administrative poate solicita adoptarea măsurii sau măsurilor provizorii, anticipative sau asigurătorii considerate adecvate pentru a garanta utilitatea hotărârii care urmează să fie pronunțată în cadrul procedurii respective.</w:t>
      </w:r>
    </w:p>
    <w:p w:rsidR="00BF6A5D" w:rsidRPr="00BF6A5D" w:rsidRDefault="00BF6A5D" w:rsidP="00BF6A5D">
      <w:pPr>
        <w:pStyle w:val="JuQuot"/>
      </w:pPr>
      <w:r>
        <w:t>[...]”</w:t>
      </w:r>
    </w:p>
    <w:p w:rsidR="00BF6A5D" w:rsidRPr="00BF6A5D" w:rsidRDefault="00BF6A5D" w:rsidP="00BF6A5D">
      <w:pPr>
        <w:pStyle w:val="JuHArticle"/>
      </w:pPr>
      <w:r>
        <w:t>Articolul 131</w:t>
      </w:r>
    </w:p>
    <w:p w:rsidR="00BF6A5D" w:rsidRPr="00BF6A5D" w:rsidRDefault="00BF6A5D" w:rsidP="00BF6A5D">
      <w:pPr>
        <w:pStyle w:val="JuHArticle"/>
      </w:pPr>
      <w:r>
        <w:t>Ordonanțe provizorii</w:t>
      </w:r>
    </w:p>
    <w:p w:rsidR="00BF6A5D" w:rsidRPr="00BF6A5D" w:rsidRDefault="00BF6A5D" w:rsidP="00BF6A5D">
      <w:pPr>
        <w:pStyle w:val="JuQuot"/>
      </w:pPr>
      <w:r>
        <w:t>„1.  În cazul în care se recunoaște o situație de urgență deosebită, de natură să creeze în cursul procedurii un fapt împlinit, instanța poate, prin ordonanță preliminară, la cererea reclamantului sau din oficiu, să dispună cu titlu provizoriu măsura solicitată sau măsura pe care o consideră cea mai adecvată, fără o examinare suplimentară, în termen de 48 de ore [...]”</w:t>
      </w:r>
    </w:p>
    <w:p w:rsidR="00BF6A5D" w:rsidRPr="00BF6A5D" w:rsidRDefault="00BF6A5D" w:rsidP="00BF6A5D">
      <w:pPr>
        <w:pStyle w:val="JuH1"/>
      </w:pPr>
      <w:bookmarkStart w:id="32" w:name="_Toc177058382"/>
      <w:r>
        <w:t>Legea nr. 35/98 din 18 iulie 1998</w:t>
      </w:r>
      <w:bookmarkEnd w:id="32"/>
    </w:p>
    <w:bookmarkStart w:id="33" w:name="lt_pId192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47</w:t>
      </w:r>
      <w:r w:rsidRPr="00BF6A5D">
        <w:fldChar w:fldCharType="end"/>
      </w:r>
      <w:bookmarkEnd w:id="33"/>
      <w:r>
        <w:t>.  Legea nr. 35/98 privind statutul juridic al organizațiilor neguvernamentale de apărare a mediului („ONG-uri pentru protecția mediului”) conține următoarele dispoziții relevante:</w:t>
      </w:r>
    </w:p>
    <w:p w:rsidR="00BF6A5D" w:rsidRPr="00BF6A5D" w:rsidRDefault="00BF6A5D" w:rsidP="00BF6A5D">
      <w:pPr>
        <w:pStyle w:val="JuHArticle"/>
      </w:pPr>
      <w:r>
        <w:t>Articolul 9</w:t>
      </w:r>
    </w:p>
    <w:p w:rsidR="00BF6A5D" w:rsidRPr="00BF6A5D" w:rsidRDefault="00BF6A5D" w:rsidP="00BF6A5D">
      <w:pPr>
        <w:pStyle w:val="JuHArticle"/>
      </w:pPr>
      <w:r>
        <w:t>Căi de atac și proceduri administrative</w:t>
      </w:r>
    </w:p>
    <w:p w:rsidR="00BF6A5D" w:rsidRPr="00BF6A5D" w:rsidRDefault="00BF6A5D" w:rsidP="00BF6A5D">
      <w:pPr>
        <w:pStyle w:val="JuQuot"/>
      </w:pPr>
      <w:r>
        <w:t>„1.  ONG-urile pentru protecția mediului au dreptul de a promova în fața autorităților competente căile de atac administrative pentru protecția mediului, precum și de a iniția o procedură administrativă [...]”</w:t>
      </w:r>
    </w:p>
    <w:p w:rsidR="00BF6A5D" w:rsidRPr="00BF6A5D" w:rsidRDefault="00BF6A5D" w:rsidP="00BF6A5D">
      <w:pPr>
        <w:pStyle w:val="JuHArticle"/>
      </w:pPr>
      <w:r>
        <w:t>Articolul 10</w:t>
      </w:r>
    </w:p>
    <w:p w:rsidR="00BF6A5D" w:rsidRPr="00BF6A5D" w:rsidRDefault="00BF6A5D" w:rsidP="00BF6A5D">
      <w:pPr>
        <w:pStyle w:val="JuHArticle"/>
      </w:pPr>
      <w:r>
        <w:t>Calitatea procesuală</w:t>
      </w:r>
    </w:p>
    <w:p w:rsidR="00BF6A5D" w:rsidRPr="00BF6A5D" w:rsidRDefault="00BF6A5D" w:rsidP="00BF6A5D">
      <w:pPr>
        <w:pStyle w:val="JuQuot"/>
      </w:pPr>
      <w:r>
        <w:t>„ONG-urile, indiferent dacă au sau nu un interes direct în procedură, au dreptul:</w:t>
      </w:r>
    </w:p>
    <w:p w:rsidR="00BF6A5D" w:rsidRPr="00BF6A5D" w:rsidRDefault="00BF6A5D" w:rsidP="00BF6A5D">
      <w:pPr>
        <w:pStyle w:val="JuQuot"/>
      </w:pPr>
      <w:r>
        <w:lastRenderedPageBreak/>
        <w:t>a)  de a introduce o acțiune în justiție în vederea prevenirii, modificării, suspendării sau încetării actelor sau omisiunilor entităților de drept public sau privat care dăunează sau ar putea dăuna mediului;</w:t>
      </w:r>
    </w:p>
    <w:p w:rsidR="00BF6A5D" w:rsidRPr="00BF6A5D" w:rsidRDefault="00BF6A5D" w:rsidP="00BF6A5D">
      <w:pPr>
        <w:pStyle w:val="JuQuot"/>
      </w:pPr>
      <w:r>
        <w:t>b)  de a introduce o acțiune în justiție, în conformitate cu legea, în vederea angajării răspunderii civile a autorilor actelor sau omisiunilor vizate la lit. a);</w:t>
      </w:r>
    </w:p>
    <w:p w:rsidR="00BF6A5D" w:rsidRPr="00BF6A5D" w:rsidRDefault="00BF6A5D" w:rsidP="00BF6A5D">
      <w:pPr>
        <w:pStyle w:val="JuQuot"/>
      </w:pPr>
      <w:r>
        <w:t>c)  de a exercita o cale de atac împotriva actelor și reglementărilor administrative care constituie o încălcare a dispozițiilor legale privind protecția mediului;</w:t>
      </w:r>
    </w:p>
    <w:p w:rsidR="00BF6A5D" w:rsidRPr="00BF6A5D" w:rsidRDefault="00BF6A5D" w:rsidP="00BF6A5D">
      <w:pPr>
        <w:pStyle w:val="JuQuot"/>
      </w:pPr>
      <w:r>
        <w:t>[...]”</w:t>
      </w:r>
    </w:p>
    <w:p w:rsidR="00BF6A5D" w:rsidRPr="00BF6A5D" w:rsidRDefault="00BF6A5D" w:rsidP="00BF6A5D">
      <w:pPr>
        <w:pStyle w:val="JuH1"/>
      </w:pPr>
      <w:bookmarkStart w:id="34" w:name="_Toc177058383"/>
      <w:r>
        <w:t>Decretul-lege nr. 147/2008 din 20 iulie 2008</w:t>
      </w:r>
      <w:bookmarkEnd w:id="34"/>
    </w:p>
    <w:bookmarkStart w:id="35" w:name="paragraph00047"/>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48</w:t>
      </w:r>
      <w:r w:rsidRPr="00BF6A5D">
        <w:fldChar w:fldCharType="end"/>
      </w:r>
      <w:bookmarkEnd w:id="35"/>
      <w:r>
        <w:t>.  Dispozițiile relevante ale Decretului-lege nr. 147/2008 sunt redactate după cum urmează:</w:t>
      </w:r>
    </w:p>
    <w:p w:rsidR="00BF6A5D" w:rsidRPr="00BF6A5D" w:rsidRDefault="00BF6A5D" w:rsidP="00BF6A5D">
      <w:pPr>
        <w:pStyle w:val="JuHArticle"/>
      </w:pPr>
      <w:r>
        <w:t>Articolul 1</w:t>
      </w:r>
    </w:p>
    <w:p w:rsidR="00BF6A5D" w:rsidRPr="00BF6A5D" w:rsidRDefault="00BF6A5D" w:rsidP="00BF6A5D">
      <w:pPr>
        <w:pStyle w:val="JuHArticle"/>
      </w:pPr>
      <w:r>
        <w:t>Obiectul</w:t>
      </w:r>
    </w:p>
    <w:p w:rsidR="00BF6A5D" w:rsidRPr="00BF6A5D" w:rsidRDefault="00BF6A5D" w:rsidP="00BF6A5D">
      <w:pPr>
        <w:pStyle w:val="JuQuot"/>
      </w:pPr>
      <w:r>
        <w:t>„Prezentul decret-lege stabilește cadrul juridic privind răspunderea pentru daunele aduse mediului și transpune în ordinea juridică internă Directiva 2004/35/CE a Parlamentului European și a Consiliului din 21 aprilie 2004 [...]”</w:t>
      </w:r>
    </w:p>
    <w:p w:rsidR="00BF6A5D" w:rsidRPr="00BF6A5D" w:rsidRDefault="00BF6A5D" w:rsidP="00BF6A5D">
      <w:pPr>
        <w:pStyle w:val="JuHArticle"/>
      </w:pPr>
      <w:r>
        <w:t>Articolul 2</w:t>
      </w:r>
    </w:p>
    <w:p w:rsidR="00BF6A5D" w:rsidRPr="00BF6A5D" w:rsidRDefault="00BF6A5D" w:rsidP="00BF6A5D">
      <w:pPr>
        <w:pStyle w:val="JuHArticle"/>
      </w:pPr>
      <w:r>
        <w:t>Domeniul de aplicare</w:t>
      </w:r>
    </w:p>
    <w:p w:rsidR="00BF6A5D" w:rsidRPr="00BF6A5D" w:rsidRDefault="00BF6A5D" w:rsidP="00BF6A5D">
      <w:pPr>
        <w:pStyle w:val="JuQuot"/>
      </w:pPr>
      <w:r>
        <w:t>„1.  Prezentul decret-lege se aplică daunelor aduse mediului, precum și amenințărilor iminente de producere a unor astfel de daune, rezultate din orice activitate desfășurată în cadrul unei activități economice, cu caracter public sau privat, lucrativ sau nelucrativ [...].</w:t>
      </w:r>
    </w:p>
    <w:p w:rsidR="00BF6A5D" w:rsidRPr="00BF6A5D" w:rsidRDefault="00BF6A5D" w:rsidP="00BF6A5D">
      <w:pPr>
        <w:pStyle w:val="JuH1"/>
      </w:pPr>
      <w:bookmarkStart w:id="36" w:name="_Toc177058384"/>
      <w:r>
        <w:t>Legea nr. 98/2021 din 31 decembrie 2021</w:t>
      </w:r>
      <w:bookmarkEnd w:id="36"/>
    </w:p>
    <w:bookmarkStart w:id="37" w:name="paragraph00048"/>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49</w:t>
      </w:r>
      <w:r w:rsidRPr="00BF6A5D">
        <w:fldChar w:fldCharType="end"/>
      </w:r>
      <w:bookmarkEnd w:id="37"/>
      <w:r>
        <w:t>.  Legea climei (Legea nr. 98/2021) conține următoarele pasaje relevante:</w:t>
      </w:r>
    </w:p>
    <w:p w:rsidR="00BF6A5D" w:rsidRPr="00BF6A5D" w:rsidRDefault="00BF6A5D" w:rsidP="00BF6A5D">
      <w:pPr>
        <w:pStyle w:val="JuHArticle"/>
      </w:pPr>
      <w:r>
        <w:t>Articolul 2</w:t>
      </w:r>
    </w:p>
    <w:p w:rsidR="00BF6A5D" w:rsidRPr="00BF6A5D" w:rsidRDefault="00BF6A5D" w:rsidP="00BF6A5D">
      <w:pPr>
        <w:pStyle w:val="JuHArticle"/>
      </w:pPr>
      <w:r>
        <w:t>Urgență climatică</w:t>
      </w:r>
    </w:p>
    <w:p w:rsidR="00BF6A5D" w:rsidRPr="00BF6A5D" w:rsidRDefault="00BF6A5D" w:rsidP="00BF6A5D">
      <w:pPr>
        <w:pStyle w:val="JuQuot"/>
      </w:pPr>
      <w:r>
        <w:t>„1.  Se recunoaște o stare de urgență climatică.</w:t>
      </w:r>
    </w:p>
    <w:p w:rsidR="00BF6A5D" w:rsidRPr="00BF6A5D" w:rsidRDefault="00BF6A5D" w:rsidP="00BF6A5D">
      <w:pPr>
        <w:pStyle w:val="JuQuot"/>
      </w:pPr>
      <w:r>
        <w:t>[...]”</w:t>
      </w:r>
    </w:p>
    <w:p w:rsidR="00BF6A5D" w:rsidRPr="00BF6A5D" w:rsidRDefault="00BF6A5D" w:rsidP="00BF6A5D">
      <w:pPr>
        <w:pStyle w:val="JuHArticle"/>
      </w:pPr>
      <w:r>
        <w:t>Articolul 5</w:t>
      </w:r>
    </w:p>
    <w:p w:rsidR="00BF6A5D" w:rsidRPr="00BF6A5D" w:rsidRDefault="00BF6A5D" w:rsidP="00BF6A5D">
      <w:pPr>
        <w:pStyle w:val="JuHArticle"/>
      </w:pPr>
      <w:r>
        <w:t>Dreptul la echilibru climatic</w:t>
      </w:r>
    </w:p>
    <w:p w:rsidR="00BF6A5D" w:rsidRPr="00BF6A5D" w:rsidRDefault="00BF6A5D" w:rsidP="00BF6A5D">
      <w:pPr>
        <w:pStyle w:val="JuQuot"/>
      </w:pPr>
      <w:r>
        <w:t>„1.  Orice persoană are dreptul la echilibru climatic, în conformitate cu procedurile prevăzute de Constituție și dreptul internațional.</w:t>
      </w:r>
    </w:p>
    <w:p w:rsidR="00BF6A5D" w:rsidRPr="00BF6A5D" w:rsidRDefault="00BF6A5D" w:rsidP="00BF6A5D">
      <w:pPr>
        <w:pStyle w:val="JuQuot"/>
      </w:pPr>
      <w:r>
        <w:t>2.  «Dreptul la echilibru climatic» înseamnă dreptul de a fi protejat împotriva efectelor schimbărilor climatice, precum și posibilitatea de a solicita entităților de drept public și de drept privat să se conformeze îndatoririlor și obligațiilor care le revin în materie de climă.”</w:t>
      </w:r>
    </w:p>
    <w:p w:rsidR="00BF6A5D" w:rsidRPr="00BF6A5D" w:rsidRDefault="00BF6A5D" w:rsidP="00BF6A5D">
      <w:pPr>
        <w:pStyle w:val="JuHArticle"/>
      </w:pPr>
      <w:r>
        <w:lastRenderedPageBreak/>
        <w:t>Articolul 9</w:t>
      </w:r>
    </w:p>
    <w:p w:rsidR="00BF6A5D" w:rsidRPr="00BF6A5D" w:rsidRDefault="00BF6A5D" w:rsidP="00BF6A5D">
      <w:pPr>
        <w:pStyle w:val="JuHArticle"/>
      </w:pPr>
      <w:r>
        <w:t>Participarea cetățenilor</w:t>
      </w:r>
    </w:p>
    <w:p w:rsidR="00BF6A5D" w:rsidRPr="00BF6A5D" w:rsidRDefault="00BF6A5D" w:rsidP="00BF6A5D">
      <w:pPr>
        <w:pStyle w:val="JuQuot"/>
      </w:pPr>
      <w:r>
        <w:t>„1.  Cetățenii au dreptul de a participa la procesul de elaborare și examinare a instrumentelor de politici climatice.</w:t>
      </w:r>
    </w:p>
    <w:p w:rsidR="00BF6A5D" w:rsidRPr="00BF6A5D" w:rsidRDefault="00BF6A5D" w:rsidP="00BF6A5D">
      <w:pPr>
        <w:pStyle w:val="JuQuot"/>
      </w:pPr>
      <w:r>
        <w:t>[...]”</w:t>
      </w:r>
    </w:p>
    <w:p w:rsidR="00BF6A5D" w:rsidRPr="00BF6A5D" w:rsidRDefault="00BF6A5D" w:rsidP="00BF6A5D">
      <w:pPr>
        <w:pStyle w:val="JuH1"/>
      </w:pPr>
      <w:bookmarkStart w:id="38" w:name="_Toc177058385"/>
      <w:r>
        <w:t>Legea nr. 34/2004 din 29 iulie 2004</w:t>
      </w:r>
      <w:bookmarkEnd w:id="38"/>
    </w:p>
    <w:bookmarkStart w:id="39" w:name="paragraph00049"/>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50</w:t>
      </w:r>
      <w:r w:rsidRPr="00BF6A5D">
        <w:fldChar w:fldCharType="end"/>
      </w:r>
      <w:bookmarkEnd w:id="39"/>
      <w:r>
        <w:t>.  Dispozițiile relevante din Legea nr. 34/2004 privind asistența judiciară au următorul cuprins:</w:t>
      </w:r>
    </w:p>
    <w:p w:rsidR="00BF6A5D" w:rsidRPr="00BF6A5D" w:rsidRDefault="00BF6A5D" w:rsidP="00BF6A5D">
      <w:pPr>
        <w:pStyle w:val="JuHArticle"/>
      </w:pPr>
      <w:r>
        <w:t>Articolul 8</w:t>
      </w:r>
    </w:p>
    <w:p w:rsidR="00BF6A5D" w:rsidRPr="00BF6A5D" w:rsidRDefault="00BF6A5D" w:rsidP="00BF6A5D">
      <w:pPr>
        <w:pStyle w:val="JuHArticle"/>
      </w:pPr>
      <w:r>
        <w:t>Insuficiența mijloacelor economice</w:t>
      </w:r>
    </w:p>
    <w:p w:rsidR="00BF6A5D" w:rsidRPr="00BF6A5D" w:rsidRDefault="00BF6A5D" w:rsidP="00BF6A5D">
      <w:pPr>
        <w:pStyle w:val="JuQuot"/>
      </w:pPr>
      <w:r>
        <w:t>„1.  Se consideră că o persoană nu dispune de mijloace economice suficiente în cazul în care nu dispune de resursele financiare necesare pentru a acoperi cu promptitudine cheltuielile de procedură în fața unei instanțe [...]”</w:t>
      </w:r>
    </w:p>
    <w:p w:rsidR="00BF6A5D" w:rsidRPr="00BF6A5D" w:rsidRDefault="00BF6A5D" w:rsidP="00BF6A5D">
      <w:pPr>
        <w:pStyle w:val="JuHArticle"/>
      </w:pPr>
      <w:r>
        <w:t>Articolul 16</w:t>
      </w:r>
    </w:p>
    <w:p w:rsidR="00BF6A5D" w:rsidRPr="00BF6A5D" w:rsidRDefault="00BF6A5D" w:rsidP="00BF6A5D">
      <w:pPr>
        <w:pStyle w:val="JuHArticle"/>
      </w:pPr>
      <w:r>
        <w:t>Forme [de asistență judiciară]</w:t>
      </w:r>
    </w:p>
    <w:p w:rsidR="00BF6A5D" w:rsidRPr="00BF6A5D" w:rsidRDefault="00BF6A5D" w:rsidP="00BF6A5D">
      <w:pPr>
        <w:pStyle w:val="JuQuot"/>
      </w:pPr>
      <w:r>
        <w:t>„1.  Asistența judiciară poate lua următoarele forme:</w:t>
      </w:r>
    </w:p>
    <w:p w:rsidR="00BF6A5D" w:rsidRPr="00BF6A5D" w:rsidRDefault="00BF6A5D" w:rsidP="00BF6A5D">
      <w:pPr>
        <w:pStyle w:val="JuQuot"/>
      </w:pPr>
      <w:r>
        <w:t>a)  scutirea de la plata cheltuielilor de judecată și a altor cheltuieli de procedură;</w:t>
      </w:r>
    </w:p>
    <w:p w:rsidR="00BF6A5D" w:rsidRPr="00BF6A5D" w:rsidRDefault="00BF6A5D" w:rsidP="00BF6A5D">
      <w:pPr>
        <w:pStyle w:val="JuQuot"/>
      </w:pPr>
      <w:r>
        <w:t>b)  numirea unui reprezentant în instanță și plata onorariilor acestuia;</w:t>
      </w:r>
    </w:p>
    <w:p w:rsidR="00BF6A5D" w:rsidRPr="00BF6A5D" w:rsidRDefault="00BF6A5D" w:rsidP="00BF6A5D">
      <w:pPr>
        <w:pStyle w:val="JuQuot"/>
      </w:pPr>
      <w:r>
        <w:t>c)  plata onorariului unui avocat din oficiu;</w:t>
      </w:r>
    </w:p>
    <w:p w:rsidR="00BF6A5D" w:rsidRPr="00BF6A5D" w:rsidRDefault="00BF6A5D" w:rsidP="00BF6A5D">
      <w:pPr>
        <w:pStyle w:val="JuQuot"/>
      </w:pPr>
      <w:r>
        <w:t>d)  plata eșalonată  a cheltuielilor de judecată și a altor cheltuieli de procedură;</w:t>
      </w:r>
    </w:p>
    <w:p w:rsidR="00BF6A5D" w:rsidRPr="00BF6A5D" w:rsidRDefault="00BF6A5D" w:rsidP="00BF6A5D">
      <w:pPr>
        <w:pStyle w:val="JuQuot"/>
      </w:pPr>
      <w:r>
        <w:t>e)  numirea unui reprezentant în instanță și plata în rate a onorariului acestuia;</w:t>
      </w:r>
    </w:p>
    <w:p w:rsidR="00BF6A5D" w:rsidRPr="00BF6A5D" w:rsidRDefault="00BF6A5D" w:rsidP="00BF6A5D">
      <w:pPr>
        <w:pStyle w:val="JuQuot"/>
      </w:pPr>
      <w:r>
        <w:t>f)  plata eșalonată a onorariului unui avocat din oficiu;</w:t>
      </w:r>
    </w:p>
    <w:p w:rsidR="00BF6A5D" w:rsidRPr="00BF6A5D" w:rsidRDefault="00BF6A5D" w:rsidP="00BF6A5D">
      <w:pPr>
        <w:pStyle w:val="JuQuot"/>
      </w:pPr>
      <w:r>
        <w:t>[...]”</w:t>
      </w:r>
    </w:p>
    <w:p w:rsidR="00BF6A5D" w:rsidRPr="00BF6A5D" w:rsidRDefault="00BF6A5D" w:rsidP="00BF6A5D">
      <w:pPr>
        <w:pStyle w:val="JuH1"/>
      </w:pPr>
      <w:bookmarkStart w:id="40" w:name="_Toc177058386"/>
      <w:r>
        <w:t>Legea nr. 108/2017 din 23 noiembrie 2017</w:t>
      </w:r>
      <w:bookmarkEnd w:id="40"/>
    </w:p>
    <w:p w:rsidR="00BF6A5D" w:rsidRPr="00BF6A5D" w:rsidRDefault="00D340B2" w:rsidP="00BF6A5D">
      <w:pPr>
        <w:pStyle w:val="JuPara"/>
      </w:pPr>
      <w:fldSimple w:instr=" SEQ level0 \*arabic \* MERGEFORMAT ">
        <w:r w:rsidR="00BF6A5D" w:rsidRPr="00BF6A5D">
          <w:t>51</w:t>
        </w:r>
      </w:fldSimple>
      <w:r w:rsidR="00BF6A5D">
        <w:t>.  Legea nr. 108/2017 privind măsurile de sprijin acordate victimelor incendiilor de pădure din 2017 conține următoarele pasaje relevante:</w:t>
      </w:r>
    </w:p>
    <w:p w:rsidR="00BF6A5D" w:rsidRPr="00BF6A5D" w:rsidRDefault="00BF6A5D" w:rsidP="00BF6A5D">
      <w:pPr>
        <w:pStyle w:val="JuHArticle"/>
      </w:pPr>
      <w:r>
        <w:t>Articolul 1</w:t>
      </w:r>
    </w:p>
    <w:p w:rsidR="00BF6A5D" w:rsidRPr="00BF6A5D" w:rsidRDefault="00BF6A5D" w:rsidP="00BF6A5D">
      <w:pPr>
        <w:pStyle w:val="JuHArticle"/>
      </w:pPr>
      <w:r>
        <w:t>Obiectul și domeniul de aplicare</w:t>
      </w:r>
    </w:p>
    <w:p w:rsidR="00BF6A5D" w:rsidRPr="00BF6A5D" w:rsidRDefault="00BF6A5D" w:rsidP="00BF6A5D">
      <w:pPr>
        <w:pStyle w:val="JuQuot"/>
      </w:pPr>
      <w:r>
        <w:t>„1.  Această lege stabilește măsurile de sprijin acordate victimelor incendiilor de pădure care au avut loc în perioada 17-24 iunie 2017 [...] și măsurile de urgență pentru consolidarea prevenirii incendiilor de pădure și a combaterii incendiilor.</w:t>
      </w:r>
    </w:p>
    <w:p w:rsidR="00BF6A5D" w:rsidRPr="00BF6A5D" w:rsidRDefault="00BF6A5D" w:rsidP="00BF6A5D">
      <w:pPr>
        <w:pStyle w:val="JuQuot"/>
      </w:pPr>
      <w:r>
        <w:t>2.  Măsurile prevăzute în prezenta lege includ sprijin pentru victimele incendiilor în ceea ce privește sănătatea, locuințele, accesul la asistență socială excepțională, protecție și securitate, precum și măsuri pentru restabilirea potențialului productiv și instituirea unor mecanisme rapide de identificare a pierderilor și de despăgubire a victimelor incendiilor, printr-o coordonare corespunzătoare între entitățile și instituțiile în cauză.</w:t>
      </w:r>
    </w:p>
    <w:p w:rsidR="00BF6A5D" w:rsidRPr="00BF6A5D" w:rsidRDefault="00BF6A5D" w:rsidP="00BF6A5D">
      <w:pPr>
        <w:pStyle w:val="JuQuot"/>
      </w:pPr>
      <w:r>
        <w:t>[...]”</w:t>
      </w:r>
    </w:p>
    <w:p w:rsidR="00BF6A5D" w:rsidRPr="00BF6A5D" w:rsidRDefault="00BF6A5D" w:rsidP="00BF6A5D">
      <w:pPr>
        <w:pStyle w:val="JuHArticle"/>
      </w:pPr>
      <w:r>
        <w:lastRenderedPageBreak/>
        <w:t>Articolul 2</w:t>
      </w:r>
    </w:p>
    <w:p w:rsidR="00BF6A5D" w:rsidRPr="00BF6A5D" w:rsidRDefault="00BF6A5D" w:rsidP="00BF6A5D">
      <w:pPr>
        <w:pStyle w:val="JuHArticle"/>
      </w:pPr>
      <w:r>
        <w:t>Noțiunea de victimă</w:t>
      </w:r>
    </w:p>
    <w:p w:rsidR="00BF6A5D" w:rsidRPr="00BF6A5D" w:rsidRDefault="00BF6A5D" w:rsidP="00BF6A5D">
      <w:pPr>
        <w:pStyle w:val="JuQuot"/>
      </w:pPr>
      <w:r>
        <w:t>„În sensul prezentei legi, victimele incendiilor sunt persoane fizice despre care serviciile competente, în urma unei examinări, stabilesc, fără a aduce atingere asistenței prevăzute pentru persoane juridice, că sănătatea, integritatea corporală și psihică, veniturile sau bunurile le-au fost afectate în mod direct sau indirect.”</w:t>
      </w:r>
    </w:p>
    <w:p w:rsidR="00BF6A5D" w:rsidRPr="00BF6A5D" w:rsidRDefault="00BF6A5D" w:rsidP="00BF6A5D">
      <w:pPr>
        <w:pStyle w:val="JuHArticle"/>
      </w:pPr>
      <w:r>
        <w:t>Articolul 15</w:t>
      </w:r>
    </w:p>
    <w:p w:rsidR="00BF6A5D" w:rsidRPr="00BF6A5D" w:rsidRDefault="00BF6A5D" w:rsidP="00BF6A5D">
      <w:pPr>
        <w:pStyle w:val="JuHArticle"/>
      </w:pPr>
      <w:r>
        <w:t>Dreptul la despăgubiri</w:t>
      </w:r>
    </w:p>
    <w:p w:rsidR="00BF6A5D" w:rsidRPr="00BF6A5D" w:rsidRDefault="00BF6A5D" w:rsidP="00BF6A5D">
      <w:pPr>
        <w:pStyle w:val="JuQuot"/>
      </w:pPr>
      <w:r>
        <w:t>„1.  Au dreptul la despăgubiri din partea statului victimele care [...] au suferit vătămări ale integrității corporale ori psihice sau orice alte prejudicii materiale ori morale pentru care statul este răspunzător ca urmare a incendiilor menționate la art. 1 § 1.”</w:t>
      </w:r>
    </w:p>
    <w:p w:rsidR="00BF6A5D" w:rsidRPr="00BF6A5D" w:rsidRDefault="00BF6A5D" w:rsidP="00BF6A5D">
      <w:pPr>
        <w:pStyle w:val="JuHArticle"/>
      </w:pPr>
      <w:r>
        <w:t>Articolul 16</w:t>
      </w:r>
    </w:p>
    <w:p w:rsidR="00BF6A5D" w:rsidRPr="00BF6A5D" w:rsidRDefault="00BF6A5D" w:rsidP="00BF6A5D">
      <w:pPr>
        <w:pStyle w:val="JuHArticle"/>
      </w:pPr>
      <w:r>
        <w:t>Cerere de despăgubiri</w:t>
      </w:r>
    </w:p>
    <w:p w:rsidR="00BF6A5D" w:rsidRPr="00BF6A5D" w:rsidRDefault="00BF6A5D" w:rsidP="00BF6A5D">
      <w:pPr>
        <w:pStyle w:val="JuQuot"/>
      </w:pPr>
      <w:r>
        <w:t>„1.  Pentru a obține plata unei despăgubiri din partea statului [...], persoanele menționate în alineatele (1) și (2) ale articolului precedent trebuie să depună o cerere de despăgubire.”</w:t>
      </w:r>
    </w:p>
    <w:p w:rsidR="00BF6A5D" w:rsidRPr="00BF6A5D" w:rsidRDefault="00BF6A5D" w:rsidP="00BF6A5D">
      <w:pPr>
        <w:pStyle w:val="JuHArticle"/>
      </w:pPr>
      <w:r>
        <w:t>Articolul 18</w:t>
      </w:r>
    </w:p>
    <w:p w:rsidR="00BF6A5D" w:rsidRPr="00BF6A5D" w:rsidRDefault="00BF6A5D" w:rsidP="00BF6A5D">
      <w:pPr>
        <w:pStyle w:val="JuHArticle"/>
      </w:pPr>
      <w:r>
        <w:t>Termene</w:t>
      </w:r>
    </w:p>
    <w:p w:rsidR="00BF6A5D" w:rsidRPr="00BF6A5D" w:rsidRDefault="00BF6A5D" w:rsidP="00BF6A5D">
      <w:pPr>
        <w:pStyle w:val="JuQuot"/>
      </w:pPr>
      <w:r>
        <w:t>„1.  Orice cerere de despăgubire [...] se depune în termen de 6 luni de la intrarea în vigoare a prezentei legi [...].</w:t>
      </w:r>
    </w:p>
    <w:p w:rsidR="00BF6A5D" w:rsidRPr="00BF6A5D" w:rsidRDefault="00BF6A5D" w:rsidP="00BF6A5D">
      <w:pPr>
        <w:pStyle w:val="JuQuot"/>
      </w:pPr>
      <w:r>
        <w:t>2.  Alineatul anterior nu se aplică în cazurile în care victima este minoră la data intrării în vigoare a prezentei legi. În astfel de cazuri, cererea de despăgubire poate fi depusă în termen de 6 luni de la împlinirea vârstei majoratului sau de la emanciparea persoanei în cauză, fără a aduce atingere dispozițiilor din alineatul de mai jos.</w:t>
      </w:r>
    </w:p>
    <w:p w:rsidR="00BF6A5D" w:rsidRPr="00BF6A5D" w:rsidRDefault="00BF6A5D" w:rsidP="00BF6A5D">
      <w:pPr>
        <w:pStyle w:val="JuQuot"/>
      </w:pPr>
      <w:r>
        <w:t>3.  În cazurile în care victima este minoră la data intrării în vigoare a prezentei legi, Ministerul Public asigură apărarea acesteia, la cererea motivată corespunzător a oricărei părți interesate.”</w:t>
      </w:r>
    </w:p>
    <w:p w:rsidR="00BF6A5D" w:rsidRPr="00BF6A5D" w:rsidRDefault="00BF6A5D" w:rsidP="00BF6A5D">
      <w:pPr>
        <w:pStyle w:val="JuHA"/>
      </w:pPr>
      <w:bookmarkStart w:id="41" w:name="_Toc177058387"/>
      <w:r>
        <w:t>Practica internă relevantă</w:t>
      </w:r>
      <w:bookmarkEnd w:id="41"/>
    </w:p>
    <w:p w:rsidR="00BF6A5D" w:rsidRPr="00BF6A5D" w:rsidRDefault="00D340B2" w:rsidP="00BF6A5D">
      <w:pPr>
        <w:pStyle w:val="JuPara"/>
      </w:pPr>
      <w:fldSimple w:instr=" SEQ level0 \*arabic \* MERGEFORMAT ">
        <w:bookmarkStart w:id="42" w:name="paragraph00051"/>
        <w:r w:rsidR="00BF6A5D" w:rsidRPr="00BF6A5D">
          <w:t>52</w:t>
        </w:r>
        <w:bookmarkEnd w:id="42"/>
      </w:fldSimple>
      <w:r w:rsidR="00BF6A5D">
        <w:t xml:space="preserve">.  Guvernul Portugaliei prezintă următoarea jurisprudență privind aplicarea art. 66 din Constituție (a se vedea </w:t>
      </w:r>
      <w:r w:rsidR="00BF6A5D">
        <w:rPr>
          <w:i/>
          <w:iCs/>
        </w:rPr>
        <w:t>supra</w:t>
      </w:r>
      <w:r w:rsidR="00BF6A5D">
        <w:t xml:space="preserve">, pct. </w:t>
      </w:r>
      <w:r w:rsidR="00BF6A5D" w:rsidRPr="00BF6A5D">
        <w:fldChar w:fldCharType="begin"/>
      </w:r>
      <w:r w:rsidR="00BF6A5D" w:rsidRPr="00BF6A5D">
        <w:instrText xml:space="preserve"> REF paragraph00039 \h  \* CharFormat  \* MERGEFORMAT </w:instrText>
      </w:r>
      <w:r w:rsidR="00BF6A5D" w:rsidRPr="00BF6A5D">
        <w:fldChar w:fldCharType="separate"/>
      </w:r>
      <w:r w:rsidR="00BF6A5D" w:rsidRPr="00BF6A5D">
        <w:t>40</w:t>
      </w:r>
      <w:r w:rsidR="00BF6A5D" w:rsidRPr="00BF6A5D">
        <w:fldChar w:fldCharType="end"/>
      </w:r>
      <w:r w:rsidR="00BF6A5D">
        <w:t>):</w:t>
      </w:r>
    </w:p>
    <w:p w:rsidR="00BF6A5D" w:rsidRPr="00BF6A5D" w:rsidRDefault="00BF6A5D" w:rsidP="00BF6A5D">
      <w:pPr>
        <w:pStyle w:val="JuPara"/>
      </w:pPr>
      <w:r>
        <w:t>a)  Înalta Curte de Justiție:</w:t>
      </w:r>
    </w:p>
    <w:p w:rsidR="00BF6A5D" w:rsidRPr="00BF6A5D" w:rsidRDefault="00BF6A5D" w:rsidP="00BF6A5D">
      <w:pPr>
        <w:pStyle w:val="JuPara"/>
      </w:pPr>
      <w:r>
        <w:t>-  Hotărârea din 19 aprilie 2012 (nr. 3920/07.8TBVIS.C1.S1), în care s-a concluzionat că poluarea fonică determinată de muzica difuzată pe timpul nopții constituie o încălcare a dreptului la un mediu de viață sănătos și echilibrat din punct de vedere ecologic;</w:t>
      </w:r>
    </w:p>
    <w:p w:rsidR="00BF6A5D" w:rsidRPr="00BF6A5D" w:rsidRDefault="00BF6A5D" w:rsidP="00BF6A5D">
      <w:pPr>
        <w:pStyle w:val="JuPara"/>
      </w:pPr>
      <w:r>
        <w:t>-  Hotărârea din 30 mai 2013 (nr. 2209/08.0TBTVD.L1.S1), în care s-a stabilit că dreptul la un mediu de viață sănătos și echilibrat din punct de vedere ecologic trebuie să prevaleze asupra dreptului de a desfășura o activitate economică (în speță, generarea de energie prin intermediul turbinelor eoliene);</w:t>
      </w:r>
    </w:p>
    <w:p w:rsidR="00BF6A5D" w:rsidRPr="00BF6A5D" w:rsidRDefault="00BF6A5D" w:rsidP="00BF6A5D">
      <w:pPr>
        <w:pStyle w:val="JuPara"/>
      </w:pPr>
      <w:r>
        <w:lastRenderedPageBreak/>
        <w:t>-  Hotărârea din 3 decembrie 2015 (nr. 1491/06.1TBLSB.P2.S1), prin care Înalta Curte de Justiție a fost sesizată să pună în balanță, pe de o parte, dreptul la calitatea vieții, la odihnă și la un mediu de viață sănătos și echilibrat și, pe de altă parte, interesele sociale și economice legate de planificarea rutieră;</w:t>
      </w:r>
    </w:p>
    <w:p w:rsidR="00BF6A5D" w:rsidRPr="00BF6A5D" w:rsidRDefault="00BF6A5D" w:rsidP="00BF6A5D">
      <w:pPr>
        <w:pStyle w:val="JuPara"/>
      </w:pPr>
      <w:r>
        <w:t>-  Hotărârea din 3 mai 2018 (nr. 2115/04.7TBOVR.P3.S1), în care Înalta Curte de Justiție a concluzionat că dreptul la repaus al autorilor acțiunii în justiție prevalează asupra dreptului pârâtului de a desfășura o activitate de distribuție a energiei.</w:t>
      </w:r>
    </w:p>
    <w:p w:rsidR="00BF6A5D" w:rsidRPr="00BF6A5D" w:rsidRDefault="00BF6A5D" w:rsidP="00BF6A5D">
      <w:pPr>
        <w:pStyle w:val="JuPara"/>
      </w:pPr>
      <w:r>
        <w:t>b)  Curtea Administrativă Supremă:</w:t>
      </w:r>
    </w:p>
    <w:p w:rsidR="00BF6A5D" w:rsidRPr="00BF6A5D" w:rsidRDefault="00BF6A5D" w:rsidP="00BF6A5D">
      <w:pPr>
        <w:pStyle w:val="JuPara"/>
      </w:pPr>
      <w:r>
        <w:t>-  Hotărârea din 24 septembrie 2003 (nr. 0130/02), în care art. 66 a fost aplicat direct într-o cauză având ca obiect un act normativ care se încadra în legislația referitoare la vânătoare;</w:t>
      </w:r>
    </w:p>
    <w:p w:rsidR="00BF6A5D" w:rsidRPr="00BF6A5D" w:rsidRDefault="00BF6A5D" w:rsidP="00BF6A5D">
      <w:pPr>
        <w:pStyle w:val="JuPara"/>
      </w:pPr>
      <w:r>
        <w:t>-  Hotărârea din 10 martie 2010 (nr. 046262), în care art. 66 din Constituție a fost aplicat direct într-o cauză având ca obiect un act administrativ care fusese adoptat în contextul planificării rutiere.</w:t>
      </w:r>
    </w:p>
    <w:p w:rsidR="00BF6A5D" w:rsidRPr="00BF6A5D" w:rsidRDefault="00BF6A5D" w:rsidP="00BF6A5D">
      <w:pPr>
        <w:pStyle w:val="JuHIRoman"/>
      </w:pPr>
      <w:bookmarkStart w:id="43" w:name="_Toc177058388"/>
      <w:r>
        <w:t>TEXTE INTERNAȚIONALE RELEVANTE</w:t>
      </w:r>
      <w:bookmarkEnd w:id="43"/>
    </w:p>
    <w:p w:rsidR="00BF6A5D" w:rsidRPr="00BF6A5D" w:rsidRDefault="00D340B2" w:rsidP="00BF6A5D">
      <w:pPr>
        <w:pStyle w:val="JuPara"/>
      </w:pPr>
      <w:fldSimple w:instr=" SEQ level0 \*arabic \* MERGEFORMAT ">
        <w:r w:rsidR="00BF6A5D" w:rsidRPr="00BF6A5D">
          <w:t>53</w:t>
        </w:r>
      </w:fldSimple>
      <w:r w:rsidR="00BF6A5D">
        <w:t xml:space="preserve">.  Textele internaționale relevante sunt prezentate în Hotărârea </w:t>
      </w:r>
      <w:r w:rsidR="00BF6A5D">
        <w:rPr>
          <w:i/>
        </w:rPr>
        <w:t>Verein KlimaSeniorinnen Schweiz</w:t>
      </w:r>
      <w:r w:rsidR="00BF6A5D">
        <w:rPr>
          <w:i/>
          <w:iCs/>
        </w:rPr>
        <w:t xml:space="preserve"> și alții împotriva Elveției</w:t>
      </w:r>
      <w:r w:rsidR="00BF6A5D">
        <w:t>, nr. 53600/20, pct. 133-231, 9 aprilie 2024.</w:t>
      </w:r>
    </w:p>
    <w:p w:rsidR="00BF6A5D" w:rsidRPr="00BF6A5D" w:rsidRDefault="00D340B2" w:rsidP="00BF6A5D">
      <w:pPr>
        <w:pStyle w:val="JuPara"/>
      </w:pPr>
      <w:fldSimple w:instr=" SEQ level0 \*arabic \* MERGEFORMAT ">
        <w:r w:rsidR="00BF6A5D" w:rsidRPr="00BF6A5D">
          <w:t>54</w:t>
        </w:r>
      </w:fldSimple>
      <w:r w:rsidR="00BF6A5D">
        <w:t>.  Elementele prezentate mai jos se referă la jurisdicție și, în măsura în care este relevant și necesar, la epuizarea căilor de atac interne.</w:t>
      </w:r>
    </w:p>
    <w:p w:rsidR="00BF6A5D" w:rsidRPr="00BF6A5D" w:rsidRDefault="00BF6A5D" w:rsidP="00BF6A5D">
      <w:pPr>
        <w:pStyle w:val="JuHA"/>
      </w:pPr>
      <w:bookmarkStart w:id="44" w:name="_Toc177058389"/>
      <w:r>
        <w:t>Organizația Națiunilor Unite (ONU)</w:t>
      </w:r>
      <w:bookmarkEnd w:id="44"/>
    </w:p>
    <w:p w:rsidR="00BF6A5D" w:rsidRPr="00BF6A5D" w:rsidRDefault="00D340B2" w:rsidP="00BF6A5D">
      <w:pPr>
        <w:pStyle w:val="JuPara"/>
      </w:pPr>
      <w:fldSimple w:instr=" SEQ level0 \*arabic \* MERGEFORMAT ">
        <w:r w:rsidR="00BF6A5D" w:rsidRPr="00BF6A5D">
          <w:t>55</w:t>
        </w:r>
      </w:fldSimple>
      <w:r w:rsidR="00BF6A5D">
        <w:t>.  Partea relevantă din Comentariul general al Comitetului pentru Drepturile Omului cu privire la dreptul la viață</w:t>
      </w:r>
      <w:r w:rsidR="00BF6A5D" w:rsidRPr="00BF6A5D">
        <w:rPr>
          <w:vertAlign w:val="superscript"/>
        </w:rPr>
        <w:footnoteReference w:id="9"/>
      </w:r>
      <w:r w:rsidR="00BF6A5D">
        <w:t xml:space="preserve"> are următorul cuprins:</w:t>
      </w:r>
    </w:p>
    <w:p w:rsidR="00BF6A5D" w:rsidRPr="00BF6A5D" w:rsidRDefault="00BF6A5D" w:rsidP="00BF6A5D">
      <w:pPr>
        <w:pStyle w:val="JuQuot"/>
      </w:pPr>
      <w:r>
        <w:t>„22.  Statele părți trebuie să ia măsurile corespunzătoare pentru a proteja persoanele împotriva privării de viață de către alte state, organizații internaționale și întreprinderi străine care își desfășoară activitatea pe teritoriul lor sau în alte zone aflate sub jurisdicția lor. De asemenea, acestea trebuie să ia măsuri legislative și de altă natură pentru a se asigura că orice activitate care are loc pe întreg teritoriul lor sau pe o parte a acestuia ori în alte locuri aflate sub jurisdicția lor, dar care are un impact direct și previzibil în mod rezonabil asupra dreptului la viață al persoanelor aflate în afara teritoriului lor, inclusiv în cazul în care este desfășurată de o întreprindere cu sediul pe teritoriul lor sau sub jurisdicția lor, este compatibilă cu art. 6, ținând seama în mod corespunzător de normele internaționale conexe privind răspunderea întreprinderilor și dreptul victimelor la o cale de atac efectivă.”</w:t>
      </w:r>
    </w:p>
    <w:p w:rsidR="00BF6A5D" w:rsidRPr="00BF6A5D" w:rsidRDefault="00D340B2" w:rsidP="00BF6A5D">
      <w:pPr>
        <w:pStyle w:val="JuPara"/>
      </w:pPr>
      <w:fldSimple w:instr=" SEQ level0 \*arabic \* MERGEFORMAT ">
        <w:r w:rsidR="00BF6A5D" w:rsidRPr="00BF6A5D">
          <w:t>56</w:t>
        </w:r>
      </w:fldSimple>
      <w:r w:rsidR="00BF6A5D">
        <w:t xml:space="preserve">.  În Comentariul general nr. 24 (obligațiile statelor în conformitate cu Pactul internațional cu privire la drepturile economice, sociale și culturale în </w:t>
      </w:r>
      <w:r w:rsidR="00BF6A5D">
        <w:lastRenderedPageBreak/>
        <w:t>contextul activităților comerciale)</w:t>
      </w:r>
      <w:r w:rsidR="00BF6A5D" w:rsidRPr="00BF6A5D">
        <w:rPr>
          <w:vertAlign w:val="superscript"/>
        </w:rPr>
        <w:footnoteReference w:id="10"/>
      </w:r>
      <w:r w:rsidR="00BF6A5D">
        <w:t>, Comitetul pentru Drepturile Economice, Sociale și Culturale s-a exprimat astfel:</w:t>
      </w:r>
    </w:p>
    <w:p w:rsidR="00BF6A5D" w:rsidRPr="00BF6A5D" w:rsidRDefault="00BF6A5D" w:rsidP="00BF6A5D">
      <w:pPr>
        <w:pStyle w:val="JuQuot"/>
      </w:pPr>
      <w:r>
        <w:t>„26.  [...] Statele părți aveau obligația să ia măsurile necesare pentru a preveni încălcările drepturilor omului în străinătate de către corporațiile cu sediul în teritoriul și/sau sub jurisdicția lor (indiferent dacă erau înregistrate în temeiul legislației lor, sau dacă aveau sediul legal, administrația centrală sau locul principal de desfășurare a activității pe teritoriul național), fără a încălca suveranitatea sau a diminua obligațiile statelor gazdă în temeiul Pactului. [...]</w:t>
      </w:r>
    </w:p>
    <w:p w:rsidR="00BF6A5D" w:rsidRPr="00BF6A5D" w:rsidRDefault="00BF6A5D" w:rsidP="00BF6A5D">
      <w:pPr>
        <w:pStyle w:val="JuQuot"/>
      </w:pPr>
      <w:r>
        <w:t>[...]</w:t>
      </w:r>
    </w:p>
    <w:p w:rsidR="00BF6A5D" w:rsidRPr="00BF6A5D" w:rsidRDefault="00BF6A5D" w:rsidP="00BF6A5D">
      <w:pPr>
        <w:pStyle w:val="JuQuot"/>
      </w:pPr>
      <w:r>
        <w:t>28.  Obligațiile extrateritoriale apar atunci când un stat parte poate influența situații din afara teritoriului său, în concordanță cu limitele impuse de dreptul internațional, controlând activitățile întreprinderilor cu sediul pe teritoriul său și/sau sub jurisdicția sa și, astfel, poate contribui la exercitarea efectivă a drepturilor economice, sociale și culturale în afara teritoriului său național. [...]”</w:t>
      </w:r>
    </w:p>
    <w:p w:rsidR="00BF6A5D" w:rsidRPr="00BF6A5D" w:rsidRDefault="00D340B2" w:rsidP="00BF6A5D">
      <w:pPr>
        <w:pStyle w:val="JuPara"/>
      </w:pPr>
      <w:fldSimple w:instr=" SEQ level0 \*arabic \* MERGEFORMAT ">
        <w:r w:rsidR="00BF6A5D" w:rsidRPr="00BF6A5D">
          <w:t>57</w:t>
        </w:r>
      </w:fldSimple>
      <w:r w:rsidR="00BF6A5D">
        <w:t>.  În Comentariul general nr. 26 privind drepturile copilului și mediul înconjurător, cu un accent special pe schimbările climatice</w:t>
      </w:r>
      <w:r w:rsidR="00BF6A5D" w:rsidRPr="00BF6A5D">
        <w:rPr>
          <w:vertAlign w:val="superscript"/>
        </w:rPr>
        <w:footnoteReference w:id="11"/>
      </w:r>
      <w:r w:rsidR="00BF6A5D">
        <w:t>, Comitetul Drepturilor Copilului („CDC”), s-a exprimat astfel:</w:t>
      </w:r>
    </w:p>
    <w:p w:rsidR="00BF6A5D" w:rsidRPr="00BF6A5D" w:rsidRDefault="00BF6A5D" w:rsidP="00BF6A5D">
      <w:pPr>
        <w:pStyle w:val="JuQuot"/>
      </w:pPr>
      <w:r>
        <w:t>„84.  Ar trebui să fie disponibile mecanisme pentru plângeri privind daune iminente sau previzibile și pentru încălcări ale drepturilor copilului în trecut sau în prezent. Statele ar trebui să se asigure că aceste mecanisme sunt ușor accesibile tuturor copiilor aflați sub jurisdicția lor, fără discriminare, inclusiv copiilor din afara teritoriului acestora, care sunt afectați de daune transfrontaliere rezultate din acțiuni sau omisiuni ale statelor survenite pe teritoriul acestora.”</w:t>
      </w:r>
    </w:p>
    <w:p w:rsidR="00BF6A5D" w:rsidRPr="00BF6A5D" w:rsidRDefault="00D340B2" w:rsidP="00BF6A5D">
      <w:pPr>
        <w:pStyle w:val="JuPara"/>
      </w:pPr>
      <w:fldSimple w:instr=" SEQ level0 \*arabic \* MERGEFORMAT ">
        <w:r w:rsidR="00BF6A5D" w:rsidRPr="00BF6A5D">
          <w:t>58</w:t>
        </w:r>
      </w:fldSimple>
      <w:r w:rsidR="00BF6A5D">
        <w:t xml:space="preserve">.  În Decizia </w:t>
      </w:r>
      <w:r w:rsidR="00BF6A5D">
        <w:rPr>
          <w:i/>
          <w:iCs/>
        </w:rPr>
        <w:t>Sacchi și alții</w:t>
      </w:r>
      <w:r w:rsidR="00BF6A5D" w:rsidRPr="00BF6A5D">
        <w:rPr>
          <w:vertAlign w:val="superscript"/>
        </w:rPr>
        <w:footnoteReference w:id="12"/>
      </w:r>
      <w:r w:rsidR="00BF6A5D">
        <w:t>, CDC a examinat</w:t>
      </w:r>
      <w:r w:rsidR="00BF6A5D" w:rsidRPr="00BF6A5D">
        <w:rPr>
          <w:vertAlign w:val="superscript"/>
        </w:rPr>
        <w:footnoteReference w:id="13"/>
      </w:r>
      <w:r w:rsidR="00BF6A5D">
        <w:t xml:space="preserve"> o plângere pe care i-au adresat-o 16 copii cu diferite cetățenii și care era îndreptată împotriva Argentinei (aceeași plângere a fost depusă și împotriva Braziliei, Franței, Germaniei și Turciei). Autorii plângerii respective au susținut că sunt victime ale schimbărilor climatice și că statele pârâte sunt responsabile (a) pentru neîndeplinirea obligației de prevenire, prin reducerea emisiilor lor la „cel mai înalt nivel de ambiție posibil”, a încălcărilor previzibile ale drepturilor omului pe care le pot cauza schimbările climatice și (b) pentru întârzierea reducerilor semnificative ale emisiilor de carbon care erau necesare pentru a proteja viața și bunăstarea copiilor, atât pe teritoriul național, cât și în străinătate. Deși fusese stabilită jurisdicția statelor pârâte, CDC a declarat cauza inadmisibilă pentru neepuizarea căilor de atac interne.</w:t>
      </w:r>
    </w:p>
    <w:bookmarkStart w:id="45" w:name="paragraph00058"/>
    <w:p w:rsidR="00BF6A5D" w:rsidRPr="00BF6A5D" w:rsidRDefault="00BF6A5D" w:rsidP="00BF6A5D">
      <w:pPr>
        <w:pStyle w:val="JuPara"/>
      </w:pPr>
      <w:r w:rsidRPr="00BF6A5D">
        <w:lastRenderedPageBreak/>
        <w:fldChar w:fldCharType="begin"/>
      </w:r>
      <w:r w:rsidRPr="00BF6A5D">
        <w:instrText xml:space="preserve"> SEQ level0 \*arabic \* MERGEFORMAT </w:instrText>
      </w:r>
      <w:r w:rsidRPr="00BF6A5D">
        <w:fldChar w:fldCharType="separate"/>
      </w:r>
      <w:r w:rsidRPr="00BF6A5D">
        <w:t>59</w:t>
      </w:r>
      <w:r w:rsidRPr="00BF6A5D">
        <w:fldChar w:fldCharType="end"/>
      </w:r>
      <w:bookmarkEnd w:id="45"/>
      <w:r>
        <w:t>.  Părțile relevante ale deciziei au următorul cuprins în ceea ce privește problema jurisdicției:</w:t>
      </w:r>
    </w:p>
    <w:p w:rsidR="00BF6A5D" w:rsidRPr="00BF6A5D" w:rsidRDefault="00BF6A5D" w:rsidP="00BF6A5D">
      <w:pPr>
        <w:pStyle w:val="JuQuot"/>
      </w:pPr>
      <w:r>
        <w:t>„10.4  Comitetul ia notă de jurisprudența relevantă a Comitetului pentru Drepturile Omului și a Curții Europene a Drepturilor Omului în ceea ce privește jurisdicția extrateritorială. Totuși, această jurisprudență privește situații de fapt foarte diferite de cele din prezenta cauză. Comunicarea autorilor ridică noi probleme de jurisdicție în ceea ce privește daunele transfrontaliere legate de schimbările climatice.</w:t>
      </w:r>
    </w:p>
    <w:p w:rsidR="00BF6A5D" w:rsidRPr="00BF6A5D" w:rsidRDefault="00BF6A5D" w:rsidP="00BF6A5D">
      <w:pPr>
        <w:pStyle w:val="JuQuot"/>
      </w:pPr>
      <w:r>
        <w:t>10.5  Comitetul ia act, de asemenea, de Avizul consultativ OC-23/17 al Curții Interamericane a Drepturilor Omului privind mediul și drepturile omului, care este deosebit de relevant pentru problema jurisdicției în speță, prin faptul că acesta clarifică domeniul de aplicare al jurisdicției extrateritoriale în raport cu protecția mediului. [...]</w:t>
      </w:r>
    </w:p>
    <w:p w:rsidR="00BF6A5D" w:rsidRPr="00BF6A5D" w:rsidRDefault="00BF6A5D" w:rsidP="00BF6A5D">
      <w:pPr>
        <w:pStyle w:val="JuQuot"/>
      </w:pPr>
      <w:r>
        <w:t>10.7  Comitetul consideră că criteriul adecvat în ceea ce privește stabilirea jurisdicției în speță este cel reținut de Curtea Interamericană a Drepturilor Omului în avizul său consultativ privind mediul și drepturile omului [citat anterior]. Aceasta înseamnă că, în cazul se produc daune transfrontaliere, copiii intră sub jurisdicția statului pe al cărui teritoriu se află sursa emisiilor în sensul art. 5 paragraful (1) din Protocolul facultativ, dacă există o legătură de cauzalitate între actele sau omisiunile statului în cauză și efectele negative asupra drepturilor copiilor din afara teritoriului său, în cazul în care statul de origine exercită un control efectiv asupra sursei emisiilor în cauză. Comitetul consideră că, în cazul în care probele necesare pentru stabilirea răspunderii statului sunt o chestiune de fond, este necesar, chiar și în scopul stabilirii jurisdicției, ca daunele pe care victimele susțin că le-au suferit să fi fost previzibile în mod rezonabil pentru statul parte la momentul actelor sau omisiunilor sale.”</w:t>
      </w:r>
    </w:p>
    <w:p w:rsidR="00BF6A5D" w:rsidRPr="00BF6A5D" w:rsidRDefault="00D340B2" w:rsidP="00BF6A5D">
      <w:pPr>
        <w:pStyle w:val="JuPara"/>
      </w:pPr>
      <w:fldSimple w:instr=" SEQ level0 \*arabic \* MERGEFORMAT ">
        <w:r w:rsidR="00BF6A5D" w:rsidRPr="00BF6A5D">
          <w:t>60</w:t>
        </w:r>
      </w:fldSimple>
      <w:r w:rsidR="00BF6A5D">
        <w:t>.  În ceea ce privește epuizarea căilor de atac interne, CDC a urmat următorul raționament:</w:t>
      </w:r>
    </w:p>
    <w:p w:rsidR="00BF6A5D" w:rsidRPr="00BF6A5D" w:rsidRDefault="00BF6A5D" w:rsidP="00BF6A5D">
      <w:pPr>
        <w:pStyle w:val="JuQuot"/>
      </w:pPr>
      <w:r>
        <w:t xml:space="preserve">„10.18  În speță, Comitetul constată că autorii nu au încercat să inițieze proceduri în statul parte. Comitetul observă, de asemenea, că autorii susțin că s-ar confrunta cu obstacole considerabile dacă ar trebui să epuizeze căile de atac interne, întrucât procedurile ar fi excesiv de greoaie, de lungă durată și puțin probabil să le permită să obțină o reparație efectivă. Observă, de asemenea, că aceștia susțin că este foarte probabil ca instanțele naționale să respingă cererile lor, care au ca obiect obligația unui stat de a coopera cu alte state, din cauza lipsei accesului la justiție în materia politicii externe și a imunității de jurisdicție străină a statului. Totuși, Comitetul consideră că problema neîndeplinirii obligațiilor de către statul parte în ceea ce privește cooperarea internațională se ridică în raport cu forma specifică a acțiunii în despăgubiri avute în vedere de autori și că autorii nu au demonstrat suficient că o astfel de acțiune era necesară pentru a obține o reparație efectivă. În plus, ia notă de argumentul statului parte potrivit căruia autorii au avut la dispoziție căi de drept sub formă de </w:t>
      </w:r>
      <w:r>
        <w:rPr>
          <w:i/>
          <w:iCs/>
        </w:rPr>
        <w:t>amparo</w:t>
      </w:r>
      <w:r>
        <w:t xml:space="preserve"> în materie de mediu în temeiul art. 43 din Constituție, precum și sub forma unei acțiuni în despăgubiri pentru daunele colective aduse mediului în temeiul Legii generale privind mediul. Ia act, de asemenea, de argumentul statului parte potrivit căruia autorii ar fi putut să se adreseze Biroului Procurorului General al națiunii și Biroului Ombudsmanului pentru Drepturile Copiilor și Adolescenților pentru a demara astfel de acțiuni în temeiul Legii generale privind mediul și ar fi putut obține asistență juridică, care este disponibilă pentru acest tip de acțiuni. Comitetul observă că autorii susțin că excepția </w:t>
      </w:r>
      <w:r>
        <w:rPr>
          <w:i/>
          <w:iCs/>
        </w:rPr>
        <w:t>arraigo</w:t>
      </w:r>
      <w:r>
        <w:t xml:space="preserve"> prevăzută de art. 348 din Codul de procedură civilă i-ar împiedica pe cei care locuiesc în străinătate să inițieze orice fel de acțiune în justiție în statul parte. Totuși, constată că statul parte a respins această afirmație și că autorii nu au furnizat exemple de cauze în care reclamanții nedomiciliați pe teritoriul statului parte ar fi fost împiedicați să exercite căile de atac menționate de statul parte pentru a obține </w:t>
      </w:r>
      <w:r>
        <w:lastRenderedPageBreak/>
        <w:t>despăgubiri similare celor solicitate de aceștia. În final, Comitetul ia notă de argumentul autorilor potrivit căruia Biroul Procurorului General al națiunii și Biroul Ombudsmanului pentru Drepturile Copilului constituie căi de atac discreționare și, prin urmare, este puțin probabil să fie utile. Totuși, observă că autorii nu au solicitat acestor entități să inițieze o acțiune în numele lor și consideră că faptul că respectiva cale de atac poate fi discreționară în sine nu îi scutește de formularea unei astfel de cereri, în special în lipsa vreunei informații care ar demonstra că această cale de atac nu are nicio șansă de succes și având în vedere acțiunile în justiție deja inițiate cu privire la problema degradării mediului în statul parte. Întrucât autorii nu au oferit nicio explicație cu privire la motivul pentru care nu au încercat să exercite aceste căi de atac, în afară de afirmația că au îndoieli cu privire la faptul că ar putea obține câștig de cauză în vreun fel, Comitetul consideră că aceștia nu au epuizat toate căile de atac interne efective și disponibile de care s-ar putea prevala în mod rezonabil pentru a denunța presupusa încălcare a drepturilor lor în temeiul Convenției.</w:t>
      </w:r>
    </w:p>
    <w:p w:rsidR="00BF6A5D" w:rsidRPr="00BF6A5D" w:rsidRDefault="00BF6A5D" w:rsidP="00BF6A5D">
      <w:pPr>
        <w:pStyle w:val="JuQuot"/>
      </w:pPr>
      <w:r>
        <w:t>[...]</w:t>
      </w:r>
    </w:p>
    <w:p w:rsidR="00BF6A5D" w:rsidRPr="00BF6A5D" w:rsidRDefault="00BF6A5D" w:rsidP="00BF6A5D">
      <w:pPr>
        <w:pStyle w:val="JuQuot"/>
      </w:pPr>
      <w:r>
        <w:t>10.20  Comitetul observă că autorii susțin că exercitarea căilor de atac interne ar duce la proceduri nerezonabil de lungi. Observă, de asemenea, că autorii citează câteva exemple de cauze în materie de mediu a căror soluționare a durat mai mulți ani, dar că nu oferă informații concrete suplimentare cu privire la durata unor astfel de proceduri în statul parte. Comitetul observă, de asemenea, că statul parte oferă exemple de cauze în materie de mediu care au fost soluționate în termene rezonabile. Întrucât autorii nu au dat informații exacte care să demonstreze că ar fi inutile sau indisponibile căile de atac interne și nu au încercat să sesizeze instanțele statului parte, Comitetul consideră că aceștia nu au epuizat căile de atac interne.”</w:t>
      </w:r>
    </w:p>
    <w:p w:rsidR="00BF6A5D" w:rsidRPr="00BF6A5D" w:rsidRDefault="00BF6A5D" w:rsidP="00BF6A5D">
      <w:pPr>
        <w:pStyle w:val="JuHA"/>
      </w:pPr>
      <w:bookmarkStart w:id="46" w:name="_Toc177058390"/>
      <w:r>
        <w:t>Consiliul Europei</w:t>
      </w:r>
      <w:bookmarkEnd w:id="46"/>
    </w:p>
    <w:p w:rsidR="00BF6A5D" w:rsidRPr="00BF6A5D" w:rsidRDefault="00D340B2" w:rsidP="00BF6A5D">
      <w:pPr>
        <w:pStyle w:val="JuPara"/>
      </w:pPr>
      <w:fldSimple w:instr=" SEQ level0 \*arabic \* MERGEFORMAT ">
        <w:r w:rsidR="00BF6A5D" w:rsidRPr="00BF6A5D">
          <w:t>61</w:t>
        </w:r>
      </w:fldSimple>
      <w:r w:rsidR="00BF6A5D">
        <w:t xml:space="preserve">.  În cauza </w:t>
      </w:r>
      <w:r w:rsidR="00BF6A5D">
        <w:rPr>
          <w:i/>
          <w:iCs/>
        </w:rPr>
        <w:t>Fundația Marangopoulos pentru Drepturile Omului (FMDO) împotriva Greciei</w:t>
      </w:r>
      <w:r w:rsidR="00BF6A5D" w:rsidRPr="00BF6A5D">
        <w:rPr>
          <w:vertAlign w:val="superscript"/>
        </w:rPr>
        <w:footnoteReference w:id="14"/>
      </w:r>
      <w:r w:rsidR="00BF6A5D">
        <w:t>, care avea ca obiect art. 11 (Dreptul la protecția sănătății) din Carta socială europeană, Comitetul European pentru Drepturi Sociale a afirmat următoarele:</w:t>
      </w:r>
    </w:p>
    <w:p w:rsidR="00BF6A5D" w:rsidRPr="00BF6A5D" w:rsidRDefault="00BF6A5D" w:rsidP="00BF6A5D">
      <w:pPr>
        <w:pStyle w:val="JuQuot"/>
      </w:pPr>
      <w:r>
        <w:t>„203.  În vederea îndeplinirii obligațiilor lor, autoritățile naționale trebuie:</w:t>
      </w:r>
    </w:p>
    <w:p w:rsidR="00BF6A5D" w:rsidRPr="00BF6A5D" w:rsidRDefault="00BF6A5D" w:rsidP="00BF6A5D">
      <w:pPr>
        <w:pStyle w:val="JuQuot"/>
      </w:pPr>
      <w:r>
        <w:t>– să elaboreze și să actualizeze periodic un cadru legislativ și normativ suficient de cuprinzător în domeniul mediului [...];</w:t>
      </w:r>
    </w:p>
    <w:p w:rsidR="00BF6A5D" w:rsidRPr="00BF6A5D" w:rsidRDefault="00BF6A5D" w:rsidP="00BF6A5D">
      <w:pPr>
        <w:pStyle w:val="JuQuot"/>
      </w:pPr>
      <w:r>
        <w:t>– să stabilească dispoziții specifice (adaptarea echipamentelor, stabilirea valorilor limită de emisii, măsurarea calității aerului etc.), atât pentru a preveni poluarea aerului la nivel local, cât și pentru a contribui la reducerea poluării atmosferice la nivel mondial [...];</w:t>
      </w:r>
    </w:p>
    <w:p w:rsidR="00BF6A5D" w:rsidRPr="00BF6A5D" w:rsidRDefault="00BF6A5D" w:rsidP="00BF6A5D">
      <w:pPr>
        <w:pStyle w:val="JuQuot"/>
      </w:pPr>
      <w:r>
        <w:t>– să asigure punerea în aplicare efectivă a standardelor de mediu prin mecanisme de control adecvate [...];</w:t>
      </w:r>
    </w:p>
    <w:p w:rsidR="00BF6A5D" w:rsidRPr="00BF6A5D" w:rsidRDefault="00BF6A5D" w:rsidP="00BF6A5D">
      <w:pPr>
        <w:pStyle w:val="JuQuot"/>
      </w:pPr>
      <w:r>
        <w:t>– să informeze, să sensibilizeze și să educe publicul, inclusiv în unități de învățământ, cu privire la problemele de mediu în general și la nivel local [...];</w:t>
      </w:r>
    </w:p>
    <w:p w:rsidR="00BF6A5D" w:rsidRPr="00BF6A5D" w:rsidRDefault="00BF6A5D" w:rsidP="00BF6A5D">
      <w:pPr>
        <w:pStyle w:val="JuQuot"/>
      </w:pPr>
      <w:r>
        <w:t>– să evalueze riscurile pentru sănătate prin supravegherea epidemiologică a populațiilor în cauză.”</w:t>
      </w:r>
    </w:p>
    <w:p w:rsidR="00BF6A5D" w:rsidRPr="00BF6A5D" w:rsidRDefault="00BF6A5D" w:rsidP="00BF6A5D">
      <w:pPr>
        <w:pStyle w:val="JuHA"/>
      </w:pPr>
      <w:bookmarkStart w:id="47" w:name="_Toc177058391"/>
      <w:r>
        <w:lastRenderedPageBreak/>
        <w:t>Sistemele regionale de protecție a drepturilor omului</w:t>
      </w:r>
      <w:bookmarkEnd w:id="47"/>
    </w:p>
    <w:p w:rsidR="00BF6A5D" w:rsidRPr="00BF6A5D" w:rsidRDefault="00D340B2" w:rsidP="00BF6A5D">
      <w:pPr>
        <w:pStyle w:val="JuPara"/>
      </w:pPr>
      <w:fldSimple w:instr=" SEQ level0 \*arabic \* MERGEFORMAT ">
        <w:r w:rsidR="00BF6A5D" w:rsidRPr="00BF6A5D">
          <w:t>62</w:t>
        </w:r>
      </w:fldSimple>
      <w:r w:rsidR="00BF6A5D">
        <w:t>.  În Comentariul general nr. 3 (Dreptul la viață)</w:t>
      </w:r>
      <w:r w:rsidR="00BF6A5D" w:rsidRPr="00BF6A5D">
        <w:rPr>
          <w:vertAlign w:val="superscript"/>
        </w:rPr>
        <w:footnoteReference w:id="15"/>
      </w:r>
      <w:r w:rsidR="00BF6A5D">
        <w:t>, Comisia Africană a Drepturilor Omului și Popoarelor a remarcat următoarele:</w:t>
      </w:r>
    </w:p>
    <w:p w:rsidR="00BF6A5D" w:rsidRPr="00BF6A5D" w:rsidRDefault="00BF6A5D" w:rsidP="00BF6A5D">
      <w:pPr>
        <w:pStyle w:val="JuQuot"/>
      </w:pPr>
      <w:r>
        <w:t>„(14) Un stat respectă dreptul la viață al persoanelor din afara teritoriului său. Un stat are, de asemenea, anumite obligații de a proteja dreptul la viață al acestor persoane. Natura acestor obligații depinde, de exemplu, de măsura în care statul respectiv își exercită o jurisdicție, sau exercită în alt mod o autoritate, o putere sau un control cu caracter efectiv asupra făptuitorului sau a victimei (sau a drepturilor victimei) ori exercită un control efectiv în teritoriul în care sunt încălcate drepturile victimei sau dacă statul adoptă o conduită despre care se poate prevedea în mod rezonabil că va duce la o privare ilegală de viață. În orice caz, dreptul internațional cutumiar interzice, fără limitare teritorială, privarea arbitrară de viață.”</w:t>
      </w:r>
    </w:p>
    <w:bookmarkStart w:id="48" w:name="paragraph0006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63</w:t>
      </w:r>
      <w:r w:rsidRPr="00BF6A5D">
        <w:fldChar w:fldCharType="end"/>
      </w:r>
      <w:bookmarkEnd w:id="48"/>
      <w:r>
        <w:t>.  În avizul consultativ OC-23/17</w:t>
      </w:r>
      <w:r w:rsidRPr="00BF6A5D">
        <w:rPr>
          <w:vertAlign w:val="superscript"/>
        </w:rPr>
        <w:footnoteReference w:id="16"/>
      </w:r>
      <w:r>
        <w:t>, sarcina Curții Interamericane a Drepturilor Omului a fost de a examina o cerere de aviz consultativ cu privire la modul de interpretare a Convenției americane a drepturilor omului într-un caz în care un proiect de infrastructură la scară largă risca să aibă un impact asupra mediului în întreaga regiune. Părțile relevante din acest aviz au următorul conținut:</w:t>
      </w:r>
    </w:p>
    <w:p w:rsidR="00BF6A5D" w:rsidRPr="00BF6A5D" w:rsidRDefault="00BF6A5D" w:rsidP="00BF6A5D">
      <w:pPr>
        <w:pStyle w:val="JuQuot"/>
      </w:pPr>
      <w:r>
        <w:t>„2.  Noțiunea de jurisdicție în sensul art. 1 § 1 din Convenția americană cuprinde orice situație în care un stat exercită o autoritate sau un control în mod efectiv asupra unei persoane, fie pe teritoriul lui, fie în afara acestuia [...].</w:t>
      </w:r>
    </w:p>
    <w:p w:rsidR="00BF6A5D" w:rsidRPr="00BF6A5D" w:rsidRDefault="00BF6A5D" w:rsidP="00BF6A5D">
      <w:pPr>
        <w:pStyle w:val="JuQuot"/>
      </w:pPr>
      <w:r>
        <w:t>3.  Pentru a stabili dacă circumstanțele permit stabilirea competenței unui stat, este necesar să se examineze circumstanțele de fapt și de drept ale fiecărei cauze particulare; nu este suficient ca o persoană să se afle într-o anumită zonă geografică, cum ar fi zona de aplicare a unui tratat de protecție a mediului (pct. 83-94 din prezentul aviz).</w:t>
      </w:r>
    </w:p>
    <w:p w:rsidR="00BF6A5D" w:rsidRPr="00BF6A5D" w:rsidRDefault="00BF6A5D" w:rsidP="00BF6A5D">
      <w:pPr>
        <w:pStyle w:val="JuQuot"/>
      </w:pPr>
      <w:r>
        <w:t>4.  În sensul art. 1 § 1 din Convenția americană, se înțelege că orice persoană ale cărei drepturi garantate de Convenție au fost încălcate ca urmare a daunelor transfrontaliere va fi supusă jurisdicției statului de origine a daunelor, statul în cauză exercitând un control efectiv asupra activităților desfășurate pe teritoriul său ori sub jurisdicția sa (pct. 95-103 din prezentul aviz).</w:t>
      </w:r>
    </w:p>
    <w:p w:rsidR="00BF6A5D" w:rsidRPr="00BF6A5D" w:rsidRDefault="00BF6A5D" w:rsidP="00BF6A5D">
      <w:pPr>
        <w:pStyle w:val="JuQuot"/>
      </w:pPr>
      <w:r>
        <w:t xml:space="preserve">5.  Pentru a respecta și a garanta dreptul la viață și la integritatea personală a persoanelor aflate sub jurisdicția lor, statele au obligația de a preveni orice daune semnificative aduse mediului pe teritoriul lor sau în afara teritoriului lor și, în acest scop, de a reglementa, a supraveghea și a controla activitățile din sfera lor de competență care pot aduce daune semnificative mediului, de a efectua evaluări ale impactului asupra mediului în prezența unui risc de daune semnificative aduse mediului, de a elabora un plan de urgență cu scopul de a stabili măsuri și proceduri de </w:t>
      </w:r>
      <w:r>
        <w:lastRenderedPageBreak/>
        <w:t>siguranță pentru a reduce la minimum riscul de accidente ecologice majore și de a atenua orice daune semnificative aduse mediului care ar fi putut surveni (pct. 127 și 174 din prezentul aviz).</w:t>
      </w:r>
    </w:p>
    <w:p w:rsidR="00BF6A5D" w:rsidRPr="00BF6A5D" w:rsidRDefault="00BF6A5D" w:rsidP="00BF6A5D">
      <w:pPr>
        <w:pStyle w:val="JuQuot"/>
      </w:pPr>
      <w:r>
        <w:t>6.  Statele trebuie să acționeze în conformitate cu principiul precauției pentru a proteja dreptul la viață și la integritate personală în cazurile în care mai multe elemente plauzibile sugerează că o anumită activitate ar putea aduce mediului daune grave sau ireversibile, chiar și în lipsa certitudinii științifice (pct. 180 din prezentul aviz).”</w:t>
      </w:r>
    </w:p>
    <w:p w:rsidR="00BF6A5D" w:rsidRPr="00BF6A5D" w:rsidRDefault="00BF6A5D" w:rsidP="00BF6A5D">
      <w:pPr>
        <w:pStyle w:val="JuHIRoman"/>
      </w:pPr>
      <w:bookmarkStart w:id="49" w:name="_Toc177058392"/>
      <w:r>
        <w:t>PREZENTARE GENERALĂ A JURISPRUDENȚEI INTERNE PRIVIND SCHIMBĂRILE CLIMATICE</w:t>
      </w:r>
      <w:bookmarkEnd w:id="49"/>
    </w:p>
    <w:p w:rsidR="00BF6A5D" w:rsidRPr="00BF6A5D" w:rsidRDefault="00D340B2" w:rsidP="00BF6A5D">
      <w:pPr>
        <w:pStyle w:val="JuPara"/>
      </w:pPr>
      <w:fldSimple w:instr=" SEQ level0 \*arabic \* MERGEFORMAT ">
        <w:r w:rsidR="00BF6A5D" w:rsidRPr="00BF6A5D">
          <w:t>64</w:t>
        </w:r>
      </w:fldSimple>
      <w:r w:rsidR="00BF6A5D">
        <w:t xml:space="preserve">.  Hotărârea </w:t>
      </w:r>
      <w:r w:rsidR="00BF6A5D">
        <w:rPr>
          <w:i/>
        </w:rPr>
        <w:t>Verein KlimaSeniorinnen Schweiz</w:t>
      </w:r>
      <w:r w:rsidR="00BF6A5D">
        <w:rPr>
          <w:i/>
          <w:iCs/>
        </w:rPr>
        <w:t xml:space="preserve"> și alții</w:t>
      </w:r>
      <w:r w:rsidR="00BF6A5D">
        <w:t xml:space="preserve"> (citată anterior, pct. 232-272) conține extrasele relevante din diferite cauze având ca obiect schimbările climatice examinate de instanțele naționale din statele membre ale Consiliului Europei. Singura cauză în care s-a ridicat problema extrateritorialității a fost cauza </w:t>
      </w:r>
      <w:r w:rsidR="00BF6A5D">
        <w:rPr>
          <w:i/>
          <w:iCs/>
        </w:rPr>
        <w:t>Neubauer și alții împotriva Republicii Federale Germania</w:t>
      </w:r>
      <w:r w:rsidR="00BF6A5D" w:rsidRPr="00BF6A5D">
        <w:rPr>
          <w:vertAlign w:val="superscript"/>
        </w:rPr>
        <w:footnoteReference w:id="17"/>
      </w:r>
      <w:r w:rsidR="00BF6A5D">
        <w:t>, în care Curtea Constituțională Federală Germană a soluționat patru căi de atac constituționale referitoare la anumite dispoziții ale Legii federale privind schimbările climatice din 12 decembrie 2019 (</w:t>
      </w:r>
      <w:r w:rsidR="00BF6A5D">
        <w:rPr>
          <w:i/>
        </w:rPr>
        <w:t>Bundes-Klimaschutzgesetz</w:t>
      </w:r>
      <w:r w:rsidR="00BF6A5D">
        <w:t>) și o susținere privind neîndeplinirea de către stat a obligației de a lua măsuri suplimentare pentru reducerea emisiilor de GES.</w:t>
      </w:r>
    </w:p>
    <w:p w:rsidR="00BF6A5D" w:rsidRPr="00BF6A5D" w:rsidRDefault="00D340B2" w:rsidP="00BF6A5D">
      <w:pPr>
        <w:pStyle w:val="JuPara"/>
      </w:pPr>
      <w:fldSimple w:instr=" SEQ level0 \*arabic \* MERGEFORMAT ">
        <w:r w:rsidR="00BF6A5D" w:rsidRPr="00BF6A5D">
          <w:t>65</w:t>
        </w:r>
      </w:fldSimple>
      <w:r w:rsidR="00BF6A5D">
        <w:t>.  În această cauză, căile de atac au fost exercitate, printre altele, de resortisanți din Bangladesh și Nepal. Curtea Constituțională Federală a constatat, referitor la aceștia, neîncălcarea obligației de protecție care decurge din drepturile fundamentale garantate de Legea fundamentală. În această privință, instanța a reținut în special următorul raționament:</w:t>
      </w:r>
    </w:p>
    <w:p w:rsidR="00BF6A5D" w:rsidRPr="00BF6A5D" w:rsidRDefault="00BF6A5D" w:rsidP="00BF6A5D">
      <w:pPr>
        <w:pStyle w:val="JuQuot"/>
      </w:pPr>
      <w:r>
        <w:t>„174.  Deși acest lucru este într-adevăr posibil în principiu, nu este necesar să se decidă în acest stadiu dacă obligațiile de protecție care decurg din drepturile fundamentale impun de asemenea statului german obligația, față de reclamanții cu reședința în Bangladesh și Nepal, de a lua măsuri de combatere a pagubelor cauzate de schimbările climatice globale. În țările lor, reclamanții sunt deosebit de expuși la consecințele încălzirii globale cauzate de emisiile globale de gaze cu efect de seră. Deoarece emisiile de gaze cu efect de seră au un impact global, încălzirea globală continuă poate fi prevenită numai dacă toate statele iau măsuri în domeniul schimbărilor climatice. Aceasta înseamnă că și emisiile de gaze cu efect de seră din Germania trebuie reduse la niveluri neutre din punct de vedere climatic. Emisiile de gaze cu efect de seră din Germania reprezintă în prezent puțin sub 2 % din emisiile anuale la nivel mondial [...] Este la latitudinea legiuitorului german să limiteze aceste emisii.</w:t>
      </w:r>
    </w:p>
    <w:p w:rsidR="00BF6A5D" w:rsidRPr="00BF6A5D" w:rsidRDefault="00BF6A5D" w:rsidP="00BF6A5D">
      <w:pPr>
        <w:pStyle w:val="JuQuot"/>
      </w:pPr>
      <w:r>
        <w:t xml:space="preserve">175.  Deși art. 1 § 3 din Legea fundamentală conferă drepturi fundamentale opozabile statului german, acesta nu restrânge în mod expres sfera de aplicare a unei astfel de opozabilități la teritoriul german. Dimpotrivă, opozabilitatea drepturilor fundamentale consacrate în Legea fundamentală împotriva statului german are un sens cuprinzător [...] Totuși, în pofida acestui caracter global al opozabilității drepturilor fundamentale față de statul german, Curtea Constituțională Federală a statuat, de asemenea, că protecțiile specifice care decurg din drepturile fundamentale și sfera lor de aplicare în </w:t>
      </w:r>
      <w:r>
        <w:lastRenderedPageBreak/>
        <w:t>străinătate pot varia în funcție de circumstanțele în care se aplică. Prin urmare, ar putea fi necesar să se facă deosebirea între diferitele dimensiuni ale drepturilor fundamentale – protecție împotriva ingerinței din partea statului, obligații pozitive ale statului, decizii privind valorile consacrate de Constituție, izvoarele unei obligații de protecție etc. [...] Circumstanțele în care drepturile fundamentale pot fi invocate în scopul stabilirii unei obligații de protecție față de persoane care locuiesc în străinătate rămân de clarificat pe deplin. În speță, o obligație constituțională de protecție ar putea rezulta din faptul că pagubele grave pe care reclamanții le suferă sau le-ar putea suferi ca urmare a schimbărilor climatice sunt cauzate într-o anumită măsură – chiar dacă mai mică – de emisiile de gaze cu efect de seră imputabile Germaniei [...]</w:t>
      </w:r>
    </w:p>
    <w:p w:rsidR="00BF6A5D" w:rsidRPr="00BF6A5D" w:rsidRDefault="00BF6A5D" w:rsidP="00BF6A5D">
      <w:pPr>
        <w:pStyle w:val="JuQuot"/>
      </w:pPr>
      <w:r>
        <w:t>176.  O obligație de protecție față de reclamanții care au reședința în Bangladesh și în Nepal este diferită în orice caz de cea care i-ar reveni statului german față de persoanele care au reședința în Germania. În general, protecția drepturilor fundamentale oferită persoanelor cu reședința în străinătate poate fi diferită în ceea ce privește conținutul față de cea acordată persoanelor care au reședința în Germania. În anumite circumstanțe, sunt necesare ajustări și diferențieri [...] Acesta ar fi cazul în speță dacă obligația de protecție care decurge din drepturile fundamentale s-ar aplica persoanelor din Bangladesh și Nepal.</w:t>
      </w:r>
    </w:p>
    <w:p w:rsidR="00BF6A5D" w:rsidRPr="00BF6A5D" w:rsidRDefault="00BF6A5D" w:rsidP="00BF6A5D">
      <w:pPr>
        <w:pStyle w:val="JuQuot"/>
      </w:pPr>
      <w:r>
        <w:t>[...]</w:t>
      </w:r>
    </w:p>
    <w:p w:rsidR="00BF6A5D" w:rsidRPr="00BF6A5D" w:rsidRDefault="00BF6A5D" w:rsidP="00BF6A5D">
      <w:pPr>
        <w:pStyle w:val="JuQuot"/>
      </w:pPr>
      <w:r>
        <w:t>178.  Este adevărat că, prin reducerea emisiilor de gaze cu efect de seră din Germania, statul german ar putea proteja persoanele care trăiesc în străinătate față de consecințele schimbărilor climatice în același mod în care ar putea proteja persoanele care locuiesc în Germania. Faptul că statul german nu poate preveni de unul singur schimbările climatice și nu poate face acest lucru decât cu participarea restului lumii nu l-ar scuti, în principiu, de obligația de protecție care decurge din drepturile fundamentale în speță [...] Totuși, statul german nu dispune, în ceea ce privește persoanele care locuiesc în străinătate, de aceeași latitudine pentru a lua măsuri de protecție suplimentare. Având în vedere limitările pe care dreptul internațional le impune suveranității germane, statul german se află, practic, în imposibilitatea de a proteja persoanele care locuiesc în străinătate prin punerea în aplicare a unor măsuri de adaptare în afara teritoriului său [...]</w:t>
      </w:r>
    </w:p>
    <w:p w:rsidR="00BF6A5D" w:rsidRPr="00BF6A5D" w:rsidRDefault="00BF6A5D" w:rsidP="00BF6A5D">
      <w:pPr>
        <w:pStyle w:val="JuQuot"/>
      </w:pPr>
      <w:r>
        <w:t>179.  Acest lucru nu scutește Germania de obligația sa, atât din punct de vedere politic, cât și în temeiul dreptului internațional, de a pune în aplicare măsuri pozitive în vederea protejării persoanelor din țările mai sărace sau afectate mai grav [...]</w:t>
      </w:r>
    </w:p>
    <w:p w:rsidR="00BF6A5D" w:rsidRPr="00BF6A5D" w:rsidRDefault="00BF6A5D" w:rsidP="00BF6A5D">
      <w:pPr>
        <w:pStyle w:val="JuQuot"/>
      </w:pPr>
      <w:r>
        <w:t>180.  Chiar dacă statul german ar fi obligat, în temeiul art. 2 § 2 prima teză și al art. 14 § 1 din Legea fundamentală, să acorde protecție reclamanților care au reședința în Bangladesh și în Nepal prin adoptarea unor măsuri de limitare a creșterii temperaturilor, dispozițiile în litigiu nu ar constitui o încălcare a unei astfel de obligații de protecție. [...] În special, Germania a ratificat Acordul de la Paris, iar legiuitorul federal – astfel cum se menționează în primul paragraf a treia teză din Legea federală privind schimbările climatice – a întemeiat Legea federală privind schimbările climatice pe obligația Republicii Federale Germania de a respecta acest acord și pe angajamentul său de a urmări obiectivul pe termen lung de realizare a neutralității emisiilor de dioxid de carbon până în 2050. Art. 3 § 1 a doua teză și art. 4 § 1 a treia teză din Legea federală privind schimbările climatice, coroborate cu anexa 2, stabilesc obiective concrete de reducere pentru perioada până în 2030. O serie de alte legi stabilesc măsuri în vederea limitării schimbărilor climatice.</w:t>
      </w:r>
    </w:p>
    <w:p w:rsidR="00BF6A5D" w:rsidRPr="00BF6A5D" w:rsidRDefault="00BF6A5D" w:rsidP="00BF6A5D">
      <w:pPr>
        <w:pStyle w:val="JuQuot"/>
      </w:pPr>
      <w:r>
        <w:t xml:space="preserve">181.  [...] Republica Federală Germania – și în special legiuitorul german – a îndeplinit această obligație de protecție prin angajamentul său internațional de </w:t>
      </w:r>
      <w:r>
        <w:lastRenderedPageBreak/>
        <w:t>combatere a schimbărilor climatice și prin măsurile specifice de punere în aplicare pe care le-a adoptat în scopul acestui angajament în domeniul schimbărilor climatice [...]”</w:t>
      </w:r>
    </w:p>
    <w:p w:rsidR="00BF6A5D" w:rsidRPr="00BF6A5D" w:rsidRDefault="00BF6A5D" w:rsidP="00BF6A5D">
      <w:pPr>
        <w:pStyle w:val="JuHHead"/>
        <w:ind w:left="360" w:hanging="360"/>
        <w:rPr>
          <w:caps w:val="0"/>
        </w:rPr>
      </w:pPr>
      <w:bookmarkStart w:id="50" w:name="_Toc177058393"/>
      <w:r>
        <w:rPr>
          <w:caps w:val="0"/>
        </w:rPr>
        <w:t>CAPĂT DE CERERE</w:t>
      </w:r>
      <w:bookmarkEnd w:id="50"/>
    </w:p>
    <w:p w:rsidR="00BF6A5D" w:rsidRPr="00BF6A5D" w:rsidRDefault="00D340B2" w:rsidP="00BF6A5D">
      <w:pPr>
        <w:pStyle w:val="JuPara"/>
      </w:pPr>
      <w:fldSimple w:instr=" SEQ level0 \*arabic \* MERGEFORMAT ">
        <w:r w:rsidR="00BF6A5D" w:rsidRPr="00BF6A5D">
          <w:t>66</w:t>
        </w:r>
      </w:fldSimple>
      <w:r w:rsidR="00BF6A5D">
        <w:t>.  Reclamanții se plâng de încălcarea drepturilor lor garantate de art. 2, 3, 8 și 14 din Convenție din cauza efectelor actuale și viitoare grave ale schimbărilor climatice, pe care le impută statelor pârâte. În special, menționează valurile de căldură, incendiile de pădure și fumul degajat de incendii care, în opinia lor, au efecte asupra vieții, bunăstării și sănătății lor mintale, precum și a confortului din casele lor.</w:t>
      </w:r>
    </w:p>
    <w:p w:rsidR="00BF6A5D" w:rsidRPr="00BF6A5D" w:rsidRDefault="00BF6A5D" w:rsidP="00BF6A5D">
      <w:pPr>
        <w:pStyle w:val="JuHHead"/>
        <w:ind w:left="360" w:hanging="360"/>
        <w:rPr>
          <w:caps w:val="0"/>
        </w:rPr>
      </w:pPr>
      <w:bookmarkStart w:id="51" w:name="_Toc177058394"/>
      <w:r>
        <w:rPr>
          <w:caps w:val="0"/>
        </w:rPr>
        <w:t>ÎN DREPT</w:t>
      </w:r>
      <w:bookmarkEnd w:id="51"/>
    </w:p>
    <w:p w:rsidR="00BF6A5D" w:rsidRPr="00BF6A5D" w:rsidRDefault="00D340B2" w:rsidP="00BF6A5D">
      <w:pPr>
        <w:pStyle w:val="JuPara"/>
      </w:pPr>
      <w:fldSimple w:instr=" SEQ level0 \*arabic \* MERGEFORMAT ">
        <w:r w:rsidR="00BF6A5D" w:rsidRPr="00BF6A5D">
          <w:t>67</w:t>
        </w:r>
      </w:fldSimple>
      <w:r w:rsidR="00BF6A5D">
        <w:t>.  Partea relevantă din art. 2 din Convenție prevede următoarele:</w:t>
      </w:r>
    </w:p>
    <w:p w:rsidR="00BF6A5D" w:rsidRPr="00BF6A5D" w:rsidRDefault="00BF6A5D" w:rsidP="00BF6A5D">
      <w:pPr>
        <w:pStyle w:val="JuQuot"/>
      </w:pPr>
      <w:r>
        <w:t>„1.  Dreptul la viață al oricărei persoane este protejat prin lege [...]”</w:t>
      </w:r>
    </w:p>
    <w:p w:rsidR="00BF6A5D" w:rsidRPr="00BF6A5D" w:rsidRDefault="00D340B2" w:rsidP="00BF6A5D">
      <w:pPr>
        <w:pStyle w:val="JuPara"/>
      </w:pPr>
      <w:fldSimple w:instr=" SEQ level0 \*arabic \* MERGEFORMAT ">
        <w:r w:rsidR="00BF6A5D" w:rsidRPr="00BF6A5D">
          <w:t>68</w:t>
        </w:r>
      </w:fldSimple>
      <w:r w:rsidR="00BF6A5D">
        <w:t>.  În conformitate cu art. 3 din Convenție,</w:t>
      </w:r>
    </w:p>
    <w:p w:rsidR="00BF6A5D" w:rsidRPr="00BF6A5D" w:rsidRDefault="00BF6A5D" w:rsidP="00BF6A5D">
      <w:pPr>
        <w:pStyle w:val="JuQuot"/>
      </w:pPr>
      <w:r>
        <w:t>„Nimeni nu poate fi supus torturii, nici pedepselor sau tratamentelor inumane ori degradante.”</w:t>
      </w:r>
    </w:p>
    <w:p w:rsidR="00BF6A5D" w:rsidRPr="00BF6A5D" w:rsidRDefault="00D340B2" w:rsidP="00BF6A5D">
      <w:pPr>
        <w:pStyle w:val="JuPara"/>
      </w:pPr>
      <w:fldSimple w:instr=" SEQ level0 \*arabic \* MERGEFORMAT ">
        <w:r w:rsidR="00BF6A5D" w:rsidRPr="00BF6A5D">
          <w:t>69</w:t>
        </w:r>
      </w:fldSimple>
      <w:r w:rsidR="00BF6A5D">
        <w:t>.  Partea relevantă din art. 8 din Convenție prevede următoarele:</w:t>
      </w:r>
    </w:p>
    <w:p w:rsidR="00BF6A5D" w:rsidRPr="00BF6A5D" w:rsidRDefault="00BF6A5D" w:rsidP="00BF6A5D">
      <w:pPr>
        <w:pStyle w:val="JuQuot"/>
      </w:pPr>
      <w:r>
        <w:t>„1.  Orice persoană are dreptul la respectarea vieții sale private și de familie, a domiciliului său și a corespondenței sale [...]”</w:t>
      </w:r>
    </w:p>
    <w:p w:rsidR="00BF6A5D" w:rsidRPr="00BF6A5D" w:rsidRDefault="00D340B2" w:rsidP="00BF6A5D">
      <w:pPr>
        <w:pStyle w:val="JuPara"/>
      </w:pPr>
      <w:fldSimple w:instr=" SEQ level0 \*arabic \* MERGEFORMAT ">
        <w:r w:rsidR="00BF6A5D" w:rsidRPr="00BF6A5D">
          <w:t>70</w:t>
        </w:r>
      </w:fldSimple>
      <w:r w:rsidR="00BF6A5D">
        <w:t>.  Art. 14 din Convenție prevede următoarele:</w:t>
      </w:r>
    </w:p>
    <w:p w:rsidR="00BF6A5D" w:rsidRPr="00BF6A5D" w:rsidRDefault="00BF6A5D" w:rsidP="00BF6A5D">
      <w:pPr>
        <w:pStyle w:val="JuQuot"/>
      </w:pPr>
      <w:r>
        <w:t>„Exercitarea drepturilor și libertăților recunoscute de […] Convenție trebuie să fie asigurată fără nicio deosebire bazată, în special, pe sex, rasă, culoare, limbă, religie, opinii politice sau orice alte opinii, origine națională sau socială, apartenență la o minoritate națională, avere, naștere sau orice altă situație.”</w:t>
      </w:r>
    </w:p>
    <w:p w:rsidR="00BF6A5D" w:rsidRPr="00BF6A5D" w:rsidRDefault="00BF6A5D" w:rsidP="00BF6A5D">
      <w:pPr>
        <w:pStyle w:val="JuHIRoman"/>
      </w:pPr>
      <w:bookmarkStart w:id="52" w:name="_Toc177058395"/>
      <w:r>
        <w:t>ARGUMENTELE PĂRȚILOR</w:t>
      </w:r>
      <w:bookmarkEnd w:id="52"/>
    </w:p>
    <w:p w:rsidR="00BF6A5D" w:rsidRPr="00BF6A5D" w:rsidRDefault="00D340B2" w:rsidP="00BF6A5D">
      <w:pPr>
        <w:pStyle w:val="JuPara"/>
      </w:pPr>
      <w:fldSimple w:instr=" SEQ level0 \*arabic \* MERGEFORMAT ">
        <w:r w:rsidR="00BF6A5D" w:rsidRPr="00BF6A5D">
          <w:t>71</w:t>
        </w:r>
      </w:fldSimple>
      <w:r w:rsidR="00BF6A5D">
        <w:t>.  În rezumatul de mai jos sunt expuse argumentele formulate de părți și de terții intervenienți în observațiile scrise și pledoariile cu privire la admisibilitatea cauzei, inclusiv problemele de jurisdicție, epuizarea căilor de atac interne și calitatea de victimă.</w:t>
      </w:r>
    </w:p>
    <w:p w:rsidR="00BF6A5D" w:rsidRPr="00BF6A5D" w:rsidRDefault="00BF6A5D" w:rsidP="00BF6A5D">
      <w:pPr>
        <w:pStyle w:val="JuHA"/>
      </w:pPr>
      <w:bookmarkStart w:id="53" w:name="_Toc177058396"/>
      <w:r>
        <w:t>Guvernele pârâte</w:t>
      </w:r>
      <w:bookmarkEnd w:id="53"/>
    </w:p>
    <w:bookmarkStart w:id="54" w:name="paragraph0007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72</w:t>
      </w:r>
      <w:r w:rsidRPr="00BF6A5D">
        <w:fldChar w:fldCharType="end"/>
      </w:r>
      <w:bookmarkEnd w:id="54"/>
      <w:r>
        <w:t xml:space="preserve">.  În cursul primei runde de schimburi scrise în fața Marii Camere, – cu excepția Guvernului Țărilor de Jos (care a prezentat observații separate) și a guvernelor Rusiei și Ucrainei (care nu au prezentat observații; </w:t>
      </w:r>
      <w:r>
        <w:rPr>
          <w:i/>
          <w:iCs/>
        </w:rPr>
        <w:t>infra</w:t>
      </w:r>
      <w:r>
        <w:t xml:space="preserve">, pct. </w:t>
      </w:r>
      <w:r w:rsidRPr="00BF6A5D">
        <w:fldChar w:fldCharType="begin"/>
      </w:r>
      <w:r w:rsidRPr="00BF6A5D">
        <w:instrText xml:space="preserve"> REF paragraph141 \h  \* MERGEFORMAT </w:instrText>
      </w:r>
      <w:r w:rsidRPr="00BF6A5D">
        <w:fldChar w:fldCharType="separate"/>
      </w:r>
      <w:r w:rsidRPr="00BF6A5D">
        <w:t>139</w:t>
      </w:r>
      <w:r w:rsidRPr="00BF6A5D">
        <w:fldChar w:fldCharType="end"/>
      </w:r>
      <w:r>
        <w:t>-</w:t>
      </w:r>
      <w:r w:rsidRPr="00BF6A5D">
        <w:lastRenderedPageBreak/>
        <w:fldChar w:fldCharType="begin"/>
      </w:r>
      <w:r w:rsidRPr="00BF6A5D">
        <w:instrText xml:space="preserve"> REF lt_pId0148 \h </w:instrText>
      </w:r>
      <w:r w:rsidRPr="00BF6A5D">
        <w:fldChar w:fldCharType="separate"/>
      </w:r>
      <w:r w:rsidRPr="00BF6A5D">
        <w:t>146</w:t>
      </w:r>
      <w:r w:rsidRPr="00BF6A5D">
        <w:fldChar w:fldCharType="end"/>
      </w:r>
      <w:r>
        <w:t>) – toate guvernele pârâte au prezentat observații comune</w:t>
      </w:r>
      <w:r w:rsidRPr="00BF6A5D">
        <w:rPr>
          <w:vertAlign w:val="superscript"/>
        </w:rPr>
        <w:footnoteReference w:id="18"/>
      </w:r>
      <w:r>
        <w:t>. De asemenea, acestea au prezentat observații specifice statului lor, în special pentru a clarifica chestiunile legate de căile de atac interne disponibile și de măsurile luate în sistemele lor juridice interne pentru combaterea schimbărilor climatice.</w:t>
      </w:r>
    </w:p>
    <w:bookmarkStart w:id="55" w:name="paragraph0007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73</w:t>
      </w:r>
      <w:r w:rsidRPr="00BF6A5D">
        <w:fldChar w:fldCharType="end"/>
      </w:r>
      <w:bookmarkEnd w:id="55"/>
      <w:r>
        <w:t>.  În cadrul celei de-a doua runde de schimburi scrise, toate guvernele pârâte – cu excepția celor trei guverne sus-menționate și a Franței – au prezentat observații comune. Elveția s-a limitat la reiterarea argumentelor pe care le-a prezentat deja. Unele guverne pârâte (Austria, Bulgaria, Republica Cehă, Cipru, Finlanda, Irlanda, Letonia, Norvegia, Polonia, Portugalia, Regatul Unit, România, Suedia și Turcia) au prezentat, de asemenea, observații succinte specifice statelor lor respective cu privire în principal la cele două puncte enunțate mai sus, respectiv epuizarea căilor de atac interne și fondul cauzei.</w:t>
      </w:r>
    </w:p>
    <w:p w:rsidR="00BF6A5D" w:rsidRPr="00BF6A5D" w:rsidRDefault="00D340B2" w:rsidP="00BF6A5D">
      <w:pPr>
        <w:pStyle w:val="JuPara"/>
      </w:pPr>
      <w:fldSimple w:instr=" SEQ level0 \*arabic \* MERGEFORMAT ">
        <w:bookmarkStart w:id="56" w:name="paragraph00074"/>
        <w:r w:rsidR="00BF6A5D" w:rsidRPr="00BF6A5D">
          <w:t>74</w:t>
        </w:r>
        <w:bookmarkEnd w:id="56"/>
      </w:fldSimple>
      <w:r w:rsidR="00BF6A5D">
        <w:t>.  În ședință, majoritatea guvernelor pârâte au formulat următoarele observații comune în fața Curții: avocatul Guvernului Regatului Unit a formulat observații preliminare și a abordat problema jurisdicției, agentul Guvernului Belgiei a abordat problema epuizării căilor de atac interne, iar agentul Guvernului Portugaliei a vorbit despre problema calității de victimă. Reprezentanții guvernelor Țărilor de Jos, Portugaliei și Turciei au făcut observații specifice statelor lor respective.</w:t>
      </w:r>
    </w:p>
    <w:p w:rsidR="00BF6A5D" w:rsidRPr="00BF6A5D" w:rsidRDefault="00D340B2" w:rsidP="00BF6A5D">
      <w:pPr>
        <w:pStyle w:val="JuPara"/>
      </w:pPr>
      <w:fldSimple w:instr=" SEQ level0 \*arabic \* MERGEFORMAT ">
        <w:r w:rsidR="00BF6A5D" w:rsidRPr="00BF6A5D">
          <w:t>75</w:t>
        </w:r>
      </w:fldSimple>
      <w:r w:rsidR="00BF6A5D">
        <w:t xml:space="preserve">.  În plus, în conformitate cu instrucțiunile președintelui, guvernele pârâte – cu excepția guvernelor Țărilor de Jos, Rusiei și Ucrainei – au fost toate de acord cu răspunsul comun la întrebările Curții prezentat de Guvernul Belgiei. Guvernul Țărilor de Jos a prezentat observații specifice statului său ca răspuns la întrebările adresate de Curte, iar Guvernul Portugaliei a prezentat observații separate făcând trimitere la jurisprudența sa internă relevantă (a se vedea </w:t>
      </w:r>
      <w:r w:rsidR="00BF6A5D">
        <w:rPr>
          <w:i/>
          <w:iCs/>
        </w:rPr>
        <w:t>supra</w:t>
      </w:r>
      <w:r w:rsidR="00BF6A5D">
        <w:t xml:space="preserve">, pct. </w:t>
      </w:r>
      <w:r w:rsidR="00BF6A5D" w:rsidRPr="00BF6A5D">
        <w:fldChar w:fldCharType="begin"/>
      </w:r>
      <w:r w:rsidR="00BF6A5D" w:rsidRPr="00BF6A5D">
        <w:instrText xml:space="preserve"> REF paragraph00051 \h  \* CharFormat  \* MERGEFORMAT </w:instrText>
      </w:r>
      <w:r w:rsidR="00BF6A5D" w:rsidRPr="00BF6A5D">
        <w:fldChar w:fldCharType="separate"/>
      </w:r>
      <w:r w:rsidR="00BF6A5D" w:rsidRPr="00BF6A5D">
        <w:t>52</w:t>
      </w:r>
      <w:r w:rsidR="00BF6A5D" w:rsidRPr="00BF6A5D">
        <w:fldChar w:fldCharType="end"/>
      </w:r>
      <w:r w:rsidR="00BF6A5D">
        <w:t>).</w:t>
      </w:r>
    </w:p>
    <w:p w:rsidR="00BF6A5D" w:rsidRPr="00BF6A5D" w:rsidRDefault="00BF6A5D" w:rsidP="00BF6A5D">
      <w:pPr>
        <w:pStyle w:val="JuH1"/>
      </w:pPr>
      <w:bookmarkStart w:id="57" w:name="_Toc177058397"/>
      <w:r>
        <w:t>Observații comune</w:t>
      </w:r>
      <w:bookmarkEnd w:id="57"/>
    </w:p>
    <w:p w:rsidR="00BF6A5D" w:rsidRPr="00BF6A5D" w:rsidRDefault="00BF6A5D" w:rsidP="00BF6A5D">
      <w:pPr>
        <w:pStyle w:val="JuHa0"/>
      </w:pPr>
      <w:bookmarkStart w:id="58" w:name="_Toc177058398"/>
      <w:r>
        <w:t>Remarci generale</w:t>
      </w:r>
      <w:bookmarkEnd w:id="58"/>
    </w:p>
    <w:p w:rsidR="00BF6A5D" w:rsidRPr="00BF6A5D" w:rsidRDefault="00D340B2" w:rsidP="00BF6A5D">
      <w:pPr>
        <w:pStyle w:val="JuPara"/>
      </w:pPr>
      <w:fldSimple w:instr=" SEQ level0 \*arabic \* MERGEFORMAT ">
        <w:r w:rsidR="00BF6A5D" w:rsidRPr="00BF6A5D">
          <w:t>76</w:t>
        </w:r>
      </w:fldSimple>
      <w:r w:rsidR="00BF6A5D">
        <w:t xml:space="preserve">.  Guvernele susțin că reclamanții au încercat să eludeze condițiile esențiale de admisibilitate a cererilor adresate Curții care sunt prevăzute de Convenție. În special, consideră că reclamanții urmăresc să convingă Curtea să se abată în mod radical de la jurisprudența sa în materie de jurisdicție și că nu au invocat și nici nu au epuizat căile de atac interne în niciunul dintre statele pârâte. În consecință, potrivit guvernelor, niciunul dintre elementele </w:t>
      </w:r>
      <w:r w:rsidR="00BF6A5D">
        <w:lastRenderedPageBreak/>
        <w:t xml:space="preserve">de fapt prezentate de reclamanți, fie în cererea lor inițială, fie în observațiile lor, nu a fost vreodată examinat sau testat în fața unei instanțe naționale. În plus, reclamanții solicită Curții să extindă în mod radical și considerabil jurisprudența sa privind aplicabilitatea și sfera de aplicare a obligațiilor care decurg din art. 2, 3, 8 și 14 din Convenție. Abordarea reclamanților nu numai că a depășit cu mult rolul pe care Curtea ar trebui să îl joace în cadrul sistemului Convenției, ci a fost, de asemenea, incompatibilă cu cadrul convenit la nivel internațional pentru combaterea schimbărilor climatice. Cererea introdusă de reclamanți prezintă, de asemenea, toate caracteristicile unei </w:t>
      </w:r>
      <w:r w:rsidR="00BF6A5D">
        <w:rPr>
          <w:i/>
          <w:iCs/>
        </w:rPr>
        <w:t>actio popularis</w:t>
      </w:r>
      <w:r w:rsidR="00BF6A5D">
        <w:t>. Astfel, deși au recunoscut gravitatea amenințării cu care se confruntă comunitatea mondială din cauza schimbărilor climatice și necesitatea imperativă de a acționa urgent pentru abordarea acestei amenințări, guvernele pârâte consideră că această cerere ar trebui respinsă.</w:t>
      </w:r>
    </w:p>
    <w:p w:rsidR="00BF6A5D" w:rsidRPr="00BF6A5D" w:rsidRDefault="00BF6A5D" w:rsidP="00BF6A5D">
      <w:pPr>
        <w:pStyle w:val="JuHa0"/>
      </w:pPr>
      <w:bookmarkStart w:id="59" w:name="_Toc177058399"/>
      <w:r>
        <w:t>Cu privire la jurisdicție</w:t>
      </w:r>
      <w:bookmarkEnd w:id="59"/>
    </w:p>
    <w:bookmarkStart w:id="60" w:name="paragraph00076"/>
    <w:bookmarkStart w:id="61" w:name="paragraph79"/>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77</w:t>
      </w:r>
      <w:r w:rsidRPr="00BF6A5D">
        <w:fldChar w:fldCharType="end"/>
      </w:r>
      <w:bookmarkEnd w:id="60"/>
      <w:bookmarkEnd w:id="61"/>
      <w:r>
        <w:t>.  Guvernele susțin că, cu excepția Portugaliei, care, în opinia lor, este statul teritorial în speță, întrucât toți reclamanții sunt resortisanți portughezi cu reședința în Portugalia, reclamanții nu se află sub jurisdicția statelor pârâte.</w:t>
      </w:r>
    </w:p>
    <w:p w:rsidR="00BF6A5D" w:rsidRPr="00BF6A5D" w:rsidRDefault="00D340B2" w:rsidP="00BF6A5D">
      <w:pPr>
        <w:pStyle w:val="JuPara"/>
      </w:pPr>
      <w:fldSimple w:instr=" SEQ level0 \*arabic \* MERGEFORMAT ">
        <w:r w:rsidR="00BF6A5D" w:rsidRPr="00BF6A5D">
          <w:t>78</w:t>
        </w:r>
      </w:fldSimple>
      <w:r w:rsidR="00BF6A5D">
        <w:t xml:space="preserve">.  Guvernele consideră că prezenta speță nu corespunde niciuneia dintre excepțiile recunoscute de la principiul teritorialității. În special, susțin că niciun stat pârât (altul decât Portugalia) nu a exercitat un control efectiv asupra vreunei părți a Portugaliei sau asupra vreunuia dintre reclamanți. De asemenea, consideră că noțiunea de „control colectiv” nu este suficientă pentru a stabili jurisdicția (acestea fac trimitere la </w:t>
      </w:r>
      <w:r w:rsidR="00BF6A5D">
        <w:rPr>
          <w:i/>
          <w:iCs/>
        </w:rPr>
        <w:t>Hussein împotriva Albaniei și a altor state</w:t>
      </w:r>
      <w:r w:rsidR="00BF6A5D">
        <w:t>, nr. 23276/04, 14 martie 2006) și că nu există nici „circumstanțe specifice de natură procedurală” care să justifice recunoașterea exercitării de către statele pârâte a jurisdicției lor. Susțin că reclamanții solicită în realitate Curții să recunoască un concept cauzal de jurisdicție, chiar dacă, potrivit acestora, Curtea l-a respins cu mult timp în urmă în jurisprudența sa [fac trimitere la decizia B</w:t>
      </w:r>
      <w:r w:rsidR="00BF6A5D">
        <w:rPr>
          <w:i/>
          <w:iCs/>
        </w:rPr>
        <w:t>anković și alții împotriva Belgiei și a altor state</w:t>
      </w:r>
      <w:r w:rsidR="00BF6A5D">
        <w:t xml:space="preserve"> (MC), nr. 52207/99, pct. 75, CEDO 2001-XII] și nu a aplicat-o până în prezent. Acestea sunt de acord că noțiunea de „jurisdicție” în sensul art. 1 din Convenție nu permite extinderea jurisdicției la o dimensiune extrateritorială a schimbărilor climatice.</w:t>
      </w:r>
    </w:p>
    <w:p w:rsidR="00BF6A5D" w:rsidRPr="00BF6A5D" w:rsidRDefault="00D340B2" w:rsidP="00BF6A5D">
      <w:pPr>
        <w:pStyle w:val="JuPara"/>
      </w:pPr>
      <w:fldSimple w:instr=" SEQ level0 \*arabic \* MERGEFORMAT ">
        <w:r w:rsidR="00BF6A5D" w:rsidRPr="00BF6A5D">
          <w:t>79</w:t>
        </w:r>
      </w:fldSimple>
      <w:r w:rsidR="00BF6A5D">
        <w:t>.  Pe scurt, guvernele pârâte consideră că faptele cauzei nu permit reclamanților să invoce niciuna dintre excepțiile recunoscute de la principiul teritorialității. În sprijinul tezei lor, susțin următoarele: a) reclamanții nu sunt resortisanți ai unor state neteritoriale și, în orice caz, cetățenia (inclusiv cetățenia UE) nu poate fi considerată criteriul relevant în vederea stabilirii jurisdicției; b) reclamanții nu au reședința în state neteritoriale; c) statele neteritoriale nu își exercită controlul asupra teritoriului în care reclamanții își au reședința; d) statele neteritoriale nu își exercită puterea, controlul sau autoritatea asupra persoanei reclamanților, nici asupra bunurilor acestora.</w:t>
      </w:r>
    </w:p>
    <w:p w:rsidR="00BF6A5D" w:rsidRPr="00BF6A5D" w:rsidRDefault="00D340B2" w:rsidP="00BF6A5D">
      <w:pPr>
        <w:pStyle w:val="JuPara"/>
      </w:pPr>
      <w:fldSimple w:instr=" SEQ level0 \*arabic \* MERGEFORMAT ">
        <w:r w:rsidR="00BF6A5D" w:rsidRPr="00BF6A5D">
          <w:t>80</w:t>
        </w:r>
      </w:fldSimple>
      <w:r w:rsidR="00BF6A5D">
        <w:t xml:space="preserve">.  Guvernele afirmă, de asemenea, că principala problemă care se ridică în contextul art. 1 din Convenție este aceea dacă persoanele în cauză se află sub jurisdicția statelor pârâte. Potrivit acestora, jurisprudența Curții nu susține o interpretare a acestei dispoziții care să se bazeze pe chestiunea dacă faptele se află sub jurisdicția statelor sau dacă statul exercită control asupra „drepturilor” sau „intereselor” în cauză. Consideră că interpretarea dată de reclamanți noțiunii de jurisdicție este incompatibilă cu jurisprudența recent stabilită de Curte în decizia </w:t>
      </w:r>
      <w:r w:rsidR="00BF6A5D">
        <w:rPr>
          <w:i/>
          <w:iCs/>
        </w:rPr>
        <w:t>M.N. și alții împotriva Belgiei</w:t>
      </w:r>
      <w:r w:rsidR="00BF6A5D">
        <w:t xml:space="preserve"> [(MC), nr. 3599/18, 5 mai 2020]. În opinia guvernelor, Curtea nu ar trebui să încerce să dezvolte noțiunea de jurisdicție fără consimțământul statelor și într-un mod incoerent, imprevizibil și nefundamentat. Astfel, potrivit acestora, o asemenea de abordare ar fi incompatibilă cu principiul securității juridice.</w:t>
      </w:r>
    </w:p>
    <w:p w:rsidR="00BF6A5D" w:rsidRPr="00BF6A5D" w:rsidRDefault="00D340B2" w:rsidP="00BF6A5D">
      <w:pPr>
        <w:pStyle w:val="JuPara"/>
      </w:pPr>
      <w:fldSimple w:instr=" SEQ level0 \*arabic \* MERGEFORMAT ">
        <w:r w:rsidR="00BF6A5D" w:rsidRPr="00BF6A5D">
          <w:t>81</w:t>
        </w:r>
      </w:fldSimple>
      <w:r w:rsidR="00BF6A5D">
        <w:t>.  În acest context, guvernele resping de asemenea argumentul reclamanților potrivit căruia anumiți „factori de legătură” între un stat și persoane particulare ar putea să ridice problema jurisdicției statului respectiv. Susțin că, în orice caz, reclamanții nu s-au referit la niciun factor specific de legătură, iar argumentele pe care le-au invocat în această privință nu au niciun suport în jurisprudența Curții. Dimpotrivă, factorii menționați de reclamanți se bazează în principal pe un concept cauzal de jurisdicție, concept care, în opinia lor, nu a fost recunoscut niciodată în jurisprudența Curții. Adaugă că argumentele reclamanților nu au niciun temei în dreptul internațional și că reclamanții nu iau în considerare caracterul global al cauzelor schimbărilor climatice. Astfel, în mod individual, niciunul dintre statele pârâte nu exercită „control” asupra pretinselor interese avute în vedere de Convenție ale reclamanților, nu „cauzează” pretinsele efecte asupra reclamanților și nici nu are „capacitatea” de a proteja pretinsele interese ale reclamanților.</w:t>
      </w:r>
    </w:p>
    <w:p w:rsidR="00BF6A5D" w:rsidRPr="00BF6A5D" w:rsidRDefault="00D340B2" w:rsidP="00BF6A5D">
      <w:pPr>
        <w:pStyle w:val="JuPara"/>
      </w:pPr>
      <w:fldSimple w:instr=" SEQ level0 \*arabic \* MERGEFORMAT ">
        <w:r w:rsidR="00BF6A5D" w:rsidRPr="00BF6A5D">
          <w:t>82</w:t>
        </w:r>
      </w:fldSimple>
      <w:r w:rsidR="00BF6A5D">
        <w:t xml:space="preserve">.  În ceea ce privește particularitățile și factorii schimbărilor climatice invocați de reclamanți (a se vedea </w:t>
      </w:r>
      <w:r w:rsidR="00BF6A5D">
        <w:rPr>
          <w:i/>
          <w:iCs/>
        </w:rPr>
        <w:t>supra</w:t>
      </w:r>
      <w:r w:rsidR="00BF6A5D">
        <w:t xml:space="preserve">, pct. </w:t>
      </w:r>
      <w:r w:rsidR="00BF6A5D" w:rsidRPr="00BF6A5D">
        <w:fldChar w:fldCharType="begin"/>
      </w:r>
      <w:r w:rsidR="00BF6A5D" w:rsidRPr="00BF6A5D">
        <w:instrText xml:space="preserve"> REF paragraph128 \h </w:instrText>
      </w:r>
      <w:r w:rsidR="00BF6A5D" w:rsidRPr="00BF6A5D">
        <w:fldChar w:fldCharType="separate"/>
      </w:r>
      <w:r w:rsidR="00BF6A5D" w:rsidRPr="00BF6A5D">
        <w:t>126</w:t>
      </w:r>
      <w:r w:rsidR="00BF6A5D" w:rsidRPr="00BF6A5D">
        <w:fldChar w:fldCharType="end"/>
      </w:r>
      <w:r w:rsidR="00BF6A5D">
        <w:t>), guvernele prezintă următoarele argumente:</w:t>
      </w:r>
    </w:p>
    <w:p w:rsidR="00BF6A5D" w:rsidRPr="00BF6A5D" w:rsidRDefault="00BF6A5D" w:rsidP="00BF6A5D">
      <w:pPr>
        <w:pStyle w:val="JuPara"/>
      </w:pPr>
      <w:r>
        <w:t>a)  Curtea nu a recunoscut niciodată o noțiune de control asupra „intereselor avute în vedere de Convenție” ale reclamanților (indiferent de sensul exact al acestei sintagme) ca temei al jurisdicției. Afirmația că schimbările climatice sunt responsabilitatea tuturor statelor nu poate duce la constatarea existenței unui temei pentru stabilirea jurisdicției în virtutea Convenției. În raport cu Convenția, responsabilitatea decurge din jurisdicție. În orice caz, statele pârâte nu exercită un „control” extrateritorial asupra „intereselor avute în vedere de Convenție” pretinse de reclamanți.</w:t>
      </w:r>
    </w:p>
    <w:p w:rsidR="00BF6A5D" w:rsidRPr="00BF6A5D" w:rsidRDefault="00BF6A5D" w:rsidP="00BF6A5D">
      <w:pPr>
        <w:pStyle w:val="JuPara"/>
      </w:pPr>
      <w:r>
        <w:t xml:space="preserve">b)  Cauzele schimbărilor climatice sunt globale, iar legătura de cauzalitate dintre activitățile statelor pârâte și pretinsele efecte asupra reclamanților nu a fost stabilită, așadar, în prezenta cauză și o astfel de abordare nu ar fi susținută de jurisprudența Curții. Temeiul juridic adoptat de CDC în decizia </w:t>
      </w:r>
      <w:r>
        <w:rPr>
          <w:i/>
          <w:iCs/>
        </w:rPr>
        <w:t>Sacchi și alții</w:t>
      </w:r>
      <w:r>
        <w:t xml:space="preserve"> este fundamental diferit și este lipsit de relevanță jurisprudențială pentru Curte, iar comunicarea aflată la originea acestei cauze a fost totuși declarată inadmisibilă pentru neepuizarea căilor de atac interne.</w:t>
      </w:r>
    </w:p>
    <w:p w:rsidR="00BF6A5D" w:rsidRPr="00BF6A5D" w:rsidRDefault="00BF6A5D" w:rsidP="00BF6A5D">
      <w:pPr>
        <w:pStyle w:val="JuPara"/>
      </w:pPr>
      <w:r>
        <w:lastRenderedPageBreak/>
        <w:t>c)  Potrivit jurisprudenței Curții, previzibilitatea sau cunoașterea nu pot fi utilizate pentru stabilirea jurisdicției în temeiul art. 1. Nu se poate considera că statele pârâte ar fi „cunoscut” sau „prevăzut” că emisiile lor respective de GES ar putea avea efect asupra pretinselor drepturi avute în vedere de Convenție ale reclamanților, întrucât consideră, în orice caz, că nu au încălcat niciuna dintre obligațiile care ar putea decurge din Convenție în acest sens.</w:t>
      </w:r>
    </w:p>
    <w:p w:rsidR="00BF6A5D" w:rsidRPr="00BF6A5D" w:rsidRDefault="00BF6A5D" w:rsidP="00BF6A5D">
      <w:pPr>
        <w:pStyle w:val="JuPara"/>
      </w:pPr>
      <w:r>
        <w:t>d)  Nimic din jurisprudența Curții nu permite să se concluzioneze că durata actelor sau a consecințelor acestora constituie un factor relevant pentru a constata existența unui temei pentru stabilirea jurisdicției. Gravitatea efectelor schimbărilor climatice nu poate să justifice constatarea jurisdicției.</w:t>
      </w:r>
    </w:p>
    <w:p w:rsidR="00BF6A5D" w:rsidRPr="00BF6A5D" w:rsidRDefault="00BF6A5D" w:rsidP="00BF6A5D">
      <w:pPr>
        <w:pStyle w:val="JuPara"/>
      </w:pPr>
      <w:r>
        <w:t xml:space="preserve">e)  Faptul că anumite efecte pot fi legate de activități desfășurate pe teritoriul sau sub controlul unui stat nu are nicio incidență asupra problemei jurisdicției (se face trimitere la decizia </w:t>
      </w:r>
      <w:r>
        <w:rPr>
          <w:i/>
          <w:iCs/>
        </w:rPr>
        <w:t>M.N. și alții împotriva Belgiei</w:t>
      </w:r>
      <w:r>
        <w:t>, citată anterior).</w:t>
      </w:r>
    </w:p>
    <w:p w:rsidR="00BF6A5D" w:rsidRPr="00BF6A5D" w:rsidRDefault="00BF6A5D" w:rsidP="00BF6A5D">
      <w:pPr>
        <w:pStyle w:val="JuPara"/>
      </w:pPr>
      <w:r>
        <w:t xml:space="preserve">f)  Capacitatea de a acționa a unui stat nu este un element care să permită să se concluzioneze că există un temei pentru stabilirea jurisdicției [se face trimitere la </w:t>
      </w:r>
      <w:r>
        <w:rPr>
          <w:i/>
          <w:iCs/>
        </w:rPr>
        <w:t>H.F. și alții împotriva Franței</w:t>
      </w:r>
      <w:r>
        <w:t xml:space="preserve"> (MC), nr. 24384/19 și 44234/20, pct. 199, 14 septembrie 2022]. În orice caz, statele pârâte sunt responsabile, în mod cumulat, pentru mai puțin de 15 % din emisiile globale de GES. Schimbările climatice au cauze și consecințe la scară globală, iar contextul adecvat pentru abordarea acestei chestiuni îl constituie cadrul juridic internațional instituit prin UNFCCC și Acordul de la Paris, precum și legislația și procesele de elaborare a politicilor. În orice caz, reclamanții se află sub jurisdicția statului lor teritorial, Portugalia.</w:t>
      </w:r>
    </w:p>
    <w:p w:rsidR="00BF6A5D" w:rsidRPr="00BF6A5D" w:rsidRDefault="00BF6A5D" w:rsidP="00BF6A5D">
      <w:pPr>
        <w:pStyle w:val="JuPara"/>
      </w:pPr>
      <w:r>
        <w:t>g)  Elementele de drept internațional invocate de reclamanți se raportează la obligații materiale legate de schimbările climatice. Or, aceștia afirmă că exercitarea jurisdicției este o condiție necesară a responsabilității și nu poate fi stabilită pe baza unor obligații materiale. În orice caz, sfera de aplicare a celorlalte instrumente internaționale este diferită, iar acestea nu pot fi aplicate de către Curte.</w:t>
      </w:r>
    </w:p>
    <w:p w:rsidR="00BF6A5D" w:rsidRPr="00BF6A5D" w:rsidRDefault="00D340B2" w:rsidP="00BF6A5D">
      <w:pPr>
        <w:pStyle w:val="JuPara"/>
      </w:pPr>
      <w:fldSimple w:instr=" SEQ level0 \*arabic \* MERGEFORMAT ">
        <w:r w:rsidR="00BF6A5D" w:rsidRPr="00BF6A5D">
          <w:t>83</w:t>
        </w:r>
      </w:fldSimple>
      <w:r w:rsidR="00BF6A5D">
        <w:t>.  Guvernele pârâte susțin că nu este nici necesară, nici dezirabilă, dezvoltarea de către Curte a jurisprudenței sale în materie de jurisdicție pentru a ține seama de caracteristicile specifice ale schimbărilor climatice. Acestea își motivează poziția astfel:</w:t>
      </w:r>
    </w:p>
    <w:p w:rsidR="00BF6A5D" w:rsidRPr="00BF6A5D" w:rsidRDefault="00BF6A5D" w:rsidP="00BF6A5D">
      <w:pPr>
        <w:pStyle w:val="JuPara"/>
      </w:pPr>
      <w:r>
        <w:t>a)  Extinderea competenței Curții nu este un mijloc adecvat de abordare a deciziilor politice complexe referitoare la schimbările climatice. Nu există un consens internațional general cu privire la aceste chestiuni, iar statele participă deja la negocieri în cadrul forurilor multilaterale corespunzătoare.</w:t>
      </w:r>
    </w:p>
    <w:p w:rsidR="00BF6A5D" w:rsidRPr="00BF6A5D" w:rsidRDefault="00BF6A5D" w:rsidP="00BF6A5D">
      <w:pPr>
        <w:pStyle w:val="JuPara"/>
      </w:pPr>
      <w:r>
        <w:t>b)  Curtea nu ar trebui să încerce să dezvolte noțiunea de jurisdicție în sensul art. 1 din Convenție într-un mod incoerent, imprevizibil și nefondat. Într-adevăr, acest lucru ar fi incompatibil cu principiul securității juridice.</w:t>
      </w:r>
    </w:p>
    <w:p w:rsidR="00BF6A5D" w:rsidRPr="00BF6A5D" w:rsidRDefault="00BF6A5D" w:rsidP="00BF6A5D">
      <w:pPr>
        <w:pStyle w:val="JuPara"/>
      </w:pPr>
      <w:r>
        <w:t>c)  Niciodată Curtea nu a extins în privința art. 1 principiul interpretării în conformitate cu regula „instrumentului viu” și nu ar trebui să concluzioneze în acest sens.</w:t>
      </w:r>
    </w:p>
    <w:p w:rsidR="00BF6A5D" w:rsidRPr="00BF6A5D" w:rsidRDefault="00BF6A5D" w:rsidP="00BF6A5D">
      <w:pPr>
        <w:pStyle w:val="JuPara"/>
      </w:pPr>
      <w:r>
        <w:lastRenderedPageBreak/>
        <w:t>d)  Este eronată abordarea adoptată de reclamanți, în sensul de a obține de la Curte constatarea existenței unui temei pentru stabilirea jurisdicției pentru a determina responsabilitatea statelor pârâte în raport cu Convenția. O astfel de interpretare ar da naștere unei abordări care, în toate cazurile, ar impune Curții să concluzioneze că există o jurisdicție astfel încât statul să nu se poată sustrage de la responsabilitatea sa. În mod similar, nimic din jurisprudența Curții nu permite să se sugereze că o „obligație de a acționa”, precum cea invocată de reclamanți, ar putea demonstra exercitarea unei jurisdicții extrateritoriale și că jurisdicția nu poate fi stabilită în raport cu obligațiile negative sau pozitive în temeiul Convenției.</w:t>
      </w:r>
    </w:p>
    <w:p w:rsidR="00BF6A5D" w:rsidRPr="00BF6A5D" w:rsidRDefault="00BF6A5D" w:rsidP="00BF6A5D">
      <w:pPr>
        <w:pStyle w:val="JuPara"/>
      </w:pPr>
      <w:r>
        <w:t>e)  În conformitate cu abordarea obișnuită a Curții, jurisdicția se poate stabili întotdeauna în ceea ce privește statul teritorial. Nu există nicio lacună juridică în materie de protecție a drepturilor omului în cadrul sistemului Convenției.</w:t>
      </w:r>
    </w:p>
    <w:p w:rsidR="00BF6A5D" w:rsidRPr="00BF6A5D" w:rsidRDefault="00BF6A5D" w:rsidP="00BF6A5D">
      <w:pPr>
        <w:pStyle w:val="JuPara"/>
      </w:pPr>
      <w:r>
        <w:t>f)  A concluziona că reclamanții se află sub jurisdicția tuturor statelor pârâte tot nu ar avea ca efect asigurarea protecției concrete și efective a drepturilor persoanelor în cauză. Potrivit cifrelor prezentate de reclamanți, tot nu ar exista jurisdicție pentru mai mult de 85 % din emisiile globale de GES.</w:t>
      </w:r>
    </w:p>
    <w:p w:rsidR="00BF6A5D" w:rsidRPr="00BF6A5D" w:rsidRDefault="00BF6A5D" w:rsidP="00BF6A5D">
      <w:pPr>
        <w:pStyle w:val="JuPara"/>
      </w:pPr>
      <w:r>
        <w:t>g)  Fenomenul global complex al „caracteristicilor specifice ale schimbărilor climatice” nu poate duce la realizarea unei extinderi extraordinare a „sferei și a domeniului de aplicare” ale sistemului Convenției astfel încât orice persoană, oriunde în lume, să poată intra simultan sub jurisdicția fiecăreia dintre părțile contractante. În cazul în care Curtea ar accepta argumentele reclamanților, ar fi dificil să se limiteze jurisdicția la spațiul juridic al Convenției, al cărei domeniu de aplicare ar fi extins ulterior la nivel global.</w:t>
      </w:r>
    </w:p>
    <w:p w:rsidR="00BF6A5D" w:rsidRPr="00BF6A5D" w:rsidRDefault="00BF6A5D" w:rsidP="00BF6A5D">
      <w:pPr>
        <w:pStyle w:val="JuPara"/>
      </w:pPr>
      <w:r>
        <w:t>h)  Reclamanții încearcă să obțină de la Curte determinarea unui temei pentru stabilirea jurisdicției în ceea ce privește o serie de obligații fără precedent, iar admiterea acestei cereri ar avea repercusiuni considerabile asupra economiei fiecăruia dintre statele pârâte.</w:t>
      </w:r>
    </w:p>
    <w:p w:rsidR="00BF6A5D" w:rsidRPr="00BF6A5D" w:rsidRDefault="00BF6A5D" w:rsidP="00BF6A5D">
      <w:pPr>
        <w:pStyle w:val="JuPara"/>
      </w:pPr>
      <w:r>
        <w:t xml:space="preserve">i)  Jurisdicția nu poate fi stabilită pe baza jurisprudenței referitoare la obligația procedurală care decurge din art. 2. Aplicarea acestei jurisprudențe la circumstanțele cauzei ar extinde-o dincolo de contextul său restrâns și, în plus, acest lucru nu ar permite în mod necesar stabilirea jurisdicției statelor în legătură cu obligațiile materiale care decurg din Convenție [se face trimitere la </w:t>
      </w:r>
      <w:r>
        <w:rPr>
          <w:i/>
          <w:iCs/>
        </w:rPr>
        <w:t>Hanan împotriva Germaniei</w:t>
      </w:r>
      <w:r>
        <w:t xml:space="preserve"> (MC), nr. 4871/16, pct. 143, 16 februarie 2021].</w:t>
      </w:r>
    </w:p>
    <w:p w:rsidR="00BF6A5D" w:rsidRPr="00BF6A5D" w:rsidRDefault="00BF6A5D" w:rsidP="00BF6A5D">
      <w:pPr>
        <w:pStyle w:val="JuHa0"/>
      </w:pPr>
      <w:bookmarkStart w:id="62" w:name="_Toc177058400"/>
      <w:r>
        <w:t>Cu privire la epuizarea căilor de atac interne</w:t>
      </w:r>
      <w:bookmarkEnd w:id="62"/>
    </w:p>
    <w:p w:rsidR="00BF6A5D" w:rsidRPr="00BF6A5D" w:rsidRDefault="00D340B2" w:rsidP="00BF6A5D">
      <w:pPr>
        <w:pStyle w:val="JuPara"/>
      </w:pPr>
      <w:fldSimple w:instr=" SEQ level0 \*arabic \* MERGEFORMAT ">
        <w:r w:rsidR="00BF6A5D" w:rsidRPr="00BF6A5D">
          <w:t>84</w:t>
        </w:r>
      </w:fldSimple>
      <w:r w:rsidR="00BF6A5D">
        <w:t xml:space="preserve">.  Guvernele pârâte susțin că ar trebui menținute în prezenta cauză și în cauzele similare principiile generale care au fost stabilite în hotărârea </w:t>
      </w:r>
      <w:r w:rsidR="00BF6A5D">
        <w:rPr>
          <w:i/>
          <w:iCs/>
        </w:rPr>
        <w:t>Vučković și alții împotriva Serbiei</w:t>
      </w:r>
      <w:r w:rsidR="00BF6A5D">
        <w:t xml:space="preserve"> [(excepție preliminară) (MC), 17153/11 și alte 29, 25 martie 2014] și în decizia </w:t>
      </w:r>
      <w:r w:rsidR="00BF6A5D">
        <w:rPr>
          <w:i/>
          <w:iCs/>
        </w:rPr>
        <w:t>Gherghina împotriva României</w:t>
      </w:r>
      <w:r w:rsidR="00BF6A5D">
        <w:t xml:space="preserve"> [(dec.) (MC), nr. 42219/07, 9 iulie 2015]. Acestea nu văd niciun motiv pentru a </w:t>
      </w:r>
      <w:r w:rsidR="00BF6A5D">
        <w:lastRenderedPageBreak/>
        <w:t>elimina obligația de epuizare a căilor de atac interne pentru unicul motiv că o anumită cerere este fără precedent. Cauzele în materie de climă nu ar trebui excluse de la aplicarea principiului subsidiarității, principiu fondator al sistemului Convenției, pe care reclamanții l-au interpretat greșit în observațiile lor adresate Curții. Potrivit acestora, regula epuizării căilor de atac interne se bazează pe trei principii: în primul rând, mecanismul Convenției este subsidiar în raport cu sistemele naționale de apărare a drepturilor omului; în al doilea rând, statele nu sunt obligate să răspundă pentru acțiunile lor în fața unui organism internațional până când nu au avut posibilitatea de a remedia situația în sistemele lor juridice naționale; și, în al treilea rând, Curtea nu este o instanță de prim grad de jurisdicție și trebuie să poată beneficia de analiza instanțelor naționale înainte de a se pronunța.</w:t>
      </w:r>
    </w:p>
    <w:p w:rsidR="00BF6A5D" w:rsidRPr="00BF6A5D" w:rsidRDefault="00D340B2" w:rsidP="00BF6A5D">
      <w:pPr>
        <w:pStyle w:val="JuPara"/>
      </w:pPr>
      <w:fldSimple w:instr=" SEQ level0 \*arabic \* MERGEFORMAT ">
        <w:r w:rsidR="00BF6A5D" w:rsidRPr="00BF6A5D">
          <w:t>85</w:t>
        </w:r>
      </w:fldSimple>
      <w:r w:rsidR="00BF6A5D">
        <w:t>.  Guvernele susțin că reclamanții nu au prezentat niciun argument sau nicio probă care să demonstreze că instanțelor naționale le-ar lua excesiv de mult timp pentru soluționarea litigiilor referitoare la climă cu care au fost învestite și nici nu și-au justificat susținerea potrivit căreia cheltuielile de judecată ocazionate de epuizarea căilor de atac interne le-ar impune o sarcină disproporționată. Este probabil ca, în realitate, reclamanții să fi fost în măsură să suporte cheltuielile de judecată aferente unei astfel de proceduri, întrucât – după cum remarcă guvernele – reclamanții sunt susținuți de o asociație neguvernamentală internațională care le oferă asistență juridică în speță. În orice caz, persoanele care nu sunt în măsură să suporte astfel de cheltuieli pot beneficia, în majoritatea statelor pârâte, de asistență juridică gratuită, de exemplu, sub forma unei scutiri de la plata cheltuielilor de judecată aferente procedurilor interne. În ceea ce privește argumentul reclamanților cu privire la vârsta lor fragedă și vulnerabilitatea lor, guvernele consideră că copiii și tinerii nu sunt considerați, ca atare, persoane vulnerabile în vederea scutirii de obligația de a epuiza căile de atac interne. Sistemele juridice interne ale diferitelor state pârâte prevăd mecanisme care permit depășirea obstacolelor juridice cu care se pot confrunta copiii și tinerii.</w:t>
      </w:r>
    </w:p>
    <w:p w:rsidR="00BF6A5D" w:rsidRPr="00BF6A5D" w:rsidRDefault="00D340B2" w:rsidP="00BF6A5D">
      <w:pPr>
        <w:pStyle w:val="JuPara"/>
      </w:pPr>
      <w:fldSimple w:instr=" SEQ level0 \*arabic \* MERGEFORMAT ">
        <w:r w:rsidR="00BF6A5D" w:rsidRPr="00BF6A5D">
          <w:t>86</w:t>
        </w:r>
      </w:fldSimple>
      <w:r w:rsidR="00BF6A5D">
        <w:t>.  În ceea ce privește argumentul reclamanților în sensul că ar fi necesară o cale de atac internă efectivă pentru a evalua parametrii specifici ai schimbărilor climatice, astfel cum sunt definiți de aceștia (</w:t>
      </w:r>
      <w:r w:rsidR="00BF6A5D">
        <w:rPr>
          <w:i/>
          <w:iCs/>
        </w:rPr>
        <w:t>supra</w:t>
      </w:r>
      <w:r w:rsidR="00BF6A5D">
        <w:t xml:space="preserve">, pct. </w:t>
      </w:r>
      <w:r w:rsidR="00BF6A5D" w:rsidRPr="00BF6A5D">
        <w:fldChar w:fldCharType="begin"/>
      </w:r>
      <w:r w:rsidR="00BF6A5D" w:rsidRPr="00BF6A5D">
        <w:instrText xml:space="preserve"> REF paragraph131 \h </w:instrText>
      </w:r>
      <w:r w:rsidR="00BF6A5D" w:rsidRPr="00BF6A5D">
        <w:fldChar w:fldCharType="separate"/>
      </w:r>
      <w:r w:rsidR="00BF6A5D" w:rsidRPr="00BF6A5D">
        <w:t>129</w:t>
      </w:r>
      <w:r w:rsidR="00BF6A5D" w:rsidRPr="00BF6A5D">
        <w:fldChar w:fldCharType="end"/>
      </w:r>
      <w:r w:rsidR="00BF6A5D">
        <w:t>), guvernele arată că această susținere presupune corectitudinea raționamentului lor cu privire la obligațiile materiale care decurg din Convenție, ceea ce, în opinia lor, nu se poate considera ca fiind stabilit. În orice caz, chiar dacă acești parametri ar fi fost pertinenți, reclamanții ar fi trebuit să încerce să își probeze poziția în fața instanțelor naționale, ceea ce nu au făcut. Reclamanții nu pot impune ca eficacitatea unei căi de atac să depindă de existența unei posibilități de a obține câștig de cauză în fața instanțelor naționale.</w:t>
      </w:r>
    </w:p>
    <w:p w:rsidR="00BF6A5D" w:rsidRPr="00BF6A5D" w:rsidRDefault="00D340B2" w:rsidP="00BF6A5D">
      <w:pPr>
        <w:pStyle w:val="JuPara"/>
      </w:pPr>
      <w:fldSimple w:instr=" SEQ level0 \*arabic \* MERGEFORMAT ">
        <w:r w:rsidR="00BF6A5D" w:rsidRPr="00BF6A5D">
          <w:t>87</w:t>
        </w:r>
      </w:fldSimple>
      <w:r w:rsidR="00BF6A5D">
        <w:t xml:space="preserve">.  Guvernele observă că prezenta cauză ridică probleme fără precedent și că jurisprudența națională este încă în evoluție. Prin urmare, lipsa unei jurisprudențe naționale consacrate în materie este lipsită de importanță. În opinia lor, era extrem de important să se exploreze căile de atac interne </w:t>
      </w:r>
      <w:r w:rsidR="00BF6A5D">
        <w:lastRenderedPageBreak/>
        <w:t>disponibile, iar simplul fapt de a avea îndoieli cu privire la perspectivele de succes nu constituia un motiv valabil pentru a justifica neepuizarea căilor de atac interne. Guvernele susțin că această afirmație este valabilă în special în ceea ce privește calea de atac garantată de art. 52 din Constituția Portugaliei. În opinia guvernelor, în cazul în care Curtea ar permite reclamanților să nu se adreseze instanțelor naționale, este probabil ca și alții să facă același lucru, ceea ce ar deschide astfel calea pentru sesizarea Curții cu nenumărate cereri având ca obiect schimbările climatice.</w:t>
      </w:r>
    </w:p>
    <w:p w:rsidR="00BF6A5D" w:rsidRPr="00BF6A5D" w:rsidRDefault="00D340B2" w:rsidP="00BF6A5D">
      <w:pPr>
        <w:pStyle w:val="JuPara"/>
      </w:pPr>
      <w:fldSimple w:instr=" SEQ level0 \*arabic \* MERGEFORMAT ">
        <w:r w:rsidR="00BF6A5D" w:rsidRPr="00BF6A5D">
          <w:t>88</w:t>
        </w:r>
      </w:fldSimple>
      <w:r w:rsidR="00BF6A5D">
        <w:t xml:space="preserve">.  În ceea ce privește necesitatea epuizării căilor de atac pentru persoanele care au reședința în afara jurisdicției statului pârât, guvernele susțin că jurisprudența consacrată a Curții prevede că reclamanții care își au reședința în afara jurisdicției unui stat contractant nu sunt scutiți de obligația de a epuiza căile de atac interne în acest stat, în pofida dezavantajelor practice pe care acest lucru le reprezintă sau a unei reticențe personale ușor de înțeles [acestea citează </w:t>
      </w:r>
      <w:r w:rsidR="00BF6A5D">
        <w:rPr>
          <w:i/>
          <w:iCs/>
        </w:rPr>
        <w:t>Demopoulos și alții împotriva Turciei</w:t>
      </w:r>
      <w:r w:rsidR="00BF6A5D">
        <w:t xml:space="preserve"> (dec.) (MC), nr. 46113/99 și alte 7, pct. 98, CEDO 2010].</w:t>
      </w:r>
    </w:p>
    <w:p w:rsidR="00BF6A5D" w:rsidRPr="00BF6A5D" w:rsidRDefault="00BF6A5D" w:rsidP="00BF6A5D">
      <w:pPr>
        <w:pStyle w:val="JuHa0"/>
      </w:pPr>
      <w:bookmarkStart w:id="63" w:name="_Toc177058401"/>
      <w:r>
        <w:t>Cu privire la calitatea de victimă</w:t>
      </w:r>
      <w:bookmarkEnd w:id="63"/>
    </w:p>
    <w:bookmarkStart w:id="64" w:name="paragraph00086"/>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89</w:t>
      </w:r>
      <w:r w:rsidRPr="00BF6A5D">
        <w:fldChar w:fldCharType="end"/>
      </w:r>
      <w:bookmarkEnd w:id="64"/>
      <w:r>
        <w:t>.  Potrivit guvernelor pârâte, calitatea de victimă este o condiție de admisibilitate esențială, iar absența acesteia exclude orice posibilitate de examinare pe fond a unui capăt de cerere. În opinia lor, reclamanții nu au demonstrat existența unei legături de cauzalitate suficient de directă între actele sau omisiunile statelor pârâte referitoare la schimbările climatice și prejudiciile sau daunele pe care le invocă. Reclamanții nu fac decât o trimitere generală la emisiile de GES ale statelor pârâte. Totuși, contribuțiile individuale ale statelor pârâte la emisiile globale de GES reprezintă doar o fracțiune din totalul global al acestor emisii. Reclamanții nu au suferit în mod direct efectele unei măsuri (sau ale unei acțiuni ori inacțiuni) ale unuia dintre statele pârâte și nici nu au demonstrat că ar avea loc o încălcare de către guvernele pârâte care i-ar afecta personal. De asemenea, nu au demonstrat că suferă mai mult decât populația generală din cauza vârstei lor. În consecință, aceștia nu constituie un grup expus unui risc potențial din aceeași sursă care îi privește în mod specific.</w:t>
      </w:r>
    </w:p>
    <w:p w:rsidR="00BF6A5D" w:rsidRPr="00BF6A5D" w:rsidRDefault="00D340B2" w:rsidP="00BF6A5D">
      <w:pPr>
        <w:pStyle w:val="JuPara"/>
      </w:pPr>
      <w:fldSimple w:instr=" SEQ level0 \*arabic \* MERGEFORMAT ">
        <w:r w:rsidR="00BF6A5D" w:rsidRPr="00BF6A5D">
          <w:t>90</w:t>
        </w:r>
      </w:fldSimple>
      <w:r w:rsidR="00BF6A5D">
        <w:t xml:space="preserve">.  Guvernele contestă de asemenea valoarea probatorie a probelor furnizate de reclamanți cu privire la repercusiunile fizice și psihologice pe care pretind că le suferă. Observă că reclamanții nu au fost examinați de o entitate independentă sau de un expert calificat pentru a efectua examinări medico-legale. Prin urmare, susțin că nici existența unui prejudiciu (fizic sau psihologic), nici legătura de cauzalitate dintre prejudiciul invocat și ingerințele pretinse pe care reclamanții încearcă să le atribuie statelor pârâte nu au fost dovedite. Cererea este în realitate o </w:t>
      </w:r>
      <w:r w:rsidR="00BF6A5D">
        <w:rPr>
          <w:i/>
          <w:iCs/>
        </w:rPr>
        <w:t>actio popularis</w:t>
      </w:r>
      <w:r w:rsidR="00BF6A5D">
        <w:t xml:space="preserve"> și, prin urmare, este inadmisibilă în temeiul art. 34 din Convenție.</w:t>
      </w:r>
    </w:p>
    <w:p w:rsidR="00BF6A5D" w:rsidRPr="00BF6A5D" w:rsidRDefault="00BF6A5D" w:rsidP="00BF6A5D">
      <w:pPr>
        <w:pStyle w:val="JuH1"/>
      </w:pPr>
      <w:bookmarkStart w:id="65" w:name="_Toc177058402"/>
      <w:r>
        <w:lastRenderedPageBreak/>
        <w:t>Observații individuale comunicate de statele pârâte</w:t>
      </w:r>
      <w:bookmarkEnd w:id="65"/>
    </w:p>
    <w:p w:rsidR="00BF6A5D" w:rsidRPr="00BF6A5D" w:rsidRDefault="00BF6A5D" w:rsidP="00BF6A5D">
      <w:pPr>
        <w:pStyle w:val="JuHa0"/>
      </w:pPr>
      <w:bookmarkStart w:id="66" w:name="_Toc177058403"/>
      <w:r>
        <w:t>Guvernul Bulgariei</w:t>
      </w:r>
      <w:bookmarkEnd w:id="66"/>
    </w:p>
    <w:p w:rsidR="00BF6A5D" w:rsidRPr="00BF6A5D" w:rsidRDefault="00D340B2" w:rsidP="00BF6A5D">
      <w:pPr>
        <w:pStyle w:val="JuPara"/>
      </w:pPr>
      <w:fldSimple w:instr=" SEQ level0 \*arabic \* MERGEFORMAT ">
        <w:r w:rsidR="00BF6A5D" w:rsidRPr="00BF6A5D">
          <w:t>91</w:t>
        </w:r>
      </w:fldSimple>
      <w:r w:rsidR="00BF6A5D">
        <w:t>.  Pe lângă observațiile comune comunicate de guvernele pârâte Marii Camere, Guvernul Bulgariei contestă în special „raportul de expertiză” pe care reclamanții l-au prezentat cu privire la suferințele psihice pe care pretind că le îndură ca urmare a schimbărilor climatice. Acesta susține că autorul raportului nu are nicio calificare în medicină sau psihiatrie. Existența anxietății legate de climat care constituie o tulburare psihologică încă este dezbătută în mediul profesional. Raportul nu conține date biografice, antecedente medicale sau psihiatrice ale niciunuia dintre reclamanți. În plus, interviurile cu părțile interesate s-au desfășurat „la distanță”, ceea ce excludea, în sine, posibilitatea unor interacțiuni directe, condiție care era totuși necesară, ceea ce aduce atingere fiabilității informațiilor colectate și afectează concluziile formulate.</w:t>
      </w:r>
    </w:p>
    <w:p w:rsidR="00BF6A5D" w:rsidRPr="00BF6A5D" w:rsidRDefault="00D340B2" w:rsidP="00BF6A5D">
      <w:pPr>
        <w:pStyle w:val="JuPara"/>
      </w:pPr>
      <w:fldSimple w:instr=" SEQ level0 \*arabic \* MERGEFORMAT ">
        <w:r w:rsidR="00BF6A5D" w:rsidRPr="00BF6A5D">
          <w:t>92</w:t>
        </w:r>
      </w:fldSimple>
      <w:r w:rsidR="00BF6A5D">
        <w:t>.  Guvernul Bulgariei adaugă că reclamanții nu au fost intervievați separat, ci în grupuri – grupul de reclamanți nr. 1-3 și cel de reclamanți nr. 5 și 6 – și că nu este clar dacă au fost prezenți părinții, reprezentanții legali sau alți adulți, ceea ce, în opinia sa, subminează fiabilitatea datelor colectate. Interviurile „la distanță” au fost efectuate aparent în limba engleză și este greu de stabilit dacă reclamanții cunosc suficient de bine această limbă. În plus, atât declarațiile tuturor reclamanților, cât și concluziile formulate cu privire la fiecare dintre ei par aproape identice, ceea ce ar fi practic imposibil dacă reclamanții ar fi fost intervievați separat și fără pregătire prealabilă.</w:t>
      </w:r>
    </w:p>
    <w:p w:rsidR="00BF6A5D" w:rsidRPr="00BF6A5D" w:rsidRDefault="00BF6A5D" w:rsidP="00BF6A5D">
      <w:pPr>
        <w:pStyle w:val="JuHa0"/>
      </w:pPr>
      <w:bookmarkStart w:id="67" w:name="_Toc177058404"/>
      <w:r>
        <w:t>Guvernul Croației</w:t>
      </w:r>
      <w:bookmarkEnd w:id="67"/>
    </w:p>
    <w:p w:rsidR="00BF6A5D" w:rsidRPr="00BF6A5D" w:rsidRDefault="00D340B2" w:rsidP="00BF6A5D">
      <w:pPr>
        <w:pStyle w:val="JuPara"/>
      </w:pPr>
      <w:fldSimple w:instr=" SEQ level0 \*arabic \* MERGEFORMAT ">
        <w:bookmarkStart w:id="68" w:name="paragraph00093"/>
        <w:r w:rsidR="00BF6A5D" w:rsidRPr="00BF6A5D">
          <w:t>93</w:t>
        </w:r>
        <w:bookmarkEnd w:id="68"/>
      </w:fldSimple>
      <w:r w:rsidR="00BF6A5D">
        <w:t xml:space="preserve">.  Bazându-se în esență pe argumente identice cu cele invocate de celelalte guverne în observațiile comune (a se vedea </w:t>
      </w:r>
      <w:r w:rsidR="00BF6A5D">
        <w:rPr>
          <w:i/>
          <w:iCs/>
        </w:rPr>
        <w:t>supra</w:t>
      </w:r>
      <w:r w:rsidR="00BF6A5D">
        <w:t xml:space="preserve">, pct. </w:t>
      </w:r>
      <w:r w:rsidR="00BF6A5D" w:rsidRPr="00BF6A5D">
        <w:fldChar w:fldCharType="begin"/>
      </w:r>
      <w:r w:rsidR="00BF6A5D" w:rsidRPr="00BF6A5D">
        <w:instrText xml:space="preserve">REF paragraph00076 \h \* CharFormat  \* MERGEFORMAT </w:instrText>
      </w:r>
      <w:r w:rsidR="00BF6A5D" w:rsidRPr="00BF6A5D">
        <w:fldChar w:fldCharType="separate"/>
      </w:r>
      <w:r w:rsidR="00BF6A5D" w:rsidRPr="00BF6A5D">
        <w:t>77</w:t>
      </w:r>
      <w:r w:rsidR="00BF6A5D" w:rsidRPr="00BF6A5D">
        <w:fldChar w:fldCharType="end"/>
      </w:r>
      <w:r w:rsidR="00BF6A5D">
        <w:t>-</w:t>
      </w:r>
      <w:r w:rsidR="00BF6A5D" w:rsidRPr="00BF6A5D">
        <w:fldChar w:fldCharType="begin"/>
      </w:r>
      <w:r w:rsidR="00BF6A5D" w:rsidRPr="00BF6A5D">
        <w:instrText xml:space="preserve">REF paragraph00086 \h \* CharFormat  \* MERGEFORMAT </w:instrText>
      </w:r>
      <w:r w:rsidR="00BF6A5D" w:rsidRPr="00BF6A5D">
        <w:fldChar w:fldCharType="separate"/>
      </w:r>
      <w:r w:rsidR="00BF6A5D" w:rsidRPr="00BF6A5D">
        <w:t>89</w:t>
      </w:r>
      <w:r w:rsidR="00BF6A5D" w:rsidRPr="00BF6A5D">
        <w:fldChar w:fldCharType="end"/>
      </w:r>
      <w:r w:rsidR="00BF6A5D">
        <w:t xml:space="preserve">), Guvernul Croației adaugă că Acordul de la Paris, invocat cu fermitate de reclamanți, nu prevede nimic cu privire la problema jurisdicției și nu poate fi interpretat în mod rezonabil în sensul că extinde viziunea teritorială obișnuită a noțiunii de jurisdicție în sensul art. 1 din Convenție. Face trimitere, de asemenea, la jurisprudența Curții din care deduce că o cerere îndreptată împotriva mai multor state este inadmisibilă dacă reclamanții nu abordează și nu precizează rolul și responsabilitățile fiecărui stat pârât (face trimitere în această privință la </w:t>
      </w:r>
      <w:r w:rsidR="00BF6A5D">
        <w:rPr>
          <w:i/>
          <w:iCs/>
        </w:rPr>
        <w:t>Hussein</w:t>
      </w:r>
      <w:r w:rsidR="00BF6A5D">
        <w:t>, citată anterior). În plus, contestă fiabilitatea mijloacelor de probă furnizate de reclamanți cu privire la repercusiunile pe care schimbările climatice le-ar fi avut asupra sănătății lor fizice și mintale.</w:t>
      </w:r>
    </w:p>
    <w:p w:rsidR="00BF6A5D" w:rsidRPr="00BF6A5D" w:rsidRDefault="00BF6A5D" w:rsidP="00BF6A5D">
      <w:pPr>
        <w:pStyle w:val="JuHa0"/>
      </w:pPr>
      <w:bookmarkStart w:id="69" w:name="_Toc177058405"/>
      <w:r>
        <w:t>Guvernul Franței</w:t>
      </w:r>
      <w:bookmarkEnd w:id="69"/>
    </w:p>
    <w:p w:rsidR="00BF6A5D" w:rsidRPr="00BF6A5D" w:rsidRDefault="00D340B2" w:rsidP="00BF6A5D">
      <w:pPr>
        <w:pStyle w:val="JuPara"/>
      </w:pPr>
      <w:fldSimple w:instr=" SEQ level0 \*arabic \* MERGEFORMAT ">
        <w:r w:rsidR="00BF6A5D" w:rsidRPr="00BF6A5D">
          <w:t>94</w:t>
        </w:r>
      </w:fldSimple>
      <w:r w:rsidR="00BF6A5D">
        <w:t xml:space="preserve">.  Bazându-se în esență pe argumente identice cu cele invocate de guverne în observațiile lor comune, Guvernul Franței consideră că este esențial ca Curtea să țină seama de principiul securității juridice și de coerența jurisprudenței sale atunci când se pronunță cu privire la jurisdicție. Consideră </w:t>
      </w:r>
      <w:r w:rsidR="00BF6A5D">
        <w:lastRenderedPageBreak/>
        <w:t>că jurisprudența Curții nu permite să se constate existența unui temei pentru stabilirea jurisdicției în prezenta cauză.</w:t>
      </w:r>
    </w:p>
    <w:p w:rsidR="00BF6A5D" w:rsidRPr="00BF6A5D" w:rsidRDefault="00BF6A5D" w:rsidP="00BF6A5D">
      <w:pPr>
        <w:pStyle w:val="JuHa0"/>
      </w:pPr>
      <w:bookmarkStart w:id="70" w:name="_Toc177058406"/>
      <w:r>
        <w:t>Guvernul Ungariei</w:t>
      </w:r>
      <w:bookmarkEnd w:id="70"/>
    </w:p>
    <w:bookmarkStart w:id="71" w:name="paragraph0009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95</w:t>
      </w:r>
      <w:r w:rsidRPr="00BF6A5D">
        <w:fldChar w:fldCharType="end"/>
      </w:r>
      <w:bookmarkEnd w:id="71"/>
      <w:r>
        <w:t>.  Guvernul Ungariei este de acord cu observațiile comune ale celorlalte guverne pârâte și afirmă că, pentru ca prezenta cerere să fie considerată admisibilă, Curtea ar trebui să își extindă competența dincolo de sfera de aplicare a angajamentelor asumate de înaltele părți contractante în temeiul Convenției. Problema nu este dacă schimbările climatice afectează modul de a exercita și de a beneficia de drepturile și libertățile prevăzute în Convenție, și dacă da – în ce măsură, ci dacă Curtea are competența să examineze respectarea obligațiilor (așteptărilor) morale sau a obligațiilor care decurg din alte instrumente internaționale. Răspunsul la această din urmă întrebare este negativ în raport cu art. 19 și 32 din Convenție. Așadar, Curtea ar trebui să precizeze că acest tip de litigiu referitor la climă este total incompatibil cu obiectul și scopul mecanismului Convenției, precum și cu prerogativele judiciare conferite Curții.</w:t>
      </w:r>
    </w:p>
    <w:p w:rsidR="00BF6A5D" w:rsidRPr="00BF6A5D" w:rsidRDefault="00D340B2" w:rsidP="00BF6A5D">
      <w:pPr>
        <w:pStyle w:val="JuPara"/>
      </w:pPr>
      <w:fldSimple w:instr=" SEQ level0 \*arabic \* MERGEFORMAT ">
        <w:r w:rsidR="00BF6A5D" w:rsidRPr="00BF6A5D">
          <w:t>96</w:t>
        </w:r>
      </w:fldSimple>
      <w:r w:rsidR="00BF6A5D">
        <w:t>.  Guvernul Ungariei consideră că prin prezenta cerere se solicită Curții să interpreteze două tratate internaționale, și anume Acordul de la Paris și Convenția de la Aarhus</w:t>
      </w:r>
      <w:r w:rsidR="00BF6A5D" w:rsidRPr="00BF6A5D">
        <w:rPr>
          <w:vertAlign w:val="superscript"/>
        </w:rPr>
        <w:footnoteReference w:id="19"/>
      </w:r>
      <w:r w:rsidR="00BF6A5D">
        <w:t>, ceea ce depășește competența acesteia, astfel cum este definită de art. 19 și 32 din Convenție. Afirmă că Acordul de la Paris și cadrul internațional privind schimbările climatice nu se bazează pe existența unui mecanism judiciar de executare – ceea ce, în opinia sa, ar deveni Curtea dacă ar accepta să examineze capătul de cerere al reclamanților. În opinia sa, ar fi contrară principiilor supremației dreptului la nivel internațional extinderea de către Curte a competenței sale dincolo de domeniul de aplicare prevăzut (și anume protecția persoanelor împotriva încălcărilor drepturilor lor individuale) pentru unicul motiv că probleme de interes mondial afectează (la nivel global) toate persoanele în calitate de membri ai umanității. Din punctul de vedere al Guvernului Ungariei, Curtea ar trebui să adopte o interpretare strictă a normelor referitoare la competența sa.</w:t>
      </w:r>
    </w:p>
    <w:p w:rsidR="00BF6A5D" w:rsidRPr="00BF6A5D" w:rsidRDefault="00D340B2" w:rsidP="00BF6A5D">
      <w:pPr>
        <w:pStyle w:val="JuPara"/>
      </w:pPr>
      <w:fldSimple w:instr=" SEQ level0 \*arabic \* MERGEFORMAT ">
        <w:r w:rsidR="00BF6A5D" w:rsidRPr="00BF6A5D">
          <w:t>97</w:t>
        </w:r>
      </w:fldSimple>
      <w:r w:rsidR="00BF6A5D">
        <w:t xml:space="preserve">.  Pe scurt, Guvernul Ungariei consideră că, în lipsa unei dispoziții contrare de drept internațional, Curtea nu are competența de a controla punerea în aplicare a angajamentelor care decurg din tratate internaționale, altele decât Convenția. Extinderea excesivă a competenței Curții în scopul de a da o declarație politică cu privire la importanța chestiunilor legate de schimbările climatice ar avea repercusiuni grave asupra protecției drepturilor omului, nu numai din punct de vedere al volumului de muncă al Curții, ci și din punct de vedere al autorității sale. Prin urmare, Curtea ar trebui să </w:t>
      </w:r>
      <w:r w:rsidR="00BF6A5D">
        <w:lastRenderedPageBreak/>
        <w:t xml:space="preserve">concluzioneze că cererea nu intră în competența sa în temeiul art. 32 și să se abțină de la examinarea aspectelor specifice ale admisibilității </w:t>
      </w:r>
      <w:r w:rsidR="00BF6A5D">
        <w:rPr>
          <w:i/>
          <w:iCs/>
        </w:rPr>
        <w:t>ratione personae</w:t>
      </w:r>
      <w:r w:rsidR="00BF6A5D">
        <w:t xml:space="preserve"> și </w:t>
      </w:r>
      <w:r w:rsidR="00BF6A5D">
        <w:rPr>
          <w:i/>
          <w:iCs/>
        </w:rPr>
        <w:t>ratione materiae</w:t>
      </w:r>
      <w:r w:rsidR="00BF6A5D">
        <w:t>.</w:t>
      </w:r>
    </w:p>
    <w:p w:rsidR="00BF6A5D" w:rsidRPr="00BF6A5D" w:rsidRDefault="00D340B2" w:rsidP="00BF6A5D">
      <w:pPr>
        <w:pStyle w:val="JuPara"/>
      </w:pPr>
      <w:fldSimple w:instr=" SEQ level0 \*arabic \* MERGEFORMAT ">
        <w:r w:rsidR="00BF6A5D" w:rsidRPr="00BF6A5D">
          <w:t>98</w:t>
        </w:r>
      </w:fldSimple>
      <w:r w:rsidR="00BF6A5D">
        <w:t>.  În orice caz, Guvernul Ungariei consideră că, pentru motivele expuse în observațiile comune ale guvernelor pârâte, reclamanții nu se află sub jurisdicția statelor părți la Convenție (cu excepția țării lor de reședință) în sensul art. 1 din Convenție. Schimbările climatice depășesc puterile suverane ale statelor pârâte și domeniul de aplicare al Convenției. Curtea trebuie să aibă în vedere faptul că prezenta cauză este fundamental diferită de toate cauzele referitoare la protecția mediului pe care le-a examinat în trecut. Aceste cauze aveau ca obiect dreptul la un mediu local sănătos, în timp ce prezenta cauză are ca obiect o cerere de recunoaștere a dreptului la un mediu global sănătos, ceea ce, în opinia sa, se află în afara controlului statelor naționale.</w:t>
      </w:r>
    </w:p>
    <w:p w:rsidR="00BF6A5D" w:rsidRPr="00BF6A5D" w:rsidRDefault="00D340B2" w:rsidP="00BF6A5D">
      <w:pPr>
        <w:pStyle w:val="JuPara"/>
      </w:pPr>
      <w:fldSimple w:instr=" SEQ level0 \*arabic \* MERGEFORMAT ">
        <w:r w:rsidR="00BF6A5D" w:rsidRPr="00BF6A5D">
          <w:t>99</w:t>
        </w:r>
      </w:fldSimple>
      <w:r w:rsidR="00BF6A5D">
        <w:t xml:space="preserve">.  În ceea ce privește calitatea de victimă a reclamanților, Guvernul pârât susține că prezenta cerere este o </w:t>
      </w:r>
      <w:r w:rsidR="00BF6A5D">
        <w:rPr>
          <w:i/>
          <w:iCs/>
        </w:rPr>
        <w:t>actio popularis</w:t>
      </w:r>
      <w:r w:rsidR="00BF6A5D">
        <w:t xml:space="preserve"> și că urmărește să plaseze problema schimbărilor climatice în prim-planul preocupărilor politice ale Consiliului Europei și să exercite presiuni asupra statelor pentru a lua măsuri mai ambițioase în vederea combaterii schimbărilor climatice.</w:t>
      </w:r>
    </w:p>
    <w:p w:rsidR="00BF6A5D" w:rsidRPr="00BF6A5D" w:rsidRDefault="00BF6A5D" w:rsidP="00BF6A5D">
      <w:pPr>
        <w:pStyle w:val="JuHa0"/>
      </w:pPr>
      <w:bookmarkStart w:id="72" w:name="_Toc177058407"/>
      <w:r>
        <w:t>Guvernul Letoniei</w:t>
      </w:r>
      <w:bookmarkEnd w:id="72"/>
    </w:p>
    <w:p w:rsidR="00BF6A5D" w:rsidRPr="00BF6A5D" w:rsidRDefault="00D340B2" w:rsidP="00BF6A5D">
      <w:pPr>
        <w:pStyle w:val="JuPara"/>
      </w:pPr>
      <w:fldSimple w:instr=" SEQ level0 \*arabic \* MERGEFORMAT ">
        <w:r w:rsidR="00BF6A5D" w:rsidRPr="00BF6A5D">
          <w:t>100</w:t>
        </w:r>
      </w:fldSimple>
      <w:r w:rsidR="00BF6A5D">
        <w:t>.  Guvernul Letoniei subliniază importanța principiului subsidiarității în acest context, precum și necesitatea, pentru Curte, de a rămâne în limitele domeniului său de competență definit de Convenție. Este de acord cu argumentele dezvoltate în observațiile comune prezentate de guverne și afirmă că nu există nicio legătură între reclamanți și Letonia în sensul art. 1 din Convenție. O astfel de legătură nu poate să rezulte din simpla existență a unor măsuri adoptate la nivel național pentru a aborda schimbările climatice. Consideră, de asemenea, că nu este necesară extinderea jurisprudenței Curții cu privire la noțiunea de jurisdicție în sensul art. 1 din Convenție.</w:t>
      </w:r>
    </w:p>
    <w:p w:rsidR="00BF6A5D" w:rsidRPr="00BF6A5D" w:rsidRDefault="00BF6A5D" w:rsidP="00BF6A5D">
      <w:pPr>
        <w:pStyle w:val="JuHa0"/>
      </w:pPr>
      <w:bookmarkStart w:id="73" w:name="_Toc177058408"/>
      <w:r>
        <w:t>Guvernul Țărilor de Jos</w:t>
      </w:r>
      <w:bookmarkEnd w:id="73"/>
    </w:p>
    <w:p w:rsidR="00BF6A5D" w:rsidRPr="00BF6A5D" w:rsidRDefault="00D340B2" w:rsidP="00BF6A5D">
      <w:pPr>
        <w:pStyle w:val="JuPara"/>
      </w:pPr>
      <w:fldSimple w:instr=" SEQ level0 \*arabic \* MERGEFORMAT ">
        <w:r w:rsidR="00BF6A5D" w:rsidRPr="00BF6A5D">
          <w:t>101</w:t>
        </w:r>
      </w:fldSimple>
      <w:r w:rsidR="00BF6A5D">
        <w:t>.  Guvernul Țărilor de Jos observă că stabilirea faptelor specifice cauzei prezintă dificultăți semnificative în speță. În ceea ce privește faptele la nivel global expuse de reclamanți cu privire la schimbările climatice în general, Guvernul Țărilor de Jos recunoaște că acest fenomen are loc și susține necesitatea de a-l aborda prin măsuri de reducere a emisiilor, precum și de a preveni sau de a limita consecințele lui nefaste prin măsuri de adaptare. Prin urmare, Țările de Jos au luat măsuri la nivel internațional, european, regional și național pentru a combate eficient schimbările climatice.</w:t>
      </w:r>
    </w:p>
    <w:p w:rsidR="00BF6A5D" w:rsidRPr="00BF6A5D" w:rsidRDefault="00D340B2" w:rsidP="00BF6A5D">
      <w:pPr>
        <w:pStyle w:val="JuPara"/>
      </w:pPr>
      <w:fldSimple w:instr=" SEQ level0 \*arabic \* MERGEFORMAT ">
        <w:r w:rsidR="00BF6A5D" w:rsidRPr="00BF6A5D">
          <w:t>102</w:t>
        </w:r>
      </w:fldSimple>
      <w:r w:rsidR="00BF6A5D">
        <w:t xml:space="preserve">.  În schimb, în ceea ce privește efectele nefaste ale schimbărilor climatice pe care reclamanții pretind că le suferă, Guvernul Țărilor de Jos susține că aceștia se referă la fapte care s-au produs acolo unde reclamanții </w:t>
      </w:r>
      <w:r w:rsidR="00BF6A5D">
        <w:lastRenderedPageBreak/>
        <w:t>au reședința (în Portugalia) sau în apropiere. Acesta declară că nu este în măsură să stabilească veridicitatea faptelor invocate de reclamanți din moment ce acestea au avut loc în întregime în afara teritoriului său. Stabilirea faptelor este cu atât mai complexă cu cât nicio instanță națională nu s-a pronunțat cu privire la acestea și de altfel nu s-a pronunțat nici cu privire la chestiunile de drept ridicate în cerere. Reclamanților le revine sarcina de a prezenta probe care permit Curții să stabilească faptele dincolo de orice îndoială rezonabilă.</w:t>
      </w:r>
    </w:p>
    <w:bookmarkStart w:id="74" w:name="paragraph00100"/>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103</w:t>
      </w:r>
      <w:r w:rsidRPr="00BF6A5D">
        <w:fldChar w:fldCharType="end"/>
      </w:r>
      <w:bookmarkEnd w:id="74"/>
      <w:r>
        <w:t>.  Cu privire la problema jurisdicției, Guvernul Țărilor de Jos face trimitere, printre altele, la jurisprudența Curții [</w:t>
      </w:r>
      <w:r>
        <w:rPr>
          <w:i/>
          <w:iCs/>
        </w:rPr>
        <w:t>Banković și alții</w:t>
      </w:r>
      <w:r>
        <w:t xml:space="preserve"> și </w:t>
      </w:r>
      <w:r>
        <w:rPr>
          <w:i/>
          <w:iCs/>
        </w:rPr>
        <w:t>M.N. și alții împotriva Belgiei</w:t>
      </w:r>
      <w:r>
        <w:t xml:space="preserve">, decizii citate anterior, precum și </w:t>
      </w:r>
      <w:r>
        <w:rPr>
          <w:i/>
          <w:iCs/>
        </w:rPr>
        <w:t>Georgia împotriva Rusiei (II)</w:t>
      </w:r>
      <w:r>
        <w:t xml:space="preserve"> (MC), nr. 38263/08, 21 ianuarie 2021]. În această privință, observă că jurisdicția statelor este în primul rând teritorială și că numai în cadrul unor excepții foarte limitate se poate stabili exercitarea extrateritorială de către un stat a jurisdicției sale. Unul dintre elementele-cheie în această privință este exercitarea de către stat a controlului asupra unor persoane, iar Convenția nu este destinată să se aplice potențialelor repercusiuni asupra drepturilor sau intereselor individuale ale reclamanților.</w:t>
      </w:r>
    </w:p>
    <w:p w:rsidR="00BF6A5D" w:rsidRPr="00BF6A5D" w:rsidRDefault="00D340B2" w:rsidP="00BF6A5D">
      <w:pPr>
        <w:pStyle w:val="JuPara"/>
      </w:pPr>
      <w:fldSimple w:instr=" SEQ level0 \*arabic \* MERGEFORMAT ">
        <w:r w:rsidR="00BF6A5D" w:rsidRPr="00BF6A5D">
          <w:t>104</w:t>
        </w:r>
      </w:fldSimple>
      <w:r w:rsidR="00BF6A5D">
        <w:t>.  Guvernul Țărilor de Jos consideră că, în speță, reclamanții nu se pot prevala de niciun temei teritorial pentru a susține că se află sub jurisdicția Țărilor de Jos. Prezenta cauză nu intră sub incidența niciuneia dintre excepțiile stabilite de la principiul teritorialității întrucât Țările de Jos nu au exercitat un control efectiv asupra niciunei zone din Portugalia sau asupra niciunuia dintre reclamanți. Nu există nici împrejurări excepționale de natură procedurală pentru stabilirea jurisdicției Țărilor de Jos.</w:t>
      </w:r>
    </w:p>
    <w:p w:rsidR="00BF6A5D" w:rsidRPr="00BF6A5D" w:rsidRDefault="00D340B2" w:rsidP="00BF6A5D">
      <w:pPr>
        <w:pStyle w:val="JuPara"/>
      </w:pPr>
      <w:fldSimple w:instr=" SEQ level0 \*arabic \* MERGEFORMAT ">
        <w:r w:rsidR="00BF6A5D" w:rsidRPr="00BF6A5D">
          <w:t>105</w:t>
        </w:r>
      </w:fldSimple>
      <w:r w:rsidR="00BF6A5D">
        <w:t xml:space="preserve">.  În ceea ce privește caracteristicile speciale și factorii schimbărilor climatice pe care le invocă reclamanții (a se vedea </w:t>
      </w:r>
      <w:r w:rsidR="00BF6A5D">
        <w:rPr>
          <w:i/>
          <w:iCs/>
        </w:rPr>
        <w:t>infra</w:t>
      </w:r>
      <w:r w:rsidR="00BF6A5D">
        <w:t xml:space="preserve">, pct. </w:t>
      </w:r>
      <w:r w:rsidR="00BF6A5D" w:rsidRPr="00BF6A5D">
        <w:fldChar w:fldCharType="begin"/>
      </w:r>
      <w:r w:rsidR="00BF6A5D" w:rsidRPr="00BF6A5D">
        <w:instrText xml:space="preserve"> REF paragraph128 \h </w:instrText>
      </w:r>
      <w:r w:rsidR="00BF6A5D" w:rsidRPr="00BF6A5D">
        <w:fldChar w:fldCharType="separate"/>
      </w:r>
      <w:r w:rsidR="00BF6A5D" w:rsidRPr="00BF6A5D">
        <w:t>126</w:t>
      </w:r>
      <w:r w:rsidR="00BF6A5D" w:rsidRPr="00BF6A5D">
        <w:fldChar w:fldCharType="end"/>
      </w:r>
      <w:r w:rsidR="00BF6A5D">
        <w:t>), Guvernul Țărilor de Jos consideră că, în realitate, persoanele în cauză urmăresc să se prevaleze de un concept cauzal de jurisdicție și să obțină o evoluție semnificativă a jurisprudenței Curții în materie, ceea ce, în opinia sa, Curtea nu ar trebui să o accepte. Într-adevăr, o astfel de evoluție ar duce la o aplicare inconsecventă, imprevizibilă și nefondată a art. 1. În acest context, guvernul susține în special următoarele:</w:t>
      </w:r>
    </w:p>
    <w:p w:rsidR="00BF6A5D" w:rsidRPr="00BF6A5D" w:rsidRDefault="00BF6A5D" w:rsidP="00BF6A5D">
      <w:pPr>
        <w:pStyle w:val="JuPara"/>
      </w:pPr>
      <w:r>
        <w:t xml:space="preserve">a)  reclamanții interpretează în mod eronat jurisprudența Curții atunci când afirmă că aceasta susține opinia potrivit căreia criteriul pentru stabilirea jurisdicției este existența unui nivel ridicat de control asupra intereselor protejate de Convenție. Astfel cum a explicat deja Guvernul Țărilor de Jos (a se vedea </w:t>
      </w:r>
      <w:r>
        <w:rPr>
          <w:i/>
          <w:iCs/>
        </w:rPr>
        <w:t>supra</w:t>
      </w:r>
      <w:r>
        <w:t xml:space="preserve">, pct. </w:t>
      </w:r>
      <w:r w:rsidRPr="00BF6A5D">
        <w:fldChar w:fldCharType="begin"/>
      </w:r>
      <w:r w:rsidRPr="00BF6A5D">
        <w:instrText xml:space="preserve">REF paragraph00100 \h \* CharFormat  \* MERGEFORMAT </w:instrText>
      </w:r>
      <w:r w:rsidRPr="00BF6A5D">
        <w:fldChar w:fldCharType="separate"/>
      </w:r>
      <w:r w:rsidRPr="00BF6A5D">
        <w:t>103</w:t>
      </w:r>
      <w:r w:rsidRPr="00BF6A5D">
        <w:fldChar w:fldCharType="end"/>
      </w:r>
      <w:r>
        <w:t>), jurisprudența Curții nu permite în mod clar să se ajungă la această interpretare: nu se poate concluziona că un stat și-a exercitat jurisdicția numai pe baza pretinsei sale răspunderi, indiferent dacă aceasta rezultă din obligațiile sale negative sau din cele pozitive.</w:t>
      </w:r>
    </w:p>
    <w:p w:rsidR="00BF6A5D" w:rsidRPr="00BF6A5D" w:rsidRDefault="00BF6A5D" w:rsidP="00BF6A5D">
      <w:pPr>
        <w:pStyle w:val="JuPara"/>
      </w:pPr>
      <w:r>
        <w:t xml:space="preserve">b)  Jurisprudența Curții nu susține conceptul cauzal de jurisdicție pe care CDC l-a aplicat în cauza </w:t>
      </w:r>
      <w:r>
        <w:rPr>
          <w:i/>
          <w:iCs/>
        </w:rPr>
        <w:t>Sacchi și alții</w:t>
      </w:r>
      <w:r>
        <w:t xml:space="preserve"> (citată anterior) Cauza respectivă nu are nicio valoare jurisprudențială pentru Curte. În plus, unele state, inclusiv </w:t>
      </w:r>
      <w:r>
        <w:lastRenderedPageBreak/>
        <w:t>Țările de Jos, nu au recunoscut competența CDC ca organism de supraveghere în cauze individuale.</w:t>
      </w:r>
    </w:p>
    <w:p w:rsidR="00BF6A5D" w:rsidRPr="00BF6A5D" w:rsidRDefault="00BF6A5D" w:rsidP="00BF6A5D">
      <w:pPr>
        <w:pStyle w:val="JuPara"/>
      </w:pPr>
      <w:r>
        <w:t>c)  Potrivit jurisprudenței Curții, faptul de „a prevedea” sau „a cunoaște” nu poate servi ca temei pentru stabilirea jurisdicției în sensul art. 1.</w:t>
      </w:r>
    </w:p>
    <w:p w:rsidR="00BF6A5D" w:rsidRPr="00BF6A5D" w:rsidRDefault="00BF6A5D" w:rsidP="00BF6A5D">
      <w:pPr>
        <w:pStyle w:val="JuPara"/>
      </w:pPr>
      <w:r>
        <w:t>d)  Durata actelor sau a consecințelor acestora, de asemenea, nu este un factor relevant pentru stabilirea jurisdicției.</w:t>
      </w:r>
    </w:p>
    <w:p w:rsidR="00BF6A5D" w:rsidRPr="00BF6A5D" w:rsidRDefault="00BF6A5D" w:rsidP="00BF6A5D">
      <w:pPr>
        <w:pStyle w:val="JuPara"/>
      </w:pPr>
      <w:r>
        <w:t xml:space="preserve">e)  Faptul că efectele în litigiu au legătură cu activități desfășurate pe teritoriul sau sub controlul unui stat nu au nicio relevanță pentru problema jurisdicției (Guvernul face trimitere la decizia </w:t>
      </w:r>
      <w:r>
        <w:rPr>
          <w:i/>
          <w:iCs/>
        </w:rPr>
        <w:t>M. N. și alții împotriva Belgiei</w:t>
      </w:r>
      <w:r>
        <w:t>, citată anterior).</w:t>
      </w:r>
    </w:p>
    <w:p w:rsidR="00BF6A5D" w:rsidRPr="00BF6A5D" w:rsidRDefault="00BF6A5D" w:rsidP="00BF6A5D">
      <w:pPr>
        <w:pStyle w:val="JuPara"/>
      </w:pPr>
      <w:r>
        <w:t xml:space="preserve">f)  Capacitatea unui stat de a acționa nu este un factor relevant pentru problema jurisdicției, astfel cum s-a stabilit în hotărârea </w:t>
      </w:r>
      <w:r>
        <w:rPr>
          <w:i/>
          <w:iCs/>
        </w:rPr>
        <w:t>H.F. și alții împotriva Franței</w:t>
      </w:r>
      <w:r>
        <w:t xml:space="preserve"> (citată anterior).</w:t>
      </w:r>
    </w:p>
    <w:p w:rsidR="00BF6A5D" w:rsidRPr="00BF6A5D" w:rsidRDefault="00BF6A5D" w:rsidP="00BF6A5D">
      <w:pPr>
        <w:pStyle w:val="JuPara"/>
      </w:pPr>
      <w:r>
        <w:t>g)  Elementele de drept internațional invocate de reclamanți nu permit să se concluzioneze că există temei pentru stabilirea jurisdicției. Obligațiile materiale nu determină existența jurisdicției; dimpotrivă, existența unui temei pentru stabilirea jurisdicției este o condiție necesară pentru angajarea răspunderii în cadrul Convenției. Problema jurisdicției, de asemenea, se deosebește de orice problemă referitoare la obligațiile materiale ale statului și, în mod logic, se ridică mai întâi. A doua problemă nu poate afecta soluționarea primei probleme.</w:t>
      </w:r>
    </w:p>
    <w:p w:rsidR="00BF6A5D" w:rsidRPr="00BF6A5D" w:rsidRDefault="00D340B2" w:rsidP="00BF6A5D">
      <w:pPr>
        <w:pStyle w:val="JuPara"/>
      </w:pPr>
      <w:fldSimple w:instr=" SEQ level0 \*arabic \* MERGEFORMAT ">
        <w:r w:rsidR="00BF6A5D" w:rsidRPr="00BF6A5D">
          <w:t>106</w:t>
        </w:r>
      </w:fldSimple>
      <w:r w:rsidR="00BF6A5D">
        <w:t xml:space="preserve">.  Guvernul Țărilor de Jos consideră că nu este necesară dezvoltarea jurisprudenței Curții în materie de jurisdicție pentru a ține seama de schimbările climatice. Adoptarea abordării susținute de reclamanți ar spori în mod semnificativ domeniul geografic de aplicare al Convenției în cauze care depășesc cu mult doar problema schimbărilor climatice și ar fi greu de justificat aplicarea unei astfel de abordări numai în acest context. Așa cum reiese din hotărârea </w:t>
      </w:r>
      <w:r w:rsidR="00BF6A5D">
        <w:rPr>
          <w:i/>
          <w:iCs/>
        </w:rPr>
        <w:t>Urgenda</w:t>
      </w:r>
      <w:r w:rsidR="00BF6A5D" w:rsidRPr="00BF6A5D">
        <w:rPr>
          <w:vertAlign w:val="superscript"/>
        </w:rPr>
        <w:footnoteReference w:id="20"/>
      </w:r>
      <w:r w:rsidR="00BF6A5D">
        <w:t xml:space="preserve"> pronunțată de Curtea Supremă a Țărilor de Jos, o protecție jurisdicțională concretă și efectivă împotriva efectelor schimbărilor climatice este deja posibilă în temeiul Convenției fără o astfel de evoluție. În orice caz, orice extindere a jurisprudenței Curții privind jurisdicția în materie de schimbări climatice ar ridica o serie de întrebări complexe și nerezolvate cu privire la însăși esența funcționării sistemului Convenției.</w:t>
      </w:r>
    </w:p>
    <w:p w:rsidR="00BF6A5D" w:rsidRPr="00BF6A5D" w:rsidRDefault="00D340B2" w:rsidP="00BF6A5D">
      <w:pPr>
        <w:pStyle w:val="JuPara"/>
      </w:pPr>
      <w:fldSimple w:instr=" SEQ level0 \*arabic \* MERGEFORMAT ">
        <w:r w:rsidR="00BF6A5D" w:rsidRPr="00BF6A5D">
          <w:t>107</w:t>
        </w:r>
      </w:fldSimple>
      <w:r w:rsidR="00BF6A5D">
        <w:t xml:space="preserve">.  Guvernul Țărilor de Jos apreciază că, în acest context, nu se poate considera nici că divizarea și adaptarea drepturilor care decurg din Convenție ar putea duce la constatarea unui temei pentru stabilirea jurisdicției. Se deduce din jurisprudența Curții că astfel de practici sunt posibile numai în cazul în care persoana în discuție se află sub jurisdicția statului pentru motivul că agenții acestui stat și-au exercitat autoritatea și controlul asupra sa [Guvernul face trimitere la hotărârea </w:t>
      </w:r>
      <w:r w:rsidR="00BF6A5D">
        <w:rPr>
          <w:i/>
          <w:iCs/>
        </w:rPr>
        <w:t xml:space="preserve">Al-Skeini și alții împotriva Regatului </w:t>
      </w:r>
      <w:r w:rsidR="00BF6A5D">
        <w:rPr>
          <w:i/>
          <w:iCs/>
        </w:rPr>
        <w:lastRenderedPageBreak/>
        <w:t>Unit</w:t>
      </w:r>
      <w:r w:rsidR="00BF6A5D">
        <w:t xml:space="preserve"> (MC), nr. 55721/07, pct. 137, CEDO 2011, și la decizia </w:t>
      </w:r>
      <w:r w:rsidR="00BF6A5D">
        <w:rPr>
          <w:i/>
          <w:iCs/>
        </w:rPr>
        <w:t>Ucraina și Țările de Jos împotriva Rusiei</w:t>
      </w:r>
      <w:r w:rsidR="00BF6A5D">
        <w:t xml:space="preserve"> (MC), nr. 8019/16 și alte 2, pct. 571, 30 noiembrie 2022]. În aceste condiții, noțiunea de „spațiu juridic” al Convenției nu poate contribui la limitarea domeniului de aplicare al extinderii jurisdicției extrateritoriale a unui stat. De asemenea, criteriul „circumstanțelor speciale” a fost stabilit în contextul obligației procedurale care decurge din art. 2 și nu poate fi aplicat în contextul schimbărilor climatice (Guvernul face trimitere în special la hotărârea </w:t>
      </w:r>
      <w:r w:rsidR="00BF6A5D">
        <w:rPr>
          <w:i/>
          <w:iCs/>
        </w:rPr>
        <w:t>Hanan</w:t>
      </w:r>
      <w:r w:rsidR="00BF6A5D">
        <w:t>, citată anterior, pct. 132-145).</w:t>
      </w:r>
    </w:p>
    <w:p w:rsidR="00BF6A5D" w:rsidRPr="00BF6A5D" w:rsidRDefault="00D340B2" w:rsidP="00BF6A5D">
      <w:pPr>
        <w:pStyle w:val="JuPara"/>
      </w:pPr>
      <w:fldSimple w:instr=" SEQ level0 \*arabic \* MERGEFORMAT ">
        <w:r w:rsidR="00BF6A5D" w:rsidRPr="00BF6A5D">
          <w:t>108</w:t>
        </w:r>
      </w:fldSimple>
      <w:r w:rsidR="00BF6A5D">
        <w:t xml:space="preserve">.  Cu privire la epuizarea căilor de atac interne, Guvernul Țărilor de Jos arată că reclamanții nu au încercat să epuizeze nicio cale de atac, ceea ce, în opinia sa, contravine principiului subsidiarității. În temeiul jurisprudenței </w:t>
      </w:r>
      <w:r w:rsidR="00BF6A5D">
        <w:rPr>
          <w:i/>
          <w:iCs/>
        </w:rPr>
        <w:t>Demopoulos și alții</w:t>
      </w:r>
      <w:r w:rsidR="00BF6A5D">
        <w:t xml:space="preserve"> (decizie citată anterior), susține că reclamanții care au reședința în afara jurisdicției unui stat contractant nu sunt scutiți de obligația de a epuiza căile de atac interne în acest stat. Reclamanții, prin faptul că solicită Curții să se pronunțe cu privire la fondul cauzei lor pentru ca motivarea acesteia în prezenta speță să fie utilizată ca orientare de către instanțele interne la nivel național, urmăresc să inverseze principiul subsidiarității. Raționamentul lor încalcă însăși logica regulii epuizării căilor de atac prevăzută de art. 35 § 1 din Convenție, precum și principiul subsidiarității.</w:t>
      </w:r>
    </w:p>
    <w:p w:rsidR="00BF6A5D" w:rsidRPr="00BF6A5D" w:rsidRDefault="00D340B2" w:rsidP="00BF6A5D">
      <w:pPr>
        <w:pStyle w:val="JuPara"/>
      </w:pPr>
      <w:fldSimple w:instr=" SEQ level0 \*arabic \* MERGEFORMAT ">
        <w:r w:rsidR="00BF6A5D" w:rsidRPr="00BF6A5D">
          <w:t>109</w:t>
        </w:r>
      </w:fldSimple>
      <w:r w:rsidR="00BF6A5D">
        <w:t>.  În ceea ce privește calitatea de victimă a reclamanților, Guvernul Țărilor de Jos consideră că această chestiune este legată de fondul capătului de cerere. Arată că, întrucât reclamanții nu au exercitat căile de atac interne disponibile și efective, nu este în măsură să stabilească ori să verifice faptele invocate de persoanele în cauză. Concluzionează că sarcina de a dovedi că au suferit un prejudiciu le revine în totalitate.</w:t>
      </w:r>
    </w:p>
    <w:p w:rsidR="00BF6A5D" w:rsidRPr="00BF6A5D" w:rsidRDefault="00BF6A5D" w:rsidP="00BF6A5D">
      <w:pPr>
        <w:pStyle w:val="JuHa0"/>
      </w:pPr>
      <w:bookmarkStart w:id="75" w:name="_Toc177058409"/>
      <w:r>
        <w:t>Guvernul Portugaliei</w:t>
      </w:r>
      <w:bookmarkEnd w:id="75"/>
    </w:p>
    <w:p w:rsidR="00BF6A5D" w:rsidRPr="00BF6A5D" w:rsidRDefault="00D340B2" w:rsidP="00BF6A5D">
      <w:pPr>
        <w:pStyle w:val="JuPara"/>
      </w:pPr>
      <w:fldSimple w:instr=" SEQ level0 \*arabic \* MERGEFORMAT ">
        <w:bookmarkStart w:id="76" w:name="paragraph112"/>
        <w:r w:rsidR="00BF6A5D" w:rsidRPr="00BF6A5D">
          <w:t>110</w:t>
        </w:r>
        <w:bookmarkEnd w:id="76"/>
      </w:fldSimple>
      <w:r w:rsidR="00BF6A5D">
        <w:t>.  Guvernul Portugaliei admite că reclamanții se află sub jurisdicția sa teritorială, dar susține că această problemă a jurisdicției trebuie să fie diferențiată de chestiunea dacă statul este efectiv răspunzător pentru actele sau omisiunile aflate la originea capetelor de cerere formulate de persoanele în cauză. Susține că reclamanții nu au demonstrat existența unei legături de cauzalitate suficient de directe între, pe de o parte, actele sau omisiunile Guvernului pârât în materie de schimbări climatice și, pe de altă parte, prejudiciile sau daunele invocate de aceștia și că aceștia se limitează să evidențieze, la modul general, emisiile de GES ale statelor pârâte. Potrivit cifrelor furnizate de reclamanți, Portugalia este responsabilă pentru numai 0,14% din emisiile globale de GES în anul 2018. Efectele nefaste ale schimbărilor climatice în discuție în prezenta cauză sunt rezultatul unui fenomen global pentru care nici Portugaliei, nici oricărui alt stat pârât nu i se poate imputa o responsabilitate individuală sau colectivă și, prin urmare, răspunderea Portugaliei nu poate fi angajată în mod individual.</w:t>
      </w:r>
    </w:p>
    <w:p w:rsidR="00BF6A5D" w:rsidRPr="00BF6A5D" w:rsidRDefault="00D340B2" w:rsidP="00BF6A5D">
      <w:pPr>
        <w:pStyle w:val="JuPara"/>
      </w:pPr>
      <w:fldSimple w:instr=" SEQ level0 \*arabic \* MERGEFORMAT ">
        <w:r w:rsidR="00BF6A5D" w:rsidRPr="00BF6A5D">
          <w:t>111</w:t>
        </w:r>
      </w:fldSimple>
      <w:r w:rsidR="00BF6A5D">
        <w:t>.  Guvernul Portugaliei susține că în ordinea sa internă există căi de atac efective și disponibile pe care reclamanții le-ar fi putut exercita și că nu au făcut-o. Se poate face deosebire între, pe de o parte, căile de atac extrajudiciare aflate la dispoziția victimelor incendiilor de pădure din 2017 și, pe de altă parte, căile de atac judiciare.</w:t>
      </w:r>
    </w:p>
    <w:p w:rsidR="00BF6A5D" w:rsidRPr="00BF6A5D" w:rsidRDefault="00D340B2" w:rsidP="00BF6A5D">
      <w:pPr>
        <w:pStyle w:val="JuPara"/>
      </w:pPr>
      <w:fldSimple w:instr=" SEQ level0 \*arabic \* MERGEFORMAT ">
        <w:r w:rsidR="00BF6A5D" w:rsidRPr="00BF6A5D">
          <w:t>112</w:t>
        </w:r>
      </w:fldSimple>
      <w:r w:rsidR="00BF6A5D">
        <w:t>.  În ceea ce privește prima categorie de căi de atac, în urma incendiilor în discuție, Legea nr. 108/2017 a instituit și a pus la dispoziție căi de atac – extrajudiciare, gratuite și rapide – pentru a despăgubi cu promptitudine rudele victimelor decedate și persoanele care au suferit prejudicii personale și psihologice ori prejudicii materiale. Ulterior s-a constituit o comisie independentă, sub coordonarea și supravegherea Ombudsmanului, în scopul evaluării și examinării cererilor de despăgubiri. Acesta adaugă că profilul solicitanților a fost extins pentru a include persoanele care, în urma examinării de către serviciile competente, au confirmat că integritatea lor corporală sau mintală, veniturile sau bunurile lor au fost afectate direct sau indirect. Comisia independentă a evaluat prejudiciile materiale sau morale și a asigurat nu numai compensații financiare, ci și adoptarea de măsuri de asistență și măsuri imediate [asistență medicală și monitorizare (clinică), sprijin psihologic, cazare temporară, lucrări de reconstrucție de locuințe și asistență socială]. În cadrul acestor acțiuni, au fost introduse 728 de cereri de despăgubiri, dintre care 505 au fost admise [s-a plătit o sumă totală de 35 482 075 euro (EUR)]. Totuși, reclamanții nu se află pe lista persoanelor care au solicitat despăgubiri prin intermediul acestei acțiuni.</w:t>
      </w:r>
    </w:p>
    <w:p w:rsidR="00BF6A5D" w:rsidRPr="00BF6A5D" w:rsidRDefault="00D340B2" w:rsidP="00BF6A5D">
      <w:pPr>
        <w:pStyle w:val="JuPara"/>
      </w:pPr>
      <w:fldSimple w:instr=" SEQ level0 \*arabic \* MERGEFORMAT ">
        <w:bookmarkStart w:id="77" w:name="paragraph00115"/>
        <w:r w:rsidR="00BF6A5D" w:rsidRPr="00BF6A5D">
          <w:t>113</w:t>
        </w:r>
        <w:bookmarkEnd w:id="77"/>
      </w:fldSimple>
      <w:r w:rsidR="00BF6A5D">
        <w:t>.  În ceea ce privește căile de atac judiciare, litigiile în materie de mediu reprezintă în prezent o realitate a sistemului judiciar intern. Instanțele administrative au soluționat o serie de cauze referitoare la probleme de mediu și daune aduse mediului, având ca obiect de exemplu urbanismul, impactul infrastructurilor asupra mediului, poluarea și protejarea surselor de apă, a fluviilor și a râurilor, precum și a zonelor maritime și de coastă. Art. 66 din Constituție, care consacră dreptul la un mediu de viață sănătos, este direct aplicabil în astfel de litigii. De asemenea, în Portugalia este posibilă contestarea compatibilității legii cu Constituția.</w:t>
      </w:r>
    </w:p>
    <w:bookmarkStart w:id="78" w:name="paragraph00111"/>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114</w:t>
      </w:r>
      <w:r w:rsidRPr="00BF6A5D">
        <w:fldChar w:fldCharType="end"/>
      </w:r>
      <w:bookmarkEnd w:id="78"/>
      <w:r>
        <w:t>.  Guvernul Portugaliei se referă mai precis la următoarele căi de atac judiciare:</w:t>
      </w:r>
    </w:p>
    <w:p w:rsidR="00BF6A5D" w:rsidRPr="00BF6A5D" w:rsidRDefault="00BF6A5D" w:rsidP="00BF6A5D">
      <w:pPr>
        <w:pStyle w:val="JuPara"/>
      </w:pPr>
      <w:r>
        <w:t xml:space="preserve">a)  Art. 66 § 1 din Constituție prevede că „[o]rice persoană are dreptul la un mediu de viață uman sănătos și echilibrat din punct de vedere ecologic și are îndatorirea de a proteja un astfel de mediu”. În măsura în care prevede un drept fundamental, această dispoziție este direct aplicabilă, respectiv direct executorie de către instanțele naționale, astfel cum prevede art. 18 din Constituție. Dreptul în discuție este considerat un drept general al personalității și, prin urmare, beneficiază de o protecție activă în ordinea juridică internă (a se vedea </w:t>
      </w:r>
      <w:r>
        <w:rPr>
          <w:i/>
          <w:iCs/>
        </w:rPr>
        <w:t>supra</w:t>
      </w:r>
      <w:r>
        <w:t xml:space="preserve">, pct. </w:t>
      </w:r>
      <w:r w:rsidRPr="00BF6A5D">
        <w:fldChar w:fldCharType="begin"/>
      </w:r>
      <w:r w:rsidRPr="00BF6A5D">
        <w:instrText xml:space="preserve"> REF paragraph00039 \h  \* CharFormat  \* MERGEFORMAT </w:instrText>
      </w:r>
      <w:r w:rsidRPr="00BF6A5D">
        <w:fldChar w:fldCharType="separate"/>
      </w:r>
      <w:r w:rsidRPr="00BF6A5D">
        <w:t>40</w:t>
      </w:r>
      <w:r w:rsidRPr="00BF6A5D">
        <w:fldChar w:fldCharType="end"/>
      </w:r>
      <w:r>
        <w:t xml:space="preserve"> și </w:t>
      </w:r>
      <w:r w:rsidRPr="00BF6A5D">
        <w:fldChar w:fldCharType="begin"/>
      </w:r>
      <w:r w:rsidRPr="00BF6A5D">
        <w:instrText xml:space="preserve"> REF paragraph00051 \h  \* CharFormat </w:instrText>
      </w:r>
      <w:r w:rsidRPr="00BF6A5D">
        <w:fldChar w:fldCharType="separate"/>
      </w:r>
      <w:r w:rsidRPr="00BF6A5D">
        <w:t>52</w:t>
      </w:r>
      <w:r w:rsidRPr="00BF6A5D">
        <w:fldChar w:fldCharType="end"/>
      </w:r>
      <w:r>
        <w:t>).</w:t>
      </w:r>
    </w:p>
    <w:p w:rsidR="00BF6A5D" w:rsidRPr="00BF6A5D" w:rsidRDefault="00BF6A5D" w:rsidP="00BF6A5D">
      <w:pPr>
        <w:pStyle w:val="JuPara"/>
      </w:pPr>
      <w:r>
        <w:t xml:space="preserve">b)  În conformitate cu art. 52 din Constituție, persoanele (ca și asociațiile) au dreptul la promovarea unei </w:t>
      </w:r>
      <w:r>
        <w:rPr>
          <w:i/>
          <w:iCs/>
        </w:rPr>
        <w:t>actio popularis</w:t>
      </w:r>
      <w:r>
        <w:t xml:space="preserve"> pentru a obține de la autoritățile </w:t>
      </w:r>
      <w:r>
        <w:lastRenderedPageBreak/>
        <w:t xml:space="preserve">publice adoptarea unui anume comportament sau punerea în aplicare a unor măsuri judiciare și/sau administrative privind, printre altele, protecția mediului. În plus, în temeiul Legii nr. 83/95 (a se vedea </w:t>
      </w:r>
      <w:r>
        <w:rPr>
          <w:i/>
          <w:iCs/>
        </w:rPr>
        <w:t>supra</w:t>
      </w:r>
      <w:r>
        <w:t xml:space="preserve">, pct. </w:t>
      </w:r>
      <w:r w:rsidRPr="00BF6A5D">
        <w:fldChar w:fldCharType="begin"/>
      </w:r>
      <w:r w:rsidRPr="00BF6A5D">
        <w:instrText xml:space="preserve"> REF paragraph00040 \h  \* CharFormat  \* MERGEFORMAT </w:instrText>
      </w:r>
      <w:r w:rsidRPr="00BF6A5D">
        <w:fldChar w:fldCharType="separate"/>
      </w:r>
      <w:r w:rsidRPr="00BF6A5D">
        <w:t>41</w:t>
      </w:r>
      <w:r w:rsidRPr="00BF6A5D">
        <w:fldChar w:fldCharType="end"/>
      </w:r>
      <w:r>
        <w:t>), dreptul la acțiune populară (</w:t>
      </w:r>
      <w:r>
        <w:rPr>
          <w:i/>
          <w:iCs/>
        </w:rPr>
        <w:t>actio popularis</w:t>
      </w:r>
      <w:r>
        <w:t>) poate fi exercitat, printre altele, în scopul protecției sănătății publice, a mediului și a calității vieții (art. 1 § 1 din lege). Acțiunea populară (</w:t>
      </w:r>
      <w:r>
        <w:rPr>
          <w:i/>
          <w:iCs/>
        </w:rPr>
        <w:t>actio popularis</w:t>
      </w:r>
      <w:r>
        <w:t>) poate fi promovată de persoane fizice sau asociații (sau de către Ministerul Public) care au ca scop să obțină protecția acestor interese generale și difuze (art. 2 § 1 și art. 16 din lege).</w:t>
      </w:r>
    </w:p>
    <w:p w:rsidR="00BF6A5D" w:rsidRPr="00BF6A5D" w:rsidRDefault="00BF6A5D" w:rsidP="00BF6A5D">
      <w:pPr>
        <w:pStyle w:val="JuPara"/>
      </w:pPr>
      <w:r>
        <w:t xml:space="preserve">c)  Codul civil, prin art. 70 primul paragraf (a se vedea </w:t>
      </w:r>
      <w:r>
        <w:rPr>
          <w:i/>
          <w:iCs/>
        </w:rPr>
        <w:t>supra</w:t>
      </w:r>
      <w:r>
        <w:t xml:space="preserve">, pct. </w:t>
      </w:r>
      <w:r w:rsidRPr="00BF6A5D">
        <w:fldChar w:fldCharType="begin"/>
      </w:r>
      <w:r w:rsidRPr="00BF6A5D">
        <w:instrText xml:space="preserve"> REF paragraph00041 \h  \* CharFormat  \* MERGEFORMAT </w:instrText>
      </w:r>
      <w:r w:rsidRPr="00BF6A5D">
        <w:fldChar w:fldCharType="separate"/>
      </w:r>
      <w:r w:rsidRPr="00BF6A5D">
        <w:t>42</w:t>
      </w:r>
      <w:r w:rsidRPr="00BF6A5D">
        <w:fldChar w:fldCharType="end"/>
      </w:r>
      <w:r>
        <w:t xml:space="preserve">),  conferă persoanelor protecție împotriva oricărei ingerințe sau amenințări cu ingerința la adresa integrității corporale sau psihice și prevedea, la al doilea paragraf al acestui articol, o acțiune pentru a evita concretizarea unei amenințări sau pentru a reduce efectele unei ingerințe care a avut loc deja. O procedură specială de protecție a personalității este prevăzută, de asemenea, la art. 878 din Codul de procedură civilă (a se vedea </w:t>
      </w:r>
      <w:r>
        <w:rPr>
          <w:i/>
          <w:iCs/>
        </w:rPr>
        <w:t>supra</w:t>
      </w:r>
      <w:r>
        <w:t xml:space="preserve">, pct. </w:t>
      </w:r>
      <w:r w:rsidRPr="00BF6A5D">
        <w:fldChar w:fldCharType="begin"/>
      </w:r>
      <w:r w:rsidRPr="00BF6A5D">
        <w:instrText xml:space="preserve"> REF paragraph00042 \h  \* CharFormat  \* MERGEFORMAT </w:instrText>
      </w:r>
      <w:r w:rsidRPr="00BF6A5D">
        <w:fldChar w:fldCharType="separate"/>
      </w:r>
      <w:r w:rsidRPr="00BF6A5D">
        <w:t>43</w:t>
      </w:r>
      <w:r w:rsidRPr="00BF6A5D">
        <w:fldChar w:fldCharType="end"/>
      </w:r>
      <w:r>
        <w:t>).</w:t>
      </w:r>
    </w:p>
    <w:p w:rsidR="00BF6A5D" w:rsidRPr="00BF6A5D" w:rsidRDefault="00BF6A5D" w:rsidP="00BF6A5D">
      <w:pPr>
        <w:pStyle w:val="JuPara"/>
      </w:pPr>
      <w:r>
        <w:t xml:space="preserve">d)  Art. 7 § 1 din Legea privind cadrul politicii de mediu (a se vedea </w:t>
      </w:r>
      <w:r>
        <w:rPr>
          <w:i/>
          <w:iCs/>
        </w:rPr>
        <w:t>supra</w:t>
      </w:r>
      <w:r>
        <w:t xml:space="preserve">, pct. </w:t>
      </w:r>
      <w:r w:rsidRPr="00BF6A5D">
        <w:fldChar w:fldCharType="begin"/>
      </w:r>
      <w:r w:rsidRPr="00BF6A5D">
        <w:instrText xml:space="preserve"> REF paragraph00043 \h  \* CharFormat  \* MERGEFORMAT </w:instrText>
      </w:r>
      <w:r w:rsidRPr="00BF6A5D">
        <w:fldChar w:fldCharType="separate"/>
      </w:r>
      <w:r w:rsidRPr="00BF6A5D">
        <w:t>44</w:t>
      </w:r>
      <w:r w:rsidRPr="00BF6A5D">
        <w:fldChar w:fldCharType="end"/>
      </w:r>
      <w:r>
        <w:t>) garantează tuturor persoanelor dreptul la o protecție deplină și efectivă a drepturilor și intereselor lor în materie de mediu.</w:t>
      </w:r>
    </w:p>
    <w:p w:rsidR="00BF6A5D" w:rsidRPr="00BF6A5D" w:rsidRDefault="00BF6A5D" w:rsidP="00BF6A5D">
      <w:pPr>
        <w:pStyle w:val="JuPara"/>
      </w:pPr>
      <w:r>
        <w:t xml:space="preserve">e)  Legea nr. 67/2007 (a se vedea </w:t>
      </w:r>
      <w:r>
        <w:rPr>
          <w:i/>
          <w:iCs/>
        </w:rPr>
        <w:t>supra</w:t>
      </w:r>
      <w:r>
        <w:t xml:space="preserve">, pct. 45) – care reglementează relațiile dintre cetățeni și stat – prevede o acțiune în răspundere civilă extracontractuală împotriva statului care permite repararea prejudiciului sau a daunei ce rezultă din acte sau omisiuni ilicite ale statului. O astfel de procedură poate fi inițiată în cazul unei funcționări anormale a unui serviciu și include prejudiciile materiale și morale, survenite deja sau viitoare. În plus, Curtea a statuat deja că această cale legală constituie o cale de atac efectivă (pentru un capăt de cerere privind durata procedurii) (Guvernul Portugaliei face trimitere în această privință la hotărârea </w:t>
      </w:r>
      <w:r>
        <w:rPr>
          <w:i/>
          <w:iCs/>
        </w:rPr>
        <w:t>Valada Matos das Neves împotriva Portugaliei</w:t>
      </w:r>
      <w:r>
        <w:t>, nr. 73798/13, 29 octombrie 2015).</w:t>
      </w:r>
    </w:p>
    <w:p w:rsidR="00BF6A5D" w:rsidRPr="00BF6A5D" w:rsidRDefault="00BF6A5D" w:rsidP="00BF6A5D">
      <w:pPr>
        <w:pStyle w:val="JuPara"/>
      </w:pPr>
      <w:r>
        <w:t xml:space="preserve">f)  Codul de procedură administrativă (a se vedea </w:t>
      </w:r>
      <w:r>
        <w:rPr>
          <w:i/>
          <w:iCs/>
        </w:rPr>
        <w:t>supra</w:t>
      </w:r>
      <w:r>
        <w:t xml:space="preserve">, pct. </w:t>
      </w:r>
      <w:r w:rsidRPr="00BF6A5D">
        <w:fldChar w:fldCharType="begin"/>
      </w:r>
      <w:r w:rsidRPr="00BF6A5D">
        <w:instrText xml:space="preserve"> REF paragraph00045 \h  \* CharFormat </w:instrText>
      </w:r>
      <w:r w:rsidRPr="00BF6A5D">
        <w:fldChar w:fldCharType="separate"/>
      </w:r>
      <w:r w:rsidRPr="00BF6A5D">
        <w:t>46</w:t>
      </w:r>
      <w:r w:rsidRPr="00BF6A5D">
        <w:fldChar w:fldCharType="end"/>
      </w:r>
      <w:r>
        <w:t>) prevedea o cale de atac care poate obliga administrația să adopte măsuri pozitive sau negative în materie de mediu și de calitatea vieții, precum și posibilitatea de a solicita măsuri provizorii și de a iniția o acțiune în vederea obținerii unor măsuri de urgență.</w:t>
      </w:r>
    </w:p>
    <w:p w:rsidR="00BF6A5D" w:rsidRPr="00BF6A5D" w:rsidRDefault="00BF6A5D" w:rsidP="00BF6A5D">
      <w:pPr>
        <w:pStyle w:val="JuPara"/>
      </w:pPr>
      <w:r>
        <w:t xml:space="preserve">g)  Legea nr. 35/98 privind ONG-urile pentru protecția mediului (a se vedea </w:t>
      </w:r>
      <w:r>
        <w:rPr>
          <w:i/>
          <w:iCs/>
        </w:rPr>
        <w:t>supra</w:t>
      </w:r>
      <w:r>
        <w:t xml:space="preserve">, pct. </w:t>
      </w:r>
      <w:r w:rsidRPr="00BF6A5D">
        <w:fldChar w:fldCharType="begin"/>
      </w:r>
      <w:r w:rsidRPr="00BF6A5D">
        <w:instrText xml:space="preserve"> REF lt_pId1924 \h  \* CharFormat </w:instrText>
      </w:r>
      <w:r w:rsidRPr="00BF6A5D">
        <w:fldChar w:fldCharType="separate"/>
      </w:r>
      <w:r w:rsidRPr="00BF6A5D">
        <w:t>47</w:t>
      </w:r>
      <w:r w:rsidRPr="00BF6A5D">
        <w:fldChar w:fldCharType="end"/>
      </w:r>
      <w:r>
        <w:t>) le acordă acestora calitate procesuală în vederea prevenirii, suspendării sau încetării actelor sau omisiunilor care ar putea dăuna mediului, precum și în vederea obținerii angajării răspunderii civile a autorilor acelor acte sau omisiuni.</w:t>
      </w:r>
    </w:p>
    <w:p w:rsidR="00BF6A5D" w:rsidRPr="00BF6A5D" w:rsidRDefault="00BF6A5D" w:rsidP="00BF6A5D">
      <w:pPr>
        <w:pStyle w:val="JuPara"/>
      </w:pPr>
      <w:r>
        <w:t xml:space="preserve">h)  Un regim de răspundere pentru mediul înconjurător a fost instituit prin Decretul-lege nr. 147/2008 (a se vedea </w:t>
      </w:r>
      <w:r>
        <w:rPr>
          <w:i/>
          <w:iCs/>
        </w:rPr>
        <w:t>supra</w:t>
      </w:r>
      <w:r>
        <w:t xml:space="preserve">, pct. </w:t>
      </w:r>
      <w:r w:rsidRPr="00BF6A5D">
        <w:fldChar w:fldCharType="begin"/>
      </w:r>
      <w:r w:rsidRPr="00BF6A5D">
        <w:instrText xml:space="preserve"> REF paragraph00047 \h  \* CharFormat </w:instrText>
      </w:r>
      <w:r w:rsidRPr="00BF6A5D">
        <w:fldChar w:fldCharType="separate"/>
      </w:r>
      <w:r w:rsidRPr="00BF6A5D">
        <w:t>48</w:t>
      </w:r>
      <w:r w:rsidRPr="00BF6A5D">
        <w:fldChar w:fldCharType="end"/>
      </w:r>
      <w:r>
        <w:t>) și se aplică daunelor aduse mediului în cazul speciilor și habitatelor naturale protejate, apei și solului, precum și amenințărilor iminente de producere a unor astfel de daune care rezultă din orice activitate desfășurată în cadrul unei activități economice.</w:t>
      </w:r>
    </w:p>
    <w:p w:rsidR="00BF6A5D" w:rsidRPr="00BF6A5D" w:rsidRDefault="00BF6A5D" w:rsidP="00BF6A5D">
      <w:pPr>
        <w:pStyle w:val="JuPara"/>
      </w:pPr>
      <w:r>
        <w:lastRenderedPageBreak/>
        <w:t xml:space="preserve">i)  Legea climei (Legea nr. 98/2021, </w:t>
      </w:r>
      <w:r>
        <w:rPr>
          <w:i/>
          <w:iCs/>
        </w:rPr>
        <w:t>supra</w:t>
      </w:r>
      <w:r>
        <w:t xml:space="preserve">, pct. </w:t>
      </w:r>
      <w:r w:rsidRPr="00BF6A5D">
        <w:fldChar w:fldCharType="begin"/>
      </w:r>
      <w:r w:rsidRPr="00BF6A5D">
        <w:instrText xml:space="preserve"> REF paragraph00048 \h  \* CharFormat  \* MERGEFORMAT </w:instrText>
      </w:r>
      <w:r w:rsidRPr="00BF6A5D">
        <w:fldChar w:fldCharType="separate"/>
      </w:r>
      <w:r w:rsidRPr="00BF6A5D">
        <w:t>49</w:t>
      </w:r>
      <w:r w:rsidRPr="00BF6A5D">
        <w:fldChar w:fldCharType="end"/>
      </w:r>
      <w:r>
        <w:t>) recunoaște schimbările climatice ca fiind o situație de urgență. Aceasta identifică drept sursă a responsabilității actele și omisiunile dăunătoare capabile să accelereze ori să contribuie la schimbările climatice și, prin urmare, prevede crearea unei contravenții pentru astfel de practici.</w:t>
      </w:r>
    </w:p>
    <w:p w:rsidR="00BF6A5D" w:rsidRPr="00BF6A5D" w:rsidRDefault="00D340B2" w:rsidP="00BF6A5D">
      <w:pPr>
        <w:pStyle w:val="JuPara"/>
      </w:pPr>
      <w:fldSimple w:instr=" SEQ level0 \*arabic \* MERGEFORMAT ">
        <w:r w:rsidR="00BF6A5D" w:rsidRPr="00BF6A5D">
          <w:t>115</w:t>
        </w:r>
      </w:fldSimple>
      <w:r w:rsidR="00BF6A5D">
        <w:t xml:space="preserve">.  Guvernul Portugaliei consideră că reclamanții nu au furnizat niciun element care să demonstreze că s-au confruntat cu obstacole legate de exercitarea căilor de atac sus-menționate. Susține că, în cazul unor dificultăți în acoperirea costurilor aferente procedurilor judiciare, aceștia ar fi putut solicita asistență judiciară în temeiul Legii nr. 34/2004 (a se vedea </w:t>
      </w:r>
      <w:r w:rsidR="00BF6A5D">
        <w:rPr>
          <w:i/>
          <w:iCs/>
        </w:rPr>
        <w:t>supra</w:t>
      </w:r>
      <w:r w:rsidR="00BF6A5D">
        <w:t xml:space="preserve">, pct. </w:t>
      </w:r>
      <w:r w:rsidR="00BF6A5D" w:rsidRPr="00BF6A5D">
        <w:fldChar w:fldCharType="begin"/>
      </w:r>
      <w:r w:rsidR="00BF6A5D" w:rsidRPr="00BF6A5D">
        <w:instrText xml:space="preserve"> REF paragraph00049 \h  \* CharFormat  \* MERGEFORMAT </w:instrText>
      </w:r>
      <w:r w:rsidR="00BF6A5D" w:rsidRPr="00BF6A5D">
        <w:fldChar w:fldCharType="separate"/>
      </w:r>
      <w:r w:rsidR="00BF6A5D" w:rsidRPr="00BF6A5D">
        <w:t>50</w:t>
      </w:r>
      <w:r w:rsidR="00BF6A5D" w:rsidRPr="00BF6A5D">
        <w:fldChar w:fldCharType="end"/>
      </w:r>
      <w:r w:rsidR="00BF6A5D">
        <w:t>). Persoanele în cauză ar fi putut fi scutite de cheltuielile de judecată ocazionate de o procedură internă și ar fi putut fi asistate de un avocat pe cheltuiala statului. În plus, ordinea juridică internă oferă soluții pentru a le permite tinerilor să depășească orice obstacole pe care le-ar putea întâmpina în ceea ce privește accesul la justiție. Copiii și adolescenții minori pot fi reprezentați în justiție de către persoana sau persoanele care exercită autoritatea părintească (art. 16 din Codul de procedură civilă).</w:t>
      </w:r>
    </w:p>
    <w:p w:rsidR="00BF6A5D" w:rsidRPr="00BF6A5D" w:rsidRDefault="00D340B2" w:rsidP="00BF6A5D">
      <w:pPr>
        <w:pStyle w:val="JuPara"/>
      </w:pPr>
      <w:fldSimple w:instr=" SEQ level0 \*arabic \* MERGEFORMAT ">
        <w:r w:rsidR="00BF6A5D" w:rsidRPr="00BF6A5D">
          <w:t>116</w:t>
        </w:r>
      </w:fldSimple>
      <w:r w:rsidR="00BF6A5D">
        <w:t>.  În opinia Guvernului Portugaliei, considerațiile de mai sus demonstrează că reclamanții dispuneau de mai multe căi de atac interne accesibile și eficiente, pe care însă nu le-au epuizat, încălcând regula enunțată la art. 35 § 1 din Convenție.</w:t>
      </w:r>
    </w:p>
    <w:p w:rsidR="00BF6A5D" w:rsidRPr="00BF6A5D" w:rsidRDefault="00BF6A5D" w:rsidP="00BF6A5D">
      <w:pPr>
        <w:pStyle w:val="JuHa0"/>
      </w:pPr>
      <w:bookmarkStart w:id="79" w:name="_Toc177058410"/>
      <w:r>
        <w:t>Guvernul Elveției</w:t>
      </w:r>
      <w:bookmarkEnd w:id="79"/>
    </w:p>
    <w:p w:rsidR="00BF6A5D" w:rsidRPr="00BF6A5D" w:rsidRDefault="00D340B2" w:rsidP="00BF6A5D">
      <w:pPr>
        <w:pStyle w:val="JuPara"/>
      </w:pPr>
      <w:fldSimple w:instr=" SEQ level0 \*arabic \* MERGEFORMAT ">
        <w:r w:rsidR="00BF6A5D" w:rsidRPr="00BF6A5D">
          <w:t>117</w:t>
        </w:r>
      </w:fldSimple>
      <w:r w:rsidR="00BF6A5D">
        <w:t>.  Guvernul Elveției susține că reclamanții solicită Curții, în esență, să se erijeze în instanță supremă pentru mediu, ceea ce aceasta nu poate fi, rolul său constând în interpretarea drepturilor și libertăților consacrate de Convenție. De asemenea, este de părere că o judiciarizare a proceselor având ca obiect controlul schimbărilor climatice nu era adecvată și ridica o serie de dificultăți în ceea ce privește separarea puterilor și principiul subsidiarității.</w:t>
      </w:r>
    </w:p>
    <w:p w:rsidR="00BF6A5D" w:rsidRPr="00BF6A5D" w:rsidRDefault="00BF6A5D" w:rsidP="00BF6A5D">
      <w:pPr>
        <w:pStyle w:val="JuHa0"/>
      </w:pPr>
      <w:bookmarkStart w:id="80" w:name="_Toc177058411"/>
      <w:r>
        <w:t>Guvernul Turciei</w:t>
      </w:r>
      <w:bookmarkEnd w:id="80"/>
    </w:p>
    <w:p w:rsidR="00BF6A5D" w:rsidRPr="00BF6A5D" w:rsidRDefault="00D340B2" w:rsidP="00BF6A5D">
      <w:pPr>
        <w:pStyle w:val="JuPara"/>
      </w:pPr>
      <w:fldSimple w:instr=" SEQ level0 \*arabic \* MERGEFORMAT ">
        <w:r w:rsidR="00BF6A5D" w:rsidRPr="00BF6A5D">
          <w:t>118</w:t>
        </w:r>
      </w:fldSimple>
      <w:r w:rsidR="00BF6A5D">
        <w:t>.  În măsura în care reclamanții urmăresc stabilirea jurisdicției sau responsabilității Turciei pentru nerespectarea limitei de 1,5°C prevăzute de Acordul de la Paris, Guvernul Turciei arată că țara sa nu era parte la acordul respectiv nici în momentul incendiilor care au avut loc în Portugalia în 2017, nici în momentul în care reclamanții au depus cererea la Curte. Prin urmare, Turcia nu putea avea nicio responsabilitate în temeiul acestui acord la momentul faptelor. Turcia nu este parte la Convenția de la Aarhus și nu are obligații în temeiul niciunuia dintre instrumentele juridice ale Uniunii Europene (UE). Contribuția istorică a Turciei la emisiile de GES este neglijabilă. Nu se poate afirma că Turcia are capacitatea materială de acțiune invocată de reclamanți în raport cu o eventuală jurisdicție extrateritorială.</w:t>
      </w:r>
    </w:p>
    <w:p w:rsidR="00BF6A5D" w:rsidRPr="00BF6A5D" w:rsidRDefault="00D340B2" w:rsidP="00BF6A5D">
      <w:pPr>
        <w:pStyle w:val="JuPara"/>
      </w:pPr>
      <w:fldSimple w:instr=" SEQ level0 \*arabic \* MERGEFORMAT ">
        <w:r w:rsidR="00BF6A5D" w:rsidRPr="00BF6A5D">
          <w:t>119</w:t>
        </w:r>
      </w:fldSimple>
      <w:r w:rsidR="00BF6A5D">
        <w:t xml:space="preserve">.  Guvernul Turciei susține că reclamanții din prezenta cauză se referă la efectele grave și daunele catastrofale ale schimbărilor climatice și nu își stabilesc calitatea lor de victime individuale, astfel cum impune jurisprudența Curții, și că, prin urmare, cererea acestora reprezintă o </w:t>
      </w:r>
      <w:r w:rsidR="00BF6A5D">
        <w:rPr>
          <w:i/>
          <w:iCs/>
        </w:rPr>
        <w:t>actio popularis</w:t>
      </w:r>
      <w:r w:rsidR="00BF6A5D">
        <w:t>.</w:t>
      </w:r>
    </w:p>
    <w:p w:rsidR="00BF6A5D" w:rsidRPr="00BF6A5D" w:rsidRDefault="00BF6A5D" w:rsidP="00BF6A5D">
      <w:pPr>
        <w:pStyle w:val="JuHA"/>
      </w:pPr>
      <w:bookmarkStart w:id="81" w:name="_Toc177058412"/>
      <w:r>
        <w:t>Reclamanții</w:t>
      </w:r>
      <w:bookmarkEnd w:id="81"/>
    </w:p>
    <w:p w:rsidR="00BF6A5D" w:rsidRPr="00BF6A5D" w:rsidRDefault="00BF6A5D" w:rsidP="00BF6A5D">
      <w:pPr>
        <w:pStyle w:val="JuH1"/>
      </w:pPr>
      <w:bookmarkStart w:id="82" w:name="_Toc177058413"/>
      <w:r>
        <w:t>Remarci generale</w:t>
      </w:r>
      <w:bookmarkEnd w:id="82"/>
    </w:p>
    <w:p w:rsidR="00BF6A5D" w:rsidRPr="00BF6A5D" w:rsidRDefault="00D340B2" w:rsidP="00BF6A5D">
      <w:pPr>
        <w:pStyle w:val="JuPara"/>
      </w:pPr>
      <w:fldSimple w:instr=" SEQ level0 \*arabic \* MERGEFORMAT ">
        <w:r w:rsidR="00BF6A5D" w:rsidRPr="00BF6A5D">
          <w:t>120</w:t>
        </w:r>
      </w:fldSimple>
      <w:r w:rsidR="00BF6A5D">
        <w:t>.  Potrivit reclamanților, Convenția este în măsură să răspundă provocărilor imense pe care amenințarea existențială legată de schimbările climatice le reprezintă pentru protecția celor mai fundamentale drepturi ale omului și că prezenta cauză intră cu adevărat în domeniul de aplicare al drepturilor garantate de Convenție. Afirmă că încearcă pur și simplu să aplice principiile consacrate care decurg din Convenție în cazul circumstanțelor excepționale ale schimbărilor climatice. Consideră că protecția efectivă a drepturilor lor care rezultă din Convenție împotriva amenințărilor legate de schimbările climatice necesită așa ceva, mai ales că Portugalia (unde locuiesc) este una dintre țările din Europa cele mai afectate de schimbările climatice.</w:t>
      </w:r>
    </w:p>
    <w:p w:rsidR="00BF6A5D" w:rsidRPr="00BF6A5D" w:rsidRDefault="00BF6A5D" w:rsidP="00BF6A5D">
      <w:pPr>
        <w:pStyle w:val="JuH1"/>
      </w:pPr>
      <w:bookmarkStart w:id="83" w:name="_Toc177058414"/>
      <w:r>
        <w:t>Cu privire la jurisdicție</w:t>
      </w:r>
      <w:bookmarkEnd w:id="83"/>
    </w:p>
    <w:bookmarkStart w:id="84" w:name="paragraph0012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121</w:t>
      </w:r>
      <w:r w:rsidRPr="00BF6A5D">
        <w:fldChar w:fldCharType="end"/>
      </w:r>
      <w:bookmarkEnd w:id="84"/>
      <w:r>
        <w:t xml:space="preserve">.  Potrivit reclamanților, nu există nicio îndoială că s-a stabilit jurisdicția teritorială a Portugaliei. În ceea ce privește celelalte state pârâte, situația de fapt nu corespunde într-adevăr niciuneia dintre cauzele în care Curtea a stabilit existența unei jurisdicții extrateritoriale. Prin urmare, este necesar să se examineze principiile de bază ale noțiunii de jurisdicție care au fost dezvoltate, în special, în cauze precum </w:t>
      </w:r>
      <w:r>
        <w:rPr>
          <w:i/>
          <w:iCs/>
        </w:rPr>
        <w:t>Banković și alții</w:t>
      </w:r>
      <w:r>
        <w:t xml:space="preserve"> (decizie citată anterior), </w:t>
      </w:r>
      <w:r>
        <w:rPr>
          <w:i/>
          <w:iCs/>
        </w:rPr>
        <w:t>Al-Skeini și alții</w:t>
      </w:r>
      <w:r>
        <w:t xml:space="preserve"> (hotărâre citată anterior) și </w:t>
      </w:r>
      <w:r>
        <w:rPr>
          <w:i/>
          <w:iCs/>
        </w:rPr>
        <w:t>H.F. și alții împotriva Franței</w:t>
      </w:r>
      <w:r>
        <w:t xml:space="preserve"> (hotărâre citată anterior). În speță, jurisdicția extrateritorială s-a stabilit în sensul că, în circumstanțele excepționale ale cererii, emisiile statelor pârâte și/sau nereglementarea/nelimitarea emisiilor lor au efecte în afara teritoriului lor și astfel aduc reclamanții în sfera lor de jurisdicție.</w:t>
      </w:r>
    </w:p>
    <w:bookmarkStart w:id="85" w:name="paragraph12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122</w:t>
      </w:r>
      <w:r w:rsidRPr="00BF6A5D">
        <w:fldChar w:fldCharType="end"/>
      </w:r>
      <w:bookmarkEnd w:id="85"/>
      <w:r>
        <w:t xml:space="preserve">.  Jurisdicția extrateritorială ar putea fi stabilită în circumstanțe excepționale în cazul în care exista o legătură faptică și/sau juridică suficientă. Prin urmare, era cert că actele statelor care au fost săvârșite sau care produc efecte în afara teritoriului lor puteau să constituie exercitarea de către acestea a jurisdicției lor (reclamanții citează, printre altele, </w:t>
      </w:r>
      <w:r>
        <w:rPr>
          <w:i/>
          <w:iCs/>
        </w:rPr>
        <w:t>M.N. și alții împotriva Belgiei</w:t>
      </w:r>
      <w:r>
        <w:t xml:space="preserve">, decizie citată anterior, pct. 113). Desigur, până în prezent, nici daunele aduse mediului transfrontaliere, nici schimbările climatice nu se numără printre circumstanțele excepționale în discuție. Totuși, lista acestor excepții nu este exhaustivă și poate să evolueze [reclamanții fac trimitere la </w:t>
      </w:r>
      <w:r>
        <w:rPr>
          <w:i/>
          <w:iCs/>
        </w:rPr>
        <w:t>Georgia împotriva Rusiei (II)</w:t>
      </w:r>
      <w:r>
        <w:t>, citată anterior, pct. 114].</w:t>
      </w:r>
    </w:p>
    <w:bookmarkStart w:id="86" w:name="paragraph00125"/>
    <w:p w:rsidR="00BF6A5D" w:rsidRPr="00BF6A5D" w:rsidRDefault="00BF6A5D" w:rsidP="00BF6A5D">
      <w:pPr>
        <w:pStyle w:val="JuPara"/>
      </w:pPr>
      <w:r w:rsidRPr="00BF6A5D">
        <w:lastRenderedPageBreak/>
        <w:fldChar w:fldCharType="begin"/>
      </w:r>
      <w:r w:rsidRPr="00BF6A5D">
        <w:instrText xml:space="preserve"> SEQ level0 \*arabic \* MERGEFORMAT </w:instrText>
      </w:r>
      <w:r w:rsidRPr="00BF6A5D">
        <w:fldChar w:fldCharType="separate"/>
      </w:r>
      <w:r w:rsidRPr="00BF6A5D">
        <w:t>123</w:t>
      </w:r>
      <w:r w:rsidRPr="00BF6A5D">
        <w:fldChar w:fldCharType="end"/>
      </w:r>
      <w:bookmarkEnd w:id="86"/>
      <w:r>
        <w:t>.  Reclamanții susțin că întrebarea esențială care se ridică în prezenta cauză este dacă există o legătură suficientă între stat și persoana particulară pentru a concluziona în sensul existenței unui temei pentru stabilirea jurisdicției. Susțin că o astfel de analiză se bazează pe o serie de factori – care trebuie luați în considerare în mod cumulativ – legați de faptele particulare ale unei anumite cauze. Consideră că problemele de jurisdicție în litigiu ar putea fi examinate în speță în stadiul aprecierii fondului și că trebuie avut în vedere faptul că aceștia invocă existența unui temei pentru stabilirea jurisdicției numai pentru un număr foarte limitat de obligații pozitive de a lua măsuri care, în opinia lor, țin de puterea statelor de a reglementa și/sau de a limita emisiile lor.</w:t>
      </w:r>
    </w:p>
    <w:bookmarkStart w:id="87" w:name="paragraph00126"/>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124</w:t>
      </w:r>
      <w:r w:rsidRPr="00BF6A5D">
        <w:fldChar w:fldCharType="end"/>
      </w:r>
      <w:bookmarkEnd w:id="87"/>
      <w:r>
        <w:t>.  În ceea ce privește factorii pentru stabilirea jurisdicției statelor pârâte, reclamanții susțin, mai întâi, că circumstanțele specifice schimbărilor climatice pledează în favoarea constatării jurisdicției, pe care Curtea ar putea să o stabilească limitând această constatare la spațiul juridic al Convenției. Consideră că mai multe argumente susțin o astfel de constatare. Susțin, printre altele, următoarele: a) schimbările climatice au o dimensiune multilaterală și este responsabilitatea tuturor statelor să ia măsuri pentru limitarea încălzirii globale; b) gravitatea efectelor schimbărilor climatice atinge deja un nivel semnificativ și ar atinge un nivel catastrofic dacă încălzirea globală ar depăși 1,5°C; c) ei înșiși nu dispun de alte mijloace de a trage la răspundere statele pârâte sau de a preveni efectele schimbărilor climatice asupra drepturilor lor care decurg din Convenție; și d) statele trebuie să ia măsuri pentru a realiza reduceri semnificative și rapide ale emisiilor până în 2030 pentru a se asigura că există încă speranța de a menține încălzirea globală la 1,5°C și de a evita consecințele cele mai grave pentru drepturile lor care decurg din Convenție.</w:t>
      </w:r>
    </w:p>
    <w:bookmarkStart w:id="88" w:name="paragraph00127"/>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125</w:t>
      </w:r>
      <w:r w:rsidRPr="00BF6A5D">
        <w:fldChar w:fldCharType="end"/>
      </w:r>
      <w:bookmarkEnd w:id="88"/>
      <w:r>
        <w:t>.  În al doilea rând, reclamanții susțin că posibilitatea de a introduce o cerere împotriva Portugaliei nu este suficientă în sine și nu ar putea avea decât o relevanță limitată. În special, susțin că așteptarea ca reclamanți corespunzători din fiecare stat să depună cereri cu ambiții comparabile pentru a verifica limitele obligațiilor statului lor teritorial în materie de schimbări climatice este fundamental incompatibilă cu necesitatea unei acțiuni rapide de reducere a emisiilor și de clarificare a sferei de aplicare a obligațiilor statelor. De asemenea, este necesară evitarea unui vid în ceea ce privește protecția drepturilor și libertăților în cadrul spațiului juridic al Convenției, așa că ar fi nepotrivită constatarea unui temei pentru stabilirea jurisdicției numai în ceea ce privește Portugalia, având în vedere, pe de o parte, partea relativă a emisiilor de GES ale Portugaliei și, pe de altă parte, faptul că gravitatea efectelor schimbărilor climatice, capacitățile de adaptare și vulnerabilitatea diferă de la o țară europeană la alta.</w:t>
      </w:r>
    </w:p>
    <w:bookmarkStart w:id="89" w:name="paragraph00128"/>
    <w:bookmarkStart w:id="90" w:name="paragraph128"/>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126</w:t>
      </w:r>
      <w:r w:rsidRPr="00BF6A5D">
        <w:fldChar w:fldCharType="end"/>
      </w:r>
      <w:bookmarkEnd w:id="89"/>
      <w:bookmarkEnd w:id="90"/>
      <w:r>
        <w:t xml:space="preserve">.  În al treilea rând, reclamanții arată că există o legătură suficientă între statele pârâte și ei înșiși pentru a duce la constatarea existenței unui temei pentru stabilirea jurisdicției. Această constatare nu se întemeiază </w:t>
      </w:r>
      <w:r>
        <w:lastRenderedPageBreak/>
        <w:t xml:space="preserve">exclusiv pe un concept cauzal de jurisdicție. Se bazează pe circumstanțele specifice schimbărilor climatice și pe factori de previzibilitate, cunoaștere, durată și capacitate. Criteriul referitor la existența unor „circumstanțe specifice” se aplică atât obligațiilor materiale, cât și celor procedurale. Curtea a admis recent relevanța generală a acestuia în hotărârea </w:t>
      </w:r>
      <w:r>
        <w:rPr>
          <w:i/>
          <w:iCs/>
        </w:rPr>
        <w:t>H.F. și alții împotriva Franței</w:t>
      </w:r>
      <w:r>
        <w:t xml:space="preserve"> (citată anterior). În speță, considerațiile referitoare la acest criteriu se bazează pe următoarele elemente:</w:t>
      </w:r>
    </w:p>
    <w:p w:rsidR="00BF6A5D" w:rsidRPr="00BF6A5D" w:rsidRDefault="00BF6A5D" w:rsidP="00BF6A5D">
      <w:pPr>
        <w:pStyle w:val="JuPara"/>
      </w:pPr>
      <w:r>
        <w:t>a)   Statele pârâte exercită un control asupra intereselor reclamanților protejate de Convenție și acesta ar fi criteriul relevant care trebuie luat în considerare.</w:t>
      </w:r>
    </w:p>
    <w:p w:rsidR="00BF6A5D" w:rsidRPr="00BF6A5D" w:rsidRDefault="00BF6A5D" w:rsidP="00BF6A5D">
      <w:pPr>
        <w:pStyle w:val="JuPara"/>
      </w:pPr>
      <w:r>
        <w:t xml:space="preserve">b)   Emisiile statelor și nereglementarea/nelimitarea de către state a acestor emisii contribuie în mod semnificativ la riscul de încălzire globală și, prin urmare, există o legătură de cauzalitate între activitățile statelor pârâte și efectele suferite de reclamanți (care ar fi confirmată, printre altele, de decizia CDC pronunțată în cauza </w:t>
      </w:r>
      <w:r>
        <w:rPr>
          <w:i/>
          <w:iCs/>
        </w:rPr>
        <w:t>Sacchi și alții</w:t>
      </w:r>
      <w:r>
        <w:t>). În plus, având în vedere efectele care rezultă de aici asupra drepturilor reclamanților și dimensiunea multilaterală a schimbărilor climatice, statul teritorial și statele extrateritoriale se află în același raport de cauzalitate în ceea ce privește drepturile reclamanților în legătură cu daunele care pot fi cauzate de neadoptarea de către acestea a unor măsuri pentru reducerea emisiilor și adoptarea unor măsuri de atenuare.</w:t>
      </w:r>
    </w:p>
    <w:p w:rsidR="00BF6A5D" w:rsidRPr="00BF6A5D" w:rsidRDefault="00BF6A5D" w:rsidP="00BF6A5D">
      <w:pPr>
        <w:pStyle w:val="JuPara"/>
      </w:pPr>
      <w:r>
        <w:t>c)   Pretinsele efecte asupra drepturilor reclamanților erau previzibile pentru statele pârâte și/sau cunoscute sau preconizate de acestea.</w:t>
      </w:r>
    </w:p>
    <w:p w:rsidR="00BF6A5D" w:rsidRPr="00BF6A5D" w:rsidRDefault="00BF6A5D" w:rsidP="00BF6A5D">
      <w:pPr>
        <w:pStyle w:val="JuPara"/>
      </w:pPr>
      <w:r>
        <w:t>d)   Pretinsele efecte asupra reclamanților sunt de durată.</w:t>
      </w:r>
    </w:p>
    <w:p w:rsidR="00BF6A5D" w:rsidRPr="00BF6A5D" w:rsidRDefault="00BF6A5D" w:rsidP="00BF6A5D">
      <w:pPr>
        <w:pStyle w:val="JuPara"/>
      </w:pPr>
      <w:r>
        <w:t>e)   Pretinsele efecte asupra reclamanților rezultă din activitățile desfășurate pe teritoriile și/sau sub controlul statelor pârâte.</w:t>
      </w:r>
    </w:p>
    <w:p w:rsidR="00BF6A5D" w:rsidRPr="00BF6A5D" w:rsidRDefault="00BF6A5D" w:rsidP="00BF6A5D">
      <w:pPr>
        <w:pStyle w:val="JuPara"/>
      </w:pPr>
      <w:r>
        <w:t>f)   Protecția intereselor reclamanților impune tuturor statelor pârâte să ia măsurile care țin de puterea lor de a reglementa/limita emisiile lor.</w:t>
      </w:r>
    </w:p>
    <w:p w:rsidR="00BF6A5D" w:rsidRPr="00BF6A5D" w:rsidRDefault="00BF6A5D" w:rsidP="00BF6A5D">
      <w:pPr>
        <w:pStyle w:val="JuPara"/>
      </w:pPr>
      <w:r>
        <w:t>g)   Normele de drept internațional relevante și abordările adoptate de alte organisme internaționale pentru drepturile omului militează pentru – și sunt în concordanță cu – constatarea existenței jurisdicției.</w:t>
      </w:r>
    </w:p>
    <w:p w:rsidR="00BF6A5D" w:rsidRPr="00BF6A5D" w:rsidRDefault="00D340B2" w:rsidP="00BF6A5D">
      <w:pPr>
        <w:pStyle w:val="JuPara"/>
      </w:pPr>
      <w:fldSimple w:instr=" SEQ level0 \*arabic \* MERGEFORMAT ">
        <w:r w:rsidR="00BF6A5D" w:rsidRPr="00BF6A5D">
          <w:t>127</w:t>
        </w:r>
      </w:fldSimple>
      <w:r w:rsidR="00BF6A5D">
        <w:t xml:space="preserve">.  În ședință, reclamanții au prezentat elementele care, în opinia lor, justificau constatarea jurisdicției extrateritoriale. Astfel, aceștia au invocat următoarele: a) schimbările climatice au o dimensiune multilaterală (statele pârâte contribuie în mod concret la schimbările climatice și, prin urmare, îi expun unui risc de prejudicii; b) statele pârâte exercită control în speță (asupra emisiilor de GES și asupra intereselor reclamanților protejate de Convenție); c) există o legătură de cauzalitate între comportamentul statelor pârâte și încălcările drepturilor lor (emisiile de GES ale statelor pârâte contribuie în mod semnificativ la agravarea schimbărilor climatice, iar efectele emisiilor fiecărui stat pârât are aceeași legătură de cauzalitate cu consecințele asupra drepturilor reclamanților); d) situația în litigiu este cunoscută și previzibilă (statele pârâte puteau să prevadă efectele schimbărilor climatice asupra drepturilor reclamanților de mai multe decenii); e) capacitatea este partajată </w:t>
      </w:r>
      <w:r w:rsidR="00BF6A5D">
        <w:lastRenderedPageBreak/>
        <w:t>între state (Portugalia de una singură nu are capacitatea de a proteja drepturile reclamanților care decurg din Convenție); f) este important, pe de o parte, să se asigure o protecție efectivă a drepturilor omului și, pe de altă parte, să se evite un vid juridic în cadrul spațiului juridic al Convenției; și g) trebuie garantată coerența evoluției dreptului internațional în ceea ce privește schimbările climatice și drepturile fundamentale.</w:t>
      </w:r>
    </w:p>
    <w:p w:rsidR="00BF6A5D" w:rsidRPr="00BF6A5D" w:rsidRDefault="00BF6A5D" w:rsidP="00BF6A5D">
      <w:pPr>
        <w:pStyle w:val="JuH1"/>
      </w:pPr>
      <w:bookmarkStart w:id="91" w:name="_Toc177058415"/>
      <w:r>
        <w:t>Cu privire la epuizarea căilor de atac interne</w:t>
      </w:r>
      <w:bookmarkEnd w:id="91"/>
    </w:p>
    <w:p w:rsidR="00BF6A5D" w:rsidRPr="00BF6A5D" w:rsidRDefault="00D340B2" w:rsidP="00BF6A5D">
      <w:pPr>
        <w:pStyle w:val="JuPara"/>
      </w:pPr>
      <w:fldSimple w:instr=" SEQ level0 \*arabic \* MERGEFORMAT ">
        <w:r w:rsidR="00BF6A5D" w:rsidRPr="00BF6A5D">
          <w:t>128</w:t>
        </w:r>
      </w:fldSimple>
      <w:r w:rsidR="00BF6A5D">
        <w:t>.  Reclamanții susțin că nu sunt obligați să epuizeze căile de atac interne. Argumentează că fie statele pârâte nu dispun de căi de atac efective, fie anumite circumstanțe speciale îi scutesc de această obligație. Aceștia își întemeiază argumentele pe următoarele puncte.</w:t>
      </w:r>
    </w:p>
    <w:bookmarkStart w:id="92" w:name="paragraph131"/>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129</w:t>
      </w:r>
      <w:r w:rsidRPr="00BF6A5D">
        <w:fldChar w:fldCharType="end"/>
      </w:r>
      <w:bookmarkEnd w:id="92"/>
      <w:r>
        <w:t>.  În primul rând, reclamanții susțin că Curtea trebuie să ia în considerare natura specifică a capetelor lor de cerere, și anume că statele pârâte, în opinia lor, le-au încălcat drepturile care le revin în temeiul art. 2, 3, 8 și 14 din Convenție prin faptul că nu și-au reglementat și nu și-au limitat emisiile într-un mod compatibil cu atingerea obiectivului de 1,5°C. În opinia lor, căile de atac ar fi, prin urmare, efective și capabile să ofere reparații numai dacă ar exista perspective rezonabile a) ca instanța națională să verifice dacă măsurile și obiectivele de reducere a emisiilor statelor pârâte sunt suficiente, astfel încât, dacă toate statele ar lua măsuri la fel de ambițioase, rezultatul ar fi compatibil cu atingerea obiectivului de 1,5°C și b) în caz contrar, ca instanța națională să dispună ca statele pârâte să asigure compatibilitatea reducerilor de emisii necesare cu acest obiectiv.</w:t>
      </w:r>
    </w:p>
    <w:p w:rsidR="00BF6A5D" w:rsidRPr="00BF6A5D" w:rsidRDefault="00D340B2" w:rsidP="00BF6A5D">
      <w:pPr>
        <w:pStyle w:val="JuPara"/>
      </w:pPr>
      <w:fldSimple w:instr=" SEQ level0 \*arabic \* MERGEFORMAT ">
        <w:r w:rsidR="00BF6A5D" w:rsidRPr="00BF6A5D">
          <w:t>130</w:t>
        </w:r>
      </w:fldSimple>
      <w:r w:rsidR="00BF6A5D">
        <w:t>.  În al doilea rând, reclamanții susțin că, în statele pârâte cu jurisprudență referitoare la acțiuni în materie de climă bazate pe drepturile omului sau la acțiuni comparabile, căile de atac disponibile nu sunt adecvate pentru soluționarea eficientă a plângerilor lor sau nu oferă perspective rezonabile în acest sens. În special, precizează următoarele:</w:t>
      </w:r>
    </w:p>
    <w:p w:rsidR="00BF6A5D" w:rsidRPr="00BF6A5D" w:rsidRDefault="00BF6A5D" w:rsidP="00BF6A5D">
      <w:pPr>
        <w:pStyle w:val="JuPara"/>
      </w:pPr>
      <w:r>
        <w:t>a)  Nu ar avea calitate procesuală în cauzele în materie de climă bazate pe drepturile omului în fața instanțelor britanice și elvețiene sau în fața Curții de Justiție a Uniunii Europene (CJUE) și, prin urmare, nu ar avea acces la căi de atac în fața instanțelor respective. În alte sisteme juridice, statul pârât este cel care are sarcina să demonstreze că reclamanții au calitate procesuală pentru a depune o plângere similară în fața instanțelor naționale, indiferent de locul lor de reședință.</w:t>
      </w:r>
    </w:p>
    <w:p w:rsidR="00BF6A5D" w:rsidRPr="00BF6A5D" w:rsidRDefault="00BF6A5D" w:rsidP="00BF6A5D">
      <w:pPr>
        <w:pStyle w:val="JuPara"/>
      </w:pPr>
      <w:r>
        <w:t>b)  Nu ar avea o perspectivă rezonabilă de succes în statele pârâte în care instanțele naționale au examinat pe fond cauzele în materie de climă bazate pe drepturile omului, dar au concluzionat că aceste state fie nu au obligații în raport cu Convenția, fie nu au încălcat nicio obligație în acest sens (reclamanții dau ca exemplu Austria, Irlanda, Norvegia).</w:t>
      </w:r>
    </w:p>
    <w:p w:rsidR="00BF6A5D" w:rsidRPr="00BF6A5D" w:rsidRDefault="00BF6A5D" w:rsidP="00BF6A5D">
      <w:pPr>
        <w:pStyle w:val="JuPara"/>
      </w:pPr>
      <w:r>
        <w:t xml:space="preserve">c)  În statele pârâte în care acțiunile în materie de climă au fost încununate de succes în mod oficial, căile de atac disponibile nu ar fi în măsură să le ofere reparații. Concluziile instanțelor naționale sunt limitate și insuficiente pentru </w:t>
      </w:r>
      <w:r>
        <w:lastRenderedPageBreak/>
        <w:t>a răspunde capetelor de cerere specifice formulate de aceștia (reclamanții dau ca exemplu Belgia, Franța, Germania, Irlanda, Republica Cehă și Țările de Jos). În realitate, căile de atac disponibile ofereau libertate de acțiune pentru a lăsa încălzirea să depășească în mod catastrofal limita de 1,5°C.</w:t>
      </w:r>
    </w:p>
    <w:p w:rsidR="00BF6A5D" w:rsidRPr="00BF6A5D" w:rsidRDefault="00BF6A5D" w:rsidP="00BF6A5D">
      <w:pPr>
        <w:pStyle w:val="JuPara"/>
      </w:pPr>
      <w:r>
        <w:t>Pe scurt, reclamanții susțin că jurisprudența fiecăruia dintre statele pârâte care au avut de soluționat cauze în materie de climă arată fie i) că instanțele naționale ar refuza pur și simplu să examineze aspectele esențiale ridicate de prezenta cauză motivându-și decizia prin lipsa calității procesuale, fie ii) că aceștia ar avea șanse reduse de succes, fie iii) că acele căi de atac care sunt disponibile nu ar fi suficiente ca reparații pentru capetele lor de cerere.</w:t>
      </w:r>
    </w:p>
    <w:bookmarkStart w:id="93" w:name="paragraph0013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131</w:t>
      </w:r>
      <w:r w:rsidRPr="00BF6A5D">
        <w:fldChar w:fldCharType="end"/>
      </w:r>
      <w:bookmarkEnd w:id="93"/>
      <w:r>
        <w:t>.  În al treilea rând, reclamanții consideră că, în statele pârâte care nu au o jurisprudență privind cauze în materie de climă bazate pe drepturile omului sau acțiuni echivalente (în special Portugalia), nu este suficient de sigur dacă eventualele căi de atac sunt efective și accesibile. Existența unor dispoziții constituționale ample care, în teorie, sunt capabile să ofere o cale de atac efectivă nu oferă, în practică, certitudine suficientă pentru a modifica această analiză. Aceștia argumentează în special că în Portugalia nu există o jurisprudență privind schimbările climatice și că obiectul jurisprudenței citate de Guvernul Portugaliei cu privire la aplicarea art. 66 din Constituție este departe de cel din prezenta cauză. Susțin, de asemenea, că Constituția conține numai dispoziții cu sens larg și general în acest context. Deși recunosc faptul că ar fi trebuit să verifice întinderea protecțiilor de altfel incerte în anumite cazuri, consideră că o astfel de obligație ar fi inadecvată în speță. Susțin în acest sens următoarele: i) nu au fost instituite noi căi de atac speciale; ii) măsurile de reducere a emisiilor trebuie adoptate în regim de urgență, astfel că protecția efectivă a drepturilor lor ar fi compromisă dacă ar fi obligați să verifice întinderea protecției oferite în fiecare stat pârât; și iii) chiar și în cazul verificării unei astfel de protecții, nu există niciun motiv să se presupună că ar fi disponibile căi de atac efective, având în vedere caracterul nou al litigiilor în materie de climă și ineficacitatea căilor de atac interne în toate celelalte state până în prezent. Consideră că poziția lor cu privire la problema epuizării căilor de atac interne în acest context este în concordanță cu jurisprudența Curții cu privire la art. 35 § 1 din Convenție, având în vedere în special faptul că problema epuizării căilor de atac interne trebuie să fie examinată în funcție de circumstanțele fiecărui caz particular.</w:t>
      </w:r>
    </w:p>
    <w:p w:rsidR="00BF6A5D" w:rsidRPr="00BF6A5D" w:rsidRDefault="00D340B2" w:rsidP="00BF6A5D">
      <w:pPr>
        <w:pStyle w:val="JuPara"/>
      </w:pPr>
      <w:fldSimple w:instr=" SEQ level0 \*arabic \* MERGEFORMAT ">
        <w:r w:rsidR="00BF6A5D" w:rsidRPr="00BF6A5D">
          <w:t>132</w:t>
        </w:r>
      </w:fldSimple>
      <w:r w:rsidR="00BF6A5D">
        <w:t>.  În al patrulea rând, reclamanții, care sunt copii și tineri, consideră că obligarea lor la epuizarea căilor de atac interne în fiecare dintre statele pârâte ar însemna să li se impună o sarcină nerezonabilă, având în vedere dificultățile logistice și financiare pe care le-ar implica un asemenea demers pentru ei, caracterul urgent al problemei și gravitatea situației.</w:t>
      </w:r>
    </w:p>
    <w:bookmarkStart w:id="94" w:name="paragraph00135"/>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133</w:t>
      </w:r>
      <w:r w:rsidRPr="00BF6A5D">
        <w:fldChar w:fldCharType="end"/>
      </w:r>
      <w:bookmarkEnd w:id="94"/>
      <w:r>
        <w:t xml:space="preserve">.  În al cincilea rând, compatibilitatea cu Convenția a măsurilor luate de statele pârâte pentru a aborda schimbările climatice este o problemă inedită și supranațională care impune Curții să furnizeze statelor contractante orientări cu privire la obligațiile lor în materie, cu respectarea principiului </w:t>
      </w:r>
      <w:r>
        <w:lastRenderedPageBreak/>
        <w:t>subsidiarității și a naturii controlului exercitat de aceasta. Argumentul potrivit căruia Curtea este sesizată cu o „avalanșă” de cauze este slăbit de efectul care ar fi produs de aceste orientări.</w:t>
      </w:r>
    </w:p>
    <w:p w:rsidR="00BF6A5D" w:rsidRPr="00BF6A5D" w:rsidRDefault="00D340B2" w:rsidP="00BF6A5D">
      <w:pPr>
        <w:pStyle w:val="JuPara"/>
      </w:pPr>
      <w:fldSimple w:instr=" SEQ level0 \*arabic \* MERGEFORMAT ">
        <w:r w:rsidR="00BF6A5D" w:rsidRPr="00BF6A5D">
          <w:t>134</w:t>
        </w:r>
      </w:fldSimple>
      <w:r w:rsidR="00BF6A5D">
        <w:t>.  În fine, în secundar, reclamanții susțin că motivele de mai sus constituie „circumstanțe speciale” care îi scutesc de regula epuizării căilor de atac interne.</w:t>
      </w:r>
    </w:p>
    <w:p w:rsidR="00BF6A5D" w:rsidRPr="00BF6A5D" w:rsidRDefault="00BF6A5D" w:rsidP="00BF6A5D">
      <w:pPr>
        <w:pStyle w:val="JuH1"/>
      </w:pPr>
      <w:bookmarkStart w:id="95" w:name="_Toc177058416"/>
      <w:r>
        <w:t>Cu privire la calitatea de victimă</w:t>
      </w:r>
      <w:bookmarkEnd w:id="95"/>
    </w:p>
    <w:p w:rsidR="00BF6A5D" w:rsidRPr="00BF6A5D" w:rsidRDefault="00D340B2" w:rsidP="00BF6A5D">
      <w:pPr>
        <w:pStyle w:val="JuPara"/>
      </w:pPr>
      <w:fldSimple w:instr=" SEQ level0 \*arabic \* MERGEFORMAT ">
        <w:r w:rsidR="00BF6A5D" w:rsidRPr="00BF6A5D">
          <w:t>135</w:t>
        </w:r>
      </w:fldSimple>
      <w:r w:rsidR="00BF6A5D">
        <w:t>.  Reclamanții consideră că sunt victime reale, afectate direct de pretinsele neîndepliniri ale obligațiilor ale statelor pârâte. Schimbările climatice antropice i-au expus deja și vor continua să îi expună unor prejudicii din ce în ce mai mari. În plus, consideră că sunt, de asemenea, potențiale victime și că au prezentat dovezi rezonabile și convingătoare cu privire la apariția probabilă a unor încălcări care i-ar afecta personal. Odată cu creșterea încălzirii globale, prejudiciile suferite de ei se vor agrava în mod inevitabil (</w:t>
      </w:r>
      <w:r w:rsidR="00BF6A5D">
        <w:rPr>
          <w:i/>
          <w:iCs/>
        </w:rPr>
        <w:t>a fortiori</w:t>
      </w:r>
      <w:r w:rsidR="00BF6A5D">
        <w:t xml:space="preserve">, dacă încălzirea ar depăși 1,5°C). Sunt expuși riscului de a suferii prejudicii suplimentare (în acest sens, se referă la elementele prezentate la pct. </w:t>
      </w:r>
      <w:r w:rsidR="00BF6A5D" w:rsidRPr="00BF6A5D">
        <w:fldChar w:fldCharType="begin"/>
      </w:r>
      <w:r w:rsidR="00BF6A5D" w:rsidRPr="00BF6A5D">
        <w:instrText xml:space="preserve"> REF paragraph00025 \h  \* CharFormat  \* MERGEFORMAT </w:instrText>
      </w:r>
      <w:r w:rsidR="00BF6A5D" w:rsidRPr="00BF6A5D">
        <w:fldChar w:fldCharType="separate"/>
      </w:r>
      <w:r w:rsidR="00BF6A5D" w:rsidRPr="00BF6A5D">
        <w:t>26</w:t>
      </w:r>
      <w:r w:rsidR="00BF6A5D" w:rsidRPr="00BF6A5D">
        <w:fldChar w:fldCharType="end"/>
      </w:r>
      <w:r w:rsidR="00BF6A5D">
        <w:t xml:space="preserve"> </w:t>
      </w:r>
      <w:r w:rsidR="00BF6A5D">
        <w:rPr>
          <w:i/>
          <w:iCs/>
        </w:rPr>
        <w:t>supra</w:t>
      </w:r>
      <w:r w:rsidR="00BF6A5D">
        <w:t>). Ei aparțin unei categorii specifice de populație care este afectată în mod deosebit de schimbările climatice.</w:t>
      </w:r>
    </w:p>
    <w:p w:rsidR="00BF6A5D" w:rsidRPr="00BF6A5D" w:rsidRDefault="00D340B2" w:rsidP="00BF6A5D">
      <w:pPr>
        <w:pStyle w:val="JuPara"/>
      </w:pPr>
      <w:fldSimple w:instr=" SEQ level0 \*arabic \* MERGEFORMAT ">
        <w:r w:rsidR="00BF6A5D" w:rsidRPr="00BF6A5D">
          <w:t>136</w:t>
        </w:r>
      </w:fldSimple>
      <w:r w:rsidR="00BF6A5D">
        <w:t>.  Reclamanții susțin că problema calității de victimă ar putea fi conexată cu fondul și că există o legătură directă între această calitate și aplicabilitatea dispozițiilor Convenției. În măsura în care se ridică problema cauzalității, aceștia consideră că au stabilit o legătură de cauzalitate suficientă între schimbările climatice și efectele prezente și viitoare asupra drepturilor lor în vederea examinării aspectelor legate de calitatea de victimă și de aplicabilitate, legătură despre care consideră că ar trebui luată în considerare de Curte având în vedere faptul că prezenta cauză are ca obiect obligațiile pozitive care decurg din Convenție pentru state.</w:t>
      </w:r>
    </w:p>
    <w:p w:rsidR="00BF6A5D" w:rsidRPr="00BF6A5D" w:rsidRDefault="00BF6A5D" w:rsidP="00BF6A5D">
      <w:pPr>
        <w:pStyle w:val="JuHA"/>
      </w:pPr>
      <w:bookmarkStart w:id="96" w:name="_Toc177058417"/>
      <w:r>
        <w:t>Terții intervenienți</w:t>
      </w:r>
      <w:bookmarkEnd w:id="96"/>
    </w:p>
    <w:p w:rsidR="00BF6A5D" w:rsidRPr="00BF6A5D" w:rsidRDefault="00BF6A5D" w:rsidP="00BF6A5D">
      <w:pPr>
        <w:pStyle w:val="JuH1"/>
      </w:pPr>
      <w:bookmarkStart w:id="97" w:name="_Toc177058418"/>
      <w:r>
        <w:t>Comisarul pentru Drepturile Omului al Consiliului Europei</w:t>
      </w:r>
      <w:bookmarkEnd w:id="97"/>
    </w:p>
    <w:p w:rsidR="00BF6A5D" w:rsidRPr="00BF6A5D" w:rsidRDefault="00D340B2" w:rsidP="00BF6A5D">
      <w:pPr>
        <w:pStyle w:val="JuPara"/>
      </w:pPr>
      <w:fldSimple w:instr=" SEQ level0 \*arabic \* MERGEFORMAT ">
        <w:r w:rsidR="00BF6A5D" w:rsidRPr="00BF6A5D">
          <w:t>137</w:t>
        </w:r>
      </w:fldSimple>
      <w:r w:rsidR="00BF6A5D">
        <w:t xml:space="preserve">.  Doamna comisar susține că mediul și drepturile omului sunt în mod clar interdependente și că un mediu care este nesănătos sau suferă în alt mod consecințele negative ale intervenției umane, inclusiv ale schimbărilor climatice, poate duce la încălcări ale drepturilor fundamentale pentru cei care locuiesc acolo. Degradarea mediului și, în special, schimbările climatice pot afecta dreptul la viață, dreptul la viață privată și de familie, dreptul de a nu fi supus unor tratamente inumane ori degradante, precum și interzicerea discriminării. Schimbările climatice au, de asemenea, un impact puternic asupra unei serii de drepturi sociale, economice și culturale. Daunele aduse mediului afectează în mod disproporționat copiii, fapt recunoscut de mult timp de comunitatea internațională. Schimbările climatice condamnă mulți </w:t>
      </w:r>
      <w:r w:rsidR="00BF6A5D">
        <w:lastRenderedPageBreak/>
        <w:t>copii la o viață grea, iar tinerii, întrucât rareori au posibilitatea de a participa la procesele politice de luare a deciziilor, au adesea oportunități limitate atunci când vine vorba de schimbarea cursului evenimentelor în materie de schimbări climatice. Un număr tot mai mare de tineri suferă de anxietate existențială și de anxietate legată de climă.</w:t>
      </w:r>
    </w:p>
    <w:p w:rsidR="00BF6A5D" w:rsidRPr="00BF6A5D" w:rsidRDefault="00D340B2" w:rsidP="00BF6A5D">
      <w:pPr>
        <w:pStyle w:val="JuPara"/>
      </w:pPr>
      <w:fldSimple w:instr=" SEQ level0 \*arabic \* MERGEFORMAT ">
        <w:r w:rsidR="00BF6A5D" w:rsidRPr="00BF6A5D">
          <w:t>138</w:t>
        </w:r>
      </w:fldSimple>
      <w:r w:rsidR="00BF6A5D">
        <w:t>.  Doamna comisar consideră că schimbările climatice reprezintă o cauză deosebit de gravă și un rezultat deosebit de grav al degradării mediului imputabile activității oamenilor. Acest fenomen a atras atenția organismelor din domeniul apărării drepturilor omului din cauza efectelor lui transfrontaliere grave asupra capacității popoarelor de a duce o viață sigură, sănătoasă și demnă. Este esențial ca tinerii afectați de schimbările climatice să fie ascultați și să aibă acces la justiție. În câteva state membre, instanțele învestite cu soluționarea unor litigii în materie de climă au recunoscut că schimbările climatice implică încălcări ale drepturilor fundamentale, ceea ce ar fi un lucru pozitiv. Totuși, victimele încălcărilor drepturilor fundamentale cauzate de schimbările climatice se confruntă cu multe obstacole care le împiedică să beneficieze de căi de atac efective în țările lor respective. Această situație se explică prin faptul că instanțele judecătorești și alte organisme naționale de control au tendința de a acționa în mod izolat, concentrându-se asupra contextului național, apreciind consecințele instrumentelor și politicilor interne în materie de schimbări climatice asupra propriilor populații și ignorând adesea efectele lor asupra persoanelor care locuiesc în altă parte. Instanțele naționale trag la răspundere statele pentru acțiunile lor în legătură cu angajamentele lor în materie de climă cu cel mai redus nivel de obligativitate. Schimbările climatice sunt o problemă transnațională care necesită soluții transnaționale coerente.</w:t>
      </w:r>
    </w:p>
    <w:bookmarkStart w:id="98" w:name="paragraph141"/>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139</w:t>
      </w:r>
      <w:r w:rsidRPr="00BF6A5D">
        <w:fldChar w:fldCharType="end"/>
      </w:r>
      <w:bookmarkEnd w:id="98"/>
      <w:r>
        <w:t>.  Doamna comisar consideră că, din cauza naturii lor transfrontaliere, încălcările drepturilor omului legate de climă nu pot fi atribuite unei anumite entități sau unui anumit stat. A afirmat anterior că efectele poluării produse în Europa asupra drepturilor fundamentale ale persoanelor care trăiesc în altă parte nu ar trebui trecute cu vederea. Același lucru este valabil și în ceea ce privește competența Curții. Având în vedere caracterul global și transfrontalier al schimbărilor climatice, statele părți nu pot permite continuarea emisiilor de GES fără a ține seama de consecințele acestora asupra drepturilor locuitorilor din alte state membre. Această idee, în special necesitatea de a integra exporturile de combustibili fosili în contribuțiile statelor la emisii, a fost preluată de apărătorii drepturilor omului din domeniul mediului în discuțiile pe care le-a purtat cu aceștia. Statele au fost deja trase la răspundere pentru nivelurile lor de emisii într-un context internațional și transfrontalier, în special atunci când aceste niveluri au fost asociate cu încălcarea tratatelor internaționale</w:t>
      </w:r>
      <w:r w:rsidRPr="00BF6A5D">
        <w:rPr>
          <w:vertAlign w:val="superscript"/>
        </w:rPr>
        <w:footnoteReference w:id="21"/>
      </w:r>
      <w:r>
        <w:t>.</w:t>
      </w:r>
    </w:p>
    <w:p w:rsidR="00BF6A5D" w:rsidRPr="00BF6A5D" w:rsidRDefault="00D340B2" w:rsidP="00BF6A5D">
      <w:pPr>
        <w:pStyle w:val="JuPara"/>
      </w:pPr>
      <w:fldSimple w:instr=" SEQ level0 \*arabic \* MERGEFORMAT ">
        <w:r w:rsidR="00BF6A5D" w:rsidRPr="00BF6A5D">
          <w:t>140</w:t>
        </w:r>
      </w:fldSimple>
      <w:r w:rsidR="00BF6A5D">
        <w:t>.  Doamna comisar consideră că, având în vedere în special caracterul transfrontalier al încălcărilor, victimele schimbărilor climatice nu au întotdeauna acces la căi de atac interne, cel puțin nu la căi de atac efective și adecvate. În cazul în care persoanele se adresează Curții, acestea procedează astfel tocmai pentru că nu pot obține dreptate în țara lor. Accesul la justiție rămâne o preocupare esențială deoarece, în lipsa unei căi de atac adecvate, protecția drepturilor omului în Europa de astăzi ar prezenta un decalaj major. Schimbările climatice nu sunt în concordanță cu normele tradiționale ale dreptului internațional, bazate pe suveranitatea teritorială și jurisdicția națională. Aceasta constituie o problemă transfrontalieră care necesită soluții transfrontaliere. Această constatare se aplică și repercusiunilor asupra drepturilor omului pe care le au efectele nefaste ale schimbărilor climatice.</w:t>
      </w:r>
    </w:p>
    <w:p w:rsidR="00BF6A5D" w:rsidRPr="00BF6A5D" w:rsidRDefault="00D340B2" w:rsidP="00BF6A5D">
      <w:pPr>
        <w:pStyle w:val="JuPara"/>
      </w:pPr>
      <w:fldSimple w:instr=" SEQ level0 \*arabic \* MERGEFORMAT ">
        <w:r w:rsidR="00BF6A5D" w:rsidRPr="00BF6A5D">
          <w:t>141</w:t>
        </w:r>
      </w:fldSimple>
      <w:r w:rsidR="00BF6A5D">
        <w:t>.  Doamna comisar susține că au apărut recent semne clare că eforturile de protejare a dreptului fundamental la un mediu de viață curat, sănătos și durabil trebuie intensificate pentru ca acest drept să existe în practică și să fie efectiv. Aceasta se referă, în special, la rezoluția privind dreptul la un mediu curat, sănătos și durabil, adoptată de Adunarea Generală a ONU la 28 iulie 2022 (documentul nr. A/RES/76/300) și la Recomandarea CM/Rec(2022)20 privind drepturile omului și protecția mediului, adoptată de Comitetul de Miniștri al Consiliului Europei la 27 septembrie 2022.</w:t>
      </w:r>
    </w:p>
    <w:p w:rsidR="00BF6A5D" w:rsidRPr="00BF6A5D" w:rsidRDefault="00BF6A5D" w:rsidP="00BF6A5D">
      <w:pPr>
        <w:pStyle w:val="JuH1"/>
      </w:pPr>
      <w:bookmarkStart w:id="99" w:name="_Toc177058419"/>
      <w:r>
        <w:t>Uniunea Europeană</w:t>
      </w:r>
      <w:bookmarkEnd w:id="99"/>
    </w:p>
    <w:p w:rsidR="00BF6A5D" w:rsidRPr="00BF6A5D" w:rsidRDefault="00D340B2" w:rsidP="00BF6A5D">
      <w:pPr>
        <w:pStyle w:val="JuPara"/>
      </w:pPr>
      <w:fldSimple w:instr=" SEQ level0 \*arabic \* MERGEFORMAT ">
        <w:r w:rsidR="00BF6A5D" w:rsidRPr="00BF6A5D">
          <w:t>142</w:t>
        </w:r>
      </w:fldSimple>
      <w:r w:rsidR="00BF6A5D">
        <w:t xml:space="preserve">.  În numele Uniunii Europene („UE”), Comisia Europeană face precizări cu privire la principiile care reglementează executarea, la nivelul UE, a obligațiilor care îi revin în temeiul Acordului de la Paris. Aceasta afirmă că politica UE în domeniul climei și cadrul legislativ actual, precum și evoluția </w:t>
      </w:r>
      <w:r w:rsidR="00BF6A5D">
        <w:rPr>
          <w:i/>
          <w:iCs/>
        </w:rPr>
        <w:t>acquis</w:t>
      </w:r>
      <w:r w:rsidR="00BF6A5D">
        <w:t>-ului UE, sunt în conformitate cu obligațiile UE în temeiul Acordului de la Paris și chiar mai ample decât acestea, respectând în același timp pe deplin principiile precauției și egalității între generații. Pentru Comisia Europeană, nivelul de protecție a drepturilor omului în materie de mediu în Uniunea Europeană este echivalent cu cel oferit de Convenție.</w:t>
      </w:r>
    </w:p>
    <w:p w:rsidR="00BF6A5D" w:rsidRPr="00BF6A5D" w:rsidRDefault="00BF6A5D" w:rsidP="00BF6A5D">
      <w:pPr>
        <w:pStyle w:val="JuH1"/>
      </w:pPr>
      <w:bookmarkStart w:id="100" w:name="_Toc177058420"/>
      <w:r>
        <w:t>Raportorul special al ONU privind drepturile omului și mediu, precum și Raportorul special al ONU privind substanțele toxice și drepturile omului</w:t>
      </w:r>
      <w:bookmarkEnd w:id="100"/>
    </w:p>
    <w:p w:rsidR="00BF6A5D" w:rsidRPr="00BF6A5D" w:rsidRDefault="00D340B2" w:rsidP="00BF6A5D">
      <w:pPr>
        <w:pStyle w:val="JuPara"/>
      </w:pPr>
      <w:fldSimple w:instr=" SEQ level0 \*arabic \* MERGEFORMAT ">
        <w:r w:rsidR="00BF6A5D" w:rsidRPr="00BF6A5D">
          <w:t>143</w:t>
        </w:r>
      </w:fldSimple>
      <w:r w:rsidR="00BF6A5D">
        <w:t xml:space="preserve">.  Intervenienții au considerat că urgența climatică are diverse efecte negative asupra exercitării efective a drepturilor omului. Copiii sunt deosebit de vulnerabili la efectele nefaste ale schimbărilor climatice. Daunele transfrontaliere aduse mediului pot da naștere unor obligații extrateritoriale în materie de drepturi ale omului pentru statul care exercită controlul asupra sursei unor astfel de daune. Această abordare decurge din practicile Curții </w:t>
      </w:r>
      <w:r w:rsidR="00BF6A5D">
        <w:lastRenderedPageBreak/>
        <w:t>Interamericane a Drepturilor Omului</w:t>
      </w:r>
      <w:r w:rsidR="00BF6A5D" w:rsidRPr="00BF6A5D">
        <w:rPr>
          <w:vertAlign w:val="superscript"/>
        </w:rPr>
        <w:footnoteReference w:id="22"/>
      </w:r>
      <w:r w:rsidR="00BF6A5D">
        <w:t xml:space="preserve"> și ale diferitelor organisme ale ONU</w:t>
      </w:r>
      <w:r w:rsidR="00BF6A5D" w:rsidRPr="00BF6A5D">
        <w:rPr>
          <w:vertAlign w:val="superscript"/>
        </w:rPr>
        <w:footnoteReference w:id="23"/>
      </w:r>
      <w:r w:rsidR="00BF6A5D">
        <w:t>. Aceasta este deosebit de importantă pentru a permite angajarea răspunderii în litigiile referitoare la schimbările climatice care implică responsabilități individuale și colective ale statului.</w:t>
      </w:r>
    </w:p>
    <w:p w:rsidR="00BF6A5D" w:rsidRPr="00BF6A5D" w:rsidRDefault="00BF6A5D" w:rsidP="00BF6A5D">
      <w:pPr>
        <w:pStyle w:val="JuH1"/>
      </w:pPr>
      <w:bookmarkStart w:id="101" w:name="_Toc177058421"/>
      <w:r>
        <w:t>Rețeaua Europeană a Instituțiilor Naționale pentru Drepturile Omului (European Network of National Human Rights Institutions - ENNHRI)</w:t>
      </w:r>
      <w:bookmarkEnd w:id="101"/>
    </w:p>
    <w:p w:rsidR="00BF6A5D" w:rsidRPr="00BF6A5D" w:rsidRDefault="00D340B2" w:rsidP="00BF6A5D">
      <w:pPr>
        <w:pStyle w:val="JuPara"/>
      </w:pPr>
      <w:fldSimple w:instr=" SEQ level0 \*arabic \* MERGEFORMAT ">
        <w:r w:rsidR="00BF6A5D" w:rsidRPr="00BF6A5D">
          <w:t>144</w:t>
        </w:r>
      </w:fldSimple>
      <w:r w:rsidR="00BF6A5D">
        <w:t>.  Intervenienta consideră în special că, în sensul art. 2 și 8 din Convenție, jurisdicția conform art. 1 include daunele aduse climei care afectează teritoriul unui stat contractant. Este irelevant faptul că astfel de încălcări se datorează, de asemenea, emisiilor altor state și entități – întrucât încălcările Convenției pot fi imputabile mai multor state – precum și unor factori parțial în afara jurisdicției statului în discuție. În dreptul internațional, fiecare stat poate fi considerat responsabil pentru comportamentul care îi este imputabil. Există o jurisprudență emergentă la nivel național și internațional din care reiese că statele pot fi trase la răspundere pentru daunele la care au contribuit emisiile sau politicile lor. Jurisdicția unui stat cuprinde toate emisiile care intră sub controlul său efectiv sau ar trebui, cel puțin, să includă daunele teritoriale cauzate de arderea emisiilor de combustibili fosili extrași din solul lui. Acest lucru este o consecință a particularităților extracției de combustibili fosili. Includerea, în sensul art. 1 din Convenție, a emisiilor de ardere exportate ar fi în concordanță cu regimul în materie de climă al ONU, cu care ar trebui să se armonizeze interpretarea Convenției.</w:t>
      </w:r>
    </w:p>
    <w:p w:rsidR="00BF6A5D" w:rsidRPr="00BF6A5D" w:rsidRDefault="00D340B2" w:rsidP="00BF6A5D">
      <w:pPr>
        <w:pStyle w:val="JuPara"/>
      </w:pPr>
      <w:fldSimple w:instr=" SEQ level0 \*arabic \* MERGEFORMAT ">
        <w:bookmarkStart w:id="102" w:name="paragraph147"/>
        <w:r w:rsidR="00BF6A5D" w:rsidRPr="00BF6A5D">
          <w:t>145</w:t>
        </w:r>
        <w:bookmarkEnd w:id="102"/>
      </w:fldSimple>
      <w:r w:rsidR="00BF6A5D">
        <w:t xml:space="preserve">.  Intervenienta susține că particularitățile schimbărilor climatice ar putea justifica extinderea, dincolo de principiul teritorialității, a unei jurisdicții (în sensul art. 1) divizate și adaptate. În cazul cererilor introduse de reclamanți cu reședința în state contractante, extrateritorialitatea ar putea fi stabilită. S-ar ridica problema contribuției active a statului la prejudicii care ar afecta, într-un mod rezonabil de previzibil, persoane aflate în afara frontierelor sale. În virtutea acestor principii, extrateritorialitatea nu ar avea ca efect să confere Convenției caracter universal și nelimitat, ci să o limiteze la spațiul său juridic și ar putea viza numai anumite obligații specifice, cum ar fi obligația procedurală de a evalua consecințele emisiilor care intră sub controlul efectiv al statului. Astfel, statele contractante nu ar putea scăpa de </w:t>
      </w:r>
      <w:r w:rsidR="00BF6A5D">
        <w:lastRenderedPageBreak/>
        <w:t>obligația de a răspunde pentru încălcările drepturilor omului care au loc pe teritoriul deja reglementat de Convenție. Consecința ar fi crearea între statele contractante a unei unități și a unei înțelegeri comune a drepturilor omului în domeniul schimbărilor climatice. În baza principiului de a nu prejudicia (</w:t>
      </w:r>
      <w:r w:rsidR="00BF6A5D">
        <w:rPr>
          <w:i/>
        </w:rPr>
        <w:t>no-harm principle</w:t>
      </w:r>
      <w:r w:rsidR="00BF6A5D">
        <w:t>), jurisdicția extrateritorială s-ar limita la caracteristicile fundamental transfrontaliere ale emisiilor de GES și de alți poluanți. Pe scurt, jurisdicția unui stat contractant ar fi stabilită dacă acest stat ar fi autorizat emisii transfrontaliere semnificative de GES de natură să afecteze drepturile persoanelor aflate pe teritoriul altor state contractante.</w:t>
      </w:r>
    </w:p>
    <w:bookmarkStart w:id="103" w:name="lt_pId0148"/>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146</w:t>
      </w:r>
      <w:r w:rsidRPr="00BF6A5D">
        <w:fldChar w:fldCharType="end"/>
      </w:r>
      <w:bookmarkEnd w:id="103"/>
      <w:r>
        <w:t>.  În ceea ce privește calitatea de victimă, intervenienta consideră că tinerii și copiii pot fi afectați fizic de valurile de căldură și de incendiile de pădure, dar că vătămarea sănătății mintale, cum ar fi anxietatea legată de climă, ar putea fi suficientă pentru a demonstra că au fost afectați direct în sensul art. 34. Se deduce din jurisprudența Curții că, în orice caz, nu este necesar să se prezinte dovezi medicale cu privire la o vătămare a sănătății cauzată de poluare pentru a-i recunoaște unui reclamant calitatea de victimă, iar Curtea să concluzioneze că art. 8 este aplicabil. Spre deosebire de adulți, copiii și tinerii au mai puține posibilități de a-și apăra cu fermitate propriile interese și depind în mod deosebit de instanțele judecătorești pentru a obține respectarea drepturilor lor înainte de epuizarea bugetului de carbon final relevant. Certitudinea că daunele climatice sunt latente și faptul că este posibil să se prevină încălzirea potențial ireversibilă militează pentru o interpretare neformalistă a art. 34 pentru a asigura caracterul efectiv al drepturilor. Există o serie de dovezi convingătoare că în viitor vor exista daune aduse mediului și, prin urmare, este posibil ca și copiii să fie victime potențiale.</w:t>
      </w:r>
    </w:p>
    <w:p w:rsidR="00BF6A5D" w:rsidRPr="00BF6A5D" w:rsidRDefault="00BF6A5D" w:rsidP="00BF6A5D">
      <w:pPr>
        <w:pStyle w:val="JuH1"/>
      </w:pPr>
      <w:bookmarkStart w:id="104" w:name="_Toc177058422"/>
      <w:r>
        <w:t>Save the Children International</w:t>
      </w:r>
      <w:bookmarkEnd w:id="104"/>
    </w:p>
    <w:p w:rsidR="00BF6A5D" w:rsidRPr="00BF6A5D" w:rsidRDefault="00D340B2" w:rsidP="00BF6A5D">
      <w:pPr>
        <w:pStyle w:val="JuPara"/>
      </w:pPr>
      <w:fldSimple w:instr=" SEQ level0 \*arabic \* MERGEFORMAT ">
        <w:r w:rsidR="00BF6A5D" w:rsidRPr="00BF6A5D">
          <w:t>147</w:t>
        </w:r>
      </w:fldSimple>
      <w:r w:rsidR="00BF6A5D">
        <w:t>.  Potrivit afirmațiilor intervenientei, copiii sunt grupul cel mai vulnerabil în orice criză, inclusiv cea a schimbărilor climatice. Având în vedere gravitatea consecințelor acestui fenomen asupra copiilor și importanța drepturilor lor aflate în joc, Curtea nu trebuie să aplice un criteriu excesiv de exigent în ceea ce privește chestiuni precum admisibilitatea sau sarcina și nivelul probei. Interesul superior al copilului, precum și drepturile sale materiale și procedurale ar trebui să aibă prioritate în procesul decizional, iar nerespectarea acestora ar fi contrară dreptului internațional, inclusiv Convenției. Nevoia de a proteja drepturile copiilor este imediată și profundă, având în vedere natura sistemică a amenințării reprezentate de schimbările climatice și efectele negative de mare amploare ale acestora asupra celor mai vulnerabili.</w:t>
      </w:r>
    </w:p>
    <w:p w:rsidR="00BF6A5D" w:rsidRPr="00BF6A5D" w:rsidRDefault="00BF6A5D" w:rsidP="00BF6A5D">
      <w:pPr>
        <w:pStyle w:val="JuH1"/>
      </w:pPr>
      <w:bookmarkStart w:id="105" w:name="_Toc177058423"/>
      <w:r>
        <w:t>Climate Action Network Europe (CAN-E)</w:t>
      </w:r>
      <w:bookmarkEnd w:id="105"/>
    </w:p>
    <w:bookmarkStart w:id="106" w:name="paragraph00150"/>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148</w:t>
      </w:r>
      <w:r w:rsidRPr="00BF6A5D">
        <w:fldChar w:fldCharType="end"/>
      </w:r>
      <w:bookmarkEnd w:id="106"/>
      <w:r>
        <w:t xml:space="preserve">.  Intervenienta susține în special că este necesar să se facă deosebirea între, pe de o parte, jurisdicția aferentă efectelor transfrontaliere ale emisiilor </w:t>
      </w:r>
      <w:r>
        <w:lastRenderedPageBreak/>
        <w:t xml:space="preserve">provenite de pe teritoriul unui stat și, pe de altă parte, jurisdicția aferentă emisiilor provenite din teritorii externe imputabile unui stat de origine, precum cele provenite de la combustibili fosili importați dintr-un alt stat. Curtea ar trebui să ia în considerare o altă categorie de jurisdicție teritorială. Aceasta s-ar întemeia pe un „regim </w:t>
      </w:r>
      <w:r>
        <w:rPr>
          <w:i/>
          <w:iCs/>
        </w:rPr>
        <w:t>de facto</w:t>
      </w:r>
      <w:r>
        <w:t xml:space="preserve"> limitat (</w:t>
      </w:r>
      <w:r>
        <w:rPr>
          <w:i/>
        </w:rPr>
        <w:t xml:space="preserve">qualified </w:t>
      </w:r>
      <w:r>
        <w:t>de facto</w:t>
      </w:r>
      <w:r>
        <w:rPr>
          <w:i/>
        </w:rPr>
        <w:t xml:space="preserve"> regime</w:t>
      </w:r>
      <w:r>
        <w:t xml:space="preserve">) cauzator de daune transfrontaliere”. Această noțiune se referă la o situație în care ingerințele </w:t>
      </w:r>
      <w:r>
        <w:rPr>
          <w:i/>
          <w:iCs/>
        </w:rPr>
        <w:t>de facto</w:t>
      </w:r>
      <w:r>
        <w:t xml:space="preserve"> își au originea în statul responsabil, pot fi controlate de acesta și au efecte transfrontaliere grave, durabile și previzibile și în care statul pe teritoriul căruia aceste efecte sunt resimțite nu se poate proteja. O astfel de concepție a jurisdicției ar putea fi recunoscută ca o componentă a spațiului juridic al Convenției și a ordinii sale publice europene. În subsidiar, art. 1 din Convenție ar putea fi interpretat în sensul că impune existența unei jurisdicții numai în prezența unor obligații pozitive (nu a unor obligații negative).</w:t>
      </w:r>
    </w:p>
    <w:p w:rsidR="00BF6A5D" w:rsidRPr="00BF6A5D" w:rsidRDefault="00D340B2" w:rsidP="00BF6A5D">
      <w:pPr>
        <w:pStyle w:val="JuPara"/>
      </w:pPr>
      <w:fldSimple w:instr=" SEQ level0 \*arabic \* MERGEFORMAT ">
        <w:r w:rsidR="00BF6A5D" w:rsidRPr="00BF6A5D">
          <w:t>149</w:t>
        </w:r>
      </w:fldSimple>
      <w:r w:rsidR="00BF6A5D">
        <w:t xml:space="preserve">.  Intervenienta consideră că aplicarea drepturilor fundamentale în situații în care emisiile au fost cauzate în străinătate se lasă așteptată. În realitate, nu există nicio îndoială că emisiunile au efecte importante asupra titularilor de drepturi individuale, indiferent dacă aceștia au reședința sau nu în statul responsabil. Atribuirea către un stat decurge din faptul că majoritatea activităților de emitere fac obiectul regimurilor de autorizare ale statului. Din acest punct de vedere, jurisdicția în sensul art. 1 ar putea fi stabilită fie în cadrul „regimului </w:t>
      </w:r>
      <w:r w:rsidR="00BF6A5D">
        <w:rPr>
          <w:i/>
          <w:iCs/>
        </w:rPr>
        <w:t>de facto</w:t>
      </w:r>
      <w:r w:rsidR="00BF6A5D">
        <w:t xml:space="preserve"> cauzator de daune transfrontaliere”, fie în raport cu emisiile statului respectiv.</w:t>
      </w:r>
    </w:p>
    <w:p w:rsidR="00BF6A5D" w:rsidRPr="00BF6A5D" w:rsidRDefault="00D340B2" w:rsidP="00BF6A5D">
      <w:pPr>
        <w:pStyle w:val="JuPara"/>
      </w:pPr>
      <w:fldSimple w:instr=" SEQ level0 \*arabic \* MERGEFORMAT ">
        <w:r w:rsidR="00BF6A5D" w:rsidRPr="00BF6A5D">
          <w:t>150</w:t>
        </w:r>
      </w:fldSimple>
      <w:r w:rsidR="00BF6A5D">
        <w:t>.  Potrivit intervenientei, căile de atac naționale pentru a depune plângeri cu privire la măsurile de combatere a schimbărilor climatice în ansamblu sunt rare. O modalitate bună de a face acest lucru ar fi urmărirea scopului de stabilire de către state a unor obiective globale ambițioase de reducere a emisiilor de GES. Atunci când astfel de obiective sunt cuprinse într-un act legislativ, anumite state, precum Portugalia, oferă în special posibilitatea de a introduce o cerere de control jurisdicțional direct în fața instanțelor competente. Totuși, accesul la o instanță este supus unor condiții stricte de calitate procesuală și, în majoritatea cazurilor, este posibil numai după epuizarea altor căi de atac. Potrivit intervenientei, căile de atac disponibile în sistemele juridice naționale nu sunt efective. Este ceva obișnuit ca guvernele respective să conteste admisibilitatea acțiunilor în materie de climă introduse la nivel național.</w:t>
      </w:r>
    </w:p>
    <w:p w:rsidR="00BF6A5D" w:rsidRPr="00BF6A5D" w:rsidRDefault="00BF6A5D" w:rsidP="00BF6A5D">
      <w:pPr>
        <w:pStyle w:val="JuH1"/>
      </w:pPr>
      <w:bookmarkStart w:id="107" w:name="_Toc177058424"/>
      <w:r>
        <w:lastRenderedPageBreak/>
        <w:t>Extraterritorial Obligations Consortium (ETO), Amnesty International, Centrul pentru Studii Juridice și Sociale (</w:t>
      </w:r>
      <w:r>
        <w:rPr>
          <w:i w:val="0"/>
        </w:rPr>
        <w:t>Centro de Estudios Legales y Sociales</w:t>
      </w:r>
      <w:r>
        <w:t>), Center for Transnational Environmental Accountability („CTEA”), Economic and Social Rights Centre (Hakijamii), FIAN International, Great Lakes Initiative for Human Rights and Development („GLIHD”), profesorii universitari Mark Gibney, Sigrun Skogly, Wouter Vandenhole și Jingjing Zhang, profesorii doctori Gamze Erdem Türkelli, Nicolás Carillo-Santarelli, Jernej Letnar Černič, Tom Mulisa, Nicholas Orago și Sara Seck și Grupul de cercetare în drept și dezvoltare al Universității din Anvers</w:t>
      </w:r>
      <w:bookmarkEnd w:id="107"/>
    </w:p>
    <w:p w:rsidR="00BF6A5D" w:rsidRPr="00BF6A5D" w:rsidRDefault="00D340B2" w:rsidP="00BF6A5D">
      <w:pPr>
        <w:pStyle w:val="JuPara"/>
      </w:pPr>
      <w:fldSimple w:instr=" SEQ level0 \*arabic \* MERGEFORMAT ">
        <w:r w:rsidR="00BF6A5D" w:rsidRPr="00BF6A5D">
          <w:t>151</w:t>
        </w:r>
      </w:fldSimple>
      <w:r w:rsidR="00BF6A5D">
        <w:t>.  Potrivit intervenienților, este evident că locuitorii unui stat contractant se află sub jurisdicția acestuia în sensul art. 1 din Convenție. Există două considerații în favoarea concluziei că emisiile de GES provenite de la alte părți contractante aduc locuitorii în cauză și sub jurisdicția respectivelor părți contractante.</w:t>
      </w:r>
    </w:p>
    <w:p w:rsidR="00BF6A5D" w:rsidRPr="00BF6A5D" w:rsidRDefault="00D340B2" w:rsidP="00BF6A5D">
      <w:pPr>
        <w:pStyle w:val="JuPara"/>
      </w:pPr>
      <w:fldSimple w:instr=" SEQ level0 \*arabic \* MERGEFORMAT ">
        <w:r w:rsidR="00BF6A5D" w:rsidRPr="00BF6A5D">
          <w:t>152</w:t>
        </w:r>
      </w:fldSimple>
      <w:r w:rsidR="00BF6A5D">
        <w:t>.  Intervenienții explică, în primul rând, faptul că schimbările climatice ridică probleme unice legate de daunele transfrontaliere și de preocupările comune. Este vorba de o situație în care drepturile reclamanților sunt responsabilitatea fiecărei părți contractante, cu condiția ca acestea să permită emisii de GES sau conduite care agravează emisiile în alte state, emisii care cauzează în mod previzibil încălcări ale drepturilor omului atât pe plan intern, cât și transfrontalier, în mod continuu și pe termen lung. Dacă reclamanții ar trebui considerați ca aflați sub jurisdicția exclusivă a statului în care își au reședința, ar rezulta de aici un vid în ceea ce privește protecția drepturilor omului. În al doilea rând, aplicarea extrateritorială a Convenției este susținută de o interpretare a Convenției în conformitate cu evoluțiile de la nivel internațional.</w:t>
      </w:r>
    </w:p>
    <w:p w:rsidR="00BF6A5D" w:rsidRPr="00BF6A5D" w:rsidRDefault="00BF6A5D" w:rsidP="00BF6A5D">
      <w:pPr>
        <w:pStyle w:val="JuH1"/>
      </w:pPr>
      <w:bookmarkStart w:id="108" w:name="_Toc177058425"/>
      <w:r>
        <w:t>Center for International Environmental Law, Greenpeace International și Union of Concerned Scientists</w:t>
      </w:r>
      <w:bookmarkEnd w:id="108"/>
    </w:p>
    <w:p w:rsidR="00BF6A5D" w:rsidRPr="00BF6A5D" w:rsidRDefault="00D340B2" w:rsidP="00BF6A5D">
      <w:pPr>
        <w:pStyle w:val="JuPara"/>
      </w:pPr>
      <w:fldSimple w:instr=" SEQ level0 \*arabic \* MERGEFORMAT ">
        <w:r w:rsidR="00BF6A5D" w:rsidRPr="00BF6A5D">
          <w:t>153</w:t>
        </w:r>
      </w:fldSimple>
      <w:r w:rsidR="00BF6A5D">
        <w:t>.  Intervenienții subliniază importanța angajamentelor asumate de state în temeiul UNFCCC și al Acordului de la Paris, precum și necesitatea ca statele să respecte limita de încălzire de 1,5°C în conformitate cu obligațiile care le revin în temeiul Convenției.</w:t>
      </w:r>
    </w:p>
    <w:p w:rsidR="00BF6A5D" w:rsidRPr="00BF6A5D" w:rsidRDefault="00BF6A5D" w:rsidP="00BF6A5D">
      <w:pPr>
        <w:pStyle w:val="JuH1"/>
      </w:pPr>
      <w:bookmarkStart w:id="109" w:name="_Toc177058426"/>
      <w:r>
        <w:t>International Network for Economic, Social and Cultural Rights („ESCR-Net”)</w:t>
      </w:r>
      <w:bookmarkEnd w:id="109"/>
    </w:p>
    <w:p w:rsidR="00BF6A5D" w:rsidRPr="00BF6A5D" w:rsidRDefault="00D340B2" w:rsidP="00BF6A5D">
      <w:pPr>
        <w:pStyle w:val="JuPara"/>
      </w:pPr>
      <w:fldSimple w:instr=" SEQ level0 \*arabic \* MERGEFORMAT ">
        <w:r w:rsidR="00BF6A5D" w:rsidRPr="00BF6A5D">
          <w:t>154</w:t>
        </w:r>
      </w:fldSimple>
      <w:r w:rsidR="00BF6A5D">
        <w:t xml:space="preserve">.  Intervenienta subliniază impactul crizei schimbărilor climatice asupra drepturilor la un mediu sănătos și a drepturilor economice, sociale și culturale conexe, precum și asupra dreptului la viață. Schimbările climatice afectează în mod disproporționat persoanele și comunitățile marginalizate. Statele au obligația de a stabili un cadru juridic pentru a preveni încălcările </w:t>
      </w:r>
      <w:r w:rsidR="00BF6A5D">
        <w:lastRenderedPageBreak/>
        <w:t>drepturilor omului cauzate de daunele aduse mediului și de schimbările climatice.</w:t>
      </w:r>
    </w:p>
    <w:p w:rsidR="00BF6A5D" w:rsidRPr="00BF6A5D" w:rsidRDefault="00BF6A5D" w:rsidP="00BF6A5D">
      <w:pPr>
        <w:pStyle w:val="JuH1"/>
      </w:pPr>
      <w:bookmarkStart w:id="110" w:name="_Toc177058427"/>
      <w:r>
        <w:t>Proiectul de cercetare ALL-YOUTH și Grupul de cercetare în drept public al Universității din Tampere</w:t>
      </w:r>
      <w:bookmarkEnd w:id="110"/>
    </w:p>
    <w:p w:rsidR="00BF6A5D" w:rsidRPr="00BF6A5D" w:rsidRDefault="00D340B2" w:rsidP="00BF6A5D">
      <w:pPr>
        <w:pStyle w:val="JuPara"/>
      </w:pPr>
      <w:fldSimple w:instr=" SEQ level0 \*arabic \* MERGEFORMAT ">
        <w:r w:rsidR="00BF6A5D" w:rsidRPr="00BF6A5D">
          <w:t>155</w:t>
        </w:r>
      </w:fldSimple>
      <w:r w:rsidR="00BF6A5D">
        <w:t>.  Intervenientul consideră că există un consens internațional cu privire la existența efectelor nefaste ale schimbărilor climatice asupra drepturilor omului și că Curtea ar trebui să țină seama de acest aspect în cadrul examinării prezentei cereri. Schimbările climatice afectează foarte grav populațiile din țările în curs de dezvoltare și copiii și vor afecta generațiile viitoare. În acest context, copiii și tinerii se află într-o situație vulnerabilă. Schimbările climatice fac parte din responsabilitatea extrateritorială. Problema principală în această privință trebuie să fie descurajarea eludării drepturilor. Un stat ar putea fi tras la răspundere dacă ar cauza cu bună știință daune transfrontaliere sau dacă nu ar exercita controlul asupra entităților private care desfășoară activități extrateritoriale. Pragul pentru răspunderea în materie de mediu înconjurător ar trebui să fie mai mic. Curtea ar trebui să utilizeze tehnica „diferențierii” și să aplice jurisprudența sa actuală în materie de jurisdicție extrateritorială în noul context al schimbărilor climatice.</w:t>
      </w:r>
    </w:p>
    <w:p w:rsidR="00BF6A5D" w:rsidRPr="00BF6A5D" w:rsidRDefault="00BF6A5D" w:rsidP="00BF6A5D">
      <w:pPr>
        <w:pStyle w:val="JuH1"/>
      </w:pPr>
      <w:r>
        <w:t>  </w:t>
      </w:r>
      <w:bookmarkStart w:id="111" w:name="_Toc177058428"/>
      <w:r>
        <w:t>Doamna profesor universitar Christel Cournil și Notre Affaire à Tous („NAAT”)</w:t>
      </w:r>
      <w:bookmarkEnd w:id="111"/>
    </w:p>
    <w:p w:rsidR="00BF6A5D" w:rsidRPr="00BF6A5D" w:rsidRDefault="00D340B2" w:rsidP="00BF6A5D">
      <w:pPr>
        <w:pStyle w:val="JuPara"/>
      </w:pPr>
      <w:fldSimple w:instr=" SEQ level0 \*arabic \* MERGEFORMAT ">
        <w:r w:rsidR="00BF6A5D" w:rsidRPr="00BF6A5D">
          <w:t>156</w:t>
        </w:r>
      </w:fldSimple>
      <w:r w:rsidR="00BF6A5D">
        <w:t>.  Intervenienții s-au referit la principiul conform căruia Convenția ar trebui interpretată în armonie cu alte izvoare de drept internațional, principiu care ar trebui să orienteze Curtea în elaborarea principiilor referitoare la obligațiile în temeiul Convenției pe care le au statele în materie de schimbări climatice. În acest context, marja de apreciere a statelor este limitată. Curtea ar trebui să examineze dacă statele pârâte au adoptat cu diligență măsurile teritoriale și extrateritoriale necesare pentru a proteja drepturile reclamanților care decurg din art. 2 și 8 din Convenție.</w:t>
      </w:r>
    </w:p>
    <w:p w:rsidR="00BF6A5D" w:rsidRPr="00BF6A5D" w:rsidRDefault="00BF6A5D" w:rsidP="00BF6A5D">
      <w:pPr>
        <w:pStyle w:val="JuH1"/>
      </w:pPr>
      <w:bookmarkStart w:id="112" w:name="_Toc177058429"/>
      <w:r>
        <w:t>Our Children’s Trust (OCT), Oxfam International și afiliații (Oxfam), Centre for Climate Repair din cadrul Universității din Cambridge și Centre for Child Law din cadrul Universității din Pretoria</w:t>
      </w:r>
      <w:bookmarkEnd w:id="112"/>
    </w:p>
    <w:p w:rsidR="00BF6A5D" w:rsidRPr="00BF6A5D" w:rsidRDefault="00D340B2" w:rsidP="00BF6A5D">
      <w:pPr>
        <w:pStyle w:val="JuPara"/>
      </w:pPr>
      <w:fldSimple w:instr=" SEQ level0 \*arabic \* MERGEFORMAT ">
        <w:r w:rsidR="00BF6A5D" w:rsidRPr="00BF6A5D">
          <w:t>157</w:t>
        </w:r>
      </w:fldSimple>
      <w:r w:rsidR="00BF6A5D">
        <w:t xml:space="preserve">.  Intervenienții consideră că deciziile Curții ar trebui să se bazeze pe cele mai bune și mai recente dovezi științifice disponibile, și anume: cele care furnizează cel mai înalt nivel de calitate, obiectivitate și integritate a informațiilor, inclusiv a informațiilor statistice; care se bazează pe date evaluate </w:t>
      </w:r>
      <w:r w:rsidR="00BF6A5D">
        <w:rPr>
          <w:i/>
          <w:iCs/>
        </w:rPr>
        <w:t>inter pares</w:t>
      </w:r>
      <w:r w:rsidR="00BF6A5D">
        <w:t xml:space="preserve"> și accesibile publicului; care documentează și expun în mod clar riscurile și incertitudinile dovezilor științifice pe care se bazează concluziile lor. Aceștia prezintă o imagine de ansamblu a datelor științifice pe care le consideră a fi cele mai bune disponibile în domeniul științei climei. Aceștia susțin în special că, potrivit unui consens științific din ce în ce mai </w:t>
      </w:r>
      <w:r w:rsidR="00BF6A5D">
        <w:lastRenderedPageBreak/>
        <w:t>mare, copiii sunt mai predispuși decât un adult mediu să sufere efecte negative asupra sănătății lor fizice și mintale ca urmare a schimbărilor climatice, ca de exemplu calitatea necorespunzătoare a aerului și valurile de căldură.</w:t>
      </w:r>
    </w:p>
    <w:p w:rsidR="00BF6A5D" w:rsidRPr="00BF6A5D" w:rsidRDefault="00BF6A5D" w:rsidP="00BF6A5D">
      <w:pPr>
        <w:pStyle w:val="JuHIRoman"/>
      </w:pPr>
      <w:bookmarkStart w:id="113" w:name="_Toc177058430"/>
      <w:r>
        <w:t>MOTIVAREA CURȚII</w:t>
      </w:r>
      <w:bookmarkEnd w:id="113"/>
    </w:p>
    <w:p w:rsidR="00BF6A5D" w:rsidRPr="00BF6A5D" w:rsidRDefault="00BF6A5D" w:rsidP="00BF6A5D">
      <w:pPr>
        <w:pStyle w:val="JuHA"/>
      </w:pPr>
      <w:bookmarkStart w:id="114" w:name="_Toc177058431"/>
      <w:r>
        <w:t>Chestiuni preliminare</w:t>
      </w:r>
      <w:bookmarkEnd w:id="114"/>
    </w:p>
    <w:p w:rsidR="00BF6A5D" w:rsidRPr="00BF6A5D" w:rsidRDefault="00BF6A5D" w:rsidP="00BF6A5D">
      <w:pPr>
        <w:pStyle w:val="JuH1"/>
      </w:pPr>
      <w:bookmarkStart w:id="115" w:name="_Toc177058432"/>
      <w:r>
        <w:t>Cererea îndreptată împotriva Ucrainei</w:t>
      </w:r>
      <w:bookmarkEnd w:id="115"/>
    </w:p>
    <w:p w:rsidR="00BF6A5D" w:rsidRPr="00BF6A5D" w:rsidRDefault="00D340B2" w:rsidP="00BF6A5D">
      <w:pPr>
        <w:pStyle w:val="JuPara"/>
      </w:pPr>
      <w:fldSimple w:instr=" SEQ level0 \*arabic \* MERGEFORMAT ">
        <w:r w:rsidR="00BF6A5D" w:rsidRPr="00BF6A5D">
          <w:t>158</w:t>
        </w:r>
      </w:fldSimple>
      <w:r w:rsidR="00BF6A5D">
        <w:t>.  La 18 noiembrie 2022, reclamanții, invocând „circumstanțele excepționale legate de războiul în curs” în Ucraina, au informat Curtea despre decizia lor de a-și retrage cererea în măsura în care se referă la acest stat. Scrisoarea reclamanților a fost transmisă Guvernului Ucrainei, care a răspuns că lasă la latitudinea Curții posibilitatea de a trage concluziile care se impun ca urmare a solicitării reclamanților de a retrage cererea formulată împotriva Ucrainei.</w:t>
      </w:r>
    </w:p>
    <w:p w:rsidR="00BF6A5D" w:rsidRPr="00BF6A5D" w:rsidRDefault="00D340B2" w:rsidP="00BF6A5D">
      <w:pPr>
        <w:pStyle w:val="JuPara"/>
      </w:pPr>
      <w:fldSimple w:instr=" SEQ level0 \*arabic \* MERGEFORMAT ">
        <w:r w:rsidR="00BF6A5D" w:rsidRPr="00BF6A5D">
          <w:t>159</w:t>
        </w:r>
      </w:fldSimple>
      <w:r w:rsidR="00BF6A5D">
        <w:t xml:space="preserve">.  O astfel de situație procedurală, în care un reclamant nu mai intenționează să își mențină cererea împotriva statului pârât, impune în mod normal scoaterea cauzei de pe rol în conformitate cu art. 37 § 1 lit. a) din Convenție (a se vedea, de exemplu, </w:t>
      </w:r>
      <w:r w:rsidR="00BF6A5D">
        <w:rPr>
          <w:i/>
          <w:iCs/>
        </w:rPr>
        <w:t>Sandu și alții împotriva Republicii Moldova și a Rusiei</w:t>
      </w:r>
      <w:r w:rsidR="00BF6A5D">
        <w:t>, nr. 21034/05 și alte 7, pct. 53-57, 17 iulie 2018), care este redactat după cum urmează:</w:t>
      </w:r>
    </w:p>
    <w:p w:rsidR="00BF6A5D" w:rsidRPr="00BF6A5D" w:rsidRDefault="00BF6A5D" w:rsidP="00BF6A5D">
      <w:pPr>
        <w:pStyle w:val="JuQuot"/>
      </w:pPr>
      <w:r>
        <w:t>„1.  În orice stadiu al procedurii, Curtea poate hotărî scoaterea de pe rol a unei cereri atunci când circumstanțele permit să se tragă concluzia că:</w:t>
      </w:r>
    </w:p>
    <w:p w:rsidR="00BF6A5D" w:rsidRPr="00BF6A5D" w:rsidRDefault="00BF6A5D" w:rsidP="00BF6A5D">
      <w:pPr>
        <w:pStyle w:val="JuQuot"/>
      </w:pPr>
      <w:r>
        <w:t>a)  solicitantul nu dorește să o mai mențină [...]</w:t>
      </w:r>
    </w:p>
    <w:p w:rsidR="00BF6A5D" w:rsidRPr="00BF6A5D" w:rsidRDefault="00BF6A5D" w:rsidP="00BF6A5D">
      <w:pPr>
        <w:pStyle w:val="JuQuot"/>
      </w:pPr>
      <w:r>
        <w:t>[...]</w:t>
      </w:r>
    </w:p>
    <w:p w:rsidR="00BF6A5D" w:rsidRPr="00BF6A5D" w:rsidRDefault="00BF6A5D" w:rsidP="00BF6A5D">
      <w:pPr>
        <w:pStyle w:val="JuQuot"/>
      </w:pPr>
      <w:r>
        <w:t>Totuși, Curtea continuă examinarea cererii dacă respectarea drepturilor omului garantate prin Convenție și prin Protocoalele sale o cere.</w:t>
      </w:r>
    </w:p>
    <w:p w:rsidR="00BF6A5D" w:rsidRPr="00BF6A5D" w:rsidRDefault="00BF6A5D" w:rsidP="00BF6A5D">
      <w:pPr>
        <w:pStyle w:val="JuQuot"/>
      </w:pPr>
      <w:r>
        <w:t>[...]”</w:t>
      </w:r>
    </w:p>
    <w:p w:rsidR="00BF6A5D" w:rsidRPr="00BF6A5D" w:rsidRDefault="00D340B2" w:rsidP="00BF6A5D">
      <w:pPr>
        <w:pStyle w:val="JuPara"/>
      </w:pPr>
      <w:fldSimple w:instr=" SEQ level0 \*arabic \* MERGEFORMAT ">
        <w:r w:rsidR="00BF6A5D" w:rsidRPr="00BF6A5D">
          <w:t>160</w:t>
        </w:r>
      </w:fldSimple>
      <w:r w:rsidR="00BF6A5D">
        <w:t>.  Ținând seama de motivele invocate de reclamanți în prezenta cauză și de faptul că toate problemele generale ridicate de prezenta cerere vor fi clarificate suficient în cursul examinării cererii în raport cu celelalte 32 de state pârâte, Curtea hotărăște că, în conformitate cu art. 37 § 1 lit. a) din Convenție, cererea trebuie scoasă de pe rol în măsura în care privește Ucraina.</w:t>
      </w:r>
    </w:p>
    <w:p w:rsidR="00BF6A5D" w:rsidRPr="00BF6A5D" w:rsidRDefault="00BF6A5D" w:rsidP="00BF6A5D">
      <w:pPr>
        <w:pStyle w:val="JuH1"/>
      </w:pPr>
      <w:bookmarkStart w:id="116" w:name="_Toc177058433"/>
      <w:r>
        <w:lastRenderedPageBreak/>
        <w:t>Cererea îndreptată împotriva Federației Ruse</w:t>
      </w:r>
      <w:bookmarkEnd w:id="116"/>
    </w:p>
    <w:p w:rsidR="00BF6A5D" w:rsidRPr="00BF6A5D" w:rsidRDefault="00D340B2" w:rsidP="00BF6A5D">
      <w:pPr>
        <w:pStyle w:val="JuPara"/>
      </w:pPr>
      <w:fldSimple w:instr=" SEQ level0 \*arabic \* MERGEFORMAT ">
        <w:r w:rsidR="00BF6A5D" w:rsidRPr="00BF6A5D">
          <w:t>161</w:t>
        </w:r>
      </w:fldSimple>
      <w:r w:rsidR="00BF6A5D">
        <w:t>.  Federația Rusă nu mai este membră a Consiliului Europei de la 16 martie 2022</w:t>
      </w:r>
      <w:r w:rsidR="00BF6A5D" w:rsidRPr="00BF6A5D">
        <w:rPr>
          <w:vertAlign w:val="superscript"/>
        </w:rPr>
        <w:footnoteReference w:id="24"/>
      </w:r>
      <w:r w:rsidR="00BF6A5D">
        <w:t xml:space="preserve"> și nu mai este parte la Convenție de la 16 septembrie 2022</w:t>
      </w:r>
      <w:r w:rsidR="00BF6A5D" w:rsidRPr="00BF6A5D">
        <w:rPr>
          <w:vertAlign w:val="superscript"/>
        </w:rPr>
        <w:footnoteReference w:id="25"/>
      </w:r>
      <w:r w:rsidR="00BF6A5D">
        <w:t>. În urma desesizării în favoarea Marii Camere, Guvernul pârât nu a prezentat observații. Prin urmare, se ridică problema competenței Curții de a soluționa prezenta cerere îndreptată împotriva Rusiei și cea a consecințelor neparticipării Guvernului la procedură.</w:t>
      </w:r>
    </w:p>
    <w:p w:rsidR="00BF6A5D" w:rsidRPr="00BF6A5D" w:rsidRDefault="00D340B2" w:rsidP="00BF6A5D">
      <w:pPr>
        <w:pStyle w:val="JuPara"/>
      </w:pPr>
      <w:fldSimple w:instr=" SEQ level0 \*arabic \* MERGEFORMAT ">
        <w:r w:rsidR="00BF6A5D" w:rsidRPr="00BF6A5D">
          <w:t>162</w:t>
        </w:r>
      </w:fldSimple>
      <w:r w:rsidR="00BF6A5D">
        <w:t>.  Cu privire la prima chestiune, Curtea a precizat că, în temeiul art. 58 din Convenție, rămâne competentă să soluționeze cererile împotriva Federației Ruse referitoare la actele și omisiunile de natură să constituie o încălcare a Convenției până la data de 16 septembrie 2022 [</w:t>
      </w:r>
      <w:r w:rsidR="00BF6A5D">
        <w:rPr>
          <w:i/>
          <w:iCs/>
        </w:rPr>
        <w:t>Fedotova și alții împotriva Rusiei</w:t>
      </w:r>
      <w:r w:rsidR="00BF6A5D">
        <w:t xml:space="preserve"> (MC), nr. 40792/10 și alte 2, pct. 71-72, 17 ianuarie 2023]. Totuși, consideră că, în cazurile în care cererea se referă la o chestiune care prezintă un element de continuitate, o „situație continuă” care persistă dincolo de data încetării intră în competența sa temporală doar pentru partea survenită înainte de data respectivă [</w:t>
      </w:r>
      <w:r w:rsidR="00BF6A5D">
        <w:rPr>
          <w:i/>
          <w:iCs/>
        </w:rPr>
        <w:t>Pivkina și alții împotriva Rusiei</w:t>
      </w:r>
      <w:r w:rsidR="00BF6A5D">
        <w:t xml:space="preserve"> (dec.), nr. 2134/23 și alte 6, pct. 61, 6 iunie 2023].</w:t>
      </w:r>
    </w:p>
    <w:bookmarkStart w:id="117" w:name="paragraph0015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163</w:t>
      </w:r>
      <w:r w:rsidRPr="00BF6A5D">
        <w:fldChar w:fldCharType="end"/>
      </w:r>
      <w:bookmarkEnd w:id="117"/>
      <w:r>
        <w:t xml:space="preserve">.  Prin urmare, având în vedere că, în speță, faptele pe care se bazează pretinsele încălcări ale Convenției invocate de reclamanți sunt anterioare datei de 16 septembrie 2022, Curtea este competentă să le examineze. Totuși, orice capăt de cerere referitor la situația ulterioară acestei date este incompatibil </w:t>
      </w:r>
      <w:r>
        <w:rPr>
          <w:i/>
          <w:iCs/>
        </w:rPr>
        <w:t>ratione temporis</w:t>
      </w:r>
      <w:r>
        <w:t xml:space="preserve"> cu art. 35 § 3 din Convenție în măsura în care se referă la Federația Rusă și trebuie respins în aplicarea art. 35 § 4.</w:t>
      </w:r>
    </w:p>
    <w:p w:rsidR="00BF6A5D" w:rsidRPr="00BF6A5D" w:rsidRDefault="00D340B2" w:rsidP="00BF6A5D">
      <w:pPr>
        <w:pStyle w:val="JuPara"/>
      </w:pPr>
      <w:fldSimple w:instr=" SEQ level0 \*arabic \* MERGEFORMAT ">
        <w:r w:rsidR="00BF6A5D" w:rsidRPr="00BF6A5D">
          <w:t>164</w:t>
        </w:r>
      </w:fldSimple>
      <w:r w:rsidR="00BF6A5D">
        <w:t>.  În ceea ce privește neparticiparea la procedura în fața Marii Camere, faptul că Guvernul nu a prezentat observațiile sale poate fi considerat o manifestare a intenției sale de a se abține de la a participa la examinarea prezentei cereri. În acest context, Curtea a statuat că încetarea calității de membru al Consiliului Europei a unei părți contractante nu o scutește pe aceasta din urmă de obligația sa de a coopera cu Curtea. Această obligație continuă atât timp cât Curtea rămâne competentă să soluționeze cererile referitoare la actele sau omisiunile de natură să constituie o încălcare a Convenției [</w:t>
      </w:r>
      <w:r w:rsidR="00BF6A5D">
        <w:rPr>
          <w:i/>
          <w:iCs/>
        </w:rPr>
        <w:t>Georgia împotriva Rusiei (II)</w:t>
      </w:r>
      <w:r w:rsidR="00BF6A5D">
        <w:t xml:space="preserve"> (reparație echitabilă) (MC), nr. 38263/08, pct. 21 și 27, 28 aprilie 2023; a se vedea, de asemenea, </w:t>
      </w:r>
      <w:r w:rsidR="00BF6A5D">
        <w:rPr>
          <w:i/>
          <w:iCs/>
        </w:rPr>
        <w:t>Svetova și alții împotriva Rusiei</w:t>
      </w:r>
      <w:r w:rsidR="00BF6A5D">
        <w:t xml:space="preserve">, nr. 54714/17, pct. 29-31, 24 ianuarie 2023]. Întrucât Curtea rămâne competentă să soluționeze cererea, astfel cum s-a explicat la pct. </w:t>
      </w:r>
      <w:r w:rsidR="00BF6A5D" w:rsidRPr="00BF6A5D">
        <w:fldChar w:fldCharType="begin"/>
      </w:r>
      <w:r w:rsidR="00BF6A5D" w:rsidRPr="00BF6A5D">
        <w:instrText xml:space="preserve">REF paragraph00154 \h \* CharFormat  \* MERGEFORMAT </w:instrText>
      </w:r>
      <w:r w:rsidR="00BF6A5D" w:rsidRPr="00BF6A5D">
        <w:fldChar w:fldCharType="separate"/>
      </w:r>
      <w:r w:rsidR="00BF6A5D" w:rsidRPr="00BF6A5D">
        <w:t>163</w:t>
      </w:r>
      <w:r w:rsidR="00BF6A5D" w:rsidRPr="00BF6A5D">
        <w:fldChar w:fldCharType="end"/>
      </w:r>
      <w:r w:rsidR="00BF6A5D">
        <w:t xml:space="preserve"> </w:t>
      </w:r>
      <w:r w:rsidR="00BF6A5D">
        <w:rPr>
          <w:i/>
          <w:iCs/>
        </w:rPr>
        <w:t>supra</w:t>
      </w:r>
      <w:r w:rsidR="00BF6A5D">
        <w:t>, faptul că Guvernul pârât nu participă la procedură nu poate constitui un obstacol în calea examinării acesteia [art. 44C § 2 din Regulament].</w:t>
      </w:r>
    </w:p>
    <w:p w:rsidR="00BF6A5D" w:rsidRPr="00BF6A5D" w:rsidRDefault="00BF6A5D" w:rsidP="00BF6A5D">
      <w:pPr>
        <w:pStyle w:val="JuHA"/>
      </w:pPr>
      <w:bookmarkStart w:id="118" w:name="_Toc177058434"/>
      <w:r>
        <w:lastRenderedPageBreak/>
        <w:t>Observații introductive privind chestiunile de drept ridicate în fața Curții</w:t>
      </w:r>
      <w:bookmarkEnd w:id="118"/>
    </w:p>
    <w:p w:rsidR="00BF6A5D" w:rsidRPr="00BF6A5D" w:rsidRDefault="00D340B2" w:rsidP="00BF6A5D">
      <w:pPr>
        <w:pStyle w:val="JuPara"/>
      </w:pPr>
      <w:fldSimple w:instr=" SEQ level0 \*arabic \* MERGEFORMAT ">
        <w:r w:rsidR="00BF6A5D" w:rsidRPr="00BF6A5D">
          <w:t>165</w:t>
        </w:r>
      </w:fldSimple>
      <w:r w:rsidR="00BF6A5D">
        <w:t xml:space="preserve">.  În primul rând, Curtea face trimitere la considerațiile generale pe care le-a formulat în cauza </w:t>
      </w:r>
      <w:r w:rsidR="00BF6A5D">
        <w:rPr>
          <w:i/>
          <w:iCs/>
        </w:rPr>
        <w:t>Verein KlimaSeniorinnen Schweiz și alții</w:t>
      </w:r>
      <w:r w:rsidR="00BF6A5D">
        <w:t xml:space="preserve"> (citată anterior, pct. 410-422) cu privire la problema schimbărilor climatice din perspectiva Convenției, în special faptul că, deși jurisprudența sa existentă poate fi utilă într-o anumită măsură în ceea ce privește litigiile în materie de schimbări climatice, chestiunile juridice ridicate de schimbările climatice diferă semnificativ de cele tratate până în prezent în cauzele având ca obiect mediul înconjurător și, prin urmare, necesită o examinare specifică de către Curte.</w:t>
      </w:r>
    </w:p>
    <w:p w:rsidR="00BF6A5D" w:rsidRPr="00BF6A5D" w:rsidRDefault="00D340B2" w:rsidP="00BF6A5D">
      <w:pPr>
        <w:pStyle w:val="JuPara"/>
      </w:pPr>
      <w:fldSimple w:instr=" SEQ level0 \*arabic \* MERGEFORMAT ">
        <w:r w:rsidR="00BF6A5D" w:rsidRPr="00BF6A5D">
          <w:t>166</w:t>
        </w:r>
      </w:fldSimple>
      <w:r w:rsidR="00BF6A5D">
        <w:t>.  Prezenta cerere a fost introdusă de un grup de tineri care se plâng de efectele actuale și de efectele viitoare grave ale schimbărilor climatice, pe care le consideră imputabile propriei lor țări, Portugalia, și altor 32 de state. Aceștia susțin că, în sensul capătului lor de cerere privind schimbările climatice, se află sub jurisdicția tuturor acestor state în sensul art. 1 din Convenție. Înainte de a sesiza Curtea, aceștia nu au adus situația lor în atenția autorităților vreunui stat pârât și nici nu au încercat să exercite vreo cale de atac în niciunul dintre aceste state. În schimb, au introdus în mod direct la Curte o cerere în care au prezentat în detaliu, pe de o parte, ceea ce consideră a fi omisiuni și deficiențe în raport cu o îndatorire de protejare împotriva schimbărilor climatice care le revine statelor pârâte și, pe de altă parte, efectele nefaste asupra populațiilor cauzate de aceste omisiuni. Solicită Curții să se pronunțe în primă instanță cu privire la toate aceste chestiuni.</w:t>
      </w:r>
    </w:p>
    <w:p w:rsidR="00BF6A5D" w:rsidRPr="00BF6A5D" w:rsidRDefault="00D340B2" w:rsidP="00BF6A5D">
      <w:pPr>
        <w:pStyle w:val="JuPara"/>
      </w:pPr>
      <w:fldSimple w:instr=" SEQ level0 \*arabic \* MERGEFORMAT ">
        <w:r w:rsidR="00BF6A5D" w:rsidRPr="00BF6A5D">
          <w:t>167</w:t>
        </w:r>
      </w:fldSimple>
      <w:r w:rsidR="00BF6A5D">
        <w:t xml:space="preserve">.  Curtea va începe prin examinarea chestiunilor referitoare la jurisdicție. Analiza sa se va limita la jurisdicția statelor cu privire la efectele nefaste ale schimbărilor climatice și nu va aborda eventualele probleme de jurisdicție extrateritorială, cum ar fi cele care pot apărea, de exemplu, în contextul unor daune aduse mediului care sunt transfrontaliere dar mai localizate. În continuare, va examina, după caz, epuizarea căilor de atac interne. Apoi, având în vedere concluziile la care va fi ajuns în ceea ce privește jurisdicția și epuizarea căilor de atac interne, se va pronunța cu privire la necesitatea de a soluționa chestiunea calității de victimă în lumina principiilor generale enunțate în hotărârea </w:t>
      </w:r>
      <w:r w:rsidR="00BF6A5D">
        <w:rPr>
          <w:i/>
        </w:rPr>
        <w:t>Verein KlimaSeniorinnen Schweiz</w:t>
      </w:r>
      <w:r w:rsidR="00BF6A5D">
        <w:rPr>
          <w:i/>
          <w:iCs/>
        </w:rPr>
        <w:t xml:space="preserve"> și alții</w:t>
      </w:r>
      <w:r w:rsidR="00BF6A5D">
        <w:t xml:space="preserve"> (citată anterior, pct. 487-488).</w:t>
      </w:r>
    </w:p>
    <w:p w:rsidR="00BF6A5D" w:rsidRPr="00BF6A5D" w:rsidRDefault="00BF6A5D" w:rsidP="00BF6A5D">
      <w:pPr>
        <w:pStyle w:val="JuHA"/>
      </w:pPr>
      <w:bookmarkStart w:id="119" w:name="_Toc177058435"/>
      <w:r>
        <w:t>Cu privire la jurisdicție</w:t>
      </w:r>
      <w:bookmarkEnd w:id="119"/>
    </w:p>
    <w:p w:rsidR="00BF6A5D" w:rsidRPr="00BF6A5D" w:rsidRDefault="00BF6A5D" w:rsidP="00BF6A5D">
      <w:pPr>
        <w:pStyle w:val="JuH1"/>
      </w:pPr>
      <w:bookmarkStart w:id="120" w:name="_Toc177058436"/>
      <w:r>
        <w:t>Principii generale</w:t>
      </w:r>
      <w:bookmarkEnd w:id="120"/>
    </w:p>
    <w:p w:rsidR="00BF6A5D" w:rsidRPr="00BF6A5D" w:rsidRDefault="00D340B2" w:rsidP="00BF6A5D">
      <w:pPr>
        <w:pStyle w:val="JuPara"/>
      </w:pPr>
      <w:fldSimple w:instr=" SEQ level0 \*arabic \* MERGEFORMAT ">
        <w:r w:rsidR="00BF6A5D" w:rsidRPr="00BF6A5D">
          <w:t>168</w:t>
        </w:r>
      </w:fldSimple>
      <w:r w:rsidR="00BF6A5D">
        <w:t>.  Principiile generale ale jurisprudenței Curții în materie de jurisdicție au fost rezumate după cum urmează (</w:t>
      </w:r>
      <w:r w:rsidR="00BF6A5D">
        <w:rPr>
          <w:i/>
          <w:iCs/>
        </w:rPr>
        <w:t>M.N. și alții împotriva Belgiei</w:t>
      </w:r>
      <w:r w:rsidR="00BF6A5D">
        <w:t>, citată anterior, pct. 96-109):</w:t>
      </w:r>
    </w:p>
    <w:p w:rsidR="00BF6A5D" w:rsidRPr="00BF6A5D" w:rsidRDefault="00BF6A5D" w:rsidP="00BF6A5D">
      <w:pPr>
        <w:pStyle w:val="JuQuot"/>
      </w:pPr>
      <w:r>
        <w:lastRenderedPageBreak/>
        <w:t>„96.  Curtea reamintește că art. 1 din Convenție își limitează domeniul de aplicare la «persoanele» aflate sub «jurisdicția» statelor părți la Convenție.</w:t>
      </w:r>
    </w:p>
    <w:p w:rsidR="00BF6A5D" w:rsidRPr="00BF6A5D" w:rsidRDefault="00BF6A5D" w:rsidP="00BF6A5D">
      <w:pPr>
        <w:pStyle w:val="JuQuot"/>
      </w:pPr>
      <w:r>
        <w:t xml:space="preserve">97.  Exercitarea de către statul pârât a «jurisdicției» sale este o condiție </w:t>
      </w:r>
      <w:r>
        <w:rPr>
          <w:i/>
          <w:iCs/>
        </w:rPr>
        <w:t>sine qua non</w:t>
      </w:r>
      <w:r>
        <w:t xml:space="preserve"> pentru ca acesta din urmă să fie considerat răspunzător pentru actele sau omisiunile imputabile acestuia care se află la originea unei pretinse încălcări a unor drepturi și libertăți prevăzute de Convenție [</w:t>
      </w:r>
      <w:r>
        <w:rPr>
          <w:i/>
          <w:iCs/>
        </w:rPr>
        <w:t>Al</w:t>
      </w:r>
      <w:r>
        <w:rPr>
          <w:i/>
          <w:iCs/>
        </w:rPr>
        <w:noBreakHyphen/>
        <w:t>Skeini și alții</w:t>
      </w:r>
      <w:r>
        <w:t xml:space="preserve"> [</w:t>
      </w:r>
      <w:r>
        <w:rPr>
          <w:i/>
          <w:iCs/>
        </w:rPr>
        <w:t>împotriva Regatului Unit</w:t>
      </w:r>
      <w:r>
        <w:t xml:space="preserve"> (MC), nr. 55721/07, pct. 130, CEDO 2011] și </w:t>
      </w:r>
      <w:r>
        <w:rPr>
          <w:i/>
          <w:iCs/>
        </w:rPr>
        <w:t>Güzelyurtlu și alții împotriva Ciprului și a Turciei</w:t>
      </w:r>
      <w:r>
        <w:t xml:space="preserve"> (MC), nr. 36925/07, pct. 178, 29 ianuarie 2019]. Chestiunea dacă acest stat este într‑adevăr responsabil pentru acte sau omisiuni care se află la originea capetelor de cerere formulate de reclamanți în temeiul Convenției este o chestiune separată și ține de fondul cauzei [</w:t>
      </w:r>
      <w:r>
        <w:rPr>
          <w:i/>
          <w:iCs/>
        </w:rPr>
        <w:t>Loizidou împotriva Turciei</w:t>
      </w:r>
      <w:r>
        <w:t xml:space="preserve"> (excepții preliminare), 23 martie 1995, pct. 61 și 64, seria A nr. 310; și </w:t>
      </w:r>
      <w:r>
        <w:rPr>
          <w:i/>
          <w:iCs/>
        </w:rPr>
        <w:t>Güzelyurtlu și alții</w:t>
      </w:r>
      <w:r>
        <w:t>, citată anterior, pct. 197].</w:t>
      </w:r>
    </w:p>
    <w:p w:rsidR="00BF6A5D" w:rsidRPr="00BF6A5D" w:rsidRDefault="00BF6A5D" w:rsidP="00BF6A5D">
      <w:pPr>
        <w:pStyle w:val="JuQuot"/>
      </w:pPr>
      <w:r>
        <w:t>98.  În ceea ce privește sensul care trebuie dat noțiunii de «jurisdicție» în sensul art. 1 din Convenție, Curtea a subliniat că, din punct de vedere al dreptului internațional public, competența jurisdicțională a unui stat este în principal teritorială [</w:t>
      </w:r>
      <w:r>
        <w:rPr>
          <w:i/>
          <w:iCs/>
        </w:rPr>
        <w:t>Güzelyurtlu și alții</w:t>
      </w:r>
      <w:r>
        <w:t xml:space="preserve">, citată anterior, pct. 178; a se vedea de asemenea </w:t>
      </w:r>
      <w:r>
        <w:rPr>
          <w:i/>
          <w:iCs/>
        </w:rPr>
        <w:t>Banković și alții</w:t>
      </w:r>
      <w:r>
        <w:t xml:space="preserve"> [</w:t>
      </w:r>
      <w:r>
        <w:rPr>
          <w:i/>
          <w:iCs/>
        </w:rPr>
        <w:t>împotriva Belgiei și a altor state</w:t>
      </w:r>
      <w:r>
        <w:t xml:space="preserve"> (dec.) (MC), nr. 52207/99, pct. 59-61, CEDO 2001-XII]. Se prezumă că aceasta se exercită în mod normal pe întreg teritoriul statului în cauză [</w:t>
      </w:r>
      <w:r>
        <w:rPr>
          <w:i/>
          <w:iCs/>
        </w:rPr>
        <w:t>Assanidze împotriva Georgiei</w:t>
      </w:r>
      <w:r>
        <w:t xml:space="preserve"> (MC), nr. 71503/01, pct. 139, CEDO 2004-II].</w:t>
      </w:r>
    </w:p>
    <w:p w:rsidR="00BF6A5D" w:rsidRPr="00BF6A5D" w:rsidRDefault="00BF6A5D" w:rsidP="00BF6A5D">
      <w:pPr>
        <w:pStyle w:val="JuQuot"/>
      </w:pPr>
      <w:r>
        <w:t>99.  În conformitate cu art. 31 § 1 din Convenția de la Viena cu privire la dreptul tratatelor din 1969, Curtea a interpretat cuvintele «aflate sub jurisdicția lor» pornind de la sensul obișnuit care trebuie atribuit acestor termeni în contextul lor, precum și în lumina obiectului și scopului Convenției. Or, deși dreptul internațional nu exclude posibilitatea ca un stat să își exercite jurisdicția în mod extrateritorial, elementele invocate în mod obișnuit ca temei pentru o astfel de exercitare (cetățenie, pavilion, în special) sunt, în general, definite și limitate de drepturile teritoriale suverane ale celorlalte state în cauză (</w:t>
      </w:r>
      <w:r>
        <w:rPr>
          <w:i/>
        </w:rPr>
        <w:t>Banković și alții</w:t>
      </w:r>
      <w:r>
        <w:t>, citată anterior, pct. 56 și 59).</w:t>
      </w:r>
    </w:p>
    <w:p w:rsidR="00BF6A5D" w:rsidRPr="00BF6A5D" w:rsidRDefault="00BF6A5D" w:rsidP="00BF6A5D">
      <w:pPr>
        <w:pStyle w:val="JuQuot"/>
      </w:pPr>
      <w:r>
        <w:t>100.  Această concepție teritorială a jurisdicției statelor părți este susținută de lucrările pregătitoare ale Convenției (</w:t>
      </w:r>
      <w:r>
        <w:rPr>
          <w:i/>
          <w:iCs/>
        </w:rPr>
        <w:t>Banković și alții</w:t>
      </w:r>
      <w:r>
        <w:t>, decizie citată anterior, pct. 19-21 și 63). Textul redactat de comisia pentru afaceri juridice și administrative a Adunării Consultative a Consiliului Europei prevedea inițial, în ceea ce avea să devină art. 1 din Convenție, că «statele membre se angajează să garanteze oricărei persoane cu reședința pe teritoriul lor drepturile [...]». Însă sintagma «cu reședința pe teritoriul lor» a fost înlocuită cu sintagma «aflate sub jurisdicția lor», întrucât noțiunea de reședință a fost considerată prea restrictivă și susceptibilă de interpretări diferite în conformitate cu legislațiile naționale.</w:t>
      </w:r>
    </w:p>
    <w:p w:rsidR="00BF6A5D" w:rsidRPr="00BF6A5D" w:rsidRDefault="00BF6A5D" w:rsidP="00BF6A5D">
      <w:pPr>
        <w:pStyle w:val="JuQuot"/>
      </w:pPr>
      <w:r>
        <w:t xml:space="preserve">101.  În aceste condiții, Curtea a recunoscut că, prin excepție de la principiul teritorialității, actele statelor părți care sunt înfăptuite sau care produc efecte în afara teritoriului lor pot fi interpretate ca fiind o exercitare de către acestea a jurisdicției lor în sensul art. 1 din Convenție. Aceasta este jurisprudență consacrată [a se vedea, printre altele, </w:t>
      </w:r>
      <w:r>
        <w:rPr>
          <w:i/>
          <w:iCs/>
        </w:rPr>
        <w:t>Ilașcu și alții împotriva Moldovei și a Rusiei</w:t>
      </w:r>
      <w:r>
        <w:t xml:space="preserve"> (MC), nr. 48787/99, pct. 314, CEDO 2004-VII; </w:t>
      </w:r>
      <w:r>
        <w:rPr>
          <w:i/>
          <w:iCs/>
        </w:rPr>
        <w:t>Medvedyev și alții împotriva Franței</w:t>
      </w:r>
      <w:r>
        <w:t xml:space="preserve"> (MC), nr. 3394/03, pct. 64, CEDO 2010; </w:t>
      </w:r>
      <w:r>
        <w:rPr>
          <w:i/>
          <w:iCs/>
        </w:rPr>
        <w:t>Al-Skeini și alții</w:t>
      </w:r>
      <w:r>
        <w:t xml:space="preserve">, citată anterior, pct. 131; și </w:t>
      </w:r>
      <w:r>
        <w:rPr>
          <w:i/>
          <w:iCs/>
        </w:rPr>
        <w:t>Güzelyurtlu și alții</w:t>
      </w:r>
      <w:r>
        <w:t>, citată anterior, pct. 178].</w:t>
      </w:r>
    </w:p>
    <w:p w:rsidR="00BF6A5D" w:rsidRPr="00BF6A5D" w:rsidRDefault="00BF6A5D" w:rsidP="00BF6A5D">
      <w:pPr>
        <w:pStyle w:val="JuQuot"/>
      </w:pPr>
      <w:r>
        <w:t>102.  În fiecare caz, existența unor circumstanțe excepționale care justificau constatarea unei exercitări extrateritoriale de către statul în cauză a jurisdicției sale s-a apreciat în raport cu particularitățile cauzei [</w:t>
      </w:r>
      <w:r>
        <w:rPr>
          <w:i/>
          <w:iCs/>
        </w:rPr>
        <w:t>Banković și alții</w:t>
      </w:r>
      <w:r>
        <w:t xml:space="preserve">, citată anterior, pct. 61; </w:t>
      </w:r>
      <w:r>
        <w:rPr>
          <w:i/>
          <w:iCs/>
        </w:rPr>
        <w:t>Al-Skeini și alții</w:t>
      </w:r>
      <w:r>
        <w:t xml:space="preserve">, citată anterior, pct. 132; </w:t>
      </w:r>
      <w:r>
        <w:rPr>
          <w:i/>
          <w:iCs/>
        </w:rPr>
        <w:t>Hirsi Jamaa și alții</w:t>
      </w:r>
      <w:r>
        <w:t xml:space="preserve"> [</w:t>
      </w:r>
      <w:r>
        <w:rPr>
          <w:i/>
          <w:iCs/>
        </w:rPr>
        <w:t>împotriva Italiei</w:t>
      </w:r>
      <w:r>
        <w:t xml:space="preserve"> (MC), nr. 27765/09, pct. 172; CEDO 2012]; și </w:t>
      </w:r>
      <w:r>
        <w:rPr>
          <w:i/>
          <w:iCs/>
        </w:rPr>
        <w:t>Catan și alții împotriva Republicii Moldova și a Rusiei</w:t>
      </w:r>
      <w:r>
        <w:t xml:space="preserve"> (MC), nr. 43370/04 și alte 2, pct. 103, CEDO 2012 (extrase)].</w:t>
      </w:r>
    </w:p>
    <w:p w:rsidR="00BF6A5D" w:rsidRPr="00BF6A5D" w:rsidRDefault="00BF6A5D" w:rsidP="00BF6A5D">
      <w:pPr>
        <w:pStyle w:val="JuQuot"/>
      </w:pPr>
      <w:r>
        <w:lastRenderedPageBreak/>
        <w:t xml:space="preserve">103.  Principiul conform căruia jurisdicția unui stat parte este limitată la propriul său teritoriu face obiectul unei excepții atunci când statul respectiv exercită un control efectiv asupra unei zone din afara teritoriului său. Obligația de a asigura într-o astfel de zonă respectarea drepturilor și libertăților garantate de Convenție decurge din acest control, indiferent dacă se exercită direct, prin intermediul forțelor armate ale statului sau prin intermediul unei administrații locale subordonate [pentru un rezumat al jurisprudenței referitoare la aceste situații, a se vedea </w:t>
      </w:r>
      <w:r>
        <w:rPr>
          <w:i/>
          <w:iCs/>
        </w:rPr>
        <w:t>Al-Skeini și alții</w:t>
      </w:r>
      <w:r>
        <w:t xml:space="preserve">, citată anterior, pct. 138-140 și 142; pentru aplicări mai recente ale acestei jurisprudențe, a se vedea </w:t>
      </w:r>
      <w:r>
        <w:rPr>
          <w:i/>
          <w:iCs/>
        </w:rPr>
        <w:t>Catan și alții</w:t>
      </w:r>
      <w:r>
        <w:t xml:space="preserve">, citată anterior, pct. 121-122, </w:t>
      </w:r>
      <w:r>
        <w:rPr>
          <w:i/>
          <w:iCs/>
        </w:rPr>
        <w:t>Chiragov și alții împotriva Armeniei</w:t>
      </w:r>
      <w:r>
        <w:t xml:space="preserve"> (MC), nr. 13216/05, pct. 186, CEDO 2015, </w:t>
      </w:r>
      <w:r>
        <w:rPr>
          <w:i/>
          <w:iCs/>
        </w:rPr>
        <w:t>Mozer împotriva Republicii Moldova și a Rusiei</w:t>
      </w:r>
      <w:r>
        <w:t xml:space="preserve"> (MC), nr. 11138/10, pct. 110-111, 23 februarie 2016, și </w:t>
      </w:r>
      <w:r>
        <w:rPr>
          <w:i/>
          <w:iCs/>
        </w:rPr>
        <w:t>Sandu și alții împotriva Republicii Moldova și a Rusiei</w:t>
      </w:r>
      <w:r>
        <w:t>, nr. 21034/05 și alte 7, pct. 36-38, 17 iulie 2018].</w:t>
      </w:r>
    </w:p>
    <w:p w:rsidR="00BF6A5D" w:rsidRPr="00BF6A5D" w:rsidRDefault="00BF6A5D" w:rsidP="00BF6A5D">
      <w:pPr>
        <w:pStyle w:val="JuQuot"/>
      </w:pPr>
      <w:r>
        <w:t>104.  Astfel, Comisia și ulterior Curtea au concluzionat că un stat își exercită jurisdicția în mod extrateritorial atunci când utilizează, într-o zonă din afara teritoriului său, prerogative de putere publică precum autoritatea și responsabilitatea pentru menținerea securității [</w:t>
      </w:r>
      <w:r>
        <w:rPr>
          <w:i/>
          <w:iCs/>
        </w:rPr>
        <w:t>X și Y împotriva Elveției</w:t>
      </w:r>
      <w:r>
        <w:t xml:space="preserve"> (nr. 7289/75 și 7349/76, decizia Comisiei din 14 iulie 1977, Decizii și rapoarte (DR) 9); </w:t>
      </w:r>
      <w:r>
        <w:rPr>
          <w:i/>
          <w:iCs/>
        </w:rPr>
        <w:t>Drozd și Janousek împotriva Franței și a Spaniei</w:t>
      </w:r>
      <w:r>
        <w:t xml:space="preserve">, 26 iunie 1992, pct. 91-98, seria A nr. 240; </w:t>
      </w:r>
      <w:r>
        <w:rPr>
          <w:i/>
          <w:iCs/>
        </w:rPr>
        <w:t>Gentilhomme, Schaff-Benhadji și Zerouki împotriva Franței</w:t>
      </w:r>
      <w:r>
        <w:t xml:space="preserve">, nr. 48205/99 și alte 2, pct. 20, 14 mai 2002; </w:t>
      </w:r>
      <w:r>
        <w:rPr>
          <w:i/>
          <w:iCs/>
        </w:rPr>
        <w:t>Al-Skeini și alții</w:t>
      </w:r>
      <w:r>
        <w:t xml:space="preserve">, citată anterior, pct. 143-150; și </w:t>
      </w:r>
      <w:r>
        <w:rPr>
          <w:i/>
          <w:iCs/>
        </w:rPr>
        <w:t>Al-Jedda împotriva Regatului Unit</w:t>
      </w:r>
      <w:r>
        <w:t xml:space="preserve"> (MC), nr. 27021/08, pct. 75-96, CEDO 2011].</w:t>
      </w:r>
    </w:p>
    <w:p w:rsidR="00BF6A5D" w:rsidRPr="00BF6A5D" w:rsidRDefault="00BF6A5D" w:rsidP="00BF6A5D">
      <w:pPr>
        <w:pStyle w:val="JuQuot"/>
      </w:pPr>
      <w:r>
        <w:t xml:space="preserve">105.  În plus, recurgerea la forță de către agenții unui stat care își desfășoară activitatea în afara teritoriului său poate, în anumite circumstanțe, să aducă sub jurisdicția acestui stat orice persoană aflată sub controlul acestor agenți (pentru un rezumat al jurisprudenței referitoare la aceste situații, a se vedea </w:t>
      </w:r>
      <w:r>
        <w:rPr>
          <w:i/>
          <w:iCs/>
        </w:rPr>
        <w:t>Al-Skeini și alții</w:t>
      </w:r>
      <w:r>
        <w:t>, citată anterior, pct. 136). Acesta a fost cazul persoanelor predate agenților statului în afara frontierelor acestuia [</w:t>
      </w:r>
      <w:r>
        <w:rPr>
          <w:i/>
          <w:iCs/>
        </w:rPr>
        <w:t>Öcalan împotriva Turciei</w:t>
      </w:r>
      <w:r>
        <w:t xml:space="preserve"> (MC), nr. 46221/99, pct. 91, CEDO 2005-IV]. În mod similar, jurisdicția extrateritorială a fost admisă ca urmare a unor acte ale agenților statului care, prin controlul asupra incintelor, al clădirilor, al unei aeronave sau al unei nave în care erau deținute persoane, au exercitat o putere fizică și un control fizic asupra acestora [</w:t>
      </w:r>
      <w:r>
        <w:rPr>
          <w:i/>
          <w:iCs/>
        </w:rPr>
        <w:t>Issa și alții împotriva Turciei</w:t>
      </w:r>
      <w:r>
        <w:t xml:space="preserve">, nr. 31821/96, pct. 72-82, 16 noiembrie 2004; </w:t>
      </w:r>
      <w:r>
        <w:rPr>
          <w:i/>
          <w:iCs/>
        </w:rPr>
        <w:t>Al-Saadoon și Mufdhi împotriva Regatului Unit</w:t>
      </w:r>
      <w:r>
        <w:t xml:space="preserve"> (dec.), nr. 61498/08, pct. 86-89, 30 iunie 2009; </w:t>
      </w:r>
      <w:r>
        <w:rPr>
          <w:i/>
          <w:iCs/>
        </w:rPr>
        <w:t>Medvedyev și alții</w:t>
      </w:r>
      <w:r>
        <w:t xml:space="preserve">, citată anterior, pct. 62-67; </w:t>
      </w:r>
      <w:r>
        <w:rPr>
          <w:i/>
          <w:iCs/>
        </w:rPr>
        <w:t>Hirsi Jamaa și alții</w:t>
      </w:r>
      <w:r>
        <w:t xml:space="preserve">, citată anterior, pct. 76-82; și </w:t>
      </w:r>
      <w:r>
        <w:rPr>
          <w:i/>
          <w:iCs/>
        </w:rPr>
        <w:t>Hassan împotriva Regatului Unit</w:t>
      </w:r>
      <w:r>
        <w:t xml:space="preserve"> (MC), nr. 29750/09, pct. 75-80, CEDO 2014].</w:t>
      </w:r>
    </w:p>
    <w:p w:rsidR="00BF6A5D" w:rsidRPr="00BF6A5D" w:rsidRDefault="00BF6A5D" w:rsidP="00BF6A5D">
      <w:pPr>
        <w:pStyle w:val="JuQuot"/>
        <w:rPr>
          <w:i/>
        </w:rPr>
      </w:pPr>
      <w:r>
        <w:t xml:space="preserve">106.  După cum a subliniat Curtea în hotărârea </w:t>
      </w:r>
      <w:r>
        <w:rPr>
          <w:i/>
          <w:iCs/>
        </w:rPr>
        <w:t>Al-Skeini și alții</w:t>
      </w:r>
      <w:r>
        <w:t xml:space="preserve"> (citată anterior, pct. 134), jurisdicția unui stat parte poate decurge, de asemenea, din acte sau omisiuni ale agenților săi diplomatici sau consulari atunci când, în virtutea atribuțiilor lor, aceștia își exercită în străinătate autoritatea asupra resortisanților acestui stat sau asupra bunurilor lor (</w:t>
      </w:r>
      <w:r>
        <w:rPr>
          <w:i/>
          <w:iCs/>
        </w:rPr>
        <w:t>X împotriva Germaniei</w:t>
      </w:r>
      <w:r>
        <w:t xml:space="preserve">, [nr. 1611/62, decizia Comisiei din 25 septembrie 1965, Anuarul 8]; </w:t>
      </w:r>
      <w:r>
        <w:rPr>
          <w:i/>
          <w:iCs/>
        </w:rPr>
        <w:t>X împotriva Regatului Unit</w:t>
      </w:r>
      <w:r>
        <w:t xml:space="preserve">, decizia Comisiei din 15 decembrie 1977, nr. 7547/76, DR 12, pag. 75; și </w:t>
      </w:r>
      <w:r>
        <w:rPr>
          <w:i/>
          <w:iCs/>
        </w:rPr>
        <w:t>S. împotriva Germaniei</w:t>
      </w:r>
      <w:r>
        <w:t>, nr. 10686/83, decizia Comisiei din 5 octombrie 1984, DR 40, pag. 294) sau atunci când exercită putere fizică și control fizic asupra anumitor persoane (</w:t>
      </w:r>
      <w:r>
        <w:rPr>
          <w:i/>
          <w:iCs/>
        </w:rPr>
        <w:t>M. împotriva Danemarcei</w:t>
      </w:r>
      <w:r>
        <w:t>, [nr. 17392/90, decizia Comisiei din 14 octombrie 1992, DR 73,] pag. 193).</w:t>
      </w:r>
    </w:p>
    <w:p w:rsidR="00BF6A5D" w:rsidRPr="00BF6A5D" w:rsidRDefault="00BF6A5D" w:rsidP="00BF6A5D">
      <w:pPr>
        <w:pStyle w:val="JuQuot"/>
      </w:pPr>
      <w:r>
        <w:t xml:space="preserve">107.  În fine, circumstanțe speciale de ordin procedural au putut justifica aplicarea Convenției ca urmare a unor evenimente care au avut loc în afara teritoriului statului pârât. Astfel, în ceea ce privește o acțiune civilă în despăgubire inițiată de reclamanți în fața instanțelor italiene în temeiul dreptului național, ca urmare a decesului rudelor lor în urma atacurilor aeriene efectuate de alianța NATO împotriva Republicii Federale Iugoslavia, Curtea a statuat că, în pofida caracterului extrateritorial al faptelor care au </w:t>
      </w:r>
      <w:r>
        <w:lastRenderedPageBreak/>
        <w:t>stat la baza operațiunii, această acțiune se afla sub jurisdicția Italiei, care era așadar obligată să garanteze, în cadrul acesteia, respectarea drepturilor protejate de art. 6 din Convenție [</w:t>
      </w:r>
      <w:r>
        <w:rPr>
          <w:i/>
          <w:iCs/>
        </w:rPr>
        <w:t>Markovic și alții împotriva Italiei</w:t>
      </w:r>
      <w:r>
        <w:t xml:space="preserve"> (dec.) nr. 1398/03, 12 iunie 2003, precum și </w:t>
      </w:r>
      <w:r>
        <w:rPr>
          <w:i/>
          <w:iCs/>
        </w:rPr>
        <w:t>Markovic și alții</w:t>
      </w:r>
      <w:r>
        <w:t>, citată anterior, pct. 49-55]. Mai recent, în ceea ce privește decesele survenite în afara teritoriului statului pârât, Curtea a statuat că faptul că acesta din urmă a inițiat o anchetă penală în legătură cu aceste fapte a stabilit cu privire la rudele victimei o legătură jurisdicțională în sensul art. 1 din Convenție, care implică pentru statul respectiv obligația de a îndeplini cerințele procedurale prevăzute de art. 2 (</w:t>
      </w:r>
      <w:r>
        <w:rPr>
          <w:i/>
          <w:iCs/>
        </w:rPr>
        <w:t>Güzelyurtlu și alții</w:t>
      </w:r>
      <w:r>
        <w:t>, citată anterior, pct. 188).</w:t>
      </w:r>
    </w:p>
    <w:p w:rsidR="00BF6A5D" w:rsidRPr="00BF6A5D" w:rsidRDefault="00BF6A5D" w:rsidP="00BF6A5D">
      <w:pPr>
        <w:pStyle w:val="JuQuot"/>
      </w:pPr>
      <w:r>
        <w:t xml:space="preserve">108.  Pe de altă parte, în cauza </w:t>
      </w:r>
      <w:r>
        <w:rPr>
          <w:i/>
          <w:iCs/>
        </w:rPr>
        <w:t>Abdul Wahab Khan</w:t>
      </w:r>
      <w:r>
        <w:t xml:space="preserve"> [</w:t>
      </w:r>
      <w:r>
        <w:rPr>
          <w:i/>
          <w:iCs/>
        </w:rPr>
        <w:t>împotriva Regatului Unit</w:t>
      </w:r>
      <w:r>
        <w:t xml:space="preserve"> (dec.), nr. 11987/11, 28 ianuarie 2014], Curtea a respins argumentul întemeiat pe procedura inițiată de reclamant, resortisant pakistanez aflat în Pakistan, în fața Comisiei speciale de recurs în materie de imigrație a Regatului Unit, în vederea contestării deciziei de revocare a autorizației sale de ședere în Regatul Unit. Curtea a statuat că, în lipsa altor criterii de legătură, faptul că reclamantul a inițiat această procedură nu era suficient pentru a stabili jurisdicția Regatului Unit în ceea ce privește riscul, invocat de reclamant, de a fi supus în Pakistan unor tratamente contrare art. 3 din Convenție (</w:t>
      </w:r>
      <w:r>
        <w:rPr>
          <w:i/>
          <w:iCs/>
        </w:rPr>
        <w:t>Abdul Wahab Khan</w:t>
      </w:r>
      <w:r>
        <w:t>, decizie citată anterior, pct. 28).</w:t>
      </w:r>
    </w:p>
    <w:p w:rsidR="00BF6A5D" w:rsidRPr="00BF6A5D" w:rsidRDefault="00BF6A5D" w:rsidP="00BF6A5D">
      <w:pPr>
        <w:pStyle w:val="JuQuot"/>
      </w:pPr>
      <w:r>
        <w:t>109.  Prin comparație, Curtea subliniază că trebuie făcută deosebirea între cauzele citate anterior și cele în care faptele conțin elemente de extraneitate dar care nu au ca obiect extrateritorialitatea în sensul art. 1 din Convenție. Așa stau lucrurile în cauzele care au ca obiect, din perspectiva art. 8, decizii luate în privința persoanelor, străine sau nu, aflate în afara frontierelor statului pârât, dar în care nu s-a ridicat problema jurisdicției statului respectiv, dat fiind că un element de legătură rezulta din viața de familie sau din viața privată preexistentă pe care statul respectiv avea îndatorirea să o protejeze [</w:t>
      </w:r>
      <w:r>
        <w:rPr>
          <w:i/>
        </w:rPr>
        <w:t xml:space="preserve">Nessa și alții împotriva Finlandei </w:t>
      </w:r>
      <w:r>
        <w:t xml:space="preserve">(dec.), nr. 31862/02, 6 mai 2003, </w:t>
      </w:r>
      <w:r>
        <w:rPr>
          <w:i/>
        </w:rPr>
        <w:t>Orlandi și alții împotriva Italie</w:t>
      </w:r>
      <w:r>
        <w:rPr>
          <w:i/>
          <w:iCs/>
        </w:rPr>
        <w:t>i</w:t>
      </w:r>
      <w:r>
        <w:t xml:space="preserve">, nr. 26431/12 și alte 3, 14 decembrie 2017, precum și </w:t>
      </w:r>
      <w:r>
        <w:rPr>
          <w:i/>
        </w:rPr>
        <w:t>Schembri împotriva Maltei</w:t>
      </w:r>
      <w:r>
        <w:t xml:space="preserve"> (dec.), nr. 66297/13, 19 septembrie 2017].”</w:t>
      </w:r>
    </w:p>
    <w:bookmarkStart w:id="121" w:name="paragraph00166"/>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169</w:t>
      </w:r>
      <w:r w:rsidRPr="00BF6A5D">
        <w:fldChar w:fldCharType="end"/>
      </w:r>
      <w:bookmarkEnd w:id="121"/>
      <w:r>
        <w:t xml:space="preserve">.  În cauza </w:t>
      </w:r>
      <w:r>
        <w:rPr>
          <w:i/>
          <w:iCs/>
        </w:rPr>
        <w:t>M.N. și alții împotriva Belgiei</w:t>
      </w:r>
      <w:r>
        <w:t xml:space="preserve"> (decizie citată anterior, pct. 112-113), care avea ca obiect prelucrarea de către autoritățile belgiene a cererilor de viză depuse de reclamanți în străinătate, Curtea a declarat fără echivoc că «[d]oar faptul că deciziile luate la nivel național au avut un impact asupra situației persoanelor cu reședința în străinătate nu sunt de natură să stabilească jurisdicția statului respectiv asupra lor în afara teritoriului său». Pentru a stabili dacă este aplicabilă Convenția, Curtea trebuie să examineze dacă au existat „circumstanțe excepționale” care să justifice o constatare că statul respectiv exercita jurisdicția extrateritorială în privința reclamanților. Este vorba în primul rând de o chestiune de fapt, care impune Curții să analizeze natura legăturii dintre reclamanți și statul pârât, precum și să stabilească dacă acesta din urmă și-a exercitat efectiv autoritatea sau controlul asupra reclamanților. În cauza </w:t>
      </w:r>
      <w:r>
        <w:rPr>
          <w:i/>
          <w:iCs/>
        </w:rPr>
        <w:t>M.N. și alții împotriva Belgiei</w:t>
      </w:r>
      <w:r>
        <w:t>, Curtea a statuat că, prin depunerea cererilor de viză la autoritățile belgiene din străinătate, reclamanții nu puteau să creeze o legătură jurisdicțională cu Belgia.</w:t>
      </w:r>
    </w:p>
    <w:bookmarkStart w:id="122" w:name="paragraph00167"/>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170</w:t>
      </w:r>
      <w:r w:rsidRPr="00BF6A5D">
        <w:fldChar w:fldCharType="end"/>
      </w:r>
      <w:bookmarkEnd w:id="122"/>
      <w:r>
        <w:t xml:space="preserve">.  Marea Cameră a clarificat recent, în mai multe cauze interstatale, principiile generale relevante în materie de jurisdicție extrateritorială. În hotărârea </w:t>
      </w:r>
      <w:r>
        <w:rPr>
          <w:i/>
          <w:iCs/>
        </w:rPr>
        <w:t>Georgia împotriva Rusiei (II)</w:t>
      </w:r>
      <w:r>
        <w:t xml:space="preserve"> (citată anterior, pct. 113-114), Curtea a explicat că jurisprudența sa privind noțiunea de jurisdicție extrateritorială a </w:t>
      </w:r>
      <w:r>
        <w:lastRenderedPageBreak/>
        <w:t xml:space="preserve">evoluat de la data deciziei pronunțate în cauza </w:t>
      </w:r>
      <w:r>
        <w:rPr>
          <w:i/>
          <w:iCs/>
        </w:rPr>
        <w:t>Banković și alții</w:t>
      </w:r>
      <w:r>
        <w:t xml:space="preserve"> (decizie citată anterior): a precizat, printre altele, că drepturile care decurg din Convenție pot fi „divizate și adaptate” (a se vedea de asemenea </w:t>
      </w:r>
      <w:r>
        <w:rPr>
          <w:i/>
          <w:iCs/>
        </w:rPr>
        <w:t>Al-Skeini și alții</w:t>
      </w:r>
      <w:r>
        <w:t>, citată anterior, pct. 137). În plus, aceasta a stabilit o serie de criterii pentru exercitarea jurisdicției extrateritoriale a unui stat, care trebuie să rămână o circumstanță excepțională. Cele două criterii principale pe care le-a stabilit în această privință sunt „controlul efectiv” al statului asupra unui teritoriu (model spațial de jurisdicție) și „autoritatea și controlul unui agent al statului” asupra persoanelor (model personal de jurisdicție) [</w:t>
      </w:r>
      <w:r>
        <w:rPr>
          <w:i/>
          <w:iCs/>
        </w:rPr>
        <w:t>Georgia împotriva Rusiei (II)</w:t>
      </w:r>
      <w:r>
        <w:t>, citată anterior, pct. 115].</w:t>
      </w:r>
    </w:p>
    <w:bookmarkStart w:id="123" w:name="paragraph00168"/>
    <w:bookmarkStart w:id="124" w:name="paragraph174"/>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171</w:t>
      </w:r>
      <w:r w:rsidRPr="00BF6A5D">
        <w:fldChar w:fldCharType="end"/>
      </w:r>
      <w:bookmarkEnd w:id="123"/>
      <w:bookmarkEnd w:id="124"/>
      <w:r>
        <w:t xml:space="preserve">.  În decizia </w:t>
      </w:r>
      <w:r>
        <w:rPr>
          <w:i/>
          <w:iCs/>
        </w:rPr>
        <w:t>Ucraina și Țările de Jos împotriva Rusiei</w:t>
      </w:r>
      <w:r>
        <w:t xml:space="preserve"> (citată anterior, pct. 547-550, 555, 559-560 și 565-575), Curtea a elaborat în modul următor problema jurisdicției extrateritoriale:</w:t>
      </w:r>
    </w:p>
    <w:p w:rsidR="00BF6A5D" w:rsidRPr="00BF6A5D" w:rsidRDefault="00BF6A5D" w:rsidP="00BF6A5D">
      <w:pPr>
        <w:pStyle w:val="JuQuot"/>
      </w:pPr>
      <w:r>
        <w:t>„547.  Organele Convenției au elaborat un cadru pentru interpretarea și aplicarea art. 1 din Convenție. Principiile relevante au evoluat în vederea asigurării protecției efective a drepturilor omului într-un context în mare măsură regional. Originea lor a precedat elaborarea ARSFII (Articole privind răspunderea statelor pentru fapte internaționale ilicite, 2001), care au fost adoptate abia în 2001 și au încorporat jurisprudența anterioară a organismelor Convenției în scopul formulării normelor relevante ale dreptului internațional.</w:t>
      </w:r>
    </w:p>
    <w:p w:rsidR="00BF6A5D" w:rsidRPr="00BF6A5D" w:rsidRDefault="00BF6A5D" w:rsidP="00BF6A5D">
      <w:pPr>
        <w:pStyle w:val="JuQuot"/>
      </w:pPr>
      <w:r>
        <w:t xml:space="preserve">548.  Jurisprudența Curții arată că aprecierea chestiunii dacă se ridică problema jurisdicției unui stat pârât în sensul art. 1 în cazul capetelor de cerere referitoare la fapte care au avut loc în afara frontierelor oficiale ale teritoriului acestui stat poate să implice considerații referitoare la jurisdicția </w:t>
      </w:r>
      <w:r>
        <w:rPr>
          <w:i/>
          <w:iCs/>
        </w:rPr>
        <w:t>ratione loci</w:t>
      </w:r>
      <w:r>
        <w:t xml:space="preserve"> sau </w:t>
      </w:r>
      <w:r>
        <w:rPr>
          <w:i/>
          <w:iCs/>
        </w:rPr>
        <w:t>ratione personae</w:t>
      </w:r>
      <w:r>
        <w:t xml:space="preserve"> ori la ambele. În cazul în care argumentul principal este că statul pârât a exercitat un control efectiv asupra unei zone, întrebarea care se pune, în esență, este aceea dacă zona în cauză poate fi considerată ca aflată sub jurisdicția </w:t>
      </w:r>
      <w:r>
        <w:rPr>
          <w:i/>
          <w:iCs/>
        </w:rPr>
        <w:t>ratione loci</w:t>
      </w:r>
      <w:r>
        <w:t xml:space="preserve"> a statului pârât, cu toate drepturile și responsabilitățile aferente, chiar dacă se află în afara frontierelor lui teritoriale. În cazul în care argumentul este mai degrabă că victimele au fost plasate sub autoritatea și controlul unui agent al statului într-un teritoriu pe care statul în cauză nu îl controla, întrebarea principală ar fi aceea dacă statul pârât exercita o jurisdicție </w:t>
      </w:r>
      <w:r>
        <w:rPr>
          <w:i/>
          <w:iCs/>
        </w:rPr>
        <w:t>ratione personae</w:t>
      </w:r>
      <w:r>
        <w:t>.</w:t>
      </w:r>
    </w:p>
    <w:p w:rsidR="00BF6A5D" w:rsidRPr="00BF6A5D" w:rsidRDefault="00BF6A5D" w:rsidP="00BF6A5D">
      <w:pPr>
        <w:pStyle w:val="JuQuot"/>
      </w:pPr>
      <w:r>
        <w:t xml:space="preserve">549.  Chiar și în cazurile în care se stabilește că pretinsele încălcări au avut loc într-o zonă aflată sub controlul efectiv al statului pârât (și, prin urmare, intră în jurisdicția lui </w:t>
      </w:r>
      <w:r>
        <w:rPr>
          <w:i/>
          <w:iCs/>
        </w:rPr>
        <w:t>ratione loci</w:t>
      </w:r>
      <w:r>
        <w:t xml:space="preserve">), acesta din urmă va fi considerat responsabil pentru încălcarea Convenției numai dacă are totodată jurisdicție </w:t>
      </w:r>
      <w:r>
        <w:rPr>
          <w:i/>
          <w:iCs/>
        </w:rPr>
        <w:t>ratione personae</w:t>
      </w:r>
      <w:r>
        <w:t>. Aceasta înseamnă că actele sau omisiunile în litigiu trebuie să fi fost comise de autoritățile statului sau să fi fost imputabile în alt mod statului pârât.</w:t>
      </w:r>
    </w:p>
    <w:p w:rsidR="00BF6A5D" w:rsidRPr="00BF6A5D" w:rsidRDefault="00BF6A5D" w:rsidP="00BF6A5D">
      <w:pPr>
        <w:pStyle w:val="JuQuot"/>
      </w:pPr>
      <w:r>
        <w:t xml:space="preserve">550.  Potrivit unei jurisprudențe constante a Curții, problemele de atribuire și de  și răspundere a statului pârât în temeiul Convenției pentru faptele reclamate trebuie să fie examinate în etapa fondului [a se vedea, pentru un exemplu recent, </w:t>
      </w:r>
      <w:r>
        <w:rPr>
          <w:i/>
          <w:iCs/>
        </w:rPr>
        <w:t>Ucraina împotriva Rusiei (Crimeea)</w:t>
      </w:r>
      <w:r>
        <w:t xml:space="preserve"> [(dec.], nr. 20958/14 și 38334/18, pct. 266, 16 decembrie 2020] și trimiterile de aici]. Totuși, este important de clarificat că este vorba despre chestiunea, în materie de probe, dacă acțiunea sau omisiunea reclamată a fost efectiv imputabilă unui agent al statului, astfel cum s-a pretins. Acest lucru nu împiedică examinarea, încă din stadiul admisibilității, a chestiunii dacă o anumită persoană sau entitate ar putea fi considerată agent al statului, astfel încât faptele a căror examinare pe fond ar demonstra ulterior că au fost săvârșite de aceasta vor fi de natură să angajeze răspunderea statului respectiv (a se vedea, de exemplu, abordarea adoptată în decizia Comisiei din 26 mai </w:t>
      </w:r>
      <w:r>
        <w:lastRenderedPageBreak/>
        <w:t xml:space="preserve">1975 în cauza </w:t>
      </w:r>
      <w:r>
        <w:rPr>
          <w:i/>
          <w:iCs/>
        </w:rPr>
        <w:t>Cipru împotriva Turciei</w:t>
      </w:r>
      <w:r>
        <w:t>, nr. 6780/74 și nr. 6950/75, Decizii și rapoarte D.R. 2, pag. 125, 151, precum și raportul ulterior, citat anterior, pag. 32, pct. 84).</w:t>
      </w:r>
    </w:p>
    <w:p w:rsidR="00BF6A5D" w:rsidRPr="00BF6A5D" w:rsidRDefault="00BF6A5D" w:rsidP="00BF6A5D">
      <w:pPr>
        <w:pStyle w:val="JuQuot"/>
      </w:pPr>
      <w:r>
        <w:t>[...]</w:t>
      </w:r>
    </w:p>
    <w:p w:rsidR="00BF6A5D" w:rsidRPr="00BF6A5D" w:rsidRDefault="00BF6A5D" w:rsidP="00BF6A5D">
      <w:pPr>
        <w:pStyle w:val="JuQuot"/>
        <w:ind w:left="720" w:firstLine="0"/>
        <w:rPr>
          <w:i/>
          <w:iCs/>
        </w:rPr>
      </w:pPr>
      <w:r>
        <w:rPr>
          <w:i/>
        </w:rPr>
        <w:t>iii)  Excepție de la teritorialitate: în afara frontierelor suverane ale unui stat</w:t>
      </w:r>
    </w:p>
    <w:p w:rsidR="00BF6A5D" w:rsidRPr="00BF6A5D" w:rsidRDefault="00BF6A5D" w:rsidP="00BF6A5D">
      <w:pPr>
        <w:pStyle w:val="JuQuot"/>
      </w:pPr>
      <w:r>
        <w:t>555.  În ceea ce privește jurisdicția extrateritorială, potrivit unei jurisprudențe constante a Curții, actele statelor contractante săvârșite sau care produc efecte în afara teritoriului lor pot să constituie exercitarea de către acestea a jurisdicției lor în sensul art. 1 din Convenție.</w:t>
      </w:r>
    </w:p>
    <w:p w:rsidR="00BF6A5D" w:rsidRPr="00BF6A5D" w:rsidRDefault="00BF6A5D" w:rsidP="00BF6A5D">
      <w:pPr>
        <w:pStyle w:val="JuQuot"/>
      </w:pPr>
      <w:r>
        <w:t>[...]</w:t>
      </w:r>
    </w:p>
    <w:p w:rsidR="00BF6A5D" w:rsidRPr="00BF6A5D" w:rsidRDefault="00BF6A5D" w:rsidP="00BF6A5D">
      <w:pPr>
        <w:pStyle w:val="JuQuot"/>
      </w:pPr>
      <w:r>
        <w:t>β) Criteriile de stabilire a jurisdicției</w:t>
      </w:r>
    </w:p>
    <w:p w:rsidR="00BF6A5D" w:rsidRPr="00BF6A5D" w:rsidRDefault="00BF6A5D" w:rsidP="00BF6A5D">
      <w:pPr>
        <w:pStyle w:val="JuQuot"/>
      </w:pPr>
      <w:r>
        <w:t>559.  În cazul unei susțineri privind existența unei jurisdicții extrateritoriale într-o anumită situație, Curtea va examina, având în vedere faptele specifice ale cauzei, dacă circumstanțe excepționale justifică o constatare a exercitării extrateritoriale de către statul în cauză a jurisdicției sale [</w:t>
      </w:r>
      <w:r>
        <w:rPr>
          <w:i/>
          <w:iCs/>
        </w:rPr>
        <w:t>M.N. și alții împotriva Belgiei</w:t>
      </w:r>
      <w:r>
        <w:t xml:space="preserve"> (dec.), nr. 3599/18, pct. 101-102, 5 mai 2020]. Cele două criterii principale sunt controlul efectiv exercitat de stat asupra unei zone (model teritorial de jurisdicție sau jurisdicție </w:t>
      </w:r>
      <w:r>
        <w:rPr>
          <w:i/>
          <w:iCs/>
        </w:rPr>
        <w:t>ratione loci</w:t>
      </w:r>
      <w:r>
        <w:t xml:space="preserve">) și autoritatea și controlul unui agent al statului asupra unor persoane fizice (model personal de jurisdicție sau jurisdicție </w:t>
      </w:r>
      <w:r>
        <w:rPr>
          <w:i/>
          <w:iCs/>
        </w:rPr>
        <w:t>ratione personae</w:t>
      </w:r>
      <w:r>
        <w:t>) [</w:t>
      </w:r>
      <w:r>
        <w:rPr>
          <w:i/>
          <w:iCs/>
        </w:rPr>
        <w:t>Georgia împotriva Rusiei (II)</w:t>
      </w:r>
      <w:r>
        <w:t>, citată anterior, pct. 115]. Un alt criteriu poate fi relevant în cauzele referitoare la obligația procedurală care decurge din art. 2: aceasta este noțiunea de legătură jurisdicțională între statul pârât și rudele victimei în circumstanțele cauzei. Aceste criterii vor fi examinate pe rând în cele ce urmează.</w:t>
      </w:r>
    </w:p>
    <w:p w:rsidR="00BF6A5D" w:rsidRPr="00BF6A5D" w:rsidRDefault="00BF6A5D" w:rsidP="00BF6A5D">
      <w:pPr>
        <w:pStyle w:val="JuQuot"/>
        <w:rPr>
          <w:i/>
          <w:iCs/>
        </w:rPr>
      </w:pPr>
      <w:r>
        <w:rPr>
          <w:i/>
        </w:rPr>
        <w:t>‒ Controlul efectiv asupra unei zone</w:t>
      </w:r>
    </w:p>
    <w:p w:rsidR="00BF6A5D" w:rsidRPr="00BF6A5D" w:rsidRDefault="00BF6A5D" w:rsidP="00BF6A5D">
      <w:pPr>
        <w:pStyle w:val="JuQuot"/>
      </w:pPr>
      <w:r>
        <w:t>560.  Primul tip de situație care poate da naștere, în cazuri excepționale, jurisdicției extrateritoriale este acela în care un stat contractant exercită un control efectiv asupra unei zone din afara teritoriului său național, adesea ca urmare a unei acțiuni militare, legale sau nu. [...]</w:t>
      </w:r>
    </w:p>
    <w:p w:rsidR="00BF6A5D" w:rsidRPr="00BF6A5D" w:rsidRDefault="00BF6A5D" w:rsidP="00BF6A5D">
      <w:pPr>
        <w:pStyle w:val="JuQuot"/>
        <w:rPr>
          <w:i/>
          <w:iCs/>
        </w:rPr>
      </w:pPr>
      <w:r>
        <w:rPr>
          <w:i/>
        </w:rPr>
        <w:t>‒ Autoritatea și controlul unui agent al statului</w:t>
      </w:r>
    </w:p>
    <w:p w:rsidR="00BF6A5D" w:rsidRPr="00BF6A5D" w:rsidRDefault="00BF6A5D" w:rsidP="00BF6A5D">
      <w:pPr>
        <w:pStyle w:val="JuQuot"/>
      </w:pPr>
      <w:r>
        <w:t>565.  Al doilea tip de situație care poate da naștere, în cazuri excepționale, jurisdicției extrateritoriale este acela în care se constată o autoritate exercitată sau un control exercitat de un agent al statului asupra victimei [</w:t>
      </w:r>
      <w:r>
        <w:rPr>
          <w:i/>
          <w:iCs/>
        </w:rPr>
        <w:t>Georgia împotriva Rusiei (II)</w:t>
      </w:r>
      <w:r>
        <w:t>, citată anterior, pct. 117-124).</w:t>
      </w:r>
    </w:p>
    <w:p w:rsidR="00BF6A5D" w:rsidRPr="00BF6A5D" w:rsidRDefault="00BF6A5D" w:rsidP="00BF6A5D">
      <w:pPr>
        <w:pStyle w:val="JuQuot"/>
      </w:pPr>
      <w:r>
        <w:t>566.  Jurisdicția unui stat parte poate să decurgă din acte sau omisiuni ale agenților săi diplomatici sau consulari atunci când, în virtutea atribuțiilor lor oficiale, aceștia își exercită în străinătate autoritatea asupra resortisanților acestui stat sau asupra bunurilor lor, ori atunci când acești agenți exercită putere fizică și control fizic asupra altora (</w:t>
      </w:r>
      <w:r>
        <w:rPr>
          <w:i/>
          <w:iCs/>
        </w:rPr>
        <w:t>Al-Skeini și alții</w:t>
      </w:r>
      <w:r>
        <w:t xml:space="preserve">, pct. 134, și </w:t>
      </w:r>
      <w:r>
        <w:rPr>
          <w:i/>
          <w:iCs/>
        </w:rPr>
        <w:t>M.N. și alții împotriva Belgiei</w:t>
      </w:r>
      <w:r>
        <w:t>, pct. 106 și 117-119, ambele citate anterior).</w:t>
      </w:r>
    </w:p>
    <w:p w:rsidR="00BF6A5D" w:rsidRPr="00BF6A5D" w:rsidRDefault="00BF6A5D" w:rsidP="00BF6A5D">
      <w:pPr>
        <w:pStyle w:val="JuQuot"/>
      </w:pPr>
      <w:r>
        <w:t>567.  Curtea a explicat, de asemenea, că un stat poate să exercite o jurisdicție extrateritorială în cazul în care, în virtutea consimțământului sau a invitației guvernului local respectiv, a exercitat, prin intermediul agenților săi sau al altor persoane aflate sub comanda sa și sub supravegherea sa directă, prerogative de putere publică exercitate în mod normal de acest guvern [</w:t>
      </w:r>
      <w:r>
        <w:rPr>
          <w:i/>
          <w:iCs/>
        </w:rPr>
        <w:t>Al-Skeini și alții</w:t>
      </w:r>
      <w:r>
        <w:t xml:space="preserve">, citată anterior, pct. 135 și 144-147; și </w:t>
      </w:r>
      <w:r>
        <w:rPr>
          <w:i/>
          <w:iCs/>
        </w:rPr>
        <w:t>Jaloud împotriva Țărilor de Jos</w:t>
      </w:r>
      <w:r>
        <w:t xml:space="preserve"> (MC), nr. 47708/08, pct. 139, 149 și 152, CEDO 2014].</w:t>
      </w:r>
    </w:p>
    <w:p w:rsidR="00BF6A5D" w:rsidRPr="00BF6A5D" w:rsidRDefault="00BF6A5D" w:rsidP="00BF6A5D">
      <w:pPr>
        <w:pStyle w:val="JuQuot"/>
      </w:pPr>
      <w:r>
        <w:t xml:space="preserve">568.  În fine, jurisprudența Curții stabilește că, în anumite circumstanțe, recurgerea la forță de către agenții unui stat care își desfășoară activitatea în afara teritoriului său </w:t>
      </w:r>
      <w:r>
        <w:lastRenderedPageBreak/>
        <w:t>poate aduce sub jurisdicția acestui stat, în sensul art. 1, orice persoană aflată astfel sub controlul lor [</w:t>
      </w:r>
      <w:r>
        <w:rPr>
          <w:i/>
          <w:iCs/>
        </w:rPr>
        <w:t>Al-Skeini și alții</w:t>
      </w:r>
      <w:r>
        <w:t xml:space="preserve">, pct. 136, </w:t>
      </w:r>
      <w:r>
        <w:rPr>
          <w:i/>
          <w:iCs/>
        </w:rPr>
        <w:t>Georgia împotriva Rusiei (II)</w:t>
      </w:r>
      <w:r>
        <w:t xml:space="preserve">, pct. 117, [ambele citate anterior] și </w:t>
      </w:r>
      <w:r>
        <w:rPr>
          <w:i/>
          <w:iCs/>
        </w:rPr>
        <w:t>Carter</w:t>
      </w:r>
      <w:r>
        <w:t xml:space="preserve"> [</w:t>
      </w:r>
      <w:r>
        <w:rPr>
          <w:i/>
          <w:iCs/>
        </w:rPr>
        <w:t>împotriva Rusiei</w:t>
      </w:r>
      <w:r>
        <w:t xml:space="preserve">, nr. 20914/07, pct. 126-130, 150 și 158-161, 21 septembrie 2021]. Conținutul exact al acestei excepții a făcut obiectul unei ample analize și discuții în jurisprudența Curții [a se vedea, pentru un exemplu foarte recent, </w:t>
      </w:r>
      <w:r>
        <w:rPr>
          <w:i/>
          <w:iCs/>
        </w:rPr>
        <w:t>Georgia împotriva Rusiei (II)</w:t>
      </w:r>
      <w:r>
        <w:t xml:space="preserve">, pct. 117-124 și 130-136, precum și </w:t>
      </w:r>
      <w:r>
        <w:rPr>
          <w:i/>
          <w:iCs/>
        </w:rPr>
        <w:t>Carter</w:t>
      </w:r>
      <w:r>
        <w:t>, pct. 126-130, ambele citate anterior]. Se pare că aceasta cuprinde două scenarii diferite, dar cu potențial să se suprapună.</w:t>
      </w:r>
    </w:p>
    <w:p w:rsidR="00BF6A5D" w:rsidRPr="00BF6A5D" w:rsidRDefault="00BF6A5D" w:rsidP="00BF6A5D">
      <w:pPr>
        <w:pStyle w:val="JuQuot"/>
      </w:pPr>
      <w:r>
        <w:t>569.  În primul rând, aceasta acoperă exercitarea de către agenți ai statului a puterii fizice și a controlului fizic asupra victimei sau a bunurilor în cauză (</w:t>
      </w:r>
      <w:r>
        <w:rPr>
          <w:i/>
          <w:iCs/>
        </w:rPr>
        <w:t>Al-Skeini și alții</w:t>
      </w:r>
      <w:r>
        <w:t>, citată anterior, pct. 136). Această situație cuprinde în mod clar cazurile în care persoana se află în stare de arest [</w:t>
      </w:r>
      <w:r>
        <w:rPr>
          <w:i/>
          <w:iCs/>
        </w:rPr>
        <w:t>Öcalan împotriva Turciei</w:t>
      </w:r>
      <w:r>
        <w:t xml:space="preserve"> (MC), nr. 46221/99, pct. 91, CEDO 2005-IV]. Poate include și cazurile în care libertatea de a pleca și de a veni sau de acțiune este supusă unei forme mai reduse de restricție [a se vedea, de exemplu, </w:t>
      </w:r>
      <w:r>
        <w:rPr>
          <w:i/>
          <w:iCs/>
        </w:rPr>
        <w:t>Medvedyev și alții împotriva Franței</w:t>
      </w:r>
      <w:r>
        <w:t xml:space="preserve"> (MC), nr. 3394/03, pct. 67, CEDO 2010].</w:t>
      </w:r>
    </w:p>
    <w:p w:rsidR="00BF6A5D" w:rsidRPr="00BF6A5D" w:rsidRDefault="00BF6A5D" w:rsidP="00BF6A5D">
      <w:pPr>
        <w:pStyle w:val="JuQuot"/>
      </w:pPr>
      <w:r>
        <w:t>570.  În al doilea rând, aceasta acoperă actele de violență izolate și specifice care implică un element de proximitate [</w:t>
      </w:r>
      <w:r>
        <w:rPr>
          <w:i/>
          <w:iCs/>
        </w:rPr>
        <w:t>Georgia împotriva Rusiei (II)</w:t>
      </w:r>
      <w:r>
        <w:t xml:space="preserve">, pct. 130-132 și </w:t>
      </w:r>
      <w:r>
        <w:rPr>
          <w:i/>
          <w:iCs/>
        </w:rPr>
        <w:t>Carter</w:t>
      </w:r>
      <w:r>
        <w:t xml:space="preserve">, pct. 129-130, ambele citate anterior]. Astfel, Curtea a constatat existența unei jurisdicții în cazul în care agenții statului au lovit persoane ori au tras focuri de armă asupra unor persoane în afara teritoriului statului respectiv [a se vedea, de exemplu, </w:t>
      </w:r>
      <w:r>
        <w:rPr>
          <w:i/>
          <w:iCs/>
        </w:rPr>
        <w:t>Isaak împotriva Turciei</w:t>
      </w:r>
      <w:r>
        <w:t xml:space="preserve"> (dec.), nr. 44587/98, 28 septembrie 2006 și </w:t>
      </w:r>
      <w:r>
        <w:rPr>
          <w:i/>
          <w:iCs/>
        </w:rPr>
        <w:t>Andreou</w:t>
      </w:r>
      <w:r>
        <w:t xml:space="preserve"> [</w:t>
      </w:r>
      <w:r>
        <w:rPr>
          <w:i/>
          <w:iCs/>
        </w:rPr>
        <w:t>împotriva Turciei</w:t>
      </w:r>
      <w:r>
        <w:t xml:space="preserve"> (dec.), nr. 45653/99, 3 iunie 2008] și în cazul asasinatului selectiv extrajudiciar al unei persoane de către agenți ai statului pe teritoriul unui alt stat contractant în alt context decât operațiunile militare (</w:t>
      </w:r>
      <w:r>
        <w:rPr>
          <w:i/>
          <w:iCs/>
        </w:rPr>
        <w:t>Carter</w:t>
      </w:r>
      <w:r>
        <w:t xml:space="preserve">, citată anterior, pct. 129-130). Curtea a explicat că, într-un astfel de caz, răspunderea decurge din faptul că art. 1 din Convenție nu poate fi interpretat în sensul că autorizează un stat contractant să comită pe teritoriul altui stat încălcări ale Convenției pe care nu le-ar putea comite pe teritoriul propriu. În cauza </w:t>
      </w:r>
      <w:r>
        <w:rPr>
          <w:i/>
          <w:iCs/>
        </w:rPr>
        <w:t>Carter</w:t>
      </w:r>
      <w:r>
        <w:t>, a adăugat că încălcările selective ale drepturilor fundamentale ale unei persoane comise de un stat contractant pe teritoriul altui stat contractant subminează eficacitatea Convenției atât în calitate de gardian al protecției drepturilor omului, cât și în calitate de garant al păcii, stabilității și statului de drept în Europa (</w:t>
      </w:r>
      <w:r>
        <w:rPr>
          <w:i/>
          <w:iCs/>
        </w:rPr>
        <w:t>ibidem</w:t>
      </w:r>
      <w:r>
        <w:t>, citată anterior, pct. 128).</w:t>
      </w:r>
    </w:p>
    <w:p w:rsidR="00BF6A5D" w:rsidRPr="00BF6A5D" w:rsidRDefault="00BF6A5D" w:rsidP="00BF6A5D">
      <w:pPr>
        <w:pStyle w:val="JuQuot"/>
      </w:pPr>
      <w:r>
        <w:t>571.  În toate cauzele privind exercitarea autorității și controlului de către un agent al statului, odată stabilită o jurisdicție, aceasta este o jurisdicție personală în raport cu victima. Într-un astfel de caz, art. 1 din Convenție impune statului în discuție obligația de a recunoaște persoanei în cauză drepturile și libertățile care sunt relevante în situația sa. În acest sens, drepturile care decurg din Convenție pot fi, prin urmare, divizate și adaptate (</w:t>
      </w:r>
      <w:r>
        <w:rPr>
          <w:i/>
          <w:iCs/>
        </w:rPr>
        <w:t>Al-Skeini și alții</w:t>
      </w:r>
      <w:r>
        <w:t xml:space="preserve">, pct. 137, și </w:t>
      </w:r>
      <w:r>
        <w:rPr>
          <w:i/>
          <w:iCs/>
        </w:rPr>
        <w:t>Carter</w:t>
      </w:r>
      <w:r>
        <w:t xml:space="preserve">, pct. 126, ambele citate anterior); respingerea acestei propuneri în decizia </w:t>
      </w:r>
      <w:r>
        <w:rPr>
          <w:i/>
          <w:iCs/>
        </w:rPr>
        <w:t>Banković și alții</w:t>
      </w:r>
      <w:r>
        <w:t xml:space="preserve"> (citată anterior, pct. 75) nu mai corespunde așadar abordării aplicate de Curte în contextul art. 1 din Convenție.</w:t>
      </w:r>
    </w:p>
    <w:p w:rsidR="00BF6A5D" w:rsidRPr="00BF6A5D" w:rsidRDefault="00BF6A5D" w:rsidP="00BF6A5D">
      <w:pPr>
        <w:pStyle w:val="JuQuot"/>
      </w:pPr>
      <w:r>
        <w:t xml:space="preserve">572.  Spre deosebire de constatările sale în cauzele referitoare la controlul efectiv asupra unei zone, Curtea a constatat în numeroase rânduri existența unei jurisdicții personale în sensul art. 1 din Convenție în afara spațiului juridic al Convenției (a se vedea, printre altele, </w:t>
      </w:r>
      <w:r>
        <w:rPr>
          <w:i/>
          <w:iCs/>
        </w:rPr>
        <w:t>Öcalan</w:t>
      </w:r>
      <w:r>
        <w:t xml:space="preserve">, </w:t>
      </w:r>
      <w:r>
        <w:rPr>
          <w:i/>
          <w:iCs/>
        </w:rPr>
        <w:t>Medvedyev și alții</w:t>
      </w:r>
      <w:r>
        <w:t xml:space="preserve">, </w:t>
      </w:r>
      <w:r>
        <w:rPr>
          <w:i/>
          <w:iCs/>
        </w:rPr>
        <w:t>Al-Skeini și alții</w:t>
      </w:r>
      <w:r>
        <w:t xml:space="preserve">, precum și </w:t>
      </w:r>
      <w:r>
        <w:rPr>
          <w:i/>
          <w:iCs/>
        </w:rPr>
        <w:t>Jaloud</w:t>
      </w:r>
      <w:r>
        <w:t>, toate citate anterior).</w:t>
      </w:r>
    </w:p>
    <w:p w:rsidR="00BF6A5D" w:rsidRPr="00BF6A5D" w:rsidRDefault="00BF6A5D" w:rsidP="00BF6A5D">
      <w:pPr>
        <w:pStyle w:val="JuQuot"/>
        <w:rPr>
          <w:i/>
          <w:iCs/>
        </w:rPr>
      </w:pPr>
      <w:r>
        <w:rPr>
          <w:i/>
        </w:rPr>
        <w:t>– „Legătura jurisdicțională” legată de obligația procedurală care decurge din art. 2</w:t>
      </w:r>
    </w:p>
    <w:p w:rsidR="00BF6A5D" w:rsidRPr="00BF6A5D" w:rsidRDefault="00BF6A5D" w:rsidP="00BF6A5D">
      <w:pPr>
        <w:pStyle w:val="JuQuot"/>
      </w:pPr>
      <w:r>
        <w:t>573.  Curtea a clarificat recent modul în care ar trebui abordată problema jurisdicției în cazurile în care decesul a survenit în afara teritoriului statului contractant ale cărui obligații procedurale în temeiul art. 2 au fost invocate [</w:t>
      </w:r>
      <w:r>
        <w:rPr>
          <w:i/>
          <w:iCs/>
        </w:rPr>
        <w:t>Güzelyurtlu și alții</w:t>
      </w:r>
      <w:r>
        <w:t xml:space="preserve">, pct. 188-190; </w:t>
      </w:r>
      <w:r>
        <w:rPr>
          <w:i/>
          <w:iCs/>
        </w:rPr>
        <w:t>Georgia împotriva Rusiei (II)</w:t>
      </w:r>
      <w:r>
        <w:t xml:space="preserve">, pct. 330, ambele citate anterior; și </w:t>
      </w:r>
      <w:r>
        <w:rPr>
          <w:i/>
          <w:iCs/>
        </w:rPr>
        <w:t xml:space="preserve">Hanan împotriva </w:t>
      </w:r>
      <w:r>
        <w:rPr>
          <w:i/>
          <w:iCs/>
        </w:rPr>
        <w:lastRenderedPageBreak/>
        <w:t>Germaniei</w:t>
      </w:r>
      <w:r>
        <w:t xml:space="preserve"> (MC), nr. 4871/16, pct. 132-133, 16 februarie 2021]. În acest context, a subliniat că obligația procedurală care decurge din art. 2 de a efectua o anchetă efectivă a devenit o obligație distinctă și independentă, care putea fi considerată o obligație detașabilă care decurge din art. 2 și care poate fi impusă statului chiar și atunci când decesul a survenit în afara jurisdicției sale (</w:t>
      </w:r>
      <w:r>
        <w:rPr>
          <w:i/>
          <w:iCs/>
        </w:rPr>
        <w:t>Güzelyurtlu și alții</w:t>
      </w:r>
      <w:r>
        <w:t>, citată anterior, pct. 189). În astfel de cazuri, se ridică problema dacă există o legătură jurisdicțională în sensul art. 1 din Convenție.</w:t>
      </w:r>
    </w:p>
    <w:p w:rsidR="00BF6A5D" w:rsidRPr="00BF6A5D" w:rsidRDefault="00BF6A5D" w:rsidP="00BF6A5D">
      <w:pPr>
        <w:pStyle w:val="JuQuot"/>
      </w:pPr>
      <w:r>
        <w:t xml:space="preserve">574.  În cazul în care autoritățile de anchetă sau organele judiciare ale unui stat contractant încep, în temeiul dreptului lor intern, propria cercetare penală sau propria urmărire penală în legătură cu un deces survenit în afara jurisdicției statului respectiv, acest lucru poate fi suficient în sine pentru a stabili o legătură jurisdicțională între statul respectiv și rudele victimei care ulterior sesizează Curtea (a se vedea </w:t>
      </w:r>
      <w:r>
        <w:rPr>
          <w:i/>
          <w:iCs/>
        </w:rPr>
        <w:t>Güzelyurtlu și alții</w:t>
      </w:r>
      <w:r>
        <w:t xml:space="preserve">, citată anterior, pct. 188, astfel cum a fost detaliată în hotărârea </w:t>
      </w:r>
      <w:r>
        <w:rPr>
          <w:i/>
          <w:iCs/>
        </w:rPr>
        <w:t>Hanan</w:t>
      </w:r>
      <w:r>
        <w:t>, citată anterior, pct. 135).</w:t>
      </w:r>
    </w:p>
    <w:p w:rsidR="00BF6A5D" w:rsidRPr="00BF6A5D" w:rsidRDefault="00BF6A5D" w:rsidP="00BF6A5D">
      <w:pPr>
        <w:pStyle w:val="JuQuot"/>
      </w:pPr>
      <w:r>
        <w:t>575.  În cazul în care nu s-a început o astfel de cercetare sau urmărire penală într-un stat contractant, circumstanțe specifice ale speței pot da naștere unei legături jurisdicționale în raport cu obligația procedurală de anchetă care decurge din art. 2. Nu este posibilă întocmirea unei liste exhaustive a acestor circumstanțe deoarece acestea vor depinde în mod necesar de particularitățile fiecărei cauze și pot să difere considerabil de la o cauză la alta (</w:t>
      </w:r>
      <w:r>
        <w:rPr>
          <w:i/>
          <w:iCs/>
        </w:rPr>
        <w:t>Güzelyurtlu și alții</w:t>
      </w:r>
      <w:r>
        <w:t xml:space="preserve">, citată anterior, pct. 190). Curtea a constatat «circumstanțe speciale» care s-au dovedit suficiente pentru a da naștere unei legături jurisdicționale într-o serie de cauze [a se vedea, de exemplu, </w:t>
      </w:r>
      <w:r>
        <w:rPr>
          <w:i/>
          <w:iCs/>
        </w:rPr>
        <w:t>Güzelyurtlu și alții</w:t>
      </w:r>
      <w:r>
        <w:t xml:space="preserve">, pct. 191-196, </w:t>
      </w:r>
      <w:r>
        <w:rPr>
          <w:i/>
          <w:iCs/>
        </w:rPr>
        <w:t>Georgia împotriva Rusiei (II)</w:t>
      </w:r>
      <w:r>
        <w:t xml:space="preserve">, pct. 331-132 și </w:t>
      </w:r>
      <w:r>
        <w:rPr>
          <w:i/>
          <w:iCs/>
        </w:rPr>
        <w:t>Hanan</w:t>
      </w:r>
      <w:r>
        <w:t>, pct. 137-142, toate citate anterior].”</w:t>
      </w:r>
    </w:p>
    <w:p w:rsidR="00BF6A5D" w:rsidRPr="00BF6A5D" w:rsidRDefault="00D340B2" w:rsidP="00BF6A5D">
      <w:pPr>
        <w:pStyle w:val="JuPara"/>
      </w:pPr>
      <w:fldSimple w:instr=" SEQ level0 \*arabic \* MERGEFORMAT ">
        <w:r w:rsidR="00BF6A5D" w:rsidRPr="00BF6A5D">
          <w:t>172</w:t>
        </w:r>
      </w:fldSimple>
      <w:r w:rsidR="00BF6A5D">
        <w:t xml:space="preserve">.  Marea Cameră și-a dezvoltat în continuare analiza cu privire la problema jurisdicției în hotărârea </w:t>
      </w:r>
      <w:r w:rsidR="00BF6A5D">
        <w:rPr>
          <w:i/>
          <w:iCs/>
        </w:rPr>
        <w:t>H.F. și alții împotriva Franței</w:t>
      </w:r>
      <w:r w:rsidR="00BF6A5D">
        <w:t xml:space="preserve"> (citată anterior), în care trebuia să se pronunțe, în raport cu art. 3 din Convenție și art. 3 § 2 din Protocolul nr. 4, cu privire la refuzul implicit al autorităților franceze de a repatria femei de cetățenie franceză care, după căderea „statului islamic”, erau deținute împreună cu copiii lor mici în tabere aflate sub control kurd în nord-estul Siriei, precum și refuzul instanțelor franceze de a constata existența unui temei pentru stabilirea jurisdicției atunci când rudele persoanelor în cauză au contestat decizia autorităților franceze. Marea Cameră a considerat că este important să se facă deosebire între art. 3 din Convenție, pentru care a concluzionat că Franța nu și-a exercitat jurisdicția în temeiul art. 1 din Convenție (a se vedea </w:t>
      </w:r>
      <w:r w:rsidR="00BF6A5D">
        <w:rPr>
          <w:i/>
          <w:iCs/>
        </w:rPr>
        <w:t>infra</w:t>
      </w:r>
      <w:r w:rsidR="00BF6A5D">
        <w:t xml:space="preserve">, pct. </w:t>
      </w:r>
      <w:r w:rsidR="00BF6A5D" w:rsidRPr="00BF6A5D">
        <w:fldChar w:fldCharType="begin"/>
      </w:r>
      <w:r w:rsidR="00BF6A5D" w:rsidRPr="00BF6A5D">
        <w:instrText xml:space="preserve"> REF paragraph00172 \h  \* CharFormat </w:instrText>
      </w:r>
      <w:r w:rsidR="00BF6A5D" w:rsidRPr="00BF6A5D">
        <w:fldChar w:fldCharType="separate"/>
      </w:r>
      <w:r w:rsidR="00BF6A5D" w:rsidRPr="00BF6A5D">
        <w:t>176</w:t>
      </w:r>
      <w:r w:rsidR="00BF6A5D" w:rsidRPr="00BF6A5D">
        <w:fldChar w:fldCharType="end"/>
      </w:r>
      <w:r w:rsidR="00BF6A5D">
        <w:t xml:space="preserve">) și art. 3 § 2 din Protocolul nr. 4, pentru care a concluzionat că există un temei pentru stabilirea jurisdicției având în vedere natura foarte specifică a acestei dispoziții (a se vedea </w:t>
      </w:r>
      <w:r w:rsidR="00BF6A5D">
        <w:rPr>
          <w:i/>
          <w:iCs/>
        </w:rPr>
        <w:t>infra</w:t>
      </w:r>
      <w:r w:rsidR="00BF6A5D">
        <w:t>, pct. 175).</w:t>
      </w:r>
    </w:p>
    <w:p w:rsidR="00BF6A5D" w:rsidRPr="00BF6A5D" w:rsidRDefault="00D340B2" w:rsidP="00BF6A5D">
      <w:pPr>
        <w:pStyle w:val="JuPara"/>
      </w:pPr>
      <w:fldSimple w:instr=" SEQ level0 \*arabic \* MERGEFORMAT ">
        <w:r w:rsidR="00BF6A5D" w:rsidRPr="00BF6A5D">
          <w:t>173</w:t>
        </w:r>
      </w:fldSimple>
      <w:r w:rsidR="00BF6A5D">
        <w:t xml:space="preserve">.  În special, se poate observa că Curtea a ridicat problema existenței unor „circumstanțe speciale” în speță care pot duce la exercitarea de către un stat contractant a jurisdicției sale în afara frontierelor sale, chestiune care trebuie soluționată în lumina faptelor cauzei. În hotărârea citată anterior, Curtea a examinat următoarele aspecte: „controlul” exercitat de Franța asupra zonei în care erau deținute rudele reclamanților, legătura jurisdicțională care decurgea din inițierea procedurilor interne și, în sfârșit, „elementul de </w:t>
      </w:r>
      <w:r w:rsidR="00BF6A5D">
        <w:lastRenderedPageBreak/>
        <w:t>legătură” cu statul (cetățenia și competența diplomatică sau consulară) în lumina fiecăreia dintre dispozițiile în discuție (</w:t>
      </w:r>
      <w:r w:rsidR="00BF6A5D">
        <w:rPr>
          <w:i/>
        </w:rPr>
        <w:t>ibidem</w:t>
      </w:r>
      <w:r w:rsidR="00BF6A5D">
        <w:t>, pct. 190).</w:t>
      </w:r>
    </w:p>
    <w:p w:rsidR="00BF6A5D" w:rsidRPr="00BF6A5D" w:rsidRDefault="00D340B2" w:rsidP="00BF6A5D">
      <w:pPr>
        <w:pStyle w:val="JuPara"/>
      </w:pPr>
      <w:fldSimple w:instr=" SEQ level0 \*arabic \* MERGEFORMAT ">
        <w:r w:rsidR="00BF6A5D" w:rsidRPr="00BF6A5D">
          <w:t>174</w:t>
        </w:r>
      </w:fldSimple>
      <w:r w:rsidR="00BF6A5D">
        <w:t xml:space="preserve">.  Concluzionând că Franța nu exercita un „control efectiv” asupra teritoriului în cauză și nici vreun „control” asupra rudelor reclamanților și că inițierea procedurilor la nivel național nu determinase jurisdicția Franței, Curtea a examinat chestiunea dacă „circumstanțele excepționale privind legătura de cetățenie dintre rudele reclamanților și statul pârât, precum și pretinsa competență diplomatică a acestuia din urmă pentru a-i proteja împotriva relelor tratamente suferite [...] determină competența </w:t>
      </w:r>
      <w:r w:rsidR="00BF6A5D">
        <w:rPr>
          <w:i/>
          <w:iCs/>
        </w:rPr>
        <w:t>ratione loci</w:t>
      </w:r>
      <w:r w:rsidR="00BF6A5D">
        <w:t xml:space="preserve"> a statului de a examina cererile” (</w:t>
      </w:r>
      <w:r w:rsidR="00BF6A5D">
        <w:rPr>
          <w:i/>
          <w:iCs/>
        </w:rPr>
        <w:t>ibidem</w:t>
      </w:r>
      <w:r w:rsidR="00BF6A5D">
        <w:t>, pct. 192, 196-197).</w:t>
      </w:r>
    </w:p>
    <w:p w:rsidR="00BF6A5D" w:rsidRPr="00BF6A5D" w:rsidRDefault="00D340B2" w:rsidP="00BF6A5D">
      <w:pPr>
        <w:pStyle w:val="JuPara"/>
      </w:pPr>
      <w:fldSimple w:instr=" SEQ level0 \*arabic \* MERGEFORMAT ">
        <w:r w:rsidR="00BF6A5D" w:rsidRPr="00BF6A5D">
          <w:t>175</w:t>
        </w:r>
      </w:fldSimple>
      <w:r w:rsidR="00BF6A5D">
        <w:t>.  În ceea ce privește capătul de cerere formulat în temeiul art. 3 § 2 din Protocolul nr. 4, Curtea, având în vedere natura specifică a acestei dispoziții, a concluzionat că, pe lângă elementul de legătură juridică dintre stat și resortisanții săi, alte circumstanțe speciale ale cauzei erau de natură să determine jurisdicția statului pârât în sensul acestei dispoziții cu privire la reclamanți (</w:t>
      </w:r>
      <w:r w:rsidR="00BF6A5D">
        <w:rPr>
          <w:i/>
          <w:iCs/>
        </w:rPr>
        <w:t>ibidem</w:t>
      </w:r>
      <w:r w:rsidR="00BF6A5D">
        <w:t>, pct. 212-214). În special, aceasta a urmat următorul raționament (trimiteri omise):</w:t>
      </w:r>
    </w:p>
    <w:p w:rsidR="00BF6A5D" w:rsidRPr="00BF6A5D" w:rsidRDefault="00BF6A5D" w:rsidP="00BF6A5D">
      <w:pPr>
        <w:pStyle w:val="JuQuot"/>
      </w:pPr>
      <w:r>
        <w:t>„213.  În cauza prezentă, aceasta consideră că, pe lângă elementul de legătură juridică dintre stat și cetățenii săi, trebuie să se țină seama de următoarele circumstanțe speciale care sunt legate de situația din taberele din nord-estul Siriei. În primul rând, reclamanții au adresat mai multe cereri oficiale de înapoiere și de asistență autorităților franceze, solicitând statului pârât să permită rudelor lor să își exercite dreptul prevăzut de această dispoziție [...]. În al doilea rând, aceste cereri au fost formulate pe baza valorilor fundamentale ale societăților democratice care alcătuiesc Consiliul Europei, în timp ce rudele lor se confruntau cu o amenințare reală și imediată la adresa vieții și a integrității lor fizice, atât din cauza condițiilor de viață și de securitate din tabere, considerate ca fiind incompatibile cu respectarea demnității umane [...], cât și din cauza vulnerabilității extreme în care se aflau, având în vedere vârsta, în ceea ce îi privește pe copii [...], precum și sănătatea acestora. În al treilea rând, având în vedere modalitatea și durata detenției lor, persoanele în cauză nu sunt în măsură să părăsească taberele sau orice alt loc în care ar fi ținute în detenție incommunicado pentru a ajunge pe teritoriul național fără ajutorul autorităților franceze, aflându-se în imposibilitatea materială de a ajunge la frontiera franceză sau la orice altă frontieră de stat de unde să poată fi predate acestor autorități [...]. Curtea constată, în sfârșit, că autoritățile kurde și-au manifestat disponibilitatea de a preda autorităților naționale femeile deținute de cetățenie franceză și pe copiii acestora [...].”</w:t>
      </w:r>
    </w:p>
    <w:bookmarkStart w:id="125" w:name="paragraph0017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176</w:t>
      </w:r>
      <w:r w:rsidRPr="00BF6A5D">
        <w:fldChar w:fldCharType="end"/>
      </w:r>
      <w:bookmarkEnd w:id="125"/>
      <w:r>
        <w:t>.  În ceea ce privește capătul de cerere privind încălcarea art. 3, Curtea a declarat, în schimb, că circumstanțele cauzei nu sunt de natură să determine aducerea reclamanților sub jurisdicția statului pârât. Extrasele din raționamentul său care sunt relevante pentru prezenta cauză sunt următoarele (</w:t>
      </w:r>
      <w:r>
        <w:rPr>
          <w:i/>
          <w:iCs/>
        </w:rPr>
        <w:t>ibidem</w:t>
      </w:r>
      <w:r>
        <w:t>, pct. 199-203):</w:t>
      </w:r>
    </w:p>
    <w:p w:rsidR="00BF6A5D" w:rsidRPr="00BF6A5D" w:rsidRDefault="00BF6A5D" w:rsidP="00BF6A5D">
      <w:pPr>
        <w:pStyle w:val="JuQuot"/>
      </w:pPr>
      <w:r>
        <w:t>„199.  [...] Curtea consideră că simpla invocare de către reclamanți a capacității operaționale de repatriere a Franței, în cadrul exercitării normale a competenței sale personale bazate pe cetățenie în sensul dreptului internațional public, sau ca o formă de control sau de autoritate pe care aceasta a omis în mod greșit să o exercite în cazul rudelor lor, nu este suficientă pentru a stabili existența unei circumstanțe excepționale de natură să declanșeze o legătură jurisdicțională extrateritorială. [...]</w:t>
      </w:r>
    </w:p>
    <w:p w:rsidR="00BF6A5D" w:rsidRPr="00BF6A5D" w:rsidRDefault="00BF6A5D" w:rsidP="00BF6A5D">
      <w:pPr>
        <w:pStyle w:val="JuQuot"/>
      </w:pPr>
      <w:r>
        <w:lastRenderedPageBreak/>
        <w:t>200.  În primul rând, simplul fapt că deciziile luate la nivel național au avut un impact asupra situației persoanelor cu reședința în străinătate nu este de natură să stabilească jurisdicția statului respectiv în privința acestora în afara teritoriului său (</w:t>
      </w:r>
      <w:r>
        <w:rPr>
          <w:i/>
        </w:rPr>
        <w:t>M.N. și alții</w:t>
      </w:r>
      <w:r>
        <w:t>, citată anterior, pct. 112).</w:t>
      </w:r>
    </w:p>
    <w:p w:rsidR="00BF6A5D" w:rsidRPr="00BF6A5D" w:rsidRDefault="00BF6A5D" w:rsidP="00BF6A5D">
      <w:pPr>
        <w:pStyle w:val="JuQuot"/>
      </w:pPr>
      <w:r>
        <w:t>201.  În al doilea rând, deși reclamanții susțin că refuzul de repatriere a rudelor lor a fost făcut în deplină cunoștință de cauză cu privire la situația acestora și că operațiunile de repatriere efectuate de Franța între 2019 și 2021 demonstrează exercitarea unei forme de control și a unei autorități asupra resortisanților săi deținuți în taberele siriene, Curtea observă că nici dreptul intern [...], nici dreptul internațional, fie că este vorba de dreptul cutumiar referitor la protecția diplomatică și consulară [...] sau de rezoluțiile Consiliului de Securitate [...], nu obligă statul să acționeze în numele resortisanților săi și să îi repatrieze. [...]</w:t>
      </w:r>
    </w:p>
    <w:p w:rsidR="00BF6A5D" w:rsidRPr="00BF6A5D" w:rsidRDefault="00BF6A5D" w:rsidP="00BF6A5D">
      <w:pPr>
        <w:pStyle w:val="JuQuot"/>
      </w:pPr>
      <w:r>
        <w:t>202.  În al treilea rând, chiar admițând, așa cum fac reclamanții, că situația în care se aflau rudele lor nu se încadrează în situațiile clasice de protecție diplomatică și consulară, definite și limitate de drepturile teritoriale suverane ale statelor de reședință, și că numai Franța, către care s-au îndreptat, este susceptibilă să le acorde asistență, Curtea consideră că aceste împrejurări nu sunt de natură să stabilească jurisdicția acestui stat în privința lor. [...]</w:t>
      </w:r>
    </w:p>
    <w:p w:rsidR="00BF6A5D" w:rsidRPr="00BF6A5D" w:rsidRDefault="00BF6A5D" w:rsidP="00BF6A5D">
      <w:pPr>
        <w:pStyle w:val="JuQuot"/>
      </w:pPr>
      <w:r>
        <w:t>203.  În sfârșit, Curtea opinează că reclamanții nu pot susține în mod valabil că simpla decizie a autorităților franceze de a nu le repatria rudele are ca rezultat plasarea acestora în sfera de aplicare a jurisdicției statului francez în ceea ce privește tratamente suferite în taberele siriene aflate sub control kurd. O astfel de extindere a domeniului de aplicare a Convenției nu găsește nicio fundamentare în jurisprudență [...]”</w:t>
      </w:r>
    </w:p>
    <w:p w:rsidR="00BF6A5D" w:rsidRPr="00BF6A5D" w:rsidRDefault="00BF6A5D" w:rsidP="00BF6A5D">
      <w:pPr>
        <w:pStyle w:val="JuH1"/>
      </w:pPr>
      <w:bookmarkStart w:id="126" w:name="_Toc177058437"/>
      <w:r>
        <w:t>Aplicarea în prezenta cauză a principiilor și considerațiilor de mai sus</w:t>
      </w:r>
      <w:bookmarkEnd w:id="126"/>
    </w:p>
    <w:p w:rsidR="00BF6A5D" w:rsidRPr="00BF6A5D" w:rsidRDefault="00D340B2" w:rsidP="00BF6A5D">
      <w:pPr>
        <w:pStyle w:val="JuPara"/>
      </w:pPr>
      <w:fldSimple w:instr=" SEQ level0 \*arabic \* MERGEFORMAT ">
        <w:r w:rsidR="00BF6A5D" w:rsidRPr="00BF6A5D">
          <w:t>177</w:t>
        </w:r>
      </w:fldSimple>
      <w:r w:rsidR="00BF6A5D">
        <w:t>.  Curtea va examina pe rând criteriile referitoare la noțiunea de jurisdicție care au fost expuse mai sus pentru a se pronunța dacă se poate stabili jurisdicția statelor pârâte în prezenta cauză.</w:t>
      </w:r>
    </w:p>
    <w:p w:rsidR="00BF6A5D" w:rsidRPr="00BF6A5D" w:rsidRDefault="00BF6A5D" w:rsidP="00BF6A5D">
      <w:pPr>
        <w:pStyle w:val="JuHa0"/>
      </w:pPr>
      <w:bookmarkStart w:id="127" w:name="_Toc177058438"/>
      <w:r>
        <w:t>Cu privire la jurisdicția teritorială</w:t>
      </w:r>
      <w:bookmarkEnd w:id="127"/>
    </w:p>
    <w:bookmarkStart w:id="128" w:name="paragraph00189"/>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178</w:t>
      </w:r>
      <w:r w:rsidRPr="00BF6A5D">
        <w:fldChar w:fldCharType="end"/>
      </w:r>
      <w:bookmarkEnd w:id="128"/>
      <w:r>
        <w:t>.  Toți reclamanții au reședința în Portugalia și, prin urmare, se află sub jurisdicția teritorială a acestui stat, care trebuie așadar, în temeiul art. 1 din Convenție, să răspundă pentru orice atingere, imputabilă acestuia, care a fost adusă drepturilor și libertăților protejate de Convenție în privința reclamanților [</w:t>
      </w:r>
      <w:r>
        <w:rPr>
          <w:i/>
          <w:iCs/>
        </w:rPr>
        <w:t>Ilașcu și alții împotriva Moldovei și a Rusiei</w:t>
      </w:r>
      <w:r>
        <w:t xml:space="preserve">, nr. 48787/99, pct. 311-312, CEDO 2004-VII]. Acest aspect nu este contestat de guvernele pârâte (a se vedea </w:t>
      </w:r>
      <w:r>
        <w:rPr>
          <w:i/>
          <w:iCs/>
        </w:rPr>
        <w:t>supra</w:t>
      </w:r>
      <w:r>
        <w:t xml:space="preserve">, pct. </w:t>
      </w:r>
      <w:r w:rsidRPr="00BF6A5D">
        <w:fldChar w:fldCharType="begin"/>
      </w:r>
      <w:r w:rsidRPr="00BF6A5D">
        <w:instrText xml:space="preserve"> REF paragraph79 \h </w:instrText>
      </w:r>
      <w:r w:rsidRPr="00BF6A5D">
        <w:fldChar w:fldCharType="separate"/>
      </w:r>
      <w:r w:rsidRPr="00BF6A5D">
        <w:t>77</w:t>
      </w:r>
      <w:r w:rsidRPr="00BF6A5D">
        <w:fldChar w:fldCharType="end"/>
      </w:r>
      <w:r>
        <w:t xml:space="preserve">). Totuși, Guvernul Portugaliei susține că problema jurisdicției trebuie să fie tratată separat de cea a răspunderii sale efective pentru pretinsele încălcări ale Convenției (a se vedea </w:t>
      </w:r>
      <w:r>
        <w:rPr>
          <w:i/>
          <w:iCs/>
        </w:rPr>
        <w:t>supra</w:t>
      </w:r>
      <w:r>
        <w:t xml:space="preserve">, pct. </w:t>
      </w:r>
      <w:r w:rsidRPr="00BF6A5D">
        <w:fldChar w:fldCharType="begin"/>
      </w:r>
      <w:r w:rsidRPr="00BF6A5D">
        <w:instrText xml:space="preserve"> REF paragraph112 \h </w:instrText>
      </w:r>
      <w:r w:rsidRPr="00BF6A5D">
        <w:fldChar w:fldCharType="separate"/>
      </w:r>
      <w:r w:rsidRPr="00BF6A5D">
        <w:t>110</w:t>
      </w:r>
      <w:r w:rsidRPr="00BF6A5D">
        <w:fldChar w:fldCharType="end"/>
      </w:r>
      <w:r>
        <w:t>). Curtea este de acord cu această analiză. Problema răspunderii este o chestiune separată, care trebuie analizată, dacă este cazul, în cadrul examinării pe fond a capătului de cerere [</w:t>
      </w:r>
      <w:r>
        <w:rPr>
          <w:i/>
          <w:iCs/>
        </w:rPr>
        <w:t>Loizidou împotriva Turciei</w:t>
      </w:r>
      <w:r>
        <w:t xml:space="preserve"> (excepții preliminare), 23 martie 1995, pct. 61, seria A nr. 310; </w:t>
      </w:r>
      <w:r>
        <w:rPr>
          <w:i/>
          <w:iCs/>
        </w:rPr>
        <w:t>Georgia împotriva Rusiei (II)</w:t>
      </w:r>
      <w:r>
        <w:t xml:space="preserve">, citată anterior, pct. 162; și </w:t>
      </w:r>
      <w:r>
        <w:rPr>
          <w:i/>
          <w:iCs/>
        </w:rPr>
        <w:t>Ucraina și Țările de Jos împotriva Rusiei</w:t>
      </w:r>
      <w:r>
        <w:t>, citată anterior, pct. 549].</w:t>
      </w:r>
    </w:p>
    <w:p w:rsidR="00BF6A5D" w:rsidRPr="00BF6A5D" w:rsidRDefault="00D340B2" w:rsidP="00BF6A5D">
      <w:pPr>
        <w:pStyle w:val="JuPara"/>
      </w:pPr>
      <w:fldSimple w:instr=" SEQ level0 \*arabic \* MERGEFORMAT ">
        <w:r w:rsidR="00BF6A5D" w:rsidRPr="00BF6A5D">
          <w:t>179</w:t>
        </w:r>
      </w:fldSimple>
      <w:r w:rsidR="00BF6A5D">
        <w:t xml:space="preserve">.  În ceea ce privește celelalte state pârâte, reclamanții nu pretind (a se vedea </w:t>
      </w:r>
      <w:r w:rsidR="00BF6A5D">
        <w:rPr>
          <w:i/>
          <w:iCs/>
        </w:rPr>
        <w:t>supra</w:t>
      </w:r>
      <w:r w:rsidR="00BF6A5D">
        <w:t xml:space="preserve">, pct. </w:t>
      </w:r>
      <w:r w:rsidR="00BF6A5D" w:rsidRPr="00BF6A5D">
        <w:fldChar w:fldCharType="begin"/>
      </w:r>
      <w:r w:rsidR="00BF6A5D" w:rsidRPr="00BF6A5D">
        <w:instrText xml:space="preserve">REF paragraph00123 \h \* CharFormat  \* MERGEFORMAT </w:instrText>
      </w:r>
      <w:r w:rsidR="00BF6A5D" w:rsidRPr="00BF6A5D">
        <w:fldChar w:fldCharType="separate"/>
      </w:r>
      <w:r w:rsidR="00BF6A5D" w:rsidRPr="00BF6A5D">
        <w:t>121</w:t>
      </w:r>
      <w:r w:rsidR="00BF6A5D" w:rsidRPr="00BF6A5D">
        <w:fldChar w:fldCharType="end"/>
      </w:r>
      <w:r w:rsidR="00BF6A5D">
        <w:t>) că se află sub jurisdicția lor teritorială și, în plus, nu există niciun temei pentru a putea constata existența unei astfel de jurisdicții în privința persoanelor în cauză.</w:t>
      </w:r>
    </w:p>
    <w:p w:rsidR="00BF6A5D" w:rsidRPr="00BF6A5D" w:rsidRDefault="00D340B2" w:rsidP="00BF6A5D">
      <w:pPr>
        <w:pStyle w:val="JuPara"/>
      </w:pPr>
      <w:fldSimple w:instr=" SEQ level0 \*arabic \* MERGEFORMAT ">
        <w:bookmarkStart w:id="129" w:name="paragraph00191"/>
        <w:r w:rsidR="00BF6A5D" w:rsidRPr="00BF6A5D">
          <w:t>180</w:t>
        </w:r>
        <w:bookmarkEnd w:id="129"/>
      </w:fldSimple>
      <w:r w:rsidR="00BF6A5D">
        <w:t>.  Întrucât reclamanții susțin că jurisdicția celorlalte state pârâte poate fi determinată pe baza principiilor referitoare la jurisdicția extrateritorială, Curtea abordează acum această chestiune, pe care o va examina în lumina criteriilor relevante care decurg din Convenție, ținând seama de faptul că reclamanții au formulat capete de cerere care se referă la pretinse neîndepliniri, de către statele pârâte, ale obligațiilor materiale pozitive care le revin în temeiul art. 2, 3 și 8 din Convenție.</w:t>
      </w:r>
    </w:p>
    <w:p w:rsidR="00BF6A5D" w:rsidRPr="00BF6A5D" w:rsidRDefault="00BF6A5D" w:rsidP="00BF6A5D">
      <w:pPr>
        <w:pStyle w:val="JuHa0"/>
      </w:pPr>
      <w:bookmarkStart w:id="130" w:name="_Toc177058439"/>
      <w:r>
        <w:t>Cu privire la jurisdicția extrateritorială</w:t>
      </w:r>
      <w:bookmarkEnd w:id="130"/>
    </w:p>
    <w:p w:rsidR="00BF6A5D" w:rsidRPr="00BF6A5D" w:rsidRDefault="00BF6A5D" w:rsidP="00BF6A5D">
      <w:pPr>
        <w:pStyle w:val="JuHi"/>
      </w:pPr>
      <w:r>
        <w:t>Controlul efectiv asupra unei zone</w:t>
      </w:r>
    </w:p>
    <w:p w:rsidR="00BF6A5D" w:rsidRPr="00BF6A5D" w:rsidRDefault="00D340B2" w:rsidP="00BF6A5D">
      <w:pPr>
        <w:pStyle w:val="JuPara"/>
      </w:pPr>
      <w:fldSimple w:instr=" SEQ level0 \*arabic \* MERGEFORMAT ">
        <w:r w:rsidR="00BF6A5D" w:rsidRPr="00BF6A5D">
          <w:t>181</w:t>
        </w:r>
      </w:fldSimple>
      <w:r w:rsidR="00BF6A5D">
        <w:t xml:space="preserve">.  Nu există niciun indiciu că vreunul dintre statele pârâte ar fi exercitat, în vreun fel, un control efectiv asupra unei zone aflate în afara teritoriului său național, astfel încât jurisdicția sa </w:t>
      </w:r>
      <w:r w:rsidR="00BF6A5D">
        <w:rPr>
          <w:i/>
          <w:iCs/>
        </w:rPr>
        <w:t>ratione loci</w:t>
      </w:r>
      <w:r w:rsidR="00BF6A5D">
        <w:t xml:space="preserve"> să fie stabilită în raport cu reclamanții.</w:t>
      </w:r>
    </w:p>
    <w:p w:rsidR="00BF6A5D" w:rsidRPr="00BF6A5D" w:rsidRDefault="00BF6A5D" w:rsidP="00BF6A5D">
      <w:pPr>
        <w:pStyle w:val="JuHi"/>
      </w:pPr>
      <w:r>
        <w:t>Autoritatea și controlul unui agent al statului</w:t>
      </w:r>
    </w:p>
    <w:p w:rsidR="00BF6A5D" w:rsidRPr="00BF6A5D" w:rsidRDefault="00D340B2" w:rsidP="00BF6A5D">
      <w:pPr>
        <w:pStyle w:val="JuPara"/>
      </w:pPr>
      <w:fldSimple w:instr=" SEQ level0 \*arabic \* MERGEFORMAT ">
        <w:r w:rsidR="00BF6A5D" w:rsidRPr="00BF6A5D">
          <w:t>182</w:t>
        </w:r>
      </w:fldSimple>
      <w:r w:rsidR="00BF6A5D">
        <w:t xml:space="preserve">.  Având în vedere situațiile în care se aplică de obicei criteriul „autorității și controlului unui agent al statului” (a se vedea </w:t>
      </w:r>
      <w:r w:rsidR="00BF6A5D">
        <w:rPr>
          <w:i/>
          <w:iCs/>
        </w:rPr>
        <w:t>supra</w:t>
      </w:r>
      <w:r w:rsidR="00BF6A5D">
        <w:t xml:space="preserve">, pct. </w:t>
      </w:r>
      <w:r w:rsidR="00BF6A5D" w:rsidRPr="00BF6A5D">
        <w:fldChar w:fldCharType="begin"/>
      </w:r>
      <w:r w:rsidR="00BF6A5D" w:rsidRPr="00BF6A5D">
        <w:instrText xml:space="preserve"> REF paragraph174 \h </w:instrText>
      </w:r>
      <w:r w:rsidR="00BF6A5D" w:rsidRPr="00BF6A5D">
        <w:fldChar w:fldCharType="separate"/>
      </w:r>
      <w:r w:rsidR="00BF6A5D" w:rsidRPr="00BF6A5D">
        <w:t>171</w:t>
      </w:r>
      <w:r w:rsidR="00BF6A5D" w:rsidRPr="00BF6A5D">
        <w:fldChar w:fldCharType="end"/>
      </w:r>
      <w:r w:rsidR="00BF6A5D">
        <w:t xml:space="preserve">, unde se citează decizia </w:t>
      </w:r>
      <w:r w:rsidR="00BF6A5D">
        <w:rPr>
          <w:i/>
          <w:iCs/>
        </w:rPr>
        <w:t>Ucraina și Țările de Jos împotriva Rusiei</w:t>
      </w:r>
      <w:r w:rsidR="00BF6A5D">
        <w:t>, pct. 565-572), care presupune existența unei forme de autoritate sau de control asupra pretinsei victime (</w:t>
      </w:r>
      <w:r w:rsidR="00BF6A5D">
        <w:rPr>
          <w:i/>
          <w:iCs/>
        </w:rPr>
        <w:t>ibidem</w:t>
      </w:r>
      <w:r w:rsidR="00BF6A5D">
        <w:t>, pct. 571), nu se poate considera că vreunul dintre statele pârâte a exercitat o autoritate sau un control asupra reclamanților în sensul jurisprudenței Curții în materie de art. 1. Prin urmare, nu se poate determina jurisdicția pe acest temei.</w:t>
      </w:r>
    </w:p>
    <w:p w:rsidR="00BF6A5D" w:rsidRPr="00BF6A5D" w:rsidRDefault="00BF6A5D" w:rsidP="00BF6A5D">
      <w:pPr>
        <w:pStyle w:val="JuHi"/>
      </w:pPr>
      <w:r>
        <w:t>Legătura jurisdicțională care decurge din existența unei obligații procedurale în raport cu art. 2</w:t>
      </w:r>
    </w:p>
    <w:p w:rsidR="00BF6A5D" w:rsidRPr="00BF6A5D" w:rsidRDefault="00D340B2" w:rsidP="00BF6A5D">
      <w:pPr>
        <w:pStyle w:val="JuPara"/>
      </w:pPr>
      <w:fldSimple w:instr=" SEQ level0 \*arabic \* MERGEFORMAT ">
        <w:r w:rsidR="00BF6A5D" w:rsidRPr="00BF6A5D">
          <w:t>183</w:t>
        </w:r>
      </w:fldSimple>
      <w:r w:rsidR="00BF6A5D">
        <w:t xml:space="preserve">.  Având în vedere natura capătului de cerere formulat de reclamanți (a se vedea </w:t>
      </w:r>
      <w:r w:rsidR="00BF6A5D">
        <w:rPr>
          <w:i/>
          <w:iCs/>
        </w:rPr>
        <w:t>supra</w:t>
      </w:r>
      <w:r w:rsidR="00BF6A5D">
        <w:t xml:space="preserve">, pct. </w:t>
      </w:r>
      <w:r w:rsidR="00BF6A5D" w:rsidRPr="00BF6A5D">
        <w:fldChar w:fldCharType="begin"/>
      </w:r>
      <w:r w:rsidR="00BF6A5D" w:rsidRPr="00BF6A5D">
        <w:instrText xml:space="preserve"> REF paragraph00012 \h  \* CharFormat </w:instrText>
      </w:r>
      <w:r w:rsidR="00BF6A5D" w:rsidRPr="00BF6A5D">
        <w:fldChar w:fldCharType="separate"/>
      </w:r>
      <w:r w:rsidR="00BF6A5D" w:rsidRPr="00BF6A5D">
        <w:t>13</w:t>
      </w:r>
      <w:r w:rsidR="00BF6A5D" w:rsidRPr="00BF6A5D">
        <w:fldChar w:fldCharType="end"/>
      </w:r>
      <w:r w:rsidR="00BF6A5D">
        <w:t xml:space="preserve"> și </w:t>
      </w:r>
      <w:r w:rsidR="00BF6A5D" w:rsidRPr="00BF6A5D">
        <w:fldChar w:fldCharType="begin"/>
      </w:r>
      <w:r w:rsidR="00BF6A5D" w:rsidRPr="00BF6A5D">
        <w:instrText xml:space="preserve"> REF paragraph00191 \h  \* CharFormat  \* MERGEFORMAT </w:instrText>
      </w:r>
      <w:r w:rsidR="00BF6A5D" w:rsidRPr="00BF6A5D">
        <w:fldChar w:fldCharType="separate"/>
      </w:r>
      <w:r w:rsidR="00BF6A5D" w:rsidRPr="00BF6A5D">
        <w:t>180</w:t>
      </w:r>
      <w:r w:rsidR="00BF6A5D" w:rsidRPr="00BF6A5D">
        <w:fldChar w:fldCharType="end"/>
      </w:r>
      <w:r w:rsidR="00BF6A5D">
        <w:t xml:space="preserve">) și modul în care Curtea a interpretat noțiunea de legătură jurisdicțională care decurge din obligația procedurală de anchetă în conformitate cu art. 2 (a se vedea </w:t>
      </w:r>
      <w:r w:rsidR="00BF6A5D">
        <w:rPr>
          <w:i/>
          <w:iCs/>
        </w:rPr>
        <w:t>supra</w:t>
      </w:r>
      <w:r w:rsidR="00BF6A5D">
        <w:t xml:space="preserve">, pct. </w:t>
      </w:r>
      <w:r w:rsidR="00BF6A5D" w:rsidRPr="00BF6A5D">
        <w:fldChar w:fldCharType="begin"/>
      </w:r>
      <w:r w:rsidR="00BF6A5D" w:rsidRPr="00BF6A5D">
        <w:instrText xml:space="preserve"> REF paragraph00168 \h </w:instrText>
      </w:r>
      <w:r w:rsidR="00BF6A5D" w:rsidRPr="00BF6A5D">
        <w:fldChar w:fldCharType="separate"/>
      </w:r>
      <w:r w:rsidR="00BF6A5D" w:rsidRPr="00BF6A5D">
        <w:t>171</w:t>
      </w:r>
      <w:r w:rsidR="00BF6A5D" w:rsidRPr="00BF6A5D">
        <w:fldChar w:fldCharType="end"/>
      </w:r>
      <w:r w:rsidR="00BF6A5D">
        <w:t xml:space="preserve">, unde se citează decizia </w:t>
      </w:r>
      <w:r w:rsidR="00BF6A5D">
        <w:rPr>
          <w:i/>
          <w:iCs/>
        </w:rPr>
        <w:t>Ucraina și Țările de Jos</w:t>
      </w:r>
      <w:r w:rsidR="00BF6A5D">
        <w:t xml:space="preserve"> </w:t>
      </w:r>
      <w:r w:rsidR="00BF6A5D">
        <w:rPr>
          <w:i/>
          <w:iCs/>
        </w:rPr>
        <w:t>împotriva Rusiei</w:t>
      </w:r>
      <w:r w:rsidR="00BF6A5D">
        <w:t>, citată anterior, pct. 573-575), este evident că acest criteriu nu permite să se constate existența unui temei pentru stabilirea jurisdicției pentru statele pârâte. Problema dacă și în ce măsură introducerea unei acțiuni în fața instanțelor naționale competente ar putea permite eventual stabilirea unei legături jurisdicționale nu se ridică în speță, întrucât reclamanții nu au făcut demersuri în acest sens în niciunul dintre statele pârâte.</w:t>
      </w:r>
    </w:p>
    <w:p w:rsidR="00BF6A5D" w:rsidRPr="00BF6A5D" w:rsidRDefault="00BF6A5D" w:rsidP="00BF6A5D">
      <w:pPr>
        <w:pStyle w:val="JuHi"/>
      </w:pPr>
      <w:r>
        <w:lastRenderedPageBreak/>
        <w:t>Existența unor „circumstanțe speciale” relevante, de natură să se stabilească jurisdicția statelor pârâte</w:t>
      </w:r>
    </w:p>
    <w:bookmarkStart w:id="131" w:name="paragraph00196"/>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184</w:t>
      </w:r>
      <w:r w:rsidRPr="00BF6A5D">
        <w:fldChar w:fldCharType="end"/>
      </w:r>
      <w:bookmarkEnd w:id="131"/>
      <w:r>
        <w:t>.  Curtea amintește pentru început că a respins întotdeauna ideea că faptul că o decizie luată la nivel național a avut un impact asupra situației unei persoane aflate în străinătate poate fi, în sine, de natură să stabilească jurisdicția statului respectiv față de persoana respectivă. Această constatare este valabilă nu numai pentru deciziile luate de autorități (</w:t>
      </w:r>
      <w:r>
        <w:rPr>
          <w:i/>
          <w:iCs/>
        </w:rPr>
        <w:t>M.N. și alții împotriva Belgiei</w:t>
      </w:r>
      <w:r>
        <w:t>, decizie citată anterior, pct. 112-113), ci și în cazul în care se susține că statul are capacitatea de a lua o decizie sau o măsură ce are un impact asupra situației reclamantului în străinătate (</w:t>
      </w:r>
      <w:r>
        <w:rPr>
          <w:i/>
          <w:iCs/>
        </w:rPr>
        <w:t>H.F. și alții împotriva Franței</w:t>
      </w:r>
      <w:r>
        <w:t>, citată anterior, pct. 202).</w:t>
      </w:r>
    </w:p>
    <w:p w:rsidR="00BF6A5D" w:rsidRPr="00BF6A5D" w:rsidRDefault="00D340B2" w:rsidP="00BF6A5D">
      <w:pPr>
        <w:pStyle w:val="JuPara"/>
      </w:pPr>
      <w:fldSimple w:instr=" SEQ level0 \*arabic \* MERGEFORMAT ">
        <w:r w:rsidR="00BF6A5D" w:rsidRPr="00BF6A5D">
          <w:t>185</w:t>
        </w:r>
      </w:fldSimple>
      <w:r w:rsidR="00BF6A5D">
        <w:t xml:space="preserve">.  Deși existența anumitor „circumstanțe speciale” poate determina Curtea să concluzioneze că un stat și-a exercitat jurisdicția extrateritorială într-un anumit caz, este evident, </w:t>
      </w:r>
      <w:r w:rsidR="00BF6A5D">
        <w:rPr>
          <w:i/>
          <w:iCs/>
        </w:rPr>
        <w:t>a contrario</w:t>
      </w:r>
      <w:r w:rsidR="00BF6A5D">
        <w:t>, că în prezenta cauză capetele de cerere ale reclamanților nu corespund niciuneia dintre spețele anterioare în care circumstanțele cauzei au dus la constatarea că statul pârât și-a exercitat jurisdicția extrateritorială. Nimic din jurisprudența existentă a Curții nu poate servi ca temei pentru constatarea exercitării jurisdicției lor extrateritoriale de către statele pârâte (altele decât Portugalia, care își exercită jurisdicția teritorială).</w:t>
      </w:r>
    </w:p>
    <w:p w:rsidR="00BF6A5D" w:rsidRPr="00BF6A5D" w:rsidRDefault="00D340B2" w:rsidP="00BF6A5D">
      <w:pPr>
        <w:pStyle w:val="JuPara"/>
      </w:pPr>
      <w:fldSimple w:instr=" SEQ level0 \*arabic \* MERGEFORMAT ">
        <w:r w:rsidR="00BF6A5D" w:rsidRPr="00BF6A5D">
          <w:t>186</w:t>
        </w:r>
      </w:fldSimple>
      <w:r w:rsidR="00BF6A5D">
        <w:t xml:space="preserve">.  Totuși, în observațiile lor, reclamanții invocă „circumstanțe excepționale” și „circumstanțe speciale” în susținerea argumentului lor, potrivit căruia Curtea ar trebui să stabilească exercitarea de către statele pârâte a jurisdicției extrateritoriale față de aceștia în contextul specific al schimbărilor climatice (a se vedea </w:t>
      </w:r>
      <w:r w:rsidR="00BF6A5D">
        <w:rPr>
          <w:i/>
          <w:iCs/>
        </w:rPr>
        <w:t>supra</w:t>
      </w:r>
      <w:r w:rsidR="00BF6A5D">
        <w:t xml:space="preserve">, pct. </w:t>
      </w:r>
      <w:r w:rsidR="00BF6A5D" w:rsidRPr="00BF6A5D">
        <w:fldChar w:fldCharType="begin"/>
      </w:r>
      <w:r w:rsidR="00BF6A5D" w:rsidRPr="00BF6A5D">
        <w:instrText xml:space="preserve">REF paragraph00123 \h \* CharFormat  \* MERGEFORMAT </w:instrText>
      </w:r>
      <w:r w:rsidR="00BF6A5D" w:rsidRPr="00BF6A5D">
        <w:fldChar w:fldCharType="separate"/>
      </w:r>
      <w:r w:rsidR="00BF6A5D" w:rsidRPr="00BF6A5D">
        <w:t>121</w:t>
      </w:r>
      <w:r w:rsidR="00BF6A5D" w:rsidRPr="00BF6A5D">
        <w:fldChar w:fldCharType="end"/>
      </w:r>
      <w:r w:rsidR="00BF6A5D">
        <w:t>-</w:t>
      </w:r>
      <w:r w:rsidR="00BF6A5D" w:rsidRPr="00BF6A5D">
        <w:fldChar w:fldCharType="begin"/>
      </w:r>
      <w:r w:rsidR="00BF6A5D" w:rsidRPr="00BF6A5D">
        <w:instrText xml:space="preserve">REF paragraph00128 \h \* CharFormat  \* MERGEFORMAT </w:instrText>
      </w:r>
      <w:r w:rsidR="00BF6A5D" w:rsidRPr="00BF6A5D">
        <w:fldChar w:fldCharType="separate"/>
      </w:r>
      <w:r w:rsidR="00BF6A5D" w:rsidRPr="00BF6A5D">
        <w:t>126</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187</w:t>
        </w:r>
      </w:fldSimple>
      <w:r w:rsidR="00BF6A5D">
        <w:t xml:space="preserve">.  În speță, întrucât reclamanții invocă existența unor „circumstanțe excepționale” în sensul jurisprudenței </w:t>
      </w:r>
      <w:r w:rsidR="00BF6A5D">
        <w:rPr>
          <w:i/>
          <w:iCs/>
        </w:rPr>
        <w:t>M.N. și</w:t>
      </w:r>
      <w:r w:rsidR="00BF6A5D">
        <w:t xml:space="preserve"> </w:t>
      </w:r>
      <w:r w:rsidR="00BF6A5D">
        <w:rPr>
          <w:i/>
          <w:iCs/>
        </w:rPr>
        <w:t>alții împotriva Belgiei</w:t>
      </w:r>
      <w:r w:rsidR="00BF6A5D">
        <w:t xml:space="preserve"> (decizie citată anterior, pct. 113; </w:t>
      </w:r>
      <w:r w:rsidR="00BF6A5D">
        <w:rPr>
          <w:i/>
          <w:iCs/>
        </w:rPr>
        <w:t>supra</w:t>
      </w:r>
      <w:r w:rsidR="00BF6A5D">
        <w:t xml:space="preserve">, pct. </w:t>
      </w:r>
      <w:r w:rsidR="00BF6A5D" w:rsidRPr="00BF6A5D">
        <w:fldChar w:fldCharType="begin"/>
      </w:r>
      <w:r w:rsidR="00BF6A5D" w:rsidRPr="00BF6A5D">
        <w:instrText xml:space="preserve"> REF paragraph124 \h </w:instrText>
      </w:r>
      <w:r w:rsidR="00BF6A5D" w:rsidRPr="00BF6A5D">
        <w:fldChar w:fldCharType="separate"/>
      </w:r>
      <w:r w:rsidR="00BF6A5D" w:rsidRPr="00BF6A5D">
        <w:t>122</w:t>
      </w:r>
      <w:r w:rsidR="00BF6A5D" w:rsidRPr="00BF6A5D">
        <w:fldChar w:fldCharType="end"/>
      </w:r>
      <w:r w:rsidR="00BF6A5D">
        <w:t xml:space="preserve">) pentru a susține că se află sub jurisdicția extrateritorială a statelor pârâte, este important de amintit faptul că, astfel cum s-a explicat la pct. </w:t>
      </w:r>
      <w:r w:rsidR="00BF6A5D" w:rsidRPr="00BF6A5D">
        <w:fldChar w:fldCharType="begin"/>
      </w:r>
      <w:r w:rsidR="00BF6A5D" w:rsidRPr="00BF6A5D">
        <w:instrText xml:space="preserve"> REF paragraph00166 \h  \* CharFormat  \* MERGEFORMAT </w:instrText>
      </w:r>
      <w:r w:rsidR="00BF6A5D" w:rsidRPr="00BF6A5D">
        <w:fldChar w:fldCharType="separate"/>
      </w:r>
      <w:r w:rsidR="00BF6A5D" w:rsidRPr="00BF6A5D">
        <w:t>169</w:t>
      </w:r>
      <w:r w:rsidR="00BF6A5D" w:rsidRPr="00BF6A5D">
        <w:fldChar w:fldCharType="end"/>
      </w:r>
      <w:r w:rsidR="00BF6A5D">
        <w:t xml:space="preserve"> </w:t>
      </w:r>
      <w:r w:rsidR="00BF6A5D">
        <w:rPr>
          <w:i/>
          <w:iCs/>
        </w:rPr>
        <w:t>supra</w:t>
      </w:r>
      <w:r w:rsidR="00BF6A5D">
        <w:t xml:space="preserve">, Curtea nu a constatat, în cauza </w:t>
      </w:r>
      <w:r w:rsidR="00BF6A5D">
        <w:rPr>
          <w:i/>
          <w:iCs/>
        </w:rPr>
        <w:t>M.N. și alții împotriva Belgiei</w:t>
      </w:r>
      <w:r w:rsidR="00BF6A5D">
        <w:t>, o exercitare extrateritorială de către statul pârât a jurisdicției sale.</w:t>
      </w:r>
    </w:p>
    <w:p w:rsidR="00BF6A5D" w:rsidRPr="00BF6A5D" w:rsidRDefault="00D340B2" w:rsidP="00BF6A5D">
      <w:pPr>
        <w:pStyle w:val="JuPara"/>
      </w:pPr>
      <w:fldSimple w:instr=" SEQ level0 \*arabic \* MERGEFORMAT ">
        <w:r w:rsidR="00BF6A5D" w:rsidRPr="00BF6A5D">
          <w:t>188</w:t>
        </w:r>
      </w:fldSimple>
      <w:r w:rsidR="00BF6A5D">
        <w:t xml:space="preserve">.  În plus, prin faptul că a pus problema existenței unor „circumstanțe excepționale” în decizia </w:t>
      </w:r>
      <w:r w:rsidR="00BF6A5D">
        <w:rPr>
          <w:i/>
          <w:iCs/>
        </w:rPr>
        <w:t>M.N. și alții împotriva Belgiei</w:t>
      </w:r>
      <w:r w:rsidR="00BF6A5D">
        <w:t>, Curtea nu a încercat să stabilească un criteriu separat pentru exercitarea jurisdicției. Aceasta a explicat, în contextul specific al acestei cauze, în care reclamanții intenționau să invoce pretinsa existență a unei combinații de legături materiale și procedurale cu Belgia, că, atunci când verifică existența unor „circumstanțe excepționale”, trebuie „să examineze natura legăturii dintre reclamanți și statul pârât și [...] să stabilească dacă acesta din urmă și-a exercitat efectiv autoritatea sau controlul asupra lor” (</w:t>
      </w:r>
      <w:r w:rsidR="00BF6A5D">
        <w:rPr>
          <w:i/>
          <w:iCs/>
        </w:rPr>
        <w:t>M.N. și alții împotriva Belgiei</w:t>
      </w:r>
      <w:r w:rsidR="00BF6A5D">
        <w:t xml:space="preserve">, decizie citată anterior, pct. 102 și 113). Cu alte cuvinte, această apreciere echivalează în cele din urmă cu soluționarea problemei exercitării efective de către statul </w:t>
      </w:r>
      <w:r w:rsidR="00BF6A5D">
        <w:lastRenderedPageBreak/>
        <w:t>pârât a autorității sale sau a controlului său asupra reclamanților, în conformitate cu jurisprudența consacrată.</w:t>
      </w:r>
    </w:p>
    <w:p w:rsidR="00BF6A5D" w:rsidRPr="00BF6A5D" w:rsidRDefault="00D340B2" w:rsidP="00BF6A5D">
      <w:pPr>
        <w:pStyle w:val="JuPara"/>
      </w:pPr>
      <w:fldSimple w:instr=" SEQ level0 \*arabic \* MERGEFORMAT ">
        <w:r w:rsidR="00BF6A5D" w:rsidRPr="00BF6A5D">
          <w:t>189</w:t>
        </w:r>
      </w:fldSimple>
      <w:r w:rsidR="00BF6A5D">
        <w:t xml:space="preserve">.  Curtea a expus în hotărârea </w:t>
      </w:r>
      <w:r w:rsidR="00BF6A5D">
        <w:rPr>
          <w:i/>
          <w:iCs/>
        </w:rPr>
        <w:t>Verein KlimaSeniorinnen Schweiz și alții</w:t>
      </w:r>
      <w:r w:rsidR="00BF6A5D">
        <w:t xml:space="preserve"> (citată anterior, pct. 422) motivele pentru care cauzele având ca obiect schimbările climatice prezintă mai multe caracteristici specifice care le diferențiază de cauzele „clasice” în materie de mediu. A explicat, de asemenea, de ce aceste cauze ridică problematici separate și impun Curții să își dezvolte jurisprudența actuală în așa manieră încât să determine abordarea ce poate fi adoptată pentru a face față efectelor nefaste ale schimbărilor climatice asupra exercitării drepturilor protejate de Convenție.</w:t>
      </w:r>
    </w:p>
    <w:p w:rsidR="00BF6A5D" w:rsidRPr="00BF6A5D" w:rsidRDefault="00D340B2" w:rsidP="00BF6A5D">
      <w:pPr>
        <w:pStyle w:val="JuPara"/>
      </w:pPr>
      <w:fldSimple w:instr=" SEQ level0 \*arabic \* MERGEFORMAT ">
        <w:r w:rsidR="00BF6A5D" w:rsidRPr="00BF6A5D">
          <w:t>190</w:t>
        </w:r>
      </w:fldSimple>
      <w:r w:rsidR="00BF6A5D">
        <w:t>.  Prin urmare, Curtea va evalua existența unor motive de natură să justifice, așa cum susțin reclamanții în observațiile lor, o evoluție a jurisprudenței existente în materie de jurisdicție extrateritorială, ținând seama de circumstanțele excepționale și de circumstanțele speciale invocate de reclamanți.</w:t>
      </w:r>
    </w:p>
    <w:p w:rsidR="00BF6A5D" w:rsidRPr="00BF6A5D" w:rsidRDefault="00D340B2" w:rsidP="00BF6A5D">
      <w:pPr>
        <w:pStyle w:val="JuPara"/>
      </w:pPr>
      <w:fldSimple w:instr=" SEQ level0 \*arabic \* MERGEFORMAT ">
        <w:r w:rsidR="00BF6A5D" w:rsidRPr="00BF6A5D">
          <w:t>191</w:t>
        </w:r>
      </w:fldSimple>
      <w:r w:rsidR="00BF6A5D">
        <w:t>.  Curtea admite următoarele elemente prezentate de reclamanți cu privire la schimbările climatice.</w:t>
      </w:r>
    </w:p>
    <w:p w:rsidR="00BF6A5D" w:rsidRPr="00BF6A5D" w:rsidRDefault="00D340B2" w:rsidP="00BF6A5D">
      <w:pPr>
        <w:pStyle w:val="JuPara"/>
      </w:pPr>
      <w:fldSimple w:instr=" SEQ level0 \*arabic \* MERGEFORMAT ">
        <w:r w:rsidR="00BF6A5D" w:rsidRPr="00BF6A5D">
          <w:t>192</w:t>
        </w:r>
      </w:fldSimple>
      <w:r w:rsidR="00BF6A5D">
        <w:t xml:space="preserve">.  În primul rând, statele exercită controlul în ultimă instanță asupra activităților publice și private emitente de GES care se desfășoară pe teritoriul lor. În acest sens, statele și-au asumat anumite angajamente în temeiul dreptului internațional, inclusiv cele enunțate în Acordul de la Paris, pe care le-au transpus în legile și politicile lor interne, precum și prin contribuțiile determinate la nivel național (CDN) pe care le-au stabilit în temeiul Acordului de la Paris. În plus, după cum a declarat Curtea în hotărârea </w:t>
      </w:r>
      <w:r w:rsidR="00BF6A5D">
        <w:rPr>
          <w:i/>
          <w:iCs/>
        </w:rPr>
        <w:t>Verein KlimaSeniorinnen Schweiz și alții</w:t>
      </w:r>
      <w:r w:rsidR="00BF6A5D">
        <w:t xml:space="preserve"> (citată anterior, pct. 544-554), Convenția impune statelor anumite obligații pozitive în materie de schimbări climatice.</w:t>
      </w:r>
    </w:p>
    <w:p w:rsidR="00BF6A5D" w:rsidRPr="00BF6A5D" w:rsidRDefault="00D340B2" w:rsidP="00BF6A5D">
      <w:pPr>
        <w:pStyle w:val="JuPara"/>
      </w:pPr>
      <w:fldSimple w:instr=" SEQ level0 \*arabic \* MERGEFORMAT ">
        <w:r w:rsidR="00BF6A5D" w:rsidRPr="00BF6A5D">
          <w:t>193</w:t>
        </w:r>
      </w:fldSimple>
      <w:r w:rsidR="00BF6A5D">
        <w:t>.  În al doilea rând, există o legătură cauzală, deși complexă și multifactorială, între activitățile private și cele publice emitente de GES care se desfășoară pe teritoriul unui stat și efectele lor nefaste asupra drepturilor și bunăstării populațiilor care se află în afara frontierelor acestui stat și sunt excluse din procesul democratic al acestuia. Schimbările climatice reprezintă un fenomen global și fiecare stat își asumă partea sa de responsabilitate în fața provocărilor globale generate de schimbările climatice și are un rol de jucat în găsirea unor soluții corespunzătoare.</w:t>
      </w:r>
    </w:p>
    <w:p w:rsidR="00BF6A5D" w:rsidRPr="00BF6A5D" w:rsidRDefault="00D340B2" w:rsidP="00BF6A5D">
      <w:pPr>
        <w:pStyle w:val="JuPara"/>
      </w:pPr>
      <w:fldSimple w:instr=" SEQ level0 \*arabic \* MERGEFORMAT ">
        <w:r w:rsidR="00BF6A5D" w:rsidRPr="00BF6A5D">
          <w:t>194</w:t>
        </w:r>
      </w:fldSimple>
      <w:r w:rsidR="00BF6A5D">
        <w:t>.  În al treilea rând, schimbările climatice constituie o problemă cu adevărat existențială pentru umanitate, care o diferențiază de alte situații de cauzalitate. Extracția sau arderea unor cantități mai mari de combustibili fosili oriunde în lume, peste nivelurile care pot fi compensate de absorbanții naturali de carbon (emisii zero), va duce în mod inevitabil la o creștere a concentrațiilor de GES în atmosferă și, prin urmare, la o agravare a efectelor schimbărilor climatice la nivel planetar.</w:t>
      </w:r>
    </w:p>
    <w:p w:rsidR="00BF6A5D" w:rsidRPr="00BF6A5D" w:rsidRDefault="00D340B2" w:rsidP="00BF6A5D">
      <w:pPr>
        <w:pStyle w:val="JuPara"/>
      </w:pPr>
      <w:fldSimple w:instr=" SEQ level0 \*arabic \* MERGEFORMAT ">
        <w:r w:rsidR="00BF6A5D" w:rsidRPr="00BF6A5D">
          <w:t>195</w:t>
        </w:r>
      </w:fldSimple>
      <w:r w:rsidR="00BF6A5D">
        <w:t xml:space="preserve">.  Totuși, Curtea constată că aceste considerații nu pot, ele în sine, să servească drept fundament pentru crearea, pe calea interpretării judiciare, a unui motiv inedit pentru stabilirea jurisdicției extrateritoriale și nici să </w:t>
      </w:r>
      <w:r w:rsidR="00BF6A5D">
        <w:lastRenderedPageBreak/>
        <w:t>justifice o extindere a motivelor existente. În continuare, Comisia va examina celelalte argumente invocate de reclamanți pentru a justifica o extindere a jurisdicției teritoriale.</w:t>
      </w:r>
    </w:p>
    <w:p w:rsidR="00BF6A5D" w:rsidRPr="00BF6A5D" w:rsidRDefault="00D340B2" w:rsidP="00BF6A5D">
      <w:pPr>
        <w:pStyle w:val="JuPara"/>
      </w:pPr>
      <w:fldSimple w:instr=" SEQ level0 \*arabic \* MERGEFORMAT ">
        <w:r w:rsidR="00BF6A5D" w:rsidRPr="00BF6A5D">
          <w:t>196</w:t>
        </w:r>
      </w:fldSimple>
      <w:r w:rsidR="00BF6A5D">
        <w:t xml:space="preserve">.  În primul rând, reclamanții par să susțină că, având în vedere gravitatea efectelor schimbărilor climatice asupra drepturilor lor prevăzute de Convenție, problema existenței unui temei pentru stabilirea jurisdicției ar trebui să depindă de conținutul obligațiilor pozitive pe care ar dori să le vadă impuse de Curte statelor (a se vedea </w:t>
      </w:r>
      <w:r w:rsidR="00BF6A5D">
        <w:rPr>
          <w:i/>
          <w:iCs/>
        </w:rPr>
        <w:t>supra</w:t>
      </w:r>
      <w:r w:rsidR="00BF6A5D">
        <w:t xml:space="preserve">, pct. </w:t>
      </w:r>
      <w:r w:rsidR="00BF6A5D" w:rsidRPr="00BF6A5D">
        <w:fldChar w:fldCharType="begin"/>
      </w:r>
      <w:r w:rsidR="00BF6A5D" w:rsidRPr="00BF6A5D">
        <w:instrText xml:space="preserve">REF paragraph00125 \h \* CharFormat  \* MERGEFORMAT </w:instrText>
      </w:r>
      <w:r w:rsidR="00BF6A5D" w:rsidRPr="00BF6A5D">
        <w:fldChar w:fldCharType="separate"/>
      </w:r>
      <w:r w:rsidR="00BF6A5D" w:rsidRPr="00BF6A5D">
        <w:t>123</w:t>
      </w:r>
      <w:r w:rsidR="00BF6A5D" w:rsidRPr="00BF6A5D">
        <w:fldChar w:fldCharType="end"/>
      </w:r>
      <w:r w:rsidR="00BF6A5D">
        <w:t>-</w:t>
      </w:r>
      <w:r w:rsidR="00BF6A5D" w:rsidRPr="00BF6A5D">
        <w:fldChar w:fldCharType="begin"/>
      </w:r>
      <w:r w:rsidR="00BF6A5D" w:rsidRPr="00BF6A5D">
        <w:instrText xml:space="preserve">REF paragraph00126 \h \* CharFormat  \* MERGEFORMAT </w:instrText>
      </w:r>
      <w:r w:rsidR="00BF6A5D" w:rsidRPr="00BF6A5D">
        <w:fldChar w:fldCharType="separate"/>
      </w:r>
      <w:r w:rsidR="00BF6A5D" w:rsidRPr="00BF6A5D">
        <w:t>124</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197</w:t>
        </w:r>
      </w:fldSimple>
      <w:r w:rsidR="00BF6A5D">
        <w:t xml:space="preserve">.  Curtea a admis că, atunci când examinează chestiunea dacă jurisdicția extrateritorială a unui stat poate fi stabilită sau nu, drepturile care decurg din Convenție pot fi, într-o anumită măsură, „divizate și adaptate” (a se vedea </w:t>
      </w:r>
      <w:r w:rsidR="00BF6A5D">
        <w:rPr>
          <w:i/>
          <w:iCs/>
        </w:rPr>
        <w:t>supra</w:t>
      </w:r>
      <w:r w:rsidR="00BF6A5D">
        <w:t xml:space="preserve">, pct. </w:t>
      </w:r>
      <w:r w:rsidR="00BF6A5D" w:rsidRPr="00BF6A5D">
        <w:fldChar w:fldCharType="begin"/>
      </w:r>
      <w:r w:rsidR="00BF6A5D" w:rsidRPr="00BF6A5D">
        <w:instrText xml:space="preserve"> REF paragraph00167 \h </w:instrText>
      </w:r>
      <w:r w:rsidR="00BF6A5D" w:rsidRPr="00BF6A5D">
        <w:fldChar w:fldCharType="separate"/>
      </w:r>
      <w:r w:rsidR="00BF6A5D" w:rsidRPr="00BF6A5D">
        <w:t>170</w:t>
      </w:r>
      <w:r w:rsidR="00BF6A5D" w:rsidRPr="00BF6A5D">
        <w:fldChar w:fldCharType="end"/>
      </w:r>
      <w:r w:rsidR="00BF6A5D">
        <w:t xml:space="preserve">). În același timp, aceasta a statuat întotdeauna că, pentru ca o pretinsă încălcare să intre în competența sa astfel cum este enunțată de art. 19 din Convenție, care îi conferă sarcina de „a asigura respectarea angajamentelor care decurg pentru înaltele părți contractante”, trebuie să stabilească mai întâi că circumstanțele în litigiu ale cauzei se află sub jurisdicția unei înalte părți contractante, astfel cum se prevede la art. 1. Din acest motiv, a descris jurisdicția în sensul art. 1 drept condiție </w:t>
      </w:r>
      <w:r w:rsidR="00BF6A5D">
        <w:rPr>
          <w:i/>
          <w:iCs/>
        </w:rPr>
        <w:t>sine qua non</w:t>
      </w:r>
      <w:r w:rsidR="00BF6A5D">
        <w:t xml:space="preserve"> și a explicat că problema dacă un capăt de cerere se află sub jurisdicția statului pârât este o chestiune preliminară care trebuie soluționată înainte ca susținerile materiale să poată fi examinate pe fond (</w:t>
      </w:r>
      <w:r w:rsidR="00BF6A5D">
        <w:rPr>
          <w:i/>
          <w:iCs/>
        </w:rPr>
        <w:t>Ucraina și Țările de Jos împotriva Rusiei</w:t>
      </w:r>
      <w:r w:rsidR="00BF6A5D">
        <w:t>, decizie citată anterior, pct. 506, cu trimiterile citate acolo).</w:t>
      </w:r>
    </w:p>
    <w:p w:rsidR="00BF6A5D" w:rsidRPr="00BF6A5D" w:rsidRDefault="00D340B2" w:rsidP="00BF6A5D">
      <w:pPr>
        <w:pStyle w:val="JuPara"/>
      </w:pPr>
      <w:fldSimple w:instr=" SEQ level0 \*arabic \* MERGEFORMAT ">
        <w:r w:rsidR="00BF6A5D" w:rsidRPr="00BF6A5D">
          <w:t>198</w:t>
        </w:r>
      </w:fldSimple>
      <w:r w:rsidR="00BF6A5D">
        <w:t xml:space="preserve">.  În plus, în jurisprudența Curții nu există nimic care să susțină argumentul potrivit căruia obligațiile unui stat în temeiul unui anumit articol al Convenției sau în legătură cu o anumită problemă sub incidența Convenției (indiferent de seriozitatea sau gravitatea lui) ar impune statului în discuție să aplice Convenția în privința persoanelor care nu se află sub jurisdicția sa [a se vedea, </w:t>
      </w:r>
      <w:r w:rsidR="00BF6A5D">
        <w:rPr>
          <w:i/>
          <w:iCs/>
        </w:rPr>
        <w:t>mutatis mutandis</w:t>
      </w:r>
      <w:r w:rsidR="00BF6A5D">
        <w:t xml:space="preserve">, </w:t>
      </w:r>
      <w:r w:rsidR="00BF6A5D">
        <w:rPr>
          <w:i/>
          <w:iCs/>
        </w:rPr>
        <w:t>Abdul Wahab Khan împotriva Regatului Unit</w:t>
      </w:r>
      <w:r w:rsidR="00BF6A5D">
        <w:t xml:space="preserve"> (dec.), nr. 11987/11, pct. 26, 28 ianuarie 2014]. Curtea apreciază că nu este posibil să se considere că obligațiile pozitive pe care i se propune să le impună statelor în materie de schimbări climatice pot constitui un motiv suficient pentru a concluziona că statul are jurisdicție asupra persoanelor care se află în afara teritoriului său ori în afara autorității și controlului său.</w:t>
      </w:r>
    </w:p>
    <w:p w:rsidR="00BF6A5D" w:rsidRPr="00BF6A5D" w:rsidRDefault="00D340B2" w:rsidP="00BF6A5D">
      <w:pPr>
        <w:pStyle w:val="JuPara"/>
      </w:pPr>
      <w:fldSimple w:instr=" SEQ level0 \*arabic \* MERGEFORMAT ">
        <w:r w:rsidR="00BF6A5D" w:rsidRPr="00BF6A5D">
          <w:t>199</w:t>
        </w:r>
      </w:fldSimple>
      <w:r w:rsidR="00BF6A5D">
        <w:t xml:space="preserve">.  De asemenea, trebuie arătat că, în speță, nu există niciun element sau factor de legătură specială între reclamanți și statele pârâte (cu excepția Portugaliei) care să permită Curții să considere că statelor le revine sarcina de a-și îndeplini obligațiile pozitive care le-ar putea reveni, ținând seama în mod corespunzător de situația specială a reclamanților. În această privință, Curtea amintește că jurisdicția unui stat nu poate fi stabilită numai pentru motivul că statul respectiv are capacitatea de a lua o decizie sau măsuri care afectează situația reclamantului în străinătate (a se vedea </w:t>
      </w:r>
      <w:r w:rsidR="00BF6A5D">
        <w:rPr>
          <w:i/>
          <w:iCs/>
        </w:rPr>
        <w:t>supra</w:t>
      </w:r>
      <w:r w:rsidR="00BF6A5D">
        <w:t xml:space="preserve">, pct. </w:t>
      </w:r>
      <w:r w:rsidR="00BF6A5D" w:rsidRPr="00BF6A5D">
        <w:fldChar w:fldCharType="begin"/>
      </w:r>
      <w:r w:rsidR="00BF6A5D" w:rsidRPr="00BF6A5D">
        <w:instrText xml:space="preserve">REF paragraph00196 \h \* CharFormat  \* MERGEFORMAT </w:instrText>
      </w:r>
      <w:r w:rsidR="00BF6A5D" w:rsidRPr="00BF6A5D">
        <w:fldChar w:fldCharType="separate"/>
      </w:r>
      <w:r w:rsidR="00BF6A5D" w:rsidRPr="00BF6A5D">
        <w:t>184</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200</w:t>
        </w:r>
      </w:fldSimple>
      <w:r w:rsidR="00BF6A5D">
        <w:t xml:space="preserve">.  În plus, faptul că reclamanții sunt cetățeni ai Uniunii Europene ca urmare a naționalității lor portugheze nu poate servi la stabilirea unei legături jurisdicționale între aceștia și cele 26 de state pârâte care sunt de asemenea </w:t>
      </w:r>
      <w:r w:rsidR="00BF6A5D">
        <w:lastRenderedPageBreak/>
        <w:t xml:space="preserve">membre ale Uniunii Europene (cu excepția Portugaliei, unde își au reședința). O astfel de abordare, care contravine naturii și efectului cetățeniei europene, astfel cum sunt prevăzute de dreptul Uniunii și interpretate de CJUE, ar echivala cu a impune statelor să își îndeplinească obligațiile materiale care decurg din Convenție chiar și atunci când nu își exercită „controlul”, în sensul jurisprudenței Curții, nici asupra teritoriului – care, în principiu, ar putea fi situat oriunde – în care reclamanții suferă pretinsele efecte ale schimbărilor climatice, nici asupra reclamanților înșiși (a se vedea, </w:t>
      </w:r>
      <w:r w:rsidR="00BF6A5D">
        <w:rPr>
          <w:i/>
          <w:iCs/>
        </w:rPr>
        <w:t>mutatis mutandis</w:t>
      </w:r>
      <w:r w:rsidR="00BF6A5D">
        <w:t xml:space="preserve">, </w:t>
      </w:r>
      <w:r w:rsidR="00BF6A5D">
        <w:rPr>
          <w:i/>
          <w:iCs/>
        </w:rPr>
        <w:t>H.F. și alții împotriva Franței</w:t>
      </w:r>
      <w:r w:rsidR="00BF6A5D">
        <w:t>, citată anterior, pct. 198).</w:t>
      </w:r>
    </w:p>
    <w:p w:rsidR="00BF6A5D" w:rsidRPr="00BF6A5D" w:rsidRDefault="00D340B2" w:rsidP="00BF6A5D">
      <w:pPr>
        <w:pStyle w:val="JuPara"/>
      </w:pPr>
      <w:fldSimple w:instr=" SEQ level0 \*arabic \* MERGEFORMAT ">
        <w:r w:rsidR="00BF6A5D" w:rsidRPr="00BF6A5D">
          <w:t>201</w:t>
        </w:r>
      </w:fldSimple>
      <w:r w:rsidR="00BF6A5D">
        <w:t xml:space="preserve">.  În al doilea rând, în ceea ce privește argumentul reclamanților expus la pct. </w:t>
      </w:r>
      <w:r w:rsidR="00BF6A5D" w:rsidRPr="00BF6A5D">
        <w:fldChar w:fldCharType="begin"/>
      </w:r>
      <w:r w:rsidR="00BF6A5D" w:rsidRPr="00BF6A5D">
        <w:instrText xml:space="preserve">REF paragraph00126 \h \* CharFormat  \* MERGEFORMAT </w:instrText>
      </w:r>
      <w:r w:rsidR="00BF6A5D" w:rsidRPr="00BF6A5D">
        <w:fldChar w:fldCharType="separate"/>
      </w:r>
      <w:r w:rsidR="00BF6A5D" w:rsidRPr="00BF6A5D">
        <w:t>124</w:t>
      </w:r>
      <w:r w:rsidR="00BF6A5D" w:rsidRPr="00BF6A5D">
        <w:fldChar w:fldCharType="end"/>
      </w:r>
      <w:r w:rsidR="00BF6A5D">
        <w:t xml:space="preserve"> și </w:t>
      </w:r>
      <w:r w:rsidR="00BF6A5D" w:rsidRPr="00BF6A5D">
        <w:fldChar w:fldCharType="begin"/>
      </w:r>
      <w:r w:rsidR="00BF6A5D" w:rsidRPr="00BF6A5D">
        <w:instrText xml:space="preserve">REF paragraph00127 \h \* CharFormat  \* MERGEFORMAT </w:instrText>
      </w:r>
      <w:r w:rsidR="00BF6A5D" w:rsidRPr="00BF6A5D">
        <w:fldChar w:fldCharType="separate"/>
      </w:r>
      <w:r w:rsidR="00BF6A5D" w:rsidRPr="00BF6A5D">
        <w:t>125</w:t>
      </w:r>
      <w:r w:rsidR="00BF6A5D" w:rsidRPr="00BF6A5D">
        <w:fldChar w:fldCharType="end"/>
      </w:r>
      <w:r w:rsidR="00BF6A5D">
        <w:t xml:space="preserve"> </w:t>
      </w:r>
      <w:r w:rsidR="00BF6A5D">
        <w:rPr>
          <w:i/>
          <w:iCs/>
        </w:rPr>
        <w:t>supra</w:t>
      </w:r>
      <w:r w:rsidR="00BF6A5D">
        <w:t>, trebuie precizat, mai întâi, că scopul pentru care a fost concepută Convenția nu a fost de a asigura o protecție generală a mediului ca atare și că alte instrumente internaționale și legi naționale sunt adaptate în mod specific ca să se ocupe de acest aspect anume (</w:t>
      </w:r>
      <w:r w:rsidR="00BF6A5D">
        <w:rPr>
          <w:i/>
          <w:iCs/>
        </w:rPr>
        <w:t>Verein KlimaSeniorinnen Schweiz și alții</w:t>
      </w:r>
      <w:r w:rsidR="00BF6A5D">
        <w:t>, citată anterior, pct. 445). De altfel, reclamanții susțin că Curtea ar trebui să stabilească jurisdicția extrateritorială a statelor pârâte astfel încât să faciliteze introducerea unor litigii mai ample în materie de schimbări climatice și să le permită să acționeze ei înșiși, în loc să lase „reclamanți corespunzători din fiecare stat să depună cereri cu ambiții comparabile”. Acceptarea unui astfel de argument ar însemna îndepărtarea radicală de  logica aflată la baza sistemului de protecție al Convenției, care se bazează în primul rând și în mod fundamental pe principiul jurisdicției teritoriale și cel al subsidiarității.</w:t>
      </w:r>
    </w:p>
    <w:p w:rsidR="00BF6A5D" w:rsidRPr="00BF6A5D" w:rsidRDefault="00D340B2" w:rsidP="00BF6A5D">
      <w:pPr>
        <w:pStyle w:val="JuPara"/>
      </w:pPr>
      <w:fldSimple w:instr=" SEQ level0 \*arabic \* MERGEFORMAT ">
        <w:r w:rsidR="00BF6A5D" w:rsidRPr="00BF6A5D">
          <w:t>202</w:t>
        </w:r>
      </w:fldSimple>
      <w:r w:rsidR="00BF6A5D">
        <w:t xml:space="preserve">.  Reclamanții susțin, de asemenea, că eficacitatea unei cereri îndreptate numai împotriva Portugaliei ar fi fost limitată și că nu dispun de alte mijloace pentru a obține tragerea la răspundere a statelor pârâte pentru efectele schimbărilor climatice asupra drepturilor lor prevăzute de Convenție [a se vedea </w:t>
      </w:r>
      <w:r w:rsidR="00BF6A5D">
        <w:rPr>
          <w:i/>
          <w:iCs/>
        </w:rPr>
        <w:t>supra</w:t>
      </w:r>
      <w:r w:rsidR="00BF6A5D">
        <w:t xml:space="preserve">, pct. </w:t>
      </w:r>
      <w:r w:rsidR="00BF6A5D" w:rsidRPr="00BF6A5D">
        <w:fldChar w:fldCharType="begin"/>
      </w:r>
      <w:r w:rsidR="00BF6A5D" w:rsidRPr="00BF6A5D">
        <w:instrText xml:space="preserve">REF paragraph00126 \h \* CharFormat  \* MERGEFORMAT </w:instrText>
      </w:r>
      <w:r w:rsidR="00BF6A5D" w:rsidRPr="00BF6A5D">
        <w:fldChar w:fldCharType="separate"/>
      </w:r>
      <w:r w:rsidR="00BF6A5D" w:rsidRPr="00BF6A5D">
        <w:t>124</w:t>
      </w:r>
      <w:r w:rsidR="00BF6A5D" w:rsidRPr="00BF6A5D">
        <w:fldChar w:fldCharType="end"/>
      </w:r>
      <w:r w:rsidR="00BF6A5D">
        <w:t xml:space="preserve"> lit. c) și pct. </w:t>
      </w:r>
      <w:r w:rsidR="00BF6A5D" w:rsidRPr="00BF6A5D">
        <w:fldChar w:fldCharType="begin"/>
      </w:r>
      <w:r w:rsidR="00BF6A5D" w:rsidRPr="00BF6A5D">
        <w:instrText xml:space="preserve">REF paragraph00127 \h \* CharFormat  \* MERGEFORMAT </w:instrText>
      </w:r>
      <w:r w:rsidR="00BF6A5D" w:rsidRPr="00BF6A5D">
        <w:fldChar w:fldCharType="separate"/>
      </w:r>
      <w:r w:rsidR="00BF6A5D" w:rsidRPr="00BF6A5D">
        <w:t>125</w:t>
      </w:r>
      <w:r w:rsidR="00BF6A5D" w:rsidRPr="00BF6A5D">
        <w:fldChar w:fldCharType="end"/>
      </w:r>
      <w:r w:rsidR="00BF6A5D">
        <w:t xml:space="preserve">]. Totuși, Curtea amintește că nu trebuie să se confunde problema jurisdicției și problema răspunderii, care constituie un element separat pe care Curtea trebuie să îl ia în considerare, după caz, în cadrul examinării pe fond a capătului de cerere (a se vedea </w:t>
      </w:r>
      <w:r w:rsidR="00BF6A5D">
        <w:rPr>
          <w:i/>
          <w:iCs/>
        </w:rPr>
        <w:t>supra</w:t>
      </w:r>
      <w:r w:rsidR="00BF6A5D">
        <w:t xml:space="preserve">, pct. </w:t>
      </w:r>
      <w:r w:rsidR="00BF6A5D" w:rsidRPr="00BF6A5D">
        <w:fldChar w:fldCharType="begin"/>
      </w:r>
      <w:r w:rsidR="00BF6A5D" w:rsidRPr="00BF6A5D">
        <w:instrText xml:space="preserve"> REF paragraph00189 \h  \* CharFormat </w:instrText>
      </w:r>
      <w:r w:rsidR="00BF6A5D" w:rsidRPr="00BF6A5D">
        <w:fldChar w:fldCharType="separate"/>
      </w:r>
      <w:r w:rsidR="00BF6A5D" w:rsidRPr="00BF6A5D">
        <w:t>178</w:t>
      </w:r>
      <w:r w:rsidR="00BF6A5D" w:rsidRPr="00BF6A5D">
        <w:fldChar w:fldCharType="end"/>
      </w:r>
      <w:r w:rsidR="00BF6A5D">
        <w:t xml:space="preserve">). În plus, observă că, deși schimbările climatice sunt, fără îndoială, un fenomen global care ar trebui abordat la nivel mondial de către toate statele, fiecare stat are propria sa responsabilitate de a lua măsuri pentru a aborda schimbările climatice, iar adoptarea unor astfel de măsuri nu este determinată de nicio acțiune (sau omisiune) specifică a oricărui alt stat (a se vedea </w:t>
      </w:r>
      <w:r w:rsidR="00BF6A5D">
        <w:rPr>
          <w:i/>
          <w:iCs/>
        </w:rPr>
        <w:t>Verein KlimaSeniorinnen Schweiz și alții</w:t>
      </w:r>
      <w:r w:rsidR="00BF6A5D">
        <w:t xml:space="preserve">, citată anterior, pct. 442). Această abordare este în concordanță cu cea adoptată de Curte în cauzele în care pretinsele încălcări ale unor drepturi protejate de Convenție au angajat responsabilitatea comună a mai multor state, fiecare dintre acestea putând fi tras la răspundere pentru partea sa de responsabilitate față de încălcarea în cauză (a se vedea, de exemplu, </w:t>
      </w:r>
      <w:r w:rsidR="00BF6A5D">
        <w:rPr>
          <w:i/>
          <w:iCs/>
        </w:rPr>
        <w:t>Razvozzhayev împotriva Rusiei și a Ucrainei</w:t>
      </w:r>
      <w:r w:rsidR="00BF6A5D">
        <w:t xml:space="preserve">, precum și </w:t>
      </w:r>
      <w:r w:rsidR="00BF6A5D">
        <w:rPr>
          <w:i/>
          <w:iCs/>
        </w:rPr>
        <w:t>Udaltsov împotriva Rusiei</w:t>
      </w:r>
      <w:r w:rsidR="00BF6A5D">
        <w:t>, nr. 75734/12 și alte 2, pct. 160, 19 noiembrie 2019). Prin urmare, nu există riscul ca reclamanții să se afle într-</w:t>
      </w:r>
      <w:r w:rsidR="00BF6A5D">
        <w:lastRenderedPageBreak/>
        <w:t>un vid juridic în ceea ce privește protecția drepturilor lor garantate de Convenție și nici ca oricare dintre statele pârâte să beneficieze de impunitate în acest context. De asemenea, este important să se sublinieze că există un proces internațional de mare amploare, sub egida Organizației Națiunilor Unite, prin care statele pot să abordeze problema responsabilităților altor state în materie de schimbări climatice.</w:t>
      </w:r>
    </w:p>
    <w:p w:rsidR="00BF6A5D" w:rsidRPr="00BF6A5D" w:rsidRDefault="00D340B2" w:rsidP="00BF6A5D">
      <w:pPr>
        <w:pStyle w:val="JuPara"/>
      </w:pPr>
      <w:fldSimple w:instr=" SEQ level0 \*arabic \* MERGEFORMAT ">
        <w:r w:rsidR="00BF6A5D" w:rsidRPr="00BF6A5D">
          <w:t>203</w:t>
        </w:r>
      </w:fldSimple>
      <w:r w:rsidR="00BF6A5D">
        <w:t>.  Prin urmare, argumentul reclamanților potrivit căruia Portugalia ar avea doar o răspundere limitată – ca stat teritorial – în ceea ce privește schimbările climatice nu poate fi considerat un temei pentru a concluziona că ar trebui stabilită jurisdicția celorlalte 31 de state în speță.</w:t>
      </w:r>
    </w:p>
    <w:p w:rsidR="00BF6A5D" w:rsidRPr="00BF6A5D" w:rsidRDefault="00D340B2" w:rsidP="00BF6A5D">
      <w:pPr>
        <w:pStyle w:val="JuPara"/>
      </w:pPr>
      <w:fldSimple w:instr=" SEQ level0 \*arabic \* MERGEFORMAT ">
        <w:r w:rsidR="00BF6A5D" w:rsidRPr="00BF6A5D">
          <w:t>204</w:t>
        </w:r>
      </w:fldSimple>
      <w:r w:rsidR="00BF6A5D">
        <w:t xml:space="preserve">.  În al treilea rând, argumentele reclamanților expuse la pct. </w:t>
      </w:r>
      <w:r w:rsidR="00BF6A5D" w:rsidRPr="00BF6A5D">
        <w:fldChar w:fldCharType="begin"/>
      </w:r>
      <w:r w:rsidR="00BF6A5D" w:rsidRPr="00BF6A5D">
        <w:instrText xml:space="preserve">REF paragraph00128 \h \* CharFormat  \* MERGEFORMAT </w:instrText>
      </w:r>
      <w:r w:rsidR="00BF6A5D" w:rsidRPr="00BF6A5D">
        <w:fldChar w:fldCharType="separate"/>
      </w:r>
      <w:r w:rsidR="00BF6A5D" w:rsidRPr="00BF6A5D">
        <w:t>126</w:t>
      </w:r>
      <w:r w:rsidR="00BF6A5D" w:rsidRPr="00BF6A5D">
        <w:fldChar w:fldCharType="end"/>
      </w:r>
      <w:r w:rsidR="00BF6A5D">
        <w:t xml:space="preserve"> </w:t>
      </w:r>
      <w:r w:rsidR="00BF6A5D">
        <w:rPr>
          <w:i/>
          <w:iCs/>
        </w:rPr>
        <w:t>supra</w:t>
      </w:r>
      <w:r w:rsidR="00BF6A5D">
        <w:t xml:space="preserve"> se bazează pe factori de previzibilitate, de cunoaștere, de durată și de capacitate ai statelor în domeniul schimbărilor climatice. Reclamanții susțin că criteriul care trebuie aplicat pentru a constata existența unui temei pentru stabilirea jurisdicției ar trebui să fie cel de „control asupra intereselor reclamanților protejate de Convenție”. Aceștia invocă, de asemenea, dimensiunea multilaterală a schimbărilor climatice, precum și evoluțiile recente din dreptul internațional. Curtea va examina aceste argumente pe rând, având în vedere legătura strânsă dintre acestea.</w:t>
      </w:r>
    </w:p>
    <w:p w:rsidR="00BF6A5D" w:rsidRPr="00BF6A5D" w:rsidRDefault="00D340B2" w:rsidP="00BF6A5D">
      <w:pPr>
        <w:pStyle w:val="JuPara"/>
      </w:pPr>
      <w:fldSimple w:instr=" SEQ level0 \*arabic \* MERGEFORMAT ">
        <w:r w:rsidR="00BF6A5D" w:rsidRPr="00BF6A5D">
          <w:t>205</w:t>
        </w:r>
      </w:fldSimple>
      <w:r w:rsidR="00BF6A5D">
        <w:t>.  În ceea ce privește criteriul de „control asupra intereselor reclamanților protejate de Convenție”, reiese dintr-o jurisprudență consacrată a Curții că noțiunea de jurisdicție extrateritorială în sensul art. 1 din Convenție impune un control asupra persoanei înseși, nu asupra intereselor sale ca atare (</w:t>
      </w:r>
      <w:r w:rsidR="00BF6A5D">
        <w:rPr>
          <w:i/>
          <w:iCs/>
        </w:rPr>
        <w:t>Ucraina și Țările de Jos împotriva Rusiei</w:t>
      </w:r>
      <w:r w:rsidR="00BF6A5D">
        <w:t>, decizie citată anterior, pct. 571). În afară de cauzele specifice referitoare la cazurile de omoruri comise cu intenție de către agenți ai statului, care intră sub incidența art. 2, nimic din jurisprudența Curții nu permite să se considere că criteriul de „control asupra intereselor protejate de Convenție” ar putea servi ca bază pentru stabilirea jurisdicției extrateritoriale a unui stat; iar Curtea consideră că sfera de aplicare a jurisdicției extrateritoriale nu poate fi extinsă astfel. Acceptarea acestui argument ar echivala, într-adevăr, cu o abatere radicală de la principiile stabilite în legătură cu art. 1.</w:t>
      </w:r>
    </w:p>
    <w:p w:rsidR="00BF6A5D" w:rsidRPr="00BF6A5D" w:rsidRDefault="00D340B2" w:rsidP="00BF6A5D">
      <w:pPr>
        <w:pStyle w:val="JuPara"/>
      </w:pPr>
      <w:fldSimple w:instr=" SEQ level0 \*arabic \* MERGEFORMAT ">
        <w:r w:rsidR="00BF6A5D" w:rsidRPr="00BF6A5D">
          <w:t>206</w:t>
        </w:r>
      </w:fldSimple>
      <w:r w:rsidR="00BF6A5D">
        <w:t>.  În special, stabilirea exercitării de către un stat a jurisdicției sale extrateritoriale în ceea ce privește controlul asupra intereselor unei persoane ar face extrem de imprevizibilă întinderea obligațiilor care decurg din Convenție. Având în vedere dimensiunea multilaterală a schimbărilor climatice, pe care reclamanții înșiși o recunosc, practic orice persoană care suferă din cauza efectelor nefaste ale schimbărilor climatice oriunde în lume ar putea fi considerată ca aflată sub jurisdicția, în sensul art. 1 din Convenție, a oricărei părți contractante în legătură cu actele și omisiunile acesteia în cadrul combaterii schimbărilor climatice. O astfel de poziție nu poate fi conformă cu Convenția [</w:t>
      </w:r>
      <w:r w:rsidR="00BF6A5D">
        <w:rPr>
          <w:i/>
          <w:iCs/>
        </w:rPr>
        <w:t>Georgia împotriva Rusiei (II</w:t>
      </w:r>
      <w:r w:rsidR="00BF6A5D">
        <w:t xml:space="preserve">), citată anterior, pct. 134]. Ideea (a se vedea </w:t>
      </w:r>
      <w:r w:rsidR="00BF6A5D">
        <w:rPr>
          <w:i/>
          <w:iCs/>
        </w:rPr>
        <w:t>supra</w:t>
      </w:r>
      <w:r w:rsidR="00BF6A5D">
        <w:t xml:space="preserve">, pct. </w:t>
      </w:r>
      <w:r w:rsidR="00BF6A5D" w:rsidRPr="00BF6A5D">
        <w:fldChar w:fldCharType="begin"/>
      </w:r>
      <w:r w:rsidR="00BF6A5D" w:rsidRPr="00BF6A5D">
        <w:instrText xml:space="preserve"> REF paragraph147 \h </w:instrText>
      </w:r>
      <w:r w:rsidR="00BF6A5D" w:rsidRPr="00BF6A5D">
        <w:fldChar w:fldCharType="separate"/>
      </w:r>
      <w:r w:rsidR="00BF6A5D" w:rsidRPr="00BF6A5D">
        <w:t>145</w:t>
      </w:r>
      <w:r w:rsidR="00BF6A5D" w:rsidRPr="00BF6A5D">
        <w:fldChar w:fldCharType="end"/>
      </w:r>
      <w:r w:rsidR="00BF6A5D">
        <w:t xml:space="preserve"> și </w:t>
      </w:r>
      <w:r w:rsidR="00BF6A5D" w:rsidRPr="00BF6A5D">
        <w:fldChar w:fldCharType="begin"/>
      </w:r>
      <w:r w:rsidR="00BF6A5D" w:rsidRPr="00BF6A5D">
        <w:instrText xml:space="preserve">REF paragraph00150 \h \* CharFormat  \* MERGEFORMAT </w:instrText>
      </w:r>
      <w:r w:rsidR="00BF6A5D" w:rsidRPr="00BF6A5D">
        <w:fldChar w:fldCharType="separate"/>
      </w:r>
      <w:r w:rsidR="00BF6A5D" w:rsidRPr="00BF6A5D">
        <w:t>148</w:t>
      </w:r>
      <w:r w:rsidR="00BF6A5D" w:rsidRPr="00BF6A5D">
        <w:fldChar w:fldCharType="end"/>
      </w:r>
      <w:r w:rsidR="00BF6A5D">
        <w:t xml:space="preserve">) potrivit căreia o astfel de extindere a jurisdicției ar putea fi limitată la spațiul juridic al Convenției – </w:t>
      </w:r>
      <w:r w:rsidR="00BF6A5D">
        <w:lastRenderedPageBreak/>
        <w:t xml:space="preserve">deși reclamanții și-au îndreptat acțiunea numai împotriva unora dintre statele contractante – nu este mai convingătoare. Având în vedere natura schimbărilor climatice, în special cauzele și efectele acestora, extinderea jurisdicției extrateritoriale pe baza acestui criteriu ar fi artificială și greu de justificat (a se vedea pentru comparație, într-un alt context, </w:t>
      </w:r>
      <w:r w:rsidR="00BF6A5D">
        <w:rPr>
          <w:i/>
          <w:iCs/>
        </w:rPr>
        <w:t>Al-Skeini și alții</w:t>
      </w:r>
      <w:r w:rsidR="00BF6A5D">
        <w:t>, citată anterior, pct. 142).</w:t>
      </w:r>
    </w:p>
    <w:p w:rsidR="00BF6A5D" w:rsidRPr="00BF6A5D" w:rsidRDefault="00BF6A5D" w:rsidP="00BF6A5D">
      <w:pPr>
        <w:pStyle w:val="JuPara"/>
        <w:rPr>
          <w:rFonts w:cstheme="minorHAnsi"/>
        </w:rPr>
      </w:pPr>
      <w:r w:rsidRPr="00BF6A5D">
        <w:rPr>
          <w:rFonts w:cstheme="minorHAnsi"/>
        </w:rPr>
        <w:fldChar w:fldCharType="begin"/>
      </w:r>
      <w:r w:rsidRPr="00BF6A5D">
        <w:rPr>
          <w:rFonts w:cstheme="minorHAnsi"/>
        </w:rPr>
        <w:instrText xml:space="preserve"> SEQ level0 \*arabic \* MERGEFORMAT </w:instrText>
      </w:r>
      <w:r w:rsidRPr="00BF6A5D">
        <w:rPr>
          <w:rFonts w:cstheme="minorHAnsi"/>
        </w:rPr>
        <w:fldChar w:fldCharType="separate"/>
      </w:r>
      <w:r w:rsidRPr="00BF6A5D">
        <w:rPr>
          <w:rFonts w:cstheme="minorHAnsi"/>
        </w:rPr>
        <w:t>207</w:t>
      </w:r>
      <w:r w:rsidRPr="00BF6A5D">
        <w:rPr>
          <w:rFonts w:cstheme="minorHAnsi"/>
        </w:rPr>
        <w:fldChar w:fldCharType="end"/>
      </w:r>
      <w:r>
        <w:t xml:space="preserve">.  De asemenea, este important de remarcat faptul că, deși sursele de emisii de GES nu se limitează la activități specifice ce pot fi clasificate ca periculoase și, în general, nu pot fi localizate sau limitate la instalații specifice care produc efecte nefaste, ele se regăsesc în principal în anumite sectoare – industrie, energie, transporturi, locuințe, construcții, agricultură – și sunt legate de activitățile umane de bază desfășurate pe un anumit teritoriu. Astfel, lupta împotriva schimbărilor climatice prin reducerea emisiilor de GES la sursă este, în primul rând, o chestiune de exercitare a jurisdicției teritoriale. În schimb, efectele nefaste ale emisiilor de GES sunt rezultatul unei serii de efecte care nu este numai complexă, ci și mai imprevizibilă din punct de vedere spațio-temporal și, prin urmare, acestea sunt deosebit de difuze, ceea ce îngreunează stabilirea contribuțiilor respective la efectele nefaste ale emisiilor în străinătate. Întinderea temeiului pentru stabilirea jurisdicției extrateritoriale solicitată de reclamanți este, în practică, lipsită de limite identificabile (a se vedea, de asemenea, </w:t>
      </w:r>
      <w:r>
        <w:rPr>
          <w:i/>
          <w:iCs/>
        </w:rPr>
        <w:t>Verein KlimaSeniorinnen Schweiz și alții</w:t>
      </w:r>
      <w:r>
        <w:t>, citată anterior, pct. 417).</w:t>
      </w:r>
    </w:p>
    <w:bookmarkStart w:id="132" w:name="paragraph217"/>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208</w:t>
      </w:r>
      <w:r w:rsidRPr="00BF6A5D">
        <w:fldChar w:fldCharType="end"/>
      </w:r>
      <w:bookmarkEnd w:id="132"/>
      <w:r>
        <w:t>.  Pe scurt, extinderea jurisdicției extrateritoriale a părților contractante – în cadrul sau în afara spațiului juridic al Convenției – prin aplicarea, în domeniul schimbărilor climatice, a criteriului propus de „control asupra intereselor reclamanților protejate de Convenție” ar duce la un nivel de incertitudine care nu este sustenabil pentru state. Orice acțiune întreprinsă în legătură cu unele dintre activitățile umane de bază sus-menționate sau orice omisiune de a gestiona potențialele efecte negative ale unor astfel de activități asupra schimbărilor climatice ar putea duce la stabilirea jurisdicției extrateritoriale a unui stat asupra intereselor unor persoane care se află în afara teritoriului său și care nu au o legătură specială cu acesta. Lucru și mai important, a susține argumentele reclamanților ar echivala cu a extinde nelimitat jurisdicția extrateritorială a statelor în temeiul Convenției și a responsabilităților acestora în temeiul Convenției în privința unor persoane care s-ar putea afla aproape oriunde în lume. O astfel de abordare ar transforma Convenția într-un tratat mondial în materie de schimbări climatice. Curtea nu găsește în textul Convenției niciun element pentru a putea extinde sfera de aplicare a Convenției în modul solicitat de reclamanți.</w:t>
      </w:r>
    </w:p>
    <w:p w:rsidR="00BF6A5D" w:rsidRPr="00BF6A5D" w:rsidRDefault="00D340B2" w:rsidP="00BF6A5D">
      <w:pPr>
        <w:pStyle w:val="JuPara"/>
      </w:pPr>
      <w:fldSimple w:instr=" SEQ level0 \*arabic \* MERGEFORMAT ">
        <w:r w:rsidR="00BF6A5D" w:rsidRPr="00BF6A5D">
          <w:t>209</w:t>
        </w:r>
      </w:fldSimple>
      <w:r w:rsidR="00BF6A5D">
        <w:t xml:space="preserve">.  În ceea ce privește evoluția altor instrumente internaționale invocate de reclamanți, Curtea observă că, deși noțiunea de jurisdicție în sensul art. 1 din Convenție trebuie considerată ca reflectând sensul acestui termen în dreptul internațional public [a se vedea </w:t>
      </w:r>
      <w:r w:rsidR="00BF6A5D">
        <w:rPr>
          <w:i/>
          <w:iCs/>
        </w:rPr>
        <w:t>Ucraina împotriva Rusiei (Crimeea)</w:t>
      </w:r>
      <w:r w:rsidR="00BF6A5D">
        <w:t xml:space="preserve">, decizie citată anterior, pct. 344), alte instrumente de drept internațional pot să </w:t>
      </w:r>
      <w:r w:rsidR="00BF6A5D">
        <w:lastRenderedPageBreak/>
        <w:t xml:space="preserve">ofere o protecție diferită de cea oferită de Convenție. În orice caz, în îndeplinirea sarcinii care îi revine în temeiul art. 19 din Convenție, Curtea nu este obligată de interpretările date unor instrumente similare de către alte organisme, dispozițiile acestor alte instrumente internaționale sau rolul organismelor însărcinate cu monitorizarea aplicării acestora putând fi diferite de dispozițiile Convenției și de rolul Curții (a se vedea, de exemplu, cu privire la interpretarea unor dispoziții de fond, </w:t>
      </w:r>
      <w:r w:rsidR="00BF6A5D">
        <w:rPr>
          <w:i/>
          <w:iCs/>
        </w:rPr>
        <w:t>Camaño Valle împotriva Spaniei</w:t>
      </w:r>
      <w:r w:rsidR="00BF6A5D">
        <w:t>, nr. 43564/17, pct. 53-54, 11 mai 2021 și cauzele citate acolo).</w:t>
      </w:r>
    </w:p>
    <w:p w:rsidR="00BF6A5D" w:rsidRPr="00BF6A5D" w:rsidRDefault="00D340B2" w:rsidP="00BF6A5D">
      <w:pPr>
        <w:pStyle w:val="JuPara"/>
      </w:pPr>
      <w:fldSimple w:instr=" SEQ level0 \*arabic \* MERGEFORMAT ">
        <w:r w:rsidR="00BF6A5D" w:rsidRPr="00BF6A5D">
          <w:t>210</w:t>
        </w:r>
      </w:fldSimple>
      <w:r w:rsidR="00BF6A5D">
        <w:t>.  Curtea a abordat problema eventualei pertinențe a preambulului la UNFCCC, în care se prevede că statele au și „datoria de a face astfel ca activitățile exercitate, în limitele jurisdicției lor sau sub controlul lor, să nu cauzeze daune mediului în alte state sau regiuni care nu depind de nici o jurisdicție națională”. De asemenea, aceasta a luat în considerare art. 1 și 2 din Articole privind prevenirea daunelor transfrontaliere cauzate de activități periculoase</w:t>
      </w:r>
      <w:r w:rsidR="00BF6A5D" w:rsidRPr="00BF6A5D">
        <w:rPr>
          <w:vertAlign w:val="superscript"/>
          <w:lang w:bidi="en-US"/>
        </w:rPr>
        <w:footnoteReference w:id="26"/>
      </w:r>
      <w:r w:rsidR="00BF6A5D">
        <w:t xml:space="preserve">, care se aplică daunelor transfrontaliere, pe care le definesc ca „daune cauzate pe teritoriul sau în alte locuri aflate sub jurisdicția sau controlul unui alt stat decât statul de origine”. De asemenea, a luat act de abordarea adoptată de Curtea Interamericană în avizul său consultativ și de CDC în decizia </w:t>
      </w:r>
      <w:r w:rsidR="00BF6A5D">
        <w:rPr>
          <w:i/>
          <w:iCs/>
        </w:rPr>
        <w:t>Sacchi și alții</w:t>
      </w:r>
      <w:r w:rsidR="00BF6A5D">
        <w:t xml:space="preserve"> (a se vedea </w:t>
      </w:r>
      <w:r w:rsidR="00BF6A5D">
        <w:rPr>
          <w:i/>
          <w:iCs/>
        </w:rPr>
        <w:t>supra</w:t>
      </w:r>
      <w:r w:rsidR="00BF6A5D">
        <w:t xml:space="preserve">, pct. </w:t>
      </w:r>
      <w:r w:rsidR="00BF6A5D" w:rsidRPr="00BF6A5D">
        <w:fldChar w:fldCharType="begin"/>
      </w:r>
      <w:r w:rsidR="00BF6A5D" w:rsidRPr="00BF6A5D">
        <w:instrText xml:space="preserve"> REF paragraph00058 \h  \* CharFormat  \* MERGEFORMAT </w:instrText>
      </w:r>
      <w:r w:rsidR="00BF6A5D" w:rsidRPr="00BF6A5D">
        <w:fldChar w:fldCharType="separate"/>
      </w:r>
      <w:r w:rsidR="00BF6A5D" w:rsidRPr="00BF6A5D">
        <w:t>59</w:t>
      </w:r>
      <w:r w:rsidR="00BF6A5D" w:rsidRPr="00BF6A5D">
        <w:fldChar w:fldCharType="end"/>
      </w:r>
      <w:r w:rsidR="00BF6A5D">
        <w:t xml:space="preserve"> și </w:t>
      </w:r>
      <w:r w:rsidR="00BF6A5D" w:rsidRPr="00BF6A5D">
        <w:fldChar w:fldCharType="begin"/>
      </w:r>
      <w:r w:rsidR="00BF6A5D" w:rsidRPr="00BF6A5D">
        <w:instrText xml:space="preserve"> REF paragraph00062 \h  \* CharFormat  \* MERGEFORMAT </w:instrText>
      </w:r>
      <w:r w:rsidR="00BF6A5D" w:rsidRPr="00BF6A5D">
        <w:fldChar w:fldCharType="separate"/>
      </w:r>
      <w:r w:rsidR="00BF6A5D" w:rsidRPr="00BF6A5D">
        <w:t>63</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211</w:t>
        </w:r>
      </w:fldSimple>
      <w:r w:rsidR="00BF6A5D">
        <w:t>.  Totuși, Curtea consideră că aceste elemente nu permit să se stabilească jurisdicția extrateritorială a statelor în temeiul Convenției în modul și pentru motivele propuse de reclamanți.</w:t>
      </w:r>
    </w:p>
    <w:p w:rsidR="00BF6A5D" w:rsidRPr="00BF6A5D" w:rsidRDefault="00D340B2" w:rsidP="00BF6A5D">
      <w:pPr>
        <w:pStyle w:val="JuPara"/>
      </w:pPr>
      <w:fldSimple w:instr=" SEQ level0 \*arabic \* MERGEFORMAT ">
        <w:r w:rsidR="00BF6A5D" w:rsidRPr="00BF6A5D">
          <w:t>212</w:t>
        </w:r>
      </w:fldSimple>
      <w:r w:rsidR="00BF6A5D">
        <w:t>.  În primul rând, UNFCCC și proiectul de articole sus-menționate au o natură fundamental diferită de cea a Convenției, care este un instrument de protecție a drepturilor omului și nu a fost concepută în mod specific pentru a asigura o protecție generală a mediului. În al doilea rând, acestea au fost concepute în primul rând ca să reglementeze relațiile dintre state, în timp ce Convenția depășește cadrul simplei reciprocități între statele contractante. Pe lângă o rețea de angajamente sinalagmatice bilaterale, aceasta creează obligații obiective în materie de drepturi fundamentale (</w:t>
      </w:r>
      <w:r w:rsidR="00BF6A5D">
        <w:rPr>
          <w:i/>
          <w:iCs/>
        </w:rPr>
        <w:t>Loizidou</w:t>
      </w:r>
      <w:r w:rsidR="00BF6A5D">
        <w:t xml:space="preserve">, citată anterior, pct. 70). În sfârșit, deși se referă la problema „daunelor” sau „prejudiciilor” suferite în afara frontierelor unui stat, documentele citate anterior nu par să sugereze că astfel de „daune” sau „prejudicii” dau naștere unei legături jurisdicționale între persoana care le-a suferit și statul din care provin acestea. În plus, acestea fac o deosebire clară între activitatea care cauzează dauna sau prejudiciul, desfășurată pe un teritoriu aflat sub jurisdicția unui stat, și efectele acesteia, care au loc pe un teritoriu aflat sub jurisdicția unui alt stat. Curtea observă că Curtea Interamericană, în avizul consultativ, și CDC, în cauza </w:t>
      </w:r>
      <w:r w:rsidR="00BF6A5D">
        <w:rPr>
          <w:i/>
          <w:iCs/>
        </w:rPr>
        <w:t>Sacchi și alții</w:t>
      </w:r>
      <w:r w:rsidR="00BF6A5D">
        <w:t xml:space="preserve"> (a se vedea </w:t>
      </w:r>
      <w:r w:rsidR="00BF6A5D">
        <w:rPr>
          <w:i/>
          <w:iCs/>
        </w:rPr>
        <w:t>supra</w:t>
      </w:r>
      <w:r w:rsidR="00BF6A5D">
        <w:t xml:space="preserve">, pct. </w:t>
      </w:r>
      <w:r w:rsidR="00BF6A5D" w:rsidRPr="00BF6A5D">
        <w:fldChar w:fldCharType="begin"/>
      </w:r>
      <w:r w:rsidR="00BF6A5D" w:rsidRPr="00BF6A5D">
        <w:instrText xml:space="preserve"> REF paragraph00058 \h  \* CharFormat </w:instrText>
      </w:r>
      <w:r w:rsidR="00BF6A5D" w:rsidRPr="00BF6A5D">
        <w:fldChar w:fldCharType="separate"/>
      </w:r>
      <w:r w:rsidR="00BF6A5D" w:rsidRPr="00BF6A5D">
        <w:t>59</w:t>
      </w:r>
      <w:r w:rsidR="00BF6A5D" w:rsidRPr="00BF6A5D">
        <w:fldChar w:fldCharType="end"/>
      </w:r>
      <w:r w:rsidR="00BF6A5D">
        <w:t xml:space="preserve"> și </w:t>
      </w:r>
      <w:r w:rsidR="00BF6A5D" w:rsidRPr="00BF6A5D">
        <w:fldChar w:fldCharType="begin"/>
      </w:r>
      <w:r w:rsidR="00BF6A5D" w:rsidRPr="00BF6A5D">
        <w:instrText xml:space="preserve"> REF paragraph00062 \h  \* CharFormat </w:instrText>
      </w:r>
      <w:r w:rsidR="00BF6A5D" w:rsidRPr="00BF6A5D">
        <w:fldChar w:fldCharType="separate"/>
      </w:r>
      <w:r w:rsidR="00BF6A5D" w:rsidRPr="00BF6A5D">
        <w:t>63</w:t>
      </w:r>
      <w:r w:rsidR="00BF6A5D" w:rsidRPr="00BF6A5D">
        <w:fldChar w:fldCharType="end"/>
      </w:r>
      <w:r w:rsidR="00BF6A5D">
        <w:t xml:space="preserve">), s-au bazat pe o viziune diferită a noțiunii de jurisdicție, viziune pe care ea însăși nu a </w:t>
      </w:r>
      <w:r w:rsidR="00BF6A5D">
        <w:lastRenderedPageBreak/>
        <w:t>recunoscut-o în jurisprudența sa [</w:t>
      </w:r>
      <w:r w:rsidR="00BF6A5D">
        <w:rPr>
          <w:i/>
          <w:iCs/>
        </w:rPr>
        <w:t>Georgia împotriva Rusiei (II)</w:t>
      </w:r>
      <w:r w:rsidR="00BF6A5D">
        <w:t>, citată anterior, pct. 124].</w:t>
      </w:r>
    </w:p>
    <w:bookmarkStart w:id="133" w:name="paragraph00222"/>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213</w:t>
      </w:r>
      <w:r w:rsidRPr="00BF6A5D">
        <w:fldChar w:fldCharType="end"/>
      </w:r>
      <w:bookmarkEnd w:id="133"/>
      <w:r>
        <w:t>.  Având în vedere considerațiile de mai sus, fără a pierde din vedere evoluțiile juridice continue care au loc la nivel național și internațional, nici măsurile globale luate ca răspuns la schimbările climatice, nici îmbogățirea constantă a cunoștințelor științifice cu privire la acest fenomen și efectele lui asupra persoanelor, Curtea concluzionează că nu există niciun temei în Convenție care să justifice extinderea, pe calea interpretării judiciare, a jurisdicției extrateritoriale a statelor pârâte în modul solicitat de reclamanți.</w:t>
      </w:r>
    </w:p>
    <w:p w:rsidR="00BF6A5D" w:rsidRPr="00BF6A5D" w:rsidRDefault="00BF6A5D" w:rsidP="00BF6A5D">
      <w:pPr>
        <w:pStyle w:val="JuHa0"/>
      </w:pPr>
      <w:bookmarkStart w:id="134" w:name="_Toc177058440"/>
      <w:r>
        <w:t>Concluzie</w:t>
      </w:r>
      <w:bookmarkEnd w:id="134"/>
    </w:p>
    <w:bookmarkStart w:id="135" w:name="paragraph0022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214</w:t>
      </w:r>
      <w:r w:rsidRPr="00BF6A5D">
        <w:fldChar w:fldCharType="end"/>
      </w:r>
      <w:bookmarkEnd w:id="135"/>
      <w:r>
        <w:t xml:space="preserve">.  Din cele de mai sus decurge faptul că jurisdicția teritorială este stabilită în ceea ce privește Portugalia (a se vedea </w:t>
      </w:r>
      <w:r>
        <w:rPr>
          <w:i/>
          <w:iCs/>
        </w:rPr>
        <w:t>supra</w:t>
      </w:r>
      <w:r>
        <w:t xml:space="preserve">, pct. </w:t>
      </w:r>
      <w:r w:rsidRPr="00BF6A5D">
        <w:fldChar w:fldCharType="begin"/>
      </w:r>
      <w:r w:rsidRPr="00BF6A5D">
        <w:instrText xml:space="preserve">REF paragraph00189 \h \* CharFormat  \* MERGEFORMAT </w:instrText>
      </w:r>
      <w:r w:rsidRPr="00BF6A5D">
        <w:fldChar w:fldCharType="separate"/>
      </w:r>
      <w:r w:rsidRPr="00BF6A5D">
        <w:t>178</w:t>
      </w:r>
      <w:r w:rsidRPr="00BF6A5D">
        <w:fldChar w:fldCharType="end"/>
      </w:r>
      <w:r>
        <w:t xml:space="preserve">) și că nu se poate constata niciun temei pentru stabilirea jurisdicției în ceea ce privește celelalte state pârâte (a se vedea </w:t>
      </w:r>
      <w:r>
        <w:rPr>
          <w:i/>
          <w:iCs/>
        </w:rPr>
        <w:t>supra</w:t>
      </w:r>
      <w:r>
        <w:t xml:space="preserve">, pct. </w:t>
      </w:r>
      <w:r w:rsidRPr="00BF6A5D">
        <w:fldChar w:fldCharType="begin"/>
      </w:r>
      <w:r w:rsidRPr="00BF6A5D">
        <w:instrText xml:space="preserve">REF paragraph00222 \h \* CharFormat  \* MERGEFORMAT </w:instrText>
      </w:r>
      <w:r w:rsidRPr="00BF6A5D">
        <w:fldChar w:fldCharType="separate"/>
      </w:r>
      <w:r w:rsidRPr="00BF6A5D">
        <w:t>213</w:t>
      </w:r>
      <w:r w:rsidRPr="00BF6A5D">
        <w:fldChar w:fldCharType="end"/>
      </w:r>
      <w:r>
        <w:t>). În consecință, capătul de cerere îndreptat de reclamanți împotriva celorlalte state pârâte trebuie declarat inadmisibil în temeiul art. 35 § 3 și 4 din Convenție.</w:t>
      </w:r>
    </w:p>
    <w:p w:rsidR="00BF6A5D" w:rsidRPr="00BF6A5D" w:rsidRDefault="00BF6A5D" w:rsidP="00BF6A5D">
      <w:pPr>
        <w:pStyle w:val="JuHA"/>
      </w:pPr>
      <w:bookmarkStart w:id="136" w:name="_Toc177058441"/>
      <w:r>
        <w:t>Cu privire la epuizarea căilor de atac interne</w:t>
      </w:r>
      <w:bookmarkEnd w:id="136"/>
    </w:p>
    <w:p w:rsidR="00BF6A5D" w:rsidRPr="00BF6A5D" w:rsidRDefault="00BF6A5D" w:rsidP="00BF6A5D">
      <w:pPr>
        <w:pStyle w:val="JuH1"/>
        <w:numPr>
          <w:ilvl w:val="3"/>
          <w:numId w:val="2"/>
        </w:numPr>
      </w:pPr>
      <w:bookmarkStart w:id="137" w:name="_Toc177058442"/>
      <w:r>
        <w:t>Principii generale</w:t>
      </w:r>
      <w:bookmarkEnd w:id="137"/>
    </w:p>
    <w:p w:rsidR="00BF6A5D" w:rsidRPr="00BF6A5D" w:rsidRDefault="00D340B2" w:rsidP="00BF6A5D">
      <w:pPr>
        <w:pStyle w:val="JuPara"/>
      </w:pPr>
      <w:fldSimple w:instr=" SEQ level0 \*arabic \* MERGEFORMAT ">
        <w:r w:rsidR="00BF6A5D" w:rsidRPr="00BF6A5D">
          <w:t>215</w:t>
        </w:r>
      </w:fldSimple>
      <w:r w:rsidR="00BF6A5D">
        <w:t xml:space="preserve">.  Principiile generale referitoare la epuizarea căilor de atac interne au fost enunțate în hotărârea </w:t>
      </w:r>
      <w:r w:rsidR="00BF6A5D">
        <w:rPr>
          <w:i/>
          <w:iCs/>
        </w:rPr>
        <w:t>Vučković și alții împotriva Serbiei</w:t>
      </w:r>
      <w:r w:rsidR="00BF6A5D">
        <w:t xml:space="preserve"> [(excepție preliminară) (MC), nr. 17153/11 și alte 29, pct. 69-77, 25 martie 2014; a se vedea, de asemenea, </w:t>
      </w:r>
      <w:r w:rsidR="00BF6A5D">
        <w:rPr>
          <w:i/>
          <w:iCs/>
        </w:rPr>
        <w:t>Gherghina împotriva României</w:t>
      </w:r>
      <w:r w:rsidR="00BF6A5D">
        <w:t xml:space="preserve"> (dec.) (MC), nr. 42219/07, pct. 83-89, 9 iulie 2015; și </w:t>
      </w:r>
      <w:r w:rsidR="00BF6A5D">
        <w:rPr>
          <w:i/>
        </w:rPr>
        <w:t>Communauté genevoise d’action syndicale</w:t>
      </w:r>
      <w:r w:rsidR="00BF6A5D">
        <w:rPr>
          <w:i/>
          <w:iCs/>
        </w:rPr>
        <w:t xml:space="preserve"> (CGAS) împotriva Elveției</w:t>
      </w:r>
      <w:r w:rsidR="00BF6A5D">
        <w:t xml:space="preserve"> (MC), nr. 21881/20, pct. 138-146, 27 noiembrie 2023):</w:t>
      </w:r>
    </w:p>
    <w:p w:rsidR="00BF6A5D" w:rsidRPr="00BF6A5D" w:rsidRDefault="00BF6A5D" w:rsidP="00BF6A5D">
      <w:pPr>
        <w:pStyle w:val="JuQuot"/>
      </w:pPr>
      <w:r>
        <w:t>„69.  O caracteristică fundamentală a mecanismului de protecție instituit de Convenție este faptul că acesta este subsidiar sistemelor naționale de apărare a drepturilor omului. Curtea se ocupă de supravegherea punerii în aplicare, de către statele contractante, a obligațiilor acestora prevăzute de Convenție. Nu trebuie să își asume rolul statelor contractante, a căror responsabilitate este de a se asigura că drepturile și libertățile fundamentale consacrate de Convenție sunt respectate și protejate la nivel intern. Regula epuizării căilor de atac interne se bazează pe presupunerea, reflectată în art. 13 din Convenție, cu care prezintă o afinitate strânsă, că în sistemul național este disponibilă o cale de atac efectivă în raport cu pretinsa încălcare. Așadar, această regulă constituie o parte indispensabilă a funcționării acestui sistem de protecție.</w:t>
      </w:r>
    </w:p>
    <w:p w:rsidR="00BF6A5D" w:rsidRPr="00BF6A5D" w:rsidRDefault="00BF6A5D" w:rsidP="00BF6A5D">
      <w:pPr>
        <w:pStyle w:val="JuQuot"/>
      </w:pPr>
      <w:r>
        <w:t xml:space="preserve">70.  Statele nu sunt obligate să răspundă pentru actele lor în fața unui organism internațional înainte de a fi avut posibilitatea remedierii situației în ordinea lor juridică internă. Statele sunt exonerate de răspundere pentru actele lor în fața unui organism internațional până la momentul la care au posibilitatea de a remedia neregulile prin intermediul propriului sistem juridic, iar persoanele care doresc să invoce competența de supraveghere a Curții în ceea ce privește plângerile împotriva unui stat sunt astfel obligate să utilizeze mai întâi căile de atac prevăzute de sistemul juridic național (a se </w:t>
      </w:r>
      <w:r>
        <w:lastRenderedPageBreak/>
        <w:t xml:space="preserve">vedea, printre multe altele, </w:t>
      </w:r>
      <w:r>
        <w:rPr>
          <w:i/>
          <w:iCs/>
        </w:rPr>
        <w:t>Akdivar și alții împotriva Turciei</w:t>
      </w:r>
      <w:r>
        <w:t xml:space="preserve">, 16 septembrie 1996, pct. 65, </w:t>
      </w:r>
      <w:r>
        <w:rPr>
          <w:i/>
          <w:iCs/>
        </w:rPr>
        <w:t>Culegere [de hotărâri și decizii]</w:t>
      </w:r>
      <w:r>
        <w:t xml:space="preserve"> 1996-IV). Curtea ține să sublinieze faptul că nu este o instanță de prim grad de jurisdicție; nu are capacitatea și, în calitate de instanță internațională, nu are obligația să se pronunțe cu privire la un număr mare de cauze care presupun stabilirea situației de fapt de bază sau calcularea unei compensații financiare – două sarcini care, din principiu și din motive de eficiență, le revin instanțelor interne [a se vedea decizia </w:t>
      </w:r>
      <w:r>
        <w:rPr>
          <w:i/>
          <w:iCs/>
        </w:rPr>
        <w:t>Demopoulos și alții împotriva Turciei</w:t>
      </w:r>
      <w:r>
        <w:t xml:space="preserve"> (dec.) (MC), nr. 46113/99 [și alte 7], pct. 69, CEDO 2010, în care Curtea a citat principiile expuse în mod detaliat la pct. 66-69 din hotărârea </w:t>
      </w:r>
      <w:r>
        <w:rPr>
          <w:i/>
          <w:iCs/>
        </w:rPr>
        <w:t>Akdivar și alții</w:t>
      </w:r>
      <w:r>
        <w:t>, ale cărei elemente relevante în speță sunt reamintite în continuare].</w:t>
      </w:r>
    </w:p>
    <w:p w:rsidR="00BF6A5D" w:rsidRPr="00BF6A5D" w:rsidRDefault="00BF6A5D" w:rsidP="00BF6A5D">
      <w:pPr>
        <w:pStyle w:val="JuQuot"/>
      </w:pPr>
      <w:r>
        <w:t>71.  Obligația epuizării căilor de atac interne impune așadar reclamanților să folosească în mod normal căile de atac care sunt disponibile și suficiente cu privire la capetele de cerere întemeiate pe Convenție. Existența căilor de atac în cauză trebuie să fie suficient de sigură nu numai în teorie, ci și în practică, fără de care acestea vor fi lipsite de accesibilitatea și eficiența necesare (</w:t>
      </w:r>
      <w:r>
        <w:rPr>
          <w:i/>
        </w:rPr>
        <w:t>Akdivar și alții</w:t>
      </w:r>
      <w:r>
        <w:t>, citată anterior, pct. 66).</w:t>
      </w:r>
    </w:p>
    <w:p w:rsidR="00BF6A5D" w:rsidRPr="00BF6A5D" w:rsidRDefault="00BF6A5D" w:rsidP="00BF6A5D">
      <w:pPr>
        <w:pStyle w:val="JuQuot"/>
      </w:pPr>
      <w:r>
        <w:t xml:space="preserve">72.  Art. 35 § 1 impune, de asemenea, să prezinte în fața organului intern competent, cel puțin pe fond [a se vedea, de exemplu, </w:t>
      </w:r>
      <w:r>
        <w:rPr>
          <w:i/>
          <w:iCs/>
        </w:rPr>
        <w:t>Castells împotriva Spaniei</w:t>
      </w:r>
      <w:r>
        <w:t xml:space="preserve">, 23 aprilie 1992, pct. 32, seria A nr. 236, </w:t>
      </w:r>
      <w:r>
        <w:rPr>
          <w:i/>
          <w:iCs/>
        </w:rPr>
        <w:t>Gäfgen împotriva Germaniei</w:t>
      </w:r>
      <w:r>
        <w:t xml:space="preserve"> (MC), nr. 22978/05, pct. 144 și 146, CEDO 2010, și </w:t>
      </w:r>
      <w:r>
        <w:rPr>
          <w:i/>
          <w:iCs/>
        </w:rPr>
        <w:t>Fressoz și Roire împotriva Franței</w:t>
      </w:r>
      <w:r>
        <w:t xml:space="preserve"> (MC), nr. 29183/95, pct. 37, CEDO 1999-I] și în formele și în termenele prevăzute de dreptul intern, capetele de cerere pe care intenționează să le formuleze ulterior la Strasbourg; de asemenea, impune utilizarea unor mijloace procedurale adecvate, prin care să se prevină încălcarea Convenției (</w:t>
      </w:r>
      <w:r>
        <w:rPr>
          <w:i/>
          <w:iCs/>
        </w:rPr>
        <w:t>Akdivar și alții</w:t>
      </w:r>
      <w:r>
        <w:t xml:space="preserve">, citată anterior, pct. 66). Cererea care nu îndeplinește aceste cerințe trebuie, în principiu, să fie declarată inadmisibilă pentru neepuizarea căilor de atac interne [a se vedea, de exemplu, </w:t>
      </w:r>
      <w:r>
        <w:rPr>
          <w:i/>
          <w:iCs/>
        </w:rPr>
        <w:t>Cardot împotriva Franței</w:t>
      </w:r>
      <w:r>
        <w:t xml:space="preserve">, 19 martie 1991, pct. 34, seria A nr. 200, și </w:t>
      </w:r>
      <w:r>
        <w:rPr>
          <w:i/>
          <w:iCs/>
        </w:rPr>
        <w:t>Thiermann și alții împotriva Norvegiei</w:t>
      </w:r>
      <w:r>
        <w:t xml:space="preserve"> (dec.), nr. 18712/03, 8 martie 2007].</w:t>
      </w:r>
    </w:p>
    <w:p w:rsidR="00BF6A5D" w:rsidRPr="00BF6A5D" w:rsidRDefault="00BF6A5D" w:rsidP="00BF6A5D">
      <w:pPr>
        <w:pStyle w:val="JuQuot"/>
      </w:pPr>
      <w:r>
        <w:t>73.  Cu toate acestea, nu există obligația utilizării unor căi de atac care nu sunt corespunzătoare sau efective. În plus, potrivit «principiilor general recunoscute ale dreptului internațional», anumite circumstanțe speciale pot scuti reclamantul de obligația de a epuiza căile de atac interne de care dispune. Regula epuizării căilor de atac interne nu se aplică nici în cazul în care există dovezi ale unei practici administrative care constă în repetarea, cu toleranță oficială din partea statului, a unor fapte interzise de Convenție, astfel încât orice procedură ar fi inutilă sau ineficientă (</w:t>
      </w:r>
      <w:r>
        <w:rPr>
          <w:i/>
          <w:iCs/>
        </w:rPr>
        <w:t>Akdivar și alții</w:t>
      </w:r>
      <w:r>
        <w:t>, citată anterior, pct. 67).</w:t>
      </w:r>
    </w:p>
    <w:p w:rsidR="00BF6A5D" w:rsidRPr="00BF6A5D" w:rsidRDefault="00BF6A5D" w:rsidP="00BF6A5D">
      <w:pPr>
        <w:pStyle w:val="JuQuot"/>
      </w:pPr>
      <w:r>
        <w:t>74.  Pentru a putea fi considerată efectivă, o cale de atac trebuie să fie susceptibilă să remedieze direct situația în discuție și să prezinte perspective rezonabile de reușită [</w:t>
      </w:r>
      <w:r>
        <w:rPr>
          <w:i/>
          <w:iCs/>
        </w:rPr>
        <w:t>Balogh împotriva Ungariei</w:t>
      </w:r>
      <w:r>
        <w:t xml:space="preserve">, nr. 47940/99, pct. 30, 20 iulie 2004 și </w:t>
      </w:r>
      <w:r>
        <w:rPr>
          <w:i/>
          <w:iCs/>
        </w:rPr>
        <w:t>Sejdovic împotriva Italiei</w:t>
      </w:r>
      <w:r>
        <w:t xml:space="preserve"> (MC), nr. 56581/00, pct. 46, CEDO 2006-II]. Totuși, existența unor simple îndoieli cu privire la șansele de reușită ale unei anumite căi de atac, care în mod evident nu este inutilă, nu constituie un motiv valid pentru neepuizarea acesteia [</w:t>
      </w:r>
      <w:r>
        <w:rPr>
          <w:i/>
          <w:iCs/>
        </w:rPr>
        <w:t>Akdivar și alții</w:t>
      </w:r>
      <w:r>
        <w:t xml:space="preserve">, citată anterior, pct. 71 și </w:t>
      </w:r>
      <w:r>
        <w:rPr>
          <w:i/>
          <w:iCs/>
        </w:rPr>
        <w:t>Scoppola împotriva Italiei (nr. 2)</w:t>
      </w:r>
      <w:r>
        <w:t xml:space="preserve"> (MC), nr. 10249/03, pct. 70, 17 septembrie 2009].</w:t>
      </w:r>
    </w:p>
    <w:p w:rsidR="00BF6A5D" w:rsidRPr="00BF6A5D" w:rsidRDefault="00BF6A5D" w:rsidP="00BF6A5D">
      <w:pPr>
        <w:pStyle w:val="JuQuot"/>
      </w:pPr>
      <w:r>
        <w:t>75.  În măsura în care există la nivel național o acțiune care permite instanțelor naționale să examineze, cel puțin pe fond, capătul de cerere referitor la încălcarea unui drept protejat de Convenție, această cale de atac trebuie exercitată (</w:t>
      </w:r>
      <w:r>
        <w:rPr>
          <w:i/>
          <w:iCs/>
        </w:rPr>
        <w:t>Azinas [împotriva Ciprului</w:t>
      </w:r>
      <w:r>
        <w:t xml:space="preserve"> (MC), nr. 56679/00, pct. 38, CEDO 2004-III]). Nu este suficient, după caz, ca reclamantul să fi exercitat, fără succes, o altă cale de atac care ar putea conduce la infirmarea măsurii în litigiu pentru motive care nu au legătură cu pretinsa încălcare a unui drept protejat de Convenție. Capătul de cerere formulat în temeiul Convenției este </w:t>
      </w:r>
      <w:r>
        <w:lastRenderedPageBreak/>
        <w:t>cel care trebuie să fi fost invocat la nivel național pentru a se putea concluziona că au fost epuizate «căile de atac efective». Ar fi contrar caracterului subsidiar al mecanismului Convenției ca un reclamant, neglijând un eventual argument în raport cu Convenția, să poată invoca un alt motiv în fața autorităților naționale pentru a contesta o măsură și, ulterior, să introducă în fața Curții o cerere bazată pe argumentul formulat în temeiul Convenției (</w:t>
      </w:r>
      <w:r>
        <w:rPr>
          <w:i/>
          <w:iCs/>
        </w:rPr>
        <w:t>Van Oosterwijck împotriva Belgiei</w:t>
      </w:r>
      <w:r>
        <w:t xml:space="preserve">, 6 noiembrie 1980, pct. 33-34, seria A nr. 40, și </w:t>
      </w:r>
      <w:r>
        <w:rPr>
          <w:i/>
          <w:iCs/>
        </w:rPr>
        <w:t>Azinas</w:t>
      </w:r>
      <w:r>
        <w:t>, citată anterior, pct. 38).</w:t>
      </w:r>
    </w:p>
    <w:p w:rsidR="00BF6A5D" w:rsidRPr="00BF6A5D" w:rsidRDefault="00BF6A5D" w:rsidP="00BF6A5D">
      <w:pPr>
        <w:pStyle w:val="JuQuot"/>
      </w:pPr>
      <w:r>
        <w:t>76.  Cu toate acestea, Curtea a subliniat adesea necesitatea de a aplica regula epuizării cu o oarecare flexibilitate și fără un formalism excesiv (</w:t>
      </w:r>
      <w:r>
        <w:rPr>
          <w:i/>
        </w:rPr>
        <w:t>Ringeisen împotriva Austriei</w:t>
      </w:r>
      <w:r>
        <w:t xml:space="preserve">, 16 iulie 1971, pct. 89, seria A nr. 13, și </w:t>
      </w:r>
      <w:r>
        <w:rPr>
          <w:i/>
        </w:rPr>
        <w:t>Akdivar și alții</w:t>
      </w:r>
      <w:r>
        <w:t>, citată anterior, pct. 69). De exemplu, ar fi prea formal să se solicite persoanelor în cauză să exercite o cale de atac pe care nici măcar instanța supremă a statului nu le obliga să o exercite [</w:t>
      </w:r>
      <w:r>
        <w:rPr>
          <w:i/>
          <w:iCs/>
        </w:rPr>
        <w:t>D.H. și alții împotriva Republicii Cehe</w:t>
      </w:r>
      <w:r>
        <w:t xml:space="preserve"> (MC), nr. 57325/00, pct. 117 și 118, CEDO 2007-IV].</w:t>
      </w:r>
    </w:p>
    <w:p w:rsidR="00BF6A5D" w:rsidRPr="00BF6A5D" w:rsidRDefault="00BF6A5D" w:rsidP="00BF6A5D">
      <w:pPr>
        <w:pStyle w:val="JuQuot"/>
      </w:pPr>
      <w:r>
        <w:t>77.  Referitor la sarcina probei, este obligația Guvernului care invocă neepuizarea căilor de atac să convingă Curtea că respectiva cale de atac era efectivă și disponibilă atât în teorie, cât și în practică, la momentul respectiv. Odată demonstrat acest lucru, reclamantul are obligația de a stabili că respectiva cale de atac menționată de Guvern a fost într-adevăr epuizată ori că aceasta, dintr-un anumit motiv, nu era adecvată sau nu era efectivă în circumstanțele particulare ale cauzei sau că au existat circumstanțe speciale care îl scuteau de această obligație [</w:t>
      </w:r>
      <w:r>
        <w:rPr>
          <w:i/>
          <w:iCs/>
        </w:rPr>
        <w:t>Akdivar și alții</w:t>
      </w:r>
      <w:r>
        <w:t xml:space="preserve">, citată anterior, pct. 68, </w:t>
      </w:r>
      <w:r>
        <w:rPr>
          <w:i/>
          <w:iCs/>
        </w:rPr>
        <w:t>Demopoulos și alții</w:t>
      </w:r>
      <w:r>
        <w:t xml:space="preserve">, decizie citată anterior, pct. 69 și </w:t>
      </w:r>
      <w:r>
        <w:rPr>
          <w:i/>
          <w:iCs/>
        </w:rPr>
        <w:t>McFarlane împotriva Irlandei</w:t>
      </w:r>
      <w:r>
        <w:t xml:space="preserve"> (MC), nr. 31333/06, pct. 107, 10 septembrie 2010].”</w:t>
      </w:r>
    </w:p>
    <w:p w:rsidR="00BF6A5D" w:rsidRPr="00BF6A5D" w:rsidRDefault="00BF6A5D" w:rsidP="00BF6A5D">
      <w:pPr>
        <w:pStyle w:val="JuH1"/>
        <w:numPr>
          <w:ilvl w:val="3"/>
          <w:numId w:val="2"/>
        </w:numPr>
      </w:pPr>
      <w:bookmarkStart w:id="138" w:name="_Toc177058443"/>
      <w:r>
        <w:t>Aplicarea principiilor de mai sus în prezenta speță</w:t>
      </w:r>
      <w:bookmarkEnd w:id="138"/>
    </w:p>
    <w:p w:rsidR="00BF6A5D" w:rsidRPr="00BF6A5D" w:rsidRDefault="00D340B2" w:rsidP="00BF6A5D">
      <w:pPr>
        <w:pStyle w:val="JuPara"/>
      </w:pPr>
      <w:fldSimple w:instr=" SEQ level0 \*arabic \* MERGEFORMAT ">
        <w:r w:rsidR="00BF6A5D" w:rsidRPr="00BF6A5D">
          <w:t>216</w:t>
        </w:r>
      </w:fldSimple>
      <w:r w:rsidR="00BF6A5D">
        <w:t xml:space="preserve">.  Curtea a concluzionat că aceste capete de cerere sunt inadmisibile în ceea ce privește alte state pârâte decât Portugalia întrucât reclamanții nu se află sub jurisdicția lor. În consecință, problema epuizării căilor de atac interne se ridică numai în ceea ce privește Portugalia, întrucât Portugalia este singurul stat pârât a cărui jurisdicție este stabilită în legătură cu capetele de cerere formulate de reclamanți (a se vedea </w:t>
      </w:r>
      <w:r w:rsidR="00BF6A5D">
        <w:rPr>
          <w:i/>
          <w:iCs/>
        </w:rPr>
        <w:t>supra</w:t>
      </w:r>
      <w:r w:rsidR="00BF6A5D">
        <w:t xml:space="preserve">, pct. </w:t>
      </w:r>
      <w:r w:rsidR="00BF6A5D" w:rsidRPr="00BF6A5D">
        <w:fldChar w:fldCharType="begin"/>
      </w:r>
      <w:r w:rsidR="00BF6A5D" w:rsidRPr="00BF6A5D">
        <w:instrText xml:space="preserve">REF paragraph00223 \h \* CharFormat  \* MERGEFORMAT </w:instrText>
      </w:r>
      <w:r w:rsidR="00BF6A5D" w:rsidRPr="00BF6A5D">
        <w:fldChar w:fldCharType="separate"/>
      </w:r>
      <w:r w:rsidR="00BF6A5D" w:rsidRPr="00BF6A5D">
        <w:t>214</w:t>
      </w:r>
      <w:r w:rsidR="00BF6A5D" w:rsidRPr="00BF6A5D">
        <w:fldChar w:fldCharType="end"/>
      </w:r>
      <w:r w:rsidR="00BF6A5D">
        <w:t xml:space="preserve">). Prin urmare, Curtea va examina în special chestiunea dacă în Portugalia existau căi de atac efective în raport cu capetele de cerere ale reclamanților, căi pe care reclamanții erau obligați să le exercite (a se vedea </w:t>
      </w:r>
      <w:r w:rsidR="00BF6A5D">
        <w:rPr>
          <w:i/>
          <w:iCs/>
        </w:rPr>
        <w:t>supra</w:t>
      </w:r>
      <w:r w:rsidR="00BF6A5D">
        <w:t xml:space="preserve">, pct. </w:t>
      </w:r>
      <w:r w:rsidR="00BF6A5D" w:rsidRPr="00BF6A5D">
        <w:fldChar w:fldCharType="begin"/>
      </w:r>
      <w:r w:rsidR="00BF6A5D" w:rsidRPr="00BF6A5D">
        <w:instrText xml:space="preserve"> REF lt_pId1827 \h  \* CharFormat  \* MERGEFORMAT </w:instrText>
      </w:r>
      <w:r w:rsidR="00BF6A5D" w:rsidRPr="00BF6A5D">
        <w:fldChar w:fldCharType="separate"/>
      </w:r>
      <w:r w:rsidR="00BF6A5D" w:rsidRPr="00BF6A5D">
        <w:t>217</w:t>
      </w:r>
      <w:r w:rsidR="00BF6A5D" w:rsidRPr="00BF6A5D">
        <w:fldChar w:fldCharType="end"/>
      </w:r>
      <w:r w:rsidR="00BF6A5D">
        <w:t>-</w:t>
      </w:r>
      <w:r w:rsidR="00BF6A5D" w:rsidRPr="00BF6A5D">
        <w:fldChar w:fldCharType="begin"/>
      </w:r>
      <w:r w:rsidR="00BF6A5D" w:rsidRPr="00BF6A5D">
        <w:instrText xml:space="preserve"> REF paragraph00243 \h  \* CharFormat  \* MERGEFORMAT </w:instrText>
      </w:r>
      <w:r w:rsidR="00BF6A5D" w:rsidRPr="00BF6A5D">
        <w:fldChar w:fldCharType="separate"/>
      </w:r>
      <w:r w:rsidR="00BF6A5D" w:rsidRPr="00BF6A5D">
        <w:t>227</w:t>
      </w:r>
      <w:r w:rsidR="00BF6A5D" w:rsidRPr="00BF6A5D">
        <w:fldChar w:fldCharType="end"/>
      </w:r>
      <w:r w:rsidR="00BF6A5D">
        <w:t>).</w:t>
      </w:r>
    </w:p>
    <w:bookmarkStart w:id="139" w:name="lt_pId1827"/>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217</w:t>
      </w:r>
      <w:r w:rsidRPr="00BF6A5D">
        <w:fldChar w:fldCharType="end"/>
      </w:r>
      <w:bookmarkEnd w:id="139"/>
      <w:r>
        <w:t xml:space="preserve">.  Nu se contestă faptul că reclamanții nu au exercitat nicio cale de atac în Portugalia pentru a-și susține capetele de cerere. Aceștia susțin în această privință că simpla existență a unei dispoziții constituționale cu aplicare generală (cum era cazul, în opinia lor, în Portugalia și în alte state) nu poate asigura o cale de atac efectivă care să ofere un grad suficient de certitudine. Susțin, de asemenea, că niciuna dintre căile de atac interne disponibile nu ar fi efectivă în cazul lor (a se vedea </w:t>
      </w:r>
      <w:r>
        <w:rPr>
          <w:i/>
          <w:iCs/>
        </w:rPr>
        <w:t>supra</w:t>
      </w:r>
      <w:r>
        <w:t xml:space="preserve">, pct. </w:t>
      </w:r>
      <w:r w:rsidRPr="00BF6A5D">
        <w:fldChar w:fldCharType="begin"/>
      </w:r>
      <w:r w:rsidRPr="00BF6A5D">
        <w:instrText xml:space="preserve">REF paragraph00133 \h \* CharFormat  \* MERGEFORMAT </w:instrText>
      </w:r>
      <w:r w:rsidRPr="00BF6A5D">
        <w:fldChar w:fldCharType="separate"/>
      </w:r>
      <w:r w:rsidRPr="00BF6A5D">
        <w:t>131</w:t>
      </w:r>
      <w:r w:rsidRPr="00BF6A5D">
        <w:fldChar w:fldCharType="end"/>
      </w:r>
      <w:r>
        <w:t>).</w:t>
      </w:r>
    </w:p>
    <w:p w:rsidR="00BF6A5D" w:rsidRPr="00BF6A5D" w:rsidRDefault="00D340B2" w:rsidP="00BF6A5D">
      <w:pPr>
        <w:pStyle w:val="JuPara"/>
      </w:pPr>
      <w:fldSimple w:instr=" SEQ level0 \*arabic \* MERGEFORMAT ">
        <w:r w:rsidR="00BF6A5D" w:rsidRPr="00BF6A5D">
          <w:t>218</w:t>
        </w:r>
      </w:fldSimple>
      <w:r w:rsidR="00BF6A5D">
        <w:t>.  Curtea nu poate accepta aceste argumente, având în vedere căile de atac oferite de sistemul juridic intern.</w:t>
      </w:r>
    </w:p>
    <w:p w:rsidR="00BF6A5D" w:rsidRPr="00BF6A5D" w:rsidRDefault="00D340B2" w:rsidP="00BF6A5D">
      <w:pPr>
        <w:pStyle w:val="JuPara"/>
      </w:pPr>
      <w:fldSimple w:instr=" SEQ level0 \*arabic \* MERGEFORMAT ">
        <w:r w:rsidR="00BF6A5D" w:rsidRPr="00BF6A5D">
          <w:t>219</w:t>
        </w:r>
      </w:fldSimple>
      <w:r w:rsidR="00BF6A5D">
        <w:t xml:space="preserve">.  În această privință, se pare nu numai că dreptul la un mediu de viață sănătos și echilibrat din punct de vedere ecologic este recunoscut în mod explicit în Constituție (art. 66), ci și că instanțele naționale pot să aplice în mod direct această dispoziție constituțională și să dispună respectarea ei (a se </w:t>
      </w:r>
      <w:r w:rsidR="00BF6A5D">
        <w:lastRenderedPageBreak/>
        <w:t xml:space="preserve">vedea </w:t>
      </w:r>
      <w:r w:rsidR="00BF6A5D">
        <w:rPr>
          <w:i/>
          <w:iCs/>
        </w:rPr>
        <w:t>supra</w:t>
      </w:r>
      <w:r w:rsidR="00BF6A5D">
        <w:t xml:space="preserve">, pct. </w:t>
      </w:r>
      <w:r w:rsidR="00BF6A5D" w:rsidRPr="00BF6A5D">
        <w:fldChar w:fldCharType="begin"/>
      </w:r>
      <w:r w:rsidR="00BF6A5D" w:rsidRPr="00BF6A5D">
        <w:instrText xml:space="preserve"> REF paragraph00039 \h  \* CharFormat </w:instrText>
      </w:r>
      <w:r w:rsidR="00BF6A5D" w:rsidRPr="00BF6A5D">
        <w:fldChar w:fldCharType="separate"/>
      </w:r>
      <w:r w:rsidR="00BF6A5D" w:rsidRPr="00BF6A5D">
        <w:t>40</w:t>
      </w:r>
      <w:r w:rsidR="00BF6A5D" w:rsidRPr="00BF6A5D">
        <w:fldChar w:fldCharType="end"/>
      </w:r>
      <w:r w:rsidR="00BF6A5D">
        <w:t xml:space="preserve"> și </w:t>
      </w:r>
      <w:r w:rsidR="00BF6A5D" w:rsidRPr="00BF6A5D">
        <w:fldChar w:fldCharType="begin"/>
      </w:r>
      <w:r w:rsidR="00BF6A5D" w:rsidRPr="00BF6A5D">
        <w:instrText xml:space="preserve"> REF paragraph00051 \h  \* CharFormat </w:instrText>
      </w:r>
      <w:r w:rsidR="00BF6A5D" w:rsidRPr="00BF6A5D">
        <w:fldChar w:fldCharType="separate"/>
      </w:r>
      <w:r w:rsidR="00BF6A5D" w:rsidRPr="00BF6A5D">
        <w:t>52</w:t>
      </w:r>
      <w:r w:rsidR="00BF6A5D" w:rsidRPr="00BF6A5D">
        <w:fldChar w:fldCharType="end"/>
      </w:r>
      <w:r w:rsidR="00BF6A5D">
        <w:t xml:space="preserve">). Sistemul juridic portughez oferă, de asemenea, posibilitatea de a iniția </w:t>
      </w:r>
      <w:r w:rsidR="00BF6A5D">
        <w:rPr>
          <w:i/>
          <w:iCs/>
        </w:rPr>
        <w:t>actio popularis</w:t>
      </w:r>
      <w:r w:rsidR="00BF6A5D">
        <w:t xml:space="preserve"> prin care reclamantul (fără a trebui să demonstreze existența unui interes direct care îl privește) poate solicita adoptarea de către autoritățile publice a unei anumite conduite în materie, în special, de protecția mediului și calitatea vieții, categorii menționate în mod explicit în legea relevantă (</w:t>
      </w:r>
      <w:r w:rsidR="00BF6A5D">
        <w:rPr>
          <w:i/>
          <w:iCs/>
        </w:rPr>
        <w:t>supra</w:t>
      </w:r>
      <w:r w:rsidR="00BF6A5D">
        <w:t xml:space="preserve">, pct. </w:t>
      </w:r>
      <w:r w:rsidR="00BF6A5D" w:rsidRPr="00BF6A5D">
        <w:fldChar w:fldCharType="begin"/>
      </w:r>
      <w:r w:rsidR="00BF6A5D" w:rsidRPr="00BF6A5D">
        <w:instrText xml:space="preserve">REF paragraph00040 \h \* CharFormat  \* MERGEFORMAT </w:instrText>
      </w:r>
      <w:r w:rsidR="00BF6A5D" w:rsidRPr="00BF6A5D">
        <w:fldChar w:fldCharType="separate"/>
      </w:r>
      <w:r w:rsidR="00BF6A5D" w:rsidRPr="00BF6A5D">
        <w:t>41</w:t>
      </w:r>
      <w:r w:rsidR="00BF6A5D" w:rsidRPr="00BF6A5D">
        <w:fldChar w:fldCharType="end"/>
      </w:r>
      <w:r w:rsidR="00BF6A5D">
        <w:t xml:space="preserve">; a se vedea de asemenea, la pct. </w:t>
      </w:r>
      <w:r w:rsidR="00BF6A5D" w:rsidRPr="00BF6A5D">
        <w:fldChar w:fldCharType="begin"/>
      </w:r>
      <w:r w:rsidR="00BF6A5D" w:rsidRPr="00BF6A5D">
        <w:instrText xml:space="preserve"> REF paragraph00039 \h  \* CharFormat </w:instrText>
      </w:r>
      <w:r w:rsidR="00BF6A5D" w:rsidRPr="00BF6A5D">
        <w:fldChar w:fldCharType="separate"/>
      </w:r>
      <w:r w:rsidR="00BF6A5D" w:rsidRPr="00BF6A5D">
        <w:t>40</w:t>
      </w:r>
      <w:r w:rsidR="00BF6A5D" w:rsidRPr="00BF6A5D">
        <w:fldChar w:fldCharType="end"/>
      </w:r>
      <w:r w:rsidR="00BF6A5D">
        <w:t xml:space="preserve"> </w:t>
      </w:r>
      <w:r w:rsidR="00BF6A5D">
        <w:rPr>
          <w:i/>
          <w:iCs/>
        </w:rPr>
        <w:t>supra</w:t>
      </w:r>
      <w:r w:rsidR="00BF6A5D">
        <w:t>, art. 52 din Constituție).</w:t>
      </w:r>
    </w:p>
    <w:p w:rsidR="00BF6A5D" w:rsidRPr="00BF6A5D" w:rsidRDefault="00D340B2" w:rsidP="00BF6A5D">
      <w:pPr>
        <w:pStyle w:val="JuPara"/>
      </w:pPr>
      <w:fldSimple w:instr=" SEQ level0 \*arabic \* MERGEFORMAT ">
        <w:r w:rsidR="00BF6A5D" w:rsidRPr="00BF6A5D">
          <w:t>220</w:t>
        </w:r>
      </w:fldSimple>
      <w:r w:rsidR="00BF6A5D">
        <w:t xml:space="preserve">.  În acest context, trebuie amintit că primul paragraf al art. 7 din Legea nr. 19/2014 (Cadrul politicii de mediu) garantează oricărei persoane dreptul la protecția deplină și efectivă a drepturilor și intereselor sale în materie de mediu și că al doilea paragraf al acestui articol oferă posibilitatea de a iniția </w:t>
      </w:r>
      <w:r w:rsidR="00BF6A5D">
        <w:rPr>
          <w:i/>
          <w:iCs/>
        </w:rPr>
        <w:t>actio popularis</w:t>
      </w:r>
      <w:r w:rsidR="00BF6A5D">
        <w:t xml:space="preserve"> (a se vedea </w:t>
      </w:r>
      <w:r w:rsidR="00BF6A5D">
        <w:rPr>
          <w:i/>
          <w:iCs/>
        </w:rPr>
        <w:t>supra</w:t>
      </w:r>
      <w:r w:rsidR="00BF6A5D">
        <w:t xml:space="preserve">, pct. </w:t>
      </w:r>
      <w:r w:rsidR="00BF6A5D" w:rsidRPr="00BF6A5D">
        <w:fldChar w:fldCharType="begin"/>
      </w:r>
      <w:r w:rsidR="00BF6A5D" w:rsidRPr="00BF6A5D">
        <w:instrText xml:space="preserve"> REF paragraph00043 \h  \* CharFormat </w:instrText>
      </w:r>
      <w:r w:rsidR="00BF6A5D" w:rsidRPr="00BF6A5D">
        <w:fldChar w:fldCharType="separate"/>
      </w:r>
      <w:r w:rsidR="00BF6A5D" w:rsidRPr="00BF6A5D">
        <w:t>44</w:t>
      </w:r>
      <w:r w:rsidR="00BF6A5D" w:rsidRPr="00BF6A5D">
        <w:fldChar w:fldCharType="end"/>
      </w:r>
      <w:r w:rsidR="00BF6A5D">
        <w:t xml:space="preserve">). În plus, Legea climei recunoaște că schimbările climatice reprezintă o situație de urgență și garantează oricărei persoane dreptul la „echilibru climatic”, respectiv dreptul la protecție împotriva efectelor schimbărilor climatice, precum și posibilitatea de a solicita entităților de drept public și de drept privat să se conformeze îndatoririlor și obligațiilor care le revin în materie de climă (a se vedea </w:t>
      </w:r>
      <w:r w:rsidR="00BF6A5D">
        <w:rPr>
          <w:i/>
          <w:iCs/>
        </w:rPr>
        <w:t>supra</w:t>
      </w:r>
      <w:r w:rsidR="00BF6A5D">
        <w:t xml:space="preserve">, pct. </w:t>
      </w:r>
      <w:r w:rsidR="00BF6A5D" w:rsidRPr="00BF6A5D">
        <w:fldChar w:fldCharType="begin"/>
      </w:r>
      <w:r w:rsidR="00BF6A5D" w:rsidRPr="00BF6A5D">
        <w:instrText xml:space="preserve"> REF paragraph00048 \h  \* CharFormat </w:instrText>
      </w:r>
      <w:r w:rsidR="00BF6A5D" w:rsidRPr="00BF6A5D">
        <w:fldChar w:fldCharType="separate"/>
      </w:r>
      <w:r w:rsidR="00BF6A5D" w:rsidRPr="00BF6A5D">
        <w:t>49</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221</w:t>
        </w:r>
      </w:fldSimple>
      <w:r w:rsidR="00BF6A5D">
        <w:t xml:space="preserve">.  În plus, dreptul constituțional la un mediu de viață sănătos și echilibrat din punct de vedere ecologic, menționat mai sus, face parte dintr-un drept general al personalității. Guvernul arată, fără a fi combătut în mod serios de reclamanți, că acest drept poate fi apărat în cadrul unei acțiuni civile, care poate duce la luarea de măsuri de prevenire a amenințării invocate sau de atenuare a efectelor prejudiciului deja cauzat [a se vedea </w:t>
      </w:r>
      <w:r w:rsidR="00BF6A5D">
        <w:rPr>
          <w:i/>
          <w:iCs/>
        </w:rPr>
        <w:t>supra</w:t>
      </w:r>
      <w:r w:rsidR="00BF6A5D">
        <w:t xml:space="preserve">, pct. </w:t>
      </w:r>
      <w:r w:rsidR="00BF6A5D" w:rsidRPr="00BF6A5D">
        <w:fldChar w:fldCharType="begin"/>
      </w:r>
      <w:r w:rsidR="00BF6A5D" w:rsidRPr="00BF6A5D">
        <w:instrText xml:space="preserve"> REF paragraph00111 \h  \* CharFormat </w:instrText>
      </w:r>
      <w:r w:rsidR="00BF6A5D" w:rsidRPr="00BF6A5D">
        <w:fldChar w:fldCharType="separate"/>
      </w:r>
      <w:r w:rsidR="00BF6A5D" w:rsidRPr="00BF6A5D">
        <w:t>114</w:t>
      </w:r>
      <w:r w:rsidR="00BF6A5D" w:rsidRPr="00BF6A5D">
        <w:fldChar w:fldCharType="end"/>
      </w:r>
      <w:r w:rsidR="00BF6A5D">
        <w:t xml:space="preserve"> lit. c) și pct. </w:t>
      </w:r>
      <w:r w:rsidR="00BF6A5D" w:rsidRPr="00BF6A5D">
        <w:fldChar w:fldCharType="begin"/>
      </w:r>
      <w:r w:rsidR="00BF6A5D" w:rsidRPr="00BF6A5D">
        <w:instrText xml:space="preserve"> REF paragraph00041 \h  \* CharFormat </w:instrText>
      </w:r>
      <w:r w:rsidR="00BF6A5D" w:rsidRPr="00BF6A5D">
        <w:fldChar w:fldCharType="separate"/>
      </w:r>
      <w:r w:rsidR="00BF6A5D" w:rsidRPr="00BF6A5D">
        <w:t>42</w:t>
      </w:r>
      <w:r w:rsidR="00BF6A5D" w:rsidRPr="00BF6A5D">
        <w:fldChar w:fldCharType="end"/>
      </w:r>
      <w:r w:rsidR="00BF6A5D">
        <w:t>-</w:t>
      </w:r>
      <w:r w:rsidR="00BF6A5D" w:rsidRPr="00BF6A5D">
        <w:fldChar w:fldCharType="begin"/>
      </w:r>
      <w:r w:rsidR="00BF6A5D" w:rsidRPr="00BF6A5D">
        <w:instrText xml:space="preserve"> REF paragraph00042 \h  \* CharFormat </w:instrText>
      </w:r>
      <w:r w:rsidR="00BF6A5D" w:rsidRPr="00BF6A5D">
        <w:fldChar w:fldCharType="separate"/>
      </w:r>
      <w:r w:rsidR="00BF6A5D" w:rsidRPr="00BF6A5D">
        <w:t>43</w:t>
      </w:r>
      <w:r w:rsidR="00BF6A5D" w:rsidRPr="00BF6A5D">
        <w:fldChar w:fldCharType="end"/>
      </w:r>
      <w:r w:rsidR="00BF6A5D">
        <w:t xml:space="preserve">; a se vedea de asemenea </w:t>
      </w:r>
      <w:r w:rsidR="00BF6A5D">
        <w:rPr>
          <w:i/>
          <w:iCs/>
        </w:rPr>
        <w:t>supra</w:t>
      </w:r>
      <w:r w:rsidR="00BF6A5D">
        <w:t xml:space="preserve">, pct. </w:t>
      </w:r>
      <w:r w:rsidR="00BF6A5D" w:rsidRPr="00BF6A5D">
        <w:fldChar w:fldCharType="begin"/>
      </w:r>
      <w:r w:rsidR="00BF6A5D" w:rsidRPr="00BF6A5D">
        <w:instrText xml:space="preserve"> REF paragraph00051 \h  \* CharFormat </w:instrText>
      </w:r>
      <w:r w:rsidR="00BF6A5D" w:rsidRPr="00BF6A5D">
        <w:fldChar w:fldCharType="separate"/>
      </w:r>
      <w:r w:rsidR="00BF6A5D" w:rsidRPr="00BF6A5D">
        <w:t>52</w:t>
      </w:r>
      <w:r w:rsidR="00BF6A5D" w:rsidRPr="00BF6A5D">
        <w:fldChar w:fldCharType="end"/>
      </w:r>
      <w:r w:rsidR="00BF6A5D">
        <w:t xml:space="preserve"> lit. a)].</w:t>
      </w:r>
    </w:p>
    <w:p w:rsidR="00BF6A5D" w:rsidRPr="00BF6A5D" w:rsidRDefault="00D340B2" w:rsidP="00BF6A5D">
      <w:pPr>
        <w:pStyle w:val="JuPara"/>
      </w:pPr>
      <w:fldSimple w:instr=" SEQ level0 \*arabic \* MERGEFORMAT ">
        <w:r w:rsidR="00BF6A5D" w:rsidRPr="00BF6A5D">
          <w:t>222</w:t>
        </w:r>
      </w:fldSimple>
      <w:r w:rsidR="00BF6A5D">
        <w:t xml:space="preserve">.  În plus, legislația națională prevede posibilitatea de a introduce o acțiune în răspundere civilă extracontractuală împotriva statului pentru a obține repararea prejudiciilor sau daunelor care rezultă din acte sau omisiuni ilicite ale statului (a se vedea </w:t>
      </w:r>
      <w:r w:rsidR="00BF6A5D">
        <w:rPr>
          <w:i/>
          <w:iCs/>
        </w:rPr>
        <w:t>supra</w:t>
      </w:r>
      <w:r w:rsidR="00BF6A5D">
        <w:t xml:space="preserve">, pct. </w:t>
      </w:r>
      <w:r w:rsidR="00BF6A5D" w:rsidRPr="00BF6A5D">
        <w:fldChar w:fldCharType="begin"/>
      </w:r>
      <w:r w:rsidR="00BF6A5D" w:rsidRPr="00BF6A5D">
        <w:instrText xml:space="preserve"> REF paragraph00044 \h  \* CharFormat </w:instrText>
      </w:r>
      <w:r w:rsidR="00BF6A5D" w:rsidRPr="00BF6A5D">
        <w:fldChar w:fldCharType="separate"/>
      </w:r>
      <w:r w:rsidR="00BF6A5D" w:rsidRPr="00BF6A5D">
        <w:t>45</w:t>
      </w:r>
      <w:r w:rsidR="00BF6A5D" w:rsidRPr="00BF6A5D">
        <w:fldChar w:fldCharType="end"/>
      </w:r>
      <w:r w:rsidR="00BF6A5D">
        <w:t xml:space="preserve">). Un regim de răspundere pentru mediul înconjurător a fost instituit prin Decretul-lege nr. 147/2008, care se aplică daunelor aduse mediului (a se vedea </w:t>
      </w:r>
      <w:r w:rsidR="00BF6A5D">
        <w:rPr>
          <w:i/>
          <w:iCs/>
        </w:rPr>
        <w:t>supra</w:t>
      </w:r>
      <w:r w:rsidR="00BF6A5D">
        <w:t xml:space="preserve">, pct. </w:t>
      </w:r>
      <w:r w:rsidR="00BF6A5D" w:rsidRPr="00BF6A5D">
        <w:fldChar w:fldCharType="begin"/>
      </w:r>
      <w:r w:rsidR="00BF6A5D" w:rsidRPr="00BF6A5D">
        <w:instrText xml:space="preserve"> REF paragraph00047 \h  \* CharFormat </w:instrText>
      </w:r>
      <w:r w:rsidR="00BF6A5D" w:rsidRPr="00BF6A5D">
        <w:fldChar w:fldCharType="separate"/>
      </w:r>
      <w:r w:rsidR="00BF6A5D" w:rsidRPr="00BF6A5D">
        <w:t>48</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223</w:t>
        </w:r>
      </w:fldSimple>
      <w:r w:rsidR="00BF6A5D">
        <w:t xml:space="preserve">.  Sistemul juridic portughez oferă de asemenea posibilitatea de a introduce o cale de atac administrativă în cadrul căreia instanțelor administrative li se poate solicita să oblige administrația să adopte măsuri privind, printre altele, mediul și calitatea vieții [a se vedea </w:t>
      </w:r>
      <w:r w:rsidR="00BF6A5D">
        <w:rPr>
          <w:i/>
          <w:iCs/>
        </w:rPr>
        <w:t>supra</w:t>
      </w:r>
      <w:r w:rsidR="00BF6A5D">
        <w:t xml:space="preserve">, pct. </w:t>
      </w:r>
      <w:r w:rsidR="00BF6A5D" w:rsidRPr="00BF6A5D">
        <w:fldChar w:fldCharType="begin"/>
      </w:r>
      <w:r w:rsidR="00BF6A5D" w:rsidRPr="00BF6A5D">
        <w:instrText xml:space="preserve"> REF paragraph00045 \h  \* CharFormat  \* MERGEFORMAT </w:instrText>
      </w:r>
      <w:r w:rsidR="00BF6A5D" w:rsidRPr="00BF6A5D">
        <w:fldChar w:fldCharType="separate"/>
      </w:r>
      <w:r w:rsidR="00BF6A5D" w:rsidRPr="00BF6A5D">
        <w:t>46</w:t>
      </w:r>
      <w:r w:rsidR="00BF6A5D" w:rsidRPr="00BF6A5D">
        <w:fldChar w:fldCharType="end"/>
      </w:r>
      <w:r w:rsidR="00BF6A5D">
        <w:t xml:space="preserve"> și </w:t>
      </w:r>
      <w:r w:rsidR="00BF6A5D" w:rsidRPr="00BF6A5D">
        <w:fldChar w:fldCharType="begin"/>
      </w:r>
      <w:r w:rsidR="00BF6A5D" w:rsidRPr="00BF6A5D">
        <w:instrText xml:space="preserve"> REF paragraph00051 \h  \* CharFormat  \* MERGEFORMAT </w:instrText>
      </w:r>
      <w:r w:rsidR="00BF6A5D" w:rsidRPr="00BF6A5D">
        <w:fldChar w:fldCharType="separate"/>
      </w:r>
      <w:r w:rsidR="00BF6A5D" w:rsidRPr="00BF6A5D">
        <w:t>52</w:t>
      </w:r>
      <w:r w:rsidR="00BF6A5D" w:rsidRPr="00BF6A5D">
        <w:fldChar w:fldCharType="end"/>
      </w:r>
      <w:r w:rsidR="00BF6A5D">
        <w:t xml:space="preserve"> lit. b)].</w:t>
      </w:r>
    </w:p>
    <w:p w:rsidR="00BF6A5D" w:rsidRPr="00BF6A5D" w:rsidRDefault="00D340B2" w:rsidP="00BF6A5D">
      <w:pPr>
        <w:pStyle w:val="JuPara"/>
      </w:pPr>
      <w:fldSimple w:instr=" SEQ level0 \*arabic \* MERGEFORMAT ">
        <w:r w:rsidR="00BF6A5D" w:rsidRPr="00BF6A5D">
          <w:t>224</w:t>
        </w:r>
      </w:fldSimple>
      <w:r w:rsidR="00BF6A5D">
        <w:t xml:space="preserve">.  Curtea ia notă de sistemul cuprinzător de căi de atac din sistemul juridic național și observă că din jurisprudența internă reiese că, astfel cum afirmă Guvernul (a se vedea </w:t>
      </w:r>
      <w:r w:rsidR="00BF6A5D">
        <w:rPr>
          <w:i/>
          <w:iCs/>
        </w:rPr>
        <w:t>supra</w:t>
      </w:r>
      <w:r w:rsidR="00BF6A5D">
        <w:t xml:space="preserve">, pct. </w:t>
      </w:r>
      <w:r w:rsidR="00BF6A5D" w:rsidRPr="00BF6A5D">
        <w:fldChar w:fldCharType="begin"/>
      </w:r>
      <w:r w:rsidR="00BF6A5D" w:rsidRPr="00BF6A5D">
        <w:instrText xml:space="preserve">REF paragraph00115 \h \* CharFormat  \* MERGEFORMAT </w:instrText>
      </w:r>
      <w:r w:rsidR="00BF6A5D" w:rsidRPr="00BF6A5D">
        <w:fldChar w:fldCharType="separate"/>
      </w:r>
      <w:r w:rsidR="00BF6A5D" w:rsidRPr="00BF6A5D">
        <w:t>113</w:t>
      </w:r>
      <w:r w:rsidR="00BF6A5D" w:rsidRPr="00BF6A5D">
        <w:fldChar w:fldCharType="end"/>
      </w:r>
      <w:r w:rsidR="00BF6A5D">
        <w:t xml:space="preserve">), litigiile în materie de mediu sunt în prezent o realitate în sistemul juridic intern, deși instanțele naționale încă nu au soluționat o cauză având ca obiect în mod specific schimbările climatice (a se vedea </w:t>
      </w:r>
      <w:r w:rsidR="00BF6A5D">
        <w:rPr>
          <w:i/>
          <w:iCs/>
        </w:rPr>
        <w:t>supra</w:t>
      </w:r>
      <w:r w:rsidR="00BF6A5D">
        <w:t xml:space="preserve">, pct. </w:t>
      </w:r>
      <w:r w:rsidR="00BF6A5D" w:rsidRPr="00BF6A5D">
        <w:fldChar w:fldCharType="begin"/>
      </w:r>
      <w:r w:rsidR="00BF6A5D" w:rsidRPr="00BF6A5D">
        <w:instrText xml:space="preserve"> REF paragraph00051 \h  \* CharFormat  \* MERGEFORMAT </w:instrText>
      </w:r>
      <w:r w:rsidR="00BF6A5D" w:rsidRPr="00BF6A5D">
        <w:fldChar w:fldCharType="separate"/>
      </w:r>
      <w:r w:rsidR="00BF6A5D" w:rsidRPr="00BF6A5D">
        <w:t>52</w:t>
      </w:r>
      <w:r w:rsidR="00BF6A5D" w:rsidRPr="00BF6A5D">
        <w:fldChar w:fldCharType="end"/>
      </w:r>
      <w:r w:rsidR="00BF6A5D">
        <w:t>).</w:t>
      </w:r>
    </w:p>
    <w:p w:rsidR="00BF6A5D" w:rsidRPr="00BF6A5D" w:rsidRDefault="00D340B2" w:rsidP="00BF6A5D">
      <w:pPr>
        <w:pStyle w:val="JuPara"/>
      </w:pPr>
      <w:fldSimple w:instr=" SEQ level0 \*arabic \* MERGEFORMAT ">
        <w:r w:rsidR="00BF6A5D" w:rsidRPr="00BF6A5D">
          <w:t>225</w:t>
        </w:r>
      </w:fldSimple>
      <w:r w:rsidR="00BF6A5D">
        <w:t xml:space="preserve">.  În sfârșit, în ceea ce privește susținerea reclamanților în sensul că accesul la căile de atac este dificil și că eficacitatea acestora este compromisă </w:t>
      </w:r>
      <w:r w:rsidR="00BF6A5D">
        <w:lastRenderedPageBreak/>
        <w:t xml:space="preserve">(a se vedea </w:t>
      </w:r>
      <w:r w:rsidR="00BF6A5D">
        <w:rPr>
          <w:i/>
          <w:iCs/>
        </w:rPr>
        <w:t>supra</w:t>
      </w:r>
      <w:r w:rsidR="00BF6A5D">
        <w:t xml:space="preserve">, pct. </w:t>
      </w:r>
      <w:r w:rsidR="00BF6A5D" w:rsidRPr="00BF6A5D">
        <w:fldChar w:fldCharType="begin"/>
      </w:r>
      <w:r w:rsidR="00BF6A5D" w:rsidRPr="00BF6A5D">
        <w:instrText xml:space="preserve">REF paragraph00133 \h \* CharFormat  \* MERGEFORMAT </w:instrText>
      </w:r>
      <w:r w:rsidR="00BF6A5D" w:rsidRPr="00BF6A5D">
        <w:fldChar w:fldCharType="separate"/>
      </w:r>
      <w:r w:rsidR="00BF6A5D" w:rsidRPr="00BF6A5D">
        <w:t>131</w:t>
      </w:r>
      <w:r w:rsidR="00BF6A5D" w:rsidRPr="00BF6A5D">
        <w:fldChar w:fldCharType="end"/>
      </w:r>
      <w:r w:rsidR="00BF6A5D">
        <w:t xml:space="preserve">), Curtea arată că sistemul juridic portughez prevede atât mecanisme pentru persoanele care nu dispun de mijloacele necesare pentru reprezentare juridică (a se vedea </w:t>
      </w:r>
      <w:r w:rsidR="00BF6A5D">
        <w:rPr>
          <w:i/>
          <w:iCs/>
        </w:rPr>
        <w:t>supra</w:t>
      </w:r>
      <w:r w:rsidR="00BF6A5D">
        <w:t xml:space="preserve">, pct. </w:t>
      </w:r>
      <w:r w:rsidR="00BF6A5D" w:rsidRPr="00BF6A5D">
        <w:fldChar w:fldCharType="begin"/>
      </w:r>
      <w:r w:rsidR="00BF6A5D" w:rsidRPr="00BF6A5D">
        <w:instrText xml:space="preserve"> REF paragraph00042 \h  \* CharFormat </w:instrText>
      </w:r>
      <w:r w:rsidR="00BF6A5D" w:rsidRPr="00BF6A5D">
        <w:fldChar w:fldCharType="separate"/>
      </w:r>
      <w:r w:rsidR="00BF6A5D" w:rsidRPr="00BF6A5D">
        <w:t>43</w:t>
      </w:r>
      <w:r w:rsidR="00BF6A5D" w:rsidRPr="00BF6A5D">
        <w:fldChar w:fldCharType="end"/>
      </w:r>
      <w:r w:rsidR="00BF6A5D">
        <w:t xml:space="preserve"> și </w:t>
      </w:r>
      <w:r w:rsidR="00BF6A5D" w:rsidRPr="00BF6A5D">
        <w:fldChar w:fldCharType="begin"/>
      </w:r>
      <w:r w:rsidR="00BF6A5D" w:rsidRPr="00BF6A5D">
        <w:instrText xml:space="preserve"> REF paragraph00049 \h  \* CharFormat </w:instrText>
      </w:r>
      <w:r w:rsidR="00BF6A5D" w:rsidRPr="00BF6A5D">
        <w:fldChar w:fldCharType="separate"/>
      </w:r>
      <w:r w:rsidR="00BF6A5D" w:rsidRPr="00BF6A5D">
        <w:t>50</w:t>
      </w:r>
      <w:r w:rsidR="00BF6A5D" w:rsidRPr="00BF6A5D">
        <w:fldChar w:fldCharType="end"/>
      </w:r>
      <w:r w:rsidR="00BF6A5D">
        <w:t>), cât și căi de atac efective pentru a face plângere privind durata unei proceduri (</w:t>
      </w:r>
      <w:r w:rsidR="00BF6A5D">
        <w:rPr>
          <w:i/>
          <w:iCs/>
        </w:rPr>
        <w:t>Valada Matos das Neves</w:t>
      </w:r>
      <w:r w:rsidR="00BF6A5D">
        <w:t xml:space="preserve">, citată anterior, pct. 101). În orice caz, potrivit jurisprudenței Curții, simplul fapt de a avea îndoieli cu privire la șansele de reușită ale unei căi de atac care nu este în mod clar sortită eșecului nu constituie un motiv valid pentru a justifica neexercitarea căii de atac în discuție (a se vedea </w:t>
      </w:r>
      <w:r w:rsidR="00BF6A5D">
        <w:rPr>
          <w:i/>
          <w:iCs/>
        </w:rPr>
        <w:t>supra</w:t>
      </w:r>
      <w:r w:rsidR="00BF6A5D">
        <w:t xml:space="preserve">, pct. </w:t>
      </w:r>
      <w:r w:rsidR="00BF6A5D" w:rsidRPr="00BF6A5D">
        <w:fldChar w:fldCharType="begin"/>
      </w:r>
      <w:r w:rsidR="00BF6A5D" w:rsidRPr="00BF6A5D">
        <w:instrText xml:space="preserve"> REF paragraph217 \h </w:instrText>
      </w:r>
      <w:r w:rsidR="00BF6A5D" w:rsidRPr="00BF6A5D">
        <w:fldChar w:fldCharType="separate"/>
      </w:r>
      <w:r w:rsidR="00BF6A5D" w:rsidRPr="00BF6A5D">
        <w:t>208</w:t>
      </w:r>
      <w:r w:rsidR="00BF6A5D" w:rsidRPr="00BF6A5D">
        <w:fldChar w:fldCharType="end"/>
      </w:r>
      <w:r w:rsidR="00BF6A5D">
        <w:t xml:space="preserve">, unde se citează hotărârea citată anterior </w:t>
      </w:r>
      <w:r w:rsidR="00BF6A5D">
        <w:rPr>
          <w:i/>
          <w:iCs/>
        </w:rPr>
        <w:t>Vučković și alții</w:t>
      </w:r>
      <w:r w:rsidR="00BF6A5D">
        <w:t>, pct. 74, precum și trimiterile de acolo).</w:t>
      </w:r>
    </w:p>
    <w:p w:rsidR="00BF6A5D" w:rsidRPr="00BF6A5D" w:rsidRDefault="00D340B2" w:rsidP="00BF6A5D">
      <w:pPr>
        <w:pStyle w:val="JuPara"/>
      </w:pPr>
      <w:fldSimple w:instr=" SEQ level0 \*arabic \* MERGEFORMAT ">
        <w:r w:rsidR="00BF6A5D" w:rsidRPr="00BF6A5D">
          <w:t>226</w:t>
        </w:r>
      </w:fldSimple>
      <w:r w:rsidR="00BF6A5D">
        <w:t xml:space="preserve">.  Având în vedere cele de mai sus și ținând seama de toate circumstanțele cauzei, Curtea nu poate considera că existau motive speciale pentru a scuti reclamanții de obligația de epuizare a căilor de atac interne în conformitate cu normele și procedurile prevăzute de dreptul național. Dacă ar fi îndeplinit această cerință, reclamanții ar fi oferit instanțelor naționale posibilitatea pe care regula epuizării căilor de atac este concepută să o ofere statelor, și anume să soluționeze problema compatibilității cu Convenția a măsurilor naționale sau omisiunilor în litigiu; dacă ulterior și-ar fi prezentat capetele de cerere în fața Curții, aceasta ar fi putut să se pronunțe ținând seama de concluziile de fapt și de drept ale acestor instanțe, precum și de evaluarea realizată de acestea. Prin urmare, reclamanții nu au făcut demersurile măsurile necesare pentru a permite instanțelor naționale să își îndeplinească rolul fundamental în mecanismul de salvgardare instituit de Convenție, cel al Curții având rol subsidiar în raport cu al acestora [a se vedea, prin comparație, </w:t>
      </w:r>
      <w:r w:rsidR="00BF6A5D">
        <w:rPr>
          <w:i/>
          <w:iCs/>
        </w:rPr>
        <w:t>Vučković și alții</w:t>
      </w:r>
      <w:r w:rsidR="00BF6A5D">
        <w:t xml:space="preserve">, citată anterior, pct. 90; a se vedea, de asemenea, </w:t>
      </w:r>
      <w:r w:rsidR="00BF6A5D">
        <w:rPr>
          <w:i/>
        </w:rPr>
        <w:t>Communauté genevoise d’action syndicale (CGAS)</w:t>
      </w:r>
      <w:r w:rsidR="00BF6A5D">
        <w:t>, citată anterior, pct. 164].</w:t>
      </w:r>
    </w:p>
    <w:bookmarkStart w:id="140" w:name="paragraph00243"/>
    <w:p w:rsidR="00BF6A5D" w:rsidRPr="00BF6A5D" w:rsidRDefault="00BF6A5D" w:rsidP="00BF6A5D">
      <w:pPr>
        <w:pStyle w:val="JuPara"/>
      </w:pPr>
      <w:r w:rsidRPr="00BF6A5D">
        <w:fldChar w:fldCharType="begin"/>
      </w:r>
      <w:r w:rsidRPr="00BF6A5D">
        <w:instrText xml:space="preserve"> SEQ level0 \*arabic \* MERGEFORMAT </w:instrText>
      </w:r>
      <w:r w:rsidRPr="00BF6A5D">
        <w:fldChar w:fldCharType="separate"/>
      </w:r>
      <w:r w:rsidRPr="00BF6A5D">
        <w:t>227</w:t>
      </w:r>
      <w:r w:rsidRPr="00BF6A5D">
        <w:fldChar w:fldCharType="end"/>
      </w:r>
      <w:bookmarkEnd w:id="140"/>
      <w:r>
        <w:t>.  Prin urmare, capătul de cerere îndreptat de reclamanți împotriva Portugaliei este inadmisibil pentru neepuizarea căilor de atac interne și trebuie respins în temeiul art. 35 § 1 și 4 din Convenție.</w:t>
      </w:r>
    </w:p>
    <w:p w:rsidR="00BF6A5D" w:rsidRPr="00BF6A5D" w:rsidRDefault="00D340B2" w:rsidP="00BF6A5D">
      <w:pPr>
        <w:pStyle w:val="JuPara"/>
      </w:pPr>
      <w:fldSimple w:instr=" SEQ level0 \*arabic \* MERGEFORMAT ">
        <w:r w:rsidR="00BF6A5D" w:rsidRPr="00BF6A5D">
          <w:t>228</w:t>
        </w:r>
      </w:fldSimple>
      <w:r w:rsidR="00BF6A5D">
        <w:t xml:space="preserve">.  În sfârșit, Curtea consideră că este greu de admis viziunea asupra subsidiarității susținută de reclamanți, potrivit căreia Curtea ar trebui să se pronunțe cu privire la problema schimbărilor climatice înainte ca instanțele din statele pârâte să fi avut posibilitatea să facă acest lucru (a se vedea </w:t>
      </w:r>
      <w:r w:rsidR="00BF6A5D">
        <w:rPr>
          <w:i/>
          <w:iCs/>
        </w:rPr>
        <w:t>supra</w:t>
      </w:r>
      <w:r w:rsidR="00BF6A5D">
        <w:t xml:space="preserve">, pct. </w:t>
      </w:r>
      <w:r w:rsidR="00BF6A5D" w:rsidRPr="00BF6A5D">
        <w:fldChar w:fldCharType="begin"/>
      </w:r>
      <w:r w:rsidR="00BF6A5D" w:rsidRPr="00BF6A5D">
        <w:instrText xml:space="preserve">REF paragraph00135 \h \* CharFormat  \* MERGEFORMAT </w:instrText>
      </w:r>
      <w:r w:rsidR="00BF6A5D" w:rsidRPr="00BF6A5D">
        <w:fldChar w:fldCharType="separate"/>
      </w:r>
      <w:r w:rsidR="00BF6A5D" w:rsidRPr="00BF6A5D">
        <w:t>133</w:t>
      </w:r>
      <w:r w:rsidR="00BF6A5D" w:rsidRPr="00BF6A5D">
        <w:fldChar w:fldCharType="end"/>
      </w:r>
      <w:r w:rsidR="00BF6A5D">
        <w:t xml:space="preserve">). O astfel de poziție este total contrară principiului subsidiarității care stă la baza întregului sistem al Convenției și, mai precis, regulii epuizării căilor de atac interne (a se vedea </w:t>
      </w:r>
      <w:r w:rsidR="00BF6A5D">
        <w:rPr>
          <w:i/>
          <w:iCs/>
        </w:rPr>
        <w:t>supra</w:t>
      </w:r>
      <w:r w:rsidR="00BF6A5D">
        <w:t xml:space="preserve">, pct. </w:t>
      </w:r>
      <w:r w:rsidR="00BF6A5D" w:rsidRPr="00BF6A5D">
        <w:fldChar w:fldCharType="begin"/>
      </w:r>
      <w:r w:rsidR="00BF6A5D" w:rsidRPr="00BF6A5D">
        <w:instrText xml:space="preserve"> REF paragraph217 \h </w:instrText>
      </w:r>
      <w:r w:rsidR="00BF6A5D" w:rsidRPr="00BF6A5D">
        <w:fldChar w:fldCharType="separate"/>
      </w:r>
      <w:r w:rsidR="00BF6A5D" w:rsidRPr="00BF6A5D">
        <w:t>208</w:t>
      </w:r>
      <w:r w:rsidR="00BF6A5D" w:rsidRPr="00BF6A5D">
        <w:fldChar w:fldCharType="end"/>
      </w:r>
      <w:r w:rsidR="00BF6A5D">
        <w:t xml:space="preserve">, unde se citează hotărârea </w:t>
      </w:r>
      <w:r w:rsidR="00BF6A5D">
        <w:rPr>
          <w:i/>
          <w:iCs/>
        </w:rPr>
        <w:t>Vučković și alții</w:t>
      </w:r>
      <w:r w:rsidR="00BF6A5D">
        <w:t xml:space="preserve">, pct. 69-70). Așa cum a explicat în decizia </w:t>
      </w:r>
      <w:r w:rsidR="00BF6A5D">
        <w:rPr>
          <w:i/>
          <w:iCs/>
        </w:rPr>
        <w:t>Demopoulos și alții</w:t>
      </w:r>
      <w:r w:rsidR="00BF6A5D">
        <w:t xml:space="preserve"> (citată anterior, pct. 69), Curtea nu este o instanță de prim grad de jurisdicție; nu are capacitatea, și nu face parte din funcția sa de instanță internațională, de a se pronunța cu privire la un mare număr de cauze care presupun stabilirea faptelor de bază, sarcină care, în principiu și în interesul efectivității, revine instanțelor naționale (a se vedea </w:t>
      </w:r>
      <w:r w:rsidR="00BF6A5D">
        <w:rPr>
          <w:i/>
          <w:iCs/>
        </w:rPr>
        <w:t>supra</w:t>
      </w:r>
      <w:r w:rsidR="00BF6A5D">
        <w:t xml:space="preserve">, pct. </w:t>
      </w:r>
      <w:r w:rsidR="00BF6A5D" w:rsidRPr="00BF6A5D">
        <w:fldChar w:fldCharType="begin"/>
      </w:r>
      <w:r w:rsidR="00BF6A5D" w:rsidRPr="00BF6A5D">
        <w:instrText xml:space="preserve"> REF paragraph217 \h </w:instrText>
      </w:r>
      <w:r w:rsidR="00BF6A5D" w:rsidRPr="00BF6A5D">
        <w:fldChar w:fldCharType="separate"/>
      </w:r>
      <w:r w:rsidR="00BF6A5D" w:rsidRPr="00BF6A5D">
        <w:t>208</w:t>
      </w:r>
      <w:r w:rsidR="00BF6A5D" w:rsidRPr="00BF6A5D">
        <w:fldChar w:fldCharType="end"/>
      </w:r>
      <w:r w:rsidR="00BF6A5D">
        <w:t xml:space="preserve">, unde se citează hotărârea </w:t>
      </w:r>
      <w:r w:rsidR="00BF6A5D">
        <w:rPr>
          <w:i/>
          <w:iCs/>
        </w:rPr>
        <w:t>Vučković și alții</w:t>
      </w:r>
      <w:r w:rsidR="00BF6A5D">
        <w:t xml:space="preserve">, pct. 70 </w:t>
      </w:r>
      <w:r w:rsidR="00BF6A5D">
        <w:rPr>
          <w:i/>
          <w:iCs/>
        </w:rPr>
        <w:t>in fine</w:t>
      </w:r>
      <w:r w:rsidR="00BF6A5D">
        <w:t>).</w:t>
      </w:r>
    </w:p>
    <w:p w:rsidR="00BF6A5D" w:rsidRPr="00BF6A5D" w:rsidRDefault="00BF6A5D" w:rsidP="00BF6A5D">
      <w:pPr>
        <w:pStyle w:val="JuHA"/>
      </w:pPr>
      <w:bookmarkStart w:id="141" w:name="_Toc177058444"/>
      <w:r>
        <w:lastRenderedPageBreak/>
        <w:t>Cu privire la calitatea de victimă</w:t>
      </w:r>
      <w:bookmarkEnd w:id="141"/>
    </w:p>
    <w:p w:rsidR="00BF6A5D" w:rsidRPr="00BF6A5D" w:rsidRDefault="00D340B2" w:rsidP="00BF6A5D">
      <w:pPr>
        <w:pStyle w:val="JuPara"/>
      </w:pPr>
      <w:fldSimple w:instr=" SEQ level0 \*arabic \* MERGEFORMAT ">
        <w:r w:rsidR="00BF6A5D" w:rsidRPr="00BF6A5D">
          <w:t>229</w:t>
        </w:r>
      </w:fldSimple>
      <w:r w:rsidR="00BF6A5D">
        <w:t xml:space="preserve">.  Curtea observă că situația individuală a reclamanților suferă de o mare lipsă de claritate, ceea ce complică examinarea chestiunii dacă reclamanții îndeplinesc condițiile enunțate în hotărârea </w:t>
      </w:r>
      <w:r w:rsidR="00BF6A5D">
        <w:rPr>
          <w:i/>
          <w:iCs/>
        </w:rPr>
        <w:t>Verein KlimaSeniorinnen Schweiz și alții</w:t>
      </w:r>
      <w:r w:rsidR="00BF6A5D">
        <w:t xml:space="preserve"> (citată anterior, pct. 487-488) pentru a li se recunoaște calitatea de victimă.</w:t>
      </w:r>
    </w:p>
    <w:p w:rsidR="00BF6A5D" w:rsidRPr="00BF6A5D" w:rsidRDefault="00BF6A5D" w:rsidP="00BF6A5D">
      <w:pPr>
        <w:pStyle w:val="JuPara"/>
        <w:rPr>
          <w:rFonts w:ascii="Times New Roman" w:eastAsia="Times New Roman" w:hAnsi="Times New Roman" w:cs="Times New Roman"/>
        </w:rPr>
      </w:pPr>
      <w:r w:rsidRPr="00BF6A5D">
        <w:rPr>
          <w:rFonts w:ascii="Times New Roman" w:eastAsia="Times New Roman" w:hAnsi="Times New Roman" w:cs="Times New Roman"/>
        </w:rPr>
        <w:fldChar w:fldCharType="begin"/>
      </w:r>
      <w:r w:rsidRPr="00BF6A5D">
        <w:rPr>
          <w:rFonts w:ascii="Times New Roman" w:eastAsia="Times New Roman" w:hAnsi="Times New Roman" w:cs="Times New Roman"/>
        </w:rPr>
        <w:instrText xml:space="preserve"> SEQ level0 \*arabic \* MERGEFORMAT </w:instrText>
      </w:r>
      <w:r w:rsidRPr="00BF6A5D">
        <w:rPr>
          <w:rFonts w:ascii="Times New Roman" w:eastAsia="Times New Roman" w:hAnsi="Times New Roman" w:cs="Times New Roman"/>
        </w:rPr>
        <w:fldChar w:fldCharType="separate"/>
      </w:r>
      <w:r w:rsidRPr="00BF6A5D">
        <w:rPr>
          <w:rFonts w:ascii="Times New Roman" w:eastAsia="Times New Roman" w:hAnsi="Times New Roman" w:cs="Times New Roman"/>
        </w:rPr>
        <w:t>230</w:t>
      </w:r>
      <w:r w:rsidRPr="00BF6A5D">
        <w:rPr>
          <w:rFonts w:ascii="Times New Roman" w:eastAsia="Times New Roman" w:hAnsi="Times New Roman" w:cs="Times New Roman"/>
        </w:rPr>
        <w:fldChar w:fldCharType="end"/>
      </w:r>
      <w:r>
        <w:rPr>
          <w:rFonts w:ascii="Times New Roman" w:hAnsi="Times New Roman"/>
        </w:rPr>
        <w:t xml:space="preserve">.  În opinia Curții, această lipsă de claritate se poate explica în special prin neîndeplinirea de către reclamanți a obligației lor de epuizare a căilor de atac interne, condiție de admisibilitate strâns legată de problema calității de victimă, în special în ceea ce privește măsuri generale precum cele referitoare la schimbările climatice. În orice caz, nu se schimbă cu nimic faptul că cererea este inadmisibilă pentru motivele expuse la pct. </w:t>
      </w:r>
      <w:r w:rsidRPr="00BF6A5D">
        <w:rPr>
          <w:rFonts w:ascii="Times New Roman" w:eastAsia="Times New Roman" w:hAnsi="Times New Roman" w:cs="Times New Roman"/>
        </w:rPr>
        <w:fldChar w:fldCharType="begin"/>
      </w:r>
      <w:r w:rsidRPr="00BF6A5D">
        <w:rPr>
          <w:rFonts w:ascii="Times New Roman" w:eastAsia="Times New Roman" w:hAnsi="Times New Roman" w:cs="Times New Roman"/>
        </w:rPr>
        <w:instrText xml:space="preserve">REF paragraph00223 \h \* CharFormat </w:instrText>
      </w:r>
      <w:r w:rsidRPr="00BF6A5D">
        <w:rPr>
          <w:rFonts w:ascii="Times New Roman" w:eastAsia="Times New Roman" w:hAnsi="Times New Roman" w:cs="Times New Roman"/>
        </w:rPr>
      </w:r>
      <w:r w:rsidRPr="00BF6A5D">
        <w:rPr>
          <w:rFonts w:ascii="Times New Roman" w:eastAsia="Times New Roman" w:hAnsi="Times New Roman" w:cs="Times New Roman"/>
        </w:rPr>
        <w:fldChar w:fldCharType="separate"/>
      </w:r>
      <w:r w:rsidRPr="00BF6A5D">
        <w:rPr>
          <w:rFonts w:ascii="Times New Roman" w:eastAsia="Times New Roman" w:hAnsi="Times New Roman" w:cs="Times New Roman"/>
        </w:rPr>
        <w:t>214</w:t>
      </w:r>
      <w:r w:rsidRPr="00BF6A5D">
        <w:rPr>
          <w:rFonts w:ascii="Times New Roman" w:eastAsia="Times New Roman" w:hAnsi="Times New Roman" w:cs="Times New Roman"/>
        </w:rPr>
        <w:fldChar w:fldCharType="end"/>
      </w:r>
      <w:r>
        <w:rPr>
          <w:rFonts w:ascii="Times New Roman" w:hAnsi="Times New Roman"/>
        </w:rPr>
        <w:t xml:space="preserve"> și </w:t>
      </w:r>
      <w:r w:rsidRPr="00BF6A5D">
        <w:rPr>
          <w:rFonts w:ascii="Times New Roman" w:eastAsia="Times New Roman" w:hAnsi="Times New Roman" w:cs="Times New Roman"/>
        </w:rPr>
        <w:fldChar w:fldCharType="begin"/>
      </w:r>
      <w:r w:rsidRPr="00BF6A5D">
        <w:rPr>
          <w:rFonts w:ascii="Times New Roman" w:eastAsia="Times New Roman" w:hAnsi="Times New Roman" w:cs="Times New Roman"/>
        </w:rPr>
        <w:instrText xml:space="preserve">REF paragraph00243 \h \* CharFormat </w:instrText>
      </w:r>
      <w:r w:rsidRPr="00BF6A5D">
        <w:rPr>
          <w:rFonts w:ascii="Times New Roman" w:eastAsia="Times New Roman" w:hAnsi="Times New Roman" w:cs="Times New Roman"/>
        </w:rPr>
      </w:r>
      <w:r w:rsidRPr="00BF6A5D">
        <w:rPr>
          <w:rFonts w:ascii="Times New Roman" w:eastAsia="Times New Roman" w:hAnsi="Times New Roman" w:cs="Times New Roman"/>
        </w:rPr>
        <w:fldChar w:fldCharType="separate"/>
      </w:r>
      <w:r w:rsidRPr="00BF6A5D">
        <w:rPr>
          <w:rFonts w:ascii="Times New Roman" w:eastAsia="Times New Roman" w:hAnsi="Times New Roman" w:cs="Times New Roman"/>
        </w:rPr>
        <w:t>227</w:t>
      </w:r>
      <w:r w:rsidRPr="00BF6A5D">
        <w:rPr>
          <w:rFonts w:ascii="Times New Roman" w:eastAsia="Times New Roman" w:hAnsi="Times New Roman" w:cs="Times New Roman"/>
        </w:rPr>
        <w:fldChar w:fldCharType="end"/>
      </w:r>
      <w:r>
        <w:rPr>
          <w:rFonts w:ascii="Times New Roman" w:hAnsi="Times New Roman"/>
        </w:rPr>
        <w:t xml:space="preserve"> </w:t>
      </w:r>
      <w:r>
        <w:rPr>
          <w:rFonts w:ascii="Times New Roman" w:hAnsi="Times New Roman"/>
          <w:i/>
          <w:iCs/>
        </w:rPr>
        <w:t>supra</w:t>
      </w:r>
      <w:r>
        <w:rPr>
          <w:rFonts w:ascii="Times New Roman" w:hAnsi="Times New Roman"/>
        </w:rPr>
        <w:t xml:space="preserve">. În aceste condiții, Curtea nu va mai examina chestiunea dacă reclamanții pot pretinde calitate de victimă în temeiul art. 34 din Convenție [a se vedea, </w:t>
      </w:r>
      <w:r>
        <w:rPr>
          <w:rFonts w:ascii="Times New Roman" w:hAnsi="Times New Roman"/>
          <w:i/>
          <w:iCs/>
        </w:rPr>
        <w:t>mutatis mutandis</w:t>
      </w:r>
      <w:r>
        <w:rPr>
          <w:rFonts w:ascii="Times New Roman" w:hAnsi="Times New Roman"/>
        </w:rPr>
        <w:t xml:space="preserve">, </w:t>
      </w:r>
      <w:r>
        <w:rPr>
          <w:rFonts w:ascii="Times New Roman" w:hAnsi="Times New Roman"/>
          <w:i/>
          <w:iCs/>
        </w:rPr>
        <w:t>Zambrano împotriva Franței</w:t>
      </w:r>
      <w:r>
        <w:rPr>
          <w:rFonts w:ascii="Times New Roman" w:hAnsi="Times New Roman"/>
        </w:rPr>
        <w:t xml:space="preserve"> (dec.), nr. 41994/21, pct. 47, 21 septembrie 2021].</w:t>
      </w:r>
    </w:p>
    <w:p w:rsidR="00BF6A5D" w:rsidRPr="00BF6A5D" w:rsidRDefault="00BF6A5D" w:rsidP="00BF6A5D">
      <w:pPr>
        <w:pStyle w:val="JuHA"/>
      </w:pPr>
      <w:bookmarkStart w:id="142" w:name="_Toc177058445"/>
      <w:r>
        <w:t>Concluzie</w:t>
      </w:r>
      <w:bookmarkEnd w:id="142"/>
    </w:p>
    <w:p w:rsidR="00BF6A5D" w:rsidRPr="00BF6A5D" w:rsidRDefault="00D340B2" w:rsidP="00BF6A5D">
      <w:pPr>
        <w:pStyle w:val="JuPara"/>
      </w:pPr>
      <w:fldSimple w:instr=" SEQ level0 \*arabic \* MERGEFORMAT ">
        <w:r w:rsidR="00BF6A5D" w:rsidRPr="00BF6A5D">
          <w:t>231</w:t>
        </w:r>
      </w:fldSimple>
      <w:r w:rsidR="00BF6A5D">
        <w:t>.  În cadrul aprecierii realizate mai sus, Curtea a făcut următoarele constatări:</w:t>
      </w:r>
    </w:p>
    <w:p w:rsidR="00BF6A5D" w:rsidRPr="00BF6A5D" w:rsidRDefault="00BF6A5D" w:rsidP="00BF6A5D">
      <w:pPr>
        <w:pStyle w:val="JuPara"/>
      </w:pPr>
      <w:r>
        <w:t>1) Cererea, în măsura în care se referă la Ucraina, trebuie scoasă de pe rolul Curții în conformitate cu art. 37 § 1 lit. a) din Convenție.</w:t>
      </w:r>
    </w:p>
    <w:p w:rsidR="00BF6A5D" w:rsidRPr="00BF6A5D" w:rsidRDefault="00BF6A5D" w:rsidP="00BF6A5D">
      <w:pPr>
        <w:pStyle w:val="JuPara"/>
      </w:pPr>
      <w:r>
        <w:t xml:space="preserve">2) Curtea este competentă să examineze cererea introdusă împotriva Federației Ruse, în măsura în care faptele aflate la originea acuzațiilor de încălcare a Convenției sunt anterioare datei de 16 septembrie 2022. Totuși, orice capăt de cerere privind situația ulterioară acestei date este incompatibil </w:t>
      </w:r>
      <w:r>
        <w:rPr>
          <w:i/>
          <w:iCs/>
        </w:rPr>
        <w:t>ratione temporis</w:t>
      </w:r>
      <w:r>
        <w:t xml:space="preserve"> cu art. 35 § 3 din Convenție și trebuie respins în temeiul art. 35 § 4.</w:t>
      </w:r>
    </w:p>
    <w:p w:rsidR="00BF6A5D" w:rsidRPr="00BF6A5D" w:rsidRDefault="00BF6A5D" w:rsidP="00BF6A5D">
      <w:pPr>
        <w:pStyle w:val="JuPara"/>
      </w:pPr>
      <w:r>
        <w:t>3) Reclamanții se află sub jurisdicția Portugaliei, nu și a celorlalte state pârâte. Prin urmare, cererea lor trebuie declarată inadmisibilă în temeiul art. 35 § 3 și 4 din Convenție, în măsura în care se referă la celelalte state.</w:t>
      </w:r>
    </w:p>
    <w:p w:rsidR="00BF6A5D" w:rsidRPr="00BF6A5D" w:rsidRDefault="00BF6A5D" w:rsidP="00BF6A5D">
      <w:pPr>
        <w:pStyle w:val="JuPara"/>
      </w:pPr>
      <w:r>
        <w:t>4) Capătul de cerere îndreptat de reclamanți împotriva Portugaliei este inadmisibil pentru neepuizarea căilor de atac interne și trebuie respins în temeiul art. 35 § 1 și 4 din Convenție.</w:t>
      </w:r>
    </w:p>
    <w:p w:rsidR="00BF6A5D" w:rsidRPr="00BF6A5D" w:rsidRDefault="00BF6A5D" w:rsidP="00BF6A5D">
      <w:pPr>
        <w:pStyle w:val="JuPara"/>
      </w:pPr>
      <w:r>
        <w:t>5) Curtea nu va examina problema calității de victimă a reclamanților în sensul diferitelor dispoziții ale Convenției invocate de reclamanți.</w:t>
      </w:r>
    </w:p>
    <w:p w:rsidR="00BF6A5D" w:rsidRPr="00BF6A5D" w:rsidRDefault="00BF6A5D" w:rsidP="00BF6A5D">
      <w:pPr>
        <w:pStyle w:val="JuParaLast"/>
      </w:pPr>
      <w:r>
        <w:t>Pentru aceste motive, în unanimitate, Curtea</w:t>
      </w:r>
    </w:p>
    <w:p w:rsidR="00BF6A5D" w:rsidRPr="00BF6A5D" w:rsidRDefault="00BF6A5D" w:rsidP="00BF6A5D">
      <w:pPr>
        <w:pStyle w:val="JuList"/>
      </w:pPr>
      <w:r>
        <w:rPr>
          <w:i/>
          <w:iCs/>
        </w:rPr>
        <w:t>Decide</w:t>
      </w:r>
      <w:r>
        <w:t xml:space="preserve"> să scoată de pe rol cererea în măsura în care aceasta privește Ucraina.</w:t>
      </w:r>
    </w:p>
    <w:p w:rsidR="00BF6A5D" w:rsidRPr="00BF6A5D" w:rsidRDefault="00BF6A5D" w:rsidP="00BF6A5D">
      <w:pPr>
        <w:pStyle w:val="JuList"/>
        <w:rPr>
          <w:i/>
          <w:iCs/>
        </w:rPr>
      </w:pPr>
      <w:r>
        <w:rPr>
          <w:i/>
          <w:iCs/>
        </w:rPr>
        <w:lastRenderedPageBreak/>
        <w:t>Declară</w:t>
      </w:r>
      <w:r>
        <w:t xml:space="preserve"> cererea inadmisibilă pentru celelalte capete de cerere.</w:t>
      </w:r>
    </w:p>
    <w:p w:rsidR="00BF6A5D" w:rsidRPr="00BF6A5D" w:rsidRDefault="00BF6A5D" w:rsidP="00BF6A5D">
      <w:pPr>
        <w:pStyle w:val="JuParaLast"/>
        <w:ind w:firstLine="0"/>
      </w:pPr>
      <w:r>
        <w:t>Redactată în limbile engleză și franceză, apoi pronunțată în ședință publică la Palatul Drepturilor Omului din Strasbourg, la 9 aprilie 2024.</w:t>
      </w:r>
    </w:p>
    <w:p w:rsidR="00BF6A5D" w:rsidRPr="00BF6A5D" w:rsidRDefault="00BF6A5D" w:rsidP="00BF6A5D">
      <w:pPr>
        <w:pStyle w:val="JuSigned"/>
      </w:pPr>
      <w:r>
        <w:tab/>
        <w:t>Søren Prebensen</w:t>
      </w:r>
      <w:r>
        <w:tab/>
        <w:t>Síofra O’Leary</w:t>
      </w:r>
      <w:r>
        <w:br/>
      </w:r>
      <w:r>
        <w:tab/>
        <w:t>Grefier adjunct</w:t>
      </w:r>
      <w:r>
        <w:tab/>
        <w:t>Președinte</w:t>
      </w:r>
    </w:p>
    <w:p w:rsidR="00BF6A5D" w:rsidRPr="00BF6A5D" w:rsidRDefault="00BF6A5D" w:rsidP="00BF6A5D">
      <w:pPr>
        <w:pStyle w:val="JuSigned"/>
        <w:rPr>
          <w:rFonts w:ascii="Times New Roman" w:hAnsi="Times New Roman" w:cs="Times New Roman"/>
        </w:rPr>
      </w:pPr>
      <w:r>
        <w:br w:type="page"/>
      </w:r>
    </w:p>
    <w:p w:rsidR="00BF6A5D" w:rsidRPr="00BF6A5D" w:rsidRDefault="00BF6A5D" w:rsidP="00BF6A5D">
      <w:pPr>
        <w:pStyle w:val="JuCourt"/>
        <w:jc w:val="center"/>
        <w:rPr>
          <w:b/>
          <w:bCs/>
        </w:rPr>
      </w:pPr>
      <w:r>
        <w:rPr>
          <w:b/>
        </w:rPr>
        <w:lastRenderedPageBreak/>
        <w:t>ANEXĂ</w:t>
      </w:r>
    </w:p>
    <w:p w:rsidR="00BF6A5D" w:rsidRPr="00BF6A5D" w:rsidRDefault="00BF6A5D" w:rsidP="00BF6A5D">
      <w:pPr>
        <w:pStyle w:val="JuCourt"/>
        <w:jc w:val="center"/>
      </w:pPr>
      <w:r>
        <w:t>Lista participanților la ședința din 27 septembrie 2023</w:t>
      </w:r>
    </w:p>
    <w:p w:rsidR="00BF6A5D" w:rsidRPr="00BF6A5D" w:rsidRDefault="00BF6A5D" w:rsidP="00BF6A5D">
      <w:pPr>
        <w:pStyle w:val="JuCourt"/>
      </w:pPr>
    </w:p>
    <w:p w:rsidR="00BF6A5D" w:rsidRPr="00BF6A5D" w:rsidRDefault="00BF6A5D" w:rsidP="00BF6A5D">
      <w:pPr>
        <w:pStyle w:val="JuCourt"/>
        <w:rPr>
          <w:b/>
          <w:u w:val="single"/>
        </w:rPr>
      </w:pPr>
      <w:r>
        <w:rPr>
          <w:b/>
          <w:u w:val="single"/>
        </w:rPr>
        <w:t>Pentru Guverne</w:t>
      </w:r>
    </w:p>
    <w:p w:rsidR="00BF6A5D" w:rsidRPr="00BF6A5D" w:rsidRDefault="00BF6A5D" w:rsidP="00BF6A5D">
      <w:pPr>
        <w:jc w:val="both"/>
        <w:rPr>
          <w:i/>
        </w:rPr>
      </w:pPr>
    </w:p>
    <w:p w:rsidR="00BF6A5D" w:rsidRPr="00BF6A5D" w:rsidRDefault="00BF6A5D" w:rsidP="00BF6A5D">
      <w:pPr>
        <w:pStyle w:val="JuCourt"/>
      </w:pPr>
      <w:r>
        <w:t>Reprezentanții ale căror nume apar cu caractere aldine s-au adresat Curții.</w:t>
      </w:r>
    </w:p>
    <w:p w:rsidR="00BF6A5D" w:rsidRPr="00BF6A5D" w:rsidRDefault="00BF6A5D" w:rsidP="00BF6A5D">
      <w:pPr>
        <w:jc w:val="both"/>
        <w:rPr>
          <w:i/>
        </w:rPr>
      </w:pPr>
    </w:p>
    <w:p w:rsidR="00BF6A5D" w:rsidRPr="00BF6A5D" w:rsidRDefault="00BF6A5D" w:rsidP="00BF6A5D">
      <w:pPr>
        <w:pStyle w:val="JuCourt"/>
      </w:pPr>
      <w:r>
        <w:t>1.</w:t>
      </w:r>
      <w:r>
        <w:tab/>
      </w:r>
      <w:r>
        <w:rPr>
          <w:b/>
        </w:rPr>
        <w:t>Portugalia</w:t>
      </w:r>
    </w:p>
    <w:p w:rsidR="00BF6A5D" w:rsidRPr="00BF6A5D" w:rsidRDefault="00BF6A5D" w:rsidP="00BF6A5D">
      <w:pPr>
        <w:pStyle w:val="ListParagraph"/>
        <w:numPr>
          <w:ilvl w:val="0"/>
          <w:numId w:val="23"/>
        </w:numPr>
        <w:autoSpaceDE w:val="0"/>
        <w:autoSpaceDN w:val="0"/>
        <w:adjustRightInd w:val="0"/>
        <w:rPr>
          <w:b/>
        </w:rPr>
      </w:pPr>
      <w:r>
        <w:rPr>
          <w:b/>
          <w:bCs/>
        </w:rPr>
        <w:t>Dl R. Matos</w:t>
      </w:r>
      <w:r>
        <w:t xml:space="preserve">, </w:t>
      </w:r>
      <w:r>
        <w:rPr>
          <w:i/>
          <w:iCs/>
        </w:rPr>
        <w:t>agent</w:t>
      </w:r>
    </w:p>
    <w:p w:rsidR="00BF6A5D" w:rsidRPr="00BF6A5D" w:rsidRDefault="00BF6A5D" w:rsidP="00BF6A5D">
      <w:pPr>
        <w:pStyle w:val="ListParagraph"/>
        <w:numPr>
          <w:ilvl w:val="0"/>
          <w:numId w:val="23"/>
        </w:numPr>
        <w:autoSpaceDE w:val="0"/>
        <w:autoSpaceDN w:val="0"/>
        <w:adjustRightInd w:val="0"/>
      </w:pPr>
      <w:r>
        <w:t>Dna A. Garcia Marques</w:t>
      </w:r>
    </w:p>
    <w:p w:rsidR="00BF6A5D" w:rsidRPr="00BF6A5D" w:rsidRDefault="00BF6A5D" w:rsidP="00BF6A5D">
      <w:pPr>
        <w:pStyle w:val="ListParagraph"/>
        <w:numPr>
          <w:ilvl w:val="0"/>
          <w:numId w:val="23"/>
        </w:numPr>
        <w:autoSpaceDE w:val="0"/>
        <w:autoSpaceDN w:val="0"/>
        <w:adjustRightInd w:val="0"/>
        <w:rPr>
          <w:i/>
        </w:rPr>
      </w:pPr>
      <w:r>
        <w:t xml:space="preserve">Dna J. Veloso, </w:t>
      </w:r>
      <w:r>
        <w:rPr>
          <w:i/>
          <w:iCs/>
        </w:rPr>
        <w:t>șef Departament Schimbări Climatice, Agenția de Mediu din Portugalia,</w:t>
      </w:r>
      <w:r>
        <w:t xml:space="preserve"> </w:t>
      </w:r>
      <w:r>
        <w:rPr>
          <w:i/>
          <w:iCs/>
        </w:rPr>
        <w:t>consilieri</w:t>
      </w:r>
    </w:p>
    <w:p w:rsidR="00BF6A5D" w:rsidRPr="00BF6A5D" w:rsidRDefault="00BF6A5D" w:rsidP="00BF6A5D">
      <w:pPr>
        <w:pStyle w:val="JuCourt"/>
      </w:pPr>
      <w:r>
        <w:t>2.</w:t>
      </w:r>
      <w:r>
        <w:tab/>
      </w:r>
      <w:r>
        <w:rPr>
          <w:b/>
        </w:rPr>
        <w:t>Austria</w:t>
      </w:r>
    </w:p>
    <w:p w:rsidR="00BF6A5D" w:rsidRPr="00BF6A5D" w:rsidRDefault="00BF6A5D" w:rsidP="00BF6A5D">
      <w:pPr>
        <w:pStyle w:val="ListParagraph"/>
        <w:numPr>
          <w:ilvl w:val="0"/>
          <w:numId w:val="3"/>
        </w:numPr>
        <w:autoSpaceDE w:val="0"/>
        <w:autoSpaceDN w:val="0"/>
        <w:adjustRightInd w:val="0"/>
      </w:pPr>
      <w:r>
        <w:t xml:space="preserve">Dna B. Ohms, </w:t>
      </w:r>
      <w:r>
        <w:rPr>
          <w:i/>
          <w:iCs/>
        </w:rPr>
        <w:t>agent supleant</w:t>
      </w:r>
    </w:p>
    <w:p w:rsidR="00BF6A5D" w:rsidRPr="00BF6A5D" w:rsidRDefault="00BF6A5D" w:rsidP="00BF6A5D">
      <w:pPr>
        <w:pStyle w:val="JuCourt"/>
      </w:pPr>
      <w:r>
        <w:t>3.</w:t>
      </w:r>
      <w:r>
        <w:tab/>
      </w:r>
      <w:r>
        <w:rPr>
          <w:b/>
        </w:rPr>
        <w:t>Belgia</w:t>
      </w:r>
    </w:p>
    <w:p w:rsidR="00BF6A5D" w:rsidRPr="00BF6A5D" w:rsidRDefault="00BF6A5D" w:rsidP="00BF6A5D">
      <w:pPr>
        <w:pStyle w:val="ListParagraph"/>
        <w:numPr>
          <w:ilvl w:val="0"/>
          <w:numId w:val="38"/>
        </w:numPr>
        <w:rPr>
          <w:b/>
          <w:bCs/>
        </w:rPr>
      </w:pPr>
      <w:r>
        <w:rPr>
          <w:b/>
          <w:bCs/>
        </w:rPr>
        <w:t>Dna I. Niedlispacher</w:t>
      </w:r>
      <w:r>
        <w:t xml:space="preserve">, </w:t>
      </w:r>
      <w:r>
        <w:rPr>
          <w:i/>
          <w:iCs/>
        </w:rPr>
        <w:t>agent</w:t>
      </w:r>
    </w:p>
    <w:p w:rsidR="00BF6A5D" w:rsidRPr="00BF6A5D" w:rsidRDefault="00BF6A5D" w:rsidP="00BF6A5D">
      <w:pPr>
        <w:pStyle w:val="ListParagraph"/>
        <w:numPr>
          <w:ilvl w:val="0"/>
          <w:numId w:val="38"/>
        </w:numPr>
      </w:pPr>
      <w:r>
        <w:t>Dl H. Kevers</w:t>
      </w:r>
    </w:p>
    <w:p w:rsidR="00BF6A5D" w:rsidRPr="00BF6A5D" w:rsidRDefault="00BF6A5D" w:rsidP="00BF6A5D">
      <w:pPr>
        <w:pStyle w:val="ListParagraph"/>
        <w:numPr>
          <w:ilvl w:val="0"/>
          <w:numId w:val="38"/>
        </w:numPr>
      </w:pPr>
      <w:r>
        <w:t>Dna L. Chanet</w:t>
      </w:r>
    </w:p>
    <w:p w:rsidR="00BF6A5D" w:rsidRPr="00BF6A5D" w:rsidRDefault="00BF6A5D" w:rsidP="00BF6A5D">
      <w:pPr>
        <w:pStyle w:val="ListParagraph"/>
        <w:numPr>
          <w:ilvl w:val="0"/>
          <w:numId w:val="38"/>
        </w:numPr>
      </w:pPr>
      <w:r>
        <w:t xml:space="preserve">Dna S. Yours, </w:t>
      </w:r>
      <w:r>
        <w:rPr>
          <w:i/>
          <w:iCs/>
        </w:rPr>
        <w:t>consilieri</w:t>
      </w:r>
    </w:p>
    <w:p w:rsidR="00BF6A5D" w:rsidRPr="00BF6A5D" w:rsidRDefault="00BF6A5D" w:rsidP="00BF6A5D">
      <w:pPr>
        <w:pStyle w:val="JuCourt"/>
      </w:pPr>
      <w:r>
        <w:t>4.</w:t>
      </w:r>
      <w:r>
        <w:tab/>
      </w:r>
      <w:r>
        <w:rPr>
          <w:b/>
        </w:rPr>
        <w:t>Bulgaria</w:t>
      </w:r>
    </w:p>
    <w:p w:rsidR="00BF6A5D" w:rsidRPr="00BF6A5D" w:rsidRDefault="00BF6A5D" w:rsidP="00BF6A5D">
      <w:pPr>
        <w:pStyle w:val="ListParagraph"/>
        <w:numPr>
          <w:ilvl w:val="0"/>
          <w:numId w:val="4"/>
        </w:numPr>
        <w:autoSpaceDE w:val="0"/>
        <w:autoSpaceDN w:val="0"/>
        <w:adjustRightInd w:val="0"/>
        <w:spacing w:after="164"/>
      </w:pPr>
      <w:r>
        <w:t xml:space="preserve">Dna I. Stancheva-Chinova, </w:t>
      </w:r>
      <w:r>
        <w:rPr>
          <w:i/>
          <w:iCs/>
        </w:rPr>
        <w:t>agent</w:t>
      </w:r>
    </w:p>
    <w:p w:rsidR="00BF6A5D" w:rsidRPr="00BF6A5D" w:rsidRDefault="00BF6A5D" w:rsidP="00BF6A5D">
      <w:pPr>
        <w:pStyle w:val="ListParagraph"/>
        <w:numPr>
          <w:ilvl w:val="0"/>
          <w:numId w:val="4"/>
        </w:numPr>
        <w:autoSpaceDE w:val="0"/>
        <w:autoSpaceDN w:val="0"/>
        <w:adjustRightInd w:val="0"/>
      </w:pPr>
      <w:r>
        <w:t xml:space="preserve">Dna V. Hristova, </w:t>
      </w:r>
      <w:r>
        <w:rPr>
          <w:i/>
          <w:iCs/>
        </w:rPr>
        <w:t>agent</w:t>
      </w:r>
    </w:p>
    <w:p w:rsidR="00BF6A5D" w:rsidRPr="00BF6A5D" w:rsidRDefault="00BF6A5D" w:rsidP="00BF6A5D">
      <w:pPr>
        <w:pStyle w:val="JuCourt"/>
      </w:pPr>
      <w:r>
        <w:t>5.</w:t>
      </w:r>
      <w:r>
        <w:tab/>
      </w:r>
      <w:r>
        <w:rPr>
          <w:b/>
        </w:rPr>
        <w:t>Elveția</w:t>
      </w:r>
    </w:p>
    <w:p w:rsidR="00BF6A5D" w:rsidRPr="00BF6A5D" w:rsidRDefault="00BF6A5D" w:rsidP="00BF6A5D">
      <w:pPr>
        <w:pStyle w:val="ListParagraph"/>
        <w:numPr>
          <w:ilvl w:val="0"/>
          <w:numId w:val="29"/>
        </w:numPr>
        <w:autoSpaceDE w:val="0"/>
        <w:autoSpaceDN w:val="0"/>
        <w:adjustRightInd w:val="0"/>
      </w:pPr>
      <w:r>
        <w:t xml:space="preserve">Dl A. Chablais, </w:t>
      </w:r>
      <w:r>
        <w:rPr>
          <w:i/>
          <w:iCs/>
        </w:rPr>
        <w:t>agent</w:t>
      </w:r>
    </w:p>
    <w:p w:rsidR="00BF6A5D" w:rsidRPr="00BF6A5D" w:rsidRDefault="00BF6A5D" w:rsidP="00BF6A5D">
      <w:pPr>
        <w:pStyle w:val="ListParagraph"/>
        <w:numPr>
          <w:ilvl w:val="0"/>
          <w:numId w:val="29"/>
        </w:numPr>
        <w:autoSpaceDE w:val="0"/>
        <w:autoSpaceDN w:val="0"/>
        <w:adjustRightInd w:val="0"/>
        <w:rPr>
          <w:i/>
        </w:rPr>
      </w:pPr>
      <w:r>
        <w:t xml:space="preserve">Dna M. Beeler-Sigron, </w:t>
      </w:r>
      <w:r>
        <w:rPr>
          <w:i/>
          <w:iCs/>
        </w:rPr>
        <w:t>consilier</w:t>
      </w:r>
    </w:p>
    <w:p w:rsidR="00BF6A5D" w:rsidRPr="00BF6A5D" w:rsidRDefault="00BF6A5D" w:rsidP="00BF6A5D">
      <w:pPr>
        <w:pStyle w:val="JuCourt"/>
        <w:rPr>
          <w:b/>
        </w:rPr>
      </w:pPr>
      <w:r>
        <w:t>6.</w:t>
      </w:r>
      <w:r>
        <w:tab/>
      </w:r>
      <w:r>
        <w:rPr>
          <w:b/>
        </w:rPr>
        <w:t>Cipru</w:t>
      </w:r>
    </w:p>
    <w:p w:rsidR="00BF6A5D" w:rsidRPr="00BF6A5D" w:rsidRDefault="00BF6A5D" w:rsidP="00BF6A5D">
      <w:pPr>
        <w:pStyle w:val="ListParagraph"/>
        <w:numPr>
          <w:ilvl w:val="0"/>
          <w:numId w:val="6"/>
        </w:numPr>
        <w:autoSpaceDE w:val="0"/>
        <w:autoSpaceDN w:val="0"/>
        <w:adjustRightInd w:val="0"/>
      </w:pPr>
      <w:r>
        <w:t xml:space="preserve">Dna T. Christodoulidou, </w:t>
      </w:r>
      <w:r>
        <w:rPr>
          <w:i/>
          <w:iCs/>
        </w:rPr>
        <w:t>agent</w:t>
      </w:r>
    </w:p>
    <w:p w:rsidR="00BF6A5D" w:rsidRPr="00BF6A5D" w:rsidRDefault="00BF6A5D" w:rsidP="00BF6A5D">
      <w:pPr>
        <w:pStyle w:val="ListParagraph"/>
        <w:numPr>
          <w:ilvl w:val="0"/>
          <w:numId w:val="6"/>
        </w:numPr>
        <w:autoSpaceDE w:val="0"/>
        <w:autoSpaceDN w:val="0"/>
        <w:adjustRightInd w:val="0"/>
      </w:pPr>
      <w:r>
        <w:t xml:space="preserve">Dna L. Cariolou, </w:t>
      </w:r>
      <w:r>
        <w:rPr>
          <w:i/>
          <w:iCs/>
        </w:rPr>
        <w:t>consilier</w:t>
      </w:r>
    </w:p>
    <w:p w:rsidR="00BF6A5D" w:rsidRPr="00BF6A5D" w:rsidRDefault="00BF6A5D" w:rsidP="00BF6A5D">
      <w:pPr>
        <w:pStyle w:val="JuCourt"/>
      </w:pPr>
      <w:r>
        <w:t>7.</w:t>
      </w:r>
      <w:r>
        <w:tab/>
      </w:r>
      <w:r>
        <w:rPr>
          <w:b/>
        </w:rPr>
        <w:t>Republica Cehă</w:t>
      </w:r>
    </w:p>
    <w:p w:rsidR="00BF6A5D" w:rsidRPr="00BF6A5D" w:rsidRDefault="00BF6A5D" w:rsidP="00BF6A5D">
      <w:pPr>
        <w:pStyle w:val="ListParagraph"/>
        <w:numPr>
          <w:ilvl w:val="0"/>
          <w:numId w:val="7"/>
        </w:numPr>
        <w:autoSpaceDE w:val="0"/>
        <w:autoSpaceDN w:val="0"/>
        <w:adjustRightInd w:val="0"/>
      </w:pPr>
      <w:r>
        <w:t xml:space="preserve">Dl P. Konůpka, </w:t>
      </w:r>
      <w:r>
        <w:rPr>
          <w:i/>
          <w:iCs/>
        </w:rPr>
        <w:t>agent</w:t>
      </w:r>
    </w:p>
    <w:p w:rsidR="00BF6A5D" w:rsidRPr="00BF6A5D" w:rsidRDefault="00BF6A5D" w:rsidP="00BF6A5D">
      <w:pPr>
        <w:pStyle w:val="ListParagraph"/>
        <w:numPr>
          <w:ilvl w:val="0"/>
          <w:numId w:val="7"/>
        </w:numPr>
        <w:autoSpaceDE w:val="0"/>
        <w:autoSpaceDN w:val="0"/>
        <w:adjustRightInd w:val="0"/>
      </w:pPr>
      <w:r>
        <w:t xml:space="preserve">Dna J. Martinková, </w:t>
      </w:r>
      <w:r>
        <w:rPr>
          <w:i/>
          <w:iCs/>
        </w:rPr>
        <w:t>consilier</w:t>
      </w:r>
    </w:p>
    <w:p w:rsidR="00BF6A5D" w:rsidRPr="00BF6A5D" w:rsidRDefault="00BF6A5D" w:rsidP="00BF6A5D">
      <w:pPr>
        <w:pStyle w:val="JuCourt"/>
      </w:pPr>
      <w:r>
        <w:t>8.</w:t>
      </w:r>
      <w:r>
        <w:tab/>
      </w:r>
      <w:r>
        <w:rPr>
          <w:b/>
        </w:rPr>
        <w:t>Germania</w:t>
      </w:r>
    </w:p>
    <w:p w:rsidR="00BF6A5D" w:rsidRPr="00BF6A5D" w:rsidRDefault="00BF6A5D" w:rsidP="00BF6A5D">
      <w:pPr>
        <w:pStyle w:val="ListParagraph"/>
        <w:numPr>
          <w:ilvl w:val="0"/>
          <w:numId w:val="12"/>
        </w:numPr>
        <w:autoSpaceDE w:val="0"/>
        <w:autoSpaceDN w:val="0"/>
        <w:adjustRightInd w:val="0"/>
      </w:pPr>
      <w:r>
        <w:t xml:space="preserve">Dl H-J. Behrens, </w:t>
      </w:r>
      <w:r>
        <w:rPr>
          <w:i/>
          <w:iCs/>
        </w:rPr>
        <w:t>agent</w:t>
      </w:r>
    </w:p>
    <w:p w:rsidR="00BF6A5D" w:rsidRPr="00BF6A5D" w:rsidRDefault="00BF6A5D" w:rsidP="00BF6A5D">
      <w:pPr>
        <w:pStyle w:val="ListParagraph"/>
        <w:numPr>
          <w:ilvl w:val="0"/>
          <w:numId w:val="12"/>
        </w:numPr>
        <w:autoSpaceDE w:val="0"/>
        <w:autoSpaceDN w:val="0"/>
        <w:adjustRightInd w:val="0"/>
      </w:pPr>
      <w:r>
        <w:t xml:space="preserve">Dna N. Wenzel, </w:t>
      </w:r>
      <w:r>
        <w:rPr>
          <w:i/>
          <w:iCs/>
        </w:rPr>
        <w:t>agent</w:t>
      </w:r>
    </w:p>
    <w:p w:rsidR="00BF6A5D" w:rsidRPr="00BF6A5D" w:rsidRDefault="00BF6A5D" w:rsidP="00BF6A5D">
      <w:pPr>
        <w:pStyle w:val="ListParagraph"/>
        <w:numPr>
          <w:ilvl w:val="0"/>
          <w:numId w:val="7"/>
        </w:numPr>
        <w:autoSpaceDE w:val="0"/>
        <w:autoSpaceDN w:val="0"/>
        <w:adjustRightInd w:val="0"/>
      </w:pPr>
      <w:r>
        <w:lastRenderedPageBreak/>
        <w:t xml:space="preserve">Dna K. Mellech, </w:t>
      </w:r>
      <w:r>
        <w:rPr>
          <w:i/>
          <w:iCs/>
        </w:rPr>
        <w:t>consilier</w:t>
      </w:r>
    </w:p>
    <w:p w:rsidR="00BF6A5D" w:rsidRPr="00BF6A5D" w:rsidRDefault="00BF6A5D" w:rsidP="00BF6A5D">
      <w:pPr>
        <w:pStyle w:val="JuCourt"/>
        <w:rPr>
          <w:b/>
        </w:rPr>
      </w:pPr>
      <w:r>
        <w:t>9.</w:t>
      </w:r>
      <w:r>
        <w:tab/>
      </w:r>
      <w:r>
        <w:rPr>
          <w:b/>
        </w:rPr>
        <w:t>Danemarca</w:t>
      </w:r>
    </w:p>
    <w:p w:rsidR="00BF6A5D" w:rsidRPr="00BF6A5D" w:rsidRDefault="00BF6A5D" w:rsidP="00BF6A5D">
      <w:pPr>
        <w:pStyle w:val="ListParagraph"/>
        <w:numPr>
          <w:ilvl w:val="0"/>
          <w:numId w:val="8"/>
        </w:numPr>
        <w:autoSpaceDE w:val="0"/>
        <w:autoSpaceDN w:val="0"/>
        <w:adjustRightInd w:val="0"/>
        <w:jc w:val="both"/>
        <w:rPr>
          <w:i/>
        </w:rPr>
      </w:pPr>
      <w:r>
        <w:t xml:space="preserve">Dl A.R. Jacobsen, </w:t>
      </w:r>
      <w:r>
        <w:rPr>
          <w:i/>
          <w:iCs/>
        </w:rPr>
        <w:t>Ministerul Afacerilor Externe</w:t>
      </w:r>
    </w:p>
    <w:p w:rsidR="00BF6A5D" w:rsidRPr="00BF6A5D" w:rsidRDefault="00BF6A5D" w:rsidP="00BF6A5D">
      <w:pPr>
        <w:pStyle w:val="ListParagraph"/>
        <w:numPr>
          <w:ilvl w:val="0"/>
          <w:numId w:val="8"/>
        </w:numPr>
        <w:autoSpaceDE w:val="0"/>
        <w:autoSpaceDN w:val="0"/>
        <w:adjustRightInd w:val="0"/>
      </w:pPr>
      <w:r>
        <w:t xml:space="preserve">Dna E. Mariendal, </w:t>
      </w:r>
      <w:r>
        <w:rPr>
          <w:i/>
          <w:iCs/>
        </w:rPr>
        <w:t>Ministerul Climei, Energiei și Aprovizionării</w:t>
      </w:r>
    </w:p>
    <w:p w:rsidR="00BF6A5D" w:rsidRPr="00BF6A5D" w:rsidRDefault="00BF6A5D" w:rsidP="00BF6A5D">
      <w:pPr>
        <w:pStyle w:val="JuCourt"/>
      </w:pPr>
      <w:r>
        <w:t>10.</w:t>
      </w:r>
      <w:r>
        <w:tab/>
      </w:r>
      <w:r>
        <w:rPr>
          <w:b/>
        </w:rPr>
        <w:t>Spania</w:t>
      </w:r>
    </w:p>
    <w:p w:rsidR="00BF6A5D" w:rsidRPr="00BF6A5D" w:rsidRDefault="00BF6A5D" w:rsidP="00BF6A5D">
      <w:pPr>
        <w:pStyle w:val="ListParagraph"/>
        <w:numPr>
          <w:ilvl w:val="0"/>
          <w:numId w:val="27"/>
        </w:numPr>
        <w:autoSpaceDE w:val="0"/>
        <w:autoSpaceDN w:val="0"/>
        <w:adjustRightInd w:val="0"/>
      </w:pPr>
      <w:r>
        <w:t xml:space="preserve">Dl A. Brezmes Martínez de Villarreal, </w:t>
      </w:r>
      <w:r>
        <w:rPr>
          <w:i/>
          <w:iCs/>
        </w:rPr>
        <w:t>agent</w:t>
      </w:r>
    </w:p>
    <w:p w:rsidR="00BF6A5D" w:rsidRPr="00BF6A5D" w:rsidRDefault="00BF6A5D" w:rsidP="00BF6A5D">
      <w:pPr>
        <w:pStyle w:val="ListParagraph"/>
        <w:numPr>
          <w:ilvl w:val="0"/>
          <w:numId w:val="27"/>
        </w:numPr>
        <w:autoSpaceDE w:val="0"/>
        <w:autoSpaceDN w:val="0"/>
        <w:adjustRightInd w:val="0"/>
      </w:pPr>
      <w:r>
        <w:t xml:space="preserve">Dl L. Vacas Chalfoun, </w:t>
      </w:r>
      <w:r>
        <w:rPr>
          <w:i/>
          <w:iCs/>
        </w:rPr>
        <w:t>co-agent</w:t>
      </w:r>
    </w:p>
    <w:p w:rsidR="00BF6A5D" w:rsidRPr="00BF6A5D" w:rsidRDefault="00BF6A5D" w:rsidP="00BF6A5D">
      <w:pPr>
        <w:pStyle w:val="JuCourt"/>
      </w:pPr>
      <w:r>
        <w:t>11.</w:t>
      </w:r>
      <w:r>
        <w:tab/>
      </w:r>
      <w:r>
        <w:rPr>
          <w:b/>
        </w:rPr>
        <w:t>Estonia</w:t>
      </w:r>
    </w:p>
    <w:p w:rsidR="00BF6A5D" w:rsidRPr="00BF6A5D" w:rsidRDefault="00BF6A5D" w:rsidP="00BF6A5D">
      <w:pPr>
        <w:pStyle w:val="ListParagraph"/>
        <w:numPr>
          <w:ilvl w:val="0"/>
          <w:numId w:val="9"/>
        </w:numPr>
        <w:autoSpaceDE w:val="0"/>
        <w:autoSpaceDN w:val="0"/>
        <w:adjustRightInd w:val="0"/>
      </w:pPr>
      <w:r>
        <w:t xml:space="preserve">Dl T. Kolk, </w:t>
      </w:r>
      <w:r>
        <w:rPr>
          <w:i/>
          <w:iCs/>
        </w:rPr>
        <w:t>agent</w:t>
      </w:r>
    </w:p>
    <w:p w:rsidR="00BF6A5D" w:rsidRPr="00BF6A5D" w:rsidRDefault="00BF6A5D" w:rsidP="00BF6A5D">
      <w:pPr>
        <w:pStyle w:val="ListParagraph"/>
        <w:numPr>
          <w:ilvl w:val="0"/>
          <w:numId w:val="9"/>
        </w:numPr>
        <w:autoSpaceDE w:val="0"/>
        <w:autoSpaceDN w:val="0"/>
        <w:adjustRightInd w:val="0"/>
      </w:pPr>
      <w:r>
        <w:t>Dna H-B. Sillar</w:t>
      </w:r>
    </w:p>
    <w:p w:rsidR="00BF6A5D" w:rsidRPr="00BF6A5D" w:rsidRDefault="00BF6A5D" w:rsidP="00BF6A5D">
      <w:pPr>
        <w:pStyle w:val="ListParagraph"/>
        <w:numPr>
          <w:ilvl w:val="0"/>
          <w:numId w:val="9"/>
        </w:numPr>
        <w:autoSpaceDE w:val="0"/>
        <w:autoSpaceDN w:val="0"/>
        <w:adjustRightInd w:val="0"/>
      </w:pPr>
      <w:r>
        <w:t xml:space="preserve">Dna T. Nymann, </w:t>
      </w:r>
      <w:r>
        <w:rPr>
          <w:i/>
          <w:iCs/>
        </w:rPr>
        <w:t>consilieri</w:t>
      </w:r>
    </w:p>
    <w:p w:rsidR="00BF6A5D" w:rsidRPr="00BF6A5D" w:rsidRDefault="00BF6A5D" w:rsidP="00BF6A5D">
      <w:pPr>
        <w:pStyle w:val="JuCourt"/>
      </w:pPr>
      <w:r>
        <w:t>12.</w:t>
      </w:r>
      <w:r>
        <w:tab/>
      </w:r>
      <w:r>
        <w:rPr>
          <w:b/>
        </w:rPr>
        <w:t>Finlanda</w:t>
      </w:r>
    </w:p>
    <w:p w:rsidR="00BF6A5D" w:rsidRPr="00BF6A5D" w:rsidRDefault="00BF6A5D" w:rsidP="00BF6A5D">
      <w:pPr>
        <w:pStyle w:val="ListParagraph"/>
        <w:numPr>
          <w:ilvl w:val="0"/>
          <w:numId w:val="10"/>
        </w:numPr>
        <w:autoSpaceDE w:val="0"/>
        <w:autoSpaceDN w:val="0"/>
        <w:adjustRightInd w:val="0"/>
      </w:pPr>
      <w:r>
        <w:t xml:space="preserve">Dna K. Oinonen, </w:t>
      </w:r>
      <w:r>
        <w:rPr>
          <w:i/>
          <w:iCs/>
        </w:rPr>
        <w:t>agent</w:t>
      </w:r>
    </w:p>
    <w:p w:rsidR="00BF6A5D" w:rsidRPr="00BF6A5D" w:rsidRDefault="00BF6A5D" w:rsidP="00BF6A5D">
      <w:pPr>
        <w:pStyle w:val="ListParagraph"/>
        <w:numPr>
          <w:ilvl w:val="0"/>
          <w:numId w:val="10"/>
        </w:numPr>
        <w:autoSpaceDE w:val="0"/>
        <w:autoSpaceDN w:val="0"/>
        <w:adjustRightInd w:val="0"/>
      </w:pPr>
      <w:r>
        <w:t>Dna K. Anttonen</w:t>
      </w:r>
    </w:p>
    <w:p w:rsidR="00BF6A5D" w:rsidRPr="00BF6A5D" w:rsidRDefault="00BF6A5D" w:rsidP="00BF6A5D">
      <w:pPr>
        <w:pStyle w:val="ListParagraph"/>
        <w:numPr>
          <w:ilvl w:val="0"/>
          <w:numId w:val="10"/>
        </w:numPr>
        <w:autoSpaceDE w:val="0"/>
        <w:autoSpaceDN w:val="0"/>
        <w:adjustRightInd w:val="0"/>
      </w:pPr>
      <w:r>
        <w:t xml:space="preserve">Dna P. Rämä, </w:t>
      </w:r>
      <w:r>
        <w:rPr>
          <w:i/>
          <w:iCs/>
        </w:rPr>
        <w:t>consilieri</w:t>
      </w:r>
    </w:p>
    <w:p w:rsidR="00BF6A5D" w:rsidRPr="00BF6A5D" w:rsidRDefault="00BF6A5D" w:rsidP="00BF6A5D">
      <w:pPr>
        <w:pStyle w:val="JuCourt"/>
      </w:pPr>
      <w:r>
        <w:t>13.</w:t>
      </w:r>
      <w:r>
        <w:tab/>
      </w:r>
      <w:r>
        <w:rPr>
          <w:b/>
        </w:rPr>
        <w:t>Franța</w:t>
      </w:r>
    </w:p>
    <w:p w:rsidR="00BF6A5D" w:rsidRPr="00BF6A5D" w:rsidRDefault="00BF6A5D" w:rsidP="00BF6A5D">
      <w:pPr>
        <w:pStyle w:val="ListParagraph"/>
        <w:numPr>
          <w:ilvl w:val="0"/>
          <w:numId w:val="11"/>
        </w:numPr>
        <w:autoSpaceDE w:val="0"/>
        <w:autoSpaceDN w:val="0"/>
        <w:adjustRightInd w:val="0"/>
      </w:pPr>
      <w:r>
        <w:t xml:space="preserve">Dl T. Stehelin, </w:t>
      </w:r>
      <w:r>
        <w:rPr>
          <w:i/>
          <w:iCs/>
        </w:rPr>
        <w:t>co-agent</w:t>
      </w:r>
    </w:p>
    <w:p w:rsidR="00BF6A5D" w:rsidRPr="00BF6A5D" w:rsidRDefault="00BF6A5D" w:rsidP="00BF6A5D">
      <w:pPr>
        <w:pStyle w:val="ListParagraph"/>
        <w:numPr>
          <w:ilvl w:val="0"/>
          <w:numId w:val="11"/>
        </w:numPr>
        <w:autoSpaceDE w:val="0"/>
        <w:autoSpaceDN w:val="0"/>
        <w:adjustRightInd w:val="0"/>
      </w:pPr>
      <w:r>
        <w:t xml:space="preserve">Dna P. </w:t>
      </w:r>
      <w:r>
        <w:rPr>
          <w:smallCaps/>
        </w:rPr>
        <w:t>Reparaz</w:t>
      </w:r>
    </w:p>
    <w:p w:rsidR="00BF6A5D" w:rsidRPr="00BF6A5D" w:rsidRDefault="00BF6A5D" w:rsidP="00BF6A5D">
      <w:pPr>
        <w:pStyle w:val="ListParagraph"/>
        <w:numPr>
          <w:ilvl w:val="0"/>
          <w:numId w:val="11"/>
        </w:numPr>
        <w:autoSpaceDE w:val="0"/>
        <w:autoSpaceDN w:val="0"/>
        <w:adjustRightInd w:val="0"/>
      </w:pPr>
      <w:r>
        <w:t xml:space="preserve">Dna Ch. </w:t>
      </w:r>
      <w:r>
        <w:rPr>
          <w:smallCaps/>
        </w:rPr>
        <w:t>Blondel</w:t>
      </w:r>
      <w:r>
        <w:t xml:space="preserve">, </w:t>
      </w:r>
      <w:r>
        <w:rPr>
          <w:i/>
        </w:rPr>
        <w:t>consilieri</w:t>
      </w:r>
    </w:p>
    <w:p w:rsidR="00BF6A5D" w:rsidRPr="00BF6A5D" w:rsidRDefault="00BF6A5D" w:rsidP="00BF6A5D">
      <w:pPr>
        <w:pStyle w:val="JuCourt"/>
      </w:pPr>
      <w:r>
        <w:t>14.</w:t>
      </w:r>
      <w:r>
        <w:tab/>
      </w:r>
      <w:r>
        <w:rPr>
          <w:b/>
        </w:rPr>
        <w:t>Regatul Unit</w:t>
      </w:r>
    </w:p>
    <w:p w:rsidR="00BF6A5D" w:rsidRPr="00BF6A5D" w:rsidRDefault="00BF6A5D" w:rsidP="00BF6A5D">
      <w:pPr>
        <w:pStyle w:val="ListParagraph"/>
        <w:numPr>
          <w:ilvl w:val="0"/>
          <w:numId w:val="31"/>
        </w:numPr>
        <w:autoSpaceDE w:val="0"/>
        <w:autoSpaceDN w:val="0"/>
        <w:adjustRightInd w:val="0"/>
      </w:pPr>
      <w:r>
        <w:t xml:space="preserve">Dna S. Macrory, </w:t>
      </w:r>
      <w:r>
        <w:rPr>
          <w:i/>
          <w:iCs/>
        </w:rPr>
        <w:t>agent</w:t>
      </w:r>
    </w:p>
    <w:p w:rsidR="00BF6A5D" w:rsidRPr="00BF6A5D" w:rsidRDefault="00BF6A5D" w:rsidP="00BF6A5D">
      <w:pPr>
        <w:pStyle w:val="ListParagraph"/>
        <w:numPr>
          <w:ilvl w:val="0"/>
          <w:numId w:val="31"/>
        </w:numPr>
        <w:autoSpaceDE w:val="0"/>
        <w:autoSpaceDN w:val="0"/>
        <w:adjustRightInd w:val="0"/>
        <w:rPr>
          <w:b/>
        </w:rPr>
      </w:pPr>
      <w:r>
        <w:rPr>
          <w:b/>
          <w:bCs/>
        </w:rPr>
        <w:t>Dl S. Swaroop</w:t>
      </w:r>
      <w:r>
        <w:t xml:space="preserve"> KC, </w:t>
      </w:r>
      <w:r>
        <w:rPr>
          <w:i/>
          <w:iCs/>
        </w:rPr>
        <w:t>consilier</w:t>
      </w:r>
    </w:p>
    <w:p w:rsidR="00BF6A5D" w:rsidRPr="00BF6A5D" w:rsidRDefault="00BF6A5D" w:rsidP="00BF6A5D">
      <w:pPr>
        <w:pStyle w:val="ListParagraph"/>
        <w:numPr>
          <w:ilvl w:val="0"/>
          <w:numId w:val="31"/>
        </w:numPr>
        <w:autoSpaceDE w:val="0"/>
        <w:autoSpaceDN w:val="0"/>
        <w:adjustRightInd w:val="0"/>
      </w:pPr>
      <w:r>
        <w:t xml:space="preserve">Dna P. Nevill, </w:t>
      </w:r>
      <w:r>
        <w:rPr>
          <w:i/>
          <w:iCs/>
        </w:rPr>
        <w:t>consilier</w:t>
      </w:r>
    </w:p>
    <w:p w:rsidR="00BF6A5D" w:rsidRPr="00BF6A5D" w:rsidRDefault="00BF6A5D" w:rsidP="00BF6A5D">
      <w:pPr>
        <w:pStyle w:val="ListParagraph"/>
        <w:numPr>
          <w:ilvl w:val="0"/>
          <w:numId w:val="31"/>
        </w:numPr>
        <w:autoSpaceDE w:val="0"/>
        <w:autoSpaceDN w:val="0"/>
        <w:adjustRightInd w:val="0"/>
      </w:pPr>
      <w:r>
        <w:t xml:space="preserve">Dna V. Bennett, </w:t>
      </w:r>
      <w:r>
        <w:rPr>
          <w:i/>
          <w:iCs/>
        </w:rPr>
        <w:t>Ministerul Energiei, Securității și Zero Net</w:t>
      </w:r>
      <w:r>
        <w:t xml:space="preserve"> , </w:t>
      </w:r>
      <w:r>
        <w:rPr>
          <w:i/>
          <w:iCs/>
        </w:rPr>
        <w:t>consilier</w:t>
      </w:r>
    </w:p>
    <w:p w:rsidR="00BF6A5D" w:rsidRPr="00BF6A5D" w:rsidRDefault="00BF6A5D" w:rsidP="00BF6A5D">
      <w:pPr>
        <w:pStyle w:val="JuCourt"/>
      </w:pPr>
      <w:r>
        <w:t>15.</w:t>
      </w:r>
      <w:r>
        <w:tab/>
      </w:r>
      <w:r>
        <w:rPr>
          <w:b/>
        </w:rPr>
        <w:t>Grecia</w:t>
      </w:r>
    </w:p>
    <w:p w:rsidR="00BF6A5D" w:rsidRPr="00BF6A5D" w:rsidRDefault="00BF6A5D" w:rsidP="00BF6A5D">
      <w:pPr>
        <w:pStyle w:val="ListParagraph"/>
        <w:numPr>
          <w:ilvl w:val="0"/>
          <w:numId w:val="13"/>
        </w:numPr>
        <w:autoSpaceDE w:val="0"/>
        <w:autoSpaceDN w:val="0"/>
        <w:adjustRightInd w:val="0"/>
      </w:pPr>
      <w:r>
        <w:t xml:space="preserve">Dna V. Pelekou, </w:t>
      </w:r>
      <w:r>
        <w:rPr>
          <w:i/>
          <w:iCs/>
        </w:rPr>
        <w:t>consilier juridic de stat</w:t>
      </w:r>
    </w:p>
    <w:p w:rsidR="00BF6A5D" w:rsidRPr="00BF6A5D" w:rsidRDefault="00BF6A5D" w:rsidP="00BF6A5D">
      <w:pPr>
        <w:pStyle w:val="ListParagraph"/>
        <w:numPr>
          <w:ilvl w:val="0"/>
          <w:numId w:val="13"/>
        </w:numPr>
        <w:autoSpaceDE w:val="0"/>
        <w:autoSpaceDN w:val="0"/>
        <w:adjustRightInd w:val="0"/>
      </w:pPr>
      <w:r>
        <w:t xml:space="preserve">Dna A. Magrippi, </w:t>
      </w:r>
      <w:r>
        <w:rPr>
          <w:i/>
          <w:iCs/>
        </w:rPr>
        <w:t>consilier</w:t>
      </w:r>
    </w:p>
    <w:p w:rsidR="00BF6A5D" w:rsidRPr="00BF6A5D" w:rsidRDefault="00BF6A5D" w:rsidP="00BF6A5D">
      <w:pPr>
        <w:pStyle w:val="JuCourt"/>
        <w:rPr>
          <w:b/>
        </w:rPr>
      </w:pPr>
      <w:r>
        <w:t>16.</w:t>
      </w:r>
      <w:r>
        <w:tab/>
      </w:r>
      <w:r>
        <w:rPr>
          <w:b/>
        </w:rPr>
        <w:t>Croația</w:t>
      </w:r>
    </w:p>
    <w:p w:rsidR="00BF6A5D" w:rsidRPr="00BF6A5D" w:rsidRDefault="00BF6A5D" w:rsidP="00BF6A5D">
      <w:pPr>
        <w:pStyle w:val="ListParagraph"/>
        <w:numPr>
          <w:ilvl w:val="0"/>
          <w:numId w:val="5"/>
        </w:numPr>
        <w:autoSpaceDE w:val="0"/>
        <w:autoSpaceDN w:val="0"/>
        <w:adjustRightInd w:val="0"/>
      </w:pPr>
      <w:r>
        <w:t xml:space="preserve">Dna Š. Stažnik, </w:t>
      </w:r>
      <w:r>
        <w:rPr>
          <w:i/>
          <w:iCs/>
        </w:rPr>
        <w:t>agent</w:t>
      </w:r>
    </w:p>
    <w:p w:rsidR="00BF6A5D" w:rsidRPr="00BF6A5D" w:rsidRDefault="00BF6A5D" w:rsidP="00BF6A5D">
      <w:pPr>
        <w:pStyle w:val="ListParagraph"/>
        <w:numPr>
          <w:ilvl w:val="0"/>
          <w:numId w:val="5"/>
        </w:numPr>
        <w:autoSpaceDE w:val="0"/>
        <w:autoSpaceDN w:val="0"/>
        <w:adjustRightInd w:val="0"/>
      </w:pPr>
      <w:r>
        <w:t xml:space="preserve">Dl D. Adesola Bankole, </w:t>
      </w:r>
      <w:r>
        <w:rPr>
          <w:i/>
          <w:iCs/>
        </w:rPr>
        <w:t>consilier</w:t>
      </w:r>
    </w:p>
    <w:p w:rsidR="00BF6A5D" w:rsidRPr="00BF6A5D" w:rsidRDefault="00BF6A5D" w:rsidP="00BF6A5D">
      <w:pPr>
        <w:pStyle w:val="JuCourt"/>
      </w:pPr>
      <w:r>
        <w:t>17.</w:t>
      </w:r>
      <w:r>
        <w:tab/>
      </w:r>
      <w:r>
        <w:rPr>
          <w:b/>
        </w:rPr>
        <w:t>Ungaria</w:t>
      </w:r>
    </w:p>
    <w:p w:rsidR="00BF6A5D" w:rsidRPr="00BF6A5D" w:rsidRDefault="00BF6A5D" w:rsidP="00BF6A5D">
      <w:pPr>
        <w:pStyle w:val="ListParagraph"/>
        <w:numPr>
          <w:ilvl w:val="0"/>
          <w:numId w:val="14"/>
        </w:numPr>
        <w:autoSpaceDE w:val="0"/>
        <w:autoSpaceDN w:val="0"/>
        <w:adjustRightInd w:val="0"/>
      </w:pPr>
      <w:r>
        <w:t xml:space="preserve">Dl Z. Tallódi, </w:t>
      </w:r>
      <w:r>
        <w:rPr>
          <w:i/>
          <w:iCs/>
        </w:rPr>
        <w:t>agent</w:t>
      </w:r>
    </w:p>
    <w:p w:rsidR="00BF6A5D" w:rsidRPr="00BF6A5D" w:rsidRDefault="00BF6A5D" w:rsidP="00BF6A5D">
      <w:pPr>
        <w:pStyle w:val="ListParagraph"/>
        <w:numPr>
          <w:ilvl w:val="0"/>
          <w:numId w:val="14"/>
        </w:numPr>
        <w:autoSpaceDE w:val="0"/>
        <w:autoSpaceDN w:val="0"/>
        <w:adjustRightInd w:val="0"/>
      </w:pPr>
      <w:r>
        <w:t xml:space="preserve">Dl D. Oravecz, </w:t>
      </w:r>
      <w:r>
        <w:rPr>
          <w:i/>
          <w:iCs/>
        </w:rPr>
        <w:t>Reprezentanța Permanentă a Ungariei pe lângă Consiliul Europei</w:t>
      </w:r>
    </w:p>
    <w:p w:rsidR="00BF6A5D" w:rsidRPr="00BF6A5D" w:rsidRDefault="00BF6A5D" w:rsidP="00BF6A5D">
      <w:pPr>
        <w:pStyle w:val="JuCourt"/>
      </w:pPr>
      <w:r>
        <w:lastRenderedPageBreak/>
        <w:t>18.</w:t>
      </w:r>
      <w:r>
        <w:tab/>
      </w:r>
      <w:r>
        <w:rPr>
          <w:b/>
        </w:rPr>
        <w:t>Irlanda</w:t>
      </w:r>
    </w:p>
    <w:p w:rsidR="00BF6A5D" w:rsidRPr="00BF6A5D" w:rsidRDefault="00BF6A5D" w:rsidP="00BF6A5D">
      <w:pPr>
        <w:pStyle w:val="ListParagraph"/>
        <w:numPr>
          <w:ilvl w:val="0"/>
          <w:numId w:val="15"/>
        </w:numPr>
        <w:autoSpaceDE w:val="0"/>
        <w:autoSpaceDN w:val="0"/>
        <w:adjustRightInd w:val="0"/>
      </w:pPr>
      <w:r>
        <w:t xml:space="preserve">Dna C. Donnelly, </w:t>
      </w:r>
      <w:r>
        <w:rPr>
          <w:i/>
          <w:iCs/>
        </w:rPr>
        <w:t>consilier</w:t>
      </w:r>
    </w:p>
    <w:p w:rsidR="00BF6A5D" w:rsidRPr="00BF6A5D" w:rsidRDefault="00BF6A5D" w:rsidP="00BF6A5D">
      <w:pPr>
        <w:pStyle w:val="ListParagraph"/>
        <w:numPr>
          <w:ilvl w:val="0"/>
          <w:numId w:val="15"/>
        </w:numPr>
        <w:autoSpaceDE w:val="0"/>
        <w:autoSpaceDN w:val="0"/>
        <w:adjustRightInd w:val="0"/>
      </w:pPr>
      <w:r>
        <w:t xml:space="preserve">Dl D. Fennelly, </w:t>
      </w:r>
      <w:r>
        <w:rPr>
          <w:i/>
          <w:iCs/>
        </w:rPr>
        <w:t>consilier</w:t>
      </w:r>
    </w:p>
    <w:p w:rsidR="00BF6A5D" w:rsidRPr="00BF6A5D" w:rsidRDefault="00BF6A5D" w:rsidP="00BF6A5D">
      <w:pPr>
        <w:pStyle w:val="ListParagraph"/>
        <w:numPr>
          <w:ilvl w:val="0"/>
          <w:numId w:val="15"/>
        </w:numPr>
        <w:autoSpaceDE w:val="0"/>
        <w:autoSpaceDN w:val="0"/>
        <w:adjustRightInd w:val="0"/>
      </w:pPr>
      <w:r>
        <w:t xml:space="preserve">Dl B. Lysaght, </w:t>
      </w:r>
      <w:r>
        <w:rPr>
          <w:i/>
          <w:iCs/>
        </w:rPr>
        <w:t>agent</w:t>
      </w:r>
    </w:p>
    <w:p w:rsidR="00BF6A5D" w:rsidRPr="00BF6A5D" w:rsidRDefault="00BF6A5D" w:rsidP="00BF6A5D">
      <w:pPr>
        <w:pStyle w:val="ListParagraph"/>
        <w:numPr>
          <w:ilvl w:val="0"/>
          <w:numId w:val="15"/>
        </w:numPr>
        <w:autoSpaceDE w:val="0"/>
        <w:autoSpaceDN w:val="0"/>
        <w:adjustRightInd w:val="0"/>
      </w:pPr>
      <w:r>
        <w:t xml:space="preserve">Dl P. Rooney, </w:t>
      </w:r>
      <w:r>
        <w:rPr>
          <w:i/>
          <w:iCs/>
        </w:rPr>
        <w:t>consilier</w:t>
      </w:r>
    </w:p>
    <w:p w:rsidR="00BF6A5D" w:rsidRPr="00BF6A5D" w:rsidRDefault="00BF6A5D" w:rsidP="00BF6A5D">
      <w:pPr>
        <w:pStyle w:val="JuCourt"/>
      </w:pPr>
      <w:r>
        <w:t>19.</w:t>
      </w:r>
      <w:r>
        <w:tab/>
      </w:r>
      <w:r>
        <w:rPr>
          <w:b/>
        </w:rPr>
        <w:t>Italia</w:t>
      </w:r>
    </w:p>
    <w:p w:rsidR="00BF6A5D" w:rsidRPr="00BF6A5D" w:rsidRDefault="00BF6A5D" w:rsidP="00BF6A5D">
      <w:pPr>
        <w:pStyle w:val="ListParagraph"/>
        <w:numPr>
          <w:ilvl w:val="0"/>
          <w:numId w:val="16"/>
        </w:numPr>
        <w:autoSpaceDE w:val="0"/>
        <w:autoSpaceDN w:val="0"/>
        <w:adjustRightInd w:val="0"/>
      </w:pPr>
      <w:r>
        <w:t xml:space="preserve">Dl L. D’Ascia - </w:t>
      </w:r>
      <w:r>
        <w:rPr>
          <w:i/>
          <w:iCs/>
        </w:rPr>
        <w:t>avocat al statului, agent</w:t>
      </w:r>
    </w:p>
    <w:p w:rsidR="00BF6A5D" w:rsidRPr="00BF6A5D" w:rsidRDefault="00BF6A5D" w:rsidP="00BF6A5D">
      <w:pPr>
        <w:pStyle w:val="ListParagraph"/>
        <w:numPr>
          <w:ilvl w:val="0"/>
          <w:numId w:val="16"/>
        </w:numPr>
        <w:autoSpaceDE w:val="0"/>
        <w:autoSpaceDN w:val="0"/>
        <w:adjustRightInd w:val="0"/>
      </w:pPr>
      <w:r>
        <w:t>Dna L. Chiussi Curzi</w:t>
      </w:r>
    </w:p>
    <w:p w:rsidR="00BF6A5D" w:rsidRPr="00BF6A5D" w:rsidRDefault="00BF6A5D" w:rsidP="00BF6A5D">
      <w:pPr>
        <w:pStyle w:val="ListParagraph"/>
        <w:numPr>
          <w:ilvl w:val="0"/>
          <w:numId w:val="16"/>
        </w:numPr>
        <w:autoSpaceDE w:val="0"/>
        <w:autoSpaceDN w:val="0"/>
        <w:adjustRightInd w:val="0"/>
      </w:pPr>
      <w:r>
        <w:t xml:space="preserve">Dl A. Dinisi, </w:t>
      </w:r>
      <w:r>
        <w:rPr>
          <w:i/>
          <w:iCs/>
        </w:rPr>
        <w:t>consilieri</w:t>
      </w:r>
    </w:p>
    <w:p w:rsidR="00BF6A5D" w:rsidRPr="00BF6A5D" w:rsidRDefault="00BF6A5D" w:rsidP="00BF6A5D">
      <w:pPr>
        <w:pStyle w:val="JuCourt"/>
      </w:pPr>
      <w:r>
        <w:t>20.</w:t>
      </w:r>
      <w:r>
        <w:tab/>
      </w:r>
      <w:r>
        <w:rPr>
          <w:b/>
        </w:rPr>
        <w:t>Lituania</w:t>
      </w:r>
    </w:p>
    <w:p w:rsidR="00BF6A5D" w:rsidRPr="00BF6A5D" w:rsidRDefault="00BF6A5D" w:rsidP="00BF6A5D">
      <w:pPr>
        <w:pStyle w:val="ListParagraph"/>
        <w:numPr>
          <w:ilvl w:val="0"/>
          <w:numId w:val="18"/>
        </w:numPr>
        <w:autoSpaceDE w:val="0"/>
        <w:autoSpaceDN w:val="0"/>
        <w:adjustRightInd w:val="0"/>
      </w:pPr>
      <w:r>
        <w:t xml:space="preserve">Dna K. </w:t>
      </w:r>
      <w:r>
        <w:rPr>
          <w:smallCaps/>
        </w:rPr>
        <w:t>Bubnytė</w:t>
      </w:r>
      <w:r>
        <w:t>-</w:t>
      </w:r>
      <w:r>
        <w:rPr>
          <w:smallCaps/>
        </w:rPr>
        <w:t>Širmenė</w:t>
      </w:r>
      <w:r>
        <w:t xml:space="preserve">, </w:t>
      </w:r>
      <w:r>
        <w:rPr>
          <w:i/>
          <w:iCs/>
        </w:rPr>
        <w:t>agent</w:t>
      </w:r>
    </w:p>
    <w:p w:rsidR="00BF6A5D" w:rsidRPr="00BF6A5D" w:rsidRDefault="00BF6A5D" w:rsidP="00BF6A5D">
      <w:pPr>
        <w:pStyle w:val="JuCourt"/>
        <w:rPr>
          <w:b/>
        </w:rPr>
      </w:pPr>
      <w:r>
        <w:t>21.</w:t>
      </w:r>
      <w:r>
        <w:tab/>
      </w:r>
      <w:r>
        <w:rPr>
          <w:b/>
        </w:rPr>
        <w:t>Luxemburg</w:t>
      </w:r>
    </w:p>
    <w:p w:rsidR="00BF6A5D" w:rsidRPr="00BF6A5D" w:rsidRDefault="00BF6A5D" w:rsidP="00BF6A5D">
      <w:pPr>
        <w:ind w:left="1440" w:hanging="360"/>
      </w:pPr>
      <w:r>
        <w:t>1.</w:t>
      </w:r>
      <w:r>
        <w:tab/>
        <w:t xml:space="preserve">Dna C. Wiseler, </w:t>
      </w:r>
      <w:r>
        <w:rPr>
          <w:i/>
          <w:iCs/>
        </w:rPr>
        <w:t>agent</w:t>
      </w:r>
    </w:p>
    <w:p w:rsidR="00BF6A5D" w:rsidRPr="00BF6A5D" w:rsidRDefault="00BF6A5D" w:rsidP="00BF6A5D">
      <w:pPr>
        <w:ind w:left="1080"/>
      </w:pPr>
      <w:r>
        <w:t>2.</w:t>
      </w:r>
      <w:r>
        <w:tab/>
        <w:t>Dna R. Spoto</w:t>
      </w:r>
    </w:p>
    <w:p w:rsidR="00BF6A5D" w:rsidRPr="00BF6A5D" w:rsidRDefault="00BF6A5D" w:rsidP="00BF6A5D">
      <w:pPr>
        <w:pStyle w:val="ListParagraph"/>
        <w:ind w:left="1080"/>
      </w:pPr>
      <w:r>
        <w:t>3.</w:t>
      </w:r>
      <w:r>
        <w:tab/>
        <w:t xml:space="preserve">Dl D. Siry, </w:t>
      </w:r>
      <w:r>
        <w:rPr>
          <w:i/>
          <w:iCs/>
        </w:rPr>
        <w:t>consilieri</w:t>
      </w:r>
    </w:p>
    <w:p w:rsidR="00BF6A5D" w:rsidRPr="00BF6A5D" w:rsidRDefault="00BF6A5D" w:rsidP="00BF6A5D">
      <w:pPr>
        <w:pStyle w:val="JuCourt"/>
      </w:pPr>
      <w:r>
        <w:t>22.</w:t>
      </w:r>
      <w:r>
        <w:tab/>
      </w:r>
      <w:r>
        <w:rPr>
          <w:b/>
        </w:rPr>
        <w:t>Letonia</w:t>
      </w:r>
    </w:p>
    <w:p w:rsidR="00BF6A5D" w:rsidRPr="00BF6A5D" w:rsidRDefault="00BF6A5D" w:rsidP="00BF6A5D">
      <w:pPr>
        <w:pStyle w:val="ListParagraph"/>
        <w:numPr>
          <w:ilvl w:val="0"/>
          <w:numId w:val="17"/>
        </w:numPr>
        <w:autoSpaceDE w:val="0"/>
        <w:autoSpaceDN w:val="0"/>
        <w:adjustRightInd w:val="0"/>
      </w:pPr>
      <w:r>
        <w:t xml:space="preserve">Dna E. L. Vītola, </w:t>
      </w:r>
      <w:r>
        <w:rPr>
          <w:i/>
          <w:iCs/>
        </w:rPr>
        <w:t>agent supleant</w:t>
      </w:r>
    </w:p>
    <w:p w:rsidR="00BF6A5D" w:rsidRPr="00BF6A5D" w:rsidRDefault="00BF6A5D" w:rsidP="00BF6A5D">
      <w:pPr>
        <w:pStyle w:val="JuCourt"/>
      </w:pPr>
      <w:r>
        <w:t>23.</w:t>
      </w:r>
      <w:r>
        <w:tab/>
      </w:r>
      <w:r>
        <w:rPr>
          <w:b/>
        </w:rPr>
        <w:t>Malta</w:t>
      </w:r>
    </w:p>
    <w:p w:rsidR="00BF6A5D" w:rsidRPr="00BF6A5D" w:rsidRDefault="00BF6A5D" w:rsidP="00BF6A5D">
      <w:pPr>
        <w:pStyle w:val="ListParagraph"/>
        <w:numPr>
          <w:ilvl w:val="0"/>
          <w:numId w:val="19"/>
        </w:numPr>
        <w:tabs>
          <w:tab w:val="left" w:pos="7088"/>
        </w:tabs>
        <w:autoSpaceDE w:val="0"/>
        <w:autoSpaceDN w:val="0"/>
        <w:adjustRightInd w:val="0"/>
      </w:pPr>
      <w:r>
        <w:t xml:space="preserve">Dl J. Vella, </w:t>
      </w:r>
      <w:r>
        <w:rPr>
          <w:i/>
          <w:iCs/>
        </w:rPr>
        <w:t>agent</w:t>
      </w:r>
    </w:p>
    <w:p w:rsidR="00BF6A5D" w:rsidRPr="00BF6A5D" w:rsidRDefault="00BF6A5D" w:rsidP="00BF6A5D">
      <w:pPr>
        <w:pStyle w:val="JuCourt"/>
      </w:pPr>
      <w:r>
        <w:t>24.</w:t>
      </w:r>
      <w:r>
        <w:tab/>
      </w:r>
      <w:r>
        <w:rPr>
          <w:b/>
        </w:rPr>
        <w:t>Țările de Jos</w:t>
      </w:r>
    </w:p>
    <w:p w:rsidR="00BF6A5D" w:rsidRPr="00BF6A5D" w:rsidRDefault="00BF6A5D" w:rsidP="00BF6A5D">
      <w:pPr>
        <w:pStyle w:val="ListParagraph"/>
        <w:numPr>
          <w:ilvl w:val="0"/>
          <w:numId w:val="20"/>
        </w:numPr>
        <w:autoSpaceDE w:val="0"/>
        <w:autoSpaceDN w:val="0"/>
        <w:adjustRightInd w:val="0"/>
      </w:pPr>
      <w:r>
        <w:rPr>
          <w:b/>
          <w:bCs/>
        </w:rPr>
        <w:t>Dl V. de Graaf</w:t>
      </w:r>
      <w:r>
        <w:t xml:space="preserve">, </w:t>
      </w:r>
      <w:r>
        <w:rPr>
          <w:i/>
          <w:iCs/>
        </w:rPr>
        <w:t>agent supleant</w:t>
      </w:r>
    </w:p>
    <w:p w:rsidR="00BF6A5D" w:rsidRPr="00BF6A5D" w:rsidRDefault="00BF6A5D" w:rsidP="00BF6A5D">
      <w:pPr>
        <w:pStyle w:val="ListParagraph"/>
        <w:numPr>
          <w:ilvl w:val="0"/>
          <w:numId w:val="20"/>
        </w:numPr>
        <w:autoSpaceDE w:val="0"/>
        <w:autoSpaceDN w:val="0"/>
        <w:adjustRightInd w:val="0"/>
      </w:pPr>
      <w:r>
        <w:t>Dl F. Tan</w:t>
      </w:r>
    </w:p>
    <w:p w:rsidR="00BF6A5D" w:rsidRPr="00BF6A5D" w:rsidRDefault="00BF6A5D" w:rsidP="00BF6A5D">
      <w:pPr>
        <w:pStyle w:val="ListParagraph"/>
        <w:numPr>
          <w:ilvl w:val="0"/>
          <w:numId w:val="20"/>
        </w:numPr>
        <w:autoSpaceDE w:val="0"/>
        <w:autoSpaceDN w:val="0"/>
        <w:adjustRightInd w:val="0"/>
      </w:pPr>
      <w:r>
        <w:t xml:space="preserve">Dna M. Duin, </w:t>
      </w:r>
      <w:r>
        <w:rPr>
          <w:i/>
          <w:iCs/>
        </w:rPr>
        <w:t>consilieri</w:t>
      </w:r>
    </w:p>
    <w:p w:rsidR="00BF6A5D" w:rsidRPr="00BF6A5D" w:rsidRDefault="00BF6A5D" w:rsidP="00BF6A5D">
      <w:pPr>
        <w:pStyle w:val="JuCourt"/>
      </w:pPr>
      <w:r>
        <w:t>25.</w:t>
      </w:r>
      <w:r>
        <w:tab/>
      </w:r>
      <w:r>
        <w:rPr>
          <w:b/>
        </w:rPr>
        <w:t>Norvegia</w:t>
      </w:r>
    </w:p>
    <w:p w:rsidR="00BF6A5D" w:rsidRPr="00BF6A5D" w:rsidRDefault="00BF6A5D" w:rsidP="00BF6A5D">
      <w:pPr>
        <w:pStyle w:val="ListParagraph"/>
        <w:numPr>
          <w:ilvl w:val="0"/>
          <w:numId w:val="21"/>
        </w:numPr>
        <w:autoSpaceDE w:val="0"/>
        <w:autoSpaceDN w:val="0"/>
        <w:adjustRightInd w:val="0"/>
      </w:pPr>
      <w:r>
        <w:t xml:space="preserve">Dna H. Busch, </w:t>
      </w:r>
      <w:r>
        <w:rPr>
          <w:i/>
          <w:iCs/>
        </w:rPr>
        <w:t>agent interimar</w:t>
      </w:r>
    </w:p>
    <w:p w:rsidR="00BF6A5D" w:rsidRPr="00BF6A5D" w:rsidRDefault="00BF6A5D" w:rsidP="00BF6A5D">
      <w:pPr>
        <w:pStyle w:val="ListParagraph"/>
        <w:numPr>
          <w:ilvl w:val="0"/>
          <w:numId w:val="21"/>
        </w:numPr>
        <w:autoSpaceDE w:val="0"/>
        <w:autoSpaceDN w:val="0"/>
        <w:adjustRightInd w:val="0"/>
      </w:pPr>
      <w:r>
        <w:t xml:space="preserve">Dna A. Rostrup Gabrielsen, </w:t>
      </w:r>
      <w:r>
        <w:rPr>
          <w:i/>
          <w:iCs/>
        </w:rPr>
        <w:t>consilier principal, Ministerul Climei și Mediului</w:t>
      </w:r>
    </w:p>
    <w:p w:rsidR="00BF6A5D" w:rsidRPr="00BF6A5D" w:rsidRDefault="00BF6A5D" w:rsidP="00BF6A5D">
      <w:pPr>
        <w:pStyle w:val="ListParagraph"/>
        <w:numPr>
          <w:ilvl w:val="0"/>
          <w:numId w:val="21"/>
        </w:numPr>
        <w:autoSpaceDE w:val="0"/>
        <w:autoSpaceDN w:val="0"/>
        <w:adjustRightInd w:val="0"/>
      </w:pPr>
      <w:r>
        <w:t xml:space="preserve">Dl D. Erlend Henriksen, </w:t>
      </w:r>
      <w:r>
        <w:rPr>
          <w:i/>
          <w:iCs/>
        </w:rPr>
        <w:t>director general adjunct, Ministerul Petrolului și Energiei</w:t>
      </w:r>
    </w:p>
    <w:p w:rsidR="00BF6A5D" w:rsidRPr="00BF6A5D" w:rsidRDefault="00BF6A5D" w:rsidP="00BF6A5D">
      <w:pPr>
        <w:pStyle w:val="ListParagraph"/>
        <w:numPr>
          <w:ilvl w:val="0"/>
          <w:numId w:val="21"/>
        </w:numPr>
        <w:autoSpaceDE w:val="0"/>
        <w:autoSpaceDN w:val="0"/>
        <w:adjustRightInd w:val="0"/>
      </w:pPr>
      <w:r>
        <w:t xml:space="preserve">Dl G. Østerman Thengs, </w:t>
      </w:r>
      <w:r>
        <w:rPr>
          <w:i/>
          <w:iCs/>
        </w:rPr>
        <w:t>consilieri</w:t>
      </w:r>
    </w:p>
    <w:p w:rsidR="00BF6A5D" w:rsidRPr="00BF6A5D" w:rsidRDefault="00BF6A5D" w:rsidP="00BF6A5D">
      <w:pPr>
        <w:pStyle w:val="JuCourt"/>
      </w:pPr>
      <w:r>
        <w:t>26.</w:t>
      </w:r>
      <w:r>
        <w:tab/>
      </w:r>
      <w:r>
        <w:rPr>
          <w:b/>
        </w:rPr>
        <w:t>Polonia</w:t>
      </w:r>
    </w:p>
    <w:p w:rsidR="00BF6A5D" w:rsidRPr="00BF6A5D" w:rsidRDefault="00BF6A5D" w:rsidP="00BF6A5D">
      <w:pPr>
        <w:pStyle w:val="ListParagraph"/>
        <w:numPr>
          <w:ilvl w:val="0"/>
          <w:numId w:val="22"/>
        </w:numPr>
        <w:autoSpaceDE w:val="0"/>
        <w:autoSpaceDN w:val="0"/>
        <w:adjustRightInd w:val="0"/>
      </w:pPr>
      <w:r>
        <w:t xml:space="preserve">Dl J. Sobczak, </w:t>
      </w:r>
      <w:r>
        <w:rPr>
          <w:i/>
          <w:iCs/>
        </w:rPr>
        <w:t>agent</w:t>
      </w:r>
    </w:p>
    <w:p w:rsidR="00BF6A5D" w:rsidRPr="00BF6A5D" w:rsidRDefault="00BF6A5D" w:rsidP="00BF6A5D">
      <w:pPr>
        <w:pStyle w:val="ListParagraph"/>
        <w:ind w:left="1440"/>
      </w:pPr>
    </w:p>
    <w:p w:rsidR="00BF6A5D" w:rsidRPr="00BF6A5D" w:rsidRDefault="00BF6A5D" w:rsidP="00BF6A5D">
      <w:pPr>
        <w:pStyle w:val="JuCourt"/>
      </w:pPr>
      <w:r>
        <w:t>27.</w:t>
      </w:r>
      <w:r>
        <w:tab/>
      </w:r>
      <w:r>
        <w:rPr>
          <w:b/>
        </w:rPr>
        <w:t>România</w:t>
      </w:r>
    </w:p>
    <w:p w:rsidR="00BF6A5D" w:rsidRPr="00BF6A5D" w:rsidRDefault="00BF6A5D" w:rsidP="00BF6A5D">
      <w:pPr>
        <w:pStyle w:val="ListParagraph"/>
        <w:numPr>
          <w:ilvl w:val="0"/>
          <w:numId w:val="24"/>
        </w:numPr>
        <w:autoSpaceDE w:val="0"/>
        <w:autoSpaceDN w:val="0"/>
        <w:adjustRightInd w:val="0"/>
      </w:pPr>
      <w:r>
        <w:t xml:space="preserve">Dna O.-F. Ezer, </w:t>
      </w:r>
      <w:r>
        <w:rPr>
          <w:i/>
          <w:iCs/>
        </w:rPr>
        <w:t>agent</w:t>
      </w:r>
    </w:p>
    <w:p w:rsidR="00BF6A5D" w:rsidRPr="00BF6A5D" w:rsidRDefault="00BF6A5D" w:rsidP="00BF6A5D">
      <w:pPr>
        <w:pStyle w:val="ListParagraph"/>
        <w:numPr>
          <w:ilvl w:val="0"/>
          <w:numId w:val="24"/>
        </w:numPr>
        <w:autoSpaceDE w:val="0"/>
        <w:autoSpaceDN w:val="0"/>
        <w:adjustRightInd w:val="0"/>
      </w:pPr>
      <w:r>
        <w:t xml:space="preserve">Dl S.-A. Purza, </w:t>
      </w:r>
      <w:r>
        <w:rPr>
          <w:i/>
          <w:iCs/>
        </w:rPr>
        <w:t>co-agent</w:t>
      </w:r>
    </w:p>
    <w:p w:rsidR="00BF6A5D" w:rsidRPr="00BF6A5D" w:rsidRDefault="00BF6A5D" w:rsidP="00BF6A5D">
      <w:pPr>
        <w:pStyle w:val="ListParagraph"/>
        <w:numPr>
          <w:ilvl w:val="0"/>
          <w:numId w:val="24"/>
        </w:numPr>
        <w:autoSpaceDE w:val="0"/>
        <w:autoSpaceDN w:val="0"/>
        <w:adjustRightInd w:val="0"/>
      </w:pPr>
      <w:r>
        <w:lastRenderedPageBreak/>
        <w:t xml:space="preserve">Dna A.-M. Bărbieru, </w:t>
      </w:r>
      <w:r>
        <w:rPr>
          <w:i/>
          <w:iCs/>
        </w:rPr>
        <w:t>co-agent</w:t>
      </w:r>
    </w:p>
    <w:p w:rsidR="00BF6A5D" w:rsidRPr="00BF6A5D" w:rsidRDefault="00BF6A5D" w:rsidP="00BF6A5D">
      <w:pPr>
        <w:pStyle w:val="ListParagraph"/>
        <w:numPr>
          <w:ilvl w:val="0"/>
          <w:numId w:val="24"/>
        </w:numPr>
        <w:autoSpaceDE w:val="0"/>
        <w:autoSpaceDN w:val="0"/>
        <w:adjustRightInd w:val="0"/>
      </w:pPr>
      <w:r>
        <w:t xml:space="preserve">Dl I. Jinga, </w:t>
      </w:r>
      <w:r>
        <w:rPr>
          <w:i/>
          <w:iCs/>
        </w:rPr>
        <w:t>Ambasador, Reprezentant Permanent al României pe lângă Consiliul Europei</w:t>
      </w:r>
    </w:p>
    <w:p w:rsidR="00BF6A5D" w:rsidRPr="00BF6A5D" w:rsidRDefault="00BF6A5D" w:rsidP="00BF6A5D">
      <w:pPr>
        <w:pStyle w:val="JuCourt"/>
      </w:pPr>
      <w:r>
        <w:t>28.</w:t>
      </w:r>
      <w:r>
        <w:tab/>
      </w:r>
      <w:r>
        <w:rPr>
          <w:b/>
          <w:bCs/>
        </w:rPr>
        <w:t>Federația Rusă</w:t>
      </w:r>
      <w:r>
        <w:t>, acest guvern nu a participat la ședință</w:t>
      </w:r>
    </w:p>
    <w:p w:rsidR="00BF6A5D" w:rsidRPr="00BF6A5D" w:rsidRDefault="00BF6A5D" w:rsidP="00BF6A5D">
      <w:pPr>
        <w:pStyle w:val="JuCourt"/>
      </w:pPr>
      <w:r>
        <w:t>29.</w:t>
      </w:r>
      <w:r>
        <w:tab/>
      </w:r>
      <w:r>
        <w:rPr>
          <w:b/>
        </w:rPr>
        <w:t>Republica Slovacă</w:t>
      </w:r>
    </w:p>
    <w:p w:rsidR="00BF6A5D" w:rsidRPr="00BF6A5D" w:rsidRDefault="00BF6A5D" w:rsidP="00BF6A5D">
      <w:pPr>
        <w:pStyle w:val="ListParagraph"/>
        <w:numPr>
          <w:ilvl w:val="0"/>
          <w:numId w:val="25"/>
        </w:numPr>
        <w:autoSpaceDE w:val="0"/>
        <w:autoSpaceDN w:val="0"/>
        <w:adjustRightInd w:val="0"/>
      </w:pPr>
      <w:r>
        <w:t xml:space="preserve">Dna M. Bálintová, </w:t>
      </w:r>
      <w:r>
        <w:rPr>
          <w:i/>
          <w:iCs/>
        </w:rPr>
        <w:t>agent</w:t>
      </w:r>
    </w:p>
    <w:p w:rsidR="00BF6A5D" w:rsidRPr="00BF6A5D" w:rsidRDefault="00BF6A5D" w:rsidP="00BF6A5D">
      <w:pPr>
        <w:pStyle w:val="ListParagraph"/>
        <w:numPr>
          <w:ilvl w:val="0"/>
          <w:numId w:val="25"/>
        </w:numPr>
        <w:autoSpaceDE w:val="0"/>
        <w:autoSpaceDN w:val="0"/>
        <w:adjustRightInd w:val="0"/>
      </w:pPr>
      <w:r>
        <w:t xml:space="preserve">Dna E. Vančová, </w:t>
      </w:r>
      <w:r>
        <w:rPr>
          <w:i/>
          <w:iCs/>
        </w:rPr>
        <w:t>consilier</w:t>
      </w:r>
    </w:p>
    <w:p w:rsidR="00BF6A5D" w:rsidRPr="00BF6A5D" w:rsidRDefault="00BF6A5D" w:rsidP="00BF6A5D">
      <w:pPr>
        <w:pStyle w:val="JuCourt"/>
      </w:pPr>
      <w:r>
        <w:t>30.</w:t>
      </w:r>
      <w:r>
        <w:tab/>
      </w:r>
      <w:r>
        <w:rPr>
          <w:b/>
        </w:rPr>
        <w:t>Slovenia</w:t>
      </w:r>
    </w:p>
    <w:p w:rsidR="00BF6A5D" w:rsidRPr="00BF6A5D" w:rsidRDefault="00BF6A5D" w:rsidP="00BF6A5D">
      <w:pPr>
        <w:pStyle w:val="ListParagraph"/>
        <w:numPr>
          <w:ilvl w:val="0"/>
          <w:numId w:val="26"/>
        </w:numPr>
        <w:autoSpaceDE w:val="0"/>
        <w:autoSpaceDN w:val="0"/>
        <w:adjustRightInd w:val="0"/>
      </w:pPr>
      <w:r>
        <w:t xml:space="preserve">Dna B. Jovin Hrastnik, </w:t>
      </w:r>
      <w:r>
        <w:rPr>
          <w:i/>
          <w:iCs/>
        </w:rPr>
        <w:t>agent</w:t>
      </w:r>
    </w:p>
    <w:p w:rsidR="00BF6A5D" w:rsidRPr="00BF6A5D" w:rsidRDefault="00BF6A5D" w:rsidP="00BF6A5D">
      <w:pPr>
        <w:pStyle w:val="ListParagraph"/>
        <w:numPr>
          <w:ilvl w:val="0"/>
          <w:numId w:val="26"/>
        </w:numPr>
        <w:autoSpaceDE w:val="0"/>
        <w:autoSpaceDN w:val="0"/>
        <w:adjustRightInd w:val="0"/>
      </w:pPr>
      <w:r>
        <w:t xml:space="preserve">Dna T. Mihelič Žitko, </w:t>
      </w:r>
      <w:r>
        <w:rPr>
          <w:i/>
          <w:iCs/>
        </w:rPr>
        <w:t>agent</w:t>
      </w:r>
    </w:p>
    <w:p w:rsidR="00BF6A5D" w:rsidRPr="00BF6A5D" w:rsidRDefault="00BF6A5D" w:rsidP="00BF6A5D">
      <w:pPr>
        <w:pStyle w:val="ListParagraph"/>
        <w:numPr>
          <w:ilvl w:val="0"/>
          <w:numId w:val="26"/>
        </w:numPr>
        <w:autoSpaceDE w:val="0"/>
        <w:autoSpaceDN w:val="0"/>
        <w:adjustRightInd w:val="0"/>
      </w:pPr>
      <w:r>
        <w:t xml:space="preserve">Dl H. Hartman, </w:t>
      </w:r>
      <w:r>
        <w:rPr>
          <w:i/>
          <w:iCs/>
        </w:rPr>
        <w:t>co-agent</w:t>
      </w:r>
    </w:p>
    <w:p w:rsidR="00BF6A5D" w:rsidRPr="00BF6A5D" w:rsidRDefault="00BF6A5D" w:rsidP="00BF6A5D">
      <w:pPr>
        <w:pStyle w:val="ListParagraph"/>
        <w:numPr>
          <w:ilvl w:val="0"/>
          <w:numId w:val="26"/>
        </w:numPr>
        <w:autoSpaceDE w:val="0"/>
        <w:autoSpaceDN w:val="0"/>
        <w:adjustRightInd w:val="0"/>
      </w:pPr>
      <w:r>
        <w:t xml:space="preserve">Dna A. Kerševan, </w:t>
      </w:r>
      <w:r>
        <w:rPr>
          <w:i/>
          <w:iCs/>
        </w:rPr>
        <w:t>consilier</w:t>
      </w:r>
    </w:p>
    <w:p w:rsidR="00BF6A5D" w:rsidRPr="00BF6A5D" w:rsidRDefault="00BF6A5D" w:rsidP="00BF6A5D">
      <w:pPr>
        <w:pStyle w:val="JuCourt"/>
      </w:pPr>
      <w:r>
        <w:t>31.</w:t>
      </w:r>
      <w:r>
        <w:tab/>
      </w:r>
      <w:r>
        <w:rPr>
          <w:b/>
        </w:rPr>
        <w:t>Suedia</w:t>
      </w:r>
    </w:p>
    <w:p w:rsidR="00BF6A5D" w:rsidRPr="00BF6A5D" w:rsidRDefault="00BF6A5D" w:rsidP="00BF6A5D">
      <w:pPr>
        <w:pStyle w:val="ListParagraph"/>
        <w:numPr>
          <w:ilvl w:val="0"/>
          <w:numId w:val="28"/>
        </w:numPr>
        <w:autoSpaceDE w:val="0"/>
        <w:autoSpaceDN w:val="0"/>
        <w:adjustRightInd w:val="0"/>
      </w:pPr>
      <w:r>
        <w:t xml:space="preserve">Dna E. Hammarskjöld, </w:t>
      </w:r>
      <w:r>
        <w:rPr>
          <w:i/>
          <w:iCs/>
        </w:rPr>
        <w:t>agent</w:t>
      </w:r>
    </w:p>
    <w:p w:rsidR="00BF6A5D" w:rsidRPr="00BF6A5D" w:rsidRDefault="00BF6A5D" w:rsidP="00BF6A5D">
      <w:pPr>
        <w:pStyle w:val="ListParagraph"/>
        <w:numPr>
          <w:ilvl w:val="0"/>
          <w:numId w:val="28"/>
        </w:numPr>
        <w:autoSpaceDE w:val="0"/>
        <w:autoSpaceDN w:val="0"/>
        <w:adjustRightInd w:val="0"/>
      </w:pPr>
      <w:r>
        <w:t xml:space="preserve">Dl D. Gillgren, </w:t>
      </w:r>
      <w:r>
        <w:rPr>
          <w:i/>
          <w:iCs/>
        </w:rPr>
        <w:t>consilier</w:t>
      </w:r>
    </w:p>
    <w:p w:rsidR="00BF6A5D" w:rsidRPr="00BF6A5D" w:rsidRDefault="00BF6A5D" w:rsidP="00BF6A5D">
      <w:pPr>
        <w:pStyle w:val="ListParagraph"/>
        <w:numPr>
          <w:ilvl w:val="0"/>
          <w:numId w:val="28"/>
        </w:numPr>
        <w:autoSpaceDE w:val="0"/>
        <w:autoSpaceDN w:val="0"/>
        <w:adjustRightInd w:val="0"/>
      </w:pPr>
      <w:r>
        <w:t xml:space="preserve">Dna A. Uppfeldt, </w:t>
      </w:r>
      <w:r>
        <w:rPr>
          <w:i/>
          <w:iCs/>
        </w:rPr>
        <w:t>consilier</w:t>
      </w:r>
    </w:p>
    <w:p w:rsidR="00BF6A5D" w:rsidRPr="00BF6A5D" w:rsidRDefault="00BF6A5D" w:rsidP="00BF6A5D">
      <w:pPr>
        <w:pStyle w:val="JuCourt"/>
      </w:pPr>
      <w:r>
        <w:t>32.</w:t>
      </w:r>
      <w:r>
        <w:tab/>
      </w:r>
      <w:r>
        <w:rPr>
          <w:b/>
        </w:rPr>
        <w:t>Turcia</w:t>
      </w:r>
    </w:p>
    <w:p w:rsidR="00BF6A5D" w:rsidRPr="00BF6A5D" w:rsidRDefault="00BF6A5D" w:rsidP="00BF6A5D">
      <w:pPr>
        <w:pStyle w:val="ListParagraph"/>
        <w:numPr>
          <w:ilvl w:val="0"/>
          <w:numId w:val="30"/>
        </w:numPr>
        <w:autoSpaceDE w:val="0"/>
        <w:autoSpaceDN w:val="0"/>
        <w:adjustRightInd w:val="0"/>
        <w:rPr>
          <w:b/>
        </w:rPr>
      </w:pPr>
      <w:r>
        <w:rPr>
          <w:b/>
          <w:bCs/>
        </w:rPr>
        <w:t>Dl H. Ali Açikgül</w:t>
      </w:r>
      <w:r>
        <w:t xml:space="preserve">, </w:t>
      </w:r>
      <w:r>
        <w:rPr>
          <w:i/>
          <w:iCs/>
        </w:rPr>
        <w:t>co-agent</w:t>
      </w:r>
    </w:p>
    <w:p w:rsidR="00BF6A5D" w:rsidRPr="00BF6A5D" w:rsidRDefault="00BF6A5D" w:rsidP="00BF6A5D">
      <w:pPr>
        <w:ind w:left="1080"/>
      </w:pPr>
      <w:r>
        <w:t>2.</w:t>
      </w:r>
      <w:r>
        <w:tab/>
        <w:t>Dl A. Müșerref Yakişik</w:t>
      </w:r>
    </w:p>
    <w:p w:rsidR="00BF6A5D" w:rsidRPr="00BF6A5D" w:rsidRDefault="00BF6A5D" w:rsidP="00BF6A5D">
      <w:pPr>
        <w:pStyle w:val="ListParagraph"/>
        <w:numPr>
          <w:ilvl w:val="0"/>
          <w:numId w:val="29"/>
        </w:numPr>
        <w:autoSpaceDE w:val="0"/>
        <w:autoSpaceDN w:val="0"/>
        <w:adjustRightInd w:val="0"/>
      </w:pPr>
      <w:r>
        <w:t>Dna F. Yildirim</w:t>
      </w:r>
    </w:p>
    <w:p w:rsidR="00BF6A5D" w:rsidRPr="00BF6A5D" w:rsidRDefault="00BF6A5D" w:rsidP="00BF6A5D">
      <w:pPr>
        <w:pStyle w:val="ListParagraph"/>
        <w:numPr>
          <w:ilvl w:val="0"/>
          <w:numId w:val="29"/>
        </w:numPr>
        <w:autoSpaceDE w:val="0"/>
        <w:autoSpaceDN w:val="0"/>
        <w:adjustRightInd w:val="0"/>
      </w:pPr>
      <w:r>
        <w:t xml:space="preserve">Dna E. Ünal, </w:t>
      </w:r>
      <w:r>
        <w:rPr>
          <w:i/>
          <w:iCs/>
        </w:rPr>
        <w:t>consilieri</w:t>
      </w:r>
    </w:p>
    <w:p w:rsidR="00BF6A5D" w:rsidRPr="00BF6A5D" w:rsidRDefault="00BF6A5D" w:rsidP="00BF6A5D">
      <w:pPr>
        <w:pStyle w:val="JuCourt"/>
      </w:pPr>
      <w:r>
        <w:t>33.</w:t>
      </w:r>
      <w:r>
        <w:tab/>
      </w:r>
      <w:r>
        <w:rPr>
          <w:b/>
          <w:bCs/>
        </w:rPr>
        <w:t>Ucraina</w:t>
      </w:r>
      <w:r>
        <w:t>, acest guvern nu a participat la ședință.</w:t>
      </w:r>
    </w:p>
    <w:p w:rsidR="00BF6A5D" w:rsidRPr="00BF6A5D" w:rsidRDefault="00BF6A5D" w:rsidP="00BF6A5D"/>
    <w:p w:rsidR="00BF6A5D" w:rsidRPr="00BF6A5D" w:rsidRDefault="00BF6A5D" w:rsidP="00BF6A5D">
      <w:pPr>
        <w:tabs>
          <w:tab w:val="left" w:pos="6237"/>
        </w:tabs>
        <w:rPr>
          <w:b/>
          <w:u w:val="single"/>
        </w:rPr>
      </w:pPr>
      <w:r>
        <w:rPr>
          <w:b/>
          <w:u w:val="single"/>
        </w:rPr>
        <w:t>Pentru reclamanți</w:t>
      </w:r>
    </w:p>
    <w:p w:rsidR="00BF6A5D" w:rsidRPr="00BF6A5D" w:rsidRDefault="00BF6A5D" w:rsidP="00BF6A5D">
      <w:pPr>
        <w:pStyle w:val="JuCourt"/>
      </w:pPr>
    </w:p>
    <w:p w:rsidR="00BF6A5D" w:rsidRPr="00BF6A5D" w:rsidRDefault="00BF6A5D" w:rsidP="00BF6A5D">
      <w:pPr>
        <w:jc w:val="both"/>
        <w:rPr>
          <w:i/>
        </w:rPr>
      </w:pPr>
      <w:r>
        <w:rPr>
          <w:i/>
        </w:rPr>
        <w:t>Numele persoanelor care au luat cuvântul în numele reclamanților este scris cu caractere aldine.</w:t>
      </w:r>
    </w:p>
    <w:p w:rsidR="00BF6A5D" w:rsidRPr="00BF6A5D" w:rsidRDefault="00BF6A5D" w:rsidP="00BF6A5D">
      <w:pPr>
        <w:tabs>
          <w:tab w:val="left" w:pos="6237"/>
        </w:tabs>
        <w:rPr>
          <w:b/>
          <w:u w:val="single"/>
        </w:rPr>
      </w:pPr>
    </w:p>
    <w:p w:rsidR="00BF6A5D" w:rsidRPr="00BF6A5D" w:rsidRDefault="00BF6A5D" w:rsidP="00BF6A5D">
      <w:pPr>
        <w:pStyle w:val="ListParagraph"/>
        <w:numPr>
          <w:ilvl w:val="0"/>
          <w:numId w:val="32"/>
        </w:numPr>
        <w:tabs>
          <w:tab w:val="left" w:pos="6237"/>
        </w:tabs>
        <w:autoSpaceDE w:val="0"/>
        <w:autoSpaceDN w:val="0"/>
        <w:adjustRightInd w:val="0"/>
        <w:rPr>
          <w:b/>
        </w:rPr>
      </w:pPr>
      <w:r>
        <w:rPr>
          <w:b/>
        </w:rPr>
        <w:t>Reprezentanții reclamanților:</w:t>
      </w:r>
    </w:p>
    <w:p w:rsidR="00BF6A5D" w:rsidRPr="00BF6A5D" w:rsidRDefault="00BF6A5D" w:rsidP="00BF6A5D">
      <w:pPr>
        <w:pStyle w:val="ListParagraph"/>
        <w:numPr>
          <w:ilvl w:val="0"/>
          <w:numId w:val="33"/>
        </w:numPr>
        <w:autoSpaceDE w:val="0"/>
        <w:autoSpaceDN w:val="0"/>
        <w:adjustRightInd w:val="0"/>
        <w:rPr>
          <w:b/>
        </w:rPr>
      </w:pPr>
      <w:r>
        <w:rPr>
          <w:b/>
          <w:bCs/>
        </w:rPr>
        <w:t>Dna A. Macdonald</w:t>
      </w:r>
      <w:r>
        <w:t xml:space="preserve"> KC, </w:t>
      </w:r>
      <w:r>
        <w:rPr>
          <w:i/>
          <w:iCs/>
        </w:rPr>
        <w:t>consilier</w:t>
      </w:r>
    </w:p>
    <w:p w:rsidR="00BF6A5D" w:rsidRPr="00BF6A5D" w:rsidRDefault="00BF6A5D" w:rsidP="00BF6A5D">
      <w:pPr>
        <w:pStyle w:val="ListParagraph"/>
        <w:numPr>
          <w:ilvl w:val="0"/>
          <w:numId w:val="33"/>
        </w:numPr>
        <w:autoSpaceDE w:val="0"/>
        <w:autoSpaceDN w:val="0"/>
        <w:adjustRightInd w:val="0"/>
        <w:rPr>
          <w:b/>
        </w:rPr>
      </w:pPr>
      <w:r>
        <w:rPr>
          <w:b/>
          <w:bCs/>
        </w:rPr>
        <w:t>Dna A. Sander</w:t>
      </w:r>
      <w:r>
        <w:t xml:space="preserve">, </w:t>
      </w:r>
      <w:r>
        <w:rPr>
          <w:i/>
          <w:iCs/>
        </w:rPr>
        <w:t>consilier</w:t>
      </w:r>
    </w:p>
    <w:p w:rsidR="00BF6A5D" w:rsidRPr="00BF6A5D" w:rsidRDefault="00BF6A5D" w:rsidP="00BF6A5D">
      <w:pPr>
        <w:pStyle w:val="ListParagraph"/>
        <w:numPr>
          <w:ilvl w:val="0"/>
          <w:numId w:val="33"/>
        </w:numPr>
        <w:autoSpaceDE w:val="0"/>
        <w:autoSpaceDN w:val="0"/>
        <w:adjustRightInd w:val="0"/>
      </w:pPr>
      <w:r>
        <w:t>Dl L. Tattersall</w:t>
      </w:r>
    </w:p>
    <w:p w:rsidR="00BF6A5D" w:rsidRPr="00BF6A5D" w:rsidRDefault="00BF6A5D" w:rsidP="00BF6A5D">
      <w:pPr>
        <w:pStyle w:val="ListParagraph"/>
        <w:numPr>
          <w:ilvl w:val="0"/>
          <w:numId w:val="33"/>
        </w:numPr>
        <w:autoSpaceDE w:val="0"/>
        <w:autoSpaceDN w:val="0"/>
        <w:adjustRightInd w:val="0"/>
      </w:pPr>
      <w:r>
        <w:t>Dl J. Jackson</w:t>
      </w:r>
    </w:p>
    <w:p w:rsidR="00BF6A5D" w:rsidRPr="00BF6A5D" w:rsidRDefault="00BF6A5D" w:rsidP="00BF6A5D">
      <w:pPr>
        <w:pStyle w:val="ListParagraph"/>
        <w:numPr>
          <w:ilvl w:val="0"/>
          <w:numId w:val="33"/>
        </w:numPr>
        <w:autoSpaceDE w:val="0"/>
        <w:autoSpaceDN w:val="0"/>
        <w:adjustRightInd w:val="0"/>
      </w:pPr>
      <w:r>
        <w:t>Dl P. Clark</w:t>
      </w:r>
    </w:p>
    <w:p w:rsidR="00BF6A5D" w:rsidRPr="00BF6A5D" w:rsidRDefault="00BF6A5D" w:rsidP="00BF6A5D">
      <w:pPr>
        <w:pStyle w:val="ListParagraph"/>
        <w:numPr>
          <w:ilvl w:val="0"/>
          <w:numId w:val="33"/>
        </w:numPr>
        <w:autoSpaceDE w:val="0"/>
        <w:autoSpaceDN w:val="0"/>
        <w:adjustRightInd w:val="0"/>
      </w:pPr>
      <w:r>
        <w:t xml:space="preserve">Dl R. Reynolds, </w:t>
      </w:r>
      <w:r>
        <w:rPr>
          <w:i/>
          <w:iCs/>
        </w:rPr>
        <w:t>consilieri</w:t>
      </w:r>
    </w:p>
    <w:p w:rsidR="00BF6A5D" w:rsidRPr="00BF6A5D" w:rsidRDefault="00BF6A5D" w:rsidP="00BF6A5D">
      <w:pPr>
        <w:pStyle w:val="ListParagraph"/>
        <w:ind w:left="1440"/>
      </w:pPr>
    </w:p>
    <w:p w:rsidR="00BF6A5D" w:rsidRPr="00BF6A5D" w:rsidRDefault="00BF6A5D" w:rsidP="00BF6A5D">
      <w:pPr>
        <w:pStyle w:val="ListParagraph"/>
        <w:numPr>
          <w:ilvl w:val="0"/>
          <w:numId w:val="32"/>
        </w:numPr>
        <w:tabs>
          <w:tab w:val="left" w:pos="6237"/>
        </w:tabs>
        <w:autoSpaceDE w:val="0"/>
        <w:autoSpaceDN w:val="0"/>
        <w:adjustRightInd w:val="0"/>
        <w:rPr>
          <w:b/>
        </w:rPr>
      </w:pPr>
      <w:r>
        <w:rPr>
          <w:b/>
        </w:rPr>
        <w:t>Reclamanți</w:t>
      </w:r>
    </w:p>
    <w:p w:rsidR="00BF6A5D" w:rsidRPr="00BF6A5D" w:rsidRDefault="00BF6A5D" w:rsidP="00BF6A5D">
      <w:pPr>
        <w:pStyle w:val="ListParagraph"/>
        <w:numPr>
          <w:ilvl w:val="0"/>
          <w:numId w:val="34"/>
        </w:numPr>
        <w:autoSpaceDE w:val="0"/>
        <w:autoSpaceDN w:val="0"/>
        <w:adjustRightInd w:val="0"/>
      </w:pPr>
      <w:r>
        <w:t>Dna C. Duarte Agostinho</w:t>
      </w:r>
    </w:p>
    <w:p w:rsidR="00BF6A5D" w:rsidRPr="00BF6A5D" w:rsidRDefault="00BF6A5D" w:rsidP="00BF6A5D">
      <w:pPr>
        <w:pStyle w:val="ListParagraph"/>
        <w:numPr>
          <w:ilvl w:val="0"/>
          <w:numId w:val="34"/>
        </w:numPr>
        <w:autoSpaceDE w:val="0"/>
        <w:autoSpaceDN w:val="0"/>
        <w:adjustRightInd w:val="0"/>
      </w:pPr>
      <w:r>
        <w:lastRenderedPageBreak/>
        <w:t>Dna C. dos Santos Mota</w:t>
      </w:r>
    </w:p>
    <w:p w:rsidR="00BF6A5D" w:rsidRPr="00BF6A5D" w:rsidRDefault="00BF6A5D" w:rsidP="00BF6A5D">
      <w:pPr>
        <w:pStyle w:val="ListParagraph"/>
        <w:numPr>
          <w:ilvl w:val="0"/>
          <w:numId w:val="34"/>
        </w:numPr>
        <w:autoSpaceDE w:val="0"/>
        <w:autoSpaceDN w:val="0"/>
        <w:adjustRightInd w:val="0"/>
      </w:pPr>
      <w:r>
        <w:t>Dl M. Duarte Agostinho</w:t>
      </w:r>
    </w:p>
    <w:p w:rsidR="00BF6A5D" w:rsidRPr="00BF6A5D" w:rsidRDefault="00BF6A5D" w:rsidP="00BF6A5D">
      <w:pPr>
        <w:pStyle w:val="ListParagraph"/>
        <w:numPr>
          <w:ilvl w:val="0"/>
          <w:numId w:val="34"/>
        </w:numPr>
        <w:autoSpaceDE w:val="0"/>
        <w:autoSpaceDN w:val="0"/>
        <w:adjustRightInd w:val="0"/>
      </w:pPr>
      <w:r>
        <w:t>Dna S. dos Santos Oliveira</w:t>
      </w:r>
    </w:p>
    <w:p w:rsidR="00BF6A5D" w:rsidRPr="00BF6A5D" w:rsidRDefault="00BF6A5D" w:rsidP="00BF6A5D">
      <w:pPr>
        <w:pStyle w:val="ListParagraph"/>
        <w:numPr>
          <w:ilvl w:val="0"/>
          <w:numId w:val="34"/>
        </w:numPr>
        <w:autoSpaceDE w:val="0"/>
        <w:autoSpaceDN w:val="0"/>
        <w:adjustRightInd w:val="0"/>
      </w:pPr>
      <w:r>
        <w:t>Dl A. dos Santos Oliveira</w:t>
      </w:r>
    </w:p>
    <w:p w:rsidR="00BF6A5D" w:rsidRPr="00BF6A5D" w:rsidRDefault="00BF6A5D" w:rsidP="00BF6A5D">
      <w:pPr>
        <w:pStyle w:val="ListParagraph"/>
        <w:numPr>
          <w:ilvl w:val="0"/>
          <w:numId w:val="34"/>
        </w:numPr>
        <w:autoSpaceDE w:val="0"/>
        <w:autoSpaceDN w:val="0"/>
        <w:adjustRightInd w:val="0"/>
      </w:pPr>
      <w:r>
        <w:t>Dna M. Duarte Agostinho</w:t>
      </w:r>
    </w:p>
    <w:p w:rsidR="00BF6A5D" w:rsidRPr="00BF6A5D" w:rsidRDefault="00BF6A5D" w:rsidP="00BF6A5D">
      <w:pPr>
        <w:tabs>
          <w:tab w:val="left" w:pos="6237"/>
        </w:tabs>
        <w:rPr>
          <w:b/>
          <w:u w:val="single"/>
        </w:rPr>
      </w:pPr>
    </w:p>
    <w:p w:rsidR="00BF6A5D" w:rsidRPr="00BF6A5D" w:rsidRDefault="00BF6A5D" w:rsidP="00BF6A5D">
      <w:pPr>
        <w:pStyle w:val="JuCourt"/>
        <w:rPr>
          <w:b/>
          <w:bCs/>
          <w:u w:val="single"/>
        </w:rPr>
      </w:pPr>
      <w:r>
        <w:rPr>
          <w:b/>
          <w:u w:val="single"/>
        </w:rPr>
        <w:t>Pentru terți</w:t>
      </w:r>
    </w:p>
    <w:p w:rsidR="00BF6A5D" w:rsidRPr="00BF6A5D" w:rsidRDefault="00BF6A5D" w:rsidP="00BF6A5D">
      <w:pPr>
        <w:jc w:val="both"/>
        <w:rPr>
          <w:i/>
        </w:rPr>
      </w:pPr>
    </w:p>
    <w:p w:rsidR="00BF6A5D" w:rsidRPr="00BF6A5D" w:rsidRDefault="00BF6A5D" w:rsidP="00BF6A5D">
      <w:pPr>
        <w:jc w:val="both"/>
        <w:rPr>
          <w:i/>
        </w:rPr>
      </w:pPr>
      <w:r>
        <w:rPr>
          <w:i/>
        </w:rPr>
        <w:t>Numele persoanelor care au luat cuvântul în numele terților sunt scrise cu caractere aldine.</w:t>
      </w:r>
    </w:p>
    <w:p w:rsidR="00BF6A5D" w:rsidRPr="00BF6A5D" w:rsidRDefault="00BF6A5D" w:rsidP="00BF6A5D">
      <w:pPr>
        <w:tabs>
          <w:tab w:val="left" w:pos="6237"/>
        </w:tabs>
        <w:ind w:firstLine="284"/>
        <w:rPr>
          <w:b/>
        </w:rPr>
      </w:pPr>
    </w:p>
    <w:p w:rsidR="00BF6A5D" w:rsidRPr="00BF6A5D" w:rsidRDefault="00BF6A5D" w:rsidP="00BF6A5D">
      <w:pPr>
        <w:pStyle w:val="JuCourt"/>
        <w:rPr>
          <w:b/>
        </w:rPr>
      </w:pPr>
      <w:r>
        <w:t>1</w:t>
      </w:r>
      <w:r>
        <w:rPr>
          <w:b/>
        </w:rPr>
        <w:t>. Biroul Comisarului pentru Drepturile Omului al Consiliului Europei</w:t>
      </w:r>
    </w:p>
    <w:p w:rsidR="00BF6A5D" w:rsidRPr="00BF6A5D" w:rsidRDefault="00BF6A5D" w:rsidP="00BF6A5D">
      <w:pPr>
        <w:pStyle w:val="ListParagraph"/>
        <w:numPr>
          <w:ilvl w:val="0"/>
          <w:numId w:val="35"/>
        </w:numPr>
        <w:autoSpaceDE w:val="0"/>
        <w:autoSpaceDN w:val="0"/>
        <w:adjustRightInd w:val="0"/>
        <w:rPr>
          <w:b/>
          <w:i/>
        </w:rPr>
      </w:pPr>
      <w:r>
        <w:rPr>
          <w:b/>
          <w:bCs/>
        </w:rPr>
        <w:t>Dna</w:t>
      </w:r>
      <w:r>
        <w:rPr>
          <w:b/>
        </w:rPr>
        <w:t xml:space="preserve"> D. </w:t>
      </w:r>
      <w:r>
        <w:rPr>
          <w:b/>
          <w:smallCaps/>
        </w:rPr>
        <w:t>Mijatović</w:t>
      </w:r>
      <w:r>
        <w:t xml:space="preserve">, </w:t>
      </w:r>
      <w:r>
        <w:rPr>
          <w:i/>
        </w:rPr>
        <w:t>Comisarul pentru Drepturile Omului al Consiliului Europei</w:t>
      </w:r>
    </w:p>
    <w:p w:rsidR="00BF6A5D" w:rsidRPr="00BF6A5D" w:rsidRDefault="00BF6A5D" w:rsidP="00BF6A5D">
      <w:pPr>
        <w:pStyle w:val="ListParagraph"/>
        <w:numPr>
          <w:ilvl w:val="0"/>
          <w:numId w:val="35"/>
        </w:numPr>
        <w:autoSpaceDE w:val="0"/>
        <w:autoSpaceDN w:val="0"/>
        <w:adjustRightInd w:val="0"/>
      </w:pPr>
      <w:r>
        <w:t xml:space="preserve">Dl A. </w:t>
      </w:r>
      <w:r>
        <w:rPr>
          <w:smallCaps/>
        </w:rPr>
        <w:t>Mancewicz</w:t>
      </w:r>
    </w:p>
    <w:p w:rsidR="00BF6A5D" w:rsidRPr="00BF6A5D" w:rsidRDefault="00BF6A5D" w:rsidP="00BF6A5D">
      <w:pPr>
        <w:pStyle w:val="ListParagraph"/>
        <w:numPr>
          <w:ilvl w:val="0"/>
          <w:numId w:val="35"/>
        </w:numPr>
        <w:autoSpaceDE w:val="0"/>
        <w:autoSpaceDN w:val="0"/>
        <w:adjustRightInd w:val="0"/>
      </w:pPr>
      <w:r>
        <w:t xml:space="preserve">Dl </w:t>
      </w:r>
      <w:r>
        <w:rPr>
          <w:smallCaps/>
        </w:rPr>
        <w:t>M. Birker</w:t>
      </w:r>
      <w:r>
        <w:t xml:space="preserve">, </w:t>
      </w:r>
      <w:r>
        <w:rPr>
          <w:i/>
        </w:rPr>
        <w:t>consilieri</w:t>
      </w:r>
    </w:p>
    <w:p w:rsidR="00BF6A5D" w:rsidRPr="00BF6A5D" w:rsidRDefault="00BF6A5D" w:rsidP="00BF6A5D">
      <w:pPr>
        <w:rPr>
          <w:b/>
        </w:rPr>
      </w:pPr>
    </w:p>
    <w:p w:rsidR="00BF6A5D" w:rsidRPr="00BF6A5D" w:rsidRDefault="00BF6A5D" w:rsidP="00BF6A5D">
      <w:pPr>
        <w:pStyle w:val="JuCourt"/>
      </w:pPr>
      <w:r>
        <w:t xml:space="preserve">2. </w:t>
      </w:r>
      <w:r>
        <w:rPr>
          <w:b/>
        </w:rPr>
        <w:t>Comisia Europeană:</w:t>
      </w:r>
    </w:p>
    <w:p w:rsidR="00BF6A5D" w:rsidRPr="00BF6A5D" w:rsidRDefault="00BF6A5D" w:rsidP="00BF6A5D">
      <w:pPr>
        <w:pStyle w:val="ListParagraph"/>
        <w:numPr>
          <w:ilvl w:val="0"/>
          <w:numId w:val="36"/>
        </w:numPr>
        <w:autoSpaceDE w:val="0"/>
        <w:autoSpaceDN w:val="0"/>
        <w:adjustRightInd w:val="0"/>
      </w:pPr>
      <w:r>
        <w:rPr>
          <w:b/>
          <w:bCs/>
        </w:rPr>
        <w:t>Dl D. Calleja Crespo</w:t>
      </w:r>
      <w:r>
        <w:t xml:space="preserve">, </w:t>
      </w:r>
      <w:r>
        <w:rPr>
          <w:i/>
          <w:iCs/>
        </w:rPr>
        <w:t>director general al Serviciului juridic, Comisia Europeană</w:t>
      </w:r>
    </w:p>
    <w:p w:rsidR="00BF6A5D" w:rsidRPr="00BF6A5D" w:rsidRDefault="00BF6A5D" w:rsidP="00BF6A5D">
      <w:pPr>
        <w:pStyle w:val="ListParagraph"/>
        <w:numPr>
          <w:ilvl w:val="0"/>
          <w:numId w:val="36"/>
        </w:numPr>
        <w:autoSpaceDE w:val="0"/>
        <w:autoSpaceDN w:val="0"/>
        <w:adjustRightInd w:val="0"/>
      </w:pPr>
      <w:r>
        <w:t>Dna K. Talabér-Ritz</w:t>
      </w:r>
    </w:p>
    <w:p w:rsidR="00BF6A5D" w:rsidRPr="00BF6A5D" w:rsidRDefault="00BF6A5D" w:rsidP="00BF6A5D">
      <w:pPr>
        <w:pStyle w:val="ListParagraph"/>
        <w:numPr>
          <w:ilvl w:val="0"/>
          <w:numId w:val="36"/>
        </w:numPr>
        <w:autoSpaceDE w:val="0"/>
        <w:autoSpaceDN w:val="0"/>
        <w:adjustRightInd w:val="0"/>
      </w:pPr>
      <w:r>
        <w:t xml:space="preserve">Dna M. Carpus-Carcea, </w:t>
      </w:r>
      <w:r>
        <w:rPr>
          <w:i/>
          <w:iCs/>
        </w:rPr>
        <w:t>consilieri</w:t>
      </w:r>
    </w:p>
    <w:p w:rsidR="00BF6A5D" w:rsidRPr="00BF6A5D" w:rsidRDefault="00BF6A5D" w:rsidP="00BF6A5D">
      <w:pPr>
        <w:tabs>
          <w:tab w:val="left" w:pos="6237"/>
        </w:tabs>
      </w:pPr>
    </w:p>
    <w:p w:rsidR="00BF6A5D" w:rsidRPr="00BF6A5D" w:rsidRDefault="00BF6A5D" w:rsidP="00BF6A5D">
      <w:pPr>
        <w:tabs>
          <w:tab w:val="left" w:pos="6237"/>
        </w:tabs>
        <w:rPr>
          <w:b/>
          <w:bCs/>
          <w:u w:val="single"/>
        </w:rPr>
      </w:pPr>
      <w:r>
        <w:t xml:space="preserve">3. </w:t>
      </w:r>
      <w:r>
        <w:rPr>
          <w:b/>
          <w:u w:val="single"/>
        </w:rPr>
        <w:t>ENNHRI:</w:t>
      </w:r>
    </w:p>
    <w:p w:rsidR="00BF6A5D" w:rsidRPr="00BF6A5D" w:rsidRDefault="00BF6A5D" w:rsidP="00BF6A5D">
      <w:pPr>
        <w:pStyle w:val="ListParagraph"/>
        <w:numPr>
          <w:ilvl w:val="0"/>
          <w:numId w:val="37"/>
        </w:numPr>
        <w:autoSpaceDE w:val="0"/>
        <w:autoSpaceDN w:val="0"/>
        <w:adjustRightInd w:val="0"/>
      </w:pPr>
      <w:r>
        <w:rPr>
          <w:b/>
          <w:bCs/>
        </w:rPr>
        <w:t>Dna A. Matheson Mestad</w:t>
      </w:r>
      <w:r>
        <w:t xml:space="preserve">, </w:t>
      </w:r>
      <w:r>
        <w:rPr>
          <w:i/>
          <w:iCs/>
        </w:rPr>
        <w:t>director Institutul Norvegian pentru Drepturile Omului, consilier</w:t>
      </w:r>
    </w:p>
    <w:p w:rsidR="00BF6A5D" w:rsidRPr="00BF6A5D" w:rsidRDefault="00BF6A5D" w:rsidP="00BF6A5D">
      <w:pPr>
        <w:pStyle w:val="ListParagraph"/>
        <w:numPr>
          <w:ilvl w:val="0"/>
          <w:numId w:val="37"/>
        </w:numPr>
        <w:autoSpaceDE w:val="0"/>
        <w:autoSpaceDN w:val="0"/>
        <w:adjustRightInd w:val="0"/>
      </w:pPr>
      <w:r>
        <w:t>Dna K. Sulyok, președinte Grupul de lucru al ENNHRI privind criza climatică și drepturile omului</w:t>
      </w:r>
    </w:p>
    <w:p w:rsidR="00BF6A5D" w:rsidRPr="00BF6A5D" w:rsidRDefault="00BF6A5D" w:rsidP="00BF6A5D">
      <w:pPr>
        <w:pStyle w:val="ListParagraph"/>
        <w:numPr>
          <w:ilvl w:val="0"/>
          <w:numId w:val="37"/>
        </w:numPr>
        <w:autoSpaceDE w:val="0"/>
        <w:autoSpaceDN w:val="0"/>
        <w:adjustRightInd w:val="0"/>
      </w:pPr>
      <w:r>
        <w:t xml:space="preserve">Dna H.C. Brænden, </w:t>
      </w:r>
      <w:r>
        <w:rPr>
          <w:i/>
          <w:iCs/>
        </w:rPr>
        <w:t>consilier</w:t>
      </w:r>
    </w:p>
    <w:p w:rsidR="00BF6A5D" w:rsidRPr="00BF6A5D" w:rsidRDefault="00BF6A5D" w:rsidP="00BF6A5D">
      <w:pPr>
        <w:pStyle w:val="ListParagraph"/>
        <w:numPr>
          <w:ilvl w:val="0"/>
          <w:numId w:val="37"/>
        </w:numPr>
        <w:autoSpaceDE w:val="0"/>
        <w:autoSpaceDN w:val="0"/>
        <w:adjustRightInd w:val="0"/>
      </w:pPr>
      <w:r>
        <w:t xml:space="preserve">Dl P. W. Dawson, </w:t>
      </w:r>
      <w:r>
        <w:rPr>
          <w:i/>
          <w:iCs/>
        </w:rPr>
        <w:t>consilier</w:t>
      </w:r>
    </w:p>
    <w:p w:rsidR="00836AA2" w:rsidRPr="00BF6A5D" w:rsidRDefault="00836AA2" w:rsidP="00BF6A5D">
      <w:pPr>
        <w:pStyle w:val="DecHCase"/>
        <w:keepNext w:val="0"/>
        <w:keepLines w:val="0"/>
        <w:jc w:val="left"/>
      </w:pPr>
    </w:p>
    <w:sectPr w:rsidR="00836AA2" w:rsidRPr="00BF6A5D" w:rsidSect="006410EC">
      <w:headerReference w:type="even" r:id="rId15"/>
      <w:headerReference w:type="default" r:id="rId16"/>
      <w:footerReference w:type="even" r:id="rId17"/>
      <w:footerReference w:type="default" r:id="rId18"/>
      <w:footnotePr>
        <w:numRestart w:val="eachSect"/>
      </w:footnotePr>
      <w:endnotePr>
        <w:numFmt w:val="decimal"/>
      </w:endnotePr>
      <w:pgSz w:w="11906" w:h="16838" w:code="9"/>
      <w:pgMar w:top="2274" w:right="2274" w:bottom="2274" w:left="2274" w:header="1417"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E07" w:rsidRDefault="006D3E07">
      <w:r>
        <w:separator/>
      </w:r>
    </w:p>
  </w:endnote>
  <w:endnote w:type="continuationSeparator" w:id="0">
    <w:p w:rsidR="006D3E07" w:rsidRDefault="006D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Default="009079C0">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jc w:val="center"/>
    </w:pPr>
    <w:r>
      <w:rPr>
        <w:noProof/>
        <w:lang w:eastAsia="ro-RO"/>
      </w:rPr>
      <w:drawing>
        <wp:inline distT="0" distB="0" distL="0" distR="0" wp14:anchorId="5CA67EBF" wp14:editId="7A594956">
          <wp:extent cx="771525" cy="619125"/>
          <wp:effectExtent l="0" t="0" r="9525" b="9525"/>
          <wp:docPr id="14" name="Picture 1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79C0" w:rsidRPr="00BF6A5D" w:rsidRDefault="009079C0" w:rsidP="00BF6A5D"/>
  <w:p w:rsidR="009079C0" w:rsidRPr="00BF6A5D" w:rsidRDefault="009079C0" w:rsidP="00BF6A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jc w:val="center"/>
    </w:pPr>
    <w:r>
      <w:rPr>
        <w:noProof/>
        <w:lang w:eastAsia="ro-RO"/>
      </w:rPr>
      <w:drawing>
        <wp:inline distT="0" distB="0" distL="0" distR="0" wp14:anchorId="055FF2FB" wp14:editId="4CF93FC1">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79C0" w:rsidRPr="00BF6A5D" w:rsidRDefault="009079C0" w:rsidP="00BF6A5D">
    <w:pPr>
      <w:pStyle w:val="Footer0"/>
      <w:jc w:val="center"/>
      <w:rPr>
        <w:sz w:val="4"/>
        <w:szCs w:val="4"/>
      </w:rPr>
    </w:pPr>
  </w:p>
  <w:p w:rsidR="009079C0" w:rsidRPr="00BF6A5D" w:rsidRDefault="009079C0" w:rsidP="00BF6A5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pStyle w:val="JuHeader"/>
    </w:pPr>
    <w:r w:rsidRPr="00BF6A5D">
      <w:fldChar w:fldCharType="begin"/>
    </w:r>
    <w:r w:rsidRPr="00BF6A5D">
      <w:instrText xml:space="preserve"> PAGE </w:instrText>
    </w:r>
    <w:r w:rsidRPr="00BF6A5D">
      <w:fldChar w:fldCharType="separate"/>
    </w:r>
    <w:r w:rsidRPr="00BF6A5D">
      <w:t>18</w:t>
    </w:r>
    <w:r w:rsidRPr="00BF6A5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pStyle w:val="JuHeader"/>
    </w:pPr>
    <w:r w:rsidRPr="00BF6A5D">
      <w:fldChar w:fldCharType="begin"/>
    </w:r>
    <w:r w:rsidRPr="00BF6A5D">
      <w:instrText xml:space="preserve"> PAGE </w:instrText>
    </w:r>
    <w:r w:rsidRPr="00BF6A5D">
      <w:fldChar w:fldCharType="separate"/>
    </w:r>
    <w:r w:rsidR="007E5AAC">
      <w:rPr>
        <w:noProof/>
      </w:rPr>
      <w:t>20</w:t>
    </w:r>
    <w:r w:rsidRPr="00BF6A5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E07" w:rsidRPr="00F66EA7" w:rsidRDefault="006D3E07" w:rsidP="002D2C99">
      <w:r w:rsidRPr="00F66EA7">
        <w:separator/>
      </w:r>
    </w:p>
  </w:footnote>
  <w:footnote w:type="continuationSeparator" w:id="0">
    <w:p w:rsidR="006D3E07" w:rsidRPr="00F66EA7" w:rsidRDefault="006D3E07" w:rsidP="002D2C99">
      <w:r w:rsidRPr="00F66EA7">
        <w:continuationSeparator/>
      </w:r>
    </w:p>
  </w:footnote>
  <w:footnote w:id="1">
    <w:p w:rsidR="009079C0" w:rsidRPr="00BF6A5D" w:rsidRDefault="009079C0" w:rsidP="00BF6A5D">
      <w:pPr>
        <w:pStyle w:val="FootnoteText"/>
      </w:pPr>
      <w:r>
        <w:rPr>
          <w:vertAlign w:val="superscript"/>
        </w:rPr>
        <w:footnoteRef/>
      </w:r>
      <w:r>
        <w:rPr>
          <w:vertAlign w:val="superscript"/>
        </w:rPr>
        <w:t xml:space="preserve">  </w:t>
      </w:r>
      <w:r>
        <w:t>Convenția-cadru a Națiunilor Unite asupra schimbărilor climatice, A/RES/48/189, 1992 (versiune consolidată); Acordul de la Paris, 12 decembrie 2015, ONU, Culegere de tratate, vol. 3156.</w:t>
      </w:r>
    </w:p>
  </w:footnote>
  <w:footnote w:id="2">
    <w:p w:rsidR="009079C0" w:rsidRPr="00BF6A5D" w:rsidRDefault="009079C0" w:rsidP="00BF6A5D">
      <w:pPr>
        <w:pStyle w:val="FootnoteText"/>
      </w:pPr>
      <w:r>
        <w:rPr>
          <w:vertAlign w:val="superscript"/>
        </w:rPr>
        <w:footnoteRef/>
      </w:r>
      <w:r>
        <w:rPr>
          <w:vertAlign w:val="superscript"/>
        </w:rPr>
        <w:t xml:space="preserve"> </w:t>
      </w:r>
      <w:r>
        <w:t xml:space="preserve">Raportul special al IPCC (Grupul interguvernamental privind schimbările climatice) privind consecințele încălzirii globale cu 1,5°C (2018); Climate Analytics, „Climate Impacts in Portugal” (ultima actualizare: 31 iulie 2020); Programul Organizației Națiunilor Unite pentru Mediu, „Emissions Gap Report 2019” și „Lessons from a decade of emissions gap assessments”, 2019 ; OCDE, AIE </w:t>
      </w:r>
      <w:r>
        <w:rPr>
          <w:i/>
        </w:rPr>
        <w:t>World Energy Balances</w:t>
      </w:r>
      <w:r>
        <w:t xml:space="preserve"> 2019.</w:t>
      </w:r>
    </w:p>
  </w:footnote>
  <w:footnote w:id="3">
    <w:p w:rsidR="009079C0" w:rsidRPr="00BF6A5D" w:rsidRDefault="009079C0" w:rsidP="00BF6A5D">
      <w:pPr>
        <w:pStyle w:val="FootnoteText"/>
      </w:pPr>
      <w:r>
        <w:rPr>
          <w:vertAlign w:val="superscript"/>
        </w:rPr>
        <w:footnoteRef/>
      </w:r>
      <w:r>
        <w:rPr>
          <w:vertAlign w:val="superscript"/>
        </w:rPr>
        <w:t xml:space="preserve"> </w:t>
      </w:r>
      <w:r>
        <w:t>IPCC, „Schimbările climatice 2021: elementele științifice” (</w:t>
      </w:r>
      <w:r>
        <w:rPr>
          <w:i/>
          <w:iCs/>
        </w:rPr>
        <w:t>Climate Change 2021: The Physical Science Basis</w:t>
      </w:r>
      <w:r>
        <w:t>). Contribuția Grupului de lucru I la al șaselea Raport de evaluare al Grupului interguvernamental privind schimbările climatice („AR6 WGI / GTI RE6”).</w:t>
      </w:r>
    </w:p>
  </w:footnote>
  <w:footnote w:id="4">
    <w:p w:rsidR="009079C0" w:rsidRPr="00BF6A5D" w:rsidRDefault="009079C0" w:rsidP="00BF6A5D">
      <w:pPr>
        <w:pStyle w:val="FootnoteText"/>
      </w:pPr>
      <w:r>
        <w:rPr>
          <w:vertAlign w:val="superscript"/>
        </w:rPr>
        <w:footnoteRef/>
      </w:r>
      <w:r>
        <w:rPr>
          <w:vertAlign w:val="superscript"/>
        </w:rPr>
        <w:t xml:space="preserve"> </w:t>
      </w:r>
      <w:r>
        <w:t xml:space="preserve">Reclamanții citează printre altele: Programul Organizației Națiunilor Unite pentru Mediu, „Emissions Gap Report 2022”; Climate Action Tracker, CAT rating methodology: </w:t>
      </w:r>
      <w:hyperlink r:id="rId1" w:history="1">
        <w:r>
          <w:t>Modelled domestic pathways</w:t>
        </w:r>
      </w:hyperlink>
      <w:r>
        <w:t xml:space="preserve">; raportul de expertiză întocmit de William Hare și alții, intitulat „Achieving the 1.5°C Limit of the Paris Agreement: An Assessment of the Adequacy of the Mitigation Measures and Targets of the Respondent States in Duarte Agostinho v. Portugal and 32 other States” (Climate Analytics, 7 ianuarie 2022). </w:t>
      </w:r>
    </w:p>
  </w:footnote>
  <w:footnote w:id="5">
    <w:p w:rsidR="009079C0" w:rsidRPr="00BF6A5D" w:rsidRDefault="009079C0" w:rsidP="00BF6A5D">
      <w:pPr>
        <w:pStyle w:val="FootnoteText"/>
      </w:pPr>
      <w:r>
        <w:rPr>
          <w:vertAlign w:val="superscript"/>
        </w:rPr>
        <w:footnoteRef/>
      </w:r>
      <w:r>
        <w:rPr>
          <w:vertAlign w:val="superscript"/>
        </w:rPr>
        <w:t xml:space="preserve"> </w:t>
      </w:r>
      <w:r>
        <w:t>Acordul de la Paris, 12 decembrie 2015, Recueil des traités des Nations unies/UN Treaty Series, vol. 3156.</w:t>
      </w:r>
    </w:p>
  </w:footnote>
  <w:footnote w:id="6">
    <w:p w:rsidR="009079C0" w:rsidRPr="00BF6A5D" w:rsidRDefault="009079C0" w:rsidP="00BF6A5D">
      <w:pPr>
        <w:pStyle w:val="FootnoteText"/>
      </w:pPr>
      <w:r>
        <w:rPr>
          <w:vertAlign w:val="superscript"/>
        </w:rPr>
        <w:footnoteRef/>
      </w:r>
      <w:r>
        <w:rPr>
          <w:vertAlign w:val="superscript"/>
        </w:rPr>
        <w:t xml:space="preserve"> </w:t>
      </w:r>
      <w:r>
        <w:t>Reclamanții citează, printre altele, raportul IPCC, „Schimbările climatice 2022: impact, adaptare și vulnerabilitate”. Contribuția Grupului de lucru II la al șaselea Raport de evaluare al IPCC („AR6 WGII / GTII RE6”).</w:t>
      </w:r>
    </w:p>
  </w:footnote>
  <w:footnote w:id="7">
    <w:p w:rsidR="009079C0" w:rsidRPr="00BF6A5D" w:rsidRDefault="009079C0" w:rsidP="00BF6A5D">
      <w:pPr>
        <w:pStyle w:val="FootnoteText"/>
      </w:pPr>
      <w:r>
        <w:rPr>
          <w:vertAlign w:val="superscript"/>
        </w:rPr>
        <w:footnoteRef/>
      </w:r>
      <w:r>
        <w:rPr>
          <w:vertAlign w:val="superscript"/>
        </w:rPr>
        <w:t xml:space="preserve"> </w:t>
      </w:r>
      <w:r>
        <w:t>Reclamanții citează în special: Guvernul Portugaliei, Direcția Generală Sănătate, Divizia Sănătatea Mediului și Sănătatea Ocupațională, „Plan de urgență privind temperaturile extreme – Modulul Caniculă” (în limba portugheză, mai 2015).</w:t>
      </w:r>
    </w:p>
  </w:footnote>
  <w:footnote w:id="8">
    <w:p w:rsidR="009079C0" w:rsidRPr="00BF6A5D" w:rsidRDefault="009079C0" w:rsidP="00BF6A5D">
      <w:pPr>
        <w:pStyle w:val="FootnoteText"/>
      </w:pPr>
      <w:r>
        <w:rPr>
          <w:vertAlign w:val="superscript"/>
        </w:rPr>
        <w:footnoteRef/>
      </w:r>
      <w:r>
        <w:rPr>
          <w:vertAlign w:val="superscript"/>
        </w:rPr>
        <w:t xml:space="preserve"> </w:t>
      </w:r>
      <w:r>
        <w:t>Caroline Hickman ș.a., „Climate anxiety in children and young people and their beliefs about government responses to climate change: a global survey” (2021), 5 Lancet Planetary Health.</w:t>
      </w:r>
    </w:p>
  </w:footnote>
  <w:footnote w:id="9">
    <w:p w:rsidR="009079C0" w:rsidRPr="00BF6A5D" w:rsidRDefault="009079C0" w:rsidP="00BF6A5D">
      <w:pPr>
        <w:pStyle w:val="FootnoteText"/>
      </w:pPr>
      <w:r>
        <w:rPr>
          <w:vertAlign w:val="superscript"/>
        </w:rPr>
        <w:footnoteRef/>
      </w:r>
      <w:r>
        <w:rPr>
          <w:vertAlign w:val="superscript"/>
        </w:rPr>
        <w:t xml:space="preserve"> </w:t>
      </w:r>
      <w:r>
        <w:t>Comentariul general nr. 36 privind art. 6 (dreptul la viață), 3 septembrie 2019, doc. ONU CCPR/C/GC/36.</w:t>
      </w:r>
    </w:p>
  </w:footnote>
  <w:footnote w:id="10">
    <w:p w:rsidR="009079C0" w:rsidRPr="00BF6A5D" w:rsidRDefault="009079C0" w:rsidP="00BF6A5D">
      <w:pPr>
        <w:pStyle w:val="FootnoteText"/>
      </w:pPr>
      <w:r>
        <w:rPr>
          <w:vertAlign w:val="superscript"/>
        </w:rPr>
        <w:footnoteRef/>
      </w:r>
      <w:r>
        <w:rPr>
          <w:vertAlign w:val="superscript"/>
        </w:rPr>
        <w:t xml:space="preserve"> </w:t>
      </w:r>
      <w:r>
        <w:t>Comitetul pentru Drepturile Economice, Sociale și Culturale, Comentariul general nr. 24 (2017) privind obligațiile statelor în conformitate cu Pactul internațional cu privire la drepturile economice, sociale și culturale în contextul activităților comerciale, 10 august 2017, doc. ONU E/C.12/GC/24.</w:t>
      </w:r>
    </w:p>
  </w:footnote>
  <w:footnote w:id="11">
    <w:p w:rsidR="009079C0" w:rsidRPr="00BF6A5D" w:rsidRDefault="009079C0" w:rsidP="00BF6A5D">
      <w:pPr>
        <w:pStyle w:val="FootnoteText"/>
      </w:pPr>
      <w:r>
        <w:rPr>
          <w:vertAlign w:val="superscript"/>
        </w:rPr>
        <w:footnoteRef/>
      </w:r>
      <w:r>
        <w:rPr>
          <w:vertAlign w:val="superscript"/>
        </w:rPr>
        <w:t xml:space="preserve"> </w:t>
      </w:r>
      <w:r>
        <w:t>Comentariul general nr. 26 (2023) privind drepturile copilului și mediul înconjurător, cu un accent special pe schimbările climatice, 23 august 2023, doc. ONU RC/C/GC/26.</w:t>
      </w:r>
    </w:p>
  </w:footnote>
  <w:footnote w:id="12">
    <w:p w:rsidR="009079C0" w:rsidRPr="00BF6A5D" w:rsidRDefault="009079C0" w:rsidP="00BF6A5D">
      <w:pPr>
        <w:pStyle w:val="FootnoteText"/>
      </w:pPr>
      <w:r>
        <w:rPr>
          <w:vertAlign w:val="superscript"/>
        </w:rPr>
        <w:footnoteRef/>
      </w:r>
      <w:r>
        <w:rPr>
          <w:vertAlign w:val="superscript"/>
        </w:rPr>
        <w:t xml:space="preserve"> </w:t>
      </w:r>
      <w:r>
        <w:t>Sacchi și alții împotriva Argentinei, 22 septembrie 2021, doc. ONU CRC/C/88/D/104/2019.</w:t>
      </w:r>
    </w:p>
  </w:footnote>
  <w:footnote w:id="13">
    <w:p w:rsidR="009079C0" w:rsidRPr="00BF6A5D" w:rsidRDefault="009079C0" w:rsidP="00BF6A5D">
      <w:pPr>
        <w:pStyle w:val="FootnoteText"/>
      </w:pPr>
      <w:r>
        <w:rPr>
          <w:vertAlign w:val="superscript"/>
        </w:rPr>
        <w:footnoteRef/>
      </w:r>
      <w:r>
        <w:rPr>
          <w:vertAlign w:val="superscript"/>
        </w:rPr>
        <w:t xml:space="preserve"> </w:t>
      </w:r>
      <w:r>
        <w:t>În temeiul Protocolului facultativ la Convenția cu privire la drepturile copilului, referitor la o procedură de prezentare a comunicărilor, 19 decembrie 2011, doc. ONU A/RES/66/138.</w:t>
      </w:r>
    </w:p>
  </w:footnote>
  <w:footnote w:id="14">
    <w:p w:rsidR="009079C0" w:rsidRPr="00BF6A5D" w:rsidRDefault="009079C0" w:rsidP="00BF6A5D">
      <w:pPr>
        <w:pStyle w:val="FootnoteText"/>
      </w:pPr>
      <w:r>
        <w:rPr>
          <w:vertAlign w:val="superscript"/>
        </w:rPr>
        <w:footnoteRef/>
      </w:r>
      <w:r>
        <w:rPr>
          <w:vertAlign w:val="superscript"/>
        </w:rPr>
        <w:t xml:space="preserve"> </w:t>
      </w:r>
      <w:r>
        <w:rPr>
          <w:i/>
          <w:iCs/>
        </w:rPr>
        <w:t>Fundația Marangopoulos pentru Drepturile Omului (FMDO) împotriva Greciei</w:t>
      </w:r>
      <w:r>
        <w:t>, nr. 30/2005, 6 decembrie 2006.</w:t>
      </w:r>
    </w:p>
  </w:footnote>
  <w:footnote w:id="15">
    <w:p w:rsidR="009079C0" w:rsidRPr="00BF6A5D" w:rsidRDefault="009079C0" w:rsidP="00BF6A5D">
      <w:pPr>
        <w:pStyle w:val="FootnoteText"/>
      </w:pPr>
      <w:r>
        <w:rPr>
          <w:vertAlign w:val="superscript"/>
        </w:rPr>
        <w:footnoteRef/>
      </w:r>
      <w:r>
        <w:rPr>
          <w:vertAlign w:val="superscript"/>
        </w:rPr>
        <w:t xml:space="preserve"> </w:t>
      </w:r>
      <w:r>
        <w:t>Comentariul general nr. 3 la Carta africană a drepturilor omului și popoarelor (art. 4), 12 decembrie 2015.</w:t>
      </w:r>
    </w:p>
  </w:footnote>
  <w:footnote w:id="16">
    <w:p w:rsidR="009079C0" w:rsidRPr="00BF6A5D" w:rsidRDefault="009079C0" w:rsidP="00BF6A5D">
      <w:pPr>
        <w:pStyle w:val="FootnoteText"/>
      </w:pPr>
      <w:r>
        <w:rPr>
          <w:vertAlign w:val="superscript"/>
        </w:rPr>
        <w:footnoteRef/>
      </w:r>
      <w:r>
        <w:rPr>
          <w:vertAlign w:val="superscript"/>
        </w:rPr>
        <w:t xml:space="preserve"> </w:t>
      </w:r>
      <w:r>
        <w:t xml:space="preserve">Curtea Interamericană a Drepturilor Omului, </w:t>
      </w:r>
      <w:r>
        <w:rPr>
          <w:i/>
        </w:rPr>
        <w:t>State Obligations in relation to the environment in the context of the protection and guarantee of the rights to life and to personal integrity: Interpretation and scope of Articles 4(1) and 5(1) in relation to Articles 1(1) and 2</w:t>
      </w:r>
      <w:r>
        <w:t xml:space="preserve"> (Obligațiile statului în ceea ce privește mediul în contextul protejării și garantării drepturilor la viață și la integritate personală:</w:t>
      </w:r>
      <w:r>
        <w:rPr>
          <w:i/>
        </w:rPr>
        <w:t xml:space="preserve"> </w:t>
      </w:r>
      <w:r>
        <w:t>interpretarea și sfera de aplicare a art. 4 § 1 și art. 5 § 1 în raport cu art. 1 § 1 și 2, Avizul consultativ OC-23/17 din 15 noiembrie 2017 privind mediul și drepturile omului.</w:t>
      </w:r>
    </w:p>
  </w:footnote>
  <w:footnote w:id="17">
    <w:p w:rsidR="009079C0" w:rsidRPr="00BF6A5D" w:rsidRDefault="009079C0" w:rsidP="00BF6A5D">
      <w:pPr>
        <w:pStyle w:val="FootnoteText"/>
      </w:pPr>
      <w:r>
        <w:rPr>
          <w:vertAlign w:val="superscript"/>
        </w:rPr>
        <w:footnoteRef/>
      </w:r>
      <w:r>
        <w:rPr>
          <w:vertAlign w:val="superscript"/>
        </w:rPr>
        <w:t xml:space="preserve"> </w:t>
      </w:r>
      <w:r>
        <w:t>Ordonanța Primului Senat (24 martie 2021) – 1 BvR 2656/18 DE:BVerfG:2021:rs20210324.1bvr265618.</w:t>
      </w:r>
    </w:p>
  </w:footnote>
  <w:footnote w:id="18">
    <w:p w:rsidR="009079C0" w:rsidRPr="00BF6A5D" w:rsidRDefault="009079C0" w:rsidP="00BF6A5D">
      <w:pPr>
        <w:pStyle w:val="FootnoteText"/>
      </w:pPr>
      <w:r>
        <w:rPr>
          <w:vertAlign w:val="superscript"/>
        </w:rPr>
        <w:footnoteRef/>
      </w:r>
      <w:r>
        <w:rPr>
          <w:vertAlign w:val="superscript"/>
        </w:rPr>
        <w:t xml:space="preserve"> </w:t>
      </w:r>
      <w:r>
        <w:t xml:space="preserve">În cadrul primei serii de observații, Guvernul Croației a prezentat, în esență, aceleași observații ca cele formulate de celelalte guverne în observațiile comune, dar într-o formă oarecum diferită. În mod similar, Guvernul Ungariei a fost de acord cu observațiile comune, dar a adoptat un punct de vedere diferit cu privire la unele dintre chestiunile esențiale, care sunt prezentate separat la pct. </w:t>
      </w:r>
      <w:r w:rsidRPr="00BF6A5D">
        <w:fldChar w:fldCharType="begin"/>
      </w:r>
      <w:r w:rsidRPr="00BF6A5D">
        <w:instrText xml:space="preserve"> REF paragraph00093 \h  \* CharFormat  \* MERGEFORMAT </w:instrText>
      </w:r>
      <w:r w:rsidRPr="00BF6A5D">
        <w:fldChar w:fldCharType="separate"/>
      </w:r>
      <w:r w:rsidRPr="00BF6A5D">
        <w:t>93</w:t>
      </w:r>
      <w:r w:rsidRPr="00BF6A5D">
        <w:fldChar w:fldCharType="end"/>
      </w:r>
      <w:r>
        <w:t>-</w:t>
      </w:r>
      <w:r w:rsidRPr="00BF6A5D">
        <w:fldChar w:fldCharType="begin"/>
      </w:r>
      <w:r w:rsidRPr="00BF6A5D">
        <w:instrText xml:space="preserve"> REF paragraph00092 \h  \* CharFormat  \* MERGEFORMAT </w:instrText>
      </w:r>
      <w:r w:rsidRPr="00BF6A5D">
        <w:fldChar w:fldCharType="separate"/>
      </w:r>
      <w:r w:rsidRPr="00BF6A5D">
        <w:t>95</w:t>
      </w:r>
      <w:r w:rsidRPr="00BF6A5D">
        <w:fldChar w:fldCharType="end"/>
      </w:r>
      <w:r>
        <w:t xml:space="preserve"> </w:t>
      </w:r>
      <w:r>
        <w:rPr>
          <w:i/>
          <w:iCs/>
        </w:rPr>
        <w:t>infra</w:t>
      </w:r>
      <w:r>
        <w:t>. În a doua rundă de observații, guvernele Croației și Ungariei au prezentat aceleași observații comune ca și celelalte guverne.</w:t>
      </w:r>
    </w:p>
  </w:footnote>
  <w:footnote w:id="19">
    <w:p w:rsidR="009079C0" w:rsidRPr="00BF6A5D" w:rsidRDefault="009079C0" w:rsidP="00BF6A5D">
      <w:pPr>
        <w:pStyle w:val="FootnoteText"/>
      </w:pPr>
      <w:r>
        <w:rPr>
          <w:vertAlign w:val="superscript"/>
        </w:rPr>
        <w:footnoteRef/>
      </w:r>
      <w:r>
        <w:rPr>
          <w:vertAlign w:val="superscript"/>
        </w:rPr>
        <w:t xml:space="preserve"> </w:t>
      </w:r>
      <w:r>
        <w:t>Convenția privind accesul la informație, participarea publicului la luarea deciziei și accesul la justiție în probleme de mediu, Organizația Națiunilor Unite, Culegere de tratate, vol. 2161, pag. 447. Convenția a fost adoptată la Aarhus (Danemarca) la 25 iunie 1998 și a intrat în vigoare la 30 octombrie 2001.</w:t>
      </w:r>
    </w:p>
  </w:footnote>
  <w:footnote w:id="20">
    <w:p w:rsidR="009079C0" w:rsidRPr="00BF6A5D" w:rsidRDefault="009079C0" w:rsidP="00BF6A5D">
      <w:pPr>
        <w:pStyle w:val="FootnoteText"/>
      </w:pPr>
      <w:r>
        <w:rPr>
          <w:vertAlign w:val="superscript"/>
        </w:rPr>
        <w:footnoteRef/>
      </w:r>
      <w:r>
        <w:rPr>
          <w:vertAlign w:val="superscript"/>
        </w:rPr>
        <w:t xml:space="preserve"> </w:t>
      </w:r>
      <w:r>
        <w:t>Statul Țărilor de Jos împotriva Stichting Urgenda, 20 decembrie 2019, NL: HR: 2019: 2007.</w:t>
      </w:r>
    </w:p>
  </w:footnote>
  <w:footnote w:id="21">
    <w:p w:rsidR="009079C0" w:rsidRPr="00BF6A5D" w:rsidRDefault="009079C0" w:rsidP="00BF6A5D">
      <w:pPr>
        <w:pStyle w:val="FootnoteText"/>
      </w:pPr>
      <w:r>
        <w:rPr>
          <w:vertAlign w:val="superscript"/>
        </w:rPr>
        <w:footnoteRef/>
      </w:r>
      <w:r>
        <w:rPr>
          <w:vertAlign w:val="superscript"/>
        </w:rPr>
        <w:t xml:space="preserve"> </w:t>
      </w:r>
      <w:r>
        <w:t xml:space="preserve">Doamna comisar face trimitere la Comitetul European pentru Drepturi Sociale, </w:t>
      </w:r>
      <w:r>
        <w:rPr>
          <w:i/>
          <w:iCs/>
        </w:rPr>
        <w:t>Fundația Marangopoulos pentru Drepturile Omului (FMDO) împotriva Greciei</w:t>
      </w:r>
      <w:r>
        <w:t xml:space="preserve">, decizia din 6 decembrie 2006, pct. 203 și </w:t>
      </w:r>
      <w:hyperlink r:id="rId2" w:history="1">
        <w:r>
          <w:t>Concluzii XV-2 (2001)</w:t>
        </w:r>
      </w:hyperlink>
      <w:r>
        <w:t xml:space="preserve">, Italia, art. 11 § 3). </w:t>
      </w:r>
    </w:p>
  </w:footnote>
  <w:footnote w:id="22">
    <w:p w:rsidR="009079C0" w:rsidRPr="00BF6A5D" w:rsidRDefault="009079C0" w:rsidP="00BF6A5D">
      <w:pPr>
        <w:pStyle w:val="FootnoteText"/>
      </w:pPr>
      <w:r>
        <w:rPr>
          <w:vertAlign w:val="superscript"/>
        </w:rPr>
        <w:footnoteRef/>
      </w:r>
      <w:r>
        <w:rPr>
          <w:vertAlign w:val="superscript"/>
        </w:rPr>
        <w:t xml:space="preserve"> </w:t>
      </w:r>
      <w:r>
        <w:t>Intervenienții fac trimitere la Avizul consultativ OC-23/17 (citat anterior) al Curții Interamericane a Drepturilor Omului.</w:t>
      </w:r>
    </w:p>
  </w:footnote>
  <w:footnote w:id="23">
    <w:p w:rsidR="009079C0" w:rsidRPr="00BF6A5D" w:rsidRDefault="009079C0" w:rsidP="00BF6A5D">
      <w:pPr>
        <w:pStyle w:val="FootnoteText"/>
      </w:pPr>
      <w:r>
        <w:rPr>
          <w:vertAlign w:val="superscript"/>
        </w:rPr>
        <w:footnoteRef/>
      </w:r>
      <w:r>
        <w:rPr>
          <w:vertAlign w:val="superscript"/>
        </w:rPr>
        <w:t xml:space="preserve"> </w:t>
      </w:r>
      <w:r>
        <w:t>Intervenienții fac trimitere la următoarele documente: Comitetul pentru Drepturile Omului, Comentariul general nr. 36 privind art. 6: dreptul la viață, CCPR/C/GC/36, distr. 3 septembrie 2019, și ÎCDO, „</w:t>
      </w:r>
      <w:r>
        <w:rPr>
          <w:i/>
        </w:rPr>
        <w:t>Five UN human rights treaty bodies issue a joint statement on human rights and climate change</w:t>
      </w:r>
      <w:r>
        <w:t>, «Joint Statement on «Human Rights and Climate Change»” [Cinci organisme din tratatele ONU privind drepturile omului au emis o declarație comună privind drepturile omului și schimbările climatice, «Declarație comună privind drepturile omului și schimbările climatice»”] (16 septembrie 2019).</w:t>
      </w:r>
    </w:p>
  </w:footnote>
  <w:footnote w:id="24">
    <w:p w:rsidR="009079C0" w:rsidRPr="00BF6A5D" w:rsidRDefault="009079C0" w:rsidP="00BF6A5D">
      <w:pPr>
        <w:pStyle w:val="FootnoteText"/>
      </w:pPr>
      <w:r>
        <w:rPr>
          <w:vertAlign w:val="superscript"/>
        </w:rPr>
        <w:footnoteRef/>
      </w:r>
      <w:r>
        <w:rPr>
          <w:vertAlign w:val="superscript"/>
        </w:rPr>
        <w:t xml:space="preserve"> </w:t>
      </w:r>
      <w:r>
        <w:t>Rezoluția CM/Res(2022)2 a Comitetului de Miniștri privind încetarea calității Federației Ruse de stat membru al Consiliului Europei (16 martie 2022).</w:t>
      </w:r>
    </w:p>
  </w:footnote>
  <w:footnote w:id="25">
    <w:p w:rsidR="009079C0" w:rsidRPr="00BF6A5D" w:rsidRDefault="009079C0" w:rsidP="00BF6A5D">
      <w:pPr>
        <w:pStyle w:val="FootnoteText"/>
      </w:pPr>
      <w:r>
        <w:rPr>
          <w:vertAlign w:val="superscript"/>
        </w:rPr>
        <w:footnoteRef/>
      </w:r>
      <w:r>
        <w:rPr>
          <w:vertAlign w:val="superscript"/>
        </w:rPr>
        <w:t xml:space="preserve">  </w:t>
      </w:r>
      <w:r>
        <w:t>Rezoluția Curții Europene a Drepturilor Omului privind consecințele încetării calității Federației Ruse de stat membru al Consiliului Europei în lumina art. 58 din Convenția europeană a drepturilor omului, 22 martie 2022.</w:t>
      </w:r>
    </w:p>
  </w:footnote>
  <w:footnote w:id="26">
    <w:p w:rsidR="009079C0" w:rsidRPr="00BF6A5D" w:rsidRDefault="009079C0" w:rsidP="00BF6A5D">
      <w:pPr>
        <w:pStyle w:val="FootnoteText"/>
      </w:pPr>
      <w:r>
        <w:rPr>
          <w:vertAlign w:val="superscript"/>
        </w:rPr>
        <w:footnoteRef/>
      </w:r>
      <w:r>
        <w:rPr>
          <w:vertAlign w:val="superscript"/>
        </w:rPr>
        <w:t xml:space="preserve"> </w:t>
      </w:r>
      <w:r>
        <w:t>Proiect de articole privind prevenirea daunelor transfrontaliere cauzate de activități periculoase, UN Doc. A/RES/56/82 (2001), UN Doc A/56/10, 10/08/2001.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Default="00907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jc w:val="center"/>
    </w:pPr>
    <w:r>
      <w:rPr>
        <w:noProof/>
        <w:lang w:eastAsia="ro-RO"/>
      </w:rPr>
      <w:drawing>
        <wp:inline distT="0" distB="0" distL="0" distR="0" wp14:anchorId="235537C1" wp14:editId="1748BDCF">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79C0" w:rsidRPr="00BF6A5D" w:rsidRDefault="009079C0" w:rsidP="00BF6A5D">
    <w:pPr>
      <w:jc w:val="center"/>
    </w:pPr>
  </w:p>
  <w:p w:rsidR="009079C0" w:rsidRPr="00BF6A5D" w:rsidRDefault="009079C0" w:rsidP="00BF6A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jc w:val="right"/>
      <w:rPr>
        <w:i/>
        <w:noProof/>
      </w:rPr>
    </w:pPr>
    <w:r>
      <w:rPr>
        <w:i/>
      </w:rPr>
      <w:t>Tradus și revizuit de IER (http://ier.gov.ro/)</w:t>
    </w:r>
  </w:p>
  <w:p w:rsidR="009079C0" w:rsidRPr="00BF6A5D" w:rsidRDefault="009079C0" w:rsidP="00BF6A5D">
    <w:pPr>
      <w:jc w:val="center"/>
      <w:rPr>
        <w:noProof/>
        <w:lang w:eastAsia="ro-RO"/>
      </w:rPr>
    </w:pPr>
  </w:p>
  <w:p w:rsidR="009079C0" w:rsidRPr="00BF6A5D" w:rsidRDefault="009079C0" w:rsidP="00BF6A5D">
    <w:pPr>
      <w:jc w:val="center"/>
    </w:pPr>
    <w:r>
      <w:rPr>
        <w:noProof/>
        <w:lang w:eastAsia="ro-RO"/>
      </w:rPr>
      <w:drawing>
        <wp:inline distT="0" distB="0" distL="0" distR="0" wp14:anchorId="4E5F7448" wp14:editId="3EFCDABA">
          <wp:extent cx="2962275" cy="1219200"/>
          <wp:effectExtent l="0" t="0" r="9525" b="0"/>
          <wp:docPr id="15" name="Picture 1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79C0" w:rsidRPr="00BF6A5D" w:rsidRDefault="009079C0" w:rsidP="00BF6A5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pStyle w:val="JuHeader"/>
    </w:pPr>
    <w:r>
      <w:t>DECIZIA DUARTE AGOSTINHO ȘI ALȚII ÎMPOTRIVA PORTUGALIEI ȘI A ALTOR 32 DE STATE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0" w:rsidRPr="00BF6A5D" w:rsidRDefault="009079C0" w:rsidP="00BF6A5D">
    <w:pPr>
      <w:pStyle w:val="JuHeader"/>
    </w:pPr>
    <w:r>
      <w:t>DECIZIA DUARTE AGOSTINHO ȘI ALȚII ÎMPOTRIVA PORTUGALIEI ȘI A ALTOR 32 DE STATE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67F6A06"/>
    <w:multiLevelType w:val="hybridMultilevel"/>
    <w:tmpl w:val="F47CECE6"/>
    <w:lvl w:ilvl="0" w:tplc="4E604E50">
      <w:start w:val="1"/>
      <w:numFmt w:val="decimal"/>
      <w:lvlText w:val="%1."/>
      <w:lvlJc w:val="left"/>
      <w:pPr>
        <w:ind w:left="1440" w:hanging="360"/>
      </w:pPr>
    </w:lvl>
    <w:lvl w:ilvl="1" w:tplc="C50AA268" w:tentative="1">
      <w:start w:val="1"/>
      <w:numFmt w:val="lowerLetter"/>
      <w:lvlText w:val="%2."/>
      <w:lvlJc w:val="left"/>
      <w:pPr>
        <w:ind w:left="2160" w:hanging="360"/>
      </w:pPr>
    </w:lvl>
    <w:lvl w:ilvl="2" w:tplc="1118185C" w:tentative="1">
      <w:start w:val="1"/>
      <w:numFmt w:val="lowerRoman"/>
      <w:lvlText w:val="%3."/>
      <w:lvlJc w:val="right"/>
      <w:pPr>
        <w:ind w:left="2880" w:hanging="180"/>
      </w:pPr>
    </w:lvl>
    <w:lvl w:ilvl="3" w:tplc="F1FCD258" w:tentative="1">
      <w:start w:val="1"/>
      <w:numFmt w:val="decimal"/>
      <w:lvlText w:val="%4."/>
      <w:lvlJc w:val="left"/>
      <w:pPr>
        <w:ind w:left="3600" w:hanging="360"/>
      </w:pPr>
    </w:lvl>
    <w:lvl w:ilvl="4" w:tplc="2F927CB6" w:tentative="1">
      <w:start w:val="1"/>
      <w:numFmt w:val="lowerLetter"/>
      <w:lvlText w:val="%5."/>
      <w:lvlJc w:val="left"/>
      <w:pPr>
        <w:ind w:left="4320" w:hanging="360"/>
      </w:pPr>
    </w:lvl>
    <w:lvl w:ilvl="5" w:tplc="AF7A75EE" w:tentative="1">
      <w:start w:val="1"/>
      <w:numFmt w:val="lowerRoman"/>
      <w:lvlText w:val="%6."/>
      <w:lvlJc w:val="right"/>
      <w:pPr>
        <w:ind w:left="5040" w:hanging="180"/>
      </w:pPr>
    </w:lvl>
    <w:lvl w:ilvl="6" w:tplc="AC62CB2E" w:tentative="1">
      <w:start w:val="1"/>
      <w:numFmt w:val="decimal"/>
      <w:lvlText w:val="%7."/>
      <w:lvlJc w:val="left"/>
      <w:pPr>
        <w:ind w:left="5760" w:hanging="360"/>
      </w:pPr>
    </w:lvl>
    <w:lvl w:ilvl="7" w:tplc="1D8CE440" w:tentative="1">
      <w:start w:val="1"/>
      <w:numFmt w:val="lowerLetter"/>
      <w:lvlText w:val="%8."/>
      <w:lvlJc w:val="left"/>
      <w:pPr>
        <w:ind w:left="6480" w:hanging="360"/>
      </w:pPr>
    </w:lvl>
    <w:lvl w:ilvl="8" w:tplc="16E26150" w:tentative="1">
      <w:start w:val="1"/>
      <w:numFmt w:val="lowerRoman"/>
      <w:lvlText w:val="%9."/>
      <w:lvlJc w:val="right"/>
      <w:pPr>
        <w:ind w:left="7200" w:hanging="180"/>
      </w:pPr>
    </w:lvl>
  </w:abstractNum>
  <w:abstractNum w:abstractNumId="10" w15:restartNumberingAfterBreak="0">
    <w:nsid w:val="0A28457F"/>
    <w:multiLevelType w:val="hybridMultilevel"/>
    <w:tmpl w:val="FFFFFFFF"/>
    <w:lvl w:ilvl="0" w:tplc="523ADDA8">
      <w:start w:val="1"/>
      <w:numFmt w:val="decimal"/>
      <w:lvlText w:val="%1."/>
      <w:lvlJc w:val="left"/>
      <w:pPr>
        <w:ind w:left="1440" w:hanging="360"/>
      </w:pPr>
    </w:lvl>
    <w:lvl w:ilvl="1" w:tplc="17C07396">
      <w:start w:val="1"/>
      <w:numFmt w:val="lowerLetter"/>
      <w:lvlText w:val="%2."/>
      <w:lvlJc w:val="left"/>
      <w:pPr>
        <w:ind w:left="2160" w:hanging="360"/>
      </w:pPr>
    </w:lvl>
    <w:lvl w:ilvl="2" w:tplc="C4CEA252">
      <w:start w:val="1"/>
      <w:numFmt w:val="lowerRoman"/>
      <w:lvlText w:val="%3."/>
      <w:lvlJc w:val="right"/>
      <w:pPr>
        <w:ind w:left="2880" w:hanging="180"/>
      </w:pPr>
    </w:lvl>
    <w:lvl w:ilvl="3" w:tplc="90C4599A">
      <w:start w:val="1"/>
      <w:numFmt w:val="decimal"/>
      <w:lvlText w:val="%4."/>
      <w:lvlJc w:val="left"/>
      <w:pPr>
        <w:ind w:left="3600" w:hanging="360"/>
      </w:pPr>
    </w:lvl>
    <w:lvl w:ilvl="4" w:tplc="C3E84D74">
      <w:start w:val="1"/>
      <w:numFmt w:val="lowerLetter"/>
      <w:lvlText w:val="%5."/>
      <w:lvlJc w:val="left"/>
      <w:pPr>
        <w:ind w:left="4320" w:hanging="360"/>
      </w:pPr>
    </w:lvl>
    <w:lvl w:ilvl="5" w:tplc="ED5C9F76">
      <w:start w:val="1"/>
      <w:numFmt w:val="lowerRoman"/>
      <w:lvlText w:val="%6."/>
      <w:lvlJc w:val="right"/>
      <w:pPr>
        <w:ind w:left="5040" w:hanging="180"/>
      </w:pPr>
    </w:lvl>
    <w:lvl w:ilvl="6" w:tplc="E0DAAFF2">
      <w:start w:val="1"/>
      <w:numFmt w:val="decimal"/>
      <w:lvlText w:val="%7."/>
      <w:lvlJc w:val="left"/>
      <w:pPr>
        <w:ind w:left="5760" w:hanging="360"/>
      </w:pPr>
    </w:lvl>
    <w:lvl w:ilvl="7" w:tplc="65609514">
      <w:start w:val="1"/>
      <w:numFmt w:val="lowerLetter"/>
      <w:lvlText w:val="%8."/>
      <w:lvlJc w:val="left"/>
      <w:pPr>
        <w:ind w:left="6480" w:hanging="360"/>
      </w:pPr>
    </w:lvl>
    <w:lvl w:ilvl="8" w:tplc="C3040A58">
      <w:start w:val="1"/>
      <w:numFmt w:val="lowerRoman"/>
      <w:lvlText w:val="%9."/>
      <w:lvlJc w:val="right"/>
      <w:pPr>
        <w:ind w:left="7200" w:hanging="180"/>
      </w:pPr>
    </w:lvl>
  </w:abstractNum>
  <w:abstractNum w:abstractNumId="11" w15:restartNumberingAfterBreak="0">
    <w:nsid w:val="0AD25535"/>
    <w:multiLevelType w:val="hybridMultilevel"/>
    <w:tmpl w:val="FFFFFFFF"/>
    <w:lvl w:ilvl="0" w:tplc="5D4468B4">
      <w:start w:val="1"/>
      <w:numFmt w:val="decimal"/>
      <w:lvlText w:val="%1."/>
      <w:lvlJc w:val="left"/>
      <w:pPr>
        <w:ind w:left="1440" w:hanging="360"/>
      </w:pPr>
    </w:lvl>
    <w:lvl w:ilvl="1" w:tplc="2D1A9002">
      <w:start w:val="1"/>
      <w:numFmt w:val="lowerLetter"/>
      <w:lvlText w:val="%2."/>
      <w:lvlJc w:val="left"/>
      <w:pPr>
        <w:ind w:left="2160" w:hanging="360"/>
      </w:pPr>
    </w:lvl>
    <w:lvl w:ilvl="2" w:tplc="09B25818">
      <w:start w:val="1"/>
      <w:numFmt w:val="lowerRoman"/>
      <w:lvlText w:val="%3."/>
      <w:lvlJc w:val="right"/>
      <w:pPr>
        <w:ind w:left="2880" w:hanging="180"/>
      </w:pPr>
    </w:lvl>
    <w:lvl w:ilvl="3" w:tplc="1C0426D8">
      <w:start w:val="1"/>
      <w:numFmt w:val="decimal"/>
      <w:lvlText w:val="%4."/>
      <w:lvlJc w:val="left"/>
      <w:pPr>
        <w:ind w:left="3600" w:hanging="360"/>
      </w:pPr>
    </w:lvl>
    <w:lvl w:ilvl="4" w:tplc="95348A3A">
      <w:start w:val="1"/>
      <w:numFmt w:val="lowerLetter"/>
      <w:lvlText w:val="%5."/>
      <w:lvlJc w:val="left"/>
      <w:pPr>
        <w:ind w:left="4320" w:hanging="360"/>
      </w:pPr>
    </w:lvl>
    <w:lvl w:ilvl="5" w:tplc="49CC6492">
      <w:start w:val="1"/>
      <w:numFmt w:val="lowerRoman"/>
      <w:lvlText w:val="%6."/>
      <w:lvlJc w:val="right"/>
      <w:pPr>
        <w:ind w:left="5040" w:hanging="180"/>
      </w:pPr>
    </w:lvl>
    <w:lvl w:ilvl="6" w:tplc="C3AC21DA">
      <w:start w:val="1"/>
      <w:numFmt w:val="decimal"/>
      <w:lvlText w:val="%7."/>
      <w:lvlJc w:val="left"/>
      <w:pPr>
        <w:ind w:left="5760" w:hanging="360"/>
      </w:pPr>
    </w:lvl>
    <w:lvl w:ilvl="7" w:tplc="34783E38">
      <w:start w:val="1"/>
      <w:numFmt w:val="lowerLetter"/>
      <w:lvlText w:val="%8."/>
      <w:lvlJc w:val="left"/>
      <w:pPr>
        <w:ind w:left="6480" w:hanging="360"/>
      </w:pPr>
    </w:lvl>
    <w:lvl w:ilvl="8" w:tplc="6B14535E">
      <w:start w:val="1"/>
      <w:numFmt w:val="lowerRoman"/>
      <w:lvlText w:val="%9."/>
      <w:lvlJc w:val="right"/>
      <w:pPr>
        <w:ind w:left="7200" w:hanging="180"/>
      </w:pPr>
    </w:lvl>
  </w:abstractNum>
  <w:abstractNum w:abstractNumId="12" w15:restartNumberingAfterBreak="0">
    <w:nsid w:val="0B491CF0"/>
    <w:multiLevelType w:val="hybridMultilevel"/>
    <w:tmpl w:val="0A92FEA6"/>
    <w:lvl w:ilvl="0" w:tplc="BD842368">
      <w:start w:val="1"/>
      <w:numFmt w:val="lowerLetter"/>
      <w:lvlText w:val="(%1)"/>
      <w:lvlJc w:val="left"/>
      <w:pPr>
        <w:ind w:left="720" w:hanging="360"/>
      </w:pPr>
    </w:lvl>
    <w:lvl w:ilvl="1" w:tplc="D21AB532">
      <w:start w:val="1"/>
      <w:numFmt w:val="lowerLetter"/>
      <w:lvlText w:val="%2."/>
      <w:lvlJc w:val="left"/>
      <w:pPr>
        <w:ind w:left="1440" w:hanging="360"/>
      </w:pPr>
    </w:lvl>
    <w:lvl w:ilvl="2" w:tplc="D382D2BA">
      <w:start w:val="1"/>
      <w:numFmt w:val="lowerRoman"/>
      <w:lvlText w:val="%3."/>
      <w:lvlJc w:val="right"/>
      <w:pPr>
        <w:ind w:left="2160" w:hanging="180"/>
      </w:pPr>
    </w:lvl>
    <w:lvl w:ilvl="3" w:tplc="A6DA8CBA">
      <w:start w:val="1"/>
      <w:numFmt w:val="decimal"/>
      <w:lvlText w:val="%4."/>
      <w:lvlJc w:val="left"/>
      <w:pPr>
        <w:ind w:left="2880" w:hanging="360"/>
      </w:pPr>
    </w:lvl>
    <w:lvl w:ilvl="4" w:tplc="62444F96">
      <w:start w:val="1"/>
      <w:numFmt w:val="lowerLetter"/>
      <w:lvlText w:val="%5."/>
      <w:lvlJc w:val="left"/>
      <w:pPr>
        <w:ind w:left="3600" w:hanging="360"/>
      </w:pPr>
    </w:lvl>
    <w:lvl w:ilvl="5" w:tplc="B3D8D4C8">
      <w:start w:val="1"/>
      <w:numFmt w:val="lowerRoman"/>
      <w:lvlText w:val="%6."/>
      <w:lvlJc w:val="right"/>
      <w:pPr>
        <w:ind w:left="4320" w:hanging="180"/>
      </w:pPr>
    </w:lvl>
    <w:lvl w:ilvl="6" w:tplc="77F2126E">
      <w:start w:val="1"/>
      <w:numFmt w:val="decimal"/>
      <w:lvlText w:val="%7."/>
      <w:lvlJc w:val="left"/>
      <w:pPr>
        <w:ind w:left="5040" w:hanging="360"/>
      </w:pPr>
    </w:lvl>
    <w:lvl w:ilvl="7" w:tplc="7D080F68">
      <w:start w:val="1"/>
      <w:numFmt w:val="lowerLetter"/>
      <w:lvlText w:val="%8."/>
      <w:lvlJc w:val="left"/>
      <w:pPr>
        <w:ind w:left="5760" w:hanging="360"/>
      </w:pPr>
    </w:lvl>
    <w:lvl w:ilvl="8" w:tplc="5A165CA6">
      <w:start w:val="1"/>
      <w:numFmt w:val="lowerRoman"/>
      <w:lvlText w:val="%9."/>
      <w:lvlJc w:val="right"/>
      <w:pPr>
        <w:ind w:left="6480" w:hanging="180"/>
      </w:pPr>
    </w:lvl>
  </w:abstractNum>
  <w:abstractNum w:abstractNumId="13"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4" w15:restartNumberingAfterBreak="0">
    <w:nsid w:val="0EC718DE"/>
    <w:multiLevelType w:val="hybridMultilevel"/>
    <w:tmpl w:val="5EC04D12"/>
    <w:lvl w:ilvl="0" w:tplc="7952A930">
      <w:start w:val="1"/>
      <w:numFmt w:val="decimal"/>
      <w:lvlText w:val="%1."/>
      <w:lvlJc w:val="left"/>
      <w:pPr>
        <w:ind w:left="1068" w:hanging="360"/>
      </w:pPr>
    </w:lvl>
    <w:lvl w:ilvl="1" w:tplc="120A5B7C" w:tentative="1">
      <w:start w:val="1"/>
      <w:numFmt w:val="lowerLetter"/>
      <w:lvlText w:val="%2."/>
      <w:lvlJc w:val="left"/>
      <w:pPr>
        <w:ind w:left="1788" w:hanging="360"/>
      </w:pPr>
    </w:lvl>
    <w:lvl w:ilvl="2" w:tplc="16504FC6" w:tentative="1">
      <w:start w:val="1"/>
      <w:numFmt w:val="lowerRoman"/>
      <w:lvlText w:val="%3."/>
      <w:lvlJc w:val="right"/>
      <w:pPr>
        <w:ind w:left="2508" w:hanging="180"/>
      </w:pPr>
    </w:lvl>
    <w:lvl w:ilvl="3" w:tplc="E460B9F0">
      <w:start w:val="1"/>
      <w:numFmt w:val="decimal"/>
      <w:lvlText w:val="%4."/>
      <w:lvlJc w:val="left"/>
      <w:pPr>
        <w:ind w:left="3228" w:hanging="360"/>
      </w:pPr>
    </w:lvl>
    <w:lvl w:ilvl="4" w:tplc="CF7451AA">
      <w:start w:val="1"/>
      <w:numFmt w:val="lowerLetter"/>
      <w:lvlText w:val="%5."/>
      <w:lvlJc w:val="left"/>
      <w:pPr>
        <w:ind w:left="3948" w:hanging="360"/>
      </w:pPr>
    </w:lvl>
    <w:lvl w:ilvl="5" w:tplc="56E29BA0" w:tentative="1">
      <w:start w:val="1"/>
      <w:numFmt w:val="lowerRoman"/>
      <w:lvlText w:val="%6."/>
      <w:lvlJc w:val="right"/>
      <w:pPr>
        <w:ind w:left="4668" w:hanging="180"/>
      </w:pPr>
    </w:lvl>
    <w:lvl w:ilvl="6" w:tplc="DEA62AAA">
      <w:start w:val="1"/>
      <w:numFmt w:val="decimal"/>
      <w:lvlText w:val="%7."/>
      <w:lvlJc w:val="left"/>
      <w:pPr>
        <w:ind w:left="5388" w:hanging="360"/>
      </w:pPr>
    </w:lvl>
    <w:lvl w:ilvl="7" w:tplc="31340E8E" w:tentative="1">
      <w:start w:val="1"/>
      <w:numFmt w:val="lowerLetter"/>
      <w:lvlText w:val="%8."/>
      <w:lvlJc w:val="left"/>
      <w:pPr>
        <w:ind w:left="6108" w:hanging="360"/>
      </w:pPr>
    </w:lvl>
    <w:lvl w:ilvl="8" w:tplc="A9F6F416" w:tentative="1">
      <w:start w:val="1"/>
      <w:numFmt w:val="lowerRoman"/>
      <w:lvlText w:val="%9."/>
      <w:lvlJc w:val="right"/>
      <w:pPr>
        <w:ind w:left="6828" w:hanging="180"/>
      </w:pPr>
    </w:lvl>
  </w:abstractNum>
  <w:abstractNum w:abstractNumId="15" w15:restartNumberingAfterBreak="0">
    <w:nsid w:val="0ECD0D0B"/>
    <w:multiLevelType w:val="hybridMultilevel"/>
    <w:tmpl w:val="4AAC15CA"/>
    <w:lvl w:ilvl="0" w:tplc="69845B4A">
      <w:start w:val="1"/>
      <w:numFmt w:val="decimal"/>
      <w:lvlText w:val="%1."/>
      <w:lvlJc w:val="left"/>
      <w:pPr>
        <w:ind w:left="1440" w:hanging="360"/>
      </w:pPr>
    </w:lvl>
    <w:lvl w:ilvl="1" w:tplc="A5FA0FC4">
      <w:start w:val="1"/>
      <w:numFmt w:val="lowerLetter"/>
      <w:lvlText w:val="%2."/>
      <w:lvlJc w:val="left"/>
      <w:pPr>
        <w:ind w:left="2160" w:hanging="360"/>
      </w:pPr>
    </w:lvl>
    <w:lvl w:ilvl="2" w:tplc="56F435D4">
      <w:start w:val="1"/>
      <w:numFmt w:val="lowerRoman"/>
      <w:lvlText w:val="%3."/>
      <w:lvlJc w:val="right"/>
      <w:pPr>
        <w:ind w:left="2880" w:hanging="180"/>
      </w:pPr>
    </w:lvl>
    <w:lvl w:ilvl="3" w:tplc="65724994">
      <w:start w:val="1"/>
      <w:numFmt w:val="decimal"/>
      <w:lvlText w:val="%4."/>
      <w:lvlJc w:val="left"/>
      <w:pPr>
        <w:ind w:left="3600" w:hanging="360"/>
      </w:pPr>
    </w:lvl>
    <w:lvl w:ilvl="4" w:tplc="2190F6F2">
      <w:start w:val="1"/>
      <w:numFmt w:val="lowerLetter"/>
      <w:lvlText w:val="%5."/>
      <w:lvlJc w:val="left"/>
      <w:pPr>
        <w:ind w:left="4320" w:hanging="360"/>
      </w:pPr>
    </w:lvl>
    <w:lvl w:ilvl="5" w:tplc="2DFA509C">
      <w:start w:val="1"/>
      <w:numFmt w:val="lowerRoman"/>
      <w:lvlText w:val="%6."/>
      <w:lvlJc w:val="right"/>
      <w:pPr>
        <w:ind w:left="5040" w:hanging="180"/>
      </w:pPr>
    </w:lvl>
    <w:lvl w:ilvl="6" w:tplc="DB083EBE">
      <w:start w:val="1"/>
      <w:numFmt w:val="decimal"/>
      <w:lvlText w:val="%7."/>
      <w:lvlJc w:val="left"/>
      <w:pPr>
        <w:ind w:left="5760" w:hanging="360"/>
      </w:pPr>
    </w:lvl>
    <w:lvl w:ilvl="7" w:tplc="58B8DFB0">
      <w:start w:val="1"/>
      <w:numFmt w:val="lowerLetter"/>
      <w:lvlText w:val="%8."/>
      <w:lvlJc w:val="left"/>
      <w:pPr>
        <w:ind w:left="6480" w:hanging="360"/>
      </w:pPr>
    </w:lvl>
    <w:lvl w:ilvl="8" w:tplc="0EEAAD3E">
      <w:start w:val="1"/>
      <w:numFmt w:val="lowerRoman"/>
      <w:lvlText w:val="%9."/>
      <w:lvlJc w:val="right"/>
      <w:pPr>
        <w:ind w:left="7200" w:hanging="180"/>
      </w:pPr>
    </w:lvl>
  </w:abstractNum>
  <w:abstractNum w:abstractNumId="16" w15:restartNumberingAfterBreak="0">
    <w:nsid w:val="19E467E3"/>
    <w:multiLevelType w:val="hybridMultilevel"/>
    <w:tmpl w:val="FFFFFFFF"/>
    <w:lvl w:ilvl="0" w:tplc="57443584">
      <w:start w:val="1"/>
      <w:numFmt w:val="decimal"/>
      <w:lvlText w:val="%1."/>
      <w:lvlJc w:val="left"/>
      <w:pPr>
        <w:ind w:left="1440" w:hanging="360"/>
      </w:pPr>
    </w:lvl>
    <w:lvl w:ilvl="1" w:tplc="7200F4C6">
      <w:start w:val="1"/>
      <w:numFmt w:val="lowerLetter"/>
      <w:lvlText w:val="%2."/>
      <w:lvlJc w:val="left"/>
      <w:pPr>
        <w:ind w:left="2160" w:hanging="360"/>
      </w:pPr>
    </w:lvl>
    <w:lvl w:ilvl="2" w:tplc="DBC47874">
      <w:start w:val="1"/>
      <w:numFmt w:val="lowerRoman"/>
      <w:lvlText w:val="%3."/>
      <w:lvlJc w:val="right"/>
      <w:pPr>
        <w:ind w:left="2880" w:hanging="180"/>
      </w:pPr>
    </w:lvl>
    <w:lvl w:ilvl="3" w:tplc="7EAAA7FC">
      <w:start w:val="1"/>
      <w:numFmt w:val="decimal"/>
      <w:lvlText w:val="%4."/>
      <w:lvlJc w:val="left"/>
      <w:pPr>
        <w:ind w:left="3600" w:hanging="360"/>
      </w:pPr>
    </w:lvl>
    <w:lvl w:ilvl="4" w:tplc="ED14CAD6">
      <w:start w:val="1"/>
      <w:numFmt w:val="lowerLetter"/>
      <w:lvlText w:val="%5."/>
      <w:lvlJc w:val="left"/>
      <w:pPr>
        <w:ind w:left="4320" w:hanging="360"/>
      </w:pPr>
    </w:lvl>
    <w:lvl w:ilvl="5" w:tplc="EBD6EF68">
      <w:start w:val="1"/>
      <w:numFmt w:val="lowerRoman"/>
      <w:lvlText w:val="%6."/>
      <w:lvlJc w:val="right"/>
      <w:pPr>
        <w:ind w:left="5040" w:hanging="180"/>
      </w:pPr>
    </w:lvl>
    <w:lvl w:ilvl="6" w:tplc="EB72F50C">
      <w:start w:val="1"/>
      <w:numFmt w:val="decimal"/>
      <w:lvlText w:val="%7."/>
      <w:lvlJc w:val="left"/>
      <w:pPr>
        <w:ind w:left="5760" w:hanging="360"/>
      </w:pPr>
    </w:lvl>
    <w:lvl w:ilvl="7" w:tplc="5E2AFA00">
      <w:start w:val="1"/>
      <w:numFmt w:val="lowerLetter"/>
      <w:lvlText w:val="%8."/>
      <w:lvlJc w:val="left"/>
      <w:pPr>
        <w:ind w:left="6480" w:hanging="360"/>
      </w:pPr>
    </w:lvl>
    <w:lvl w:ilvl="8" w:tplc="9D927A0C">
      <w:start w:val="1"/>
      <w:numFmt w:val="lowerRoman"/>
      <w:lvlText w:val="%9."/>
      <w:lvlJc w:val="right"/>
      <w:pPr>
        <w:ind w:left="7200" w:hanging="180"/>
      </w:pPr>
    </w:lvl>
  </w:abstractNum>
  <w:abstractNum w:abstractNumId="17"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B845446"/>
    <w:multiLevelType w:val="hybridMultilevel"/>
    <w:tmpl w:val="FFFFFFFF"/>
    <w:lvl w:ilvl="0" w:tplc="9ACC1462">
      <w:start w:val="1"/>
      <w:numFmt w:val="decimal"/>
      <w:lvlText w:val="%1."/>
      <w:lvlJc w:val="left"/>
      <w:pPr>
        <w:ind w:left="1440" w:hanging="360"/>
      </w:pPr>
    </w:lvl>
    <w:lvl w:ilvl="1" w:tplc="6DC6BF94">
      <w:start w:val="1"/>
      <w:numFmt w:val="lowerLetter"/>
      <w:lvlText w:val="%2."/>
      <w:lvlJc w:val="left"/>
      <w:pPr>
        <w:ind w:left="2160" w:hanging="360"/>
      </w:pPr>
    </w:lvl>
    <w:lvl w:ilvl="2" w:tplc="2E54A17E">
      <w:start w:val="1"/>
      <w:numFmt w:val="lowerRoman"/>
      <w:lvlText w:val="%3."/>
      <w:lvlJc w:val="right"/>
      <w:pPr>
        <w:ind w:left="2880" w:hanging="180"/>
      </w:pPr>
    </w:lvl>
    <w:lvl w:ilvl="3" w:tplc="EFF4F44C">
      <w:start w:val="1"/>
      <w:numFmt w:val="decimal"/>
      <w:lvlText w:val="%4."/>
      <w:lvlJc w:val="left"/>
      <w:pPr>
        <w:ind w:left="3600" w:hanging="360"/>
      </w:pPr>
    </w:lvl>
    <w:lvl w:ilvl="4" w:tplc="A13CF310">
      <w:start w:val="1"/>
      <w:numFmt w:val="lowerLetter"/>
      <w:lvlText w:val="%5."/>
      <w:lvlJc w:val="left"/>
      <w:pPr>
        <w:ind w:left="4320" w:hanging="360"/>
      </w:pPr>
    </w:lvl>
    <w:lvl w:ilvl="5" w:tplc="630E81B6">
      <w:start w:val="1"/>
      <w:numFmt w:val="lowerRoman"/>
      <w:lvlText w:val="%6."/>
      <w:lvlJc w:val="right"/>
      <w:pPr>
        <w:ind w:left="5040" w:hanging="180"/>
      </w:pPr>
    </w:lvl>
    <w:lvl w:ilvl="6" w:tplc="891A3ADE">
      <w:start w:val="1"/>
      <w:numFmt w:val="decimal"/>
      <w:lvlText w:val="%7."/>
      <w:lvlJc w:val="left"/>
      <w:pPr>
        <w:ind w:left="5760" w:hanging="360"/>
      </w:pPr>
    </w:lvl>
    <w:lvl w:ilvl="7" w:tplc="B94C2550">
      <w:start w:val="1"/>
      <w:numFmt w:val="lowerLetter"/>
      <w:lvlText w:val="%8."/>
      <w:lvlJc w:val="left"/>
      <w:pPr>
        <w:ind w:left="6480" w:hanging="360"/>
      </w:pPr>
    </w:lvl>
    <w:lvl w:ilvl="8" w:tplc="C3F2D67A">
      <w:start w:val="1"/>
      <w:numFmt w:val="lowerRoman"/>
      <w:lvlText w:val="%9."/>
      <w:lvlJc w:val="right"/>
      <w:pPr>
        <w:ind w:left="7200" w:hanging="180"/>
      </w:pPr>
    </w:lvl>
  </w:abstractNum>
  <w:abstractNum w:abstractNumId="19"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E683F7A"/>
    <w:multiLevelType w:val="hybridMultilevel"/>
    <w:tmpl w:val="2DFED60C"/>
    <w:lvl w:ilvl="0" w:tplc="85DCF026">
      <w:start w:val="1"/>
      <w:numFmt w:val="decimal"/>
      <w:lvlText w:val="%1."/>
      <w:lvlJc w:val="left"/>
      <w:pPr>
        <w:ind w:left="1440" w:hanging="360"/>
      </w:pPr>
    </w:lvl>
    <w:lvl w:ilvl="1" w:tplc="9F2CD6B8">
      <w:start w:val="1"/>
      <w:numFmt w:val="lowerLetter"/>
      <w:lvlText w:val="%2."/>
      <w:lvlJc w:val="left"/>
      <w:pPr>
        <w:ind w:left="2160" w:hanging="360"/>
      </w:pPr>
    </w:lvl>
    <w:lvl w:ilvl="2" w:tplc="FCF61EF2">
      <w:start w:val="1"/>
      <w:numFmt w:val="lowerRoman"/>
      <w:lvlText w:val="%3."/>
      <w:lvlJc w:val="right"/>
      <w:pPr>
        <w:ind w:left="2880" w:hanging="180"/>
      </w:pPr>
    </w:lvl>
    <w:lvl w:ilvl="3" w:tplc="AB9E4376">
      <w:start w:val="1"/>
      <w:numFmt w:val="decimal"/>
      <w:lvlText w:val="%4."/>
      <w:lvlJc w:val="left"/>
      <w:pPr>
        <w:ind w:left="3600" w:hanging="360"/>
      </w:pPr>
    </w:lvl>
    <w:lvl w:ilvl="4" w:tplc="97A059DA">
      <w:start w:val="1"/>
      <w:numFmt w:val="lowerLetter"/>
      <w:lvlText w:val="%5."/>
      <w:lvlJc w:val="left"/>
      <w:pPr>
        <w:ind w:left="4320" w:hanging="360"/>
      </w:pPr>
    </w:lvl>
    <w:lvl w:ilvl="5" w:tplc="6D4EBF60">
      <w:start w:val="1"/>
      <w:numFmt w:val="lowerRoman"/>
      <w:lvlText w:val="%6."/>
      <w:lvlJc w:val="right"/>
      <w:pPr>
        <w:ind w:left="5040" w:hanging="180"/>
      </w:pPr>
    </w:lvl>
    <w:lvl w:ilvl="6" w:tplc="6A8E5C1A">
      <w:start w:val="1"/>
      <w:numFmt w:val="decimal"/>
      <w:lvlText w:val="%7."/>
      <w:lvlJc w:val="left"/>
      <w:pPr>
        <w:ind w:left="5760" w:hanging="360"/>
      </w:pPr>
    </w:lvl>
    <w:lvl w:ilvl="7" w:tplc="B172F826">
      <w:start w:val="1"/>
      <w:numFmt w:val="lowerLetter"/>
      <w:lvlText w:val="%8."/>
      <w:lvlJc w:val="left"/>
      <w:pPr>
        <w:ind w:left="6480" w:hanging="360"/>
      </w:pPr>
    </w:lvl>
    <w:lvl w:ilvl="8" w:tplc="6F0821FC">
      <w:start w:val="1"/>
      <w:numFmt w:val="lowerRoman"/>
      <w:lvlText w:val="%9."/>
      <w:lvlJc w:val="right"/>
      <w:pPr>
        <w:ind w:left="7200" w:hanging="180"/>
      </w:pPr>
    </w:lvl>
  </w:abstractNum>
  <w:abstractNum w:abstractNumId="21"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6C5734"/>
    <w:multiLevelType w:val="hybridMultilevel"/>
    <w:tmpl w:val="FFFFFFFF"/>
    <w:lvl w:ilvl="0" w:tplc="67DE3D5A">
      <w:start w:val="1"/>
      <w:numFmt w:val="decimal"/>
      <w:lvlText w:val="%1."/>
      <w:lvlJc w:val="left"/>
      <w:pPr>
        <w:ind w:left="1440" w:hanging="360"/>
      </w:pPr>
    </w:lvl>
    <w:lvl w:ilvl="1" w:tplc="F4EA5B4A">
      <w:start w:val="1"/>
      <w:numFmt w:val="lowerLetter"/>
      <w:lvlText w:val="%2."/>
      <w:lvlJc w:val="left"/>
      <w:pPr>
        <w:ind w:left="2160" w:hanging="360"/>
      </w:pPr>
    </w:lvl>
    <w:lvl w:ilvl="2" w:tplc="8D08D72C">
      <w:start w:val="1"/>
      <w:numFmt w:val="lowerRoman"/>
      <w:lvlText w:val="%3."/>
      <w:lvlJc w:val="right"/>
      <w:pPr>
        <w:ind w:left="2880" w:hanging="180"/>
      </w:pPr>
    </w:lvl>
    <w:lvl w:ilvl="3" w:tplc="2BB2AF20">
      <w:start w:val="1"/>
      <w:numFmt w:val="decimal"/>
      <w:lvlText w:val="%4."/>
      <w:lvlJc w:val="left"/>
      <w:pPr>
        <w:ind w:left="3600" w:hanging="360"/>
      </w:pPr>
    </w:lvl>
    <w:lvl w:ilvl="4" w:tplc="CEC4EC0E">
      <w:start w:val="1"/>
      <w:numFmt w:val="lowerLetter"/>
      <w:lvlText w:val="%5."/>
      <w:lvlJc w:val="left"/>
      <w:pPr>
        <w:ind w:left="4320" w:hanging="360"/>
      </w:pPr>
    </w:lvl>
    <w:lvl w:ilvl="5" w:tplc="784C7EDA">
      <w:start w:val="1"/>
      <w:numFmt w:val="lowerRoman"/>
      <w:lvlText w:val="%6."/>
      <w:lvlJc w:val="right"/>
      <w:pPr>
        <w:ind w:left="5040" w:hanging="180"/>
      </w:pPr>
    </w:lvl>
    <w:lvl w:ilvl="6" w:tplc="CDCCA28E">
      <w:start w:val="1"/>
      <w:numFmt w:val="decimal"/>
      <w:lvlText w:val="%7."/>
      <w:lvlJc w:val="left"/>
      <w:pPr>
        <w:ind w:left="5760" w:hanging="360"/>
      </w:pPr>
    </w:lvl>
    <w:lvl w:ilvl="7" w:tplc="BEB826AA">
      <w:start w:val="1"/>
      <w:numFmt w:val="lowerLetter"/>
      <w:lvlText w:val="%8."/>
      <w:lvlJc w:val="left"/>
      <w:pPr>
        <w:ind w:left="6480" w:hanging="360"/>
      </w:pPr>
    </w:lvl>
    <w:lvl w:ilvl="8" w:tplc="AAFC381A">
      <w:start w:val="1"/>
      <w:numFmt w:val="lowerRoman"/>
      <w:lvlText w:val="%9."/>
      <w:lvlJc w:val="right"/>
      <w:pPr>
        <w:ind w:left="7200" w:hanging="180"/>
      </w:pPr>
    </w:lvl>
  </w:abstractNum>
  <w:abstractNum w:abstractNumId="23" w15:restartNumberingAfterBreak="0">
    <w:nsid w:val="37063171"/>
    <w:multiLevelType w:val="hybridMultilevel"/>
    <w:tmpl w:val="FFFFFFFF"/>
    <w:lvl w:ilvl="0" w:tplc="61F45B0A">
      <w:start w:val="1"/>
      <w:numFmt w:val="decimal"/>
      <w:lvlText w:val="%1."/>
      <w:lvlJc w:val="left"/>
      <w:pPr>
        <w:ind w:left="1440" w:hanging="360"/>
      </w:pPr>
    </w:lvl>
    <w:lvl w:ilvl="1" w:tplc="09E8686E">
      <w:start w:val="1"/>
      <w:numFmt w:val="lowerLetter"/>
      <w:lvlText w:val="%2."/>
      <w:lvlJc w:val="left"/>
      <w:pPr>
        <w:ind w:left="2160" w:hanging="360"/>
      </w:pPr>
    </w:lvl>
    <w:lvl w:ilvl="2" w:tplc="CE981322">
      <w:start w:val="1"/>
      <w:numFmt w:val="lowerRoman"/>
      <w:lvlText w:val="%3."/>
      <w:lvlJc w:val="right"/>
      <w:pPr>
        <w:ind w:left="2880" w:hanging="180"/>
      </w:pPr>
    </w:lvl>
    <w:lvl w:ilvl="3" w:tplc="84B22F06">
      <w:start w:val="1"/>
      <w:numFmt w:val="decimal"/>
      <w:lvlText w:val="%4."/>
      <w:lvlJc w:val="left"/>
      <w:pPr>
        <w:ind w:left="3600" w:hanging="360"/>
      </w:pPr>
    </w:lvl>
    <w:lvl w:ilvl="4" w:tplc="676E58F2">
      <w:start w:val="1"/>
      <w:numFmt w:val="lowerLetter"/>
      <w:lvlText w:val="%5."/>
      <w:lvlJc w:val="left"/>
      <w:pPr>
        <w:ind w:left="4320" w:hanging="360"/>
      </w:pPr>
    </w:lvl>
    <w:lvl w:ilvl="5" w:tplc="CB2E54C8">
      <w:start w:val="1"/>
      <w:numFmt w:val="lowerRoman"/>
      <w:lvlText w:val="%6."/>
      <w:lvlJc w:val="right"/>
      <w:pPr>
        <w:ind w:left="5040" w:hanging="180"/>
      </w:pPr>
    </w:lvl>
    <w:lvl w:ilvl="6" w:tplc="D4485FBC">
      <w:start w:val="1"/>
      <w:numFmt w:val="decimal"/>
      <w:lvlText w:val="%7."/>
      <w:lvlJc w:val="left"/>
      <w:pPr>
        <w:ind w:left="5760" w:hanging="360"/>
      </w:pPr>
    </w:lvl>
    <w:lvl w:ilvl="7" w:tplc="06B47ED2">
      <w:start w:val="1"/>
      <w:numFmt w:val="lowerLetter"/>
      <w:lvlText w:val="%8."/>
      <w:lvlJc w:val="left"/>
      <w:pPr>
        <w:ind w:left="6480" w:hanging="360"/>
      </w:pPr>
    </w:lvl>
    <w:lvl w:ilvl="8" w:tplc="B34CF538">
      <w:start w:val="1"/>
      <w:numFmt w:val="lowerRoman"/>
      <w:lvlText w:val="%9."/>
      <w:lvlJc w:val="right"/>
      <w:pPr>
        <w:ind w:left="7200" w:hanging="180"/>
      </w:pPr>
    </w:lvl>
  </w:abstractNum>
  <w:abstractNum w:abstractNumId="24" w15:restartNumberingAfterBreak="0">
    <w:nsid w:val="373D657E"/>
    <w:multiLevelType w:val="hybridMultilevel"/>
    <w:tmpl w:val="FFFFFFFF"/>
    <w:lvl w:ilvl="0" w:tplc="1D92D516">
      <w:start w:val="1"/>
      <w:numFmt w:val="decimal"/>
      <w:lvlText w:val="%1."/>
      <w:lvlJc w:val="left"/>
      <w:pPr>
        <w:ind w:left="1440" w:hanging="360"/>
      </w:pPr>
    </w:lvl>
    <w:lvl w:ilvl="1" w:tplc="299C8B98">
      <w:start w:val="1"/>
      <w:numFmt w:val="lowerLetter"/>
      <w:lvlText w:val="%2."/>
      <w:lvlJc w:val="left"/>
      <w:pPr>
        <w:ind w:left="2160" w:hanging="360"/>
      </w:pPr>
    </w:lvl>
    <w:lvl w:ilvl="2" w:tplc="DFE85BE6">
      <w:start w:val="1"/>
      <w:numFmt w:val="lowerRoman"/>
      <w:lvlText w:val="%3."/>
      <w:lvlJc w:val="right"/>
      <w:pPr>
        <w:ind w:left="2880" w:hanging="180"/>
      </w:pPr>
    </w:lvl>
    <w:lvl w:ilvl="3" w:tplc="FDCE8880">
      <w:start w:val="1"/>
      <w:numFmt w:val="decimal"/>
      <w:lvlText w:val="%4."/>
      <w:lvlJc w:val="left"/>
      <w:pPr>
        <w:ind w:left="3600" w:hanging="360"/>
      </w:pPr>
    </w:lvl>
    <w:lvl w:ilvl="4" w:tplc="0012EE8C">
      <w:start w:val="1"/>
      <w:numFmt w:val="lowerLetter"/>
      <w:lvlText w:val="%5."/>
      <w:lvlJc w:val="left"/>
      <w:pPr>
        <w:ind w:left="4320" w:hanging="360"/>
      </w:pPr>
    </w:lvl>
    <w:lvl w:ilvl="5" w:tplc="23747C1C">
      <w:start w:val="1"/>
      <w:numFmt w:val="lowerRoman"/>
      <w:lvlText w:val="%6."/>
      <w:lvlJc w:val="right"/>
      <w:pPr>
        <w:ind w:left="5040" w:hanging="180"/>
      </w:pPr>
    </w:lvl>
    <w:lvl w:ilvl="6" w:tplc="A7CCEB16">
      <w:start w:val="1"/>
      <w:numFmt w:val="decimal"/>
      <w:lvlText w:val="%7."/>
      <w:lvlJc w:val="left"/>
      <w:pPr>
        <w:ind w:left="5760" w:hanging="360"/>
      </w:pPr>
    </w:lvl>
    <w:lvl w:ilvl="7" w:tplc="35A420D6">
      <w:start w:val="1"/>
      <w:numFmt w:val="lowerLetter"/>
      <w:lvlText w:val="%8."/>
      <w:lvlJc w:val="left"/>
      <w:pPr>
        <w:ind w:left="6480" w:hanging="360"/>
      </w:pPr>
    </w:lvl>
    <w:lvl w:ilvl="8" w:tplc="FC68B60C">
      <w:start w:val="1"/>
      <w:numFmt w:val="lowerRoman"/>
      <w:lvlText w:val="%9."/>
      <w:lvlJc w:val="right"/>
      <w:pPr>
        <w:ind w:left="7200" w:hanging="180"/>
      </w:pPr>
    </w:lvl>
  </w:abstractNum>
  <w:abstractNum w:abstractNumId="25" w15:restartNumberingAfterBreak="0">
    <w:nsid w:val="3DE252F0"/>
    <w:multiLevelType w:val="hybridMultilevel"/>
    <w:tmpl w:val="FFFFFFFF"/>
    <w:lvl w:ilvl="0" w:tplc="EA8474A8">
      <w:start w:val="1"/>
      <w:numFmt w:val="decimal"/>
      <w:lvlText w:val="%1."/>
      <w:lvlJc w:val="left"/>
      <w:pPr>
        <w:ind w:left="1440" w:hanging="360"/>
      </w:pPr>
    </w:lvl>
    <w:lvl w:ilvl="1" w:tplc="EA6A8F96">
      <w:start w:val="1"/>
      <w:numFmt w:val="lowerLetter"/>
      <w:lvlText w:val="%2."/>
      <w:lvlJc w:val="left"/>
      <w:pPr>
        <w:ind w:left="2160" w:hanging="360"/>
      </w:pPr>
    </w:lvl>
    <w:lvl w:ilvl="2" w:tplc="1930B73C">
      <w:start w:val="1"/>
      <w:numFmt w:val="lowerRoman"/>
      <w:lvlText w:val="%3."/>
      <w:lvlJc w:val="right"/>
      <w:pPr>
        <w:ind w:left="2880" w:hanging="180"/>
      </w:pPr>
    </w:lvl>
    <w:lvl w:ilvl="3" w:tplc="2A7A115C">
      <w:start w:val="1"/>
      <w:numFmt w:val="decimal"/>
      <w:lvlText w:val="%4."/>
      <w:lvlJc w:val="left"/>
      <w:pPr>
        <w:ind w:left="3600" w:hanging="360"/>
      </w:pPr>
    </w:lvl>
    <w:lvl w:ilvl="4" w:tplc="65EA6262">
      <w:start w:val="1"/>
      <w:numFmt w:val="lowerLetter"/>
      <w:lvlText w:val="%5."/>
      <w:lvlJc w:val="left"/>
      <w:pPr>
        <w:ind w:left="4320" w:hanging="360"/>
      </w:pPr>
    </w:lvl>
    <w:lvl w:ilvl="5" w:tplc="AAB44284">
      <w:start w:val="1"/>
      <w:numFmt w:val="lowerRoman"/>
      <w:lvlText w:val="%6."/>
      <w:lvlJc w:val="right"/>
      <w:pPr>
        <w:ind w:left="5040" w:hanging="180"/>
      </w:pPr>
    </w:lvl>
    <w:lvl w:ilvl="6" w:tplc="51302F78">
      <w:start w:val="1"/>
      <w:numFmt w:val="decimal"/>
      <w:lvlText w:val="%7."/>
      <w:lvlJc w:val="left"/>
      <w:pPr>
        <w:ind w:left="5760" w:hanging="360"/>
      </w:pPr>
    </w:lvl>
    <w:lvl w:ilvl="7" w:tplc="7960E984">
      <w:start w:val="1"/>
      <w:numFmt w:val="lowerLetter"/>
      <w:lvlText w:val="%8."/>
      <w:lvlJc w:val="left"/>
      <w:pPr>
        <w:ind w:left="6480" w:hanging="360"/>
      </w:pPr>
    </w:lvl>
    <w:lvl w:ilvl="8" w:tplc="E96A0408">
      <w:start w:val="1"/>
      <w:numFmt w:val="lowerRoman"/>
      <w:lvlText w:val="%9."/>
      <w:lvlJc w:val="right"/>
      <w:pPr>
        <w:ind w:left="7200" w:hanging="180"/>
      </w:pPr>
    </w:lvl>
  </w:abstractNum>
  <w:abstractNum w:abstractNumId="26" w15:restartNumberingAfterBreak="0">
    <w:nsid w:val="3F3475AD"/>
    <w:multiLevelType w:val="hybridMultilevel"/>
    <w:tmpl w:val="FFFFFFFF"/>
    <w:lvl w:ilvl="0" w:tplc="FD680892">
      <w:start w:val="1"/>
      <w:numFmt w:val="decimal"/>
      <w:lvlText w:val="%1."/>
      <w:lvlJc w:val="left"/>
      <w:pPr>
        <w:ind w:left="1440" w:hanging="360"/>
      </w:pPr>
    </w:lvl>
    <w:lvl w:ilvl="1" w:tplc="408CA32E">
      <w:start w:val="1"/>
      <w:numFmt w:val="lowerLetter"/>
      <w:lvlText w:val="%2."/>
      <w:lvlJc w:val="left"/>
      <w:pPr>
        <w:ind w:left="2160" w:hanging="360"/>
      </w:pPr>
    </w:lvl>
    <w:lvl w:ilvl="2" w:tplc="9AB6D99E">
      <w:start w:val="1"/>
      <w:numFmt w:val="lowerRoman"/>
      <w:lvlText w:val="%3."/>
      <w:lvlJc w:val="right"/>
      <w:pPr>
        <w:ind w:left="2880" w:hanging="180"/>
      </w:pPr>
    </w:lvl>
    <w:lvl w:ilvl="3" w:tplc="13608E3C">
      <w:start w:val="1"/>
      <w:numFmt w:val="decimal"/>
      <w:lvlText w:val="%4."/>
      <w:lvlJc w:val="left"/>
      <w:pPr>
        <w:ind w:left="3600" w:hanging="360"/>
      </w:pPr>
    </w:lvl>
    <w:lvl w:ilvl="4" w:tplc="3E1C1904">
      <w:start w:val="1"/>
      <w:numFmt w:val="lowerLetter"/>
      <w:lvlText w:val="%5."/>
      <w:lvlJc w:val="left"/>
      <w:pPr>
        <w:ind w:left="4320" w:hanging="360"/>
      </w:pPr>
    </w:lvl>
    <w:lvl w:ilvl="5" w:tplc="124683A4">
      <w:start w:val="1"/>
      <w:numFmt w:val="lowerRoman"/>
      <w:lvlText w:val="%6."/>
      <w:lvlJc w:val="right"/>
      <w:pPr>
        <w:ind w:left="5040" w:hanging="180"/>
      </w:pPr>
    </w:lvl>
    <w:lvl w:ilvl="6" w:tplc="CB029932">
      <w:start w:val="1"/>
      <w:numFmt w:val="decimal"/>
      <w:lvlText w:val="%7."/>
      <w:lvlJc w:val="left"/>
      <w:pPr>
        <w:ind w:left="5760" w:hanging="360"/>
      </w:pPr>
    </w:lvl>
    <w:lvl w:ilvl="7" w:tplc="BA8290CA">
      <w:start w:val="1"/>
      <w:numFmt w:val="lowerLetter"/>
      <w:lvlText w:val="%8."/>
      <w:lvlJc w:val="left"/>
      <w:pPr>
        <w:ind w:left="6480" w:hanging="360"/>
      </w:pPr>
    </w:lvl>
    <w:lvl w:ilvl="8" w:tplc="13D88E18">
      <w:start w:val="1"/>
      <w:numFmt w:val="lowerRoman"/>
      <w:lvlText w:val="%9."/>
      <w:lvlJc w:val="right"/>
      <w:pPr>
        <w:ind w:left="7200" w:hanging="180"/>
      </w:pPr>
    </w:lvl>
  </w:abstractNum>
  <w:abstractNum w:abstractNumId="27"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DF53EC"/>
    <w:multiLevelType w:val="hybridMultilevel"/>
    <w:tmpl w:val="FFFFFFFF"/>
    <w:lvl w:ilvl="0" w:tplc="1F4C31F0">
      <w:start w:val="1"/>
      <w:numFmt w:val="decimal"/>
      <w:lvlText w:val="%1."/>
      <w:lvlJc w:val="left"/>
      <w:pPr>
        <w:ind w:left="1440" w:hanging="360"/>
      </w:pPr>
    </w:lvl>
    <w:lvl w:ilvl="1" w:tplc="483EE73C">
      <w:start w:val="1"/>
      <w:numFmt w:val="lowerLetter"/>
      <w:lvlText w:val="%2."/>
      <w:lvlJc w:val="left"/>
      <w:pPr>
        <w:ind w:left="2160" w:hanging="360"/>
      </w:pPr>
    </w:lvl>
    <w:lvl w:ilvl="2" w:tplc="7CBA6E70">
      <w:start w:val="1"/>
      <w:numFmt w:val="lowerRoman"/>
      <w:lvlText w:val="%3."/>
      <w:lvlJc w:val="right"/>
      <w:pPr>
        <w:ind w:left="2880" w:hanging="180"/>
      </w:pPr>
    </w:lvl>
    <w:lvl w:ilvl="3" w:tplc="15F82684">
      <w:start w:val="1"/>
      <w:numFmt w:val="decimal"/>
      <w:lvlText w:val="%4."/>
      <w:lvlJc w:val="left"/>
      <w:pPr>
        <w:ind w:left="3600" w:hanging="360"/>
      </w:pPr>
    </w:lvl>
    <w:lvl w:ilvl="4" w:tplc="E69C6C90">
      <w:start w:val="1"/>
      <w:numFmt w:val="lowerLetter"/>
      <w:lvlText w:val="%5."/>
      <w:lvlJc w:val="left"/>
      <w:pPr>
        <w:ind w:left="4320" w:hanging="360"/>
      </w:pPr>
    </w:lvl>
    <w:lvl w:ilvl="5" w:tplc="506EEA7E">
      <w:start w:val="1"/>
      <w:numFmt w:val="lowerRoman"/>
      <w:lvlText w:val="%6."/>
      <w:lvlJc w:val="right"/>
      <w:pPr>
        <w:ind w:left="5040" w:hanging="180"/>
      </w:pPr>
    </w:lvl>
    <w:lvl w:ilvl="6" w:tplc="A99C5A08">
      <w:start w:val="1"/>
      <w:numFmt w:val="decimal"/>
      <w:lvlText w:val="%7."/>
      <w:lvlJc w:val="left"/>
      <w:pPr>
        <w:ind w:left="5760" w:hanging="360"/>
      </w:pPr>
    </w:lvl>
    <w:lvl w:ilvl="7" w:tplc="4B684F34">
      <w:start w:val="1"/>
      <w:numFmt w:val="lowerLetter"/>
      <w:lvlText w:val="%8."/>
      <w:lvlJc w:val="left"/>
      <w:pPr>
        <w:ind w:left="6480" w:hanging="360"/>
      </w:pPr>
    </w:lvl>
    <w:lvl w:ilvl="8" w:tplc="E69CB626">
      <w:start w:val="1"/>
      <w:numFmt w:val="lowerRoman"/>
      <w:lvlText w:val="%9."/>
      <w:lvlJc w:val="right"/>
      <w:pPr>
        <w:ind w:left="7200" w:hanging="180"/>
      </w:pPr>
    </w:lvl>
  </w:abstractNum>
  <w:abstractNum w:abstractNumId="29" w15:restartNumberingAfterBreak="0">
    <w:nsid w:val="451C7E90"/>
    <w:multiLevelType w:val="hybridMultilevel"/>
    <w:tmpl w:val="FFFFFFFF"/>
    <w:lvl w:ilvl="0" w:tplc="95462E0E">
      <w:start w:val="1"/>
      <w:numFmt w:val="decimal"/>
      <w:lvlText w:val="%1."/>
      <w:lvlJc w:val="left"/>
      <w:pPr>
        <w:ind w:left="1440" w:hanging="360"/>
      </w:pPr>
    </w:lvl>
    <w:lvl w:ilvl="1" w:tplc="248A2670">
      <w:numFmt w:val="bullet"/>
      <w:lvlText w:val="•"/>
      <w:lvlJc w:val="left"/>
      <w:pPr>
        <w:ind w:left="2160" w:hanging="360"/>
      </w:pPr>
      <w:rPr>
        <w:rFonts w:ascii="Calibri" w:hAnsi="Calibri" w:cs="Calibri"/>
      </w:rPr>
    </w:lvl>
    <w:lvl w:ilvl="2" w:tplc="D89EC99C">
      <w:start w:val="1"/>
      <w:numFmt w:val="lowerRoman"/>
      <w:lvlText w:val="%3."/>
      <w:lvlJc w:val="right"/>
      <w:pPr>
        <w:ind w:left="2880" w:hanging="180"/>
      </w:pPr>
    </w:lvl>
    <w:lvl w:ilvl="3" w:tplc="2068AB42">
      <w:start w:val="1"/>
      <w:numFmt w:val="decimal"/>
      <w:lvlText w:val="%4."/>
      <w:lvlJc w:val="left"/>
      <w:pPr>
        <w:ind w:left="3600" w:hanging="360"/>
      </w:pPr>
    </w:lvl>
    <w:lvl w:ilvl="4" w:tplc="A970AB9C">
      <w:start w:val="1"/>
      <w:numFmt w:val="lowerLetter"/>
      <w:lvlText w:val="%5."/>
      <w:lvlJc w:val="left"/>
      <w:pPr>
        <w:ind w:left="4320" w:hanging="360"/>
      </w:pPr>
    </w:lvl>
    <w:lvl w:ilvl="5" w:tplc="01267BEE">
      <w:start w:val="1"/>
      <w:numFmt w:val="lowerRoman"/>
      <w:lvlText w:val="%6."/>
      <w:lvlJc w:val="right"/>
      <w:pPr>
        <w:ind w:left="5040" w:hanging="180"/>
      </w:pPr>
    </w:lvl>
    <w:lvl w:ilvl="6" w:tplc="DA2436AC">
      <w:start w:val="1"/>
      <w:numFmt w:val="decimal"/>
      <w:lvlText w:val="%7."/>
      <w:lvlJc w:val="left"/>
      <w:pPr>
        <w:ind w:left="5760" w:hanging="360"/>
      </w:pPr>
    </w:lvl>
    <w:lvl w:ilvl="7" w:tplc="CEFE94C6">
      <w:start w:val="1"/>
      <w:numFmt w:val="lowerLetter"/>
      <w:lvlText w:val="%8."/>
      <w:lvlJc w:val="left"/>
      <w:pPr>
        <w:ind w:left="6480" w:hanging="360"/>
      </w:pPr>
    </w:lvl>
    <w:lvl w:ilvl="8" w:tplc="DA06C1B0">
      <w:start w:val="1"/>
      <w:numFmt w:val="lowerRoman"/>
      <w:lvlText w:val="%9."/>
      <w:lvlJc w:val="right"/>
      <w:pPr>
        <w:ind w:left="7200" w:hanging="180"/>
      </w:pPr>
    </w:lvl>
  </w:abstractNum>
  <w:abstractNum w:abstractNumId="30" w15:restartNumberingAfterBreak="0">
    <w:nsid w:val="46143737"/>
    <w:multiLevelType w:val="hybridMultilevel"/>
    <w:tmpl w:val="FFFFFFFF"/>
    <w:lvl w:ilvl="0" w:tplc="7D2EBB9C">
      <w:start w:val="1"/>
      <w:numFmt w:val="decimal"/>
      <w:lvlText w:val="%1."/>
      <w:lvlJc w:val="left"/>
      <w:pPr>
        <w:ind w:left="1440" w:hanging="360"/>
      </w:pPr>
    </w:lvl>
    <w:lvl w:ilvl="1" w:tplc="EC8C5F72">
      <w:start w:val="1"/>
      <w:numFmt w:val="lowerLetter"/>
      <w:lvlText w:val="%2."/>
      <w:lvlJc w:val="left"/>
      <w:pPr>
        <w:ind w:left="2160" w:hanging="360"/>
      </w:pPr>
    </w:lvl>
    <w:lvl w:ilvl="2" w:tplc="F094E920">
      <w:start w:val="1"/>
      <w:numFmt w:val="lowerRoman"/>
      <w:lvlText w:val="%3."/>
      <w:lvlJc w:val="right"/>
      <w:pPr>
        <w:ind w:left="2880" w:hanging="180"/>
      </w:pPr>
    </w:lvl>
    <w:lvl w:ilvl="3" w:tplc="350EC9B4">
      <w:start w:val="1"/>
      <w:numFmt w:val="decimal"/>
      <w:lvlText w:val="%4."/>
      <w:lvlJc w:val="left"/>
      <w:pPr>
        <w:ind w:left="3600" w:hanging="360"/>
      </w:pPr>
    </w:lvl>
    <w:lvl w:ilvl="4" w:tplc="8BAE31B8">
      <w:start w:val="1"/>
      <w:numFmt w:val="lowerLetter"/>
      <w:lvlText w:val="%5."/>
      <w:lvlJc w:val="left"/>
      <w:pPr>
        <w:ind w:left="4320" w:hanging="360"/>
      </w:pPr>
    </w:lvl>
    <w:lvl w:ilvl="5" w:tplc="A9CEDCAE">
      <w:start w:val="1"/>
      <w:numFmt w:val="lowerRoman"/>
      <w:lvlText w:val="%6."/>
      <w:lvlJc w:val="right"/>
      <w:pPr>
        <w:ind w:left="5040" w:hanging="180"/>
      </w:pPr>
    </w:lvl>
    <w:lvl w:ilvl="6" w:tplc="BE5A3950">
      <w:start w:val="1"/>
      <w:numFmt w:val="decimal"/>
      <w:lvlText w:val="%7."/>
      <w:lvlJc w:val="left"/>
      <w:pPr>
        <w:ind w:left="5760" w:hanging="360"/>
      </w:pPr>
    </w:lvl>
    <w:lvl w:ilvl="7" w:tplc="1B12D214">
      <w:start w:val="1"/>
      <w:numFmt w:val="lowerLetter"/>
      <w:lvlText w:val="%8."/>
      <w:lvlJc w:val="left"/>
      <w:pPr>
        <w:ind w:left="6480" w:hanging="360"/>
      </w:pPr>
    </w:lvl>
    <w:lvl w:ilvl="8" w:tplc="F6DAAB38">
      <w:start w:val="1"/>
      <w:numFmt w:val="lowerRoman"/>
      <w:lvlText w:val="%9."/>
      <w:lvlJc w:val="right"/>
      <w:pPr>
        <w:ind w:left="7200" w:hanging="180"/>
      </w:pPr>
    </w:lvl>
  </w:abstractNum>
  <w:abstractNum w:abstractNumId="31" w15:restartNumberingAfterBreak="0">
    <w:nsid w:val="484E12CC"/>
    <w:multiLevelType w:val="hybridMultilevel"/>
    <w:tmpl w:val="FFFFFFFF"/>
    <w:lvl w:ilvl="0" w:tplc="5310FC8E">
      <w:start w:val="1"/>
      <w:numFmt w:val="decimal"/>
      <w:lvlText w:val="%1."/>
      <w:lvlJc w:val="left"/>
      <w:pPr>
        <w:ind w:left="1440" w:hanging="360"/>
      </w:pPr>
    </w:lvl>
    <w:lvl w:ilvl="1" w:tplc="97700C16">
      <w:start w:val="1"/>
      <w:numFmt w:val="lowerLetter"/>
      <w:lvlText w:val="%2."/>
      <w:lvlJc w:val="left"/>
      <w:pPr>
        <w:ind w:left="2160" w:hanging="360"/>
      </w:pPr>
    </w:lvl>
    <w:lvl w:ilvl="2" w:tplc="195E8D18">
      <w:start w:val="1"/>
      <w:numFmt w:val="lowerRoman"/>
      <w:lvlText w:val="%3."/>
      <w:lvlJc w:val="right"/>
      <w:pPr>
        <w:ind w:left="2880" w:hanging="180"/>
      </w:pPr>
    </w:lvl>
    <w:lvl w:ilvl="3" w:tplc="714E3CA2">
      <w:start w:val="1"/>
      <w:numFmt w:val="decimal"/>
      <w:lvlText w:val="%4."/>
      <w:lvlJc w:val="left"/>
      <w:pPr>
        <w:ind w:left="3600" w:hanging="360"/>
      </w:pPr>
    </w:lvl>
    <w:lvl w:ilvl="4" w:tplc="A532138E">
      <w:start w:val="1"/>
      <w:numFmt w:val="lowerLetter"/>
      <w:lvlText w:val="%5."/>
      <w:lvlJc w:val="left"/>
      <w:pPr>
        <w:ind w:left="4320" w:hanging="360"/>
      </w:pPr>
    </w:lvl>
    <w:lvl w:ilvl="5" w:tplc="98DCB796">
      <w:start w:val="1"/>
      <w:numFmt w:val="lowerRoman"/>
      <w:lvlText w:val="%6."/>
      <w:lvlJc w:val="right"/>
      <w:pPr>
        <w:ind w:left="5040" w:hanging="180"/>
      </w:pPr>
    </w:lvl>
    <w:lvl w:ilvl="6" w:tplc="AE7C7650">
      <w:start w:val="1"/>
      <w:numFmt w:val="decimal"/>
      <w:lvlText w:val="%7."/>
      <w:lvlJc w:val="left"/>
      <w:pPr>
        <w:ind w:left="5760" w:hanging="360"/>
      </w:pPr>
    </w:lvl>
    <w:lvl w:ilvl="7" w:tplc="3990C876">
      <w:start w:val="1"/>
      <w:numFmt w:val="lowerLetter"/>
      <w:lvlText w:val="%8."/>
      <w:lvlJc w:val="left"/>
      <w:pPr>
        <w:ind w:left="6480" w:hanging="360"/>
      </w:pPr>
    </w:lvl>
    <w:lvl w:ilvl="8" w:tplc="FDF2EA6C">
      <w:start w:val="1"/>
      <w:numFmt w:val="lowerRoman"/>
      <w:lvlText w:val="%9."/>
      <w:lvlJc w:val="right"/>
      <w:pPr>
        <w:ind w:left="7200" w:hanging="180"/>
      </w:pPr>
    </w:lvl>
  </w:abstractNum>
  <w:abstractNum w:abstractNumId="32" w15:restartNumberingAfterBreak="0">
    <w:nsid w:val="495505A0"/>
    <w:multiLevelType w:val="hybridMultilevel"/>
    <w:tmpl w:val="FFFFFFFF"/>
    <w:lvl w:ilvl="0" w:tplc="85384EDE">
      <w:start w:val="1"/>
      <w:numFmt w:val="decimal"/>
      <w:lvlText w:val="%1."/>
      <w:lvlJc w:val="left"/>
      <w:pPr>
        <w:ind w:left="1440" w:hanging="360"/>
      </w:pPr>
    </w:lvl>
    <w:lvl w:ilvl="1" w:tplc="02362CD4">
      <w:start w:val="1"/>
      <w:numFmt w:val="lowerLetter"/>
      <w:lvlText w:val="%2."/>
      <w:lvlJc w:val="left"/>
      <w:pPr>
        <w:ind w:left="1800" w:hanging="360"/>
      </w:pPr>
    </w:lvl>
    <w:lvl w:ilvl="2" w:tplc="4D8C7222">
      <w:start w:val="1"/>
      <w:numFmt w:val="lowerRoman"/>
      <w:lvlText w:val="%3."/>
      <w:lvlJc w:val="right"/>
      <w:pPr>
        <w:ind w:left="2520" w:hanging="180"/>
      </w:pPr>
    </w:lvl>
    <w:lvl w:ilvl="3" w:tplc="EFEA8808">
      <w:start w:val="1"/>
      <w:numFmt w:val="decimal"/>
      <w:lvlText w:val="%4."/>
      <w:lvlJc w:val="left"/>
      <w:pPr>
        <w:ind w:left="3240" w:hanging="360"/>
      </w:pPr>
    </w:lvl>
    <w:lvl w:ilvl="4" w:tplc="430EECAA">
      <w:start w:val="1"/>
      <w:numFmt w:val="lowerLetter"/>
      <w:lvlText w:val="%5."/>
      <w:lvlJc w:val="left"/>
      <w:pPr>
        <w:ind w:left="3960" w:hanging="360"/>
      </w:pPr>
    </w:lvl>
    <w:lvl w:ilvl="5" w:tplc="DAEC154A">
      <w:start w:val="1"/>
      <w:numFmt w:val="lowerRoman"/>
      <w:lvlText w:val="%6."/>
      <w:lvlJc w:val="right"/>
      <w:pPr>
        <w:ind w:left="4680" w:hanging="180"/>
      </w:pPr>
    </w:lvl>
    <w:lvl w:ilvl="6" w:tplc="0706C812">
      <w:start w:val="1"/>
      <w:numFmt w:val="decimal"/>
      <w:lvlText w:val="%7."/>
      <w:lvlJc w:val="left"/>
      <w:pPr>
        <w:ind w:left="5400" w:hanging="360"/>
      </w:pPr>
    </w:lvl>
    <w:lvl w:ilvl="7" w:tplc="F52646D8">
      <w:start w:val="1"/>
      <w:numFmt w:val="lowerLetter"/>
      <w:lvlText w:val="%8."/>
      <w:lvlJc w:val="left"/>
      <w:pPr>
        <w:ind w:left="6120" w:hanging="360"/>
      </w:pPr>
    </w:lvl>
    <w:lvl w:ilvl="8" w:tplc="2E4A470C">
      <w:start w:val="1"/>
      <w:numFmt w:val="lowerRoman"/>
      <w:lvlText w:val="%9."/>
      <w:lvlJc w:val="right"/>
      <w:pPr>
        <w:ind w:left="6840" w:hanging="180"/>
      </w:pPr>
    </w:lvl>
  </w:abstractNum>
  <w:abstractNum w:abstractNumId="33" w15:restartNumberingAfterBreak="0">
    <w:nsid w:val="49690672"/>
    <w:multiLevelType w:val="hybridMultilevel"/>
    <w:tmpl w:val="FFFFFFFF"/>
    <w:lvl w:ilvl="0" w:tplc="B4409D30">
      <w:start w:val="1"/>
      <w:numFmt w:val="decimal"/>
      <w:lvlText w:val="%1."/>
      <w:lvlJc w:val="left"/>
      <w:pPr>
        <w:ind w:left="1440" w:hanging="360"/>
      </w:pPr>
    </w:lvl>
    <w:lvl w:ilvl="1" w:tplc="E4623D8A">
      <w:start w:val="1"/>
      <w:numFmt w:val="lowerLetter"/>
      <w:lvlText w:val="%2."/>
      <w:lvlJc w:val="left"/>
      <w:pPr>
        <w:ind w:left="2160" w:hanging="360"/>
      </w:pPr>
    </w:lvl>
    <w:lvl w:ilvl="2" w:tplc="27368A8E">
      <w:start w:val="1"/>
      <w:numFmt w:val="lowerRoman"/>
      <w:lvlText w:val="%3."/>
      <w:lvlJc w:val="right"/>
      <w:pPr>
        <w:ind w:left="2880" w:hanging="180"/>
      </w:pPr>
    </w:lvl>
    <w:lvl w:ilvl="3" w:tplc="DB4EBE44">
      <w:start w:val="1"/>
      <w:numFmt w:val="decimal"/>
      <w:lvlText w:val="%4."/>
      <w:lvlJc w:val="left"/>
      <w:pPr>
        <w:ind w:left="3600" w:hanging="360"/>
      </w:pPr>
    </w:lvl>
    <w:lvl w:ilvl="4" w:tplc="C5587EAE">
      <w:start w:val="1"/>
      <w:numFmt w:val="lowerLetter"/>
      <w:lvlText w:val="%5."/>
      <w:lvlJc w:val="left"/>
      <w:pPr>
        <w:ind w:left="4320" w:hanging="360"/>
      </w:pPr>
    </w:lvl>
    <w:lvl w:ilvl="5" w:tplc="5114E9D6">
      <w:start w:val="1"/>
      <w:numFmt w:val="lowerRoman"/>
      <w:lvlText w:val="%6."/>
      <w:lvlJc w:val="right"/>
      <w:pPr>
        <w:ind w:left="5040" w:hanging="180"/>
      </w:pPr>
    </w:lvl>
    <w:lvl w:ilvl="6" w:tplc="529A7748">
      <w:start w:val="1"/>
      <w:numFmt w:val="decimal"/>
      <w:lvlText w:val="%7."/>
      <w:lvlJc w:val="left"/>
      <w:pPr>
        <w:ind w:left="5760" w:hanging="360"/>
      </w:pPr>
    </w:lvl>
    <w:lvl w:ilvl="7" w:tplc="78000044">
      <w:start w:val="1"/>
      <w:numFmt w:val="lowerLetter"/>
      <w:lvlText w:val="%8."/>
      <w:lvlJc w:val="left"/>
      <w:pPr>
        <w:ind w:left="6480" w:hanging="360"/>
      </w:pPr>
    </w:lvl>
    <w:lvl w:ilvl="8" w:tplc="8CD66838">
      <w:start w:val="1"/>
      <w:numFmt w:val="lowerRoman"/>
      <w:lvlText w:val="%9."/>
      <w:lvlJc w:val="right"/>
      <w:pPr>
        <w:ind w:left="7200" w:hanging="180"/>
      </w:pPr>
    </w:lvl>
  </w:abstractNum>
  <w:abstractNum w:abstractNumId="3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5" w15:restartNumberingAfterBreak="0">
    <w:nsid w:val="4B9F4BA1"/>
    <w:multiLevelType w:val="hybridMultilevel"/>
    <w:tmpl w:val="FFFFFFFF"/>
    <w:lvl w:ilvl="0" w:tplc="4FD65EF8">
      <w:start w:val="1"/>
      <w:numFmt w:val="decimal"/>
      <w:lvlText w:val="%1."/>
      <w:lvlJc w:val="left"/>
      <w:pPr>
        <w:ind w:left="1440" w:hanging="360"/>
      </w:pPr>
    </w:lvl>
    <w:lvl w:ilvl="1" w:tplc="AF1E9B54">
      <w:start w:val="1"/>
      <w:numFmt w:val="lowerLetter"/>
      <w:lvlText w:val="%2."/>
      <w:lvlJc w:val="left"/>
      <w:pPr>
        <w:ind w:left="2160" w:hanging="360"/>
      </w:pPr>
    </w:lvl>
    <w:lvl w:ilvl="2" w:tplc="832A7D6C">
      <w:start w:val="1"/>
      <w:numFmt w:val="lowerRoman"/>
      <w:lvlText w:val="%3."/>
      <w:lvlJc w:val="right"/>
      <w:pPr>
        <w:ind w:left="2880" w:hanging="180"/>
      </w:pPr>
    </w:lvl>
    <w:lvl w:ilvl="3" w:tplc="24728210">
      <w:start w:val="1"/>
      <w:numFmt w:val="decimal"/>
      <w:lvlText w:val="%4."/>
      <w:lvlJc w:val="left"/>
      <w:pPr>
        <w:ind w:left="3600" w:hanging="360"/>
      </w:pPr>
    </w:lvl>
    <w:lvl w:ilvl="4" w:tplc="128AB31A">
      <w:start w:val="1"/>
      <w:numFmt w:val="lowerLetter"/>
      <w:lvlText w:val="%5."/>
      <w:lvlJc w:val="left"/>
      <w:pPr>
        <w:ind w:left="4320" w:hanging="360"/>
      </w:pPr>
    </w:lvl>
    <w:lvl w:ilvl="5" w:tplc="6C92A39A">
      <w:start w:val="1"/>
      <w:numFmt w:val="lowerRoman"/>
      <w:lvlText w:val="%6."/>
      <w:lvlJc w:val="right"/>
      <w:pPr>
        <w:ind w:left="5040" w:hanging="180"/>
      </w:pPr>
    </w:lvl>
    <w:lvl w:ilvl="6" w:tplc="EA4E6C54">
      <w:start w:val="1"/>
      <w:numFmt w:val="decimal"/>
      <w:lvlText w:val="%7."/>
      <w:lvlJc w:val="left"/>
      <w:pPr>
        <w:ind w:left="5760" w:hanging="360"/>
      </w:pPr>
    </w:lvl>
    <w:lvl w:ilvl="7" w:tplc="2A101FB8">
      <w:start w:val="1"/>
      <w:numFmt w:val="lowerLetter"/>
      <w:lvlText w:val="%8."/>
      <w:lvlJc w:val="left"/>
      <w:pPr>
        <w:ind w:left="6480" w:hanging="360"/>
      </w:pPr>
    </w:lvl>
    <w:lvl w:ilvl="8" w:tplc="50BA42FA">
      <w:start w:val="1"/>
      <w:numFmt w:val="lowerRoman"/>
      <w:lvlText w:val="%9."/>
      <w:lvlJc w:val="right"/>
      <w:pPr>
        <w:ind w:left="7200" w:hanging="180"/>
      </w:pPr>
    </w:lvl>
  </w:abstractNum>
  <w:abstractNum w:abstractNumId="36" w15:restartNumberingAfterBreak="0">
    <w:nsid w:val="4C467147"/>
    <w:multiLevelType w:val="hybridMultilevel"/>
    <w:tmpl w:val="FFFFFFFF"/>
    <w:lvl w:ilvl="0" w:tplc="2050F338">
      <w:start w:val="1"/>
      <w:numFmt w:val="decimal"/>
      <w:lvlText w:val="%1."/>
      <w:lvlJc w:val="left"/>
      <w:pPr>
        <w:ind w:left="1440" w:hanging="360"/>
      </w:pPr>
    </w:lvl>
    <w:lvl w:ilvl="1" w:tplc="32F8BBAE">
      <w:start w:val="1"/>
      <w:numFmt w:val="lowerLetter"/>
      <w:lvlText w:val="%2."/>
      <w:lvlJc w:val="left"/>
      <w:pPr>
        <w:ind w:left="2160" w:hanging="360"/>
      </w:pPr>
    </w:lvl>
    <w:lvl w:ilvl="2" w:tplc="AA864D2A">
      <w:start w:val="1"/>
      <w:numFmt w:val="lowerRoman"/>
      <w:lvlText w:val="%3."/>
      <w:lvlJc w:val="right"/>
      <w:pPr>
        <w:ind w:left="2880" w:hanging="180"/>
      </w:pPr>
    </w:lvl>
    <w:lvl w:ilvl="3" w:tplc="B120BE38">
      <w:start w:val="1"/>
      <w:numFmt w:val="decimal"/>
      <w:lvlText w:val="%4."/>
      <w:lvlJc w:val="left"/>
      <w:pPr>
        <w:ind w:left="3600" w:hanging="360"/>
      </w:pPr>
    </w:lvl>
    <w:lvl w:ilvl="4" w:tplc="13B8B6E4">
      <w:start w:val="1"/>
      <w:numFmt w:val="lowerLetter"/>
      <w:lvlText w:val="%5."/>
      <w:lvlJc w:val="left"/>
      <w:pPr>
        <w:ind w:left="4320" w:hanging="360"/>
      </w:pPr>
    </w:lvl>
    <w:lvl w:ilvl="5" w:tplc="BA0CFDCA">
      <w:start w:val="1"/>
      <w:numFmt w:val="lowerRoman"/>
      <w:lvlText w:val="%6."/>
      <w:lvlJc w:val="right"/>
      <w:pPr>
        <w:ind w:left="5040" w:hanging="180"/>
      </w:pPr>
    </w:lvl>
    <w:lvl w:ilvl="6" w:tplc="EBA471D4">
      <w:start w:val="1"/>
      <w:numFmt w:val="decimal"/>
      <w:lvlText w:val="%7."/>
      <w:lvlJc w:val="left"/>
      <w:pPr>
        <w:ind w:left="5760" w:hanging="360"/>
      </w:pPr>
    </w:lvl>
    <w:lvl w:ilvl="7" w:tplc="5E4ACD8A">
      <w:start w:val="1"/>
      <w:numFmt w:val="lowerLetter"/>
      <w:lvlText w:val="%8."/>
      <w:lvlJc w:val="left"/>
      <w:pPr>
        <w:ind w:left="6480" w:hanging="360"/>
      </w:pPr>
    </w:lvl>
    <w:lvl w:ilvl="8" w:tplc="C4989CCA">
      <w:start w:val="1"/>
      <w:numFmt w:val="lowerRoman"/>
      <w:lvlText w:val="%9."/>
      <w:lvlJc w:val="right"/>
      <w:pPr>
        <w:ind w:left="7200" w:hanging="180"/>
      </w:pPr>
    </w:lvl>
  </w:abstractNum>
  <w:abstractNum w:abstractNumId="37" w15:restartNumberingAfterBreak="0">
    <w:nsid w:val="4F35714C"/>
    <w:multiLevelType w:val="hybridMultilevel"/>
    <w:tmpl w:val="6652BCB6"/>
    <w:lvl w:ilvl="0" w:tplc="D438E87C">
      <w:start w:val="1"/>
      <w:numFmt w:val="decimal"/>
      <w:lvlText w:val="%1."/>
      <w:lvlJc w:val="left"/>
      <w:pPr>
        <w:ind w:left="1440" w:hanging="360"/>
      </w:pPr>
    </w:lvl>
    <w:lvl w:ilvl="1" w:tplc="602CFA9A">
      <w:numFmt w:val="bullet"/>
      <w:lvlText w:val="•"/>
      <w:lvlJc w:val="left"/>
      <w:pPr>
        <w:ind w:left="2160" w:hanging="360"/>
      </w:pPr>
      <w:rPr>
        <w:rFonts w:ascii="Calibri" w:hAnsi="Calibri" w:cs="Calibri"/>
      </w:rPr>
    </w:lvl>
    <w:lvl w:ilvl="2" w:tplc="A670A14A">
      <w:start w:val="1"/>
      <w:numFmt w:val="lowerRoman"/>
      <w:lvlText w:val="%3."/>
      <w:lvlJc w:val="right"/>
      <w:pPr>
        <w:ind w:left="2880" w:hanging="180"/>
      </w:pPr>
    </w:lvl>
    <w:lvl w:ilvl="3" w:tplc="1B087EEA">
      <w:start w:val="1"/>
      <w:numFmt w:val="decimal"/>
      <w:lvlText w:val="%4."/>
      <w:lvlJc w:val="left"/>
      <w:pPr>
        <w:ind w:left="3600" w:hanging="360"/>
      </w:pPr>
    </w:lvl>
    <w:lvl w:ilvl="4" w:tplc="404E52C0">
      <w:start w:val="1"/>
      <w:numFmt w:val="lowerLetter"/>
      <w:lvlText w:val="%5."/>
      <w:lvlJc w:val="left"/>
      <w:pPr>
        <w:ind w:left="4320" w:hanging="360"/>
      </w:pPr>
    </w:lvl>
    <w:lvl w:ilvl="5" w:tplc="15EA323E">
      <w:start w:val="1"/>
      <w:numFmt w:val="lowerRoman"/>
      <w:lvlText w:val="%6."/>
      <w:lvlJc w:val="right"/>
      <w:pPr>
        <w:ind w:left="5040" w:hanging="180"/>
      </w:pPr>
    </w:lvl>
    <w:lvl w:ilvl="6" w:tplc="D65C29A6">
      <w:start w:val="1"/>
      <w:numFmt w:val="decimal"/>
      <w:lvlText w:val="%7."/>
      <w:lvlJc w:val="left"/>
      <w:pPr>
        <w:ind w:left="5760" w:hanging="360"/>
      </w:pPr>
    </w:lvl>
    <w:lvl w:ilvl="7" w:tplc="1CAEA286">
      <w:start w:val="1"/>
      <w:numFmt w:val="lowerLetter"/>
      <w:lvlText w:val="%8."/>
      <w:lvlJc w:val="left"/>
      <w:pPr>
        <w:ind w:left="6480" w:hanging="360"/>
      </w:pPr>
    </w:lvl>
    <w:lvl w:ilvl="8" w:tplc="9E1E7504">
      <w:start w:val="1"/>
      <w:numFmt w:val="lowerRoman"/>
      <w:lvlText w:val="%9."/>
      <w:lvlJc w:val="right"/>
      <w:pPr>
        <w:ind w:left="7200" w:hanging="180"/>
      </w:pPr>
    </w:lvl>
  </w:abstractNum>
  <w:abstractNum w:abstractNumId="38" w15:restartNumberingAfterBreak="0">
    <w:nsid w:val="4F407F72"/>
    <w:multiLevelType w:val="hybridMultilevel"/>
    <w:tmpl w:val="FFFFFFFF"/>
    <w:lvl w:ilvl="0" w:tplc="BC12826E">
      <w:start w:val="1"/>
      <w:numFmt w:val="decimal"/>
      <w:lvlText w:val="%1."/>
      <w:lvlJc w:val="left"/>
      <w:pPr>
        <w:ind w:left="1440" w:hanging="360"/>
      </w:pPr>
    </w:lvl>
    <w:lvl w:ilvl="1" w:tplc="42843604">
      <w:start w:val="1"/>
      <w:numFmt w:val="lowerLetter"/>
      <w:lvlText w:val="%2."/>
      <w:lvlJc w:val="left"/>
      <w:pPr>
        <w:ind w:left="2160" w:hanging="360"/>
      </w:pPr>
    </w:lvl>
    <w:lvl w:ilvl="2" w:tplc="88C68414">
      <w:start w:val="1"/>
      <w:numFmt w:val="lowerRoman"/>
      <w:lvlText w:val="%3."/>
      <w:lvlJc w:val="right"/>
      <w:pPr>
        <w:ind w:left="2880" w:hanging="180"/>
      </w:pPr>
    </w:lvl>
    <w:lvl w:ilvl="3" w:tplc="5E402572">
      <w:start w:val="1"/>
      <w:numFmt w:val="decimal"/>
      <w:lvlText w:val="%4."/>
      <w:lvlJc w:val="left"/>
      <w:pPr>
        <w:ind w:left="3600" w:hanging="360"/>
      </w:pPr>
    </w:lvl>
    <w:lvl w:ilvl="4" w:tplc="F4062C3C">
      <w:start w:val="1"/>
      <w:numFmt w:val="lowerLetter"/>
      <w:lvlText w:val="%5."/>
      <w:lvlJc w:val="left"/>
      <w:pPr>
        <w:ind w:left="4320" w:hanging="360"/>
      </w:pPr>
    </w:lvl>
    <w:lvl w:ilvl="5" w:tplc="42225D80">
      <w:start w:val="1"/>
      <w:numFmt w:val="lowerRoman"/>
      <w:lvlText w:val="%6."/>
      <w:lvlJc w:val="right"/>
      <w:pPr>
        <w:ind w:left="5040" w:hanging="180"/>
      </w:pPr>
    </w:lvl>
    <w:lvl w:ilvl="6" w:tplc="60B6BC9E">
      <w:start w:val="1"/>
      <w:numFmt w:val="decimal"/>
      <w:lvlText w:val="%7."/>
      <w:lvlJc w:val="left"/>
      <w:pPr>
        <w:ind w:left="5760" w:hanging="360"/>
      </w:pPr>
    </w:lvl>
    <w:lvl w:ilvl="7" w:tplc="B470AAFC">
      <w:start w:val="1"/>
      <w:numFmt w:val="lowerLetter"/>
      <w:lvlText w:val="%8."/>
      <w:lvlJc w:val="left"/>
      <w:pPr>
        <w:ind w:left="6480" w:hanging="360"/>
      </w:pPr>
    </w:lvl>
    <w:lvl w:ilvl="8" w:tplc="04B84A18">
      <w:start w:val="1"/>
      <w:numFmt w:val="lowerRoman"/>
      <w:lvlText w:val="%9."/>
      <w:lvlJc w:val="right"/>
      <w:pPr>
        <w:ind w:left="7200" w:hanging="180"/>
      </w:pPr>
    </w:lvl>
  </w:abstractNum>
  <w:abstractNum w:abstractNumId="39"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40" w15:restartNumberingAfterBreak="0">
    <w:nsid w:val="514B783F"/>
    <w:multiLevelType w:val="hybridMultilevel"/>
    <w:tmpl w:val="FFFFFFFF"/>
    <w:lvl w:ilvl="0" w:tplc="EB84D7C8">
      <w:start w:val="1"/>
      <w:numFmt w:val="decimal"/>
      <w:lvlText w:val="%1."/>
      <w:lvlJc w:val="left"/>
      <w:pPr>
        <w:ind w:left="1440" w:hanging="360"/>
      </w:pPr>
    </w:lvl>
    <w:lvl w:ilvl="1" w:tplc="B10CA614">
      <w:start w:val="1"/>
      <w:numFmt w:val="lowerLetter"/>
      <w:lvlText w:val="%2."/>
      <w:lvlJc w:val="left"/>
      <w:pPr>
        <w:ind w:left="1800" w:hanging="360"/>
      </w:pPr>
    </w:lvl>
    <w:lvl w:ilvl="2" w:tplc="E598B7DE">
      <w:start w:val="1"/>
      <w:numFmt w:val="lowerRoman"/>
      <w:lvlText w:val="%3."/>
      <w:lvlJc w:val="right"/>
      <w:pPr>
        <w:ind w:left="2520" w:hanging="180"/>
      </w:pPr>
    </w:lvl>
    <w:lvl w:ilvl="3" w:tplc="788299BA">
      <w:start w:val="1"/>
      <w:numFmt w:val="decimal"/>
      <w:lvlText w:val="%4."/>
      <w:lvlJc w:val="left"/>
      <w:pPr>
        <w:ind w:left="3240" w:hanging="360"/>
      </w:pPr>
    </w:lvl>
    <w:lvl w:ilvl="4" w:tplc="23283CEC">
      <w:start w:val="1"/>
      <w:numFmt w:val="lowerLetter"/>
      <w:lvlText w:val="%5."/>
      <w:lvlJc w:val="left"/>
      <w:pPr>
        <w:ind w:left="3960" w:hanging="360"/>
      </w:pPr>
    </w:lvl>
    <w:lvl w:ilvl="5" w:tplc="AB5A22F2">
      <w:start w:val="1"/>
      <w:numFmt w:val="lowerRoman"/>
      <w:lvlText w:val="%6."/>
      <w:lvlJc w:val="right"/>
      <w:pPr>
        <w:ind w:left="4680" w:hanging="180"/>
      </w:pPr>
    </w:lvl>
    <w:lvl w:ilvl="6" w:tplc="FF7A9BEA">
      <w:start w:val="1"/>
      <w:numFmt w:val="decimal"/>
      <w:lvlText w:val="%7."/>
      <w:lvlJc w:val="left"/>
      <w:pPr>
        <w:ind w:left="5400" w:hanging="360"/>
      </w:pPr>
    </w:lvl>
    <w:lvl w:ilvl="7" w:tplc="EDF8E32A">
      <w:start w:val="1"/>
      <w:numFmt w:val="lowerLetter"/>
      <w:lvlText w:val="%8."/>
      <w:lvlJc w:val="left"/>
      <w:pPr>
        <w:ind w:left="6120" w:hanging="360"/>
      </w:pPr>
    </w:lvl>
    <w:lvl w:ilvl="8" w:tplc="5350BD44">
      <w:start w:val="1"/>
      <w:numFmt w:val="lowerRoman"/>
      <w:lvlText w:val="%9."/>
      <w:lvlJc w:val="right"/>
      <w:pPr>
        <w:ind w:left="6840" w:hanging="180"/>
      </w:pPr>
    </w:lvl>
  </w:abstractNum>
  <w:abstractNum w:abstractNumId="41" w15:restartNumberingAfterBreak="0">
    <w:nsid w:val="53F11259"/>
    <w:multiLevelType w:val="hybridMultilevel"/>
    <w:tmpl w:val="FFFFFFFF"/>
    <w:lvl w:ilvl="0" w:tplc="98461C6C">
      <w:start w:val="1"/>
      <w:numFmt w:val="decimal"/>
      <w:lvlText w:val="%1."/>
      <w:lvlJc w:val="left"/>
      <w:pPr>
        <w:ind w:left="1364" w:hanging="360"/>
      </w:pPr>
    </w:lvl>
    <w:lvl w:ilvl="1" w:tplc="9EC0B10C">
      <w:start w:val="1"/>
      <w:numFmt w:val="lowerLetter"/>
      <w:lvlText w:val="%2."/>
      <w:lvlJc w:val="left"/>
      <w:pPr>
        <w:ind w:left="2084" w:hanging="360"/>
      </w:pPr>
    </w:lvl>
    <w:lvl w:ilvl="2" w:tplc="963633CC">
      <w:start w:val="1"/>
      <w:numFmt w:val="lowerRoman"/>
      <w:lvlText w:val="%3."/>
      <w:lvlJc w:val="right"/>
      <w:pPr>
        <w:ind w:left="2804" w:hanging="180"/>
      </w:pPr>
    </w:lvl>
    <w:lvl w:ilvl="3" w:tplc="9E742DDA">
      <w:start w:val="1"/>
      <w:numFmt w:val="decimal"/>
      <w:lvlText w:val="%4."/>
      <w:lvlJc w:val="left"/>
      <w:pPr>
        <w:ind w:left="3524" w:hanging="360"/>
      </w:pPr>
    </w:lvl>
    <w:lvl w:ilvl="4" w:tplc="7F0EC69E">
      <w:start w:val="1"/>
      <w:numFmt w:val="lowerLetter"/>
      <w:lvlText w:val="%5."/>
      <w:lvlJc w:val="left"/>
      <w:pPr>
        <w:ind w:left="4244" w:hanging="360"/>
      </w:pPr>
    </w:lvl>
    <w:lvl w:ilvl="5" w:tplc="262CDF56">
      <w:start w:val="1"/>
      <w:numFmt w:val="lowerRoman"/>
      <w:lvlText w:val="%6."/>
      <w:lvlJc w:val="right"/>
      <w:pPr>
        <w:ind w:left="4964" w:hanging="180"/>
      </w:pPr>
    </w:lvl>
    <w:lvl w:ilvl="6" w:tplc="86CEF0FA">
      <w:start w:val="1"/>
      <w:numFmt w:val="decimal"/>
      <w:lvlText w:val="%7."/>
      <w:lvlJc w:val="left"/>
      <w:pPr>
        <w:ind w:left="5684" w:hanging="360"/>
      </w:pPr>
    </w:lvl>
    <w:lvl w:ilvl="7" w:tplc="68143274">
      <w:start w:val="1"/>
      <w:numFmt w:val="lowerLetter"/>
      <w:lvlText w:val="%8."/>
      <w:lvlJc w:val="left"/>
      <w:pPr>
        <w:ind w:left="6404" w:hanging="360"/>
      </w:pPr>
    </w:lvl>
    <w:lvl w:ilvl="8" w:tplc="17D48042">
      <w:start w:val="1"/>
      <w:numFmt w:val="lowerRoman"/>
      <w:lvlText w:val="%9."/>
      <w:lvlJc w:val="right"/>
      <w:pPr>
        <w:ind w:left="7124" w:hanging="180"/>
      </w:pPr>
    </w:lvl>
  </w:abstractNum>
  <w:abstractNum w:abstractNumId="42" w15:restartNumberingAfterBreak="0">
    <w:nsid w:val="555C63ED"/>
    <w:multiLevelType w:val="hybridMultilevel"/>
    <w:tmpl w:val="FFFFFFFF"/>
    <w:lvl w:ilvl="0" w:tplc="892A9DCC">
      <w:start w:val="1"/>
      <w:numFmt w:val="decimal"/>
      <w:lvlText w:val="%1."/>
      <w:lvlJc w:val="left"/>
      <w:pPr>
        <w:ind w:left="1440" w:hanging="360"/>
      </w:pPr>
    </w:lvl>
    <w:lvl w:ilvl="1" w:tplc="0574A0B4">
      <w:start w:val="1"/>
      <w:numFmt w:val="lowerLetter"/>
      <w:lvlText w:val="%2."/>
      <w:lvlJc w:val="left"/>
      <w:pPr>
        <w:ind w:left="2160" w:hanging="360"/>
      </w:pPr>
    </w:lvl>
    <w:lvl w:ilvl="2" w:tplc="B9B49EA0">
      <w:start w:val="1"/>
      <w:numFmt w:val="lowerRoman"/>
      <w:lvlText w:val="%3."/>
      <w:lvlJc w:val="right"/>
      <w:pPr>
        <w:ind w:left="2880" w:hanging="180"/>
      </w:pPr>
    </w:lvl>
    <w:lvl w:ilvl="3" w:tplc="E2102AF4">
      <w:start w:val="1"/>
      <w:numFmt w:val="decimal"/>
      <w:lvlText w:val="%4."/>
      <w:lvlJc w:val="left"/>
      <w:pPr>
        <w:ind w:left="3600" w:hanging="360"/>
      </w:pPr>
    </w:lvl>
    <w:lvl w:ilvl="4" w:tplc="5E8A5A92">
      <w:start w:val="1"/>
      <w:numFmt w:val="lowerLetter"/>
      <w:lvlText w:val="%5."/>
      <w:lvlJc w:val="left"/>
      <w:pPr>
        <w:ind w:left="4320" w:hanging="360"/>
      </w:pPr>
    </w:lvl>
    <w:lvl w:ilvl="5" w:tplc="101C4A08">
      <w:start w:val="1"/>
      <w:numFmt w:val="lowerRoman"/>
      <w:lvlText w:val="%6."/>
      <w:lvlJc w:val="right"/>
      <w:pPr>
        <w:ind w:left="5040" w:hanging="180"/>
      </w:pPr>
    </w:lvl>
    <w:lvl w:ilvl="6" w:tplc="996663B6">
      <w:start w:val="1"/>
      <w:numFmt w:val="decimal"/>
      <w:lvlText w:val="%7."/>
      <w:lvlJc w:val="left"/>
      <w:pPr>
        <w:ind w:left="5760" w:hanging="360"/>
      </w:pPr>
    </w:lvl>
    <w:lvl w:ilvl="7" w:tplc="A7DC120C">
      <w:start w:val="1"/>
      <w:numFmt w:val="lowerLetter"/>
      <w:lvlText w:val="%8."/>
      <w:lvlJc w:val="left"/>
      <w:pPr>
        <w:ind w:left="6480" w:hanging="360"/>
      </w:pPr>
    </w:lvl>
    <w:lvl w:ilvl="8" w:tplc="CBA4D770">
      <w:start w:val="1"/>
      <w:numFmt w:val="lowerRoman"/>
      <w:lvlText w:val="%9."/>
      <w:lvlJc w:val="right"/>
      <w:pPr>
        <w:ind w:left="7200" w:hanging="180"/>
      </w:pPr>
    </w:lvl>
  </w:abstractNum>
  <w:abstractNum w:abstractNumId="43" w15:restartNumberingAfterBreak="0">
    <w:nsid w:val="55D16DBB"/>
    <w:multiLevelType w:val="hybridMultilevel"/>
    <w:tmpl w:val="FFFFFFFF"/>
    <w:lvl w:ilvl="0" w:tplc="12CEE50C">
      <w:start w:val="1"/>
      <w:numFmt w:val="decimal"/>
      <w:lvlText w:val="%1."/>
      <w:lvlJc w:val="left"/>
      <w:pPr>
        <w:ind w:left="1364" w:hanging="360"/>
      </w:pPr>
    </w:lvl>
    <w:lvl w:ilvl="1" w:tplc="9838336E">
      <w:start w:val="1"/>
      <w:numFmt w:val="lowerLetter"/>
      <w:lvlText w:val="%2."/>
      <w:lvlJc w:val="left"/>
      <w:pPr>
        <w:ind w:left="2084" w:hanging="360"/>
      </w:pPr>
    </w:lvl>
    <w:lvl w:ilvl="2" w:tplc="7DBAD02A">
      <w:start w:val="1"/>
      <w:numFmt w:val="lowerRoman"/>
      <w:lvlText w:val="%3."/>
      <w:lvlJc w:val="right"/>
      <w:pPr>
        <w:ind w:left="2804" w:hanging="180"/>
      </w:pPr>
    </w:lvl>
    <w:lvl w:ilvl="3" w:tplc="682E3390">
      <w:start w:val="1"/>
      <w:numFmt w:val="decimal"/>
      <w:lvlText w:val="%4."/>
      <w:lvlJc w:val="left"/>
      <w:pPr>
        <w:ind w:left="3524" w:hanging="360"/>
      </w:pPr>
    </w:lvl>
    <w:lvl w:ilvl="4" w:tplc="85FEC0FC">
      <w:start w:val="1"/>
      <w:numFmt w:val="lowerLetter"/>
      <w:lvlText w:val="%5."/>
      <w:lvlJc w:val="left"/>
      <w:pPr>
        <w:ind w:left="4244" w:hanging="360"/>
      </w:pPr>
    </w:lvl>
    <w:lvl w:ilvl="5" w:tplc="21784B90">
      <w:start w:val="1"/>
      <w:numFmt w:val="lowerRoman"/>
      <w:lvlText w:val="%6."/>
      <w:lvlJc w:val="right"/>
      <w:pPr>
        <w:ind w:left="4964" w:hanging="180"/>
      </w:pPr>
    </w:lvl>
    <w:lvl w:ilvl="6" w:tplc="366C2D5A">
      <w:start w:val="1"/>
      <w:numFmt w:val="decimal"/>
      <w:lvlText w:val="%7."/>
      <w:lvlJc w:val="left"/>
      <w:pPr>
        <w:ind w:left="5684" w:hanging="360"/>
      </w:pPr>
    </w:lvl>
    <w:lvl w:ilvl="7" w:tplc="2564E742">
      <w:start w:val="1"/>
      <w:numFmt w:val="lowerLetter"/>
      <w:lvlText w:val="%8."/>
      <w:lvlJc w:val="left"/>
      <w:pPr>
        <w:ind w:left="6404" w:hanging="360"/>
      </w:pPr>
    </w:lvl>
    <w:lvl w:ilvl="8" w:tplc="7FECF0FC">
      <w:start w:val="1"/>
      <w:numFmt w:val="lowerRoman"/>
      <w:lvlText w:val="%9."/>
      <w:lvlJc w:val="right"/>
      <w:pPr>
        <w:ind w:left="7124" w:hanging="180"/>
      </w:pPr>
    </w:lvl>
  </w:abstractNum>
  <w:abstractNum w:abstractNumId="44" w15:restartNumberingAfterBreak="0">
    <w:nsid w:val="5C8C392C"/>
    <w:multiLevelType w:val="hybridMultilevel"/>
    <w:tmpl w:val="FFFFFFFF"/>
    <w:lvl w:ilvl="0" w:tplc="3D3EC7B0">
      <w:start w:val="1"/>
      <w:numFmt w:val="decimal"/>
      <w:lvlText w:val="%1."/>
      <w:lvlJc w:val="left"/>
      <w:pPr>
        <w:ind w:left="1440" w:hanging="360"/>
      </w:pPr>
    </w:lvl>
    <w:lvl w:ilvl="1" w:tplc="3B5EF102">
      <w:start w:val="1"/>
      <w:numFmt w:val="lowerLetter"/>
      <w:lvlText w:val="%2."/>
      <w:lvlJc w:val="left"/>
      <w:pPr>
        <w:ind w:left="2160" w:hanging="360"/>
      </w:pPr>
    </w:lvl>
    <w:lvl w:ilvl="2" w:tplc="9B7ED20E">
      <w:start w:val="1"/>
      <w:numFmt w:val="lowerRoman"/>
      <w:lvlText w:val="%3."/>
      <w:lvlJc w:val="right"/>
      <w:pPr>
        <w:ind w:left="2880" w:hanging="180"/>
      </w:pPr>
    </w:lvl>
    <w:lvl w:ilvl="3" w:tplc="1C4CFDFE">
      <w:start w:val="1"/>
      <w:numFmt w:val="decimal"/>
      <w:lvlText w:val="%4."/>
      <w:lvlJc w:val="left"/>
      <w:pPr>
        <w:ind w:left="3600" w:hanging="360"/>
      </w:pPr>
    </w:lvl>
    <w:lvl w:ilvl="4" w:tplc="9482C362">
      <w:start w:val="1"/>
      <w:numFmt w:val="lowerLetter"/>
      <w:lvlText w:val="%5."/>
      <w:lvlJc w:val="left"/>
      <w:pPr>
        <w:ind w:left="4320" w:hanging="360"/>
      </w:pPr>
    </w:lvl>
    <w:lvl w:ilvl="5" w:tplc="1A7EB6A8">
      <w:start w:val="1"/>
      <w:numFmt w:val="lowerRoman"/>
      <w:lvlText w:val="%6."/>
      <w:lvlJc w:val="right"/>
      <w:pPr>
        <w:ind w:left="5040" w:hanging="180"/>
      </w:pPr>
    </w:lvl>
    <w:lvl w:ilvl="6" w:tplc="D9DC7328">
      <w:start w:val="1"/>
      <w:numFmt w:val="decimal"/>
      <w:lvlText w:val="%7."/>
      <w:lvlJc w:val="left"/>
      <w:pPr>
        <w:ind w:left="5760" w:hanging="360"/>
      </w:pPr>
    </w:lvl>
    <w:lvl w:ilvl="7" w:tplc="3BCECD7C">
      <w:start w:val="1"/>
      <w:numFmt w:val="lowerLetter"/>
      <w:lvlText w:val="%8."/>
      <w:lvlJc w:val="left"/>
      <w:pPr>
        <w:ind w:left="6480" w:hanging="360"/>
      </w:pPr>
    </w:lvl>
    <w:lvl w:ilvl="8" w:tplc="9B0CB25A">
      <w:start w:val="1"/>
      <w:numFmt w:val="lowerRoman"/>
      <w:lvlText w:val="%9."/>
      <w:lvlJc w:val="right"/>
      <w:pPr>
        <w:ind w:left="7200" w:hanging="180"/>
      </w:pPr>
    </w:lvl>
  </w:abstractNum>
  <w:abstractNum w:abstractNumId="45" w15:restartNumberingAfterBreak="0">
    <w:nsid w:val="657F0A57"/>
    <w:multiLevelType w:val="hybridMultilevel"/>
    <w:tmpl w:val="FFFFFFFF"/>
    <w:lvl w:ilvl="0" w:tplc="55EA56C8">
      <w:start w:val="1"/>
      <w:numFmt w:val="decimal"/>
      <w:lvlText w:val="%1."/>
      <w:lvlJc w:val="left"/>
      <w:pPr>
        <w:ind w:left="1440" w:hanging="360"/>
      </w:pPr>
    </w:lvl>
    <w:lvl w:ilvl="1" w:tplc="B17ECC18">
      <w:start w:val="1"/>
      <w:numFmt w:val="lowerLetter"/>
      <w:lvlText w:val="%2."/>
      <w:lvlJc w:val="left"/>
      <w:pPr>
        <w:ind w:left="2160" w:hanging="360"/>
      </w:pPr>
    </w:lvl>
    <w:lvl w:ilvl="2" w:tplc="5CAA81A2">
      <w:start w:val="1"/>
      <w:numFmt w:val="lowerRoman"/>
      <w:lvlText w:val="%3."/>
      <w:lvlJc w:val="right"/>
      <w:pPr>
        <w:ind w:left="2880" w:hanging="180"/>
      </w:pPr>
    </w:lvl>
    <w:lvl w:ilvl="3" w:tplc="C3042006">
      <w:start w:val="1"/>
      <w:numFmt w:val="decimal"/>
      <w:lvlText w:val="%4."/>
      <w:lvlJc w:val="left"/>
      <w:pPr>
        <w:ind w:left="3600" w:hanging="360"/>
      </w:pPr>
    </w:lvl>
    <w:lvl w:ilvl="4" w:tplc="F19ED15E">
      <w:start w:val="1"/>
      <w:numFmt w:val="lowerLetter"/>
      <w:lvlText w:val="%5."/>
      <w:lvlJc w:val="left"/>
      <w:pPr>
        <w:ind w:left="4320" w:hanging="360"/>
      </w:pPr>
    </w:lvl>
    <w:lvl w:ilvl="5" w:tplc="C46278FC">
      <w:start w:val="1"/>
      <w:numFmt w:val="lowerRoman"/>
      <w:lvlText w:val="%6."/>
      <w:lvlJc w:val="right"/>
      <w:pPr>
        <w:ind w:left="5040" w:hanging="180"/>
      </w:pPr>
    </w:lvl>
    <w:lvl w:ilvl="6" w:tplc="C8CA8408">
      <w:start w:val="1"/>
      <w:numFmt w:val="decimal"/>
      <w:lvlText w:val="%7."/>
      <w:lvlJc w:val="left"/>
      <w:pPr>
        <w:ind w:left="5760" w:hanging="360"/>
      </w:pPr>
    </w:lvl>
    <w:lvl w:ilvl="7" w:tplc="8C446EE2">
      <w:start w:val="1"/>
      <w:numFmt w:val="lowerLetter"/>
      <w:lvlText w:val="%8."/>
      <w:lvlJc w:val="left"/>
      <w:pPr>
        <w:ind w:left="6480" w:hanging="360"/>
      </w:pPr>
    </w:lvl>
    <w:lvl w:ilvl="8" w:tplc="5CB64D30">
      <w:start w:val="1"/>
      <w:numFmt w:val="lowerRoman"/>
      <w:lvlText w:val="%9."/>
      <w:lvlJc w:val="right"/>
      <w:pPr>
        <w:ind w:left="7200" w:hanging="180"/>
      </w:pPr>
    </w:lvl>
  </w:abstractNum>
  <w:abstractNum w:abstractNumId="46" w15:restartNumberingAfterBreak="0">
    <w:nsid w:val="67FD1241"/>
    <w:multiLevelType w:val="hybridMultilevel"/>
    <w:tmpl w:val="F6D86CC2"/>
    <w:lvl w:ilvl="0" w:tplc="0F6882FC">
      <w:start w:val="1"/>
      <w:numFmt w:val="bullet"/>
      <w:pStyle w:val="ListBullet"/>
      <w:lvlText w:val=""/>
      <w:lvlJc w:val="left"/>
      <w:pPr>
        <w:tabs>
          <w:tab w:val="num" w:pos="851"/>
        </w:tabs>
        <w:ind w:left="568" w:firstLine="0"/>
      </w:pPr>
      <w:rPr>
        <w:rFonts w:ascii="Wingdings" w:hAnsi="Wingdings" w:hint="default"/>
        <w:color w:val="808080"/>
        <w:sz w:val="16"/>
      </w:rPr>
    </w:lvl>
    <w:lvl w:ilvl="1" w:tplc="8E3E5F66" w:tentative="1">
      <w:start w:val="1"/>
      <w:numFmt w:val="bullet"/>
      <w:lvlText w:val="o"/>
      <w:lvlJc w:val="left"/>
      <w:pPr>
        <w:tabs>
          <w:tab w:val="num" w:pos="1724"/>
        </w:tabs>
        <w:ind w:left="1724" w:hanging="360"/>
      </w:pPr>
      <w:rPr>
        <w:rFonts w:ascii="Courier New" w:hAnsi="Courier New" w:cs="Courier New" w:hint="default"/>
      </w:rPr>
    </w:lvl>
    <w:lvl w:ilvl="2" w:tplc="687E42CA" w:tentative="1">
      <w:start w:val="1"/>
      <w:numFmt w:val="bullet"/>
      <w:lvlText w:val=""/>
      <w:lvlJc w:val="left"/>
      <w:pPr>
        <w:tabs>
          <w:tab w:val="num" w:pos="2444"/>
        </w:tabs>
        <w:ind w:left="2444" w:hanging="360"/>
      </w:pPr>
      <w:rPr>
        <w:rFonts w:ascii="Wingdings" w:hAnsi="Wingdings" w:hint="default"/>
      </w:rPr>
    </w:lvl>
    <w:lvl w:ilvl="3" w:tplc="8E6C2960" w:tentative="1">
      <w:start w:val="1"/>
      <w:numFmt w:val="bullet"/>
      <w:lvlText w:val=""/>
      <w:lvlJc w:val="left"/>
      <w:pPr>
        <w:tabs>
          <w:tab w:val="num" w:pos="3164"/>
        </w:tabs>
        <w:ind w:left="3164" w:hanging="360"/>
      </w:pPr>
      <w:rPr>
        <w:rFonts w:ascii="Symbol" w:hAnsi="Symbol" w:hint="default"/>
      </w:rPr>
    </w:lvl>
    <w:lvl w:ilvl="4" w:tplc="B3AEAF62" w:tentative="1">
      <w:start w:val="1"/>
      <w:numFmt w:val="bullet"/>
      <w:lvlText w:val="o"/>
      <w:lvlJc w:val="left"/>
      <w:pPr>
        <w:tabs>
          <w:tab w:val="num" w:pos="3884"/>
        </w:tabs>
        <w:ind w:left="3884" w:hanging="360"/>
      </w:pPr>
      <w:rPr>
        <w:rFonts w:ascii="Courier New" w:hAnsi="Courier New" w:cs="Courier New" w:hint="default"/>
      </w:rPr>
    </w:lvl>
    <w:lvl w:ilvl="5" w:tplc="D73CD32C" w:tentative="1">
      <w:start w:val="1"/>
      <w:numFmt w:val="bullet"/>
      <w:lvlText w:val=""/>
      <w:lvlJc w:val="left"/>
      <w:pPr>
        <w:tabs>
          <w:tab w:val="num" w:pos="4604"/>
        </w:tabs>
        <w:ind w:left="4604" w:hanging="360"/>
      </w:pPr>
      <w:rPr>
        <w:rFonts w:ascii="Wingdings" w:hAnsi="Wingdings" w:hint="default"/>
      </w:rPr>
    </w:lvl>
    <w:lvl w:ilvl="6" w:tplc="C900B002" w:tentative="1">
      <w:start w:val="1"/>
      <w:numFmt w:val="bullet"/>
      <w:lvlText w:val=""/>
      <w:lvlJc w:val="left"/>
      <w:pPr>
        <w:tabs>
          <w:tab w:val="num" w:pos="5324"/>
        </w:tabs>
        <w:ind w:left="5324" w:hanging="360"/>
      </w:pPr>
      <w:rPr>
        <w:rFonts w:ascii="Symbol" w:hAnsi="Symbol" w:hint="default"/>
      </w:rPr>
    </w:lvl>
    <w:lvl w:ilvl="7" w:tplc="EB0E0D44" w:tentative="1">
      <w:start w:val="1"/>
      <w:numFmt w:val="bullet"/>
      <w:lvlText w:val="o"/>
      <w:lvlJc w:val="left"/>
      <w:pPr>
        <w:tabs>
          <w:tab w:val="num" w:pos="6044"/>
        </w:tabs>
        <w:ind w:left="6044" w:hanging="360"/>
      </w:pPr>
      <w:rPr>
        <w:rFonts w:ascii="Courier New" w:hAnsi="Courier New" w:cs="Courier New" w:hint="default"/>
      </w:rPr>
    </w:lvl>
    <w:lvl w:ilvl="8" w:tplc="3D1E01B4" w:tentative="1">
      <w:start w:val="1"/>
      <w:numFmt w:val="bullet"/>
      <w:lvlText w:val=""/>
      <w:lvlJc w:val="left"/>
      <w:pPr>
        <w:tabs>
          <w:tab w:val="num" w:pos="6764"/>
        </w:tabs>
        <w:ind w:left="6764" w:hanging="360"/>
      </w:pPr>
      <w:rPr>
        <w:rFonts w:ascii="Wingdings" w:hAnsi="Wingdings" w:hint="default"/>
      </w:rPr>
    </w:lvl>
  </w:abstractNum>
  <w:abstractNum w:abstractNumId="47" w15:restartNumberingAfterBreak="0">
    <w:nsid w:val="68D0351C"/>
    <w:multiLevelType w:val="hybridMultilevel"/>
    <w:tmpl w:val="FFFFFFFF"/>
    <w:lvl w:ilvl="0" w:tplc="33628162">
      <w:start w:val="1"/>
      <w:numFmt w:val="decimal"/>
      <w:lvlText w:val="%1."/>
      <w:lvlJc w:val="left"/>
      <w:pPr>
        <w:ind w:left="1440" w:hanging="360"/>
      </w:pPr>
    </w:lvl>
    <w:lvl w:ilvl="1" w:tplc="04D84ECA">
      <w:start w:val="1"/>
      <w:numFmt w:val="lowerLetter"/>
      <w:lvlText w:val="%2."/>
      <w:lvlJc w:val="left"/>
      <w:pPr>
        <w:ind w:left="2160" w:hanging="360"/>
      </w:pPr>
    </w:lvl>
    <w:lvl w:ilvl="2" w:tplc="15244378">
      <w:start w:val="1"/>
      <w:numFmt w:val="lowerRoman"/>
      <w:lvlText w:val="%3."/>
      <w:lvlJc w:val="right"/>
      <w:pPr>
        <w:ind w:left="2880" w:hanging="180"/>
      </w:pPr>
    </w:lvl>
    <w:lvl w:ilvl="3" w:tplc="9F449366">
      <w:start w:val="1"/>
      <w:numFmt w:val="decimal"/>
      <w:lvlText w:val="%4."/>
      <w:lvlJc w:val="left"/>
      <w:pPr>
        <w:ind w:left="3600" w:hanging="360"/>
      </w:pPr>
    </w:lvl>
    <w:lvl w:ilvl="4" w:tplc="13306EEC">
      <w:start w:val="1"/>
      <w:numFmt w:val="lowerLetter"/>
      <w:lvlText w:val="%5."/>
      <w:lvlJc w:val="left"/>
      <w:pPr>
        <w:ind w:left="4320" w:hanging="360"/>
      </w:pPr>
    </w:lvl>
    <w:lvl w:ilvl="5" w:tplc="C32AB43A">
      <w:start w:val="1"/>
      <w:numFmt w:val="lowerRoman"/>
      <w:lvlText w:val="%6."/>
      <w:lvlJc w:val="right"/>
      <w:pPr>
        <w:ind w:left="5040" w:hanging="180"/>
      </w:pPr>
    </w:lvl>
    <w:lvl w:ilvl="6" w:tplc="B9D6CB0C">
      <w:start w:val="1"/>
      <w:numFmt w:val="decimal"/>
      <w:lvlText w:val="%7."/>
      <w:lvlJc w:val="left"/>
      <w:pPr>
        <w:ind w:left="5760" w:hanging="360"/>
      </w:pPr>
    </w:lvl>
    <w:lvl w:ilvl="7" w:tplc="1824A5A0">
      <w:start w:val="1"/>
      <w:numFmt w:val="lowerLetter"/>
      <w:lvlText w:val="%8."/>
      <w:lvlJc w:val="left"/>
      <w:pPr>
        <w:ind w:left="6480" w:hanging="360"/>
      </w:pPr>
    </w:lvl>
    <w:lvl w:ilvl="8" w:tplc="9B36DB40">
      <w:start w:val="1"/>
      <w:numFmt w:val="lowerRoman"/>
      <w:lvlText w:val="%9."/>
      <w:lvlJc w:val="right"/>
      <w:pPr>
        <w:ind w:left="7200" w:hanging="180"/>
      </w:pPr>
    </w:lvl>
  </w:abstractNum>
  <w:abstractNum w:abstractNumId="48" w15:restartNumberingAfterBreak="0">
    <w:nsid w:val="6A477546"/>
    <w:multiLevelType w:val="hybridMultilevel"/>
    <w:tmpl w:val="FFFFFFFF"/>
    <w:lvl w:ilvl="0" w:tplc="F97215E2">
      <w:start w:val="1"/>
      <w:numFmt w:val="decimal"/>
      <w:lvlText w:val="%1."/>
      <w:lvlJc w:val="left"/>
      <w:pPr>
        <w:ind w:left="1440" w:hanging="360"/>
      </w:pPr>
    </w:lvl>
    <w:lvl w:ilvl="1" w:tplc="E9CE050A">
      <w:start w:val="1"/>
      <w:numFmt w:val="lowerLetter"/>
      <w:lvlText w:val="%2."/>
      <w:lvlJc w:val="left"/>
      <w:pPr>
        <w:ind w:left="2160" w:hanging="360"/>
      </w:pPr>
    </w:lvl>
    <w:lvl w:ilvl="2" w:tplc="C3DE9482">
      <w:start w:val="1"/>
      <w:numFmt w:val="lowerRoman"/>
      <w:lvlText w:val="%3."/>
      <w:lvlJc w:val="right"/>
      <w:pPr>
        <w:ind w:left="2880" w:hanging="180"/>
      </w:pPr>
    </w:lvl>
    <w:lvl w:ilvl="3" w:tplc="AADAEF86">
      <w:start w:val="1"/>
      <w:numFmt w:val="decimal"/>
      <w:lvlText w:val="%4."/>
      <w:lvlJc w:val="left"/>
      <w:pPr>
        <w:ind w:left="3600" w:hanging="360"/>
      </w:pPr>
    </w:lvl>
    <w:lvl w:ilvl="4" w:tplc="68E49352">
      <w:start w:val="1"/>
      <w:numFmt w:val="lowerLetter"/>
      <w:lvlText w:val="%5."/>
      <w:lvlJc w:val="left"/>
      <w:pPr>
        <w:ind w:left="4320" w:hanging="360"/>
      </w:pPr>
    </w:lvl>
    <w:lvl w:ilvl="5" w:tplc="3D48549E">
      <w:start w:val="1"/>
      <w:numFmt w:val="lowerRoman"/>
      <w:lvlText w:val="%6."/>
      <w:lvlJc w:val="right"/>
      <w:pPr>
        <w:ind w:left="5040" w:hanging="180"/>
      </w:pPr>
    </w:lvl>
    <w:lvl w:ilvl="6" w:tplc="9DAC6EB2">
      <w:start w:val="1"/>
      <w:numFmt w:val="decimal"/>
      <w:lvlText w:val="%7."/>
      <w:lvlJc w:val="left"/>
      <w:pPr>
        <w:ind w:left="5760" w:hanging="360"/>
      </w:pPr>
    </w:lvl>
    <w:lvl w:ilvl="7" w:tplc="2AFE996A">
      <w:start w:val="1"/>
      <w:numFmt w:val="lowerLetter"/>
      <w:lvlText w:val="%8."/>
      <w:lvlJc w:val="left"/>
      <w:pPr>
        <w:ind w:left="6480" w:hanging="360"/>
      </w:pPr>
    </w:lvl>
    <w:lvl w:ilvl="8" w:tplc="E76E1CE4">
      <w:start w:val="1"/>
      <w:numFmt w:val="lowerRoman"/>
      <w:lvlText w:val="%9."/>
      <w:lvlJc w:val="right"/>
      <w:pPr>
        <w:ind w:left="7200" w:hanging="180"/>
      </w:pPr>
    </w:lvl>
  </w:abstractNum>
  <w:abstractNum w:abstractNumId="49" w15:restartNumberingAfterBreak="0">
    <w:nsid w:val="73BB2686"/>
    <w:multiLevelType w:val="hybridMultilevel"/>
    <w:tmpl w:val="FFFFFFFF"/>
    <w:lvl w:ilvl="0" w:tplc="EB525D4A">
      <w:start w:val="1"/>
      <w:numFmt w:val="decimal"/>
      <w:lvlText w:val="%1."/>
      <w:lvlJc w:val="left"/>
      <w:pPr>
        <w:ind w:left="1364" w:hanging="360"/>
      </w:pPr>
    </w:lvl>
    <w:lvl w:ilvl="1" w:tplc="7BDC08A2">
      <w:start w:val="1"/>
      <w:numFmt w:val="lowerLetter"/>
      <w:lvlText w:val="%2."/>
      <w:lvlJc w:val="left"/>
      <w:pPr>
        <w:ind w:left="2084" w:hanging="360"/>
      </w:pPr>
    </w:lvl>
    <w:lvl w:ilvl="2" w:tplc="970ABF2A">
      <w:start w:val="1"/>
      <w:numFmt w:val="lowerRoman"/>
      <w:lvlText w:val="%3."/>
      <w:lvlJc w:val="right"/>
      <w:pPr>
        <w:ind w:left="2804" w:hanging="180"/>
      </w:pPr>
    </w:lvl>
    <w:lvl w:ilvl="3" w:tplc="2E305610">
      <w:start w:val="1"/>
      <w:numFmt w:val="decimal"/>
      <w:lvlText w:val="%4."/>
      <w:lvlJc w:val="left"/>
      <w:pPr>
        <w:ind w:left="3524" w:hanging="360"/>
      </w:pPr>
    </w:lvl>
    <w:lvl w:ilvl="4" w:tplc="34DC67A0">
      <w:start w:val="1"/>
      <w:numFmt w:val="lowerLetter"/>
      <w:lvlText w:val="%5."/>
      <w:lvlJc w:val="left"/>
      <w:pPr>
        <w:ind w:left="4244" w:hanging="360"/>
      </w:pPr>
    </w:lvl>
    <w:lvl w:ilvl="5" w:tplc="CB38DA22">
      <w:start w:val="1"/>
      <w:numFmt w:val="lowerRoman"/>
      <w:lvlText w:val="%6."/>
      <w:lvlJc w:val="right"/>
      <w:pPr>
        <w:ind w:left="4964" w:hanging="180"/>
      </w:pPr>
    </w:lvl>
    <w:lvl w:ilvl="6" w:tplc="C7B27D92">
      <w:start w:val="1"/>
      <w:numFmt w:val="decimal"/>
      <w:lvlText w:val="%7."/>
      <w:lvlJc w:val="left"/>
      <w:pPr>
        <w:ind w:left="5684" w:hanging="360"/>
      </w:pPr>
    </w:lvl>
    <w:lvl w:ilvl="7" w:tplc="DD76B204">
      <w:start w:val="1"/>
      <w:numFmt w:val="lowerLetter"/>
      <w:lvlText w:val="%8."/>
      <w:lvlJc w:val="left"/>
      <w:pPr>
        <w:ind w:left="6404" w:hanging="360"/>
      </w:pPr>
    </w:lvl>
    <w:lvl w:ilvl="8" w:tplc="ECE0E310">
      <w:start w:val="1"/>
      <w:numFmt w:val="lowerRoman"/>
      <w:lvlText w:val="%9."/>
      <w:lvlJc w:val="right"/>
      <w:pPr>
        <w:ind w:left="7124" w:hanging="180"/>
      </w:pPr>
    </w:lvl>
  </w:abstractNum>
  <w:abstractNum w:abstractNumId="50" w15:restartNumberingAfterBreak="0">
    <w:nsid w:val="74896C51"/>
    <w:multiLevelType w:val="hybridMultilevel"/>
    <w:tmpl w:val="FFFFFFFF"/>
    <w:lvl w:ilvl="0" w:tplc="1C0EA59C">
      <w:start w:val="1"/>
      <w:numFmt w:val="decimal"/>
      <w:lvlText w:val="%1."/>
      <w:lvlJc w:val="left"/>
      <w:pPr>
        <w:ind w:left="1440" w:hanging="360"/>
      </w:pPr>
    </w:lvl>
    <w:lvl w:ilvl="1" w:tplc="F8569276">
      <w:numFmt w:val="bullet"/>
      <w:lvlText w:val="•"/>
      <w:lvlJc w:val="left"/>
      <w:pPr>
        <w:ind w:left="2160" w:hanging="360"/>
      </w:pPr>
      <w:rPr>
        <w:rFonts w:ascii="Calibri" w:hAnsi="Calibri" w:cs="Calibri"/>
      </w:rPr>
    </w:lvl>
    <w:lvl w:ilvl="2" w:tplc="2B64FA30">
      <w:start w:val="1"/>
      <w:numFmt w:val="lowerRoman"/>
      <w:lvlText w:val="%3."/>
      <w:lvlJc w:val="right"/>
      <w:pPr>
        <w:ind w:left="2880" w:hanging="180"/>
      </w:pPr>
    </w:lvl>
    <w:lvl w:ilvl="3" w:tplc="C750F39C">
      <w:start w:val="1"/>
      <w:numFmt w:val="decimal"/>
      <w:lvlText w:val="%4."/>
      <w:lvlJc w:val="left"/>
      <w:pPr>
        <w:ind w:left="3600" w:hanging="360"/>
      </w:pPr>
    </w:lvl>
    <w:lvl w:ilvl="4" w:tplc="30F0F202">
      <w:start w:val="1"/>
      <w:numFmt w:val="lowerLetter"/>
      <w:lvlText w:val="%5."/>
      <w:lvlJc w:val="left"/>
      <w:pPr>
        <w:ind w:left="4320" w:hanging="360"/>
      </w:pPr>
    </w:lvl>
    <w:lvl w:ilvl="5" w:tplc="D54C731E">
      <w:start w:val="1"/>
      <w:numFmt w:val="lowerRoman"/>
      <w:lvlText w:val="%6."/>
      <w:lvlJc w:val="right"/>
      <w:pPr>
        <w:ind w:left="5040" w:hanging="180"/>
      </w:pPr>
    </w:lvl>
    <w:lvl w:ilvl="6" w:tplc="A3EC24F8">
      <w:start w:val="1"/>
      <w:numFmt w:val="decimal"/>
      <w:lvlText w:val="%7."/>
      <w:lvlJc w:val="left"/>
      <w:pPr>
        <w:ind w:left="5760" w:hanging="360"/>
      </w:pPr>
    </w:lvl>
    <w:lvl w:ilvl="7" w:tplc="B740BEFA">
      <w:start w:val="1"/>
      <w:numFmt w:val="lowerLetter"/>
      <w:lvlText w:val="%8."/>
      <w:lvlJc w:val="left"/>
      <w:pPr>
        <w:ind w:left="6480" w:hanging="360"/>
      </w:pPr>
    </w:lvl>
    <w:lvl w:ilvl="8" w:tplc="2DC8A18C">
      <w:start w:val="1"/>
      <w:numFmt w:val="lowerRoman"/>
      <w:lvlText w:val="%9."/>
      <w:lvlJc w:val="right"/>
      <w:pPr>
        <w:ind w:left="7200" w:hanging="180"/>
      </w:pPr>
    </w:lvl>
  </w:abstractNum>
  <w:abstractNum w:abstractNumId="51" w15:restartNumberingAfterBreak="0">
    <w:nsid w:val="770B374C"/>
    <w:multiLevelType w:val="hybridMultilevel"/>
    <w:tmpl w:val="0DA6F806"/>
    <w:lvl w:ilvl="0" w:tplc="3CC858D4">
      <w:start w:val="1"/>
      <w:numFmt w:val="decimal"/>
      <w:lvlText w:val="%1."/>
      <w:lvlJc w:val="left"/>
      <w:pPr>
        <w:ind w:left="1440" w:hanging="360"/>
      </w:pPr>
    </w:lvl>
    <w:lvl w:ilvl="1" w:tplc="2D58CFD2">
      <w:start w:val="1"/>
      <w:numFmt w:val="lowerLetter"/>
      <w:lvlText w:val="%2."/>
      <w:lvlJc w:val="left"/>
      <w:pPr>
        <w:ind w:left="2160" w:hanging="360"/>
      </w:pPr>
    </w:lvl>
    <w:lvl w:ilvl="2" w:tplc="3912C292">
      <w:start w:val="1"/>
      <w:numFmt w:val="lowerRoman"/>
      <w:lvlText w:val="%3."/>
      <w:lvlJc w:val="right"/>
      <w:pPr>
        <w:ind w:left="2880" w:hanging="180"/>
      </w:pPr>
    </w:lvl>
    <w:lvl w:ilvl="3" w:tplc="FF587A84">
      <w:start w:val="1"/>
      <w:numFmt w:val="decimal"/>
      <w:lvlText w:val="%4."/>
      <w:lvlJc w:val="left"/>
      <w:pPr>
        <w:ind w:left="3600" w:hanging="360"/>
      </w:pPr>
    </w:lvl>
    <w:lvl w:ilvl="4" w:tplc="BD0E39FE">
      <w:start w:val="1"/>
      <w:numFmt w:val="lowerLetter"/>
      <w:lvlText w:val="%5."/>
      <w:lvlJc w:val="left"/>
      <w:pPr>
        <w:ind w:left="4320" w:hanging="360"/>
      </w:pPr>
    </w:lvl>
    <w:lvl w:ilvl="5" w:tplc="4B9CF27C">
      <w:start w:val="1"/>
      <w:numFmt w:val="lowerRoman"/>
      <w:lvlText w:val="%6."/>
      <w:lvlJc w:val="right"/>
      <w:pPr>
        <w:ind w:left="5040" w:hanging="180"/>
      </w:pPr>
    </w:lvl>
    <w:lvl w:ilvl="6" w:tplc="3B0486F2">
      <w:start w:val="1"/>
      <w:numFmt w:val="decimal"/>
      <w:lvlText w:val="%7."/>
      <w:lvlJc w:val="left"/>
      <w:pPr>
        <w:ind w:left="5760" w:hanging="360"/>
      </w:pPr>
    </w:lvl>
    <w:lvl w:ilvl="7" w:tplc="5296A748">
      <w:start w:val="1"/>
      <w:numFmt w:val="lowerLetter"/>
      <w:lvlText w:val="%8."/>
      <w:lvlJc w:val="left"/>
      <w:pPr>
        <w:ind w:left="6480" w:hanging="360"/>
      </w:pPr>
    </w:lvl>
    <w:lvl w:ilvl="8" w:tplc="0DC4711A">
      <w:start w:val="1"/>
      <w:numFmt w:val="lowerRoman"/>
      <w:lvlText w:val="%9."/>
      <w:lvlJc w:val="right"/>
      <w:pPr>
        <w:ind w:left="7200" w:hanging="180"/>
      </w:pPr>
    </w:lvl>
  </w:abstractNum>
  <w:abstractNum w:abstractNumId="52" w15:restartNumberingAfterBreak="0">
    <w:nsid w:val="779740C6"/>
    <w:multiLevelType w:val="hybridMultilevel"/>
    <w:tmpl w:val="FFFFFFFF"/>
    <w:lvl w:ilvl="0" w:tplc="E19485BC">
      <w:start w:val="1"/>
      <w:numFmt w:val="decimal"/>
      <w:lvlText w:val="%1."/>
      <w:lvlJc w:val="left"/>
      <w:pPr>
        <w:ind w:left="1440" w:hanging="360"/>
      </w:pPr>
    </w:lvl>
    <w:lvl w:ilvl="1" w:tplc="E53CBE62">
      <w:start w:val="1"/>
      <w:numFmt w:val="lowerLetter"/>
      <w:lvlText w:val="%2."/>
      <w:lvlJc w:val="left"/>
      <w:pPr>
        <w:ind w:left="2160" w:hanging="360"/>
      </w:pPr>
    </w:lvl>
    <w:lvl w:ilvl="2" w:tplc="368E425E">
      <w:start w:val="1"/>
      <w:numFmt w:val="lowerRoman"/>
      <w:lvlText w:val="%3."/>
      <w:lvlJc w:val="right"/>
      <w:pPr>
        <w:ind w:left="2880" w:hanging="180"/>
      </w:pPr>
    </w:lvl>
    <w:lvl w:ilvl="3" w:tplc="918C3582">
      <w:start w:val="1"/>
      <w:numFmt w:val="decimal"/>
      <w:lvlText w:val="%4."/>
      <w:lvlJc w:val="left"/>
      <w:pPr>
        <w:ind w:left="3600" w:hanging="360"/>
      </w:pPr>
    </w:lvl>
    <w:lvl w:ilvl="4" w:tplc="058E52AA">
      <w:start w:val="1"/>
      <w:numFmt w:val="lowerLetter"/>
      <w:lvlText w:val="%5."/>
      <w:lvlJc w:val="left"/>
      <w:pPr>
        <w:ind w:left="4320" w:hanging="360"/>
      </w:pPr>
    </w:lvl>
    <w:lvl w:ilvl="5" w:tplc="94A02292">
      <w:start w:val="1"/>
      <w:numFmt w:val="lowerRoman"/>
      <w:lvlText w:val="%6."/>
      <w:lvlJc w:val="right"/>
      <w:pPr>
        <w:ind w:left="5040" w:hanging="180"/>
      </w:pPr>
    </w:lvl>
    <w:lvl w:ilvl="6" w:tplc="A30470EE">
      <w:start w:val="1"/>
      <w:numFmt w:val="decimal"/>
      <w:lvlText w:val="%7."/>
      <w:lvlJc w:val="left"/>
      <w:pPr>
        <w:ind w:left="5760" w:hanging="360"/>
      </w:pPr>
    </w:lvl>
    <w:lvl w:ilvl="7" w:tplc="BDE0F236">
      <w:start w:val="1"/>
      <w:numFmt w:val="lowerLetter"/>
      <w:lvlText w:val="%8."/>
      <w:lvlJc w:val="left"/>
      <w:pPr>
        <w:ind w:left="6480" w:hanging="360"/>
      </w:pPr>
    </w:lvl>
    <w:lvl w:ilvl="8" w:tplc="C18831E4">
      <w:start w:val="1"/>
      <w:numFmt w:val="lowerRoman"/>
      <w:lvlText w:val="%9."/>
      <w:lvlJc w:val="right"/>
      <w:pPr>
        <w:ind w:left="7200" w:hanging="180"/>
      </w:pPr>
    </w:lvl>
  </w:abstractNum>
  <w:abstractNum w:abstractNumId="53" w15:restartNumberingAfterBreak="0">
    <w:nsid w:val="7C860700"/>
    <w:multiLevelType w:val="hybridMultilevel"/>
    <w:tmpl w:val="FFFFFFFF"/>
    <w:lvl w:ilvl="0" w:tplc="F9F6EA78">
      <w:start w:val="1"/>
      <w:numFmt w:val="decimal"/>
      <w:lvlText w:val="%1."/>
      <w:lvlJc w:val="left"/>
      <w:pPr>
        <w:ind w:left="1440" w:hanging="360"/>
      </w:pPr>
    </w:lvl>
    <w:lvl w:ilvl="1" w:tplc="95C677C0">
      <w:start w:val="1"/>
      <w:numFmt w:val="lowerLetter"/>
      <w:lvlText w:val="%2."/>
      <w:lvlJc w:val="left"/>
      <w:pPr>
        <w:ind w:left="2160" w:hanging="360"/>
      </w:pPr>
    </w:lvl>
    <w:lvl w:ilvl="2" w:tplc="9DD2FE76">
      <w:start w:val="1"/>
      <w:numFmt w:val="lowerRoman"/>
      <w:lvlText w:val="%3."/>
      <w:lvlJc w:val="right"/>
      <w:pPr>
        <w:ind w:left="2880" w:hanging="180"/>
      </w:pPr>
    </w:lvl>
    <w:lvl w:ilvl="3" w:tplc="79460646">
      <w:start w:val="1"/>
      <w:numFmt w:val="decimal"/>
      <w:lvlText w:val="%4."/>
      <w:lvlJc w:val="left"/>
      <w:pPr>
        <w:ind w:left="3600" w:hanging="360"/>
      </w:pPr>
    </w:lvl>
    <w:lvl w:ilvl="4" w:tplc="F30489C0">
      <w:start w:val="1"/>
      <w:numFmt w:val="lowerLetter"/>
      <w:lvlText w:val="%5."/>
      <w:lvlJc w:val="left"/>
      <w:pPr>
        <w:ind w:left="4320" w:hanging="360"/>
      </w:pPr>
    </w:lvl>
    <w:lvl w:ilvl="5" w:tplc="29DE9C4E">
      <w:start w:val="1"/>
      <w:numFmt w:val="lowerRoman"/>
      <w:lvlText w:val="%6."/>
      <w:lvlJc w:val="right"/>
      <w:pPr>
        <w:ind w:left="5040" w:hanging="180"/>
      </w:pPr>
    </w:lvl>
    <w:lvl w:ilvl="6" w:tplc="D9226CEE">
      <w:start w:val="1"/>
      <w:numFmt w:val="decimal"/>
      <w:lvlText w:val="%7."/>
      <w:lvlJc w:val="left"/>
      <w:pPr>
        <w:ind w:left="5760" w:hanging="360"/>
      </w:pPr>
    </w:lvl>
    <w:lvl w:ilvl="7" w:tplc="509A7374">
      <w:start w:val="1"/>
      <w:numFmt w:val="lowerLetter"/>
      <w:lvlText w:val="%8."/>
      <w:lvlJc w:val="left"/>
      <w:pPr>
        <w:ind w:left="6480" w:hanging="360"/>
      </w:pPr>
    </w:lvl>
    <w:lvl w:ilvl="8" w:tplc="BA420C40">
      <w:start w:val="1"/>
      <w:numFmt w:val="lowerRoman"/>
      <w:lvlText w:val="%9."/>
      <w:lvlJc w:val="right"/>
      <w:pPr>
        <w:ind w:left="7200" w:hanging="180"/>
      </w:pPr>
    </w:lvl>
  </w:abstractNum>
  <w:num w:numId="1">
    <w:abstractNumId w:val="1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 w:ilvl="0" w:tplc="EA8474A8">
        <w:start w:val="1"/>
        <w:numFmt w:val="decimal"/>
        <w:lvlText w:val="%1."/>
        <w:lvlJc w:val="left"/>
        <w:pPr>
          <w:ind w:left="1440" w:hanging="360"/>
        </w:pPr>
      </w:lvl>
    </w:lvlOverride>
    <w:lvlOverride w:ilvl="1">
      <w:lvl w:ilvl="1" w:tplc="EA6A8F96">
        <w:start w:val="1"/>
        <w:numFmt w:val="lowerLetter"/>
        <w:lvlText w:val="%2."/>
        <w:lvlJc w:val="left"/>
        <w:pPr>
          <w:ind w:left="2160" w:hanging="360"/>
        </w:pPr>
      </w:lvl>
    </w:lvlOverride>
    <w:lvlOverride w:ilvl="2">
      <w:lvl w:ilvl="2" w:tplc="1930B73C">
        <w:start w:val="1"/>
        <w:numFmt w:val="lowerRoman"/>
        <w:lvlText w:val="%3."/>
        <w:lvlJc w:val="right"/>
        <w:pPr>
          <w:ind w:left="2880" w:hanging="180"/>
        </w:pPr>
      </w:lvl>
    </w:lvlOverride>
    <w:lvlOverride w:ilvl="3">
      <w:lvl w:ilvl="3" w:tplc="2A7A115C">
        <w:start w:val="1"/>
        <w:numFmt w:val="decimal"/>
        <w:lvlText w:val="%4."/>
        <w:lvlJc w:val="left"/>
        <w:pPr>
          <w:ind w:left="3600" w:hanging="360"/>
        </w:pPr>
      </w:lvl>
    </w:lvlOverride>
    <w:lvlOverride w:ilvl="4">
      <w:lvl w:ilvl="4" w:tplc="65EA6262">
        <w:start w:val="1"/>
        <w:numFmt w:val="lowerLetter"/>
        <w:lvlText w:val="%5."/>
        <w:lvlJc w:val="left"/>
        <w:pPr>
          <w:ind w:left="4320" w:hanging="360"/>
        </w:pPr>
      </w:lvl>
    </w:lvlOverride>
    <w:lvlOverride w:ilvl="5">
      <w:lvl w:ilvl="5" w:tplc="AAB44284">
        <w:start w:val="1"/>
        <w:numFmt w:val="lowerRoman"/>
        <w:lvlText w:val="%6."/>
        <w:lvlJc w:val="right"/>
        <w:pPr>
          <w:ind w:left="5040" w:hanging="180"/>
        </w:pPr>
      </w:lvl>
    </w:lvlOverride>
    <w:lvlOverride w:ilvl="6">
      <w:lvl w:ilvl="6" w:tplc="51302F78">
        <w:start w:val="1"/>
        <w:numFmt w:val="decimal"/>
        <w:lvlText w:val="%7."/>
        <w:lvlJc w:val="left"/>
        <w:pPr>
          <w:ind w:left="5760" w:hanging="360"/>
        </w:pPr>
      </w:lvl>
    </w:lvlOverride>
    <w:lvlOverride w:ilvl="7">
      <w:lvl w:ilvl="7" w:tplc="7960E984">
        <w:start w:val="1"/>
        <w:numFmt w:val="lowerLetter"/>
        <w:lvlText w:val="%8."/>
        <w:lvlJc w:val="left"/>
        <w:pPr>
          <w:ind w:left="6480" w:hanging="360"/>
        </w:pPr>
      </w:lvl>
    </w:lvlOverride>
    <w:lvlOverride w:ilvl="8">
      <w:lvl w:ilvl="8" w:tplc="E96A0408">
        <w:start w:val="1"/>
        <w:numFmt w:val="lowerRoman"/>
        <w:lvlText w:val="%9."/>
        <w:lvlJc w:val="right"/>
        <w:pPr>
          <w:ind w:left="7200" w:hanging="180"/>
        </w:pPr>
      </w:lvl>
    </w:lvlOverride>
  </w:num>
  <w:num w:numId="4">
    <w:abstractNumId w:val="44"/>
    <w:lvlOverride w:ilvl="0">
      <w:lvl w:ilvl="0" w:tplc="3D3EC7B0">
        <w:start w:val="1"/>
        <w:numFmt w:val="decimal"/>
        <w:lvlText w:val="%1."/>
        <w:lvlJc w:val="left"/>
        <w:pPr>
          <w:ind w:left="1440" w:hanging="360"/>
        </w:pPr>
      </w:lvl>
    </w:lvlOverride>
    <w:lvlOverride w:ilvl="1">
      <w:lvl w:ilvl="1" w:tplc="3B5EF102">
        <w:start w:val="1"/>
        <w:numFmt w:val="lowerLetter"/>
        <w:lvlText w:val="%2."/>
        <w:lvlJc w:val="left"/>
        <w:pPr>
          <w:ind w:left="2160" w:hanging="360"/>
        </w:pPr>
      </w:lvl>
    </w:lvlOverride>
    <w:lvlOverride w:ilvl="2">
      <w:lvl w:ilvl="2" w:tplc="9B7ED20E">
        <w:start w:val="1"/>
        <w:numFmt w:val="lowerRoman"/>
        <w:lvlText w:val="%3."/>
        <w:lvlJc w:val="right"/>
        <w:pPr>
          <w:ind w:left="2880" w:hanging="180"/>
        </w:pPr>
      </w:lvl>
    </w:lvlOverride>
    <w:lvlOverride w:ilvl="3">
      <w:lvl w:ilvl="3" w:tplc="1C4CFDFE">
        <w:start w:val="1"/>
        <w:numFmt w:val="decimal"/>
        <w:lvlText w:val="%4."/>
        <w:lvlJc w:val="left"/>
        <w:pPr>
          <w:ind w:left="3600" w:hanging="360"/>
        </w:pPr>
      </w:lvl>
    </w:lvlOverride>
    <w:lvlOverride w:ilvl="4">
      <w:lvl w:ilvl="4" w:tplc="9482C362">
        <w:start w:val="1"/>
        <w:numFmt w:val="lowerLetter"/>
        <w:lvlText w:val="%5."/>
        <w:lvlJc w:val="left"/>
        <w:pPr>
          <w:ind w:left="4320" w:hanging="360"/>
        </w:pPr>
      </w:lvl>
    </w:lvlOverride>
    <w:lvlOverride w:ilvl="5">
      <w:lvl w:ilvl="5" w:tplc="1A7EB6A8">
        <w:start w:val="1"/>
        <w:numFmt w:val="lowerRoman"/>
        <w:lvlText w:val="%6."/>
        <w:lvlJc w:val="right"/>
        <w:pPr>
          <w:ind w:left="5040" w:hanging="180"/>
        </w:pPr>
      </w:lvl>
    </w:lvlOverride>
    <w:lvlOverride w:ilvl="6">
      <w:lvl w:ilvl="6" w:tplc="D9DC7328">
        <w:start w:val="1"/>
        <w:numFmt w:val="decimal"/>
        <w:lvlText w:val="%7."/>
        <w:lvlJc w:val="left"/>
        <w:pPr>
          <w:ind w:left="5760" w:hanging="360"/>
        </w:pPr>
      </w:lvl>
    </w:lvlOverride>
    <w:lvlOverride w:ilvl="7">
      <w:lvl w:ilvl="7" w:tplc="3BCECD7C">
        <w:start w:val="1"/>
        <w:numFmt w:val="lowerLetter"/>
        <w:lvlText w:val="%8."/>
        <w:lvlJc w:val="left"/>
        <w:pPr>
          <w:ind w:left="6480" w:hanging="360"/>
        </w:pPr>
      </w:lvl>
    </w:lvlOverride>
    <w:lvlOverride w:ilvl="8">
      <w:lvl w:ilvl="8" w:tplc="9B0CB25A">
        <w:start w:val="1"/>
        <w:numFmt w:val="lowerRoman"/>
        <w:lvlText w:val="%9."/>
        <w:lvlJc w:val="right"/>
        <w:pPr>
          <w:ind w:left="7200" w:hanging="180"/>
        </w:pPr>
      </w:lvl>
    </w:lvlOverride>
  </w:num>
  <w:num w:numId="5">
    <w:abstractNumId w:val="28"/>
    <w:lvlOverride w:ilvl="0">
      <w:lvl w:ilvl="0" w:tplc="1F4C31F0">
        <w:start w:val="1"/>
        <w:numFmt w:val="decimal"/>
        <w:lvlText w:val="%1."/>
        <w:lvlJc w:val="left"/>
        <w:pPr>
          <w:ind w:left="1440" w:hanging="360"/>
        </w:pPr>
      </w:lvl>
    </w:lvlOverride>
    <w:lvlOverride w:ilvl="1">
      <w:lvl w:ilvl="1" w:tplc="483EE73C">
        <w:start w:val="1"/>
        <w:numFmt w:val="lowerLetter"/>
        <w:lvlText w:val="%2."/>
        <w:lvlJc w:val="left"/>
        <w:pPr>
          <w:ind w:left="2160" w:hanging="360"/>
        </w:pPr>
      </w:lvl>
    </w:lvlOverride>
    <w:lvlOverride w:ilvl="2">
      <w:lvl w:ilvl="2" w:tplc="7CBA6E70">
        <w:start w:val="1"/>
        <w:numFmt w:val="lowerRoman"/>
        <w:lvlText w:val="%3."/>
        <w:lvlJc w:val="right"/>
        <w:pPr>
          <w:ind w:left="2880" w:hanging="180"/>
        </w:pPr>
      </w:lvl>
    </w:lvlOverride>
    <w:lvlOverride w:ilvl="3">
      <w:lvl w:ilvl="3" w:tplc="15F82684">
        <w:start w:val="1"/>
        <w:numFmt w:val="decimal"/>
        <w:lvlText w:val="%4."/>
        <w:lvlJc w:val="left"/>
        <w:pPr>
          <w:ind w:left="3600" w:hanging="360"/>
        </w:pPr>
      </w:lvl>
    </w:lvlOverride>
    <w:lvlOverride w:ilvl="4">
      <w:lvl w:ilvl="4" w:tplc="E69C6C90">
        <w:start w:val="1"/>
        <w:numFmt w:val="lowerLetter"/>
        <w:lvlText w:val="%5."/>
        <w:lvlJc w:val="left"/>
        <w:pPr>
          <w:ind w:left="4320" w:hanging="360"/>
        </w:pPr>
      </w:lvl>
    </w:lvlOverride>
    <w:lvlOverride w:ilvl="5">
      <w:lvl w:ilvl="5" w:tplc="506EEA7E">
        <w:start w:val="1"/>
        <w:numFmt w:val="lowerRoman"/>
        <w:lvlText w:val="%6."/>
        <w:lvlJc w:val="right"/>
        <w:pPr>
          <w:ind w:left="5040" w:hanging="180"/>
        </w:pPr>
      </w:lvl>
    </w:lvlOverride>
    <w:lvlOverride w:ilvl="6">
      <w:lvl w:ilvl="6" w:tplc="A99C5A08">
        <w:start w:val="1"/>
        <w:numFmt w:val="decimal"/>
        <w:lvlText w:val="%7."/>
        <w:lvlJc w:val="left"/>
        <w:pPr>
          <w:ind w:left="5760" w:hanging="360"/>
        </w:pPr>
      </w:lvl>
    </w:lvlOverride>
    <w:lvlOverride w:ilvl="7">
      <w:lvl w:ilvl="7" w:tplc="4B684F34">
        <w:start w:val="1"/>
        <w:numFmt w:val="lowerLetter"/>
        <w:lvlText w:val="%8."/>
        <w:lvlJc w:val="left"/>
        <w:pPr>
          <w:ind w:left="6480" w:hanging="360"/>
        </w:pPr>
      </w:lvl>
    </w:lvlOverride>
    <w:lvlOverride w:ilvl="8">
      <w:lvl w:ilvl="8" w:tplc="E69CB626">
        <w:start w:val="1"/>
        <w:numFmt w:val="lowerRoman"/>
        <w:lvlText w:val="%9."/>
        <w:lvlJc w:val="right"/>
        <w:pPr>
          <w:ind w:left="7200" w:hanging="180"/>
        </w:pPr>
      </w:lvl>
    </w:lvlOverride>
  </w:num>
  <w:num w:numId="6">
    <w:abstractNumId w:val="38"/>
    <w:lvlOverride w:ilvl="0">
      <w:lvl w:ilvl="0" w:tplc="BC12826E">
        <w:start w:val="1"/>
        <w:numFmt w:val="decimal"/>
        <w:lvlText w:val="%1."/>
        <w:lvlJc w:val="left"/>
        <w:pPr>
          <w:ind w:left="1440" w:hanging="360"/>
        </w:pPr>
      </w:lvl>
    </w:lvlOverride>
    <w:lvlOverride w:ilvl="1">
      <w:lvl w:ilvl="1" w:tplc="42843604">
        <w:start w:val="1"/>
        <w:numFmt w:val="lowerLetter"/>
        <w:lvlText w:val="%2."/>
        <w:lvlJc w:val="left"/>
        <w:pPr>
          <w:ind w:left="2160" w:hanging="360"/>
        </w:pPr>
      </w:lvl>
    </w:lvlOverride>
    <w:lvlOverride w:ilvl="2">
      <w:lvl w:ilvl="2" w:tplc="88C68414">
        <w:start w:val="1"/>
        <w:numFmt w:val="lowerRoman"/>
        <w:lvlText w:val="%3."/>
        <w:lvlJc w:val="right"/>
        <w:pPr>
          <w:ind w:left="2880" w:hanging="180"/>
        </w:pPr>
      </w:lvl>
    </w:lvlOverride>
    <w:lvlOverride w:ilvl="3">
      <w:lvl w:ilvl="3" w:tplc="5E402572">
        <w:start w:val="1"/>
        <w:numFmt w:val="decimal"/>
        <w:lvlText w:val="%4."/>
        <w:lvlJc w:val="left"/>
        <w:pPr>
          <w:ind w:left="3600" w:hanging="360"/>
        </w:pPr>
      </w:lvl>
    </w:lvlOverride>
    <w:lvlOverride w:ilvl="4">
      <w:lvl w:ilvl="4" w:tplc="F4062C3C">
        <w:start w:val="1"/>
        <w:numFmt w:val="lowerLetter"/>
        <w:lvlText w:val="%5."/>
        <w:lvlJc w:val="left"/>
        <w:pPr>
          <w:ind w:left="4320" w:hanging="360"/>
        </w:pPr>
      </w:lvl>
    </w:lvlOverride>
    <w:lvlOverride w:ilvl="5">
      <w:lvl w:ilvl="5" w:tplc="42225D80">
        <w:start w:val="1"/>
        <w:numFmt w:val="lowerRoman"/>
        <w:lvlText w:val="%6."/>
        <w:lvlJc w:val="right"/>
        <w:pPr>
          <w:ind w:left="5040" w:hanging="180"/>
        </w:pPr>
      </w:lvl>
    </w:lvlOverride>
    <w:lvlOverride w:ilvl="6">
      <w:lvl w:ilvl="6" w:tplc="60B6BC9E">
        <w:start w:val="1"/>
        <w:numFmt w:val="decimal"/>
        <w:lvlText w:val="%7."/>
        <w:lvlJc w:val="left"/>
        <w:pPr>
          <w:ind w:left="5760" w:hanging="360"/>
        </w:pPr>
      </w:lvl>
    </w:lvlOverride>
    <w:lvlOverride w:ilvl="7">
      <w:lvl w:ilvl="7" w:tplc="B470AAFC">
        <w:start w:val="1"/>
        <w:numFmt w:val="lowerLetter"/>
        <w:lvlText w:val="%8."/>
        <w:lvlJc w:val="left"/>
        <w:pPr>
          <w:ind w:left="6480" w:hanging="360"/>
        </w:pPr>
      </w:lvl>
    </w:lvlOverride>
    <w:lvlOverride w:ilvl="8">
      <w:lvl w:ilvl="8" w:tplc="04B84A18">
        <w:start w:val="1"/>
        <w:numFmt w:val="lowerRoman"/>
        <w:lvlText w:val="%9."/>
        <w:lvlJc w:val="right"/>
        <w:pPr>
          <w:ind w:left="7200" w:hanging="180"/>
        </w:pPr>
      </w:lvl>
    </w:lvlOverride>
  </w:num>
  <w:num w:numId="7">
    <w:abstractNumId w:val="48"/>
    <w:lvlOverride w:ilvl="0">
      <w:lvl w:ilvl="0" w:tplc="F97215E2">
        <w:start w:val="1"/>
        <w:numFmt w:val="decimal"/>
        <w:lvlText w:val="%1."/>
        <w:lvlJc w:val="left"/>
        <w:pPr>
          <w:ind w:left="1440" w:hanging="360"/>
        </w:pPr>
      </w:lvl>
    </w:lvlOverride>
    <w:lvlOverride w:ilvl="1">
      <w:lvl w:ilvl="1" w:tplc="E9CE050A">
        <w:start w:val="1"/>
        <w:numFmt w:val="lowerLetter"/>
        <w:lvlText w:val="%2."/>
        <w:lvlJc w:val="left"/>
        <w:pPr>
          <w:ind w:left="2160" w:hanging="360"/>
        </w:pPr>
      </w:lvl>
    </w:lvlOverride>
    <w:lvlOverride w:ilvl="2">
      <w:lvl w:ilvl="2" w:tplc="C3DE9482">
        <w:start w:val="1"/>
        <w:numFmt w:val="lowerRoman"/>
        <w:lvlText w:val="%3."/>
        <w:lvlJc w:val="right"/>
        <w:pPr>
          <w:ind w:left="2880" w:hanging="180"/>
        </w:pPr>
      </w:lvl>
    </w:lvlOverride>
    <w:lvlOverride w:ilvl="3">
      <w:lvl w:ilvl="3" w:tplc="AADAEF86">
        <w:start w:val="1"/>
        <w:numFmt w:val="decimal"/>
        <w:lvlText w:val="%4."/>
        <w:lvlJc w:val="left"/>
        <w:pPr>
          <w:ind w:left="3600" w:hanging="360"/>
        </w:pPr>
      </w:lvl>
    </w:lvlOverride>
    <w:lvlOverride w:ilvl="4">
      <w:lvl w:ilvl="4" w:tplc="68E49352">
        <w:start w:val="1"/>
        <w:numFmt w:val="lowerLetter"/>
        <w:lvlText w:val="%5."/>
        <w:lvlJc w:val="left"/>
        <w:pPr>
          <w:ind w:left="4320" w:hanging="360"/>
        </w:pPr>
      </w:lvl>
    </w:lvlOverride>
    <w:lvlOverride w:ilvl="5">
      <w:lvl w:ilvl="5" w:tplc="3D48549E">
        <w:start w:val="1"/>
        <w:numFmt w:val="lowerRoman"/>
        <w:lvlText w:val="%6."/>
        <w:lvlJc w:val="right"/>
        <w:pPr>
          <w:ind w:left="5040" w:hanging="180"/>
        </w:pPr>
      </w:lvl>
    </w:lvlOverride>
    <w:lvlOverride w:ilvl="6">
      <w:lvl w:ilvl="6" w:tplc="9DAC6EB2">
        <w:start w:val="1"/>
        <w:numFmt w:val="decimal"/>
        <w:lvlText w:val="%7."/>
        <w:lvlJc w:val="left"/>
        <w:pPr>
          <w:ind w:left="5760" w:hanging="360"/>
        </w:pPr>
      </w:lvl>
    </w:lvlOverride>
    <w:lvlOverride w:ilvl="7">
      <w:lvl w:ilvl="7" w:tplc="2AFE996A">
        <w:start w:val="1"/>
        <w:numFmt w:val="lowerLetter"/>
        <w:lvlText w:val="%8."/>
        <w:lvlJc w:val="left"/>
        <w:pPr>
          <w:ind w:left="6480" w:hanging="360"/>
        </w:pPr>
      </w:lvl>
    </w:lvlOverride>
    <w:lvlOverride w:ilvl="8">
      <w:lvl w:ilvl="8" w:tplc="E76E1CE4">
        <w:start w:val="1"/>
        <w:numFmt w:val="lowerRoman"/>
        <w:lvlText w:val="%9."/>
        <w:lvlJc w:val="right"/>
        <w:pPr>
          <w:ind w:left="7200" w:hanging="180"/>
        </w:pPr>
      </w:lvl>
    </w:lvlOverride>
  </w:num>
  <w:num w:numId="8">
    <w:abstractNumId w:val="32"/>
    <w:lvlOverride w:ilvl="0">
      <w:lvl w:ilvl="0" w:tplc="85384EDE">
        <w:start w:val="1"/>
        <w:numFmt w:val="decimal"/>
        <w:lvlText w:val="%1."/>
        <w:lvlJc w:val="left"/>
        <w:pPr>
          <w:ind w:left="1440" w:hanging="360"/>
        </w:pPr>
      </w:lvl>
    </w:lvlOverride>
    <w:lvlOverride w:ilvl="1">
      <w:lvl w:ilvl="1" w:tplc="02362CD4">
        <w:start w:val="1"/>
        <w:numFmt w:val="lowerLetter"/>
        <w:lvlText w:val="%2."/>
        <w:lvlJc w:val="left"/>
        <w:pPr>
          <w:ind w:left="1800" w:hanging="360"/>
        </w:pPr>
      </w:lvl>
    </w:lvlOverride>
    <w:lvlOverride w:ilvl="2">
      <w:lvl w:ilvl="2" w:tplc="4D8C7222">
        <w:start w:val="1"/>
        <w:numFmt w:val="lowerRoman"/>
        <w:lvlText w:val="%3."/>
        <w:lvlJc w:val="right"/>
        <w:pPr>
          <w:ind w:left="2520" w:hanging="180"/>
        </w:pPr>
      </w:lvl>
    </w:lvlOverride>
    <w:lvlOverride w:ilvl="3">
      <w:lvl w:ilvl="3" w:tplc="EFEA8808">
        <w:start w:val="1"/>
        <w:numFmt w:val="decimal"/>
        <w:lvlText w:val="%4."/>
        <w:lvlJc w:val="left"/>
        <w:pPr>
          <w:ind w:left="3240" w:hanging="360"/>
        </w:pPr>
      </w:lvl>
    </w:lvlOverride>
    <w:lvlOverride w:ilvl="4">
      <w:lvl w:ilvl="4" w:tplc="430EECAA">
        <w:start w:val="1"/>
        <w:numFmt w:val="lowerLetter"/>
        <w:lvlText w:val="%5."/>
        <w:lvlJc w:val="left"/>
        <w:pPr>
          <w:ind w:left="3960" w:hanging="360"/>
        </w:pPr>
      </w:lvl>
    </w:lvlOverride>
    <w:lvlOverride w:ilvl="5">
      <w:lvl w:ilvl="5" w:tplc="DAEC154A">
        <w:start w:val="1"/>
        <w:numFmt w:val="lowerRoman"/>
        <w:lvlText w:val="%6."/>
        <w:lvlJc w:val="right"/>
        <w:pPr>
          <w:ind w:left="4680" w:hanging="180"/>
        </w:pPr>
      </w:lvl>
    </w:lvlOverride>
    <w:lvlOverride w:ilvl="6">
      <w:lvl w:ilvl="6" w:tplc="0706C812">
        <w:start w:val="1"/>
        <w:numFmt w:val="decimal"/>
        <w:lvlText w:val="%7."/>
        <w:lvlJc w:val="left"/>
        <w:pPr>
          <w:ind w:left="5400" w:hanging="360"/>
        </w:pPr>
      </w:lvl>
    </w:lvlOverride>
    <w:lvlOverride w:ilvl="7">
      <w:lvl w:ilvl="7" w:tplc="F52646D8">
        <w:start w:val="1"/>
        <w:numFmt w:val="lowerLetter"/>
        <w:lvlText w:val="%8."/>
        <w:lvlJc w:val="left"/>
        <w:pPr>
          <w:ind w:left="6120" w:hanging="360"/>
        </w:pPr>
      </w:lvl>
    </w:lvlOverride>
    <w:lvlOverride w:ilvl="8">
      <w:lvl w:ilvl="8" w:tplc="2E4A470C">
        <w:start w:val="1"/>
        <w:numFmt w:val="lowerRoman"/>
        <w:lvlText w:val="%9."/>
        <w:lvlJc w:val="right"/>
        <w:pPr>
          <w:ind w:left="6840" w:hanging="180"/>
        </w:pPr>
      </w:lvl>
    </w:lvlOverride>
  </w:num>
  <w:num w:numId="9">
    <w:abstractNumId w:val="31"/>
    <w:lvlOverride w:ilvl="0">
      <w:lvl w:ilvl="0" w:tplc="5310FC8E">
        <w:start w:val="1"/>
        <w:numFmt w:val="decimal"/>
        <w:lvlText w:val="%1."/>
        <w:lvlJc w:val="left"/>
        <w:pPr>
          <w:ind w:left="1440" w:hanging="360"/>
        </w:pPr>
      </w:lvl>
    </w:lvlOverride>
    <w:lvlOverride w:ilvl="1">
      <w:lvl w:ilvl="1" w:tplc="97700C16">
        <w:start w:val="1"/>
        <w:numFmt w:val="lowerLetter"/>
        <w:lvlText w:val="%2."/>
        <w:lvlJc w:val="left"/>
        <w:pPr>
          <w:ind w:left="2160" w:hanging="360"/>
        </w:pPr>
      </w:lvl>
    </w:lvlOverride>
    <w:lvlOverride w:ilvl="2">
      <w:lvl w:ilvl="2" w:tplc="195E8D18">
        <w:start w:val="1"/>
        <w:numFmt w:val="lowerRoman"/>
        <w:lvlText w:val="%3."/>
        <w:lvlJc w:val="right"/>
        <w:pPr>
          <w:ind w:left="2880" w:hanging="180"/>
        </w:pPr>
      </w:lvl>
    </w:lvlOverride>
    <w:lvlOverride w:ilvl="3">
      <w:lvl w:ilvl="3" w:tplc="714E3CA2">
        <w:start w:val="1"/>
        <w:numFmt w:val="decimal"/>
        <w:lvlText w:val="%4."/>
        <w:lvlJc w:val="left"/>
        <w:pPr>
          <w:ind w:left="3600" w:hanging="360"/>
        </w:pPr>
      </w:lvl>
    </w:lvlOverride>
    <w:lvlOverride w:ilvl="4">
      <w:lvl w:ilvl="4" w:tplc="A532138E">
        <w:start w:val="1"/>
        <w:numFmt w:val="lowerLetter"/>
        <w:lvlText w:val="%5."/>
        <w:lvlJc w:val="left"/>
        <w:pPr>
          <w:ind w:left="4320" w:hanging="360"/>
        </w:pPr>
      </w:lvl>
    </w:lvlOverride>
    <w:lvlOverride w:ilvl="5">
      <w:lvl w:ilvl="5" w:tplc="98DCB796">
        <w:start w:val="1"/>
        <w:numFmt w:val="lowerRoman"/>
        <w:lvlText w:val="%6."/>
        <w:lvlJc w:val="right"/>
        <w:pPr>
          <w:ind w:left="5040" w:hanging="180"/>
        </w:pPr>
      </w:lvl>
    </w:lvlOverride>
    <w:lvlOverride w:ilvl="6">
      <w:lvl w:ilvl="6" w:tplc="AE7C7650">
        <w:start w:val="1"/>
        <w:numFmt w:val="decimal"/>
        <w:lvlText w:val="%7."/>
        <w:lvlJc w:val="left"/>
        <w:pPr>
          <w:ind w:left="5760" w:hanging="360"/>
        </w:pPr>
      </w:lvl>
    </w:lvlOverride>
    <w:lvlOverride w:ilvl="7">
      <w:lvl w:ilvl="7" w:tplc="3990C876">
        <w:start w:val="1"/>
        <w:numFmt w:val="lowerLetter"/>
        <w:lvlText w:val="%8."/>
        <w:lvlJc w:val="left"/>
        <w:pPr>
          <w:ind w:left="6480" w:hanging="360"/>
        </w:pPr>
      </w:lvl>
    </w:lvlOverride>
    <w:lvlOverride w:ilvl="8">
      <w:lvl w:ilvl="8" w:tplc="FDF2EA6C">
        <w:start w:val="1"/>
        <w:numFmt w:val="lowerRoman"/>
        <w:lvlText w:val="%9."/>
        <w:lvlJc w:val="right"/>
        <w:pPr>
          <w:ind w:left="7200" w:hanging="180"/>
        </w:pPr>
      </w:lvl>
    </w:lvlOverride>
  </w:num>
  <w:num w:numId="10">
    <w:abstractNumId w:val="36"/>
    <w:lvlOverride w:ilvl="0">
      <w:lvl w:ilvl="0" w:tplc="2050F338">
        <w:start w:val="1"/>
        <w:numFmt w:val="decimal"/>
        <w:lvlText w:val="%1."/>
        <w:lvlJc w:val="left"/>
        <w:pPr>
          <w:ind w:left="1440" w:hanging="360"/>
        </w:pPr>
      </w:lvl>
    </w:lvlOverride>
    <w:lvlOverride w:ilvl="1">
      <w:lvl w:ilvl="1" w:tplc="32F8BBAE">
        <w:start w:val="1"/>
        <w:numFmt w:val="lowerLetter"/>
        <w:lvlText w:val="%2."/>
        <w:lvlJc w:val="left"/>
        <w:pPr>
          <w:ind w:left="2160" w:hanging="360"/>
        </w:pPr>
      </w:lvl>
    </w:lvlOverride>
    <w:lvlOverride w:ilvl="2">
      <w:lvl w:ilvl="2" w:tplc="AA864D2A">
        <w:start w:val="1"/>
        <w:numFmt w:val="lowerRoman"/>
        <w:lvlText w:val="%3."/>
        <w:lvlJc w:val="right"/>
        <w:pPr>
          <w:ind w:left="2880" w:hanging="180"/>
        </w:pPr>
      </w:lvl>
    </w:lvlOverride>
    <w:lvlOverride w:ilvl="3">
      <w:lvl w:ilvl="3" w:tplc="B120BE38">
        <w:start w:val="1"/>
        <w:numFmt w:val="decimal"/>
        <w:lvlText w:val="%4."/>
        <w:lvlJc w:val="left"/>
        <w:pPr>
          <w:ind w:left="3600" w:hanging="360"/>
        </w:pPr>
      </w:lvl>
    </w:lvlOverride>
    <w:lvlOverride w:ilvl="4">
      <w:lvl w:ilvl="4" w:tplc="13B8B6E4">
        <w:start w:val="1"/>
        <w:numFmt w:val="lowerLetter"/>
        <w:lvlText w:val="%5."/>
        <w:lvlJc w:val="left"/>
        <w:pPr>
          <w:ind w:left="4320" w:hanging="360"/>
        </w:pPr>
      </w:lvl>
    </w:lvlOverride>
    <w:lvlOverride w:ilvl="5">
      <w:lvl w:ilvl="5" w:tplc="BA0CFDCA">
        <w:start w:val="1"/>
        <w:numFmt w:val="lowerRoman"/>
        <w:lvlText w:val="%6."/>
        <w:lvlJc w:val="right"/>
        <w:pPr>
          <w:ind w:left="5040" w:hanging="180"/>
        </w:pPr>
      </w:lvl>
    </w:lvlOverride>
    <w:lvlOverride w:ilvl="6">
      <w:lvl w:ilvl="6" w:tplc="EBA471D4">
        <w:start w:val="1"/>
        <w:numFmt w:val="decimal"/>
        <w:lvlText w:val="%7."/>
        <w:lvlJc w:val="left"/>
        <w:pPr>
          <w:ind w:left="5760" w:hanging="360"/>
        </w:pPr>
      </w:lvl>
    </w:lvlOverride>
    <w:lvlOverride w:ilvl="7">
      <w:lvl w:ilvl="7" w:tplc="5E4ACD8A">
        <w:start w:val="1"/>
        <w:numFmt w:val="lowerLetter"/>
        <w:lvlText w:val="%8."/>
        <w:lvlJc w:val="left"/>
        <w:pPr>
          <w:ind w:left="6480" w:hanging="360"/>
        </w:pPr>
      </w:lvl>
    </w:lvlOverride>
    <w:lvlOverride w:ilvl="8">
      <w:lvl w:ilvl="8" w:tplc="C4989CCA">
        <w:start w:val="1"/>
        <w:numFmt w:val="lowerRoman"/>
        <w:lvlText w:val="%9."/>
        <w:lvlJc w:val="right"/>
        <w:pPr>
          <w:ind w:left="7200" w:hanging="180"/>
        </w:pPr>
      </w:lvl>
    </w:lvlOverride>
  </w:num>
  <w:num w:numId="11">
    <w:abstractNumId w:val="23"/>
    <w:lvlOverride w:ilvl="0">
      <w:lvl w:ilvl="0" w:tplc="61F45B0A">
        <w:start w:val="1"/>
        <w:numFmt w:val="decimal"/>
        <w:lvlText w:val="%1."/>
        <w:lvlJc w:val="left"/>
        <w:pPr>
          <w:ind w:left="1440" w:hanging="360"/>
        </w:pPr>
      </w:lvl>
    </w:lvlOverride>
    <w:lvlOverride w:ilvl="1">
      <w:lvl w:ilvl="1" w:tplc="09E8686E">
        <w:start w:val="1"/>
        <w:numFmt w:val="lowerLetter"/>
        <w:lvlText w:val="%2."/>
        <w:lvlJc w:val="left"/>
        <w:pPr>
          <w:ind w:left="2160" w:hanging="360"/>
        </w:pPr>
      </w:lvl>
    </w:lvlOverride>
    <w:lvlOverride w:ilvl="2">
      <w:lvl w:ilvl="2" w:tplc="CE981322">
        <w:start w:val="1"/>
        <w:numFmt w:val="lowerRoman"/>
        <w:lvlText w:val="%3."/>
        <w:lvlJc w:val="right"/>
        <w:pPr>
          <w:ind w:left="2880" w:hanging="180"/>
        </w:pPr>
      </w:lvl>
    </w:lvlOverride>
    <w:lvlOverride w:ilvl="3">
      <w:lvl w:ilvl="3" w:tplc="84B22F06">
        <w:start w:val="1"/>
        <w:numFmt w:val="decimal"/>
        <w:lvlText w:val="%4."/>
        <w:lvlJc w:val="left"/>
        <w:pPr>
          <w:ind w:left="3600" w:hanging="360"/>
        </w:pPr>
      </w:lvl>
    </w:lvlOverride>
    <w:lvlOverride w:ilvl="4">
      <w:lvl w:ilvl="4" w:tplc="676E58F2">
        <w:start w:val="1"/>
        <w:numFmt w:val="lowerLetter"/>
        <w:lvlText w:val="%5."/>
        <w:lvlJc w:val="left"/>
        <w:pPr>
          <w:ind w:left="4320" w:hanging="360"/>
        </w:pPr>
      </w:lvl>
    </w:lvlOverride>
    <w:lvlOverride w:ilvl="5">
      <w:lvl w:ilvl="5" w:tplc="CB2E54C8">
        <w:start w:val="1"/>
        <w:numFmt w:val="lowerRoman"/>
        <w:lvlText w:val="%6."/>
        <w:lvlJc w:val="right"/>
        <w:pPr>
          <w:ind w:left="5040" w:hanging="180"/>
        </w:pPr>
      </w:lvl>
    </w:lvlOverride>
    <w:lvlOverride w:ilvl="6">
      <w:lvl w:ilvl="6" w:tplc="D4485FBC">
        <w:start w:val="1"/>
        <w:numFmt w:val="decimal"/>
        <w:lvlText w:val="%7."/>
        <w:lvlJc w:val="left"/>
        <w:pPr>
          <w:ind w:left="5760" w:hanging="360"/>
        </w:pPr>
      </w:lvl>
    </w:lvlOverride>
    <w:lvlOverride w:ilvl="7">
      <w:lvl w:ilvl="7" w:tplc="06B47ED2">
        <w:start w:val="1"/>
        <w:numFmt w:val="lowerLetter"/>
        <w:lvlText w:val="%8."/>
        <w:lvlJc w:val="left"/>
        <w:pPr>
          <w:ind w:left="6480" w:hanging="360"/>
        </w:pPr>
      </w:lvl>
    </w:lvlOverride>
    <w:lvlOverride w:ilvl="8">
      <w:lvl w:ilvl="8" w:tplc="B34CF538">
        <w:start w:val="1"/>
        <w:numFmt w:val="lowerRoman"/>
        <w:lvlText w:val="%9."/>
        <w:lvlJc w:val="right"/>
        <w:pPr>
          <w:ind w:left="7200" w:hanging="180"/>
        </w:pPr>
      </w:lvl>
    </w:lvlOverride>
  </w:num>
  <w:num w:numId="12">
    <w:abstractNumId w:val="42"/>
    <w:lvlOverride w:ilvl="0">
      <w:lvl w:ilvl="0" w:tplc="892A9DCC">
        <w:start w:val="1"/>
        <w:numFmt w:val="decimal"/>
        <w:lvlText w:val="%1."/>
        <w:lvlJc w:val="left"/>
        <w:pPr>
          <w:ind w:left="1440" w:hanging="360"/>
        </w:pPr>
      </w:lvl>
    </w:lvlOverride>
    <w:lvlOverride w:ilvl="1">
      <w:lvl w:ilvl="1" w:tplc="0574A0B4">
        <w:start w:val="1"/>
        <w:numFmt w:val="lowerLetter"/>
        <w:lvlText w:val="%2."/>
        <w:lvlJc w:val="left"/>
        <w:pPr>
          <w:ind w:left="2160" w:hanging="360"/>
        </w:pPr>
      </w:lvl>
    </w:lvlOverride>
    <w:lvlOverride w:ilvl="2">
      <w:lvl w:ilvl="2" w:tplc="B9B49EA0">
        <w:start w:val="1"/>
        <w:numFmt w:val="lowerRoman"/>
        <w:lvlText w:val="%3."/>
        <w:lvlJc w:val="right"/>
        <w:pPr>
          <w:ind w:left="2880" w:hanging="180"/>
        </w:pPr>
      </w:lvl>
    </w:lvlOverride>
    <w:lvlOverride w:ilvl="3">
      <w:lvl w:ilvl="3" w:tplc="E2102AF4">
        <w:start w:val="1"/>
        <w:numFmt w:val="decimal"/>
        <w:lvlText w:val="%4."/>
        <w:lvlJc w:val="left"/>
        <w:pPr>
          <w:ind w:left="3600" w:hanging="360"/>
        </w:pPr>
      </w:lvl>
    </w:lvlOverride>
    <w:lvlOverride w:ilvl="4">
      <w:lvl w:ilvl="4" w:tplc="5E8A5A92">
        <w:start w:val="1"/>
        <w:numFmt w:val="lowerLetter"/>
        <w:lvlText w:val="%5."/>
        <w:lvlJc w:val="left"/>
        <w:pPr>
          <w:ind w:left="4320" w:hanging="360"/>
        </w:pPr>
      </w:lvl>
    </w:lvlOverride>
    <w:lvlOverride w:ilvl="5">
      <w:lvl w:ilvl="5" w:tplc="101C4A08">
        <w:start w:val="1"/>
        <w:numFmt w:val="lowerRoman"/>
        <w:lvlText w:val="%6."/>
        <w:lvlJc w:val="right"/>
        <w:pPr>
          <w:ind w:left="5040" w:hanging="180"/>
        </w:pPr>
      </w:lvl>
    </w:lvlOverride>
    <w:lvlOverride w:ilvl="6">
      <w:lvl w:ilvl="6" w:tplc="996663B6">
        <w:start w:val="1"/>
        <w:numFmt w:val="decimal"/>
        <w:lvlText w:val="%7."/>
        <w:lvlJc w:val="left"/>
        <w:pPr>
          <w:ind w:left="5760" w:hanging="360"/>
        </w:pPr>
      </w:lvl>
    </w:lvlOverride>
    <w:lvlOverride w:ilvl="7">
      <w:lvl w:ilvl="7" w:tplc="A7DC120C">
        <w:start w:val="1"/>
        <w:numFmt w:val="lowerLetter"/>
        <w:lvlText w:val="%8."/>
        <w:lvlJc w:val="left"/>
        <w:pPr>
          <w:ind w:left="6480" w:hanging="360"/>
        </w:pPr>
      </w:lvl>
    </w:lvlOverride>
    <w:lvlOverride w:ilvl="8">
      <w:lvl w:ilvl="8" w:tplc="CBA4D770">
        <w:start w:val="1"/>
        <w:numFmt w:val="lowerRoman"/>
        <w:lvlText w:val="%9."/>
        <w:lvlJc w:val="right"/>
        <w:pPr>
          <w:ind w:left="7200" w:hanging="180"/>
        </w:pPr>
      </w:lvl>
    </w:lvlOverride>
  </w:num>
  <w:num w:numId="13">
    <w:abstractNumId w:val="53"/>
    <w:lvlOverride w:ilvl="0">
      <w:lvl w:ilvl="0" w:tplc="F9F6EA78">
        <w:start w:val="1"/>
        <w:numFmt w:val="decimal"/>
        <w:lvlText w:val="%1."/>
        <w:lvlJc w:val="left"/>
        <w:pPr>
          <w:ind w:left="1440" w:hanging="360"/>
        </w:pPr>
      </w:lvl>
    </w:lvlOverride>
    <w:lvlOverride w:ilvl="1">
      <w:lvl w:ilvl="1" w:tplc="95C677C0">
        <w:start w:val="1"/>
        <w:numFmt w:val="lowerLetter"/>
        <w:lvlText w:val="%2."/>
        <w:lvlJc w:val="left"/>
        <w:pPr>
          <w:ind w:left="2160" w:hanging="360"/>
        </w:pPr>
      </w:lvl>
    </w:lvlOverride>
    <w:lvlOverride w:ilvl="2">
      <w:lvl w:ilvl="2" w:tplc="9DD2FE76">
        <w:start w:val="1"/>
        <w:numFmt w:val="lowerRoman"/>
        <w:lvlText w:val="%3."/>
        <w:lvlJc w:val="right"/>
        <w:pPr>
          <w:ind w:left="2880" w:hanging="180"/>
        </w:pPr>
      </w:lvl>
    </w:lvlOverride>
    <w:lvlOverride w:ilvl="3">
      <w:lvl w:ilvl="3" w:tplc="79460646">
        <w:start w:val="1"/>
        <w:numFmt w:val="decimal"/>
        <w:lvlText w:val="%4."/>
        <w:lvlJc w:val="left"/>
        <w:pPr>
          <w:ind w:left="3600" w:hanging="360"/>
        </w:pPr>
      </w:lvl>
    </w:lvlOverride>
    <w:lvlOverride w:ilvl="4">
      <w:lvl w:ilvl="4" w:tplc="F30489C0">
        <w:start w:val="1"/>
        <w:numFmt w:val="lowerLetter"/>
        <w:lvlText w:val="%5."/>
        <w:lvlJc w:val="left"/>
        <w:pPr>
          <w:ind w:left="4320" w:hanging="360"/>
        </w:pPr>
      </w:lvl>
    </w:lvlOverride>
    <w:lvlOverride w:ilvl="5">
      <w:lvl w:ilvl="5" w:tplc="29DE9C4E">
        <w:start w:val="1"/>
        <w:numFmt w:val="lowerRoman"/>
        <w:lvlText w:val="%6."/>
        <w:lvlJc w:val="right"/>
        <w:pPr>
          <w:ind w:left="5040" w:hanging="180"/>
        </w:pPr>
      </w:lvl>
    </w:lvlOverride>
    <w:lvlOverride w:ilvl="6">
      <w:lvl w:ilvl="6" w:tplc="D9226CEE">
        <w:start w:val="1"/>
        <w:numFmt w:val="decimal"/>
        <w:lvlText w:val="%7."/>
        <w:lvlJc w:val="left"/>
        <w:pPr>
          <w:ind w:left="5760" w:hanging="360"/>
        </w:pPr>
      </w:lvl>
    </w:lvlOverride>
    <w:lvlOverride w:ilvl="7">
      <w:lvl w:ilvl="7" w:tplc="509A7374">
        <w:start w:val="1"/>
        <w:numFmt w:val="lowerLetter"/>
        <w:lvlText w:val="%8."/>
        <w:lvlJc w:val="left"/>
        <w:pPr>
          <w:ind w:left="6480" w:hanging="360"/>
        </w:pPr>
      </w:lvl>
    </w:lvlOverride>
    <w:lvlOverride w:ilvl="8">
      <w:lvl w:ilvl="8" w:tplc="BA420C40">
        <w:start w:val="1"/>
        <w:numFmt w:val="lowerRoman"/>
        <w:lvlText w:val="%9."/>
        <w:lvlJc w:val="right"/>
        <w:pPr>
          <w:ind w:left="7200" w:hanging="180"/>
        </w:pPr>
      </w:lvl>
    </w:lvlOverride>
  </w:num>
  <w:num w:numId="14">
    <w:abstractNumId w:val="35"/>
    <w:lvlOverride w:ilvl="0">
      <w:lvl w:ilvl="0" w:tplc="4FD65EF8">
        <w:start w:val="1"/>
        <w:numFmt w:val="decimal"/>
        <w:lvlText w:val="%1."/>
        <w:lvlJc w:val="left"/>
        <w:pPr>
          <w:ind w:left="1440" w:hanging="360"/>
        </w:pPr>
      </w:lvl>
    </w:lvlOverride>
    <w:lvlOverride w:ilvl="1">
      <w:lvl w:ilvl="1" w:tplc="AF1E9B54">
        <w:start w:val="1"/>
        <w:numFmt w:val="lowerLetter"/>
        <w:lvlText w:val="%2."/>
        <w:lvlJc w:val="left"/>
        <w:pPr>
          <w:ind w:left="2160" w:hanging="360"/>
        </w:pPr>
      </w:lvl>
    </w:lvlOverride>
    <w:lvlOverride w:ilvl="2">
      <w:lvl w:ilvl="2" w:tplc="832A7D6C">
        <w:start w:val="1"/>
        <w:numFmt w:val="lowerRoman"/>
        <w:lvlText w:val="%3."/>
        <w:lvlJc w:val="right"/>
        <w:pPr>
          <w:ind w:left="2880" w:hanging="180"/>
        </w:pPr>
      </w:lvl>
    </w:lvlOverride>
    <w:lvlOverride w:ilvl="3">
      <w:lvl w:ilvl="3" w:tplc="24728210">
        <w:start w:val="1"/>
        <w:numFmt w:val="decimal"/>
        <w:lvlText w:val="%4."/>
        <w:lvlJc w:val="left"/>
        <w:pPr>
          <w:ind w:left="3600" w:hanging="360"/>
        </w:pPr>
      </w:lvl>
    </w:lvlOverride>
    <w:lvlOverride w:ilvl="4">
      <w:lvl w:ilvl="4" w:tplc="128AB31A">
        <w:start w:val="1"/>
        <w:numFmt w:val="lowerLetter"/>
        <w:lvlText w:val="%5."/>
        <w:lvlJc w:val="left"/>
        <w:pPr>
          <w:ind w:left="4320" w:hanging="360"/>
        </w:pPr>
      </w:lvl>
    </w:lvlOverride>
    <w:lvlOverride w:ilvl="5">
      <w:lvl w:ilvl="5" w:tplc="6C92A39A">
        <w:start w:val="1"/>
        <w:numFmt w:val="lowerRoman"/>
        <w:lvlText w:val="%6."/>
        <w:lvlJc w:val="right"/>
        <w:pPr>
          <w:ind w:left="5040" w:hanging="180"/>
        </w:pPr>
      </w:lvl>
    </w:lvlOverride>
    <w:lvlOverride w:ilvl="6">
      <w:lvl w:ilvl="6" w:tplc="EA4E6C54">
        <w:start w:val="1"/>
        <w:numFmt w:val="decimal"/>
        <w:lvlText w:val="%7."/>
        <w:lvlJc w:val="left"/>
        <w:pPr>
          <w:ind w:left="5760" w:hanging="360"/>
        </w:pPr>
      </w:lvl>
    </w:lvlOverride>
    <w:lvlOverride w:ilvl="7">
      <w:lvl w:ilvl="7" w:tplc="2A101FB8">
        <w:start w:val="1"/>
        <w:numFmt w:val="lowerLetter"/>
        <w:lvlText w:val="%8."/>
        <w:lvlJc w:val="left"/>
        <w:pPr>
          <w:ind w:left="6480" w:hanging="360"/>
        </w:pPr>
      </w:lvl>
    </w:lvlOverride>
    <w:lvlOverride w:ilvl="8">
      <w:lvl w:ilvl="8" w:tplc="50BA42FA">
        <w:start w:val="1"/>
        <w:numFmt w:val="lowerRoman"/>
        <w:lvlText w:val="%9."/>
        <w:lvlJc w:val="right"/>
        <w:pPr>
          <w:ind w:left="7200" w:hanging="180"/>
        </w:pPr>
      </w:lvl>
    </w:lvlOverride>
  </w:num>
  <w:num w:numId="15">
    <w:abstractNumId w:val="45"/>
    <w:lvlOverride w:ilvl="0">
      <w:lvl w:ilvl="0" w:tplc="55EA56C8">
        <w:start w:val="1"/>
        <w:numFmt w:val="decimal"/>
        <w:lvlText w:val="%1."/>
        <w:lvlJc w:val="left"/>
        <w:pPr>
          <w:ind w:left="1440" w:hanging="360"/>
        </w:pPr>
      </w:lvl>
    </w:lvlOverride>
    <w:lvlOverride w:ilvl="1">
      <w:lvl w:ilvl="1" w:tplc="B17ECC18">
        <w:start w:val="1"/>
        <w:numFmt w:val="lowerLetter"/>
        <w:lvlText w:val="%2."/>
        <w:lvlJc w:val="left"/>
        <w:pPr>
          <w:ind w:left="2160" w:hanging="360"/>
        </w:pPr>
      </w:lvl>
    </w:lvlOverride>
    <w:lvlOverride w:ilvl="2">
      <w:lvl w:ilvl="2" w:tplc="5CAA81A2">
        <w:start w:val="1"/>
        <w:numFmt w:val="lowerRoman"/>
        <w:lvlText w:val="%3."/>
        <w:lvlJc w:val="right"/>
        <w:pPr>
          <w:ind w:left="2880" w:hanging="180"/>
        </w:pPr>
      </w:lvl>
    </w:lvlOverride>
    <w:lvlOverride w:ilvl="3">
      <w:lvl w:ilvl="3" w:tplc="C3042006">
        <w:start w:val="1"/>
        <w:numFmt w:val="decimal"/>
        <w:lvlText w:val="%4."/>
        <w:lvlJc w:val="left"/>
        <w:pPr>
          <w:ind w:left="3600" w:hanging="360"/>
        </w:pPr>
      </w:lvl>
    </w:lvlOverride>
    <w:lvlOverride w:ilvl="4">
      <w:lvl w:ilvl="4" w:tplc="F19ED15E">
        <w:start w:val="1"/>
        <w:numFmt w:val="lowerLetter"/>
        <w:lvlText w:val="%5."/>
        <w:lvlJc w:val="left"/>
        <w:pPr>
          <w:ind w:left="4320" w:hanging="360"/>
        </w:pPr>
      </w:lvl>
    </w:lvlOverride>
    <w:lvlOverride w:ilvl="5">
      <w:lvl w:ilvl="5" w:tplc="C46278FC">
        <w:start w:val="1"/>
        <w:numFmt w:val="lowerRoman"/>
        <w:lvlText w:val="%6."/>
        <w:lvlJc w:val="right"/>
        <w:pPr>
          <w:ind w:left="5040" w:hanging="180"/>
        </w:pPr>
      </w:lvl>
    </w:lvlOverride>
    <w:lvlOverride w:ilvl="6">
      <w:lvl w:ilvl="6" w:tplc="C8CA8408">
        <w:start w:val="1"/>
        <w:numFmt w:val="decimal"/>
        <w:lvlText w:val="%7."/>
        <w:lvlJc w:val="left"/>
        <w:pPr>
          <w:ind w:left="5760" w:hanging="360"/>
        </w:pPr>
      </w:lvl>
    </w:lvlOverride>
    <w:lvlOverride w:ilvl="7">
      <w:lvl w:ilvl="7" w:tplc="8C446EE2">
        <w:start w:val="1"/>
        <w:numFmt w:val="lowerLetter"/>
        <w:lvlText w:val="%8."/>
        <w:lvlJc w:val="left"/>
        <w:pPr>
          <w:ind w:left="6480" w:hanging="360"/>
        </w:pPr>
      </w:lvl>
    </w:lvlOverride>
    <w:lvlOverride w:ilvl="8">
      <w:lvl w:ilvl="8" w:tplc="5CB64D30">
        <w:start w:val="1"/>
        <w:numFmt w:val="lowerRoman"/>
        <w:lvlText w:val="%9."/>
        <w:lvlJc w:val="right"/>
        <w:pPr>
          <w:ind w:left="7200" w:hanging="180"/>
        </w:pPr>
      </w:lvl>
    </w:lvlOverride>
  </w:num>
  <w:num w:numId="16">
    <w:abstractNumId w:val="11"/>
    <w:lvlOverride w:ilvl="0">
      <w:lvl w:ilvl="0" w:tplc="5D4468B4">
        <w:start w:val="1"/>
        <w:numFmt w:val="decimal"/>
        <w:lvlText w:val="%1."/>
        <w:lvlJc w:val="left"/>
        <w:pPr>
          <w:ind w:left="1440" w:hanging="360"/>
        </w:pPr>
      </w:lvl>
    </w:lvlOverride>
    <w:lvlOverride w:ilvl="1">
      <w:lvl w:ilvl="1" w:tplc="2D1A9002">
        <w:start w:val="1"/>
        <w:numFmt w:val="lowerLetter"/>
        <w:lvlText w:val="%2."/>
        <w:lvlJc w:val="left"/>
        <w:pPr>
          <w:ind w:left="2160" w:hanging="360"/>
        </w:pPr>
      </w:lvl>
    </w:lvlOverride>
    <w:lvlOverride w:ilvl="2">
      <w:lvl w:ilvl="2" w:tplc="09B25818">
        <w:start w:val="1"/>
        <w:numFmt w:val="lowerRoman"/>
        <w:lvlText w:val="%3."/>
        <w:lvlJc w:val="right"/>
        <w:pPr>
          <w:ind w:left="2880" w:hanging="180"/>
        </w:pPr>
      </w:lvl>
    </w:lvlOverride>
    <w:lvlOverride w:ilvl="3">
      <w:lvl w:ilvl="3" w:tplc="1C0426D8">
        <w:start w:val="1"/>
        <w:numFmt w:val="decimal"/>
        <w:lvlText w:val="%4."/>
        <w:lvlJc w:val="left"/>
        <w:pPr>
          <w:ind w:left="3600" w:hanging="360"/>
        </w:pPr>
      </w:lvl>
    </w:lvlOverride>
    <w:lvlOverride w:ilvl="4">
      <w:lvl w:ilvl="4" w:tplc="95348A3A">
        <w:start w:val="1"/>
        <w:numFmt w:val="lowerLetter"/>
        <w:lvlText w:val="%5."/>
        <w:lvlJc w:val="left"/>
        <w:pPr>
          <w:ind w:left="4320" w:hanging="360"/>
        </w:pPr>
      </w:lvl>
    </w:lvlOverride>
    <w:lvlOverride w:ilvl="5">
      <w:lvl w:ilvl="5" w:tplc="49CC6492">
        <w:start w:val="1"/>
        <w:numFmt w:val="lowerRoman"/>
        <w:lvlText w:val="%6."/>
        <w:lvlJc w:val="right"/>
        <w:pPr>
          <w:ind w:left="5040" w:hanging="180"/>
        </w:pPr>
      </w:lvl>
    </w:lvlOverride>
    <w:lvlOverride w:ilvl="6">
      <w:lvl w:ilvl="6" w:tplc="C3AC21DA">
        <w:start w:val="1"/>
        <w:numFmt w:val="decimal"/>
        <w:lvlText w:val="%7."/>
        <w:lvlJc w:val="left"/>
        <w:pPr>
          <w:ind w:left="5760" w:hanging="360"/>
        </w:pPr>
      </w:lvl>
    </w:lvlOverride>
    <w:lvlOverride w:ilvl="7">
      <w:lvl w:ilvl="7" w:tplc="34783E38">
        <w:start w:val="1"/>
        <w:numFmt w:val="lowerLetter"/>
        <w:lvlText w:val="%8."/>
        <w:lvlJc w:val="left"/>
        <w:pPr>
          <w:ind w:left="6480" w:hanging="360"/>
        </w:pPr>
      </w:lvl>
    </w:lvlOverride>
    <w:lvlOverride w:ilvl="8">
      <w:lvl w:ilvl="8" w:tplc="6B14535E">
        <w:start w:val="1"/>
        <w:numFmt w:val="lowerRoman"/>
        <w:lvlText w:val="%9."/>
        <w:lvlJc w:val="right"/>
        <w:pPr>
          <w:ind w:left="7200" w:hanging="180"/>
        </w:pPr>
      </w:lvl>
    </w:lvlOverride>
  </w:num>
  <w:num w:numId="17">
    <w:abstractNumId w:val="18"/>
    <w:lvlOverride w:ilvl="0">
      <w:startOverride w:val="1"/>
      <w:lvl w:ilvl="0" w:tplc="9ACC1462">
        <w:start w:val="1"/>
        <w:numFmt w:val="decimal"/>
        <w:lvlText w:val="%1."/>
        <w:lvlJc w:val="left"/>
        <w:pPr>
          <w:ind w:left="1440" w:hanging="360"/>
        </w:pPr>
      </w:lvl>
    </w:lvlOverride>
    <w:lvlOverride w:ilvl="1">
      <w:startOverride w:val="1"/>
      <w:lvl w:ilvl="1" w:tplc="6DC6BF94">
        <w:start w:val="1"/>
        <w:numFmt w:val="lowerLetter"/>
        <w:lvlText w:val="%2."/>
        <w:lvlJc w:val="left"/>
        <w:pPr>
          <w:ind w:left="2160" w:hanging="360"/>
        </w:pPr>
      </w:lvl>
    </w:lvlOverride>
    <w:lvlOverride w:ilvl="2">
      <w:startOverride w:val="1"/>
      <w:lvl w:ilvl="2" w:tplc="2E54A17E">
        <w:start w:val="1"/>
        <w:numFmt w:val="lowerRoman"/>
        <w:lvlText w:val="%3."/>
        <w:lvlJc w:val="right"/>
        <w:pPr>
          <w:ind w:left="2880" w:hanging="180"/>
        </w:pPr>
      </w:lvl>
    </w:lvlOverride>
    <w:lvlOverride w:ilvl="3">
      <w:startOverride w:val="1"/>
      <w:lvl w:ilvl="3" w:tplc="EFF4F44C">
        <w:start w:val="1"/>
        <w:numFmt w:val="decimal"/>
        <w:lvlText w:val="%4."/>
        <w:lvlJc w:val="left"/>
        <w:pPr>
          <w:ind w:left="3600" w:hanging="360"/>
        </w:pPr>
      </w:lvl>
    </w:lvlOverride>
    <w:lvlOverride w:ilvl="4">
      <w:startOverride w:val="1"/>
      <w:lvl w:ilvl="4" w:tplc="A13CF310">
        <w:start w:val="1"/>
        <w:numFmt w:val="lowerLetter"/>
        <w:lvlText w:val="%5."/>
        <w:lvlJc w:val="left"/>
        <w:pPr>
          <w:ind w:left="4320" w:hanging="360"/>
        </w:pPr>
      </w:lvl>
    </w:lvlOverride>
    <w:lvlOverride w:ilvl="5">
      <w:startOverride w:val="1"/>
      <w:lvl w:ilvl="5" w:tplc="630E81B6">
        <w:start w:val="1"/>
        <w:numFmt w:val="lowerRoman"/>
        <w:lvlText w:val="%6."/>
        <w:lvlJc w:val="right"/>
        <w:pPr>
          <w:ind w:left="5040" w:hanging="180"/>
        </w:pPr>
      </w:lvl>
    </w:lvlOverride>
    <w:lvlOverride w:ilvl="6">
      <w:startOverride w:val="1"/>
      <w:lvl w:ilvl="6" w:tplc="891A3ADE">
        <w:start w:val="1"/>
        <w:numFmt w:val="decimal"/>
        <w:lvlText w:val="%7."/>
        <w:lvlJc w:val="left"/>
        <w:pPr>
          <w:ind w:left="5760" w:hanging="360"/>
        </w:pPr>
      </w:lvl>
    </w:lvlOverride>
    <w:lvlOverride w:ilvl="7">
      <w:startOverride w:val="1"/>
      <w:lvl w:ilvl="7" w:tplc="B94C2550">
        <w:start w:val="1"/>
        <w:numFmt w:val="lowerLetter"/>
        <w:lvlText w:val="%8."/>
        <w:lvlJc w:val="left"/>
        <w:pPr>
          <w:ind w:left="6480" w:hanging="360"/>
        </w:pPr>
      </w:lvl>
    </w:lvlOverride>
    <w:lvlOverride w:ilvl="8">
      <w:startOverride w:val="1"/>
      <w:lvl w:ilvl="8" w:tplc="C3F2D67A">
        <w:start w:val="1"/>
        <w:numFmt w:val="lowerRoman"/>
        <w:lvlText w:val="%9."/>
        <w:lvlJc w:val="right"/>
        <w:pPr>
          <w:ind w:left="7200" w:hanging="180"/>
        </w:pPr>
      </w:lvl>
    </w:lvlOverride>
  </w:num>
  <w:num w:numId="18">
    <w:abstractNumId w:val="47"/>
    <w:lvlOverride w:ilvl="0">
      <w:lvl w:ilvl="0" w:tplc="33628162">
        <w:start w:val="1"/>
        <w:numFmt w:val="decimal"/>
        <w:lvlText w:val="%1."/>
        <w:lvlJc w:val="left"/>
        <w:pPr>
          <w:ind w:left="1440" w:hanging="360"/>
        </w:pPr>
      </w:lvl>
    </w:lvlOverride>
    <w:lvlOverride w:ilvl="1">
      <w:lvl w:ilvl="1" w:tplc="04D84ECA">
        <w:start w:val="1"/>
        <w:numFmt w:val="lowerLetter"/>
        <w:lvlText w:val="%2."/>
        <w:lvlJc w:val="left"/>
        <w:pPr>
          <w:ind w:left="2160" w:hanging="360"/>
        </w:pPr>
      </w:lvl>
    </w:lvlOverride>
    <w:lvlOverride w:ilvl="2">
      <w:lvl w:ilvl="2" w:tplc="15244378">
        <w:start w:val="1"/>
        <w:numFmt w:val="lowerRoman"/>
        <w:lvlText w:val="%3."/>
        <w:lvlJc w:val="right"/>
        <w:pPr>
          <w:ind w:left="2880" w:hanging="180"/>
        </w:pPr>
      </w:lvl>
    </w:lvlOverride>
    <w:lvlOverride w:ilvl="3">
      <w:lvl w:ilvl="3" w:tplc="9F449366">
        <w:start w:val="1"/>
        <w:numFmt w:val="decimal"/>
        <w:lvlText w:val="%4."/>
        <w:lvlJc w:val="left"/>
        <w:pPr>
          <w:ind w:left="3600" w:hanging="360"/>
        </w:pPr>
      </w:lvl>
    </w:lvlOverride>
    <w:lvlOverride w:ilvl="4">
      <w:lvl w:ilvl="4" w:tplc="13306EEC">
        <w:start w:val="1"/>
        <w:numFmt w:val="lowerLetter"/>
        <w:lvlText w:val="%5."/>
        <w:lvlJc w:val="left"/>
        <w:pPr>
          <w:ind w:left="4320" w:hanging="360"/>
        </w:pPr>
      </w:lvl>
    </w:lvlOverride>
    <w:lvlOverride w:ilvl="5">
      <w:lvl w:ilvl="5" w:tplc="C32AB43A">
        <w:start w:val="1"/>
        <w:numFmt w:val="lowerRoman"/>
        <w:lvlText w:val="%6."/>
        <w:lvlJc w:val="right"/>
        <w:pPr>
          <w:ind w:left="5040" w:hanging="180"/>
        </w:pPr>
      </w:lvl>
    </w:lvlOverride>
    <w:lvlOverride w:ilvl="6">
      <w:lvl w:ilvl="6" w:tplc="B9D6CB0C">
        <w:start w:val="1"/>
        <w:numFmt w:val="decimal"/>
        <w:lvlText w:val="%7."/>
        <w:lvlJc w:val="left"/>
        <w:pPr>
          <w:ind w:left="5760" w:hanging="360"/>
        </w:pPr>
      </w:lvl>
    </w:lvlOverride>
    <w:lvlOverride w:ilvl="7">
      <w:lvl w:ilvl="7" w:tplc="1824A5A0">
        <w:start w:val="1"/>
        <w:numFmt w:val="lowerLetter"/>
        <w:lvlText w:val="%8."/>
        <w:lvlJc w:val="left"/>
        <w:pPr>
          <w:ind w:left="6480" w:hanging="360"/>
        </w:pPr>
      </w:lvl>
    </w:lvlOverride>
    <w:lvlOverride w:ilvl="8">
      <w:lvl w:ilvl="8" w:tplc="9B36DB40">
        <w:start w:val="1"/>
        <w:numFmt w:val="lowerRoman"/>
        <w:lvlText w:val="%9."/>
        <w:lvlJc w:val="right"/>
        <w:pPr>
          <w:ind w:left="7200" w:hanging="180"/>
        </w:pPr>
      </w:lvl>
    </w:lvlOverride>
  </w:num>
  <w:num w:numId="19">
    <w:abstractNumId w:val="41"/>
    <w:lvlOverride w:ilvl="0">
      <w:lvl w:ilvl="0" w:tplc="98461C6C">
        <w:start w:val="1"/>
        <w:numFmt w:val="decimal"/>
        <w:lvlText w:val="%1."/>
        <w:lvlJc w:val="left"/>
        <w:pPr>
          <w:ind w:left="1364" w:hanging="360"/>
        </w:pPr>
      </w:lvl>
    </w:lvlOverride>
    <w:lvlOverride w:ilvl="1">
      <w:lvl w:ilvl="1" w:tplc="9EC0B10C">
        <w:start w:val="1"/>
        <w:numFmt w:val="lowerLetter"/>
        <w:lvlText w:val="%2."/>
        <w:lvlJc w:val="left"/>
        <w:pPr>
          <w:ind w:left="2084" w:hanging="360"/>
        </w:pPr>
      </w:lvl>
    </w:lvlOverride>
    <w:lvlOverride w:ilvl="2">
      <w:lvl w:ilvl="2" w:tplc="963633CC">
        <w:start w:val="1"/>
        <w:numFmt w:val="lowerRoman"/>
        <w:lvlText w:val="%3."/>
        <w:lvlJc w:val="right"/>
        <w:pPr>
          <w:ind w:left="2804" w:hanging="180"/>
        </w:pPr>
      </w:lvl>
    </w:lvlOverride>
    <w:lvlOverride w:ilvl="3">
      <w:lvl w:ilvl="3" w:tplc="9E742DDA">
        <w:start w:val="1"/>
        <w:numFmt w:val="decimal"/>
        <w:lvlText w:val="%4."/>
        <w:lvlJc w:val="left"/>
        <w:pPr>
          <w:ind w:left="3524" w:hanging="360"/>
        </w:pPr>
      </w:lvl>
    </w:lvlOverride>
    <w:lvlOverride w:ilvl="4">
      <w:lvl w:ilvl="4" w:tplc="7F0EC69E">
        <w:start w:val="1"/>
        <w:numFmt w:val="lowerLetter"/>
        <w:lvlText w:val="%5."/>
        <w:lvlJc w:val="left"/>
        <w:pPr>
          <w:ind w:left="4244" w:hanging="360"/>
        </w:pPr>
      </w:lvl>
    </w:lvlOverride>
    <w:lvlOverride w:ilvl="5">
      <w:lvl w:ilvl="5" w:tplc="262CDF56">
        <w:start w:val="1"/>
        <w:numFmt w:val="lowerRoman"/>
        <w:lvlText w:val="%6."/>
        <w:lvlJc w:val="right"/>
        <w:pPr>
          <w:ind w:left="4964" w:hanging="180"/>
        </w:pPr>
      </w:lvl>
    </w:lvlOverride>
    <w:lvlOverride w:ilvl="6">
      <w:lvl w:ilvl="6" w:tplc="86CEF0FA">
        <w:start w:val="1"/>
        <w:numFmt w:val="decimal"/>
        <w:lvlText w:val="%7."/>
        <w:lvlJc w:val="left"/>
        <w:pPr>
          <w:ind w:left="5684" w:hanging="360"/>
        </w:pPr>
      </w:lvl>
    </w:lvlOverride>
    <w:lvlOverride w:ilvl="7">
      <w:lvl w:ilvl="7" w:tplc="68143274">
        <w:start w:val="1"/>
        <w:numFmt w:val="lowerLetter"/>
        <w:lvlText w:val="%8."/>
        <w:lvlJc w:val="left"/>
        <w:pPr>
          <w:ind w:left="6404" w:hanging="360"/>
        </w:pPr>
      </w:lvl>
    </w:lvlOverride>
    <w:lvlOverride w:ilvl="8">
      <w:lvl w:ilvl="8" w:tplc="17D48042">
        <w:start w:val="1"/>
        <w:numFmt w:val="lowerRoman"/>
        <w:lvlText w:val="%9."/>
        <w:lvlJc w:val="right"/>
        <w:pPr>
          <w:ind w:left="7124" w:hanging="180"/>
        </w:pPr>
      </w:lvl>
    </w:lvlOverride>
  </w:num>
  <w:num w:numId="20">
    <w:abstractNumId w:val="50"/>
    <w:lvlOverride w:ilvl="0">
      <w:lvl w:ilvl="0" w:tplc="1C0EA59C">
        <w:start w:val="1"/>
        <w:numFmt w:val="decimal"/>
        <w:lvlText w:val="%1."/>
        <w:lvlJc w:val="left"/>
        <w:pPr>
          <w:ind w:left="1440" w:hanging="360"/>
        </w:pPr>
      </w:lvl>
    </w:lvlOverride>
    <w:lvlOverride w:ilvl="1">
      <w:lvl w:ilvl="1" w:tplc="F8569276">
        <w:numFmt w:val="bullet"/>
        <w:lvlText w:val="•"/>
        <w:lvlJc w:val="left"/>
        <w:pPr>
          <w:ind w:left="2160" w:hanging="360"/>
        </w:pPr>
        <w:rPr>
          <w:rFonts w:ascii="Calibri" w:hAnsi="Calibri" w:cs="Calibri"/>
        </w:rPr>
      </w:lvl>
    </w:lvlOverride>
    <w:lvlOverride w:ilvl="2">
      <w:lvl w:ilvl="2" w:tplc="2B64FA30">
        <w:start w:val="1"/>
        <w:numFmt w:val="lowerRoman"/>
        <w:lvlText w:val="%3."/>
        <w:lvlJc w:val="right"/>
        <w:pPr>
          <w:ind w:left="2880" w:hanging="180"/>
        </w:pPr>
      </w:lvl>
    </w:lvlOverride>
    <w:lvlOverride w:ilvl="3">
      <w:lvl w:ilvl="3" w:tplc="C750F39C">
        <w:start w:val="1"/>
        <w:numFmt w:val="decimal"/>
        <w:lvlText w:val="%4."/>
        <w:lvlJc w:val="left"/>
        <w:pPr>
          <w:ind w:left="3600" w:hanging="360"/>
        </w:pPr>
      </w:lvl>
    </w:lvlOverride>
    <w:lvlOverride w:ilvl="4">
      <w:lvl w:ilvl="4" w:tplc="30F0F202">
        <w:start w:val="1"/>
        <w:numFmt w:val="lowerLetter"/>
        <w:lvlText w:val="%5."/>
        <w:lvlJc w:val="left"/>
        <w:pPr>
          <w:ind w:left="4320" w:hanging="360"/>
        </w:pPr>
      </w:lvl>
    </w:lvlOverride>
    <w:lvlOverride w:ilvl="5">
      <w:lvl w:ilvl="5" w:tplc="D54C731E">
        <w:start w:val="1"/>
        <w:numFmt w:val="lowerRoman"/>
        <w:lvlText w:val="%6."/>
        <w:lvlJc w:val="right"/>
        <w:pPr>
          <w:ind w:left="5040" w:hanging="180"/>
        </w:pPr>
      </w:lvl>
    </w:lvlOverride>
    <w:lvlOverride w:ilvl="6">
      <w:lvl w:ilvl="6" w:tplc="A3EC24F8">
        <w:start w:val="1"/>
        <w:numFmt w:val="decimal"/>
        <w:lvlText w:val="%7."/>
        <w:lvlJc w:val="left"/>
        <w:pPr>
          <w:ind w:left="5760" w:hanging="360"/>
        </w:pPr>
      </w:lvl>
    </w:lvlOverride>
    <w:lvlOverride w:ilvl="7">
      <w:lvl w:ilvl="7" w:tplc="B740BEFA">
        <w:start w:val="1"/>
        <w:numFmt w:val="lowerLetter"/>
        <w:lvlText w:val="%8."/>
        <w:lvlJc w:val="left"/>
        <w:pPr>
          <w:ind w:left="6480" w:hanging="360"/>
        </w:pPr>
      </w:lvl>
    </w:lvlOverride>
    <w:lvlOverride w:ilvl="8">
      <w:lvl w:ilvl="8" w:tplc="2DC8A18C">
        <w:start w:val="1"/>
        <w:numFmt w:val="lowerRoman"/>
        <w:lvlText w:val="%9."/>
        <w:lvlJc w:val="right"/>
        <w:pPr>
          <w:ind w:left="7200" w:hanging="180"/>
        </w:pPr>
      </w:lvl>
    </w:lvlOverride>
  </w:num>
  <w:num w:numId="21">
    <w:abstractNumId w:val="49"/>
    <w:lvlOverride w:ilvl="0">
      <w:lvl w:ilvl="0" w:tplc="EB525D4A">
        <w:start w:val="1"/>
        <w:numFmt w:val="decimal"/>
        <w:lvlText w:val="%1."/>
        <w:lvlJc w:val="left"/>
        <w:pPr>
          <w:ind w:left="1364" w:hanging="360"/>
        </w:pPr>
      </w:lvl>
    </w:lvlOverride>
    <w:lvlOverride w:ilvl="1">
      <w:lvl w:ilvl="1" w:tplc="7BDC08A2">
        <w:start w:val="1"/>
        <w:numFmt w:val="lowerLetter"/>
        <w:lvlText w:val="%2."/>
        <w:lvlJc w:val="left"/>
        <w:pPr>
          <w:ind w:left="2084" w:hanging="360"/>
        </w:pPr>
      </w:lvl>
    </w:lvlOverride>
    <w:lvlOverride w:ilvl="2">
      <w:lvl w:ilvl="2" w:tplc="970ABF2A">
        <w:start w:val="1"/>
        <w:numFmt w:val="lowerRoman"/>
        <w:lvlText w:val="%3."/>
        <w:lvlJc w:val="right"/>
        <w:pPr>
          <w:ind w:left="2804" w:hanging="180"/>
        </w:pPr>
      </w:lvl>
    </w:lvlOverride>
    <w:lvlOverride w:ilvl="3">
      <w:lvl w:ilvl="3" w:tplc="2E305610">
        <w:start w:val="1"/>
        <w:numFmt w:val="decimal"/>
        <w:lvlText w:val="%4."/>
        <w:lvlJc w:val="left"/>
        <w:pPr>
          <w:ind w:left="3524" w:hanging="360"/>
        </w:pPr>
      </w:lvl>
    </w:lvlOverride>
    <w:lvlOverride w:ilvl="4">
      <w:lvl w:ilvl="4" w:tplc="34DC67A0">
        <w:start w:val="1"/>
        <w:numFmt w:val="lowerLetter"/>
        <w:lvlText w:val="%5."/>
        <w:lvlJc w:val="left"/>
        <w:pPr>
          <w:ind w:left="4244" w:hanging="360"/>
        </w:pPr>
      </w:lvl>
    </w:lvlOverride>
    <w:lvlOverride w:ilvl="5">
      <w:lvl w:ilvl="5" w:tplc="CB38DA22">
        <w:start w:val="1"/>
        <w:numFmt w:val="lowerRoman"/>
        <w:lvlText w:val="%6."/>
        <w:lvlJc w:val="right"/>
        <w:pPr>
          <w:ind w:left="4964" w:hanging="180"/>
        </w:pPr>
      </w:lvl>
    </w:lvlOverride>
    <w:lvlOverride w:ilvl="6">
      <w:lvl w:ilvl="6" w:tplc="C7B27D92">
        <w:start w:val="1"/>
        <w:numFmt w:val="decimal"/>
        <w:lvlText w:val="%7."/>
        <w:lvlJc w:val="left"/>
        <w:pPr>
          <w:ind w:left="5684" w:hanging="360"/>
        </w:pPr>
      </w:lvl>
    </w:lvlOverride>
    <w:lvlOverride w:ilvl="7">
      <w:lvl w:ilvl="7" w:tplc="DD76B204">
        <w:start w:val="1"/>
        <w:numFmt w:val="lowerLetter"/>
        <w:lvlText w:val="%8."/>
        <w:lvlJc w:val="left"/>
        <w:pPr>
          <w:ind w:left="6404" w:hanging="360"/>
        </w:pPr>
      </w:lvl>
    </w:lvlOverride>
    <w:lvlOverride w:ilvl="8">
      <w:lvl w:ilvl="8" w:tplc="ECE0E310">
        <w:start w:val="1"/>
        <w:numFmt w:val="lowerRoman"/>
        <w:lvlText w:val="%9."/>
        <w:lvlJc w:val="right"/>
        <w:pPr>
          <w:ind w:left="7124" w:hanging="180"/>
        </w:pPr>
      </w:lvl>
    </w:lvlOverride>
  </w:num>
  <w:num w:numId="22">
    <w:abstractNumId w:val="43"/>
    <w:lvlOverride w:ilvl="0">
      <w:lvl w:ilvl="0" w:tplc="12CEE50C">
        <w:start w:val="1"/>
        <w:numFmt w:val="decimal"/>
        <w:lvlText w:val="%1."/>
        <w:lvlJc w:val="left"/>
        <w:pPr>
          <w:ind w:left="1364" w:hanging="360"/>
        </w:pPr>
      </w:lvl>
    </w:lvlOverride>
    <w:lvlOverride w:ilvl="1">
      <w:lvl w:ilvl="1" w:tplc="9838336E">
        <w:start w:val="1"/>
        <w:numFmt w:val="lowerLetter"/>
        <w:lvlText w:val="%2."/>
        <w:lvlJc w:val="left"/>
        <w:pPr>
          <w:ind w:left="2084" w:hanging="360"/>
        </w:pPr>
      </w:lvl>
    </w:lvlOverride>
    <w:lvlOverride w:ilvl="2">
      <w:lvl w:ilvl="2" w:tplc="7DBAD02A">
        <w:start w:val="1"/>
        <w:numFmt w:val="lowerRoman"/>
        <w:lvlText w:val="%3."/>
        <w:lvlJc w:val="right"/>
        <w:pPr>
          <w:ind w:left="2804" w:hanging="180"/>
        </w:pPr>
      </w:lvl>
    </w:lvlOverride>
    <w:lvlOverride w:ilvl="3">
      <w:lvl w:ilvl="3" w:tplc="682E3390">
        <w:start w:val="1"/>
        <w:numFmt w:val="decimal"/>
        <w:lvlText w:val="%4."/>
        <w:lvlJc w:val="left"/>
        <w:pPr>
          <w:ind w:left="3524" w:hanging="360"/>
        </w:pPr>
      </w:lvl>
    </w:lvlOverride>
    <w:lvlOverride w:ilvl="4">
      <w:lvl w:ilvl="4" w:tplc="85FEC0FC">
        <w:start w:val="1"/>
        <w:numFmt w:val="lowerLetter"/>
        <w:lvlText w:val="%5."/>
        <w:lvlJc w:val="left"/>
        <w:pPr>
          <w:ind w:left="4244" w:hanging="360"/>
        </w:pPr>
      </w:lvl>
    </w:lvlOverride>
    <w:lvlOverride w:ilvl="5">
      <w:lvl w:ilvl="5" w:tplc="21784B90">
        <w:start w:val="1"/>
        <w:numFmt w:val="lowerRoman"/>
        <w:lvlText w:val="%6."/>
        <w:lvlJc w:val="right"/>
        <w:pPr>
          <w:ind w:left="4964" w:hanging="180"/>
        </w:pPr>
      </w:lvl>
    </w:lvlOverride>
    <w:lvlOverride w:ilvl="6">
      <w:lvl w:ilvl="6" w:tplc="366C2D5A">
        <w:start w:val="1"/>
        <w:numFmt w:val="decimal"/>
        <w:lvlText w:val="%7."/>
        <w:lvlJc w:val="left"/>
        <w:pPr>
          <w:ind w:left="5684" w:hanging="360"/>
        </w:pPr>
      </w:lvl>
    </w:lvlOverride>
    <w:lvlOverride w:ilvl="7">
      <w:lvl w:ilvl="7" w:tplc="2564E742">
        <w:start w:val="1"/>
        <w:numFmt w:val="lowerLetter"/>
        <w:lvlText w:val="%8."/>
        <w:lvlJc w:val="left"/>
        <w:pPr>
          <w:ind w:left="6404" w:hanging="360"/>
        </w:pPr>
      </w:lvl>
    </w:lvlOverride>
    <w:lvlOverride w:ilvl="8">
      <w:lvl w:ilvl="8" w:tplc="7FECF0FC">
        <w:start w:val="1"/>
        <w:numFmt w:val="lowerRoman"/>
        <w:lvlText w:val="%9."/>
        <w:lvlJc w:val="right"/>
        <w:pPr>
          <w:ind w:left="7124" w:hanging="180"/>
        </w:pPr>
      </w:lvl>
    </w:lvlOverride>
  </w:num>
  <w:num w:numId="23">
    <w:abstractNumId w:val="37"/>
    <w:lvlOverride w:ilvl="0">
      <w:lvl w:ilvl="0" w:tplc="D438E87C">
        <w:start w:val="1"/>
        <w:numFmt w:val="decimal"/>
        <w:lvlText w:val="%1."/>
        <w:lvlJc w:val="left"/>
        <w:pPr>
          <w:ind w:left="1440" w:hanging="360"/>
        </w:pPr>
        <w:rPr>
          <w:b w:val="0"/>
          <w:bCs/>
        </w:rPr>
      </w:lvl>
    </w:lvlOverride>
    <w:lvlOverride w:ilvl="1">
      <w:lvl w:ilvl="1" w:tplc="602CFA9A">
        <w:numFmt w:val="bullet"/>
        <w:lvlText w:val="•"/>
        <w:lvlJc w:val="left"/>
        <w:pPr>
          <w:ind w:left="2160" w:hanging="360"/>
        </w:pPr>
        <w:rPr>
          <w:rFonts w:ascii="Calibri" w:hAnsi="Calibri" w:cs="Calibri"/>
        </w:rPr>
      </w:lvl>
    </w:lvlOverride>
    <w:lvlOverride w:ilvl="2">
      <w:lvl w:ilvl="2" w:tplc="A670A14A">
        <w:start w:val="1"/>
        <w:numFmt w:val="lowerRoman"/>
        <w:lvlText w:val="%3."/>
        <w:lvlJc w:val="right"/>
        <w:pPr>
          <w:ind w:left="2880" w:hanging="180"/>
        </w:pPr>
      </w:lvl>
    </w:lvlOverride>
    <w:lvlOverride w:ilvl="3">
      <w:lvl w:ilvl="3" w:tplc="1B087EEA">
        <w:start w:val="1"/>
        <w:numFmt w:val="decimal"/>
        <w:lvlText w:val="%4."/>
        <w:lvlJc w:val="left"/>
        <w:pPr>
          <w:ind w:left="3600" w:hanging="360"/>
        </w:pPr>
      </w:lvl>
    </w:lvlOverride>
    <w:lvlOverride w:ilvl="4">
      <w:lvl w:ilvl="4" w:tplc="404E52C0">
        <w:start w:val="1"/>
        <w:numFmt w:val="lowerLetter"/>
        <w:lvlText w:val="%5."/>
        <w:lvlJc w:val="left"/>
        <w:pPr>
          <w:ind w:left="4320" w:hanging="360"/>
        </w:pPr>
      </w:lvl>
    </w:lvlOverride>
    <w:lvlOverride w:ilvl="5">
      <w:lvl w:ilvl="5" w:tplc="15EA323E">
        <w:start w:val="1"/>
        <w:numFmt w:val="lowerRoman"/>
        <w:lvlText w:val="%6."/>
        <w:lvlJc w:val="right"/>
        <w:pPr>
          <w:ind w:left="5040" w:hanging="180"/>
        </w:pPr>
      </w:lvl>
    </w:lvlOverride>
    <w:lvlOverride w:ilvl="6">
      <w:lvl w:ilvl="6" w:tplc="D65C29A6">
        <w:start w:val="1"/>
        <w:numFmt w:val="decimal"/>
        <w:lvlText w:val="%7."/>
        <w:lvlJc w:val="left"/>
        <w:pPr>
          <w:ind w:left="5760" w:hanging="360"/>
        </w:pPr>
      </w:lvl>
    </w:lvlOverride>
    <w:lvlOverride w:ilvl="7">
      <w:lvl w:ilvl="7" w:tplc="1CAEA286">
        <w:start w:val="1"/>
        <w:numFmt w:val="lowerLetter"/>
        <w:lvlText w:val="%8."/>
        <w:lvlJc w:val="left"/>
        <w:pPr>
          <w:ind w:left="6480" w:hanging="360"/>
        </w:pPr>
      </w:lvl>
    </w:lvlOverride>
    <w:lvlOverride w:ilvl="8">
      <w:lvl w:ilvl="8" w:tplc="9E1E7504">
        <w:start w:val="1"/>
        <w:numFmt w:val="lowerRoman"/>
        <w:lvlText w:val="%9."/>
        <w:lvlJc w:val="right"/>
        <w:pPr>
          <w:ind w:left="7200" w:hanging="180"/>
        </w:pPr>
      </w:lvl>
    </w:lvlOverride>
  </w:num>
  <w:num w:numId="24">
    <w:abstractNumId w:val="29"/>
    <w:lvlOverride w:ilvl="0">
      <w:lvl w:ilvl="0" w:tplc="95462E0E">
        <w:start w:val="1"/>
        <w:numFmt w:val="decimal"/>
        <w:lvlText w:val="%1."/>
        <w:lvlJc w:val="left"/>
        <w:pPr>
          <w:ind w:left="1440" w:hanging="360"/>
        </w:pPr>
      </w:lvl>
    </w:lvlOverride>
    <w:lvlOverride w:ilvl="1">
      <w:lvl w:ilvl="1" w:tplc="248A2670">
        <w:numFmt w:val="bullet"/>
        <w:lvlText w:val="•"/>
        <w:lvlJc w:val="left"/>
        <w:pPr>
          <w:ind w:left="2160" w:hanging="360"/>
        </w:pPr>
        <w:rPr>
          <w:rFonts w:ascii="Calibri" w:hAnsi="Calibri" w:cs="Calibri"/>
        </w:rPr>
      </w:lvl>
    </w:lvlOverride>
    <w:lvlOverride w:ilvl="2">
      <w:lvl w:ilvl="2" w:tplc="D89EC99C">
        <w:start w:val="1"/>
        <w:numFmt w:val="lowerRoman"/>
        <w:lvlText w:val="%3."/>
        <w:lvlJc w:val="right"/>
        <w:pPr>
          <w:ind w:left="2880" w:hanging="180"/>
        </w:pPr>
      </w:lvl>
    </w:lvlOverride>
    <w:lvlOverride w:ilvl="3">
      <w:lvl w:ilvl="3" w:tplc="2068AB42">
        <w:start w:val="1"/>
        <w:numFmt w:val="decimal"/>
        <w:lvlText w:val="%4."/>
        <w:lvlJc w:val="left"/>
        <w:pPr>
          <w:ind w:left="3600" w:hanging="360"/>
        </w:pPr>
      </w:lvl>
    </w:lvlOverride>
    <w:lvlOverride w:ilvl="4">
      <w:lvl w:ilvl="4" w:tplc="A970AB9C">
        <w:start w:val="1"/>
        <w:numFmt w:val="lowerLetter"/>
        <w:lvlText w:val="%5."/>
        <w:lvlJc w:val="left"/>
        <w:pPr>
          <w:ind w:left="4320" w:hanging="360"/>
        </w:pPr>
      </w:lvl>
    </w:lvlOverride>
    <w:lvlOverride w:ilvl="5">
      <w:lvl w:ilvl="5" w:tplc="01267BEE">
        <w:start w:val="1"/>
        <w:numFmt w:val="lowerRoman"/>
        <w:lvlText w:val="%6."/>
        <w:lvlJc w:val="right"/>
        <w:pPr>
          <w:ind w:left="5040" w:hanging="180"/>
        </w:pPr>
      </w:lvl>
    </w:lvlOverride>
    <w:lvlOverride w:ilvl="6">
      <w:lvl w:ilvl="6" w:tplc="DA2436AC">
        <w:start w:val="1"/>
        <w:numFmt w:val="decimal"/>
        <w:lvlText w:val="%7."/>
        <w:lvlJc w:val="left"/>
        <w:pPr>
          <w:ind w:left="5760" w:hanging="360"/>
        </w:pPr>
      </w:lvl>
    </w:lvlOverride>
    <w:lvlOverride w:ilvl="7">
      <w:lvl w:ilvl="7" w:tplc="CEFE94C6">
        <w:start w:val="1"/>
        <w:numFmt w:val="lowerLetter"/>
        <w:lvlText w:val="%8."/>
        <w:lvlJc w:val="left"/>
        <w:pPr>
          <w:ind w:left="6480" w:hanging="360"/>
        </w:pPr>
      </w:lvl>
    </w:lvlOverride>
    <w:lvlOverride w:ilvl="8">
      <w:lvl w:ilvl="8" w:tplc="DA06C1B0">
        <w:start w:val="1"/>
        <w:numFmt w:val="lowerRoman"/>
        <w:lvlText w:val="%9."/>
        <w:lvlJc w:val="right"/>
        <w:pPr>
          <w:ind w:left="7200" w:hanging="180"/>
        </w:pPr>
      </w:lvl>
    </w:lvlOverride>
  </w:num>
  <w:num w:numId="25">
    <w:abstractNumId w:val="30"/>
    <w:lvlOverride w:ilvl="0">
      <w:lvl w:ilvl="0" w:tplc="7D2EBB9C">
        <w:start w:val="1"/>
        <w:numFmt w:val="decimal"/>
        <w:lvlText w:val="%1."/>
        <w:lvlJc w:val="left"/>
        <w:pPr>
          <w:ind w:left="1440" w:hanging="360"/>
        </w:pPr>
      </w:lvl>
    </w:lvlOverride>
    <w:lvlOverride w:ilvl="1">
      <w:lvl w:ilvl="1" w:tplc="EC8C5F72">
        <w:start w:val="1"/>
        <w:numFmt w:val="lowerLetter"/>
        <w:lvlText w:val="%2."/>
        <w:lvlJc w:val="left"/>
        <w:pPr>
          <w:ind w:left="2160" w:hanging="360"/>
        </w:pPr>
      </w:lvl>
    </w:lvlOverride>
    <w:lvlOverride w:ilvl="2">
      <w:lvl w:ilvl="2" w:tplc="F094E920">
        <w:start w:val="1"/>
        <w:numFmt w:val="lowerRoman"/>
        <w:lvlText w:val="%3."/>
        <w:lvlJc w:val="right"/>
        <w:pPr>
          <w:ind w:left="2880" w:hanging="180"/>
        </w:pPr>
      </w:lvl>
    </w:lvlOverride>
    <w:lvlOverride w:ilvl="3">
      <w:lvl w:ilvl="3" w:tplc="350EC9B4">
        <w:start w:val="1"/>
        <w:numFmt w:val="decimal"/>
        <w:lvlText w:val="%4."/>
        <w:lvlJc w:val="left"/>
        <w:pPr>
          <w:ind w:left="3600" w:hanging="360"/>
        </w:pPr>
      </w:lvl>
    </w:lvlOverride>
    <w:lvlOverride w:ilvl="4">
      <w:lvl w:ilvl="4" w:tplc="8BAE31B8">
        <w:start w:val="1"/>
        <w:numFmt w:val="lowerLetter"/>
        <w:lvlText w:val="%5."/>
        <w:lvlJc w:val="left"/>
        <w:pPr>
          <w:ind w:left="4320" w:hanging="360"/>
        </w:pPr>
      </w:lvl>
    </w:lvlOverride>
    <w:lvlOverride w:ilvl="5">
      <w:lvl w:ilvl="5" w:tplc="A9CEDCAE">
        <w:start w:val="1"/>
        <w:numFmt w:val="lowerRoman"/>
        <w:lvlText w:val="%6."/>
        <w:lvlJc w:val="right"/>
        <w:pPr>
          <w:ind w:left="5040" w:hanging="180"/>
        </w:pPr>
      </w:lvl>
    </w:lvlOverride>
    <w:lvlOverride w:ilvl="6">
      <w:lvl w:ilvl="6" w:tplc="BE5A3950">
        <w:start w:val="1"/>
        <w:numFmt w:val="decimal"/>
        <w:lvlText w:val="%7."/>
        <w:lvlJc w:val="left"/>
        <w:pPr>
          <w:ind w:left="5760" w:hanging="360"/>
        </w:pPr>
      </w:lvl>
    </w:lvlOverride>
    <w:lvlOverride w:ilvl="7">
      <w:lvl w:ilvl="7" w:tplc="1B12D214">
        <w:start w:val="1"/>
        <w:numFmt w:val="lowerLetter"/>
        <w:lvlText w:val="%8."/>
        <w:lvlJc w:val="left"/>
        <w:pPr>
          <w:ind w:left="6480" w:hanging="360"/>
        </w:pPr>
      </w:lvl>
    </w:lvlOverride>
    <w:lvlOverride w:ilvl="8">
      <w:lvl w:ilvl="8" w:tplc="F6DAAB38">
        <w:start w:val="1"/>
        <w:numFmt w:val="lowerRoman"/>
        <w:lvlText w:val="%9."/>
        <w:lvlJc w:val="right"/>
        <w:pPr>
          <w:ind w:left="7200" w:hanging="180"/>
        </w:pPr>
      </w:lvl>
    </w:lvlOverride>
  </w:num>
  <w:num w:numId="26">
    <w:abstractNumId w:val="33"/>
    <w:lvlOverride w:ilvl="0">
      <w:lvl w:ilvl="0" w:tplc="B4409D30">
        <w:start w:val="1"/>
        <w:numFmt w:val="decimal"/>
        <w:lvlText w:val="%1."/>
        <w:lvlJc w:val="left"/>
        <w:pPr>
          <w:ind w:left="1440" w:hanging="360"/>
        </w:pPr>
      </w:lvl>
    </w:lvlOverride>
    <w:lvlOverride w:ilvl="1">
      <w:lvl w:ilvl="1" w:tplc="E4623D8A">
        <w:start w:val="1"/>
        <w:numFmt w:val="lowerLetter"/>
        <w:lvlText w:val="%2."/>
        <w:lvlJc w:val="left"/>
        <w:pPr>
          <w:ind w:left="2160" w:hanging="360"/>
        </w:pPr>
      </w:lvl>
    </w:lvlOverride>
    <w:lvlOverride w:ilvl="2">
      <w:lvl w:ilvl="2" w:tplc="27368A8E">
        <w:start w:val="1"/>
        <w:numFmt w:val="lowerRoman"/>
        <w:lvlText w:val="%3."/>
        <w:lvlJc w:val="right"/>
        <w:pPr>
          <w:ind w:left="2880" w:hanging="180"/>
        </w:pPr>
      </w:lvl>
    </w:lvlOverride>
    <w:lvlOverride w:ilvl="3">
      <w:lvl w:ilvl="3" w:tplc="DB4EBE44">
        <w:start w:val="1"/>
        <w:numFmt w:val="decimal"/>
        <w:lvlText w:val="%4."/>
        <w:lvlJc w:val="left"/>
        <w:pPr>
          <w:ind w:left="3600" w:hanging="360"/>
        </w:pPr>
      </w:lvl>
    </w:lvlOverride>
    <w:lvlOverride w:ilvl="4">
      <w:lvl w:ilvl="4" w:tplc="C5587EAE">
        <w:start w:val="1"/>
        <w:numFmt w:val="lowerLetter"/>
        <w:lvlText w:val="%5."/>
        <w:lvlJc w:val="left"/>
        <w:pPr>
          <w:ind w:left="4320" w:hanging="360"/>
        </w:pPr>
      </w:lvl>
    </w:lvlOverride>
    <w:lvlOverride w:ilvl="5">
      <w:lvl w:ilvl="5" w:tplc="5114E9D6">
        <w:start w:val="1"/>
        <w:numFmt w:val="lowerRoman"/>
        <w:lvlText w:val="%6."/>
        <w:lvlJc w:val="right"/>
        <w:pPr>
          <w:ind w:left="5040" w:hanging="180"/>
        </w:pPr>
      </w:lvl>
    </w:lvlOverride>
    <w:lvlOverride w:ilvl="6">
      <w:lvl w:ilvl="6" w:tplc="529A7748">
        <w:start w:val="1"/>
        <w:numFmt w:val="decimal"/>
        <w:lvlText w:val="%7."/>
        <w:lvlJc w:val="left"/>
        <w:pPr>
          <w:ind w:left="5760" w:hanging="360"/>
        </w:pPr>
      </w:lvl>
    </w:lvlOverride>
    <w:lvlOverride w:ilvl="7">
      <w:lvl w:ilvl="7" w:tplc="78000044">
        <w:start w:val="1"/>
        <w:numFmt w:val="lowerLetter"/>
        <w:lvlText w:val="%8."/>
        <w:lvlJc w:val="left"/>
        <w:pPr>
          <w:ind w:left="6480" w:hanging="360"/>
        </w:pPr>
      </w:lvl>
    </w:lvlOverride>
    <w:lvlOverride w:ilvl="8">
      <w:lvl w:ilvl="8" w:tplc="8CD66838">
        <w:start w:val="1"/>
        <w:numFmt w:val="lowerRoman"/>
        <w:lvlText w:val="%9."/>
        <w:lvlJc w:val="right"/>
        <w:pPr>
          <w:ind w:left="7200" w:hanging="180"/>
        </w:pPr>
      </w:lvl>
    </w:lvlOverride>
  </w:num>
  <w:num w:numId="27">
    <w:abstractNumId w:val="22"/>
    <w:lvlOverride w:ilvl="0">
      <w:lvl w:ilvl="0" w:tplc="67DE3D5A">
        <w:start w:val="1"/>
        <w:numFmt w:val="decimal"/>
        <w:lvlText w:val="%1."/>
        <w:lvlJc w:val="left"/>
        <w:pPr>
          <w:ind w:left="1440" w:hanging="360"/>
        </w:pPr>
      </w:lvl>
    </w:lvlOverride>
    <w:lvlOverride w:ilvl="1">
      <w:lvl w:ilvl="1" w:tplc="F4EA5B4A">
        <w:start w:val="1"/>
        <w:numFmt w:val="lowerLetter"/>
        <w:lvlText w:val="%2."/>
        <w:lvlJc w:val="left"/>
        <w:pPr>
          <w:ind w:left="2160" w:hanging="360"/>
        </w:pPr>
      </w:lvl>
    </w:lvlOverride>
    <w:lvlOverride w:ilvl="2">
      <w:lvl w:ilvl="2" w:tplc="8D08D72C">
        <w:start w:val="1"/>
        <w:numFmt w:val="lowerRoman"/>
        <w:lvlText w:val="%3."/>
        <w:lvlJc w:val="right"/>
        <w:pPr>
          <w:ind w:left="2880" w:hanging="180"/>
        </w:pPr>
      </w:lvl>
    </w:lvlOverride>
    <w:lvlOverride w:ilvl="3">
      <w:lvl w:ilvl="3" w:tplc="2BB2AF20">
        <w:start w:val="1"/>
        <w:numFmt w:val="decimal"/>
        <w:lvlText w:val="%4."/>
        <w:lvlJc w:val="left"/>
        <w:pPr>
          <w:ind w:left="3600" w:hanging="360"/>
        </w:pPr>
      </w:lvl>
    </w:lvlOverride>
    <w:lvlOverride w:ilvl="4">
      <w:lvl w:ilvl="4" w:tplc="CEC4EC0E">
        <w:start w:val="1"/>
        <w:numFmt w:val="lowerLetter"/>
        <w:lvlText w:val="%5."/>
        <w:lvlJc w:val="left"/>
        <w:pPr>
          <w:ind w:left="4320" w:hanging="360"/>
        </w:pPr>
      </w:lvl>
    </w:lvlOverride>
    <w:lvlOverride w:ilvl="5">
      <w:lvl w:ilvl="5" w:tplc="784C7EDA">
        <w:start w:val="1"/>
        <w:numFmt w:val="lowerRoman"/>
        <w:lvlText w:val="%6."/>
        <w:lvlJc w:val="right"/>
        <w:pPr>
          <w:ind w:left="5040" w:hanging="180"/>
        </w:pPr>
      </w:lvl>
    </w:lvlOverride>
    <w:lvlOverride w:ilvl="6">
      <w:lvl w:ilvl="6" w:tplc="CDCCA28E">
        <w:start w:val="1"/>
        <w:numFmt w:val="decimal"/>
        <w:lvlText w:val="%7."/>
        <w:lvlJc w:val="left"/>
        <w:pPr>
          <w:ind w:left="5760" w:hanging="360"/>
        </w:pPr>
      </w:lvl>
    </w:lvlOverride>
    <w:lvlOverride w:ilvl="7">
      <w:lvl w:ilvl="7" w:tplc="BEB826AA">
        <w:start w:val="1"/>
        <w:numFmt w:val="lowerLetter"/>
        <w:lvlText w:val="%8."/>
        <w:lvlJc w:val="left"/>
        <w:pPr>
          <w:ind w:left="6480" w:hanging="360"/>
        </w:pPr>
      </w:lvl>
    </w:lvlOverride>
    <w:lvlOverride w:ilvl="8">
      <w:lvl w:ilvl="8" w:tplc="AAFC381A">
        <w:start w:val="1"/>
        <w:numFmt w:val="lowerRoman"/>
        <w:lvlText w:val="%9."/>
        <w:lvlJc w:val="right"/>
        <w:pPr>
          <w:ind w:left="7200" w:hanging="180"/>
        </w:pPr>
      </w:lvl>
    </w:lvlOverride>
  </w:num>
  <w:num w:numId="28">
    <w:abstractNumId w:val="40"/>
    <w:lvlOverride w:ilvl="0">
      <w:lvl w:ilvl="0" w:tplc="EB84D7C8">
        <w:start w:val="1"/>
        <w:numFmt w:val="decimal"/>
        <w:lvlText w:val="%1."/>
        <w:lvlJc w:val="left"/>
        <w:pPr>
          <w:ind w:left="1440" w:hanging="360"/>
        </w:pPr>
      </w:lvl>
    </w:lvlOverride>
    <w:lvlOverride w:ilvl="1">
      <w:lvl w:ilvl="1" w:tplc="B10CA614">
        <w:start w:val="1"/>
        <w:numFmt w:val="lowerLetter"/>
        <w:lvlText w:val="%2."/>
        <w:lvlJc w:val="left"/>
        <w:pPr>
          <w:ind w:left="1800" w:hanging="360"/>
        </w:pPr>
      </w:lvl>
    </w:lvlOverride>
    <w:lvlOverride w:ilvl="2">
      <w:lvl w:ilvl="2" w:tplc="E598B7DE">
        <w:start w:val="1"/>
        <w:numFmt w:val="lowerRoman"/>
        <w:lvlText w:val="%3."/>
        <w:lvlJc w:val="right"/>
        <w:pPr>
          <w:ind w:left="2520" w:hanging="180"/>
        </w:pPr>
      </w:lvl>
    </w:lvlOverride>
    <w:lvlOverride w:ilvl="3">
      <w:lvl w:ilvl="3" w:tplc="788299BA">
        <w:start w:val="1"/>
        <w:numFmt w:val="decimal"/>
        <w:lvlText w:val="%4."/>
        <w:lvlJc w:val="left"/>
        <w:pPr>
          <w:ind w:left="3240" w:hanging="360"/>
        </w:pPr>
      </w:lvl>
    </w:lvlOverride>
    <w:lvlOverride w:ilvl="4">
      <w:lvl w:ilvl="4" w:tplc="23283CEC">
        <w:start w:val="1"/>
        <w:numFmt w:val="lowerLetter"/>
        <w:lvlText w:val="%5."/>
        <w:lvlJc w:val="left"/>
        <w:pPr>
          <w:ind w:left="3960" w:hanging="360"/>
        </w:pPr>
      </w:lvl>
    </w:lvlOverride>
    <w:lvlOverride w:ilvl="5">
      <w:lvl w:ilvl="5" w:tplc="AB5A22F2">
        <w:start w:val="1"/>
        <w:numFmt w:val="lowerRoman"/>
        <w:lvlText w:val="%6."/>
        <w:lvlJc w:val="right"/>
        <w:pPr>
          <w:ind w:left="4680" w:hanging="180"/>
        </w:pPr>
      </w:lvl>
    </w:lvlOverride>
    <w:lvlOverride w:ilvl="6">
      <w:lvl w:ilvl="6" w:tplc="FF7A9BEA">
        <w:start w:val="1"/>
        <w:numFmt w:val="decimal"/>
        <w:lvlText w:val="%7."/>
        <w:lvlJc w:val="left"/>
        <w:pPr>
          <w:ind w:left="5400" w:hanging="360"/>
        </w:pPr>
      </w:lvl>
    </w:lvlOverride>
    <w:lvlOverride w:ilvl="7">
      <w:lvl w:ilvl="7" w:tplc="EDF8E32A">
        <w:start w:val="1"/>
        <w:numFmt w:val="lowerLetter"/>
        <w:lvlText w:val="%8."/>
        <w:lvlJc w:val="left"/>
        <w:pPr>
          <w:ind w:left="6120" w:hanging="360"/>
        </w:pPr>
      </w:lvl>
    </w:lvlOverride>
    <w:lvlOverride w:ilvl="8">
      <w:lvl w:ilvl="8" w:tplc="5350BD44">
        <w:start w:val="1"/>
        <w:numFmt w:val="lowerRoman"/>
        <w:lvlText w:val="%9."/>
        <w:lvlJc w:val="right"/>
        <w:pPr>
          <w:ind w:left="6840" w:hanging="180"/>
        </w:pPr>
      </w:lvl>
    </w:lvlOverride>
  </w:num>
  <w:num w:numId="29">
    <w:abstractNumId w:val="52"/>
    <w:lvlOverride w:ilvl="0">
      <w:lvl w:ilvl="0" w:tplc="E19485BC">
        <w:start w:val="1"/>
        <w:numFmt w:val="decimal"/>
        <w:lvlText w:val="%1."/>
        <w:lvlJc w:val="left"/>
        <w:pPr>
          <w:ind w:left="1440" w:hanging="360"/>
        </w:pPr>
      </w:lvl>
    </w:lvlOverride>
    <w:lvlOverride w:ilvl="1">
      <w:lvl w:ilvl="1" w:tplc="E53CBE62">
        <w:start w:val="1"/>
        <w:numFmt w:val="lowerLetter"/>
        <w:lvlText w:val="%2."/>
        <w:lvlJc w:val="left"/>
        <w:pPr>
          <w:ind w:left="2160" w:hanging="360"/>
        </w:pPr>
      </w:lvl>
    </w:lvlOverride>
    <w:lvlOverride w:ilvl="2">
      <w:lvl w:ilvl="2" w:tplc="368E425E">
        <w:start w:val="1"/>
        <w:numFmt w:val="lowerRoman"/>
        <w:lvlText w:val="%3."/>
        <w:lvlJc w:val="right"/>
        <w:pPr>
          <w:ind w:left="2880" w:hanging="180"/>
        </w:pPr>
      </w:lvl>
    </w:lvlOverride>
    <w:lvlOverride w:ilvl="3">
      <w:lvl w:ilvl="3" w:tplc="918C3582">
        <w:start w:val="1"/>
        <w:numFmt w:val="decimal"/>
        <w:lvlText w:val="%4."/>
        <w:lvlJc w:val="left"/>
        <w:pPr>
          <w:ind w:left="3600" w:hanging="360"/>
        </w:pPr>
      </w:lvl>
    </w:lvlOverride>
    <w:lvlOverride w:ilvl="4">
      <w:lvl w:ilvl="4" w:tplc="058E52AA">
        <w:start w:val="1"/>
        <w:numFmt w:val="lowerLetter"/>
        <w:lvlText w:val="%5."/>
        <w:lvlJc w:val="left"/>
        <w:pPr>
          <w:ind w:left="4320" w:hanging="360"/>
        </w:pPr>
      </w:lvl>
    </w:lvlOverride>
    <w:lvlOverride w:ilvl="5">
      <w:lvl w:ilvl="5" w:tplc="94A02292">
        <w:start w:val="1"/>
        <w:numFmt w:val="lowerRoman"/>
        <w:lvlText w:val="%6."/>
        <w:lvlJc w:val="right"/>
        <w:pPr>
          <w:ind w:left="5040" w:hanging="180"/>
        </w:pPr>
      </w:lvl>
    </w:lvlOverride>
    <w:lvlOverride w:ilvl="6">
      <w:lvl w:ilvl="6" w:tplc="A30470EE">
        <w:start w:val="1"/>
        <w:numFmt w:val="decimal"/>
        <w:lvlText w:val="%7."/>
        <w:lvlJc w:val="left"/>
        <w:pPr>
          <w:ind w:left="5760" w:hanging="360"/>
        </w:pPr>
      </w:lvl>
    </w:lvlOverride>
    <w:lvlOverride w:ilvl="7">
      <w:lvl w:ilvl="7" w:tplc="BDE0F236">
        <w:start w:val="1"/>
        <w:numFmt w:val="lowerLetter"/>
        <w:lvlText w:val="%8."/>
        <w:lvlJc w:val="left"/>
        <w:pPr>
          <w:ind w:left="6480" w:hanging="360"/>
        </w:pPr>
      </w:lvl>
    </w:lvlOverride>
    <w:lvlOverride w:ilvl="8">
      <w:lvl w:ilvl="8" w:tplc="C18831E4">
        <w:start w:val="1"/>
        <w:numFmt w:val="lowerRoman"/>
        <w:lvlText w:val="%9."/>
        <w:lvlJc w:val="right"/>
        <w:pPr>
          <w:ind w:left="7200" w:hanging="180"/>
        </w:pPr>
      </w:lvl>
    </w:lvlOverride>
  </w:num>
  <w:num w:numId="30">
    <w:abstractNumId w:val="51"/>
    <w:lvlOverride w:ilvl="0">
      <w:lvl w:ilvl="0" w:tplc="3CC858D4">
        <w:start w:val="1"/>
        <w:numFmt w:val="decimal"/>
        <w:lvlText w:val="%1."/>
        <w:lvlJc w:val="left"/>
        <w:pPr>
          <w:ind w:left="1440" w:hanging="360"/>
        </w:pPr>
        <w:rPr>
          <w:b w:val="0"/>
          <w:bCs/>
        </w:rPr>
      </w:lvl>
    </w:lvlOverride>
    <w:lvlOverride w:ilvl="1">
      <w:lvl w:ilvl="1" w:tplc="2D58CFD2">
        <w:start w:val="1"/>
        <w:numFmt w:val="lowerLetter"/>
        <w:lvlText w:val="%2."/>
        <w:lvlJc w:val="left"/>
        <w:pPr>
          <w:ind w:left="2160" w:hanging="360"/>
        </w:pPr>
      </w:lvl>
    </w:lvlOverride>
    <w:lvlOverride w:ilvl="2">
      <w:lvl w:ilvl="2" w:tplc="3912C292">
        <w:start w:val="1"/>
        <w:numFmt w:val="lowerRoman"/>
        <w:lvlText w:val="%3."/>
        <w:lvlJc w:val="right"/>
        <w:pPr>
          <w:ind w:left="2880" w:hanging="180"/>
        </w:pPr>
      </w:lvl>
    </w:lvlOverride>
    <w:lvlOverride w:ilvl="3">
      <w:lvl w:ilvl="3" w:tplc="FF587A84">
        <w:start w:val="1"/>
        <w:numFmt w:val="decimal"/>
        <w:lvlText w:val="%4."/>
        <w:lvlJc w:val="left"/>
        <w:pPr>
          <w:ind w:left="3600" w:hanging="360"/>
        </w:pPr>
      </w:lvl>
    </w:lvlOverride>
    <w:lvlOverride w:ilvl="4">
      <w:lvl w:ilvl="4" w:tplc="BD0E39FE">
        <w:start w:val="1"/>
        <w:numFmt w:val="lowerLetter"/>
        <w:lvlText w:val="%5."/>
        <w:lvlJc w:val="left"/>
        <w:pPr>
          <w:ind w:left="4320" w:hanging="360"/>
        </w:pPr>
      </w:lvl>
    </w:lvlOverride>
    <w:lvlOverride w:ilvl="5">
      <w:lvl w:ilvl="5" w:tplc="4B9CF27C">
        <w:start w:val="1"/>
        <w:numFmt w:val="lowerRoman"/>
        <w:lvlText w:val="%6."/>
        <w:lvlJc w:val="right"/>
        <w:pPr>
          <w:ind w:left="5040" w:hanging="180"/>
        </w:pPr>
      </w:lvl>
    </w:lvlOverride>
    <w:lvlOverride w:ilvl="6">
      <w:lvl w:ilvl="6" w:tplc="3B0486F2">
        <w:start w:val="1"/>
        <w:numFmt w:val="decimal"/>
        <w:lvlText w:val="%7."/>
        <w:lvlJc w:val="left"/>
        <w:pPr>
          <w:ind w:left="5760" w:hanging="360"/>
        </w:pPr>
      </w:lvl>
    </w:lvlOverride>
    <w:lvlOverride w:ilvl="7">
      <w:lvl w:ilvl="7" w:tplc="5296A748">
        <w:start w:val="1"/>
        <w:numFmt w:val="lowerLetter"/>
        <w:lvlText w:val="%8."/>
        <w:lvlJc w:val="left"/>
        <w:pPr>
          <w:ind w:left="6480" w:hanging="360"/>
        </w:pPr>
      </w:lvl>
    </w:lvlOverride>
    <w:lvlOverride w:ilvl="8">
      <w:lvl w:ilvl="8" w:tplc="0DC4711A">
        <w:start w:val="1"/>
        <w:numFmt w:val="lowerRoman"/>
        <w:lvlText w:val="%9."/>
        <w:lvlJc w:val="right"/>
        <w:pPr>
          <w:ind w:left="7200" w:hanging="180"/>
        </w:pPr>
      </w:lvl>
    </w:lvlOverride>
  </w:num>
  <w:num w:numId="31">
    <w:abstractNumId w:val="26"/>
    <w:lvlOverride w:ilvl="0">
      <w:lvl w:ilvl="0" w:tplc="FD680892">
        <w:start w:val="1"/>
        <w:numFmt w:val="decimal"/>
        <w:lvlText w:val="%1."/>
        <w:lvlJc w:val="left"/>
        <w:pPr>
          <w:ind w:left="1440" w:hanging="360"/>
        </w:pPr>
      </w:lvl>
    </w:lvlOverride>
    <w:lvlOverride w:ilvl="1">
      <w:lvl w:ilvl="1" w:tplc="408CA32E">
        <w:start w:val="1"/>
        <w:numFmt w:val="lowerLetter"/>
        <w:lvlText w:val="%2."/>
        <w:lvlJc w:val="left"/>
        <w:pPr>
          <w:ind w:left="2160" w:hanging="360"/>
        </w:pPr>
      </w:lvl>
    </w:lvlOverride>
    <w:lvlOverride w:ilvl="2">
      <w:lvl w:ilvl="2" w:tplc="9AB6D99E">
        <w:start w:val="1"/>
        <w:numFmt w:val="lowerRoman"/>
        <w:lvlText w:val="%3."/>
        <w:lvlJc w:val="right"/>
        <w:pPr>
          <w:ind w:left="2880" w:hanging="180"/>
        </w:pPr>
      </w:lvl>
    </w:lvlOverride>
    <w:lvlOverride w:ilvl="3">
      <w:lvl w:ilvl="3" w:tplc="13608E3C">
        <w:start w:val="1"/>
        <w:numFmt w:val="decimal"/>
        <w:lvlText w:val="%4."/>
        <w:lvlJc w:val="left"/>
        <w:pPr>
          <w:ind w:left="3600" w:hanging="360"/>
        </w:pPr>
      </w:lvl>
    </w:lvlOverride>
    <w:lvlOverride w:ilvl="4">
      <w:lvl w:ilvl="4" w:tplc="3E1C1904">
        <w:start w:val="1"/>
        <w:numFmt w:val="lowerLetter"/>
        <w:lvlText w:val="%5."/>
        <w:lvlJc w:val="left"/>
        <w:pPr>
          <w:ind w:left="4320" w:hanging="360"/>
        </w:pPr>
      </w:lvl>
    </w:lvlOverride>
    <w:lvlOverride w:ilvl="5">
      <w:lvl w:ilvl="5" w:tplc="124683A4">
        <w:start w:val="1"/>
        <w:numFmt w:val="lowerRoman"/>
        <w:lvlText w:val="%6."/>
        <w:lvlJc w:val="right"/>
        <w:pPr>
          <w:ind w:left="5040" w:hanging="180"/>
        </w:pPr>
      </w:lvl>
    </w:lvlOverride>
    <w:lvlOverride w:ilvl="6">
      <w:lvl w:ilvl="6" w:tplc="CB029932">
        <w:start w:val="1"/>
        <w:numFmt w:val="decimal"/>
        <w:lvlText w:val="%7."/>
        <w:lvlJc w:val="left"/>
        <w:pPr>
          <w:ind w:left="5760" w:hanging="360"/>
        </w:pPr>
      </w:lvl>
    </w:lvlOverride>
    <w:lvlOverride w:ilvl="7">
      <w:lvl w:ilvl="7" w:tplc="BA8290CA">
        <w:start w:val="1"/>
        <w:numFmt w:val="lowerLetter"/>
        <w:lvlText w:val="%8."/>
        <w:lvlJc w:val="left"/>
        <w:pPr>
          <w:ind w:left="6480" w:hanging="360"/>
        </w:pPr>
      </w:lvl>
    </w:lvlOverride>
    <w:lvlOverride w:ilvl="8">
      <w:lvl w:ilvl="8" w:tplc="13D88E18">
        <w:start w:val="1"/>
        <w:numFmt w:val="lowerRoman"/>
        <w:lvlText w:val="%9."/>
        <w:lvlJc w:val="right"/>
        <w:pPr>
          <w:ind w:left="7200" w:hanging="180"/>
        </w:pPr>
      </w:lvl>
    </w:lvlOverride>
  </w:num>
  <w:num w:numId="32">
    <w:abstractNumId w:val="12"/>
    <w:lvlOverride w:ilvl="0">
      <w:lvl w:ilvl="0" w:tplc="BD842368">
        <w:start w:val="1"/>
        <w:numFmt w:val="lowerLetter"/>
        <w:lvlText w:val="(%1)"/>
        <w:lvlJc w:val="left"/>
        <w:pPr>
          <w:ind w:left="785" w:hanging="360"/>
        </w:pPr>
        <w:rPr>
          <w:b w:val="0"/>
          <w:bCs/>
        </w:rPr>
      </w:lvl>
    </w:lvlOverride>
    <w:lvlOverride w:ilvl="1">
      <w:lvl w:ilvl="1" w:tplc="D21AB532">
        <w:start w:val="1"/>
        <w:numFmt w:val="lowerLetter"/>
        <w:lvlText w:val="%2."/>
        <w:lvlJc w:val="left"/>
        <w:pPr>
          <w:ind w:left="1505" w:hanging="360"/>
        </w:pPr>
      </w:lvl>
    </w:lvlOverride>
    <w:lvlOverride w:ilvl="2">
      <w:lvl w:ilvl="2" w:tplc="D382D2BA">
        <w:start w:val="1"/>
        <w:numFmt w:val="lowerRoman"/>
        <w:lvlText w:val="%3."/>
        <w:lvlJc w:val="right"/>
        <w:pPr>
          <w:ind w:left="2225" w:hanging="180"/>
        </w:pPr>
      </w:lvl>
    </w:lvlOverride>
    <w:lvlOverride w:ilvl="3">
      <w:lvl w:ilvl="3" w:tplc="A6DA8CBA">
        <w:start w:val="1"/>
        <w:numFmt w:val="decimal"/>
        <w:lvlText w:val="%4."/>
        <w:lvlJc w:val="left"/>
        <w:pPr>
          <w:ind w:left="2945" w:hanging="360"/>
        </w:pPr>
      </w:lvl>
    </w:lvlOverride>
    <w:lvlOverride w:ilvl="4">
      <w:lvl w:ilvl="4" w:tplc="62444F96">
        <w:start w:val="1"/>
        <w:numFmt w:val="lowerLetter"/>
        <w:lvlText w:val="%5."/>
        <w:lvlJc w:val="left"/>
        <w:pPr>
          <w:ind w:left="3665" w:hanging="360"/>
        </w:pPr>
      </w:lvl>
    </w:lvlOverride>
    <w:lvlOverride w:ilvl="5">
      <w:lvl w:ilvl="5" w:tplc="B3D8D4C8">
        <w:start w:val="1"/>
        <w:numFmt w:val="lowerRoman"/>
        <w:lvlText w:val="%6."/>
        <w:lvlJc w:val="right"/>
        <w:pPr>
          <w:ind w:left="4385" w:hanging="180"/>
        </w:pPr>
      </w:lvl>
    </w:lvlOverride>
    <w:lvlOverride w:ilvl="6">
      <w:lvl w:ilvl="6" w:tplc="77F2126E">
        <w:start w:val="1"/>
        <w:numFmt w:val="decimal"/>
        <w:lvlText w:val="%7."/>
        <w:lvlJc w:val="left"/>
        <w:pPr>
          <w:ind w:left="5105" w:hanging="360"/>
        </w:pPr>
      </w:lvl>
    </w:lvlOverride>
    <w:lvlOverride w:ilvl="7">
      <w:lvl w:ilvl="7" w:tplc="7D080F68">
        <w:start w:val="1"/>
        <w:numFmt w:val="lowerLetter"/>
        <w:lvlText w:val="%8."/>
        <w:lvlJc w:val="left"/>
        <w:pPr>
          <w:ind w:left="5825" w:hanging="360"/>
        </w:pPr>
      </w:lvl>
    </w:lvlOverride>
    <w:lvlOverride w:ilvl="8">
      <w:lvl w:ilvl="8" w:tplc="5A165CA6">
        <w:start w:val="1"/>
        <w:numFmt w:val="lowerRoman"/>
        <w:lvlText w:val="%9."/>
        <w:lvlJc w:val="right"/>
        <w:pPr>
          <w:ind w:left="6545" w:hanging="180"/>
        </w:pPr>
      </w:lvl>
    </w:lvlOverride>
  </w:num>
  <w:num w:numId="33">
    <w:abstractNumId w:val="20"/>
    <w:lvlOverride w:ilvl="0">
      <w:lvl w:ilvl="0" w:tplc="85DCF026">
        <w:start w:val="1"/>
        <w:numFmt w:val="decimal"/>
        <w:lvlText w:val="%1."/>
        <w:lvlJc w:val="left"/>
        <w:pPr>
          <w:ind w:left="1440" w:hanging="360"/>
        </w:pPr>
        <w:rPr>
          <w:b w:val="0"/>
          <w:bCs/>
        </w:rPr>
      </w:lvl>
    </w:lvlOverride>
    <w:lvlOverride w:ilvl="1">
      <w:lvl w:ilvl="1" w:tplc="9F2CD6B8">
        <w:start w:val="1"/>
        <w:numFmt w:val="lowerLetter"/>
        <w:lvlText w:val="%2."/>
        <w:lvlJc w:val="left"/>
        <w:pPr>
          <w:ind w:left="2160" w:hanging="360"/>
        </w:pPr>
      </w:lvl>
    </w:lvlOverride>
    <w:lvlOverride w:ilvl="2">
      <w:lvl w:ilvl="2" w:tplc="FCF61EF2">
        <w:start w:val="1"/>
        <w:numFmt w:val="lowerRoman"/>
        <w:lvlText w:val="%3."/>
        <w:lvlJc w:val="right"/>
        <w:pPr>
          <w:ind w:left="2880" w:hanging="180"/>
        </w:pPr>
      </w:lvl>
    </w:lvlOverride>
    <w:lvlOverride w:ilvl="3">
      <w:lvl w:ilvl="3" w:tplc="AB9E4376">
        <w:start w:val="1"/>
        <w:numFmt w:val="decimal"/>
        <w:lvlText w:val="%4."/>
        <w:lvlJc w:val="left"/>
        <w:pPr>
          <w:ind w:left="3600" w:hanging="360"/>
        </w:pPr>
      </w:lvl>
    </w:lvlOverride>
    <w:lvlOverride w:ilvl="4">
      <w:lvl w:ilvl="4" w:tplc="97A059DA">
        <w:start w:val="1"/>
        <w:numFmt w:val="lowerLetter"/>
        <w:lvlText w:val="%5."/>
        <w:lvlJc w:val="left"/>
        <w:pPr>
          <w:ind w:left="4320" w:hanging="360"/>
        </w:pPr>
      </w:lvl>
    </w:lvlOverride>
    <w:lvlOverride w:ilvl="5">
      <w:lvl w:ilvl="5" w:tplc="6D4EBF60">
        <w:start w:val="1"/>
        <w:numFmt w:val="lowerRoman"/>
        <w:lvlText w:val="%6."/>
        <w:lvlJc w:val="right"/>
        <w:pPr>
          <w:ind w:left="5040" w:hanging="180"/>
        </w:pPr>
      </w:lvl>
    </w:lvlOverride>
    <w:lvlOverride w:ilvl="6">
      <w:lvl w:ilvl="6" w:tplc="6A8E5C1A">
        <w:start w:val="1"/>
        <w:numFmt w:val="decimal"/>
        <w:lvlText w:val="%7."/>
        <w:lvlJc w:val="left"/>
        <w:pPr>
          <w:ind w:left="5760" w:hanging="360"/>
        </w:pPr>
      </w:lvl>
    </w:lvlOverride>
    <w:lvlOverride w:ilvl="7">
      <w:lvl w:ilvl="7" w:tplc="B172F826">
        <w:start w:val="1"/>
        <w:numFmt w:val="lowerLetter"/>
        <w:lvlText w:val="%8."/>
        <w:lvlJc w:val="left"/>
        <w:pPr>
          <w:ind w:left="6480" w:hanging="360"/>
        </w:pPr>
      </w:lvl>
    </w:lvlOverride>
    <w:lvlOverride w:ilvl="8">
      <w:lvl w:ilvl="8" w:tplc="6F0821FC">
        <w:start w:val="1"/>
        <w:numFmt w:val="lowerRoman"/>
        <w:lvlText w:val="%9."/>
        <w:lvlJc w:val="right"/>
        <w:pPr>
          <w:ind w:left="7200" w:hanging="180"/>
        </w:pPr>
      </w:lvl>
    </w:lvlOverride>
  </w:num>
  <w:num w:numId="34">
    <w:abstractNumId w:val="16"/>
    <w:lvlOverride w:ilvl="0">
      <w:lvl w:ilvl="0" w:tplc="57443584">
        <w:start w:val="1"/>
        <w:numFmt w:val="decimal"/>
        <w:lvlText w:val="%1."/>
        <w:lvlJc w:val="left"/>
        <w:pPr>
          <w:ind w:left="1440" w:hanging="360"/>
        </w:pPr>
      </w:lvl>
    </w:lvlOverride>
    <w:lvlOverride w:ilvl="1">
      <w:lvl w:ilvl="1" w:tplc="7200F4C6">
        <w:start w:val="1"/>
        <w:numFmt w:val="lowerLetter"/>
        <w:lvlText w:val="%2."/>
        <w:lvlJc w:val="left"/>
        <w:pPr>
          <w:ind w:left="2160" w:hanging="360"/>
        </w:pPr>
      </w:lvl>
    </w:lvlOverride>
    <w:lvlOverride w:ilvl="2">
      <w:lvl w:ilvl="2" w:tplc="DBC47874">
        <w:start w:val="1"/>
        <w:numFmt w:val="lowerRoman"/>
        <w:lvlText w:val="%3."/>
        <w:lvlJc w:val="right"/>
        <w:pPr>
          <w:ind w:left="2880" w:hanging="180"/>
        </w:pPr>
      </w:lvl>
    </w:lvlOverride>
    <w:lvlOverride w:ilvl="3">
      <w:lvl w:ilvl="3" w:tplc="7EAAA7FC">
        <w:start w:val="1"/>
        <w:numFmt w:val="decimal"/>
        <w:lvlText w:val="%4."/>
        <w:lvlJc w:val="left"/>
        <w:pPr>
          <w:ind w:left="3600" w:hanging="360"/>
        </w:pPr>
      </w:lvl>
    </w:lvlOverride>
    <w:lvlOverride w:ilvl="4">
      <w:lvl w:ilvl="4" w:tplc="ED14CAD6">
        <w:start w:val="1"/>
        <w:numFmt w:val="lowerLetter"/>
        <w:lvlText w:val="%5."/>
        <w:lvlJc w:val="left"/>
        <w:pPr>
          <w:ind w:left="4320" w:hanging="360"/>
        </w:pPr>
      </w:lvl>
    </w:lvlOverride>
    <w:lvlOverride w:ilvl="5">
      <w:lvl w:ilvl="5" w:tplc="EBD6EF68">
        <w:start w:val="1"/>
        <w:numFmt w:val="lowerRoman"/>
        <w:lvlText w:val="%6."/>
        <w:lvlJc w:val="right"/>
        <w:pPr>
          <w:ind w:left="5040" w:hanging="180"/>
        </w:pPr>
      </w:lvl>
    </w:lvlOverride>
    <w:lvlOverride w:ilvl="6">
      <w:lvl w:ilvl="6" w:tplc="EB72F50C">
        <w:start w:val="1"/>
        <w:numFmt w:val="decimal"/>
        <w:lvlText w:val="%7."/>
        <w:lvlJc w:val="left"/>
        <w:pPr>
          <w:ind w:left="5760" w:hanging="360"/>
        </w:pPr>
      </w:lvl>
    </w:lvlOverride>
    <w:lvlOverride w:ilvl="7">
      <w:lvl w:ilvl="7" w:tplc="5E2AFA00">
        <w:start w:val="1"/>
        <w:numFmt w:val="lowerLetter"/>
        <w:lvlText w:val="%8."/>
        <w:lvlJc w:val="left"/>
        <w:pPr>
          <w:ind w:left="6480" w:hanging="360"/>
        </w:pPr>
      </w:lvl>
    </w:lvlOverride>
    <w:lvlOverride w:ilvl="8">
      <w:lvl w:ilvl="8" w:tplc="9D927A0C">
        <w:start w:val="1"/>
        <w:numFmt w:val="lowerRoman"/>
        <w:lvlText w:val="%9."/>
        <w:lvlJc w:val="right"/>
        <w:pPr>
          <w:ind w:left="7200" w:hanging="180"/>
        </w:pPr>
      </w:lvl>
    </w:lvlOverride>
  </w:num>
  <w:num w:numId="35">
    <w:abstractNumId w:val="15"/>
    <w:lvlOverride w:ilvl="0">
      <w:lvl w:ilvl="0" w:tplc="69845B4A">
        <w:start w:val="1"/>
        <w:numFmt w:val="decimal"/>
        <w:lvlText w:val="%1."/>
        <w:lvlJc w:val="left"/>
        <w:pPr>
          <w:ind w:left="1440" w:hanging="360"/>
        </w:pPr>
        <w:rPr>
          <w:b w:val="0"/>
          <w:bCs/>
          <w:i w:val="0"/>
          <w:iCs w:val="0"/>
        </w:rPr>
      </w:lvl>
    </w:lvlOverride>
    <w:lvlOverride w:ilvl="1">
      <w:lvl w:ilvl="1" w:tplc="A5FA0FC4">
        <w:start w:val="1"/>
        <w:numFmt w:val="lowerLetter"/>
        <w:lvlText w:val="%2."/>
        <w:lvlJc w:val="left"/>
        <w:pPr>
          <w:ind w:left="2160" w:hanging="360"/>
        </w:pPr>
      </w:lvl>
    </w:lvlOverride>
    <w:lvlOverride w:ilvl="2">
      <w:lvl w:ilvl="2" w:tplc="56F435D4">
        <w:start w:val="1"/>
        <w:numFmt w:val="lowerRoman"/>
        <w:lvlText w:val="%3."/>
        <w:lvlJc w:val="right"/>
        <w:pPr>
          <w:ind w:left="2880" w:hanging="180"/>
        </w:pPr>
      </w:lvl>
    </w:lvlOverride>
    <w:lvlOverride w:ilvl="3">
      <w:lvl w:ilvl="3" w:tplc="65724994">
        <w:start w:val="1"/>
        <w:numFmt w:val="decimal"/>
        <w:lvlText w:val="%4."/>
        <w:lvlJc w:val="left"/>
        <w:pPr>
          <w:ind w:left="3600" w:hanging="360"/>
        </w:pPr>
      </w:lvl>
    </w:lvlOverride>
    <w:lvlOverride w:ilvl="4">
      <w:lvl w:ilvl="4" w:tplc="2190F6F2">
        <w:start w:val="1"/>
        <w:numFmt w:val="lowerLetter"/>
        <w:lvlText w:val="%5."/>
        <w:lvlJc w:val="left"/>
        <w:pPr>
          <w:ind w:left="4320" w:hanging="360"/>
        </w:pPr>
      </w:lvl>
    </w:lvlOverride>
    <w:lvlOverride w:ilvl="5">
      <w:lvl w:ilvl="5" w:tplc="2DFA509C">
        <w:start w:val="1"/>
        <w:numFmt w:val="lowerRoman"/>
        <w:lvlText w:val="%6."/>
        <w:lvlJc w:val="right"/>
        <w:pPr>
          <w:ind w:left="5040" w:hanging="180"/>
        </w:pPr>
      </w:lvl>
    </w:lvlOverride>
    <w:lvlOverride w:ilvl="6">
      <w:lvl w:ilvl="6" w:tplc="DB083EBE">
        <w:start w:val="1"/>
        <w:numFmt w:val="decimal"/>
        <w:lvlText w:val="%7."/>
        <w:lvlJc w:val="left"/>
        <w:pPr>
          <w:ind w:left="5760" w:hanging="360"/>
        </w:pPr>
      </w:lvl>
    </w:lvlOverride>
    <w:lvlOverride w:ilvl="7">
      <w:lvl w:ilvl="7" w:tplc="58B8DFB0">
        <w:start w:val="1"/>
        <w:numFmt w:val="lowerLetter"/>
        <w:lvlText w:val="%8."/>
        <w:lvlJc w:val="left"/>
        <w:pPr>
          <w:ind w:left="6480" w:hanging="360"/>
        </w:pPr>
      </w:lvl>
    </w:lvlOverride>
    <w:lvlOverride w:ilvl="8">
      <w:lvl w:ilvl="8" w:tplc="0EEAAD3E">
        <w:start w:val="1"/>
        <w:numFmt w:val="lowerRoman"/>
        <w:lvlText w:val="%9."/>
        <w:lvlJc w:val="right"/>
        <w:pPr>
          <w:ind w:left="7200" w:hanging="180"/>
        </w:pPr>
      </w:lvl>
    </w:lvlOverride>
  </w:num>
  <w:num w:numId="36">
    <w:abstractNumId w:val="24"/>
    <w:lvlOverride w:ilvl="0">
      <w:lvl w:ilvl="0" w:tplc="1D92D516">
        <w:start w:val="1"/>
        <w:numFmt w:val="decimal"/>
        <w:lvlText w:val="%1."/>
        <w:lvlJc w:val="left"/>
        <w:pPr>
          <w:ind w:left="1440" w:hanging="360"/>
        </w:pPr>
      </w:lvl>
    </w:lvlOverride>
    <w:lvlOverride w:ilvl="1">
      <w:lvl w:ilvl="1" w:tplc="299C8B98">
        <w:start w:val="1"/>
        <w:numFmt w:val="lowerLetter"/>
        <w:lvlText w:val="%2."/>
        <w:lvlJc w:val="left"/>
        <w:pPr>
          <w:ind w:left="2160" w:hanging="360"/>
        </w:pPr>
      </w:lvl>
    </w:lvlOverride>
    <w:lvlOverride w:ilvl="2">
      <w:lvl w:ilvl="2" w:tplc="DFE85BE6">
        <w:start w:val="1"/>
        <w:numFmt w:val="lowerRoman"/>
        <w:lvlText w:val="%3."/>
        <w:lvlJc w:val="right"/>
        <w:pPr>
          <w:ind w:left="2880" w:hanging="180"/>
        </w:pPr>
      </w:lvl>
    </w:lvlOverride>
    <w:lvlOverride w:ilvl="3">
      <w:lvl w:ilvl="3" w:tplc="FDCE8880">
        <w:start w:val="1"/>
        <w:numFmt w:val="decimal"/>
        <w:lvlText w:val="%4."/>
        <w:lvlJc w:val="left"/>
        <w:pPr>
          <w:ind w:left="3600" w:hanging="360"/>
        </w:pPr>
      </w:lvl>
    </w:lvlOverride>
    <w:lvlOverride w:ilvl="4">
      <w:lvl w:ilvl="4" w:tplc="0012EE8C">
        <w:start w:val="1"/>
        <w:numFmt w:val="lowerLetter"/>
        <w:lvlText w:val="%5."/>
        <w:lvlJc w:val="left"/>
        <w:pPr>
          <w:ind w:left="4320" w:hanging="360"/>
        </w:pPr>
      </w:lvl>
    </w:lvlOverride>
    <w:lvlOverride w:ilvl="5">
      <w:lvl w:ilvl="5" w:tplc="23747C1C">
        <w:start w:val="1"/>
        <w:numFmt w:val="lowerRoman"/>
        <w:lvlText w:val="%6."/>
        <w:lvlJc w:val="right"/>
        <w:pPr>
          <w:ind w:left="5040" w:hanging="180"/>
        </w:pPr>
      </w:lvl>
    </w:lvlOverride>
    <w:lvlOverride w:ilvl="6">
      <w:lvl w:ilvl="6" w:tplc="A7CCEB16">
        <w:start w:val="1"/>
        <w:numFmt w:val="decimal"/>
        <w:lvlText w:val="%7."/>
        <w:lvlJc w:val="left"/>
        <w:pPr>
          <w:ind w:left="5760" w:hanging="360"/>
        </w:pPr>
      </w:lvl>
    </w:lvlOverride>
    <w:lvlOverride w:ilvl="7">
      <w:lvl w:ilvl="7" w:tplc="35A420D6">
        <w:start w:val="1"/>
        <w:numFmt w:val="lowerLetter"/>
        <w:lvlText w:val="%8."/>
        <w:lvlJc w:val="left"/>
        <w:pPr>
          <w:ind w:left="6480" w:hanging="360"/>
        </w:pPr>
      </w:lvl>
    </w:lvlOverride>
    <w:lvlOverride w:ilvl="8">
      <w:lvl w:ilvl="8" w:tplc="FC68B60C">
        <w:start w:val="1"/>
        <w:numFmt w:val="lowerRoman"/>
        <w:lvlText w:val="%9."/>
        <w:lvlJc w:val="right"/>
        <w:pPr>
          <w:ind w:left="7200" w:hanging="180"/>
        </w:pPr>
      </w:lvl>
    </w:lvlOverride>
  </w:num>
  <w:num w:numId="37">
    <w:abstractNumId w:val="10"/>
    <w:lvlOverride w:ilvl="0">
      <w:lvl w:ilvl="0" w:tplc="523ADDA8">
        <w:start w:val="1"/>
        <w:numFmt w:val="decimal"/>
        <w:lvlText w:val="%1."/>
        <w:lvlJc w:val="left"/>
        <w:pPr>
          <w:ind w:left="1440" w:hanging="360"/>
        </w:pPr>
      </w:lvl>
    </w:lvlOverride>
    <w:lvlOverride w:ilvl="1">
      <w:lvl w:ilvl="1" w:tplc="17C07396">
        <w:start w:val="1"/>
        <w:numFmt w:val="lowerLetter"/>
        <w:lvlText w:val="%2."/>
        <w:lvlJc w:val="left"/>
        <w:pPr>
          <w:ind w:left="2160" w:hanging="360"/>
        </w:pPr>
      </w:lvl>
    </w:lvlOverride>
    <w:lvlOverride w:ilvl="2">
      <w:lvl w:ilvl="2" w:tplc="C4CEA252">
        <w:start w:val="1"/>
        <w:numFmt w:val="lowerRoman"/>
        <w:lvlText w:val="%3."/>
        <w:lvlJc w:val="right"/>
        <w:pPr>
          <w:ind w:left="2880" w:hanging="180"/>
        </w:pPr>
      </w:lvl>
    </w:lvlOverride>
    <w:lvlOverride w:ilvl="3">
      <w:lvl w:ilvl="3" w:tplc="90C4599A">
        <w:start w:val="1"/>
        <w:numFmt w:val="decimal"/>
        <w:lvlText w:val="%4."/>
        <w:lvlJc w:val="left"/>
        <w:pPr>
          <w:ind w:left="3600" w:hanging="360"/>
        </w:pPr>
      </w:lvl>
    </w:lvlOverride>
    <w:lvlOverride w:ilvl="4">
      <w:lvl w:ilvl="4" w:tplc="C3E84D74">
        <w:start w:val="1"/>
        <w:numFmt w:val="lowerLetter"/>
        <w:lvlText w:val="%5."/>
        <w:lvlJc w:val="left"/>
        <w:pPr>
          <w:ind w:left="4320" w:hanging="360"/>
        </w:pPr>
      </w:lvl>
    </w:lvlOverride>
    <w:lvlOverride w:ilvl="5">
      <w:lvl w:ilvl="5" w:tplc="ED5C9F76">
        <w:start w:val="1"/>
        <w:numFmt w:val="lowerRoman"/>
        <w:lvlText w:val="%6."/>
        <w:lvlJc w:val="right"/>
        <w:pPr>
          <w:ind w:left="5040" w:hanging="180"/>
        </w:pPr>
      </w:lvl>
    </w:lvlOverride>
    <w:lvlOverride w:ilvl="6">
      <w:lvl w:ilvl="6" w:tplc="E0DAAFF2">
        <w:start w:val="1"/>
        <w:numFmt w:val="decimal"/>
        <w:lvlText w:val="%7."/>
        <w:lvlJc w:val="left"/>
        <w:pPr>
          <w:ind w:left="5760" w:hanging="360"/>
        </w:pPr>
      </w:lvl>
    </w:lvlOverride>
    <w:lvlOverride w:ilvl="7">
      <w:lvl w:ilvl="7" w:tplc="65609514">
        <w:start w:val="1"/>
        <w:numFmt w:val="lowerLetter"/>
        <w:lvlText w:val="%8."/>
        <w:lvlJc w:val="left"/>
        <w:pPr>
          <w:ind w:left="6480" w:hanging="360"/>
        </w:pPr>
      </w:lvl>
    </w:lvlOverride>
    <w:lvlOverride w:ilvl="8">
      <w:lvl w:ilvl="8" w:tplc="C3040A58">
        <w:start w:val="1"/>
        <w:numFmt w:val="lowerRoman"/>
        <w:lvlText w:val="%9."/>
        <w:lvlJc w:val="right"/>
        <w:pPr>
          <w:ind w:left="7200" w:hanging="180"/>
        </w:pPr>
      </w:lvl>
    </w:lvlOverride>
  </w:num>
  <w:num w:numId="38">
    <w:abstractNumId w:val="9"/>
  </w:num>
  <w:num w:numId="39">
    <w:abstractNumId w:val="27"/>
  </w:num>
  <w:num w:numId="40">
    <w:abstractNumId w:val="19"/>
  </w:num>
  <w:num w:numId="41">
    <w:abstractNumId w:val="17"/>
  </w:num>
  <w:num w:numId="42">
    <w:abstractNumId w:val="46"/>
  </w:num>
  <w:num w:numId="43">
    <w:abstractNumId w:val="7"/>
  </w:num>
  <w:num w:numId="44">
    <w:abstractNumId w:val="6"/>
  </w:num>
  <w:num w:numId="45">
    <w:abstractNumId w:val="5"/>
  </w:num>
  <w:num w:numId="46">
    <w:abstractNumId w:val="4"/>
  </w:num>
  <w:num w:numId="47">
    <w:abstractNumId w:val="8"/>
  </w:num>
  <w:num w:numId="48">
    <w:abstractNumId w:val="3"/>
  </w:num>
  <w:num w:numId="49">
    <w:abstractNumId w:val="2"/>
  </w:num>
  <w:num w:numId="50">
    <w:abstractNumId w:val="1"/>
  </w:num>
  <w:num w:numId="51">
    <w:abstractNumId w:val="0"/>
  </w:num>
  <w:num w:numId="52">
    <w:abstractNumId w:val="13"/>
  </w:num>
  <w:num w:numId="53">
    <w:abstractNumId w:val="34"/>
  </w:num>
  <w:num w:numId="54">
    <w:abstractNumId w:val="21"/>
  </w:num>
  <w:num w:numId="55">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3FF"/>
    <w:rsid w:val="000031BA"/>
    <w:rsid w:val="000041F8"/>
    <w:rsid w:val="000042A8"/>
    <w:rsid w:val="00004308"/>
    <w:rsid w:val="00005BF0"/>
    <w:rsid w:val="00007154"/>
    <w:rsid w:val="000103AE"/>
    <w:rsid w:val="00011D69"/>
    <w:rsid w:val="00012AD3"/>
    <w:rsid w:val="00015C2D"/>
    <w:rsid w:val="00015F00"/>
    <w:rsid w:val="0001693B"/>
    <w:rsid w:val="00022C1D"/>
    <w:rsid w:val="00030D42"/>
    <w:rsid w:val="00033D92"/>
    <w:rsid w:val="00034987"/>
    <w:rsid w:val="00034D5F"/>
    <w:rsid w:val="00037634"/>
    <w:rsid w:val="0004686D"/>
    <w:rsid w:val="00047A71"/>
    <w:rsid w:val="000515E9"/>
    <w:rsid w:val="00057E7A"/>
    <w:rsid w:val="000602DF"/>
    <w:rsid w:val="00061B05"/>
    <w:rsid w:val="00062993"/>
    <w:rsid w:val="000632D5"/>
    <w:rsid w:val="000642BF"/>
    <w:rsid w:val="000644EE"/>
    <w:rsid w:val="00064C50"/>
    <w:rsid w:val="00083463"/>
    <w:rsid w:val="00086D00"/>
    <w:rsid w:val="000925AD"/>
    <w:rsid w:val="000A24EB"/>
    <w:rsid w:val="000A79C3"/>
    <w:rsid w:val="000B6923"/>
    <w:rsid w:val="000C5F3C"/>
    <w:rsid w:val="000C6DCC"/>
    <w:rsid w:val="000D47AA"/>
    <w:rsid w:val="000D721F"/>
    <w:rsid w:val="000E069B"/>
    <w:rsid w:val="000E0E82"/>
    <w:rsid w:val="000E1DC5"/>
    <w:rsid w:val="000E223F"/>
    <w:rsid w:val="000E44C5"/>
    <w:rsid w:val="000E632E"/>
    <w:rsid w:val="000E7D45"/>
    <w:rsid w:val="000F219D"/>
    <w:rsid w:val="000F40A8"/>
    <w:rsid w:val="000F60CB"/>
    <w:rsid w:val="000F7851"/>
    <w:rsid w:val="000F7C9B"/>
    <w:rsid w:val="00104E23"/>
    <w:rsid w:val="00111B0C"/>
    <w:rsid w:val="00120D6C"/>
    <w:rsid w:val="00123F04"/>
    <w:rsid w:val="001257EC"/>
    <w:rsid w:val="00127B42"/>
    <w:rsid w:val="00133D33"/>
    <w:rsid w:val="00134D64"/>
    <w:rsid w:val="00135A30"/>
    <w:rsid w:val="0013612C"/>
    <w:rsid w:val="00137FF6"/>
    <w:rsid w:val="00141650"/>
    <w:rsid w:val="00146B38"/>
    <w:rsid w:val="00150BFA"/>
    <w:rsid w:val="00162A12"/>
    <w:rsid w:val="00166530"/>
    <w:rsid w:val="00172C44"/>
    <w:rsid w:val="00181500"/>
    <w:rsid w:val="001832BD"/>
    <w:rsid w:val="001943B5"/>
    <w:rsid w:val="00195134"/>
    <w:rsid w:val="001A145B"/>
    <w:rsid w:val="001A2241"/>
    <w:rsid w:val="001A674C"/>
    <w:rsid w:val="001B3B24"/>
    <w:rsid w:val="001C0F98"/>
    <w:rsid w:val="001C2A42"/>
    <w:rsid w:val="001C33E5"/>
    <w:rsid w:val="001D19C3"/>
    <w:rsid w:val="001D63ED"/>
    <w:rsid w:val="001D7348"/>
    <w:rsid w:val="001E035B"/>
    <w:rsid w:val="001E0961"/>
    <w:rsid w:val="001E3EAE"/>
    <w:rsid w:val="001E6F32"/>
    <w:rsid w:val="001F2145"/>
    <w:rsid w:val="001F5C76"/>
    <w:rsid w:val="001F6262"/>
    <w:rsid w:val="001F67B0"/>
    <w:rsid w:val="001F7B3D"/>
    <w:rsid w:val="00201FD5"/>
    <w:rsid w:val="00205405"/>
    <w:rsid w:val="00205F9F"/>
    <w:rsid w:val="00206258"/>
    <w:rsid w:val="0020718E"/>
    <w:rsid w:val="00210338"/>
    <w:rsid w:val="002115FC"/>
    <w:rsid w:val="00212B18"/>
    <w:rsid w:val="0021423C"/>
    <w:rsid w:val="00214E59"/>
    <w:rsid w:val="002173FF"/>
    <w:rsid w:val="002258CD"/>
    <w:rsid w:val="0022672A"/>
    <w:rsid w:val="002276CC"/>
    <w:rsid w:val="00230D00"/>
    <w:rsid w:val="00231DF7"/>
    <w:rsid w:val="00231FD1"/>
    <w:rsid w:val="00232BF6"/>
    <w:rsid w:val="002339E0"/>
    <w:rsid w:val="00233CF8"/>
    <w:rsid w:val="0023575D"/>
    <w:rsid w:val="00237148"/>
    <w:rsid w:val="0024222D"/>
    <w:rsid w:val="00244B0E"/>
    <w:rsid w:val="00244F6C"/>
    <w:rsid w:val="002532C5"/>
    <w:rsid w:val="00260C03"/>
    <w:rsid w:val="0026540E"/>
    <w:rsid w:val="0026661C"/>
    <w:rsid w:val="00273BD8"/>
    <w:rsid w:val="00275123"/>
    <w:rsid w:val="0028218F"/>
    <w:rsid w:val="00282240"/>
    <w:rsid w:val="002948AD"/>
    <w:rsid w:val="002A01CC"/>
    <w:rsid w:val="002A2EE0"/>
    <w:rsid w:val="002A61B1"/>
    <w:rsid w:val="002A663C"/>
    <w:rsid w:val="002B40F6"/>
    <w:rsid w:val="002B444B"/>
    <w:rsid w:val="002B5887"/>
    <w:rsid w:val="002C0E27"/>
    <w:rsid w:val="002C1656"/>
    <w:rsid w:val="002C3040"/>
    <w:rsid w:val="002C507E"/>
    <w:rsid w:val="002D022D"/>
    <w:rsid w:val="002D24BB"/>
    <w:rsid w:val="002D2C99"/>
    <w:rsid w:val="002F2AF7"/>
    <w:rsid w:val="002F7E1C"/>
    <w:rsid w:val="00300BE1"/>
    <w:rsid w:val="00301A75"/>
    <w:rsid w:val="00302F70"/>
    <w:rsid w:val="0030336F"/>
    <w:rsid w:val="0030375E"/>
    <w:rsid w:val="00312A30"/>
    <w:rsid w:val="00317C62"/>
    <w:rsid w:val="00320F72"/>
    <w:rsid w:val="0032463E"/>
    <w:rsid w:val="00326224"/>
    <w:rsid w:val="00336456"/>
    <w:rsid w:val="00337840"/>
    <w:rsid w:val="00337EE4"/>
    <w:rsid w:val="00340FFD"/>
    <w:rsid w:val="003506B1"/>
    <w:rsid w:val="00356AC7"/>
    <w:rsid w:val="003609FA"/>
    <w:rsid w:val="003710C8"/>
    <w:rsid w:val="003717D5"/>
    <w:rsid w:val="003750BE"/>
    <w:rsid w:val="00387B9D"/>
    <w:rsid w:val="0039364F"/>
    <w:rsid w:val="00396686"/>
    <w:rsid w:val="0039778E"/>
    <w:rsid w:val="003B4941"/>
    <w:rsid w:val="003C5714"/>
    <w:rsid w:val="003C6B9F"/>
    <w:rsid w:val="003C6E2A"/>
    <w:rsid w:val="003C7423"/>
    <w:rsid w:val="003D0299"/>
    <w:rsid w:val="003D0A31"/>
    <w:rsid w:val="003D69C4"/>
    <w:rsid w:val="003E6D80"/>
    <w:rsid w:val="003F05FA"/>
    <w:rsid w:val="003F244A"/>
    <w:rsid w:val="003F30B8"/>
    <w:rsid w:val="003F4C45"/>
    <w:rsid w:val="003F5F7B"/>
    <w:rsid w:val="003F7D64"/>
    <w:rsid w:val="004036F0"/>
    <w:rsid w:val="004052AE"/>
    <w:rsid w:val="00414300"/>
    <w:rsid w:val="00420F04"/>
    <w:rsid w:val="00422FEB"/>
    <w:rsid w:val="00425C67"/>
    <w:rsid w:val="00427E7A"/>
    <w:rsid w:val="00432F9A"/>
    <w:rsid w:val="00436C49"/>
    <w:rsid w:val="00441976"/>
    <w:rsid w:val="00442402"/>
    <w:rsid w:val="00445366"/>
    <w:rsid w:val="00447F5B"/>
    <w:rsid w:val="00460FF3"/>
    <w:rsid w:val="0046160F"/>
    <w:rsid w:val="00461DB0"/>
    <w:rsid w:val="00463926"/>
    <w:rsid w:val="00464C9A"/>
    <w:rsid w:val="00474F3D"/>
    <w:rsid w:val="00477E3A"/>
    <w:rsid w:val="00483E5F"/>
    <w:rsid w:val="00485FF9"/>
    <w:rsid w:val="004861F1"/>
    <w:rsid w:val="004907F0"/>
    <w:rsid w:val="0049140B"/>
    <w:rsid w:val="004923A5"/>
    <w:rsid w:val="00496BFB"/>
    <w:rsid w:val="004A15C7"/>
    <w:rsid w:val="004B013B"/>
    <w:rsid w:val="004B112B"/>
    <w:rsid w:val="004B252E"/>
    <w:rsid w:val="004B589C"/>
    <w:rsid w:val="004C01E4"/>
    <w:rsid w:val="004C086C"/>
    <w:rsid w:val="004C1F56"/>
    <w:rsid w:val="004C27BC"/>
    <w:rsid w:val="004D15F3"/>
    <w:rsid w:val="004D5311"/>
    <w:rsid w:val="004D5DCC"/>
    <w:rsid w:val="004F10AF"/>
    <w:rsid w:val="004F11A4"/>
    <w:rsid w:val="004F2389"/>
    <w:rsid w:val="004F304D"/>
    <w:rsid w:val="004F61BE"/>
    <w:rsid w:val="004F66B1"/>
    <w:rsid w:val="00500105"/>
    <w:rsid w:val="00500A55"/>
    <w:rsid w:val="00503189"/>
    <w:rsid w:val="005062A0"/>
    <w:rsid w:val="005072EA"/>
    <w:rsid w:val="00510DAB"/>
    <w:rsid w:val="00511C07"/>
    <w:rsid w:val="005168B7"/>
    <w:rsid w:val="005173A6"/>
    <w:rsid w:val="00520BAA"/>
    <w:rsid w:val="00522CE3"/>
    <w:rsid w:val="005236D5"/>
    <w:rsid w:val="00525208"/>
    <w:rsid w:val="005257A5"/>
    <w:rsid w:val="005264C0"/>
    <w:rsid w:val="00526A8A"/>
    <w:rsid w:val="00531DF2"/>
    <w:rsid w:val="005442EE"/>
    <w:rsid w:val="00547353"/>
    <w:rsid w:val="005474E7"/>
    <w:rsid w:val="005512A3"/>
    <w:rsid w:val="00555E24"/>
    <w:rsid w:val="005578CE"/>
    <w:rsid w:val="00562781"/>
    <w:rsid w:val="00563212"/>
    <w:rsid w:val="0057271C"/>
    <w:rsid w:val="00572845"/>
    <w:rsid w:val="0058515C"/>
    <w:rsid w:val="00592772"/>
    <w:rsid w:val="005940B0"/>
    <w:rsid w:val="00595414"/>
    <w:rsid w:val="0059574A"/>
    <w:rsid w:val="005A1B9B"/>
    <w:rsid w:val="005A6751"/>
    <w:rsid w:val="005A7F9A"/>
    <w:rsid w:val="005B092E"/>
    <w:rsid w:val="005B152C"/>
    <w:rsid w:val="005B1EE0"/>
    <w:rsid w:val="005B2B24"/>
    <w:rsid w:val="005B42E7"/>
    <w:rsid w:val="005B4425"/>
    <w:rsid w:val="005B4B94"/>
    <w:rsid w:val="005C3EE8"/>
    <w:rsid w:val="005D34F9"/>
    <w:rsid w:val="005D4190"/>
    <w:rsid w:val="005D67A3"/>
    <w:rsid w:val="005E1680"/>
    <w:rsid w:val="005E2988"/>
    <w:rsid w:val="005E3085"/>
    <w:rsid w:val="005E6B24"/>
    <w:rsid w:val="005F51E1"/>
    <w:rsid w:val="00611C80"/>
    <w:rsid w:val="00613D0C"/>
    <w:rsid w:val="00620692"/>
    <w:rsid w:val="00620EC9"/>
    <w:rsid w:val="006242CA"/>
    <w:rsid w:val="00626F82"/>
    <w:rsid w:val="00627507"/>
    <w:rsid w:val="00633715"/>
    <w:rsid w:val="00633717"/>
    <w:rsid w:val="006344E1"/>
    <w:rsid w:val="006410EC"/>
    <w:rsid w:val="00642894"/>
    <w:rsid w:val="00651984"/>
    <w:rsid w:val="006545C4"/>
    <w:rsid w:val="00661971"/>
    <w:rsid w:val="00661CE8"/>
    <w:rsid w:val="006623D9"/>
    <w:rsid w:val="0066550C"/>
    <w:rsid w:val="006716F2"/>
    <w:rsid w:val="00682BF2"/>
    <w:rsid w:val="006859CE"/>
    <w:rsid w:val="0068762C"/>
    <w:rsid w:val="00691270"/>
    <w:rsid w:val="0069150E"/>
    <w:rsid w:val="00694BA8"/>
    <w:rsid w:val="006A037C"/>
    <w:rsid w:val="006A36F4"/>
    <w:rsid w:val="006A406F"/>
    <w:rsid w:val="006A5313"/>
    <w:rsid w:val="006A5D3A"/>
    <w:rsid w:val="006C23D4"/>
    <w:rsid w:val="006C7BB0"/>
    <w:rsid w:val="006D024F"/>
    <w:rsid w:val="006D3237"/>
    <w:rsid w:val="006D3E07"/>
    <w:rsid w:val="006E2733"/>
    <w:rsid w:val="006E2E37"/>
    <w:rsid w:val="006E3CF1"/>
    <w:rsid w:val="006E7E80"/>
    <w:rsid w:val="006F2306"/>
    <w:rsid w:val="006F48CA"/>
    <w:rsid w:val="006F64DD"/>
    <w:rsid w:val="006F792F"/>
    <w:rsid w:val="007020A1"/>
    <w:rsid w:val="007100AD"/>
    <w:rsid w:val="00715127"/>
    <w:rsid w:val="007151D9"/>
    <w:rsid w:val="00715E8E"/>
    <w:rsid w:val="00723580"/>
    <w:rsid w:val="00723755"/>
    <w:rsid w:val="007240CA"/>
    <w:rsid w:val="00724A19"/>
    <w:rsid w:val="00727F92"/>
    <w:rsid w:val="0073136C"/>
    <w:rsid w:val="00731F0F"/>
    <w:rsid w:val="00733250"/>
    <w:rsid w:val="00734EE2"/>
    <w:rsid w:val="007363EA"/>
    <w:rsid w:val="00741404"/>
    <w:rsid w:val="007449E5"/>
    <w:rsid w:val="00745A24"/>
    <w:rsid w:val="00747FF0"/>
    <w:rsid w:val="007555A7"/>
    <w:rsid w:val="00764D4E"/>
    <w:rsid w:val="00765A1F"/>
    <w:rsid w:val="00770CE8"/>
    <w:rsid w:val="00775B6D"/>
    <w:rsid w:val="00776D68"/>
    <w:rsid w:val="00777178"/>
    <w:rsid w:val="007850EE"/>
    <w:rsid w:val="00785B95"/>
    <w:rsid w:val="00790E96"/>
    <w:rsid w:val="00793366"/>
    <w:rsid w:val="00796B13"/>
    <w:rsid w:val="007A716F"/>
    <w:rsid w:val="007A7FFA"/>
    <w:rsid w:val="007B270A"/>
    <w:rsid w:val="007C0695"/>
    <w:rsid w:val="007C10DD"/>
    <w:rsid w:val="007C419A"/>
    <w:rsid w:val="007C4CC8"/>
    <w:rsid w:val="007C5426"/>
    <w:rsid w:val="007C5798"/>
    <w:rsid w:val="007D4832"/>
    <w:rsid w:val="007D5C50"/>
    <w:rsid w:val="007E21B2"/>
    <w:rsid w:val="007E2C4E"/>
    <w:rsid w:val="007E5AAC"/>
    <w:rsid w:val="007F1905"/>
    <w:rsid w:val="007F275B"/>
    <w:rsid w:val="00801300"/>
    <w:rsid w:val="00802C64"/>
    <w:rsid w:val="00804B38"/>
    <w:rsid w:val="00805E52"/>
    <w:rsid w:val="008061D0"/>
    <w:rsid w:val="00810B38"/>
    <w:rsid w:val="008204C7"/>
    <w:rsid w:val="00820992"/>
    <w:rsid w:val="00820C43"/>
    <w:rsid w:val="00820CC9"/>
    <w:rsid w:val="00823602"/>
    <w:rsid w:val="008255F5"/>
    <w:rsid w:val="0083014E"/>
    <w:rsid w:val="0083214A"/>
    <w:rsid w:val="00834220"/>
    <w:rsid w:val="008345CC"/>
    <w:rsid w:val="00836AA2"/>
    <w:rsid w:val="00845723"/>
    <w:rsid w:val="00846F7D"/>
    <w:rsid w:val="00851EF9"/>
    <w:rsid w:val="00855352"/>
    <w:rsid w:val="008577FD"/>
    <w:rsid w:val="00860B03"/>
    <w:rsid w:val="0086497A"/>
    <w:rsid w:val="008713A1"/>
    <w:rsid w:val="008754AB"/>
    <w:rsid w:val="008802A9"/>
    <w:rsid w:val="0088060C"/>
    <w:rsid w:val="00880B88"/>
    <w:rsid w:val="00893576"/>
    <w:rsid w:val="00893E73"/>
    <w:rsid w:val="008A023D"/>
    <w:rsid w:val="008A746D"/>
    <w:rsid w:val="008B02DC"/>
    <w:rsid w:val="008B57CE"/>
    <w:rsid w:val="008C26DE"/>
    <w:rsid w:val="008D2225"/>
    <w:rsid w:val="008D4752"/>
    <w:rsid w:val="008E271C"/>
    <w:rsid w:val="008E3B55"/>
    <w:rsid w:val="008E418E"/>
    <w:rsid w:val="008E5BC6"/>
    <w:rsid w:val="008E6A25"/>
    <w:rsid w:val="008F5193"/>
    <w:rsid w:val="008F55F5"/>
    <w:rsid w:val="009013A7"/>
    <w:rsid w:val="00901447"/>
    <w:rsid w:val="009017FB"/>
    <w:rsid w:val="009017FC"/>
    <w:rsid w:val="0090506B"/>
    <w:rsid w:val="009050C9"/>
    <w:rsid w:val="009066FC"/>
    <w:rsid w:val="009079C0"/>
    <w:rsid w:val="009140A3"/>
    <w:rsid w:val="009144A2"/>
    <w:rsid w:val="0091510C"/>
    <w:rsid w:val="00921605"/>
    <w:rsid w:val="009259AC"/>
    <w:rsid w:val="00926F38"/>
    <w:rsid w:val="00934301"/>
    <w:rsid w:val="00936CD1"/>
    <w:rsid w:val="00941747"/>
    <w:rsid w:val="00941EFB"/>
    <w:rsid w:val="00947AFB"/>
    <w:rsid w:val="00951D7D"/>
    <w:rsid w:val="00951F69"/>
    <w:rsid w:val="00962685"/>
    <w:rsid w:val="009630C7"/>
    <w:rsid w:val="00972B55"/>
    <w:rsid w:val="009743B7"/>
    <w:rsid w:val="0098228B"/>
    <w:rsid w:val="009828DA"/>
    <w:rsid w:val="00982BF9"/>
    <w:rsid w:val="00985BAB"/>
    <w:rsid w:val="009A6E78"/>
    <w:rsid w:val="009B1B5F"/>
    <w:rsid w:val="009B24E8"/>
    <w:rsid w:val="009B52D9"/>
    <w:rsid w:val="009B6673"/>
    <w:rsid w:val="009B7E84"/>
    <w:rsid w:val="009C191B"/>
    <w:rsid w:val="009C2BD6"/>
    <w:rsid w:val="009C6260"/>
    <w:rsid w:val="009D301E"/>
    <w:rsid w:val="009E1F32"/>
    <w:rsid w:val="009E776C"/>
    <w:rsid w:val="009F65CB"/>
    <w:rsid w:val="009F65DC"/>
    <w:rsid w:val="009F6AE6"/>
    <w:rsid w:val="00A05F32"/>
    <w:rsid w:val="00A13F08"/>
    <w:rsid w:val="00A1726E"/>
    <w:rsid w:val="00A204CF"/>
    <w:rsid w:val="00A23D49"/>
    <w:rsid w:val="00A242AC"/>
    <w:rsid w:val="00A27004"/>
    <w:rsid w:val="00A30C29"/>
    <w:rsid w:val="00A34DD6"/>
    <w:rsid w:val="00A36819"/>
    <w:rsid w:val="00A36989"/>
    <w:rsid w:val="00A43628"/>
    <w:rsid w:val="00A45145"/>
    <w:rsid w:val="00A511AF"/>
    <w:rsid w:val="00A54192"/>
    <w:rsid w:val="00A56EAC"/>
    <w:rsid w:val="00A6035E"/>
    <w:rsid w:val="00A6144C"/>
    <w:rsid w:val="00A62AD1"/>
    <w:rsid w:val="00A664E0"/>
    <w:rsid w:val="00A66617"/>
    <w:rsid w:val="00A671F8"/>
    <w:rsid w:val="00A673A4"/>
    <w:rsid w:val="00A724AE"/>
    <w:rsid w:val="00A73329"/>
    <w:rsid w:val="00A82359"/>
    <w:rsid w:val="00A83D13"/>
    <w:rsid w:val="00A865D2"/>
    <w:rsid w:val="00A94C20"/>
    <w:rsid w:val="00A97436"/>
    <w:rsid w:val="00AA227F"/>
    <w:rsid w:val="00AA3BC7"/>
    <w:rsid w:val="00AA754A"/>
    <w:rsid w:val="00AB099E"/>
    <w:rsid w:val="00AB4328"/>
    <w:rsid w:val="00AB7E73"/>
    <w:rsid w:val="00AC3ABA"/>
    <w:rsid w:val="00AC6C04"/>
    <w:rsid w:val="00AD4891"/>
    <w:rsid w:val="00AE0A2E"/>
    <w:rsid w:val="00AE354C"/>
    <w:rsid w:val="00AE4736"/>
    <w:rsid w:val="00AF4B07"/>
    <w:rsid w:val="00AF6186"/>
    <w:rsid w:val="00AF7A3A"/>
    <w:rsid w:val="00B06ED5"/>
    <w:rsid w:val="00B160DB"/>
    <w:rsid w:val="00B20836"/>
    <w:rsid w:val="00B235BB"/>
    <w:rsid w:val="00B27A44"/>
    <w:rsid w:val="00B30BBF"/>
    <w:rsid w:val="00B33C03"/>
    <w:rsid w:val="00B356FD"/>
    <w:rsid w:val="00B44E56"/>
    <w:rsid w:val="00B46543"/>
    <w:rsid w:val="00B47D33"/>
    <w:rsid w:val="00B52BE0"/>
    <w:rsid w:val="00B53898"/>
    <w:rsid w:val="00B54133"/>
    <w:rsid w:val="00B54AE0"/>
    <w:rsid w:val="00B6072A"/>
    <w:rsid w:val="00B60E23"/>
    <w:rsid w:val="00B63230"/>
    <w:rsid w:val="00B701ED"/>
    <w:rsid w:val="00B76EBC"/>
    <w:rsid w:val="00B8086C"/>
    <w:rsid w:val="00B861B4"/>
    <w:rsid w:val="00B86DFE"/>
    <w:rsid w:val="00B90990"/>
    <w:rsid w:val="00B922FF"/>
    <w:rsid w:val="00B9281E"/>
    <w:rsid w:val="00B93925"/>
    <w:rsid w:val="00B95187"/>
    <w:rsid w:val="00BA2D55"/>
    <w:rsid w:val="00BA6894"/>
    <w:rsid w:val="00BA71B1"/>
    <w:rsid w:val="00BB0637"/>
    <w:rsid w:val="00BB345F"/>
    <w:rsid w:val="00BB59EA"/>
    <w:rsid w:val="00BB68EA"/>
    <w:rsid w:val="00BC1C27"/>
    <w:rsid w:val="00BC37A4"/>
    <w:rsid w:val="00BC6BBF"/>
    <w:rsid w:val="00BD08B8"/>
    <w:rsid w:val="00BD1572"/>
    <w:rsid w:val="00BE14E3"/>
    <w:rsid w:val="00BE3774"/>
    <w:rsid w:val="00BE41E5"/>
    <w:rsid w:val="00BF4109"/>
    <w:rsid w:val="00BF4CC3"/>
    <w:rsid w:val="00BF5E7F"/>
    <w:rsid w:val="00BF6A5D"/>
    <w:rsid w:val="00C054C7"/>
    <w:rsid w:val="00C057B5"/>
    <w:rsid w:val="00C22687"/>
    <w:rsid w:val="00C251BA"/>
    <w:rsid w:val="00C25A3E"/>
    <w:rsid w:val="00C32E4D"/>
    <w:rsid w:val="00C333A0"/>
    <w:rsid w:val="00C36408"/>
    <w:rsid w:val="00C36A81"/>
    <w:rsid w:val="00C41226"/>
    <w:rsid w:val="00C41974"/>
    <w:rsid w:val="00C41981"/>
    <w:rsid w:val="00C43322"/>
    <w:rsid w:val="00C507AE"/>
    <w:rsid w:val="00C535F5"/>
    <w:rsid w:val="00C53F4A"/>
    <w:rsid w:val="00C54125"/>
    <w:rsid w:val="00C55B54"/>
    <w:rsid w:val="00C6098E"/>
    <w:rsid w:val="00C6152C"/>
    <w:rsid w:val="00C74810"/>
    <w:rsid w:val="00C90B2C"/>
    <w:rsid w:val="00C90D68"/>
    <w:rsid w:val="00C939FE"/>
    <w:rsid w:val="00C97EFD"/>
    <w:rsid w:val="00CA4BDA"/>
    <w:rsid w:val="00CA6DB9"/>
    <w:rsid w:val="00CA7930"/>
    <w:rsid w:val="00CB1F66"/>
    <w:rsid w:val="00CB25E5"/>
    <w:rsid w:val="00CB2951"/>
    <w:rsid w:val="00CD2292"/>
    <w:rsid w:val="00CD282B"/>
    <w:rsid w:val="00CD4C35"/>
    <w:rsid w:val="00CD7369"/>
    <w:rsid w:val="00CE0B0E"/>
    <w:rsid w:val="00CE3831"/>
    <w:rsid w:val="00D00ABB"/>
    <w:rsid w:val="00D02C62"/>
    <w:rsid w:val="00D02EEC"/>
    <w:rsid w:val="00D03551"/>
    <w:rsid w:val="00D03CFA"/>
    <w:rsid w:val="00D06A63"/>
    <w:rsid w:val="00D07E0E"/>
    <w:rsid w:val="00D11478"/>
    <w:rsid w:val="00D1374E"/>
    <w:rsid w:val="00D15ED0"/>
    <w:rsid w:val="00D20A92"/>
    <w:rsid w:val="00D21B3E"/>
    <w:rsid w:val="00D21FED"/>
    <w:rsid w:val="00D232A6"/>
    <w:rsid w:val="00D24251"/>
    <w:rsid w:val="00D340B2"/>
    <w:rsid w:val="00D343E2"/>
    <w:rsid w:val="00D361A2"/>
    <w:rsid w:val="00D415AC"/>
    <w:rsid w:val="00D44C2E"/>
    <w:rsid w:val="00D45414"/>
    <w:rsid w:val="00D47891"/>
    <w:rsid w:val="00D566BD"/>
    <w:rsid w:val="00D57A4D"/>
    <w:rsid w:val="00D60AA7"/>
    <w:rsid w:val="00D6435F"/>
    <w:rsid w:val="00D74D7B"/>
    <w:rsid w:val="00D75E28"/>
    <w:rsid w:val="00D772C2"/>
    <w:rsid w:val="00D8008E"/>
    <w:rsid w:val="00D82C45"/>
    <w:rsid w:val="00D908A8"/>
    <w:rsid w:val="00D90D91"/>
    <w:rsid w:val="00D977B6"/>
    <w:rsid w:val="00DA1B6D"/>
    <w:rsid w:val="00DA4A31"/>
    <w:rsid w:val="00DA7B04"/>
    <w:rsid w:val="00DB36C2"/>
    <w:rsid w:val="00DC169B"/>
    <w:rsid w:val="00DC2AB9"/>
    <w:rsid w:val="00DC63F0"/>
    <w:rsid w:val="00DD4863"/>
    <w:rsid w:val="00DD6EE5"/>
    <w:rsid w:val="00DE111C"/>
    <w:rsid w:val="00DE386C"/>
    <w:rsid w:val="00DE39A2"/>
    <w:rsid w:val="00DE4D35"/>
    <w:rsid w:val="00DE76CD"/>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CB1"/>
    <w:rsid w:val="00E40404"/>
    <w:rsid w:val="00E42E8F"/>
    <w:rsid w:val="00E459C6"/>
    <w:rsid w:val="00E47589"/>
    <w:rsid w:val="00E64915"/>
    <w:rsid w:val="00E661D4"/>
    <w:rsid w:val="00E70091"/>
    <w:rsid w:val="00E70DC2"/>
    <w:rsid w:val="00E720F5"/>
    <w:rsid w:val="00E76D47"/>
    <w:rsid w:val="00E849F7"/>
    <w:rsid w:val="00E90302"/>
    <w:rsid w:val="00E905BC"/>
    <w:rsid w:val="00E941DD"/>
    <w:rsid w:val="00E97396"/>
    <w:rsid w:val="00E97FAF"/>
    <w:rsid w:val="00EA082C"/>
    <w:rsid w:val="00EA185E"/>
    <w:rsid w:val="00EA30EB"/>
    <w:rsid w:val="00EA4BD7"/>
    <w:rsid w:val="00EA592A"/>
    <w:rsid w:val="00EA7B03"/>
    <w:rsid w:val="00EB14E4"/>
    <w:rsid w:val="00EB32A5"/>
    <w:rsid w:val="00EB34ED"/>
    <w:rsid w:val="00EB6516"/>
    <w:rsid w:val="00EB7BE0"/>
    <w:rsid w:val="00EC315E"/>
    <w:rsid w:val="00EC69C0"/>
    <w:rsid w:val="00EC71DF"/>
    <w:rsid w:val="00ED077C"/>
    <w:rsid w:val="00ED1190"/>
    <w:rsid w:val="00ED53FC"/>
    <w:rsid w:val="00ED6544"/>
    <w:rsid w:val="00EE0277"/>
    <w:rsid w:val="00EE3E00"/>
    <w:rsid w:val="00EE5DD2"/>
    <w:rsid w:val="00EF718A"/>
    <w:rsid w:val="00F00A79"/>
    <w:rsid w:val="00F00E86"/>
    <w:rsid w:val="00F01F4B"/>
    <w:rsid w:val="00F0742B"/>
    <w:rsid w:val="00F07C1E"/>
    <w:rsid w:val="00F105DB"/>
    <w:rsid w:val="00F132BC"/>
    <w:rsid w:val="00F13443"/>
    <w:rsid w:val="00F13D80"/>
    <w:rsid w:val="00F16AAA"/>
    <w:rsid w:val="00F21161"/>
    <w:rsid w:val="00F218EF"/>
    <w:rsid w:val="00F21BC7"/>
    <w:rsid w:val="00F266A2"/>
    <w:rsid w:val="00F310D6"/>
    <w:rsid w:val="00F32269"/>
    <w:rsid w:val="00F5432B"/>
    <w:rsid w:val="00F566A9"/>
    <w:rsid w:val="00F56A6F"/>
    <w:rsid w:val="00F5709C"/>
    <w:rsid w:val="00F62D18"/>
    <w:rsid w:val="00F63FF6"/>
    <w:rsid w:val="00F64EF1"/>
    <w:rsid w:val="00F66EA7"/>
    <w:rsid w:val="00F67681"/>
    <w:rsid w:val="00F67AEB"/>
    <w:rsid w:val="00F8765F"/>
    <w:rsid w:val="00F90767"/>
    <w:rsid w:val="00F90B10"/>
    <w:rsid w:val="00F91AFA"/>
    <w:rsid w:val="00F93802"/>
    <w:rsid w:val="00FA5339"/>
    <w:rsid w:val="00FA685B"/>
    <w:rsid w:val="00FB0C01"/>
    <w:rsid w:val="00FC18F2"/>
    <w:rsid w:val="00FC39E5"/>
    <w:rsid w:val="00FC3A78"/>
    <w:rsid w:val="00FD1005"/>
    <w:rsid w:val="00FD6C75"/>
    <w:rsid w:val="00FE64C9"/>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CD2292"/>
    <w:rPr>
      <w:sz w:val="24"/>
      <w:szCs w:val="24"/>
    </w:rPr>
  </w:style>
  <w:style w:type="paragraph" w:styleId="Heading1">
    <w:name w:val="heading 1"/>
    <w:basedOn w:val="Normal"/>
    <w:next w:val="Normal"/>
    <w:link w:val="Heading1Char"/>
    <w:uiPriority w:val="98"/>
    <w:semiHidden/>
    <w:rsid w:val="00CD229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CD229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CD229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CD229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CD229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CD229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CD229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CD229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CD229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CD2292"/>
    <w:rPr>
      <w:rFonts w:ascii="Tahoma" w:hAnsi="Tahoma" w:cs="Tahoma"/>
      <w:sz w:val="16"/>
      <w:szCs w:val="16"/>
    </w:rPr>
  </w:style>
  <w:style w:type="character" w:customStyle="1" w:styleId="BalloonTextChar">
    <w:name w:val="Balloon Text Char"/>
    <w:basedOn w:val="DefaultParagraphFont"/>
    <w:link w:val="BalloonText"/>
    <w:uiPriority w:val="98"/>
    <w:semiHidden/>
    <w:rsid w:val="00CD2292"/>
    <w:rPr>
      <w:rFonts w:ascii="Tahoma" w:hAnsi="Tahoma" w:cs="Tahoma"/>
      <w:sz w:val="16"/>
      <w:szCs w:val="16"/>
      <w:lang w:val="ro-RO"/>
    </w:rPr>
  </w:style>
  <w:style w:type="character" w:styleId="BookTitle">
    <w:name w:val="Book Title"/>
    <w:uiPriority w:val="98"/>
    <w:semiHidden/>
    <w:qFormat/>
    <w:rsid w:val="00CD2292"/>
    <w:rPr>
      <w:i/>
      <w:iCs/>
      <w:smallCaps/>
      <w:spacing w:val="5"/>
    </w:rPr>
  </w:style>
  <w:style w:type="paragraph" w:customStyle="1" w:styleId="JuHeader">
    <w:name w:val="Ju_Header"/>
    <w:aliases w:val="_Header"/>
    <w:basedOn w:val="Header"/>
    <w:uiPriority w:val="29"/>
    <w:qFormat/>
    <w:rsid w:val="00CD2292"/>
    <w:pPr>
      <w:tabs>
        <w:tab w:val="clear" w:pos="4536"/>
        <w:tab w:val="clear" w:pos="9072"/>
      </w:tabs>
      <w:jc w:val="center"/>
    </w:pPr>
    <w:rPr>
      <w:sz w:val="18"/>
    </w:rPr>
  </w:style>
  <w:style w:type="paragraph" w:customStyle="1" w:styleId="NormalJustified">
    <w:name w:val="Normal_Justified"/>
    <w:basedOn w:val="Normal"/>
    <w:semiHidden/>
    <w:rsid w:val="00CD2292"/>
    <w:pPr>
      <w:jc w:val="both"/>
    </w:pPr>
  </w:style>
  <w:style w:type="character" w:styleId="Strong">
    <w:name w:val="Strong"/>
    <w:uiPriority w:val="98"/>
    <w:semiHidden/>
    <w:qFormat/>
    <w:rsid w:val="00CD2292"/>
    <w:rPr>
      <w:b/>
      <w:bCs/>
    </w:rPr>
  </w:style>
  <w:style w:type="paragraph" w:styleId="NoSpacing">
    <w:name w:val="No Spacing"/>
    <w:basedOn w:val="Normal"/>
    <w:link w:val="NoSpacingChar"/>
    <w:uiPriority w:val="98"/>
    <w:semiHidden/>
    <w:qFormat/>
    <w:rsid w:val="00CD2292"/>
  </w:style>
  <w:style w:type="character" w:customStyle="1" w:styleId="NoSpacingChar">
    <w:name w:val="No Spacing Char"/>
    <w:basedOn w:val="DefaultParagraphFont"/>
    <w:link w:val="NoSpacing"/>
    <w:uiPriority w:val="98"/>
    <w:rsid w:val="00CD2292"/>
    <w:rPr>
      <w:sz w:val="24"/>
      <w:szCs w:val="24"/>
      <w:lang w:val="ro-RO"/>
    </w:rPr>
  </w:style>
  <w:style w:type="paragraph" w:customStyle="1" w:styleId="JuQuot">
    <w:name w:val="Ju_Quot"/>
    <w:aliases w:val="_Quote"/>
    <w:basedOn w:val="NormalJustified"/>
    <w:uiPriority w:val="20"/>
    <w:qFormat/>
    <w:rsid w:val="00CD2292"/>
    <w:pPr>
      <w:spacing w:before="120" w:after="120"/>
      <w:ind w:left="425" w:firstLine="142"/>
    </w:pPr>
    <w:rPr>
      <w:sz w:val="20"/>
    </w:rPr>
  </w:style>
  <w:style w:type="paragraph" w:customStyle="1" w:styleId="ECHRBullet1">
    <w:name w:val="ECHR_Bullet_1"/>
    <w:aliases w:val="_Bul_1"/>
    <w:basedOn w:val="NormalJustified"/>
    <w:uiPriority w:val="23"/>
    <w:semiHidden/>
    <w:qFormat/>
    <w:rsid w:val="00CD2292"/>
    <w:pPr>
      <w:numPr>
        <w:numId w:val="53"/>
      </w:numPr>
      <w:spacing w:before="60" w:after="60"/>
    </w:pPr>
  </w:style>
  <w:style w:type="paragraph" w:customStyle="1" w:styleId="JuList">
    <w:name w:val="Ju_List"/>
    <w:aliases w:val="_List_1"/>
    <w:basedOn w:val="NormalJustified"/>
    <w:uiPriority w:val="23"/>
    <w:qFormat/>
    <w:rsid w:val="00CD2292"/>
    <w:pPr>
      <w:numPr>
        <w:numId w:val="54"/>
      </w:numPr>
      <w:spacing w:before="280" w:after="60"/>
    </w:pPr>
  </w:style>
  <w:style w:type="paragraph" w:customStyle="1" w:styleId="JuLista">
    <w:name w:val="Ju_List_a"/>
    <w:aliases w:val="_List_2"/>
    <w:basedOn w:val="NormalJustified"/>
    <w:uiPriority w:val="23"/>
    <w:rsid w:val="00CD2292"/>
    <w:pPr>
      <w:numPr>
        <w:ilvl w:val="1"/>
        <w:numId w:val="54"/>
      </w:numPr>
    </w:pPr>
  </w:style>
  <w:style w:type="paragraph" w:customStyle="1" w:styleId="JuListi">
    <w:name w:val="Ju_List_i"/>
    <w:aliases w:val="_List_3"/>
    <w:basedOn w:val="NormalJustified"/>
    <w:uiPriority w:val="23"/>
    <w:rsid w:val="00CD2292"/>
    <w:pPr>
      <w:numPr>
        <w:ilvl w:val="2"/>
        <w:numId w:val="54"/>
      </w:numPr>
    </w:pPr>
  </w:style>
  <w:style w:type="paragraph" w:customStyle="1" w:styleId="JuHArticle">
    <w:name w:val="Ju_H_Article"/>
    <w:aliases w:val="_Title_Quote"/>
    <w:basedOn w:val="Normal"/>
    <w:next w:val="JuQuot"/>
    <w:uiPriority w:val="19"/>
    <w:qFormat/>
    <w:rsid w:val="00CD2292"/>
    <w:pPr>
      <w:keepNext/>
      <w:spacing w:before="100" w:beforeAutospacing="1" w:after="120"/>
      <w:contextualSpacing/>
      <w:jc w:val="center"/>
    </w:pPr>
    <w:rPr>
      <w:b/>
      <w:sz w:val="20"/>
    </w:rPr>
  </w:style>
  <w:style w:type="paragraph" w:customStyle="1" w:styleId="JuParaLast">
    <w:name w:val="Ju_Para_Last"/>
    <w:aliases w:val="_Para_Spaced"/>
    <w:basedOn w:val="NormalJustified"/>
    <w:uiPriority w:val="5"/>
    <w:qFormat/>
    <w:rsid w:val="00CD2292"/>
    <w:pPr>
      <w:keepNext/>
      <w:keepLines/>
      <w:spacing w:before="240" w:after="240"/>
      <w:ind w:firstLine="284"/>
    </w:pPr>
  </w:style>
  <w:style w:type="paragraph" w:customStyle="1" w:styleId="DecHTitle">
    <w:name w:val="Dec_H_Title"/>
    <w:aliases w:val="_Title_1"/>
    <w:basedOn w:val="JuPara"/>
    <w:next w:val="JuPara"/>
    <w:uiPriority w:val="38"/>
    <w:qFormat/>
    <w:rsid w:val="00CD2292"/>
    <w:pPr>
      <w:keepNext/>
      <w:keepLines/>
      <w:spacing w:after="240"/>
      <w:ind w:firstLine="0"/>
      <w:jc w:val="center"/>
      <w:outlineLvl w:val="0"/>
    </w:pPr>
    <w:rPr>
      <w:rFonts w:asciiTheme="majorHAnsi" w:hAnsiTheme="majorHAnsi"/>
      <w:sz w:val="28"/>
    </w:rPr>
  </w:style>
  <w:style w:type="paragraph" w:customStyle="1" w:styleId="JuHHead">
    <w:name w:val="Ju_H_Head"/>
    <w:aliases w:val="_Head_1"/>
    <w:basedOn w:val="Heading1"/>
    <w:next w:val="JuPara"/>
    <w:uiPriority w:val="17"/>
    <w:qFormat/>
    <w:rsid w:val="00CD2292"/>
    <w:pPr>
      <w:keepNext/>
      <w:keepLines/>
      <w:numPr>
        <w:numId w:val="52"/>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CD2292"/>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CD2292"/>
    <w:pPr>
      <w:keepNext/>
      <w:keepLines/>
      <w:tabs>
        <w:tab w:val="right" w:pos="7938"/>
      </w:tabs>
      <w:ind w:firstLine="0"/>
      <w:jc w:val="center"/>
    </w:pPr>
    <w:rPr>
      <w:i/>
    </w:rPr>
  </w:style>
  <w:style w:type="paragraph" w:styleId="Title">
    <w:name w:val="Title"/>
    <w:basedOn w:val="Normal"/>
    <w:next w:val="Normal"/>
    <w:link w:val="TitleChar"/>
    <w:uiPriority w:val="98"/>
    <w:semiHidden/>
    <w:qFormat/>
    <w:rsid w:val="00CD229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CD2292"/>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CD2292"/>
    <w:pPr>
      <w:numPr>
        <w:numId w:val="53"/>
      </w:numPr>
    </w:pPr>
  </w:style>
  <w:style w:type="numbering" w:customStyle="1" w:styleId="ECHRA1StyleList">
    <w:name w:val="ECHR_A1_Style_List"/>
    <w:basedOn w:val="NoList"/>
    <w:uiPriority w:val="99"/>
    <w:rsid w:val="00CD2292"/>
    <w:pPr>
      <w:numPr>
        <w:numId w:val="54"/>
      </w:numPr>
    </w:pPr>
  </w:style>
  <w:style w:type="numbering" w:customStyle="1" w:styleId="ECHRA1StyleNumberedList">
    <w:name w:val="ECHR_A1_Style_Numbered_List"/>
    <w:basedOn w:val="NoList"/>
    <w:rsid w:val="00CD2292"/>
    <w:pPr>
      <w:numPr>
        <w:numId w:val="55"/>
      </w:numPr>
    </w:pPr>
  </w:style>
  <w:style w:type="table" w:customStyle="1" w:styleId="ECHRTable2019">
    <w:name w:val="ECHR_Table_2019"/>
    <w:basedOn w:val="TableNormal"/>
    <w:uiPriority w:val="99"/>
    <w:rsid w:val="00CD2292"/>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F93802"/>
    <w:rPr>
      <w:sz w:val="8"/>
    </w:rPr>
  </w:style>
  <w:style w:type="paragraph" w:customStyle="1" w:styleId="JuHIRoman">
    <w:name w:val="Ju_H_I_Roman"/>
    <w:aliases w:val="_Head_2"/>
    <w:basedOn w:val="Heading2"/>
    <w:next w:val="JuPara"/>
    <w:uiPriority w:val="17"/>
    <w:qFormat/>
    <w:rsid w:val="00CD2292"/>
    <w:pPr>
      <w:keepNext/>
      <w:keepLines/>
      <w:numPr>
        <w:ilvl w:val="1"/>
        <w:numId w:val="5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CD2292"/>
    <w:pPr>
      <w:keepNext/>
      <w:keepLines/>
      <w:numPr>
        <w:ilvl w:val="2"/>
        <w:numId w:val="5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CD2292"/>
    <w:pPr>
      <w:keepNext/>
      <w:keepLines/>
      <w:numPr>
        <w:ilvl w:val="3"/>
        <w:numId w:val="52"/>
      </w:numPr>
      <w:spacing w:before="100" w:beforeAutospacing="1" w:after="120"/>
      <w:jc w:val="both"/>
    </w:pPr>
    <w:rPr>
      <w:b w:val="0"/>
      <w:color w:val="auto"/>
      <w:sz w:val="24"/>
    </w:rPr>
  </w:style>
  <w:style w:type="paragraph" w:styleId="Header">
    <w:name w:val="header"/>
    <w:basedOn w:val="Normal"/>
    <w:link w:val="HeaderChar"/>
    <w:uiPriority w:val="98"/>
    <w:semiHidden/>
    <w:rsid w:val="00CD2292"/>
    <w:pPr>
      <w:tabs>
        <w:tab w:val="center" w:pos="4536"/>
        <w:tab w:val="right" w:pos="9072"/>
      </w:tabs>
    </w:pPr>
  </w:style>
  <w:style w:type="character" w:customStyle="1" w:styleId="HeaderChar">
    <w:name w:val="Header Char"/>
    <w:basedOn w:val="DefaultParagraphFont"/>
    <w:link w:val="Header"/>
    <w:uiPriority w:val="98"/>
    <w:semiHidden/>
    <w:rsid w:val="00CD2292"/>
    <w:rPr>
      <w:sz w:val="24"/>
      <w:szCs w:val="24"/>
      <w:lang w:val="ro-RO"/>
    </w:rPr>
  </w:style>
  <w:style w:type="character" w:customStyle="1" w:styleId="Heading1Char">
    <w:name w:val="Heading 1 Char"/>
    <w:basedOn w:val="DefaultParagraphFont"/>
    <w:link w:val="Heading1"/>
    <w:uiPriority w:val="98"/>
    <w:rsid w:val="00CD2292"/>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CD2292"/>
    <w:pPr>
      <w:keepNext/>
      <w:keepLines/>
      <w:numPr>
        <w:ilvl w:val="4"/>
        <w:numId w:val="52"/>
      </w:numPr>
      <w:spacing w:before="100" w:beforeAutospacing="1" w:after="120"/>
      <w:jc w:val="both"/>
    </w:pPr>
    <w:rPr>
      <w:color w:val="auto"/>
      <w:sz w:val="20"/>
    </w:rPr>
  </w:style>
  <w:style w:type="paragraph" w:customStyle="1" w:styleId="JuHi">
    <w:name w:val="Ju_H_i"/>
    <w:aliases w:val="_Head_6"/>
    <w:basedOn w:val="Heading6"/>
    <w:next w:val="JuPara"/>
    <w:uiPriority w:val="17"/>
    <w:rsid w:val="00CD2292"/>
    <w:pPr>
      <w:keepNext/>
      <w:keepLines/>
      <w:numPr>
        <w:ilvl w:val="5"/>
        <w:numId w:val="5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CD2292"/>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CD2292"/>
    <w:pPr>
      <w:keepNext/>
      <w:keepLines/>
      <w:numPr>
        <w:ilvl w:val="6"/>
        <w:numId w:val="5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CD2292"/>
    <w:pPr>
      <w:keepNext/>
      <w:keepLines/>
      <w:numPr>
        <w:ilvl w:val="7"/>
        <w:numId w:val="52"/>
      </w:numPr>
      <w:spacing w:before="100" w:beforeAutospacing="1" w:after="120"/>
      <w:jc w:val="both"/>
    </w:pPr>
    <w:rPr>
      <w:i/>
    </w:rPr>
  </w:style>
  <w:style w:type="character" w:customStyle="1" w:styleId="Heading3Char">
    <w:name w:val="Heading 3 Char"/>
    <w:basedOn w:val="DefaultParagraphFont"/>
    <w:link w:val="Heading3"/>
    <w:uiPriority w:val="98"/>
    <w:semiHidden/>
    <w:rsid w:val="00CD2292"/>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CD2292"/>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CD2292"/>
    <w:pPr>
      <w:tabs>
        <w:tab w:val="center" w:pos="6407"/>
      </w:tabs>
      <w:spacing w:before="720"/>
      <w:jc w:val="right"/>
    </w:pPr>
  </w:style>
  <w:style w:type="character" w:customStyle="1" w:styleId="Heading4Char">
    <w:name w:val="Heading 4 Char"/>
    <w:basedOn w:val="DefaultParagraphFont"/>
    <w:link w:val="Heading4"/>
    <w:uiPriority w:val="98"/>
    <w:semiHidden/>
    <w:rsid w:val="00CD2292"/>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CD2292"/>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CD2292"/>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CD2292"/>
    <w:rPr>
      <w:caps w:val="0"/>
      <w:smallCaps/>
    </w:rPr>
  </w:style>
  <w:style w:type="paragraph" w:customStyle="1" w:styleId="JuSigned">
    <w:name w:val="Ju_Signed"/>
    <w:aliases w:val="_Signature"/>
    <w:basedOn w:val="Normal"/>
    <w:next w:val="JuPara"/>
    <w:uiPriority w:val="31"/>
    <w:qFormat/>
    <w:rsid w:val="00CD2292"/>
    <w:pPr>
      <w:tabs>
        <w:tab w:val="center" w:pos="1418"/>
        <w:tab w:val="center" w:pos="5954"/>
      </w:tabs>
      <w:spacing w:before="720"/>
    </w:pPr>
  </w:style>
  <w:style w:type="character" w:styleId="SubtleEmphasis">
    <w:name w:val="Subtle Emphasis"/>
    <w:uiPriority w:val="98"/>
    <w:semiHidden/>
    <w:qFormat/>
    <w:rsid w:val="00CD2292"/>
    <w:rPr>
      <w:i/>
      <w:iCs/>
    </w:rPr>
  </w:style>
  <w:style w:type="table" w:customStyle="1" w:styleId="ECHRTable">
    <w:name w:val="ECHR_Table"/>
    <w:basedOn w:val="TableNormal"/>
    <w:rsid w:val="00CD2292"/>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CD229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paragraph" w:styleId="Subtitle">
    <w:name w:val="Subtitle"/>
    <w:basedOn w:val="Normal"/>
    <w:next w:val="Normal"/>
    <w:link w:val="SubtitleChar"/>
    <w:uiPriority w:val="98"/>
    <w:semiHidden/>
    <w:qFormat/>
    <w:rsid w:val="00CD2292"/>
    <w:pPr>
      <w:spacing w:after="600"/>
    </w:pPr>
    <w:rPr>
      <w:rFonts w:asciiTheme="majorHAnsi" w:eastAsiaTheme="majorEastAsia" w:hAnsiTheme="majorHAnsi" w:cstheme="majorBidi"/>
      <w:i/>
      <w:iCs/>
      <w:spacing w:val="13"/>
      <w:lang w:bidi="en-US"/>
    </w:rPr>
  </w:style>
  <w:style w:type="character" w:styleId="Emphasis">
    <w:name w:val="Emphasis"/>
    <w:uiPriority w:val="98"/>
    <w:semiHidden/>
    <w:qFormat/>
    <w:rsid w:val="00CD2292"/>
    <w:rPr>
      <w:b/>
      <w:bCs/>
      <w:i/>
      <w:iCs/>
      <w:spacing w:val="10"/>
      <w:bdr w:val="none" w:sz="0" w:space="0" w:color="auto"/>
      <w:shd w:val="clear" w:color="auto" w:fill="auto"/>
    </w:rPr>
  </w:style>
  <w:style w:type="paragraph" w:styleId="Footer0">
    <w:name w:val="footer"/>
    <w:basedOn w:val="Normal"/>
    <w:link w:val="FooterChar"/>
    <w:uiPriority w:val="98"/>
    <w:semiHidden/>
    <w:rsid w:val="00CD2292"/>
    <w:pPr>
      <w:tabs>
        <w:tab w:val="center" w:pos="3686"/>
        <w:tab w:val="right" w:pos="7371"/>
      </w:tabs>
    </w:pPr>
  </w:style>
  <w:style w:type="character" w:customStyle="1" w:styleId="FooterChar">
    <w:name w:val="Footer Char"/>
    <w:basedOn w:val="DefaultParagraphFont"/>
    <w:link w:val="Footer0"/>
    <w:uiPriority w:val="98"/>
    <w:semiHidden/>
    <w:rsid w:val="00CD2292"/>
    <w:rPr>
      <w:sz w:val="24"/>
      <w:szCs w:val="24"/>
      <w:lang w:val="ro-RO"/>
    </w:rPr>
  </w:style>
  <w:style w:type="character" w:styleId="FootnoteReference">
    <w:name w:val="footnote reference"/>
    <w:basedOn w:val="DefaultParagraphFont"/>
    <w:uiPriority w:val="98"/>
    <w:semiHidden/>
    <w:rsid w:val="00CD2292"/>
    <w:rPr>
      <w:vertAlign w:val="superscript"/>
    </w:rPr>
  </w:style>
  <w:style w:type="paragraph" w:styleId="FootnoteText">
    <w:name w:val="footnote text"/>
    <w:basedOn w:val="NormalJustified"/>
    <w:link w:val="FootnoteTextChar"/>
    <w:uiPriority w:val="98"/>
    <w:semiHidden/>
    <w:rsid w:val="00CD2292"/>
    <w:rPr>
      <w:sz w:val="20"/>
      <w:szCs w:val="20"/>
    </w:rPr>
  </w:style>
  <w:style w:type="character" w:customStyle="1" w:styleId="FootnoteTextChar">
    <w:name w:val="Footnote Text Char"/>
    <w:basedOn w:val="DefaultParagraphFont"/>
    <w:link w:val="FootnoteText"/>
    <w:uiPriority w:val="98"/>
    <w:semiHidden/>
    <w:rsid w:val="00CD2292"/>
    <w:rPr>
      <w:sz w:val="20"/>
      <w:szCs w:val="20"/>
      <w:lang w:val="ro-RO"/>
    </w:rPr>
  </w:style>
  <w:style w:type="character" w:customStyle="1" w:styleId="Heading6Char">
    <w:name w:val="Heading 6 Char"/>
    <w:basedOn w:val="DefaultParagraphFont"/>
    <w:link w:val="Heading6"/>
    <w:uiPriority w:val="98"/>
    <w:semiHidden/>
    <w:rsid w:val="00CD229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CD229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CD229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CD229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CD2292"/>
    <w:rPr>
      <w:color w:val="0072BC" w:themeColor="hyperlink"/>
      <w:u w:val="single"/>
    </w:rPr>
  </w:style>
  <w:style w:type="character" w:styleId="IntenseEmphasis">
    <w:name w:val="Intense Emphasis"/>
    <w:uiPriority w:val="98"/>
    <w:semiHidden/>
    <w:qFormat/>
    <w:rsid w:val="00CD2292"/>
    <w:rPr>
      <w:b/>
      <w:bCs/>
    </w:rPr>
  </w:style>
  <w:style w:type="paragraph" w:styleId="IntenseQuote">
    <w:name w:val="Intense Quote"/>
    <w:basedOn w:val="Normal"/>
    <w:next w:val="Normal"/>
    <w:link w:val="IntenseQuoteChar"/>
    <w:uiPriority w:val="98"/>
    <w:semiHidden/>
    <w:qFormat/>
    <w:rsid w:val="00CD229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CD2292"/>
    <w:rPr>
      <w:b/>
      <w:bCs/>
      <w:i/>
      <w:iCs/>
      <w:sz w:val="24"/>
      <w:szCs w:val="24"/>
      <w:lang w:val="ro-RO" w:bidi="en-US"/>
    </w:rPr>
  </w:style>
  <w:style w:type="character" w:styleId="IntenseReference">
    <w:name w:val="Intense Reference"/>
    <w:uiPriority w:val="98"/>
    <w:semiHidden/>
    <w:qFormat/>
    <w:rsid w:val="00CD2292"/>
    <w:rPr>
      <w:smallCaps/>
      <w:spacing w:val="5"/>
      <w:u w:val="single"/>
    </w:rPr>
  </w:style>
  <w:style w:type="paragraph" w:styleId="ListParagraph">
    <w:name w:val="List Paragraph"/>
    <w:basedOn w:val="Normal"/>
    <w:uiPriority w:val="98"/>
    <w:semiHidden/>
    <w:qFormat/>
    <w:rsid w:val="00CD2292"/>
    <w:pPr>
      <w:ind w:left="720"/>
      <w:contextualSpacing/>
    </w:pPr>
  </w:style>
  <w:style w:type="table" w:customStyle="1" w:styleId="LtrTableAddress">
    <w:name w:val="Ltr_Table_Address"/>
    <w:aliases w:val="ECHR_Ltr_Table_Address"/>
    <w:basedOn w:val="TableNormal"/>
    <w:uiPriority w:val="99"/>
    <w:rsid w:val="00CD2292"/>
    <w:rPr>
      <w:sz w:val="24"/>
      <w:szCs w:val="24"/>
    </w:rPr>
    <w:tblPr>
      <w:tblInd w:w="5103" w:type="dxa"/>
    </w:tblPr>
  </w:style>
  <w:style w:type="paragraph" w:styleId="Quote">
    <w:name w:val="Quote"/>
    <w:basedOn w:val="Normal"/>
    <w:next w:val="Normal"/>
    <w:link w:val="QuoteChar"/>
    <w:uiPriority w:val="98"/>
    <w:semiHidden/>
    <w:qFormat/>
    <w:rsid w:val="00CD2292"/>
    <w:pPr>
      <w:spacing w:before="200"/>
      <w:ind w:left="360" w:right="360"/>
    </w:pPr>
    <w:rPr>
      <w:i/>
      <w:iCs/>
      <w:lang w:bidi="en-US"/>
    </w:rPr>
  </w:style>
  <w:style w:type="character" w:customStyle="1" w:styleId="QuoteChar">
    <w:name w:val="Quote Char"/>
    <w:basedOn w:val="DefaultParagraphFont"/>
    <w:link w:val="Quote"/>
    <w:uiPriority w:val="98"/>
    <w:rsid w:val="00CD2292"/>
    <w:rPr>
      <w:i/>
      <w:iCs/>
      <w:sz w:val="24"/>
      <w:szCs w:val="24"/>
      <w:lang w:val="ro-RO" w:bidi="en-US"/>
    </w:rPr>
  </w:style>
  <w:style w:type="character" w:styleId="SubtleReference">
    <w:name w:val="Subtle Reference"/>
    <w:uiPriority w:val="98"/>
    <w:semiHidden/>
    <w:qFormat/>
    <w:rsid w:val="00CD2292"/>
    <w:rPr>
      <w:smallCaps/>
    </w:rPr>
  </w:style>
  <w:style w:type="table" w:styleId="TableGrid">
    <w:name w:val="Table Grid"/>
    <w:basedOn w:val="TableNormal"/>
    <w:uiPriority w:val="59"/>
    <w:semiHidden/>
    <w:rsid w:val="00CD229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CD229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39"/>
    <w:rsid w:val="00CD229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CD229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CD229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CD229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CD2292"/>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CD229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CD229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CD2292"/>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D2292"/>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CD229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CD2292"/>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CD2292"/>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character" w:customStyle="1" w:styleId="SubtitleChar">
    <w:name w:val="Subtitle Char"/>
    <w:basedOn w:val="DefaultParagraphFont"/>
    <w:link w:val="Subtitle"/>
    <w:uiPriority w:val="98"/>
    <w:rsid w:val="00CD229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CD2292"/>
    <w:pPr>
      <w:numPr>
        <w:numId w:val="39"/>
      </w:numPr>
    </w:pPr>
  </w:style>
  <w:style w:type="numbering" w:styleId="1ai">
    <w:name w:val="Outline List 1"/>
    <w:basedOn w:val="NoList"/>
    <w:uiPriority w:val="99"/>
    <w:semiHidden/>
    <w:unhideWhenUsed/>
    <w:rsid w:val="00CD2292"/>
    <w:pPr>
      <w:numPr>
        <w:numId w:val="40"/>
      </w:numPr>
    </w:pPr>
  </w:style>
  <w:style w:type="paragraph" w:customStyle="1" w:styleId="JuPara">
    <w:name w:val="Ju_Para"/>
    <w:aliases w:val="_Para,ECHR_Para,First line:  0 cm,Left,Para"/>
    <w:basedOn w:val="NormalJustified"/>
    <w:link w:val="JuParaChar"/>
    <w:uiPriority w:val="4"/>
    <w:qFormat/>
    <w:rsid w:val="00CD2292"/>
    <w:pPr>
      <w:ind w:firstLine="284"/>
    </w:pPr>
  </w:style>
  <w:style w:type="numbering" w:styleId="ArticleSection">
    <w:name w:val="Outline List 3"/>
    <w:basedOn w:val="NoList"/>
    <w:uiPriority w:val="99"/>
    <w:semiHidden/>
    <w:unhideWhenUsed/>
    <w:rsid w:val="00CD2292"/>
    <w:pPr>
      <w:numPr>
        <w:numId w:val="41"/>
      </w:numPr>
    </w:pPr>
  </w:style>
  <w:style w:type="table" w:customStyle="1" w:styleId="ECHRTableSimpleBox">
    <w:name w:val="ECHR_Table_Simple_Box"/>
    <w:basedOn w:val="TableNormal"/>
    <w:uiPriority w:val="99"/>
    <w:rsid w:val="00CD2292"/>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CD2292"/>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paragraph" w:styleId="Bibliography">
    <w:name w:val="Bibliography"/>
    <w:basedOn w:val="Normal"/>
    <w:next w:val="Normal"/>
    <w:uiPriority w:val="98"/>
    <w:semiHidden/>
    <w:rsid w:val="00CD2292"/>
  </w:style>
  <w:style w:type="table" w:customStyle="1" w:styleId="ECHRTableForInternalUse">
    <w:name w:val="ECHR_Table_For_Internal_Use"/>
    <w:basedOn w:val="TableNormal"/>
    <w:uiPriority w:val="99"/>
    <w:rsid w:val="00CD2292"/>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CD2292"/>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lockText">
    <w:name w:val="Block Text"/>
    <w:basedOn w:val="Normal"/>
    <w:uiPriority w:val="98"/>
    <w:semiHidden/>
    <w:rsid w:val="00CD229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CD2292"/>
    <w:pPr>
      <w:spacing w:after="120"/>
    </w:pPr>
  </w:style>
  <w:style w:type="table" w:customStyle="1" w:styleId="ECHRHeaderTable">
    <w:name w:val="ECHR_Header_Table"/>
    <w:basedOn w:val="TableNormal"/>
    <w:uiPriority w:val="99"/>
    <w:rsid w:val="00CD2292"/>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character" w:customStyle="1" w:styleId="BodyTextChar">
    <w:name w:val="Body Text Char"/>
    <w:basedOn w:val="DefaultParagraphFont"/>
    <w:link w:val="BodyText"/>
    <w:uiPriority w:val="98"/>
    <w:semiHidden/>
    <w:rsid w:val="00CD2292"/>
    <w:rPr>
      <w:sz w:val="24"/>
      <w:szCs w:val="24"/>
      <w:lang w:val="ro-RO"/>
    </w:rPr>
  </w:style>
  <w:style w:type="paragraph" w:styleId="BodyText2">
    <w:name w:val="Body Text 2"/>
    <w:basedOn w:val="Normal"/>
    <w:link w:val="BodyText2Char"/>
    <w:uiPriority w:val="98"/>
    <w:semiHidden/>
    <w:rsid w:val="00CD2292"/>
    <w:pPr>
      <w:spacing w:after="120" w:line="480" w:lineRule="auto"/>
    </w:pPr>
  </w:style>
  <w:style w:type="table" w:customStyle="1" w:styleId="ECHRTableOddBanded">
    <w:name w:val="ECHR_Table_Odd_Banded"/>
    <w:basedOn w:val="TableNormal"/>
    <w:uiPriority w:val="99"/>
    <w:rsid w:val="00CD2292"/>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JuJudges">
    <w:name w:val="Ju_Judges"/>
    <w:aliases w:val="_Judges"/>
    <w:basedOn w:val="Normal"/>
    <w:uiPriority w:val="32"/>
    <w:qFormat/>
    <w:rsid w:val="00CD2292"/>
    <w:pPr>
      <w:tabs>
        <w:tab w:val="left" w:pos="567"/>
        <w:tab w:val="left" w:pos="1134"/>
      </w:tabs>
    </w:pPr>
  </w:style>
  <w:style w:type="table" w:customStyle="1" w:styleId="ECHRHeaderTableReduced">
    <w:name w:val="ECHR_Header_Table_Reduced"/>
    <w:basedOn w:val="TableNormal"/>
    <w:uiPriority w:val="99"/>
    <w:rsid w:val="00CD229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CD2292"/>
    <w:pPr>
      <w:ind w:firstLine="284"/>
    </w:pPr>
    <w:rPr>
      <w:b/>
    </w:rPr>
  </w:style>
  <w:style w:type="character" w:styleId="PageNumber">
    <w:name w:val="page number"/>
    <w:uiPriority w:val="98"/>
    <w:semiHidden/>
    <w:rsid w:val="00CD2292"/>
    <w:rPr>
      <w:sz w:val="18"/>
    </w:rPr>
  </w:style>
  <w:style w:type="paragraph" w:styleId="ListBullet2">
    <w:name w:val="List Bullet 2"/>
    <w:basedOn w:val="Normal"/>
    <w:uiPriority w:val="98"/>
    <w:semiHidden/>
    <w:rsid w:val="00CD2292"/>
    <w:pPr>
      <w:numPr>
        <w:numId w:val="43"/>
      </w:numPr>
      <w:contextualSpacing/>
    </w:pPr>
  </w:style>
  <w:style w:type="character" w:customStyle="1" w:styleId="BodyText2Char">
    <w:name w:val="Body Text 2 Char"/>
    <w:basedOn w:val="DefaultParagraphFont"/>
    <w:link w:val="BodyText2"/>
    <w:uiPriority w:val="98"/>
    <w:semiHidden/>
    <w:rsid w:val="00CD2292"/>
    <w:rPr>
      <w:sz w:val="24"/>
      <w:szCs w:val="24"/>
      <w:lang w:val="ro-RO"/>
    </w:rPr>
  </w:style>
  <w:style w:type="paragraph" w:styleId="BodyText3">
    <w:name w:val="Body Text 3"/>
    <w:basedOn w:val="Normal"/>
    <w:link w:val="BodyText3Char"/>
    <w:uiPriority w:val="98"/>
    <w:semiHidden/>
    <w:rsid w:val="00CD2292"/>
    <w:pPr>
      <w:spacing w:after="120"/>
    </w:pPr>
    <w:rPr>
      <w:sz w:val="16"/>
      <w:szCs w:val="16"/>
    </w:rPr>
  </w:style>
  <w:style w:type="character" w:customStyle="1" w:styleId="BodyText3Char">
    <w:name w:val="Body Text 3 Char"/>
    <w:basedOn w:val="DefaultParagraphFont"/>
    <w:link w:val="BodyText3"/>
    <w:uiPriority w:val="98"/>
    <w:semiHidden/>
    <w:rsid w:val="00CD2292"/>
    <w:rPr>
      <w:sz w:val="16"/>
      <w:szCs w:val="16"/>
      <w:lang w:val="ro-RO"/>
    </w:rPr>
  </w:style>
  <w:style w:type="paragraph" w:styleId="BodyTextFirstIndent">
    <w:name w:val="Body Text First Indent"/>
    <w:basedOn w:val="BodyText"/>
    <w:link w:val="BodyTextFirstIndentChar"/>
    <w:uiPriority w:val="98"/>
    <w:semiHidden/>
    <w:rsid w:val="00CD2292"/>
    <w:pPr>
      <w:spacing w:after="0"/>
      <w:ind w:firstLine="360"/>
    </w:pPr>
  </w:style>
  <w:style w:type="character" w:customStyle="1" w:styleId="BodyTextFirstIndentChar">
    <w:name w:val="Body Text First Indent Char"/>
    <w:basedOn w:val="BodyTextChar"/>
    <w:link w:val="BodyTextFirstIndent"/>
    <w:uiPriority w:val="98"/>
    <w:semiHidden/>
    <w:rsid w:val="00CD2292"/>
    <w:rPr>
      <w:sz w:val="24"/>
      <w:szCs w:val="24"/>
      <w:lang w:val="ro-RO"/>
    </w:rPr>
  </w:style>
  <w:style w:type="paragraph" w:styleId="BodyTextIndent">
    <w:name w:val="Body Text Indent"/>
    <w:basedOn w:val="Normal"/>
    <w:link w:val="BodyTextIndentChar"/>
    <w:uiPriority w:val="98"/>
    <w:semiHidden/>
    <w:rsid w:val="00CD2292"/>
    <w:pPr>
      <w:spacing w:after="120"/>
      <w:ind w:left="283"/>
    </w:pPr>
  </w:style>
  <w:style w:type="character" w:customStyle="1" w:styleId="BodyTextIndentChar">
    <w:name w:val="Body Text Indent Char"/>
    <w:basedOn w:val="DefaultParagraphFont"/>
    <w:link w:val="BodyTextIndent"/>
    <w:uiPriority w:val="98"/>
    <w:semiHidden/>
    <w:rsid w:val="00CD2292"/>
    <w:rPr>
      <w:sz w:val="24"/>
      <w:szCs w:val="24"/>
      <w:lang w:val="ro-RO"/>
    </w:rPr>
  </w:style>
  <w:style w:type="paragraph" w:styleId="BodyTextFirstIndent2">
    <w:name w:val="Body Text First Indent 2"/>
    <w:basedOn w:val="BodyTextIndent"/>
    <w:link w:val="BodyTextFirstIndent2Char"/>
    <w:uiPriority w:val="98"/>
    <w:semiHidden/>
    <w:rsid w:val="00CD2292"/>
    <w:pPr>
      <w:spacing w:after="0"/>
      <w:ind w:left="360" w:firstLine="360"/>
    </w:pPr>
  </w:style>
  <w:style w:type="character" w:customStyle="1" w:styleId="BodyTextFirstIndent2Char">
    <w:name w:val="Body Text First Indent 2 Char"/>
    <w:basedOn w:val="BodyTextIndentChar"/>
    <w:link w:val="BodyTextFirstIndent2"/>
    <w:uiPriority w:val="98"/>
    <w:semiHidden/>
    <w:rsid w:val="00CD2292"/>
    <w:rPr>
      <w:sz w:val="24"/>
      <w:szCs w:val="24"/>
      <w:lang w:val="ro-RO"/>
    </w:rPr>
  </w:style>
  <w:style w:type="paragraph" w:styleId="BodyTextIndent2">
    <w:name w:val="Body Text Indent 2"/>
    <w:basedOn w:val="Normal"/>
    <w:link w:val="BodyTextIndent2Char"/>
    <w:uiPriority w:val="98"/>
    <w:semiHidden/>
    <w:rsid w:val="00CD2292"/>
    <w:pPr>
      <w:spacing w:after="120" w:line="480" w:lineRule="auto"/>
      <w:ind w:left="283"/>
    </w:pPr>
  </w:style>
  <w:style w:type="character" w:customStyle="1" w:styleId="BodyTextIndent2Char">
    <w:name w:val="Body Text Indent 2 Char"/>
    <w:basedOn w:val="DefaultParagraphFont"/>
    <w:link w:val="BodyTextIndent2"/>
    <w:uiPriority w:val="98"/>
    <w:semiHidden/>
    <w:rsid w:val="00CD2292"/>
    <w:rPr>
      <w:sz w:val="24"/>
      <w:szCs w:val="24"/>
      <w:lang w:val="ro-RO"/>
    </w:rPr>
  </w:style>
  <w:style w:type="paragraph" w:styleId="BodyTextIndent3">
    <w:name w:val="Body Text Indent 3"/>
    <w:basedOn w:val="Normal"/>
    <w:link w:val="BodyTextIndent3Char"/>
    <w:uiPriority w:val="98"/>
    <w:semiHidden/>
    <w:rsid w:val="00CD229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CD2292"/>
    <w:rPr>
      <w:sz w:val="16"/>
      <w:szCs w:val="16"/>
      <w:lang w:val="ro-RO"/>
    </w:rPr>
  </w:style>
  <w:style w:type="paragraph" w:styleId="Caption">
    <w:name w:val="caption"/>
    <w:basedOn w:val="Normal"/>
    <w:next w:val="Normal"/>
    <w:uiPriority w:val="98"/>
    <w:semiHidden/>
    <w:qFormat/>
    <w:rsid w:val="00CD2292"/>
    <w:pPr>
      <w:spacing w:after="200"/>
    </w:pPr>
    <w:rPr>
      <w:b/>
      <w:bCs/>
      <w:color w:val="0072BC" w:themeColor="accent1"/>
      <w:sz w:val="18"/>
      <w:szCs w:val="18"/>
    </w:rPr>
  </w:style>
  <w:style w:type="paragraph" w:styleId="Closing">
    <w:name w:val="Closing"/>
    <w:basedOn w:val="Normal"/>
    <w:link w:val="ClosingChar"/>
    <w:uiPriority w:val="98"/>
    <w:semiHidden/>
    <w:rsid w:val="00CD2292"/>
    <w:pPr>
      <w:ind w:left="4252"/>
    </w:pPr>
  </w:style>
  <w:style w:type="character" w:customStyle="1" w:styleId="ClosingChar">
    <w:name w:val="Closing Char"/>
    <w:basedOn w:val="DefaultParagraphFont"/>
    <w:link w:val="Closing"/>
    <w:uiPriority w:val="98"/>
    <w:semiHidden/>
    <w:rsid w:val="00CD2292"/>
    <w:rPr>
      <w:sz w:val="24"/>
      <w:szCs w:val="24"/>
      <w:lang w:val="ro-RO"/>
    </w:rPr>
  </w:style>
  <w:style w:type="table" w:styleId="ColorfulGrid">
    <w:name w:val="Colorful Grid"/>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CD2292"/>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CD2292"/>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D2292"/>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CD2292"/>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CD2292"/>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CD2292"/>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CD2292"/>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CD2292"/>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CD229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D229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D229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D2292"/>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CD2292"/>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D229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D229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CD2292"/>
    <w:rPr>
      <w:sz w:val="20"/>
      <w:szCs w:val="20"/>
      <w:lang w:val="ro-RO"/>
    </w:rPr>
  </w:style>
  <w:style w:type="paragraph" w:styleId="CommentSubject">
    <w:name w:val="annotation subject"/>
    <w:basedOn w:val="CommentText"/>
    <w:next w:val="CommentText"/>
    <w:link w:val="CommentSubjectChar"/>
    <w:uiPriority w:val="98"/>
    <w:semiHidden/>
    <w:rsid w:val="00CD2292"/>
    <w:rPr>
      <w:b/>
      <w:bCs/>
    </w:rPr>
  </w:style>
  <w:style w:type="character" w:customStyle="1" w:styleId="CommentSubjectChar">
    <w:name w:val="Comment Subject Char"/>
    <w:basedOn w:val="CommentTextChar"/>
    <w:link w:val="CommentSubject"/>
    <w:uiPriority w:val="98"/>
    <w:semiHidden/>
    <w:rsid w:val="00CD2292"/>
    <w:rPr>
      <w:b/>
      <w:bCs/>
      <w:sz w:val="20"/>
      <w:szCs w:val="20"/>
      <w:lang w:val="ro-RO"/>
    </w:rPr>
  </w:style>
  <w:style w:type="table" w:styleId="DarkList">
    <w:name w:val="Dark List"/>
    <w:basedOn w:val="TableNormal"/>
    <w:uiPriority w:val="70"/>
    <w:semiHidden/>
    <w:rsid w:val="00CD2292"/>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D2292"/>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CD2292"/>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CD2292"/>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CD2292"/>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CD2292"/>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CD2292"/>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CD2292"/>
  </w:style>
  <w:style w:type="character" w:customStyle="1" w:styleId="DateChar">
    <w:name w:val="Date Char"/>
    <w:basedOn w:val="DefaultParagraphFont"/>
    <w:link w:val="Date"/>
    <w:uiPriority w:val="98"/>
    <w:semiHidden/>
    <w:rsid w:val="00CD2292"/>
    <w:rPr>
      <w:sz w:val="24"/>
      <w:szCs w:val="24"/>
      <w:lang w:val="ro-RO"/>
    </w:rPr>
  </w:style>
  <w:style w:type="paragraph" w:styleId="DocumentMap">
    <w:name w:val="Document Map"/>
    <w:basedOn w:val="Normal"/>
    <w:link w:val="DocumentMapChar"/>
    <w:uiPriority w:val="98"/>
    <w:semiHidden/>
    <w:rsid w:val="00CD2292"/>
    <w:rPr>
      <w:rFonts w:ascii="Tahoma" w:hAnsi="Tahoma" w:cs="Tahoma"/>
      <w:sz w:val="16"/>
      <w:szCs w:val="16"/>
    </w:rPr>
  </w:style>
  <w:style w:type="character" w:customStyle="1" w:styleId="DocumentMapChar">
    <w:name w:val="Document Map Char"/>
    <w:basedOn w:val="DefaultParagraphFont"/>
    <w:link w:val="DocumentMap"/>
    <w:uiPriority w:val="98"/>
    <w:semiHidden/>
    <w:rsid w:val="00CD2292"/>
    <w:rPr>
      <w:rFonts w:ascii="Tahoma" w:hAnsi="Tahoma" w:cs="Tahoma"/>
      <w:sz w:val="16"/>
      <w:szCs w:val="16"/>
      <w:lang w:val="ro-RO"/>
    </w:rPr>
  </w:style>
  <w:style w:type="paragraph" w:styleId="E-mailSignature">
    <w:name w:val="E-mail Signature"/>
    <w:basedOn w:val="Normal"/>
    <w:link w:val="E-mailSignatureChar"/>
    <w:uiPriority w:val="98"/>
    <w:semiHidden/>
    <w:rsid w:val="00CD2292"/>
  </w:style>
  <w:style w:type="character" w:customStyle="1" w:styleId="E-mailSignatureChar">
    <w:name w:val="E-mail Signature Char"/>
    <w:basedOn w:val="DefaultParagraphFont"/>
    <w:link w:val="E-mailSignature"/>
    <w:uiPriority w:val="98"/>
    <w:semiHidden/>
    <w:rsid w:val="00CD2292"/>
    <w:rPr>
      <w:sz w:val="24"/>
      <w:szCs w:val="24"/>
      <w:lang w:val="ro-RO"/>
    </w:rPr>
  </w:style>
  <w:style w:type="character" w:styleId="EndnoteReference">
    <w:name w:val="endnote reference"/>
    <w:basedOn w:val="DefaultParagraphFont"/>
    <w:uiPriority w:val="98"/>
    <w:semiHidden/>
    <w:rsid w:val="00CD2292"/>
    <w:rPr>
      <w:vertAlign w:val="superscript"/>
    </w:rPr>
  </w:style>
  <w:style w:type="paragraph" w:styleId="EndnoteText">
    <w:name w:val="endnote text"/>
    <w:basedOn w:val="Normal"/>
    <w:link w:val="EndnoteTextChar"/>
    <w:uiPriority w:val="98"/>
    <w:semiHidden/>
    <w:rsid w:val="00CD2292"/>
    <w:rPr>
      <w:sz w:val="20"/>
      <w:szCs w:val="20"/>
    </w:rPr>
  </w:style>
  <w:style w:type="character" w:customStyle="1" w:styleId="EndnoteTextChar">
    <w:name w:val="Endnote Text Char"/>
    <w:basedOn w:val="DefaultParagraphFont"/>
    <w:link w:val="EndnoteText"/>
    <w:uiPriority w:val="98"/>
    <w:semiHidden/>
    <w:rsid w:val="00CD2292"/>
    <w:rPr>
      <w:sz w:val="20"/>
      <w:szCs w:val="20"/>
      <w:lang w:val="ro-RO"/>
    </w:rPr>
  </w:style>
  <w:style w:type="paragraph" w:styleId="EnvelopeAddress">
    <w:name w:val="envelope address"/>
    <w:basedOn w:val="Normal"/>
    <w:uiPriority w:val="98"/>
    <w:semiHidden/>
    <w:rsid w:val="00CD229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CD229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CD2292"/>
    <w:rPr>
      <w:color w:val="7030A0" w:themeColor="followedHyperlink"/>
      <w:u w:val="single"/>
    </w:rPr>
  </w:style>
  <w:style w:type="character" w:styleId="HTMLAcronym">
    <w:name w:val="HTML Acronym"/>
    <w:basedOn w:val="DefaultParagraphFont"/>
    <w:uiPriority w:val="98"/>
    <w:semiHidden/>
    <w:rsid w:val="00CD2292"/>
  </w:style>
  <w:style w:type="paragraph" w:styleId="HTMLAddress">
    <w:name w:val="HTML Address"/>
    <w:basedOn w:val="Normal"/>
    <w:link w:val="HTMLAddressChar"/>
    <w:uiPriority w:val="98"/>
    <w:semiHidden/>
    <w:rsid w:val="00CD2292"/>
    <w:rPr>
      <w:i/>
      <w:iCs/>
    </w:rPr>
  </w:style>
  <w:style w:type="character" w:customStyle="1" w:styleId="HTMLAddressChar">
    <w:name w:val="HTML Address Char"/>
    <w:basedOn w:val="DefaultParagraphFont"/>
    <w:link w:val="HTMLAddress"/>
    <w:uiPriority w:val="98"/>
    <w:semiHidden/>
    <w:rsid w:val="00CD2292"/>
    <w:rPr>
      <w:i/>
      <w:iCs/>
      <w:sz w:val="24"/>
      <w:szCs w:val="24"/>
      <w:lang w:val="ro-RO"/>
    </w:rPr>
  </w:style>
  <w:style w:type="character" w:styleId="HTMLCite">
    <w:name w:val="HTML Cite"/>
    <w:basedOn w:val="DefaultParagraphFont"/>
    <w:uiPriority w:val="98"/>
    <w:semiHidden/>
    <w:rsid w:val="00CD2292"/>
    <w:rPr>
      <w:i/>
      <w:iCs/>
    </w:rPr>
  </w:style>
  <w:style w:type="character" w:styleId="HTMLCode">
    <w:name w:val="HTML Code"/>
    <w:basedOn w:val="DefaultParagraphFont"/>
    <w:uiPriority w:val="98"/>
    <w:semiHidden/>
    <w:rsid w:val="00CD2292"/>
    <w:rPr>
      <w:rFonts w:ascii="Consolas" w:hAnsi="Consolas" w:cs="Consolas"/>
      <w:sz w:val="20"/>
      <w:szCs w:val="20"/>
    </w:rPr>
  </w:style>
  <w:style w:type="character" w:styleId="HTMLDefinition">
    <w:name w:val="HTML Definition"/>
    <w:basedOn w:val="DefaultParagraphFont"/>
    <w:uiPriority w:val="98"/>
    <w:semiHidden/>
    <w:rsid w:val="00CD2292"/>
    <w:rPr>
      <w:i/>
      <w:iCs/>
    </w:rPr>
  </w:style>
  <w:style w:type="character" w:styleId="HTMLKeyboard">
    <w:name w:val="HTML Keyboard"/>
    <w:basedOn w:val="DefaultParagraphFont"/>
    <w:uiPriority w:val="98"/>
    <w:semiHidden/>
    <w:rsid w:val="00CD2292"/>
    <w:rPr>
      <w:rFonts w:ascii="Consolas" w:hAnsi="Consolas" w:cs="Consolas"/>
      <w:sz w:val="20"/>
      <w:szCs w:val="20"/>
    </w:rPr>
  </w:style>
  <w:style w:type="paragraph" w:styleId="HTMLPreformatted">
    <w:name w:val="HTML Preformatted"/>
    <w:basedOn w:val="Normal"/>
    <w:link w:val="HTMLPreformattedChar"/>
    <w:uiPriority w:val="98"/>
    <w:semiHidden/>
    <w:rsid w:val="00CD229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CD2292"/>
    <w:rPr>
      <w:rFonts w:ascii="Consolas" w:hAnsi="Consolas" w:cs="Consolas"/>
      <w:sz w:val="20"/>
      <w:szCs w:val="20"/>
      <w:lang w:val="ro-RO"/>
    </w:rPr>
  </w:style>
  <w:style w:type="character" w:styleId="HTMLSample">
    <w:name w:val="HTML Sample"/>
    <w:basedOn w:val="DefaultParagraphFont"/>
    <w:uiPriority w:val="98"/>
    <w:semiHidden/>
    <w:rsid w:val="00CD2292"/>
    <w:rPr>
      <w:rFonts w:ascii="Consolas" w:hAnsi="Consolas" w:cs="Consolas"/>
      <w:sz w:val="24"/>
      <w:szCs w:val="24"/>
    </w:rPr>
  </w:style>
  <w:style w:type="character" w:styleId="HTMLTypewriter">
    <w:name w:val="HTML Typewriter"/>
    <w:basedOn w:val="DefaultParagraphFont"/>
    <w:uiPriority w:val="98"/>
    <w:semiHidden/>
    <w:rsid w:val="00CD2292"/>
    <w:rPr>
      <w:rFonts w:ascii="Consolas" w:hAnsi="Consolas" w:cs="Consolas"/>
      <w:sz w:val="20"/>
      <w:szCs w:val="20"/>
    </w:rPr>
  </w:style>
  <w:style w:type="character" w:styleId="HTMLVariable">
    <w:name w:val="HTML Variable"/>
    <w:basedOn w:val="DefaultParagraphFont"/>
    <w:uiPriority w:val="98"/>
    <w:semiHidden/>
    <w:rsid w:val="00CD2292"/>
    <w:rPr>
      <w:i/>
      <w:iCs/>
    </w:rPr>
  </w:style>
  <w:style w:type="paragraph" w:styleId="Index1">
    <w:name w:val="index 1"/>
    <w:basedOn w:val="Normal"/>
    <w:next w:val="Normal"/>
    <w:autoRedefine/>
    <w:uiPriority w:val="98"/>
    <w:semiHidden/>
    <w:rsid w:val="00CD2292"/>
    <w:pPr>
      <w:ind w:left="240" w:hanging="240"/>
    </w:pPr>
  </w:style>
  <w:style w:type="paragraph" w:styleId="Index2">
    <w:name w:val="index 2"/>
    <w:basedOn w:val="Normal"/>
    <w:next w:val="Normal"/>
    <w:autoRedefine/>
    <w:uiPriority w:val="98"/>
    <w:semiHidden/>
    <w:rsid w:val="00CD2292"/>
    <w:pPr>
      <w:ind w:left="480" w:hanging="240"/>
    </w:pPr>
  </w:style>
  <w:style w:type="paragraph" w:styleId="Index3">
    <w:name w:val="index 3"/>
    <w:basedOn w:val="Normal"/>
    <w:next w:val="Normal"/>
    <w:autoRedefine/>
    <w:uiPriority w:val="98"/>
    <w:semiHidden/>
    <w:rsid w:val="00CD2292"/>
    <w:pPr>
      <w:ind w:left="720" w:hanging="240"/>
    </w:pPr>
  </w:style>
  <w:style w:type="paragraph" w:styleId="Index4">
    <w:name w:val="index 4"/>
    <w:basedOn w:val="Normal"/>
    <w:next w:val="Normal"/>
    <w:autoRedefine/>
    <w:uiPriority w:val="98"/>
    <w:semiHidden/>
    <w:rsid w:val="00CD2292"/>
    <w:pPr>
      <w:ind w:left="960" w:hanging="240"/>
    </w:pPr>
  </w:style>
  <w:style w:type="paragraph" w:styleId="Index5">
    <w:name w:val="index 5"/>
    <w:basedOn w:val="Normal"/>
    <w:next w:val="Normal"/>
    <w:autoRedefine/>
    <w:uiPriority w:val="98"/>
    <w:semiHidden/>
    <w:rsid w:val="00CD2292"/>
    <w:pPr>
      <w:ind w:left="1200" w:hanging="240"/>
    </w:pPr>
  </w:style>
  <w:style w:type="paragraph" w:styleId="Index6">
    <w:name w:val="index 6"/>
    <w:basedOn w:val="Normal"/>
    <w:next w:val="Normal"/>
    <w:autoRedefine/>
    <w:uiPriority w:val="98"/>
    <w:semiHidden/>
    <w:rsid w:val="00CD2292"/>
    <w:pPr>
      <w:ind w:left="1440" w:hanging="240"/>
    </w:pPr>
  </w:style>
  <w:style w:type="paragraph" w:styleId="Index7">
    <w:name w:val="index 7"/>
    <w:basedOn w:val="Normal"/>
    <w:next w:val="Normal"/>
    <w:autoRedefine/>
    <w:uiPriority w:val="98"/>
    <w:semiHidden/>
    <w:rsid w:val="00CD2292"/>
    <w:pPr>
      <w:ind w:left="1680" w:hanging="240"/>
    </w:pPr>
  </w:style>
  <w:style w:type="paragraph" w:styleId="Index8">
    <w:name w:val="index 8"/>
    <w:basedOn w:val="Normal"/>
    <w:next w:val="Normal"/>
    <w:autoRedefine/>
    <w:uiPriority w:val="98"/>
    <w:semiHidden/>
    <w:rsid w:val="00CD2292"/>
    <w:pPr>
      <w:ind w:left="1920" w:hanging="240"/>
    </w:pPr>
  </w:style>
  <w:style w:type="paragraph" w:styleId="Index9">
    <w:name w:val="index 9"/>
    <w:basedOn w:val="Normal"/>
    <w:next w:val="Normal"/>
    <w:autoRedefine/>
    <w:uiPriority w:val="98"/>
    <w:semiHidden/>
    <w:rsid w:val="00CD2292"/>
    <w:pPr>
      <w:ind w:left="2160" w:hanging="240"/>
    </w:pPr>
  </w:style>
  <w:style w:type="paragraph" w:styleId="IndexHeading">
    <w:name w:val="index heading"/>
    <w:basedOn w:val="Normal"/>
    <w:next w:val="Index1"/>
    <w:uiPriority w:val="98"/>
    <w:semiHidden/>
    <w:rsid w:val="00CD2292"/>
    <w:rPr>
      <w:rFonts w:asciiTheme="majorHAnsi" w:eastAsiaTheme="majorEastAsia" w:hAnsiTheme="majorHAnsi" w:cstheme="majorBidi"/>
      <w:b/>
      <w:bCs/>
    </w:rPr>
  </w:style>
  <w:style w:type="table" w:styleId="LightGrid">
    <w:name w:val="Light Grid"/>
    <w:basedOn w:val="TableNormal"/>
    <w:uiPriority w:val="62"/>
    <w:semiHidden/>
    <w:rsid w:val="00CD229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D229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CD229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CD2292"/>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CD229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CD229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CD229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CD229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D229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CD229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CD2292"/>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CD229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CD229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CD229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CD229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D229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CD229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CD2292"/>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CD229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CD229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CD229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CD2292"/>
  </w:style>
  <w:style w:type="paragraph" w:styleId="List">
    <w:name w:val="List"/>
    <w:basedOn w:val="Normal"/>
    <w:uiPriority w:val="98"/>
    <w:semiHidden/>
    <w:rsid w:val="00CD2292"/>
    <w:pPr>
      <w:ind w:left="283" w:hanging="283"/>
      <w:contextualSpacing/>
    </w:pPr>
  </w:style>
  <w:style w:type="paragraph" w:styleId="List2">
    <w:name w:val="List 2"/>
    <w:basedOn w:val="Normal"/>
    <w:uiPriority w:val="98"/>
    <w:semiHidden/>
    <w:rsid w:val="00CD2292"/>
    <w:pPr>
      <w:ind w:left="566" w:hanging="283"/>
      <w:contextualSpacing/>
    </w:pPr>
  </w:style>
  <w:style w:type="paragraph" w:styleId="List3">
    <w:name w:val="List 3"/>
    <w:basedOn w:val="Normal"/>
    <w:uiPriority w:val="98"/>
    <w:semiHidden/>
    <w:rsid w:val="00CD2292"/>
    <w:pPr>
      <w:ind w:left="849" w:hanging="283"/>
      <w:contextualSpacing/>
    </w:pPr>
  </w:style>
  <w:style w:type="paragraph" w:styleId="List4">
    <w:name w:val="List 4"/>
    <w:basedOn w:val="Normal"/>
    <w:uiPriority w:val="98"/>
    <w:semiHidden/>
    <w:rsid w:val="00CD2292"/>
    <w:pPr>
      <w:ind w:left="1132" w:hanging="283"/>
      <w:contextualSpacing/>
    </w:pPr>
  </w:style>
  <w:style w:type="paragraph" w:styleId="List5">
    <w:name w:val="List 5"/>
    <w:basedOn w:val="Normal"/>
    <w:uiPriority w:val="98"/>
    <w:semiHidden/>
    <w:rsid w:val="00CD2292"/>
    <w:pPr>
      <w:ind w:left="1415" w:hanging="283"/>
      <w:contextualSpacing/>
    </w:pPr>
  </w:style>
  <w:style w:type="paragraph" w:styleId="ListBullet">
    <w:name w:val="List Bullet"/>
    <w:basedOn w:val="Normal"/>
    <w:uiPriority w:val="98"/>
    <w:semiHidden/>
    <w:rsid w:val="00CD2292"/>
    <w:pPr>
      <w:numPr>
        <w:numId w:val="42"/>
      </w:numPr>
    </w:pPr>
  </w:style>
  <w:style w:type="paragraph" w:styleId="ListBullet3">
    <w:name w:val="List Bullet 3"/>
    <w:basedOn w:val="Normal"/>
    <w:uiPriority w:val="98"/>
    <w:semiHidden/>
    <w:rsid w:val="00CD2292"/>
    <w:pPr>
      <w:numPr>
        <w:numId w:val="44"/>
      </w:numPr>
      <w:contextualSpacing/>
    </w:pPr>
  </w:style>
  <w:style w:type="paragraph" w:styleId="ListBullet4">
    <w:name w:val="List Bullet 4"/>
    <w:basedOn w:val="Normal"/>
    <w:uiPriority w:val="98"/>
    <w:semiHidden/>
    <w:rsid w:val="00CD2292"/>
    <w:pPr>
      <w:numPr>
        <w:numId w:val="45"/>
      </w:numPr>
      <w:contextualSpacing/>
    </w:pPr>
  </w:style>
  <w:style w:type="paragraph" w:styleId="ListBullet5">
    <w:name w:val="List Bullet 5"/>
    <w:basedOn w:val="Normal"/>
    <w:uiPriority w:val="98"/>
    <w:semiHidden/>
    <w:rsid w:val="00CD2292"/>
    <w:pPr>
      <w:numPr>
        <w:numId w:val="46"/>
      </w:numPr>
      <w:contextualSpacing/>
    </w:pPr>
  </w:style>
  <w:style w:type="paragraph" w:styleId="ListContinue">
    <w:name w:val="List Continue"/>
    <w:basedOn w:val="Normal"/>
    <w:uiPriority w:val="98"/>
    <w:semiHidden/>
    <w:rsid w:val="00CD2292"/>
    <w:pPr>
      <w:spacing w:after="120"/>
      <w:ind w:left="283"/>
      <w:contextualSpacing/>
    </w:pPr>
  </w:style>
  <w:style w:type="paragraph" w:styleId="ListContinue2">
    <w:name w:val="List Continue 2"/>
    <w:basedOn w:val="Normal"/>
    <w:uiPriority w:val="98"/>
    <w:semiHidden/>
    <w:rsid w:val="00CD2292"/>
    <w:pPr>
      <w:spacing w:after="120"/>
      <w:ind w:left="566"/>
      <w:contextualSpacing/>
    </w:pPr>
  </w:style>
  <w:style w:type="paragraph" w:styleId="ListContinue3">
    <w:name w:val="List Continue 3"/>
    <w:basedOn w:val="Normal"/>
    <w:uiPriority w:val="98"/>
    <w:semiHidden/>
    <w:rsid w:val="00CD2292"/>
    <w:pPr>
      <w:spacing w:after="120"/>
      <w:ind w:left="849"/>
      <w:contextualSpacing/>
    </w:pPr>
  </w:style>
  <w:style w:type="paragraph" w:styleId="ListContinue4">
    <w:name w:val="List Continue 4"/>
    <w:basedOn w:val="Normal"/>
    <w:uiPriority w:val="98"/>
    <w:semiHidden/>
    <w:rsid w:val="00CD2292"/>
    <w:pPr>
      <w:spacing w:after="120"/>
      <w:ind w:left="1132"/>
      <w:contextualSpacing/>
    </w:pPr>
  </w:style>
  <w:style w:type="paragraph" w:styleId="ListContinue5">
    <w:name w:val="List Continue 5"/>
    <w:basedOn w:val="Normal"/>
    <w:uiPriority w:val="98"/>
    <w:semiHidden/>
    <w:rsid w:val="00CD2292"/>
    <w:pPr>
      <w:spacing w:after="120"/>
      <w:ind w:left="1415"/>
      <w:contextualSpacing/>
    </w:pPr>
  </w:style>
  <w:style w:type="paragraph" w:styleId="ListNumber">
    <w:name w:val="List Number"/>
    <w:basedOn w:val="Normal"/>
    <w:uiPriority w:val="98"/>
    <w:semiHidden/>
    <w:rsid w:val="00CD2292"/>
    <w:pPr>
      <w:numPr>
        <w:numId w:val="47"/>
      </w:numPr>
      <w:contextualSpacing/>
    </w:pPr>
  </w:style>
  <w:style w:type="paragraph" w:styleId="ListNumber2">
    <w:name w:val="List Number 2"/>
    <w:basedOn w:val="Normal"/>
    <w:uiPriority w:val="98"/>
    <w:semiHidden/>
    <w:rsid w:val="00CD2292"/>
    <w:pPr>
      <w:numPr>
        <w:numId w:val="48"/>
      </w:numPr>
      <w:contextualSpacing/>
    </w:pPr>
  </w:style>
  <w:style w:type="paragraph" w:styleId="ListNumber3">
    <w:name w:val="List Number 3"/>
    <w:basedOn w:val="Normal"/>
    <w:uiPriority w:val="98"/>
    <w:semiHidden/>
    <w:rsid w:val="00CD2292"/>
    <w:pPr>
      <w:numPr>
        <w:numId w:val="49"/>
      </w:numPr>
      <w:contextualSpacing/>
    </w:pPr>
  </w:style>
  <w:style w:type="paragraph" w:styleId="ListNumber4">
    <w:name w:val="List Number 4"/>
    <w:basedOn w:val="Normal"/>
    <w:uiPriority w:val="98"/>
    <w:semiHidden/>
    <w:rsid w:val="00CD2292"/>
    <w:pPr>
      <w:numPr>
        <w:numId w:val="50"/>
      </w:numPr>
      <w:contextualSpacing/>
    </w:pPr>
  </w:style>
  <w:style w:type="paragraph" w:styleId="ListNumber5">
    <w:name w:val="List Number 5"/>
    <w:basedOn w:val="Normal"/>
    <w:uiPriority w:val="98"/>
    <w:semiHidden/>
    <w:rsid w:val="00CD2292"/>
    <w:pPr>
      <w:numPr>
        <w:numId w:val="51"/>
      </w:numPr>
      <w:contextualSpacing/>
    </w:pPr>
  </w:style>
  <w:style w:type="paragraph" w:styleId="MacroText">
    <w:name w:val="macro"/>
    <w:link w:val="MacroTextChar"/>
    <w:uiPriority w:val="98"/>
    <w:semiHidden/>
    <w:rsid w:val="00CD229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CD2292"/>
    <w:rPr>
      <w:rFonts w:ascii="Consolas" w:eastAsiaTheme="minorEastAsia" w:hAnsi="Consolas" w:cs="Consolas"/>
      <w:sz w:val="20"/>
      <w:szCs w:val="20"/>
    </w:rPr>
  </w:style>
  <w:style w:type="table" w:styleId="MediumGrid1">
    <w:name w:val="Medium Grid 1"/>
    <w:basedOn w:val="TableNormal"/>
    <w:uiPriority w:val="67"/>
    <w:semiHidden/>
    <w:rsid w:val="00CD229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D229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CD229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CD2292"/>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CD229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CD229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CD229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CD229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CD229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D229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CD229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CD2292"/>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CD229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CD229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CD229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D229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CD229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D229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D229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D2292"/>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D229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D229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D229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D229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CD229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CD229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CD2292"/>
    <w:rPr>
      <w:rFonts w:ascii="Times New Roman" w:hAnsi="Times New Roman" w:cs="Times New Roman"/>
    </w:rPr>
  </w:style>
  <w:style w:type="paragraph" w:styleId="NormalIndent">
    <w:name w:val="Normal Indent"/>
    <w:basedOn w:val="Normal"/>
    <w:uiPriority w:val="98"/>
    <w:semiHidden/>
    <w:rsid w:val="00CD2292"/>
    <w:pPr>
      <w:ind w:left="720"/>
    </w:pPr>
  </w:style>
  <w:style w:type="paragraph" w:styleId="NoteHeading">
    <w:name w:val="Note Heading"/>
    <w:basedOn w:val="Normal"/>
    <w:next w:val="Normal"/>
    <w:link w:val="NoteHeadingChar"/>
    <w:uiPriority w:val="98"/>
    <w:semiHidden/>
    <w:rsid w:val="00CD2292"/>
  </w:style>
  <w:style w:type="character" w:customStyle="1" w:styleId="NoteHeadingChar">
    <w:name w:val="Note Heading Char"/>
    <w:basedOn w:val="DefaultParagraphFont"/>
    <w:link w:val="NoteHeading"/>
    <w:uiPriority w:val="98"/>
    <w:semiHidden/>
    <w:rsid w:val="00CD2292"/>
    <w:rPr>
      <w:sz w:val="24"/>
      <w:szCs w:val="24"/>
      <w:lang w:val="ro-RO"/>
    </w:rPr>
  </w:style>
  <w:style w:type="character" w:styleId="PlaceholderText">
    <w:name w:val="Placeholder Text"/>
    <w:basedOn w:val="DefaultParagraphFont"/>
    <w:uiPriority w:val="98"/>
    <w:semiHidden/>
    <w:rsid w:val="00CD229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CD2292"/>
    <w:rPr>
      <w:rFonts w:ascii="Consolas" w:hAnsi="Consolas" w:cs="Consolas"/>
      <w:sz w:val="21"/>
      <w:szCs w:val="21"/>
    </w:rPr>
  </w:style>
  <w:style w:type="character" w:customStyle="1" w:styleId="PlainTextChar">
    <w:name w:val="Plain Text Char"/>
    <w:basedOn w:val="DefaultParagraphFont"/>
    <w:link w:val="PlainText"/>
    <w:uiPriority w:val="98"/>
    <w:semiHidden/>
    <w:rsid w:val="00CD2292"/>
    <w:rPr>
      <w:rFonts w:ascii="Consolas" w:hAnsi="Consolas" w:cs="Consolas"/>
      <w:sz w:val="21"/>
      <w:szCs w:val="21"/>
      <w:lang w:val="ro-RO"/>
    </w:rPr>
  </w:style>
  <w:style w:type="paragraph" w:styleId="Salutation">
    <w:name w:val="Salutation"/>
    <w:basedOn w:val="Normal"/>
    <w:next w:val="Normal"/>
    <w:link w:val="SalutationChar"/>
    <w:uiPriority w:val="98"/>
    <w:semiHidden/>
    <w:rsid w:val="00CD2292"/>
  </w:style>
  <w:style w:type="character" w:customStyle="1" w:styleId="SalutationChar">
    <w:name w:val="Salutation Char"/>
    <w:basedOn w:val="DefaultParagraphFont"/>
    <w:link w:val="Salutation"/>
    <w:uiPriority w:val="98"/>
    <w:semiHidden/>
    <w:rsid w:val="00CD2292"/>
    <w:rPr>
      <w:sz w:val="24"/>
      <w:szCs w:val="24"/>
      <w:lang w:val="ro-RO"/>
    </w:rPr>
  </w:style>
  <w:style w:type="paragraph" w:styleId="Signature">
    <w:name w:val="Signature"/>
    <w:basedOn w:val="Normal"/>
    <w:link w:val="SignatureChar"/>
    <w:uiPriority w:val="98"/>
    <w:semiHidden/>
    <w:rsid w:val="00CD2292"/>
    <w:pPr>
      <w:ind w:left="4252"/>
    </w:pPr>
  </w:style>
  <w:style w:type="character" w:customStyle="1" w:styleId="SignatureChar">
    <w:name w:val="Signature Char"/>
    <w:basedOn w:val="DefaultParagraphFont"/>
    <w:link w:val="Signature"/>
    <w:uiPriority w:val="98"/>
    <w:semiHidden/>
    <w:rsid w:val="00CD2292"/>
    <w:rPr>
      <w:sz w:val="24"/>
      <w:szCs w:val="24"/>
      <w:lang w:val="ro-RO"/>
    </w:rPr>
  </w:style>
  <w:style w:type="table" w:styleId="Table3Deffects1">
    <w:name w:val="Table 3D effects 1"/>
    <w:basedOn w:val="TableNormal"/>
    <w:uiPriority w:val="99"/>
    <w:semiHidden/>
    <w:unhideWhenUsed/>
    <w:rsid w:val="00CD229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D229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D229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D229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D229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D229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D229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D229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D229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D229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D229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D229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D229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D229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D229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D229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D229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D229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D229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D229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D229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D229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D229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D229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D229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D229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D229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D229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D229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D229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D229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D229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D229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CD2292"/>
    <w:pPr>
      <w:ind w:left="240" w:hanging="240"/>
    </w:pPr>
  </w:style>
  <w:style w:type="paragraph" w:styleId="TableofFigures">
    <w:name w:val="table of figures"/>
    <w:basedOn w:val="Normal"/>
    <w:next w:val="Normal"/>
    <w:uiPriority w:val="98"/>
    <w:semiHidden/>
    <w:rsid w:val="00CD2292"/>
  </w:style>
  <w:style w:type="table" w:styleId="TableProfessional">
    <w:name w:val="Table Professional"/>
    <w:basedOn w:val="TableNormal"/>
    <w:uiPriority w:val="99"/>
    <w:semiHidden/>
    <w:unhideWhenUsed/>
    <w:rsid w:val="00CD229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D229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D229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D229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D229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D229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D229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D229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D229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D229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CD229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CD229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CD2292"/>
    <w:pPr>
      <w:spacing w:after="100"/>
      <w:ind w:left="1680"/>
    </w:pPr>
  </w:style>
  <w:style w:type="paragraph" w:styleId="TOC9">
    <w:name w:val="toc 9"/>
    <w:basedOn w:val="Normal"/>
    <w:next w:val="Normal"/>
    <w:autoRedefine/>
    <w:uiPriority w:val="98"/>
    <w:semiHidden/>
    <w:rsid w:val="00CD2292"/>
    <w:pPr>
      <w:spacing w:after="100"/>
      <w:ind w:left="1920"/>
    </w:pPr>
  </w:style>
  <w:style w:type="paragraph" w:customStyle="1" w:styleId="ECHRFooter">
    <w:name w:val="ECHR_Footer"/>
    <w:aliases w:val="Footer_ECHR"/>
    <w:basedOn w:val="Footer0"/>
    <w:uiPriority w:val="57"/>
    <w:semiHidden/>
    <w:rsid w:val="00D20A92"/>
    <w:rPr>
      <w:sz w:val="8"/>
    </w:rPr>
  </w:style>
  <w:style w:type="paragraph" w:customStyle="1" w:styleId="ECHRFooterLine">
    <w:name w:val="ECHR_Footer_Line"/>
    <w:aliases w:val="_Footer_Line"/>
    <w:basedOn w:val="Normal"/>
    <w:next w:val="Normal"/>
    <w:uiPriority w:val="29"/>
    <w:semiHidden/>
    <w:rsid w:val="00CD229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CD2292"/>
    <w:pPr>
      <w:keepNext/>
      <w:keepLines/>
      <w:spacing w:after="280"/>
      <w:ind w:firstLine="0"/>
      <w:jc w:val="center"/>
    </w:pPr>
    <w:rPr>
      <w:rFonts w:asciiTheme="majorHAnsi" w:hAnsiTheme="majorHAnsi"/>
    </w:rPr>
  </w:style>
  <w:style w:type="paragraph" w:customStyle="1" w:styleId="ECHRParaSpaced">
    <w:name w:val="ECHR_Para_Spaced"/>
    <w:aliases w:val="Para_Spaced"/>
    <w:basedOn w:val="Normal"/>
    <w:uiPriority w:val="4"/>
    <w:qFormat/>
    <w:rsid w:val="000031BA"/>
    <w:pPr>
      <w:spacing w:before="120" w:after="120"/>
      <w:jc w:val="both"/>
    </w:pPr>
  </w:style>
  <w:style w:type="paragraph" w:customStyle="1" w:styleId="ECHRBullet2">
    <w:name w:val="ECHR_Bullet_2"/>
    <w:aliases w:val="_Bul_2"/>
    <w:basedOn w:val="ECHRBullet1"/>
    <w:uiPriority w:val="23"/>
    <w:semiHidden/>
    <w:rsid w:val="00CD2292"/>
    <w:pPr>
      <w:numPr>
        <w:ilvl w:val="1"/>
      </w:numPr>
    </w:pPr>
  </w:style>
  <w:style w:type="paragraph" w:customStyle="1" w:styleId="ECHRBullet3">
    <w:name w:val="ECHR_Bullet_3"/>
    <w:aliases w:val="_Bul_3"/>
    <w:basedOn w:val="ECHRBullet2"/>
    <w:uiPriority w:val="23"/>
    <w:semiHidden/>
    <w:rsid w:val="00CD2292"/>
    <w:pPr>
      <w:numPr>
        <w:ilvl w:val="2"/>
      </w:numPr>
    </w:pPr>
  </w:style>
  <w:style w:type="paragraph" w:customStyle="1" w:styleId="ECHRBullet4">
    <w:name w:val="ECHR_Bullet_4"/>
    <w:aliases w:val="_Bul_4"/>
    <w:basedOn w:val="ECHRBullet3"/>
    <w:uiPriority w:val="23"/>
    <w:semiHidden/>
    <w:rsid w:val="00CD2292"/>
    <w:pPr>
      <w:numPr>
        <w:ilvl w:val="3"/>
      </w:numPr>
    </w:pPr>
  </w:style>
  <w:style w:type="paragraph" w:customStyle="1" w:styleId="ECHRConfidential">
    <w:name w:val="ECHR_Confidential"/>
    <w:aliases w:val="_Confidential"/>
    <w:basedOn w:val="Normal"/>
    <w:next w:val="Normal"/>
    <w:uiPriority w:val="42"/>
    <w:semiHidden/>
    <w:qFormat/>
    <w:rsid w:val="00CD2292"/>
    <w:pPr>
      <w:jc w:val="right"/>
    </w:pPr>
    <w:rPr>
      <w:color w:val="C00000"/>
      <w:sz w:val="20"/>
    </w:rPr>
  </w:style>
  <w:style w:type="paragraph" w:customStyle="1" w:styleId="ECHRDecisionBody">
    <w:name w:val="ECHR_Decision_Body"/>
    <w:aliases w:val="_Decision_Body"/>
    <w:basedOn w:val="NormalJustified"/>
    <w:uiPriority w:val="54"/>
    <w:semiHidden/>
    <w:rsid w:val="00CD229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CD229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CD2292"/>
    <w:rPr>
      <w:rFonts w:ascii="Arial" w:hAnsi="Arial"/>
      <w:i/>
      <w:color w:val="002856"/>
      <w:sz w:val="32"/>
      <w:szCs w:val="24"/>
      <w:lang w:val="ro-RO"/>
    </w:rPr>
  </w:style>
  <w:style w:type="paragraph" w:customStyle="1" w:styleId="DummyStyle">
    <w:name w:val="Dummy_Style"/>
    <w:aliases w:val="_Dummy"/>
    <w:basedOn w:val="Normal"/>
    <w:semiHidden/>
    <w:qFormat/>
    <w:rsid w:val="00CD2292"/>
    <w:rPr>
      <w:color w:val="00B050"/>
      <w:sz w:val="22"/>
    </w:rPr>
  </w:style>
  <w:style w:type="paragraph" w:customStyle="1" w:styleId="ECHRFooterLineLandscape">
    <w:name w:val="ECHR_Footer_Line_Landscape"/>
    <w:aliases w:val="_Footer_Line_Landscape"/>
    <w:basedOn w:val="Normal"/>
    <w:uiPriority w:val="29"/>
    <w:semiHidden/>
    <w:rsid w:val="00CD2292"/>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CD2292"/>
    <w:pPr>
      <w:ind w:left="567" w:hanging="567"/>
    </w:pPr>
  </w:style>
  <w:style w:type="paragraph" w:customStyle="1" w:styleId="ECHRHeading9">
    <w:name w:val="ECHR_Heading_9"/>
    <w:aliases w:val="_Head_9"/>
    <w:basedOn w:val="Heading9"/>
    <w:uiPriority w:val="17"/>
    <w:semiHidden/>
    <w:rsid w:val="00CD2292"/>
    <w:pPr>
      <w:keepNext/>
      <w:keepLines/>
      <w:numPr>
        <w:ilvl w:val="8"/>
        <w:numId w:val="52"/>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CD2292"/>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CD2292"/>
    <w:pPr>
      <w:spacing w:before="120" w:after="120"/>
      <w:ind w:left="567"/>
    </w:pPr>
  </w:style>
  <w:style w:type="paragraph" w:customStyle="1" w:styleId="ECHRLine">
    <w:name w:val="ECHR_Line"/>
    <w:aliases w:val="_Line"/>
    <w:basedOn w:val="NormalJustified"/>
    <w:next w:val="Normal"/>
    <w:uiPriority w:val="46"/>
    <w:semiHidden/>
    <w:rsid w:val="00CD2292"/>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CD2292"/>
    <w:pPr>
      <w:numPr>
        <w:numId w:val="0"/>
      </w:numPr>
      <w:ind w:left="284"/>
    </w:pPr>
  </w:style>
  <w:style w:type="paragraph" w:customStyle="1" w:styleId="ECHRNumberedList1">
    <w:name w:val="ECHR_Numbered_List_1"/>
    <w:aliases w:val="_Num_1"/>
    <w:basedOn w:val="NormalJustified"/>
    <w:uiPriority w:val="23"/>
    <w:semiHidden/>
    <w:qFormat/>
    <w:rsid w:val="00CD2292"/>
    <w:pPr>
      <w:numPr>
        <w:numId w:val="55"/>
      </w:numPr>
      <w:spacing w:before="60" w:after="60"/>
    </w:pPr>
  </w:style>
  <w:style w:type="paragraph" w:customStyle="1" w:styleId="ECHRNumberedList2">
    <w:name w:val="ECHR_Numbered_List_2"/>
    <w:aliases w:val="_Num_2"/>
    <w:basedOn w:val="ECHRNumberedList1"/>
    <w:uiPriority w:val="23"/>
    <w:semiHidden/>
    <w:rsid w:val="00CD2292"/>
    <w:pPr>
      <w:numPr>
        <w:ilvl w:val="1"/>
      </w:numPr>
    </w:pPr>
  </w:style>
  <w:style w:type="paragraph" w:customStyle="1" w:styleId="ECHRNumberedList3">
    <w:name w:val="ECHR_Numbered_List_3"/>
    <w:aliases w:val="_Num_3"/>
    <w:basedOn w:val="ECHRNumberedList2"/>
    <w:uiPriority w:val="23"/>
    <w:semiHidden/>
    <w:rsid w:val="00CD2292"/>
    <w:pPr>
      <w:numPr>
        <w:ilvl w:val="2"/>
      </w:numPr>
    </w:pPr>
  </w:style>
  <w:style w:type="paragraph" w:customStyle="1" w:styleId="ECHRPlaceholder">
    <w:name w:val="ECHR_Placeholder"/>
    <w:aliases w:val="_Placeholder"/>
    <w:basedOn w:val="JuSigned"/>
    <w:uiPriority w:val="31"/>
    <w:rsid w:val="00CD2292"/>
    <w:rPr>
      <w:color w:val="FFFFFF"/>
    </w:rPr>
  </w:style>
  <w:style w:type="character" w:customStyle="1" w:styleId="ECHRRed">
    <w:name w:val="ECHR_Red"/>
    <w:aliases w:val="_Red"/>
    <w:basedOn w:val="DefaultParagraphFont"/>
    <w:uiPriority w:val="15"/>
    <w:semiHidden/>
    <w:qFormat/>
    <w:rsid w:val="00CD2292"/>
    <w:rPr>
      <w:color w:val="C00000" w:themeColor="accent2"/>
    </w:rPr>
  </w:style>
  <w:style w:type="paragraph" w:customStyle="1" w:styleId="ECHRHeaderDate">
    <w:name w:val="ECHR_Header_Date"/>
    <w:aliases w:val="_Ref_Date"/>
    <w:basedOn w:val="Normal"/>
    <w:uiPriority w:val="44"/>
    <w:semiHidden/>
    <w:qFormat/>
    <w:rsid w:val="00CD2292"/>
    <w:pPr>
      <w:jc w:val="right"/>
    </w:pPr>
    <w:rPr>
      <w:sz w:val="20"/>
    </w:rPr>
  </w:style>
  <w:style w:type="paragraph" w:customStyle="1" w:styleId="ECHRHeaderRefIt">
    <w:name w:val="ECHR_Header_Ref_It"/>
    <w:aliases w:val="_Ref_Ital"/>
    <w:basedOn w:val="Normal"/>
    <w:next w:val="ECHRHeaderDate"/>
    <w:uiPriority w:val="43"/>
    <w:qFormat/>
    <w:rsid w:val="00CD2292"/>
    <w:pPr>
      <w:jc w:val="right"/>
    </w:pPr>
    <w:rPr>
      <w:i/>
      <w:sz w:val="20"/>
    </w:rPr>
  </w:style>
  <w:style w:type="paragraph" w:customStyle="1" w:styleId="ECHRSpacer">
    <w:name w:val="ECHR_Spacer"/>
    <w:aliases w:val="_Spacer"/>
    <w:basedOn w:val="Normal"/>
    <w:uiPriority w:val="45"/>
    <w:semiHidden/>
    <w:rsid w:val="00CD2292"/>
    <w:rPr>
      <w:sz w:val="4"/>
    </w:rPr>
  </w:style>
  <w:style w:type="paragraph" w:customStyle="1" w:styleId="ECHRTitleCentre1">
    <w:name w:val="ECHR_Title_Centre_1"/>
    <w:aliases w:val="_Title_C_1"/>
    <w:basedOn w:val="Normal"/>
    <w:next w:val="Normal"/>
    <w:uiPriority w:val="26"/>
    <w:semiHidden/>
    <w:qFormat/>
    <w:rsid w:val="00CD2292"/>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CD2292"/>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CD2292"/>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CD2292"/>
    <w:pPr>
      <w:outlineLvl w:val="0"/>
    </w:pPr>
  </w:style>
  <w:style w:type="paragraph" w:customStyle="1" w:styleId="ECHRTitle1">
    <w:name w:val="ECHR_Title_1"/>
    <w:aliases w:val="_Title_L_1"/>
    <w:basedOn w:val="Normal"/>
    <w:next w:val="Normal"/>
    <w:uiPriority w:val="28"/>
    <w:semiHidden/>
    <w:qFormat/>
    <w:rsid w:val="00CD2292"/>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CD2292"/>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CD2292"/>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CD2292"/>
    <w:pPr>
      <w:outlineLvl w:val="0"/>
    </w:pPr>
  </w:style>
  <w:style w:type="table" w:customStyle="1" w:styleId="ECHRTable2">
    <w:name w:val="ECHR_Table_2"/>
    <w:basedOn w:val="TableNormal"/>
    <w:uiPriority w:val="99"/>
    <w:rsid w:val="00CD229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CD2292"/>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CD2292"/>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D232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232A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232A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232A6"/>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232A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232A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232A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232A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232A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232A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232A6"/>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D232A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232A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232A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232A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232A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23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23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23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23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232A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D23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23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23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23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23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23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232A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D23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23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23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D232A6"/>
    <w:rPr>
      <w:color w:val="2B579A"/>
      <w:shd w:val="clear" w:color="auto" w:fill="E1DFDD"/>
    </w:rPr>
  </w:style>
  <w:style w:type="table" w:styleId="ListTable1Light">
    <w:name w:val="List Table 1 Light"/>
    <w:basedOn w:val="TableNormal"/>
    <w:uiPriority w:val="46"/>
    <w:semiHidden/>
    <w:rsid w:val="00D232A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232A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232A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232A6"/>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D232A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232A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232A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232A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232A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232A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232A6"/>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D232A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232A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232A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232A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232A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232A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232A6"/>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D232A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232A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232A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232A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232A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232A6"/>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232A6"/>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232A6"/>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232A6"/>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232A6"/>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232A6"/>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232A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232A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232A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232A6"/>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D232A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232A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232A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232A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232A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232A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232A6"/>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232A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232A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232A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D232A6"/>
    <w:rPr>
      <w:color w:val="2B579A"/>
      <w:shd w:val="clear" w:color="auto" w:fill="E1DFDD"/>
    </w:rPr>
  </w:style>
  <w:style w:type="table" w:styleId="PlainTable1">
    <w:name w:val="Plain Table 1"/>
    <w:basedOn w:val="TableNormal"/>
    <w:uiPriority w:val="41"/>
    <w:semiHidden/>
    <w:rsid w:val="00D232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D232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232A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232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D232A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D232A6"/>
    <w:rPr>
      <w:u w:val="dotted"/>
    </w:rPr>
  </w:style>
  <w:style w:type="character" w:customStyle="1" w:styleId="SmartLink">
    <w:name w:val="Smart Link"/>
    <w:basedOn w:val="DefaultParagraphFont"/>
    <w:uiPriority w:val="99"/>
    <w:semiHidden/>
    <w:unhideWhenUsed/>
    <w:rsid w:val="00D232A6"/>
    <w:rPr>
      <w:color w:val="0000FF"/>
      <w:u w:val="single"/>
      <w:shd w:val="clear" w:color="auto" w:fill="F3F2F1"/>
    </w:rPr>
  </w:style>
  <w:style w:type="table" w:styleId="TableGridLight">
    <w:name w:val="Grid Table Light"/>
    <w:basedOn w:val="TableNormal"/>
    <w:uiPriority w:val="40"/>
    <w:semiHidden/>
    <w:rsid w:val="00D232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D232A6"/>
    <w:rPr>
      <w:color w:val="605E5C"/>
      <w:shd w:val="clear" w:color="auto" w:fill="E1DFDD"/>
    </w:rPr>
  </w:style>
  <w:style w:type="character" w:customStyle="1" w:styleId="JuParaChar">
    <w:name w:val="Ju_Para Char"/>
    <w:aliases w:val="_Para Char,ECHR_Para Char"/>
    <w:link w:val="JuPara"/>
    <w:uiPriority w:val="4"/>
    <w:qFormat/>
    <w:rsid w:val="002173FF"/>
    <w:rPr>
      <w:sz w:val="24"/>
      <w:szCs w:val="24"/>
      <w:lang w:val="ro-RO"/>
    </w:rPr>
  </w:style>
  <w:style w:type="character" w:customStyle="1" w:styleId="JuNames0">
    <w:name w:val="Ju_Names"/>
    <w:rsid w:val="00820CC9"/>
    <w:rPr>
      <w:smallCaps/>
    </w:rPr>
  </w:style>
  <w:style w:type="paragraph" w:styleId="Revision">
    <w:name w:val="Revision"/>
    <w:hidden/>
    <w:uiPriority w:val="99"/>
    <w:semiHidden/>
    <w:rsid w:val="00820C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hudoc.esc.coe.int/eng/?i=XV-2/def/ITA/11/3/EN" TargetMode="External"/><Relationship Id="rId1" Type="http://schemas.openxmlformats.org/officeDocument/2006/relationships/hyperlink" Target="https://climateactiontracker.org/methodology/cat-rating-methodology/modelled-domestic-pathway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 D 2 . 0 < / C o d e >  
     < T i t l e > D F 2 . 0 a   J U D F   S e c t i o n   -   P a g e   d e   t i t r e   ( s i   m a c r o   d e   c o n v e r s i o n   n e   m a r c h e   p a s ) < / T i t l e >  
     < L a n g u a g e s >  
         < s t r i n g > F R E < / s t r i n g >  
     < / L a n g u a g e s >  
     < T y p e > D O C < / T y p e >  
     < C a t e g o r y > A R R < / C a t e g o r y >  
     < I s L e g a l T e m p l a t e > t r u e < / I s L e g a l T e m p l a t e >  
     < I n d e x D a t e   x s i : n i l = " t r u e " / >  
     < E d i t D a t e   x s i : n i l = " t r u e " / >  
     < T a g s >  
         < s t r i n g > A R R < / s t r i n g >  
         < s t r i n g > p a g e < / s t r i n g >  
         < s t r i n g > t i t r e < / 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CAE5-5E41-4BF2-94E2-4AEF37B82F72}">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9BCE825D-812D-4572-9D24-38E00038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40094</Words>
  <Characters>232551</Characters>
  <Application>Microsoft Office Word</Application>
  <DocSecurity>0</DocSecurity>
  <Lines>1937</Lines>
  <Paragraphs>544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272101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cp:lastModifiedBy/>
  <cp:revision>1</cp:revision>
  <cp:lastPrinted>2024-03-13T13:22:00Z</cp:lastPrinted>
  <dcterms:created xsi:type="dcterms:W3CDTF">2024-04-16T14:09:00Z</dcterms:created>
  <dcterms:modified xsi:type="dcterms:W3CDTF">2024-09-12T15:32:00Z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SecondCaseNumber">
    <vt:lpwstr/>
  </property>
</Properties>
</file>