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D78" w:rsidRPr="00C55D78" w:rsidRDefault="00C55D78" w:rsidP="00C55D78">
      <w:pPr>
        <w:rPr>
          <w:rFonts w:ascii="Times New Roman" w:hAnsi="Times New Roman" w:cs="Times New Roman"/>
          <w:noProof/>
        </w:rPr>
      </w:pPr>
      <w:bookmarkStart w:id="0" w:name="_GoBack"/>
      <w:bookmarkEnd w:id="0"/>
    </w:p>
    <w:p w:rsidR="00C55D78" w:rsidRPr="00C55D78" w:rsidRDefault="00C55D78" w:rsidP="00C55D78"/>
    <w:p w:rsidR="00C55D78" w:rsidRPr="00C55D78" w:rsidRDefault="00C55D78" w:rsidP="00C55D78">
      <w:pPr>
        <w:pStyle w:val="DecHTitle"/>
        <w:rPr>
          <w:b/>
        </w:rPr>
      </w:pPr>
      <w:r>
        <w:rPr>
          <w:b/>
        </w:rPr>
        <w:t>CURTEA EUROPEANĂ A DREPTURILOR OMULUI</w:t>
      </w:r>
    </w:p>
    <w:p w:rsidR="00C55D78" w:rsidRPr="00C55D78" w:rsidRDefault="00C55D78" w:rsidP="00C55D78">
      <w:pPr>
        <w:pStyle w:val="DecHTitle"/>
      </w:pPr>
      <w:r>
        <w:t>SECȚIA A PATRA</w:t>
      </w:r>
    </w:p>
    <w:p w:rsidR="00C55D78" w:rsidRPr="00C55D78" w:rsidRDefault="00C55D78" w:rsidP="00C55D78">
      <w:pPr>
        <w:pStyle w:val="JuTitle"/>
      </w:pPr>
      <w:r>
        <w:t>CAUZA POP-MANTA ȘI ALȚII ÎMPOTRIVA ROMÂNIEI</w:t>
      </w:r>
    </w:p>
    <w:p w:rsidR="00C55D78" w:rsidRPr="00C55D78" w:rsidRDefault="00C55D78" w:rsidP="00C55D78">
      <w:pPr>
        <w:pStyle w:val="ECHRCoverTitle4"/>
      </w:pPr>
      <w:r>
        <w:t>(Cererile nr. 46913/20 și alte 2 –</w:t>
      </w:r>
    </w:p>
    <w:p w:rsidR="00C55D78" w:rsidRPr="00C55D78" w:rsidRDefault="00C55D78" w:rsidP="00C55D78">
      <w:pPr>
        <w:pStyle w:val="ECHRCoverTitle4"/>
      </w:pPr>
      <w:r>
        <w:t>a se vedea lista din anexă)</w:t>
      </w:r>
    </w:p>
    <w:p w:rsidR="00C55D78" w:rsidRPr="00C55D78" w:rsidRDefault="00C55D78" w:rsidP="00C55D78">
      <w:pPr>
        <w:pStyle w:val="DecHCase"/>
      </w:pPr>
    </w:p>
    <w:p w:rsidR="00C55D78" w:rsidRPr="00C55D78" w:rsidRDefault="00C55D78" w:rsidP="00C55D78">
      <w:pPr>
        <w:pStyle w:val="DecHCase"/>
      </w:pPr>
    </w:p>
    <w:p w:rsidR="00C55D78" w:rsidRPr="00C55D78" w:rsidRDefault="00C55D78" w:rsidP="00C55D78">
      <w:pPr>
        <w:pStyle w:val="DecHCase"/>
      </w:pPr>
    </w:p>
    <w:p w:rsidR="00C55D78" w:rsidRPr="00C55D78" w:rsidRDefault="00C55D78" w:rsidP="00C55D78">
      <w:pPr>
        <w:pStyle w:val="DecHCase"/>
      </w:pPr>
    </w:p>
    <w:p w:rsidR="00C55D78" w:rsidRPr="00C55D78" w:rsidRDefault="00C55D78" w:rsidP="00C55D78">
      <w:pPr>
        <w:pStyle w:val="DecHCase"/>
      </w:pPr>
    </w:p>
    <w:p w:rsidR="00C55D78" w:rsidRPr="00C55D78" w:rsidRDefault="00C55D78" w:rsidP="00C55D78">
      <w:pPr>
        <w:pStyle w:val="DecHCase"/>
      </w:pPr>
    </w:p>
    <w:p w:rsidR="00C55D78" w:rsidRPr="00C55D78" w:rsidRDefault="00C55D78" w:rsidP="00C55D78">
      <w:pPr>
        <w:pStyle w:val="DecHCase"/>
      </w:pPr>
      <w:r>
        <w:t>HOTĂRÂRE</w:t>
      </w:r>
      <w:r>
        <w:br/>
      </w:r>
    </w:p>
    <w:p w:rsidR="00C55D78" w:rsidRPr="00C55D78" w:rsidRDefault="00C55D78" w:rsidP="00C55D78">
      <w:pPr>
        <w:pStyle w:val="DecHCase"/>
      </w:pPr>
      <w:r>
        <w:t>STRASBOURG</w:t>
      </w:r>
    </w:p>
    <w:p w:rsidR="00C55D78" w:rsidRPr="00C55D78" w:rsidRDefault="00C55D78" w:rsidP="00C55D78">
      <w:pPr>
        <w:pStyle w:val="DecHCase"/>
        <w:rPr>
          <w:noProof/>
        </w:rPr>
      </w:pPr>
      <w:r>
        <w:t>26 august 2025</w:t>
      </w:r>
    </w:p>
    <w:p w:rsidR="00C55D78" w:rsidRPr="00C55D78" w:rsidRDefault="00C55D78" w:rsidP="00C55D78">
      <w:pPr>
        <w:pStyle w:val="DecHCase"/>
      </w:pPr>
    </w:p>
    <w:p w:rsidR="00C55D78" w:rsidRPr="00C55D78" w:rsidRDefault="00C55D78" w:rsidP="00C55D78">
      <w:pPr>
        <w:rPr>
          <w:i/>
          <w:sz w:val="22"/>
        </w:rPr>
      </w:pPr>
      <w:r>
        <w:rPr>
          <w:i/>
          <w:sz w:val="22"/>
        </w:rPr>
        <w:t>Prezenta hotărâre este definitivă. Poate suferi modificări de formă.</w:t>
      </w:r>
    </w:p>
    <w:p w:rsidR="00C55D78" w:rsidRPr="00C55D78" w:rsidRDefault="00C55D78" w:rsidP="00C55D78">
      <w:pPr>
        <w:ind w:left="720"/>
        <w:rPr>
          <w:rFonts w:ascii="Times New Roman" w:hAnsi="Times New Roman" w:cs="Times New Roman"/>
          <w:sz w:val="22"/>
        </w:rPr>
        <w:sectPr w:rsidR="00C55D78" w:rsidRPr="00C55D78" w:rsidSect="007E12F5">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268" w:right="2268" w:bottom="2268" w:left="2268" w:header="1701" w:footer="720" w:gutter="0"/>
          <w:pgNumType w:start="1"/>
          <w:cols w:space="720"/>
          <w:noEndnote/>
          <w:titlePg/>
        </w:sectPr>
      </w:pPr>
    </w:p>
    <w:p w:rsidR="00C55D78" w:rsidRPr="00C55D78" w:rsidRDefault="00C55D78" w:rsidP="00C55D78">
      <w:pPr>
        <w:pStyle w:val="JuCase"/>
      </w:pPr>
      <w:r>
        <w:lastRenderedPageBreak/>
        <w:t>În cauza Pop-Manta și alții împotriva României,</w:t>
      </w:r>
    </w:p>
    <w:p w:rsidR="00C55D78" w:rsidRPr="00C55D78" w:rsidRDefault="00C55D78" w:rsidP="00C55D78">
      <w:pPr>
        <w:pStyle w:val="JuPara"/>
      </w:pPr>
      <w:r>
        <w:t>Curtea Europeană a Drepturilor Omului (Secția a patra), reunită într-un comitet compus din:</w:t>
      </w:r>
    </w:p>
    <w:p w:rsidR="00C55D78" w:rsidRPr="00C55D78" w:rsidRDefault="00C55D78" w:rsidP="00C55D78">
      <w:pPr>
        <w:pStyle w:val="JuJudges"/>
      </w:pPr>
      <w:r>
        <w:tab/>
      </w:r>
      <w:proofErr w:type="spellStart"/>
      <w:r>
        <w:t>Anja</w:t>
      </w:r>
      <w:proofErr w:type="spellEnd"/>
      <w:r>
        <w:t xml:space="preserve"> </w:t>
      </w:r>
      <w:proofErr w:type="spellStart"/>
      <w:r>
        <w:t>Seibert-Fohr</w:t>
      </w:r>
      <w:proofErr w:type="spellEnd"/>
      <w:r>
        <w:rPr>
          <w:i/>
        </w:rPr>
        <w:t>, președinte</w:t>
      </w:r>
      <w:r>
        <w:t>,</w:t>
      </w:r>
      <w:r>
        <w:br/>
      </w:r>
      <w:r>
        <w:tab/>
        <w:t xml:space="preserve">Ana Maria </w:t>
      </w:r>
      <w:proofErr w:type="spellStart"/>
      <w:r>
        <w:t>Guerra</w:t>
      </w:r>
      <w:proofErr w:type="spellEnd"/>
      <w:r>
        <w:t xml:space="preserve"> </w:t>
      </w:r>
      <w:proofErr w:type="spellStart"/>
      <w:r>
        <w:t>Martins</w:t>
      </w:r>
      <w:proofErr w:type="spellEnd"/>
      <w:r>
        <w:t>,</w:t>
      </w:r>
      <w:r>
        <w:br/>
      </w:r>
      <w:r>
        <w:tab/>
        <w:t xml:space="preserve">András </w:t>
      </w:r>
      <w:proofErr w:type="spellStart"/>
      <w:r>
        <w:t>Jakab</w:t>
      </w:r>
      <w:proofErr w:type="spellEnd"/>
      <w:r>
        <w:rPr>
          <w:i/>
        </w:rPr>
        <w:t>, judecători</w:t>
      </w:r>
      <w:r>
        <w:t>,</w:t>
      </w:r>
      <w:r>
        <w:br/>
        <w:t xml:space="preserve">și Valentin Nicolescu, </w:t>
      </w:r>
      <w:r>
        <w:rPr>
          <w:i/>
          <w:iCs/>
        </w:rPr>
        <w:t xml:space="preserve">grefier adjunct de secție </w:t>
      </w:r>
      <w:proofErr w:type="spellStart"/>
      <w:r>
        <w:rPr>
          <w:i/>
          <w:iCs/>
        </w:rPr>
        <w:t>a.i</w:t>
      </w:r>
      <w:proofErr w:type="spellEnd"/>
      <w:r>
        <w:rPr>
          <w:i/>
          <w:iCs/>
        </w:rPr>
        <w:t>.</w:t>
      </w:r>
      <w:r>
        <w:t>,</w:t>
      </w:r>
    </w:p>
    <w:p w:rsidR="00C55D78" w:rsidRPr="00C55D78" w:rsidRDefault="00C55D78" w:rsidP="00C55D78">
      <w:pPr>
        <w:pStyle w:val="JuPara"/>
      </w:pPr>
      <w:r>
        <w:t>Având în vedere:</w:t>
      </w:r>
    </w:p>
    <w:p w:rsidR="00C55D78" w:rsidRPr="00C55D78" w:rsidRDefault="00C55D78" w:rsidP="00C55D78">
      <w:pPr>
        <w:pStyle w:val="JuPara"/>
        <w:rPr>
          <w:color w:val="000000"/>
        </w:rPr>
      </w:pPr>
      <w:r>
        <w:rPr>
          <w:color w:val="000000"/>
        </w:rPr>
        <w:t>cererile îndreptate împotriva României, prin care Curtea a fost sesizată în temeiul art. 34 din Convenția pentru apărarea drepturilor omului și a libertăților fundamentale („Convenția”) de către reclamanții ale căror nume și informații personale figurează în tabelul din anexă („reclamanții”), la datele indicate în acesta,</w:t>
      </w:r>
    </w:p>
    <w:p w:rsidR="00C55D78" w:rsidRPr="00C55D78" w:rsidRDefault="00C55D78" w:rsidP="00C55D78">
      <w:pPr>
        <w:pStyle w:val="JuPara"/>
      </w:pPr>
      <w:r>
        <w:t>decizia de a aduce capetele de cerere privind art. 1 din Protocolul nr. 1 la Convenție la cunoștința Guvernului român („Guvernul”), reprezentat de agentul guvernamental, doamna O.F. </w:t>
      </w:r>
      <w:proofErr w:type="spellStart"/>
      <w:r>
        <w:t>Ezer</w:t>
      </w:r>
      <w:proofErr w:type="spellEnd"/>
      <w:r>
        <w:t>, din cadrul Ministerului Afacerilor Externe,</w:t>
      </w:r>
    </w:p>
    <w:p w:rsidR="00C55D78" w:rsidRPr="00C55D78" w:rsidRDefault="00C55D78" w:rsidP="00C55D78">
      <w:pPr>
        <w:pStyle w:val="JuPara"/>
      </w:pPr>
      <w:r>
        <w:t>observațiile părților,</w:t>
      </w:r>
    </w:p>
    <w:p w:rsidR="00C55D78" w:rsidRPr="00C55D78" w:rsidRDefault="00C55D78" w:rsidP="00C55D78">
      <w:pPr>
        <w:pStyle w:val="JuPara"/>
      </w:pPr>
      <w:r>
        <w:t>După ce a deliberat în camera de consiliu, la 1 iulie 2025,</w:t>
      </w:r>
    </w:p>
    <w:p w:rsidR="00C55D78" w:rsidRPr="00C55D78" w:rsidRDefault="00C55D78" w:rsidP="00C55D78">
      <w:pPr>
        <w:pStyle w:val="JuPara"/>
      </w:pPr>
      <w:r>
        <w:t>Pronunță prezenta hotărâre, adoptată la aceeași dată:</w:t>
      </w:r>
    </w:p>
    <w:p w:rsidR="00C55D78" w:rsidRPr="00C55D78" w:rsidRDefault="00C55D78" w:rsidP="00C55D78">
      <w:pPr>
        <w:pStyle w:val="JuHHead"/>
      </w:pPr>
      <w:r>
        <w:t>OBIECTUL CAUZEI</w:t>
      </w:r>
    </w:p>
    <w:p w:rsidR="00C55D78" w:rsidRPr="00C55D78" w:rsidRDefault="00C20445" w:rsidP="00C55D78">
      <w:pPr>
        <w:pStyle w:val="JuPara"/>
      </w:pPr>
      <w:fldSimple w:instr=" SEQ level0 \*arabic \* MERGEFORMAT ">
        <w:r w:rsidR="003959BC">
          <w:rPr>
            <w:noProof/>
          </w:rPr>
          <w:t>1</w:t>
        </w:r>
      </w:fldSimple>
      <w:r w:rsidR="00C55D78">
        <w:t>.  Cauza are ca obiect neacordarea de compensații reclamanților, în pofida unui drept care, potrivit acestora, este recunoscut de lege, pentru a compensa imposibilitatea de a exploata pădurile pe care le dețin ca urmare a clasificării ca arii naturale protejate.</w:t>
      </w:r>
    </w:p>
    <w:p w:rsidR="00C55D78" w:rsidRPr="00C55D78" w:rsidRDefault="00C20445" w:rsidP="00C55D78">
      <w:pPr>
        <w:pStyle w:val="JuPara"/>
      </w:pPr>
      <w:fldSimple w:instr=" SEQ level0 \*arabic \* MERGEFORMAT ">
        <w:r w:rsidR="003959BC">
          <w:rPr>
            <w:noProof/>
          </w:rPr>
          <w:t>2</w:t>
        </w:r>
      </w:fldSimple>
      <w:r w:rsidR="00C55D78">
        <w:t>.  Fiecare dintre reclamanți este proprietarul unui teren cu vegetație forestieră, situat în județul Gorj, în suprafață de 6,35, de 16,538 și, respectiv, de 59,2 hectare.</w:t>
      </w:r>
    </w:p>
    <w:p w:rsidR="00C55D78" w:rsidRPr="00C55D78" w:rsidRDefault="00C20445" w:rsidP="00C55D78">
      <w:pPr>
        <w:pStyle w:val="JuPara"/>
      </w:pPr>
      <w:fldSimple w:instr=" SEQ level0 \*arabic \* MERGEFORMAT ">
        <w:r w:rsidR="003959BC">
          <w:rPr>
            <w:noProof/>
          </w:rPr>
          <w:t>3</w:t>
        </w:r>
      </w:fldSimple>
      <w:r w:rsidR="00C55D78">
        <w:t>.  Terenurile reclamanților au fost incluse în rețeaua „Natura 2000”, care reunește, la nivelul tuturor statelor membre ale Uniunii Europene, situri care prezintă o mare valoare din punctul de vedere al patrimoniului natural datorită faunei și florei excepționale pe care le conțin.</w:t>
      </w:r>
    </w:p>
    <w:p w:rsidR="00C55D78" w:rsidRPr="00C55D78" w:rsidRDefault="00C20445" w:rsidP="00C55D78">
      <w:pPr>
        <w:pStyle w:val="JuPara"/>
      </w:pPr>
      <w:fldSimple w:instr=" SEQ level0 \*arabic \* MERGEFORMAT ">
        <w:r w:rsidR="003959BC">
          <w:rPr>
            <w:noProof/>
          </w:rPr>
          <w:t>4</w:t>
        </w:r>
      </w:fldSimple>
      <w:r w:rsidR="00C55D78">
        <w:t>.  În conformitate cu dispozițiile aplicabile zonelor forestiere clasificate, proprietarii acestora au obligația de a întreține pădurile în cauză, dar nu le pot exploata în niciun fel. Potrivit Legii nr. 46/2008 – Codul silvic, aceștia au dreptul, în compensare, la despăgubiri.</w:t>
      </w:r>
    </w:p>
    <w:p w:rsidR="00C55D78" w:rsidRPr="00C55D78" w:rsidRDefault="00C20445" w:rsidP="00C55D78">
      <w:pPr>
        <w:pStyle w:val="JuPara"/>
      </w:pPr>
      <w:fldSimple w:instr=" SEQ level0 \*arabic \* MERGEFORMAT ">
        <w:r w:rsidR="003959BC">
          <w:rPr>
            <w:noProof/>
          </w:rPr>
          <w:t>5</w:t>
        </w:r>
      </w:fldSimple>
      <w:r w:rsidR="00C55D78">
        <w:t>.  În urma încadrării terenurilor lor forestiere în rețea, reclamanții au încheiat cu ocolurile silvice locale contracte de prestări servicii silvice în care se prevedea că aceștia întrețin, pe cheltuială proprie, pădurile respective.</w:t>
      </w:r>
    </w:p>
    <w:p w:rsidR="00C55D78" w:rsidRPr="00C55D78" w:rsidRDefault="00C20445" w:rsidP="00C55D78">
      <w:pPr>
        <w:pStyle w:val="JuPara"/>
      </w:pPr>
      <w:fldSimple w:instr=" SEQ level0 \*arabic \* MERGEFORMAT ">
        <w:bookmarkStart w:id="1" w:name="paragraph00006"/>
        <w:r w:rsidR="003959BC">
          <w:rPr>
            <w:noProof/>
          </w:rPr>
          <w:t>6</w:t>
        </w:r>
        <w:bookmarkEnd w:id="1"/>
      </w:fldSimple>
      <w:r w:rsidR="00C55D78">
        <w:t xml:space="preserve">.  În cadrul acțiunilor în contencios administrativ introduse de reclamanți, aceștia au luat cunoștință, prin intermediul unui act întocmit de ocolul silvic </w:t>
      </w:r>
      <w:r w:rsidR="00C55D78">
        <w:lastRenderedPageBreak/>
        <w:t>local la 2 decembrie 2015 (în cazul celui de-al treilea reclamant) și, respectiv, 29 aprilie 2016 (în cazul primelor două reclamante), de faptul că:</w:t>
      </w:r>
    </w:p>
    <w:p w:rsidR="00C55D78" w:rsidRPr="00C55D78" w:rsidRDefault="00C55D78" w:rsidP="00C55D78">
      <w:pPr>
        <w:pStyle w:val="JuPara"/>
      </w:pPr>
      <w:r>
        <w:t>a) al treilea reclamant avea dreptul, pentru anii 2011, 2012, 2013, 2014 și 2015, la compensații în cuantum de 53 638,02 RON [12 026 euro (EUR) la cursul de schimb din decembrie 2015], sumă care corespunde în principal valorii masei lemnoase nerecoltate în anii respectivi;</w:t>
      </w:r>
    </w:p>
    <w:p w:rsidR="00C55D78" w:rsidRPr="00C55D78" w:rsidRDefault="00C55D78" w:rsidP="00C55D78">
      <w:pPr>
        <w:pStyle w:val="JuPara"/>
      </w:pPr>
      <w:r>
        <w:t>b) primele două reclamante aveau dreptul, pentru anii 2012, 2013 și 2014, la compensații în cuantum de 16 675 530 RON (3 730 EUR la cursul de schimb din aprilie 2016) în cazul primei reclamante și 41 743,23 RON (9 400 EUR la cursul de schimb din aprilie 2016) în cazul celei de</w:t>
      </w:r>
      <w:r>
        <w:noBreakHyphen/>
        <w:t>a doua reclamante, sume care corespund în principal valorii masei lemnoase nerecoltate în anii respectivi.</w:t>
      </w:r>
    </w:p>
    <w:p w:rsidR="00C55D78" w:rsidRPr="00C55D78" w:rsidRDefault="00C20445" w:rsidP="00C55D78">
      <w:pPr>
        <w:pStyle w:val="JuPara"/>
      </w:pPr>
      <w:fldSimple w:instr=" SEQ level0 \*arabic \* MERGEFORMAT ">
        <w:r w:rsidR="003959BC">
          <w:rPr>
            <w:noProof/>
          </w:rPr>
          <w:t>7</w:t>
        </w:r>
      </w:fldSimple>
      <w:r w:rsidR="00C55D78">
        <w:t>.  La 15 septembrie 2016, reclamantele au introdus, împotriva Ministerului Mediului, o acțiune comună în contencios administrativ pentru a solicita sumele în discuție. La 25 octombrie 2016, al treilea reclamant a introdus separat o acțiune similară.</w:t>
      </w:r>
    </w:p>
    <w:p w:rsidR="00C55D78" w:rsidRPr="00C55D78" w:rsidRDefault="00C20445" w:rsidP="00C55D78">
      <w:pPr>
        <w:pStyle w:val="JuPara"/>
      </w:pPr>
      <w:fldSimple w:instr=" SEQ level0 \*arabic \* MERGEFORMAT ">
        <w:bookmarkStart w:id="2" w:name="paragraph00008"/>
        <w:r w:rsidR="003959BC">
          <w:rPr>
            <w:noProof/>
          </w:rPr>
          <w:t>8</w:t>
        </w:r>
        <w:bookmarkEnd w:id="2"/>
      </w:fldSimple>
      <w:r w:rsidR="00C55D78">
        <w:t>.  Prin două hotărâri din 29 noiembrie 2016 și din 23 ianuarie 2017, Curtea de Apel Craiova a respins acțiunile, cu motivarea că una din cele două condiții necesare pentru acordarea despăgubirilor în temeiul Codului silvic, și anume adoptarea de către Guvern a unor norme metodologice de acordare a compensațiilor, nu era îndeplinită în speță pentru perioada de referință. Într-adevăr, deși avizul favorabil emis la 19 iulie 2012 de Comisia Europeană cu privire la sistemul de compensații prevăzut de stat îndeplinea prima condiție, curtea de apel a constatat, în schimb, că Guvernul încă nu aprobase normele metodologice în cauză.</w:t>
      </w:r>
    </w:p>
    <w:p w:rsidR="00C55D78" w:rsidRPr="00C55D78" w:rsidRDefault="00C20445" w:rsidP="00C55D78">
      <w:pPr>
        <w:pStyle w:val="JuPara"/>
      </w:pPr>
      <w:fldSimple w:instr=" SEQ level0 \*arabic \* MERGEFORMAT ">
        <w:bookmarkStart w:id="3" w:name="paragraph00009"/>
        <w:r w:rsidR="003959BC">
          <w:rPr>
            <w:noProof/>
          </w:rPr>
          <w:t>9</w:t>
        </w:r>
        <w:bookmarkEnd w:id="3"/>
      </w:fldSimple>
      <w:r w:rsidR="00C55D78">
        <w:t>.  Prin decizia din 13 martie 2019 (pusă la dispoziția reclamantelor la 3 iunie 2020) și cea din 24 septembrie 2019 (pusă la dispoziția reclamantului la 15 mai 2020), Înalta Curte de Casație și Justiție („Înalta Curte”), învestită cu soluționarea recursurilor formulate de reclamanți, a constatat că hotărârile pronunțate în primă instanță sunt temeinice, reiterând constatarea privind lipsa unei hotărâri a Guvernului care să stabilească norme metodologice de acordare a compensațiilor cuvenite pentru perioadele solicitate.</w:t>
      </w:r>
    </w:p>
    <w:p w:rsidR="00C55D78" w:rsidRPr="00C55D78" w:rsidRDefault="00C20445" w:rsidP="00C55D78">
      <w:pPr>
        <w:pStyle w:val="JuPara"/>
      </w:pPr>
      <w:fldSimple w:instr=" SEQ level0 \*arabic \* MERGEFORMAT ">
        <w:r w:rsidR="003959BC">
          <w:rPr>
            <w:noProof/>
          </w:rPr>
          <w:t>10</w:t>
        </w:r>
      </w:fldSimple>
      <w:r w:rsidR="00C55D78">
        <w:t>.  Reclamanții se plâng de refuzul autorităților naționale de a le plăti compensațiile în litigiu și consideră că acest refuz constituie o ingerință în exercitarea dreptului lor de a beneficia de terenurile lor forestiere, ingerință care contravine art. 1 din Protocolul nr. 1 la Convenție.</w:t>
      </w:r>
    </w:p>
    <w:p w:rsidR="00C55D78" w:rsidRPr="00C55D78" w:rsidRDefault="00C55D78" w:rsidP="00C55D78">
      <w:pPr>
        <w:pStyle w:val="JuHHead"/>
      </w:pPr>
      <w:r>
        <w:t>MOTIVAREA CURȚII</w:t>
      </w:r>
    </w:p>
    <w:p w:rsidR="00C55D78" w:rsidRPr="00C55D78" w:rsidRDefault="00C20445" w:rsidP="00C55D78">
      <w:pPr>
        <w:pStyle w:val="JuPara"/>
      </w:pPr>
      <w:fldSimple w:instr=" SEQ level0 \*arabic \* MERGEFORMAT ">
        <w:r w:rsidR="003959BC">
          <w:rPr>
            <w:noProof/>
          </w:rPr>
          <w:t>11</w:t>
        </w:r>
      </w:fldSimple>
      <w:r w:rsidR="00C55D78">
        <w:t>.  Având în vedere similaritatea obiectului cererilor, Curtea consideră oportună conexarea și examinarea acestora împreună într-o hotărâre unică (art. 42 § 1 din Regulamentul Curții).</w:t>
      </w:r>
    </w:p>
    <w:p w:rsidR="00C55D78" w:rsidRPr="00C55D78" w:rsidRDefault="00C55D78" w:rsidP="00C55D78">
      <w:pPr>
        <w:pStyle w:val="JuHIRoman"/>
      </w:pPr>
      <w:r>
        <w:lastRenderedPageBreak/>
        <w:t>CU PRIVIRE LA PRETINSA ÎNCĂLCARE A ART. 1 DIN PROTOCOLUL NR. 1 LA CONVENȚIE</w:t>
      </w:r>
    </w:p>
    <w:p w:rsidR="00C55D78" w:rsidRPr="00C55D78" w:rsidRDefault="00C55D78" w:rsidP="00C55D78">
      <w:pPr>
        <w:pStyle w:val="JuHA"/>
      </w:pPr>
      <w:r>
        <w:t>Cu privire la admisibilitate</w:t>
      </w:r>
    </w:p>
    <w:p w:rsidR="00C55D78" w:rsidRPr="00C55D78" w:rsidRDefault="00C55D78" w:rsidP="00C55D78">
      <w:pPr>
        <w:pStyle w:val="JuH1"/>
      </w:pPr>
      <w:r>
        <w:t>Cu privire la excepția de neepuizare a căilor de atac interne, comună celor trei cereri</w:t>
      </w:r>
    </w:p>
    <w:p w:rsidR="00C55D78" w:rsidRPr="00C55D78" w:rsidRDefault="00C55D78" w:rsidP="00C55D78">
      <w:pPr>
        <w:pStyle w:val="JuPara"/>
        <w:rPr>
          <w:rFonts w:eastAsia="Times New Roman"/>
        </w:rPr>
      </w:pPr>
      <w:r w:rsidRPr="00C55D78">
        <w:rPr>
          <w:rFonts w:eastAsia="Times New Roman"/>
        </w:rPr>
        <w:fldChar w:fldCharType="begin"/>
      </w:r>
      <w:r w:rsidRPr="00C55D78">
        <w:rPr>
          <w:rFonts w:eastAsia="Times New Roman"/>
        </w:rPr>
        <w:instrText xml:space="preserve"> SEQ level0 \*arabic \* MERGEFORMAT </w:instrText>
      </w:r>
      <w:r w:rsidRPr="00C55D78">
        <w:rPr>
          <w:rFonts w:eastAsia="Times New Roman"/>
        </w:rPr>
        <w:fldChar w:fldCharType="separate"/>
      </w:r>
      <w:bookmarkStart w:id="4" w:name="paragraph00013"/>
      <w:r w:rsidR="003959BC">
        <w:rPr>
          <w:rFonts w:eastAsia="Times New Roman"/>
          <w:noProof/>
        </w:rPr>
        <w:t>12</w:t>
      </w:r>
      <w:bookmarkEnd w:id="4"/>
      <w:r w:rsidRPr="00C55D78">
        <w:rPr>
          <w:rFonts w:eastAsia="Times New Roman"/>
        </w:rPr>
        <w:fldChar w:fldCharType="end"/>
      </w:r>
      <w:r>
        <w:t>.  Potrivit Guvernului, reclamanții ar fi trebuit să introducă o acțiune în fața instanțelor administrative, în temeiul dispozițiilor privind acțiunea având ca obiect obligația de a face, în vederea constatării neîndeplinirii de către statul pârât a obligației de a adopta într-un termen rezonabil și de a publica în Monitorul Oficial hotărârea privind stabilirea metodologiei pentru acordarea compensațiilor prevăzute de Legea nr. 46/2008 pentru perioada 2012–2014. De asemenea, acesta reproșează reclamanților că nu au introdus în fața instanțelor administrative acțiuni în vederea sancționării cu amendă a autorității publice în cadrul procedurii prevăzute la art. 24 din Legea contenciosului administrativ nr. 554/2004.</w:t>
      </w:r>
    </w:p>
    <w:p w:rsidR="00C55D78" w:rsidRPr="00C55D78" w:rsidRDefault="00C20445" w:rsidP="00C55D78">
      <w:pPr>
        <w:pStyle w:val="JuPara"/>
      </w:pPr>
      <w:fldSimple w:instr=" SEQ level0 \*arabic \* MERGEFORMAT ">
        <w:r w:rsidR="003959BC">
          <w:rPr>
            <w:noProof/>
          </w:rPr>
          <w:t>13</w:t>
        </w:r>
      </w:fldSimple>
      <w:r w:rsidR="00C55D78">
        <w:t xml:space="preserve">.  Curtea reamintește principiile generale referitoare la epuizarea căilor de atac interne, astfel cum sunt enunțate în hotărârea </w:t>
      </w:r>
      <w:proofErr w:type="spellStart"/>
      <w:r w:rsidR="00C55D78">
        <w:rPr>
          <w:i/>
        </w:rPr>
        <w:t>Vučković</w:t>
      </w:r>
      <w:proofErr w:type="spellEnd"/>
      <w:r w:rsidR="00C55D78">
        <w:rPr>
          <w:i/>
        </w:rPr>
        <w:t xml:space="preserve"> și alții împotriva Serbiei</w:t>
      </w:r>
      <w:r w:rsidR="00C55D78">
        <w:t xml:space="preserve"> [(excepție preliminară) (MC), nr. 17153/11 și alte 29, pct. 69-77, 25 martie 2014].</w:t>
      </w:r>
    </w:p>
    <w:p w:rsidR="00C55D78" w:rsidRPr="00C55D78" w:rsidRDefault="00C55D78" w:rsidP="00C55D78">
      <w:pPr>
        <w:pStyle w:val="JuPara"/>
        <w:rPr>
          <w:rFonts w:eastAsia="Times New Roman"/>
        </w:rPr>
      </w:pPr>
      <w:r w:rsidRPr="00C55D78">
        <w:rPr>
          <w:rFonts w:eastAsia="Times New Roman"/>
        </w:rPr>
        <w:fldChar w:fldCharType="begin"/>
      </w:r>
      <w:r w:rsidRPr="00C55D78">
        <w:rPr>
          <w:rFonts w:eastAsia="Times New Roman"/>
        </w:rPr>
        <w:instrText xml:space="preserve"> SEQ level0 \*arabic \* MERGEFORMAT </w:instrText>
      </w:r>
      <w:r w:rsidRPr="00C55D78">
        <w:rPr>
          <w:rFonts w:eastAsia="Times New Roman"/>
        </w:rPr>
        <w:fldChar w:fldCharType="separate"/>
      </w:r>
      <w:r w:rsidR="003959BC">
        <w:rPr>
          <w:rFonts w:eastAsia="Times New Roman"/>
          <w:noProof/>
        </w:rPr>
        <w:t>14</w:t>
      </w:r>
      <w:r w:rsidRPr="00C55D78">
        <w:rPr>
          <w:rFonts w:eastAsia="Times New Roman"/>
        </w:rPr>
        <w:fldChar w:fldCharType="end"/>
      </w:r>
      <w:r>
        <w:t>.  Având în vedere principiul potrivit căruia, pentru a fi considerată efectivă, o acțiune trebuie să poată remedia în mod direct situația în litigiu [</w:t>
      </w:r>
      <w:r>
        <w:rPr>
          <w:i/>
          <w:iCs/>
        </w:rPr>
        <w:t>Balogh împotriva Ungariei</w:t>
      </w:r>
      <w:r>
        <w:t xml:space="preserve">, nr. 47940/99, pct. 30, 20 iulie 2004, și </w:t>
      </w:r>
      <w:proofErr w:type="spellStart"/>
      <w:r>
        <w:rPr>
          <w:i/>
          <w:iCs/>
        </w:rPr>
        <w:t>Sejdovic</w:t>
      </w:r>
      <w:proofErr w:type="spellEnd"/>
      <w:r>
        <w:rPr>
          <w:i/>
          <w:iCs/>
        </w:rPr>
        <w:t xml:space="preserve"> împotriva Italiei</w:t>
      </w:r>
      <w:r>
        <w:t xml:space="preserve"> (MC), nr. 56581/00, pct. 46, CEDO 2006‐II], Curtea observă că acțiunile în contencios administrativ invocate (</w:t>
      </w:r>
      <w:r>
        <w:rPr>
          <w:i/>
          <w:iCs/>
        </w:rPr>
        <w:t>supra</w:t>
      </w:r>
      <w:r>
        <w:t>, pct. </w:t>
      </w:r>
      <w:r w:rsidRPr="00C55D78">
        <w:rPr>
          <w:rFonts w:eastAsia="Times New Roman"/>
        </w:rPr>
        <w:fldChar w:fldCharType="begin"/>
      </w:r>
      <w:r w:rsidRPr="00C55D78">
        <w:rPr>
          <w:rFonts w:eastAsia="Times New Roman"/>
        </w:rPr>
        <w:instrText xml:space="preserve"> REF paragraph00013 \h \* CharFormat \* MERGEFORMAT </w:instrText>
      </w:r>
      <w:r w:rsidRPr="00C55D78">
        <w:rPr>
          <w:rFonts w:eastAsia="Times New Roman"/>
        </w:rPr>
      </w:r>
      <w:r w:rsidRPr="00C55D78">
        <w:rPr>
          <w:rFonts w:eastAsia="Times New Roman"/>
        </w:rPr>
        <w:fldChar w:fldCharType="separate"/>
      </w:r>
      <w:r w:rsidR="003959BC">
        <w:rPr>
          <w:rFonts w:eastAsia="Times New Roman"/>
        </w:rPr>
        <w:t>12</w:t>
      </w:r>
      <w:r w:rsidRPr="00C55D78">
        <w:rPr>
          <w:rFonts w:eastAsia="Times New Roman"/>
        </w:rPr>
        <w:fldChar w:fldCharType="end"/>
      </w:r>
      <w:r>
        <w:t>) nu erau de natură să ducă în mod direct la plata compensațiilor solicitate, având doar scopul de a impune Guvernului o obligație de adoptare a normelor metodologice sau de a aplica o amendă acestuia. În consecință, Curtea nu poate admite primele două motive invocate de Guvern.</w:t>
      </w:r>
    </w:p>
    <w:p w:rsidR="00C55D78" w:rsidRPr="00C55D78" w:rsidRDefault="00C55D78" w:rsidP="00C55D78">
      <w:pPr>
        <w:pStyle w:val="JuPara"/>
        <w:rPr>
          <w:rFonts w:eastAsia="Times New Roman"/>
        </w:rPr>
      </w:pPr>
      <w:r w:rsidRPr="00C55D78">
        <w:rPr>
          <w:rFonts w:eastAsia="Times New Roman"/>
        </w:rPr>
        <w:fldChar w:fldCharType="begin"/>
      </w:r>
      <w:r w:rsidRPr="00C55D78">
        <w:rPr>
          <w:rFonts w:eastAsia="Times New Roman"/>
        </w:rPr>
        <w:instrText xml:space="preserve"> SEQ level0 \*arabic \* MERGEFORMAT </w:instrText>
      </w:r>
      <w:r w:rsidRPr="00C55D78">
        <w:rPr>
          <w:rFonts w:eastAsia="Times New Roman"/>
        </w:rPr>
        <w:fldChar w:fldCharType="separate"/>
      </w:r>
      <w:bookmarkStart w:id="5" w:name="paragraph00015"/>
      <w:r w:rsidR="003959BC">
        <w:rPr>
          <w:rFonts w:eastAsia="Times New Roman"/>
          <w:noProof/>
        </w:rPr>
        <w:t>15</w:t>
      </w:r>
      <w:bookmarkEnd w:id="5"/>
      <w:r w:rsidRPr="00C55D78">
        <w:rPr>
          <w:rFonts w:eastAsia="Times New Roman"/>
        </w:rPr>
        <w:fldChar w:fldCharType="end"/>
      </w:r>
      <w:r>
        <w:t>.  Guvernul denunță, în plus, neexercitarea de către reclamanți a unei noi căi de atac disponibile în urma intrării în vigoare a Hotărârii Guvernului nr. 1370/2022 „privind aprobarea Normelor metodologice de acordare a contravalorii compensațiilor cuvenite în perioada 2010-2013 pentru masa lemnoasă nerecoltată din cauza funcțiilor de protecție stabilite prin amenajamente silvice, aferente acoperirii costurilor reclamate de gestionarea durabilă a pădurilor situate în siturile de importanță comunitară Natura 2000, pentru punerea în executare a hotărârilor judecătorești definitive”, publicată în Monitorul Oficial din 10 noiembrie 2022.</w:t>
      </w:r>
    </w:p>
    <w:p w:rsidR="00C55D78" w:rsidRPr="00C55D78" w:rsidRDefault="00C55D78" w:rsidP="00C55D78">
      <w:pPr>
        <w:pStyle w:val="JuPara"/>
        <w:rPr>
          <w:rFonts w:eastAsia="Times New Roman"/>
        </w:rPr>
      </w:pPr>
      <w:r w:rsidRPr="00C55D78">
        <w:rPr>
          <w:rFonts w:eastAsia="Times New Roman"/>
        </w:rPr>
        <w:fldChar w:fldCharType="begin"/>
      </w:r>
      <w:r w:rsidRPr="00C55D78">
        <w:rPr>
          <w:rFonts w:eastAsia="Times New Roman"/>
        </w:rPr>
        <w:instrText xml:space="preserve"> SEQ level0 \*arabic \* MERGEFORMAT </w:instrText>
      </w:r>
      <w:r w:rsidRPr="00C55D78">
        <w:rPr>
          <w:rFonts w:eastAsia="Times New Roman"/>
        </w:rPr>
        <w:fldChar w:fldCharType="separate"/>
      </w:r>
      <w:r w:rsidR="003959BC">
        <w:rPr>
          <w:rFonts w:eastAsia="Times New Roman"/>
          <w:noProof/>
        </w:rPr>
        <w:t>16</w:t>
      </w:r>
      <w:r w:rsidRPr="00C55D78">
        <w:rPr>
          <w:rFonts w:eastAsia="Times New Roman"/>
        </w:rPr>
        <w:fldChar w:fldCharType="end"/>
      </w:r>
      <w:r>
        <w:t>.  În baza unei decizii pronunțate la 12 octombrie 2023 de Curtea de Apel Pitești în cadrul unei proceduri introduse în temeiul hotărârii în discuție (</w:t>
      </w:r>
      <w:r>
        <w:rPr>
          <w:i/>
          <w:iCs/>
        </w:rPr>
        <w:t>supra</w:t>
      </w:r>
      <w:r>
        <w:t>, pct. </w:t>
      </w:r>
      <w:r w:rsidRPr="00C55D78">
        <w:rPr>
          <w:rFonts w:eastAsia="Times New Roman"/>
        </w:rPr>
        <w:fldChar w:fldCharType="begin"/>
      </w:r>
      <w:r w:rsidRPr="00C55D78">
        <w:rPr>
          <w:rFonts w:eastAsia="Times New Roman"/>
        </w:rPr>
        <w:instrText xml:space="preserve"> REF paragraph00015 \h \* CharFormat \* MERGEFORMAT </w:instrText>
      </w:r>
      <w:r w:rsidRPr="00C55D78">
        <w:rPr>
          <w:rFonts w:eastAsia="Times New Roman"/>
        </w:rPr>
      </w:r>
      <w:r w:rsidRPr="00C55D78">
        <w:rPr>
          <w:rFonts w:eastAsia="Times New Roman"/>
        </w:rPr>
        <w:fldChar w:fldCharType="separate"/>
      </w:r>
      <w:r w:rsidR="003959BC">
        <w:rPr>
          <w:rFonts w:eastAsia="Times New Roman"/>
        </w:rPr>
        <w:t>15</w:t>
      </w:r>
      <w:r w:rsidRPr="00C55D78">
        <w:rPr>
          <w:rFonts w:eastAsia="Times New Roman"/>
        </w:rPr>
        <w:fldChar w:fldCharType="end"/>
      </w:r>
      <w:r>
        <w:t xml:space="preserve">), reclamanții răspund că această hotărâre a Guvernului se aplică numai în cazul în care printr-o hotărâre judecătorească definitivă s-au </w:t>
      </w:r>
      <w:r>
        <w:lastRenderedPageBreak/>
        <w:t>acordat anterior compensații persoanelor în cauză, situație despre care susțin că nu li se aplica lor în speță.</w:t>
      </w:r>
    </w:p>
    <w:p w:rsidR="00C55D78" w:rsidRPr="00C55D78" w:rsidRDefault="00C55D78" w:rsidP="00C55D78">
      <w:pPr>
        <w:pStyle w:val="JuPara"/>
        <w:rPr>
          <w:rFonts w:eastAsia="Times New Roman"/>
        </w:rPr>
      </w:pPr>
      <w:r w:rsidRPr="00C55D78">
        <w:rPr>
          <w:rFonts w:eastAsia="Times New Roman"/>
        </w:rPr>
        <w:fldChar w:fldCharType="begin"/>
      </w:r>
      <w:r w:rsidRPr="00C55D78">
        <w:rPr>
          <w:rFonts w:eastAsia="Times New Roman"/>
        </w:rPr>
        <w:instrText xml:space="preserve"> SEQ level0 \*arabic \* MERGEFORMAT </w:instrText>
      </w:r>
      <w:r w:rsidRPr="00C55D78">
        <w:rPr>
          <w:rFonts w:eastAsia="Times New Roman"/>
        </w:rPr>
        <w:fldChar w:fldCharType="separate"/>
      </w:r>
      <w:bookmarkStart w:id="6" w:name="paragraph00017"/>
      <w:r w:rsidR="003959BC">
        <w:rPr>
          <w:rFonts w:eastAsia="Times New Roman"/>
          <w:noProof/>
        </w:rPr>
        <w:t>17</w:t>
      </w:r>
      <w:bookmarkEnd w:id="6"/>
      <w:r w:rsidRPr="00C55D78">
        <w:rPr>
          <w:rFonts w:eastAsia="Times New Roman"/>
        </w:rPr>
        <w:fldChar w:fldCharType="end"/>
      </w:r>
      <w:r>
        <w:t>.  Curtea constată că Hotărârea Guvernului nr. 1370/2022 urmărea să asigure punerea în executare a hotărârilor judecătorești definitive pronunțate în favoarea anumitor proprietari de păduri situate în siturile de importanță comunitară Natura 2000. Însă reclamanții nu se aflau într-o astfel de situație, întrucât acțiunea lor în justiție nu a avut câștig de cauză (</w:t>
      </w:r>
      <w:r>
        <w:rPr>
          <w:i/>
          <w:iCs/>
        </w:rPr>
        <w:t>supra</w:t>
      </w:r>
      <w:r>
        <w:t>, pct. </w:t>
      </w:r>
      <w:r w:rsidRPr="00C55D78">
        <w:rPr>
          <w:rFonts w:eastAsia="Times New Roman"/>
        </w:rPr>
        <w:fldChar w:fldCharType="begin"/>
      </w:r>
      <w:r w:rsidRPr="00C55D78">
        <w:rPr>
          <w:rFonts w:eastAsia="Times New Roman"/>
        </w:rPr>
        <w:instrText xml:space="preserve"> REF paragraph00008 \h \* CharFormat \* MERGEFORMAT </w:instrText>
      </w:r>
      <w:r w:rsidRPr="00C55D78">
        <w:rPr>
          <w:rFonts w:eastAsia="Times New Roman"/>
        </w:rPr>
      </w:r>
      <w:r w:rsidRPr="00C55D78">
        <w:rPr>
          <w:rFonts w:eastAsia="Times New Roman"/>
        </w:rPr>
        <w:fldChar w:fldCharType="separate"/>
      </w:r>
      <w:r w:rsidR="003959BC" w:rsidRPr="003959BC">
        <w:rPr>
          <w:rFonts w:eastAsia="Times New Roman"/>
        </w:rPr>
        <w:t>8</w:t>
      </w:r>
      <w:r w:rsidRPr="00C55D78">
        <w:rPr>
          <w:rFonts w:eastAsia="Times New Roman"/>
        </w:rPr>
        <w:fldChar w:fldCharType="end"/>
      </w:r>
      <w:r>
        <w:t xml:space="preserve"> și </w:t>
      </w:r>
      <w:r w:rsidRPr="00C55D78">
        <w:rPr>
          <w:rFonts w:eastAsia="Times New Roman"/>
        </w:rPr>
        <w:fldChar w:fldCharType="begin"/>
      </w:r>
      <w:r w:rsidRPr="00C55D78">
        <w:rPr>
          <w:rFonts w:eastAsia="Times New Roman"/>
        </w:rPr>
        <w:instrText xml:space="preserve"> REF paragraph00009 \h \* CharFormat \* MERGEFORMAT </w:instrText>
      </w:r>
      <w:r w:rsidRPr="00C55D78">
        <w:rPr>
          <w:rFonts w:eastAsia="Times New Roman"/>
        </w:rPr>
      </w:r>
      <w:r w:rsidRPr="00C55D78">
        <w:rPr>
          <w:rFonts w:eastAsia="Times New Roman"/>
        </w:rPr>
        <w:fldChar w:fldCharType="separate"/>
      </w:r>
      <w:r w:rsidR="003959BC" w:rsidRPr="003959BC">
        <w:rPr>
          <w:rFonts w:eastAsia="Times New Roman"/>
        </w:rPr>
        <w:t>9</w:t>
      </w:r>
      <w:r w:rsidRPr="00C55D78">
        <w:rPr>
          <w:rFonts w:eastAsia="Times New Roman"/>
        </w:rPr>
        <w:fldChar w:fldCharType="end"/>
      </w:r>
      <w:r>
        <w:t>). În consecință, noua cale de atac indicată de Guvern nu era disponibilă reclamanților. Rezultă că excepția de neepuizare a căilor de atac interne ridicată de Guvern trebuie să fie respinsă.</w:t>
      </w:r>
    </w:p>
    <w:p w:rsidR="00C55D78" w:rsidRPr="00C55D78" w:rsidRDefault="00C55D78" w:rsidP="00C55D78">
      <w:pPr>
        <w:pStyle w:val="JuH1"/>
        <w:rPr>
          <w:rFonts w:eastAsia="Times New Roman"/>
        </w:rPr>
      </w:pPr>
      <w:r>
        <w:t>Cu privire la excepția tardivității cererii nr. 52855/20</w:t>
      </w:r>
    </w:p>
    <w:p w:rsidR="00C55D78" w:rsidRPr="00C55D78" w:rsidRDefault="00C55D78" w:rsidP="00C55D78">
      <w:pPr>
        <w:pStyle w:val="JuPara"/>
        <w:rPr>
          <w:rFonts w:ascii="Times New Roman" w:eastAsia="Times New Roman" w:hAnsi="Times New Roman" w:cs="Times New Roman"/>
        </w:rPr>
      </w:pPr>
      <w:r w:rsidRPr="00C55D78">
        <w:rPr>
          <w:rFonts w:ascii="Times New Roman" w:eastAsia="Times New Roman" w:hAnsi="Times New Roman" w:cs="Times New Roman"/>
        </w:rPr>
        <w:fldChar w:fldCharType="begin"/>
      </w:r>
      <w:r w:rsidRPr="00C55D78">
        <w:rPr>
          <w:rFonts w:ascii="Times New Roman" w:eastAsia="Times New Roman" w:hAnsi="Times New Roman" w:cs="Times New Roman"/>
        </w:rPr>
        <w:instrText xml:space="preserve"> SEQ level0 \*arabic \* MERGEFORMAT </w:instrText>
      </w:r>
      <w:r w:rsidRPr="00C55D78">
        <w:rPr>
          <w:rFonts w:ascii="Times New Roman" w:eastAsia="Times New Roman" w:hAnsi="Times New Roman" w:cs="Times New Roman"/>
        </w:rPr>
        <w:fldChar w:fldCharType="separate"/>
      </w:r>
      <w:r w:rsidR="003959BC">
        <w:rPr>
          <w:rFonts w:ascii="Times New Roman" w:eastAsia="Times New Roman" w:hAnsi="Times New Roman" w:cs="Times New Roman"/>
          <w:noProof/>
        </w:rPr>
        <w:t>18</w:t>
      </w:r>
      <w:r w:rsidRPr="00C55D78">
        <w:rPr>
          <w:rFonts w:ascii="Times New Roman" w:eastAsia="Times New Roman" w:hAnsi="Times New Roman" w:cs="Times New Roman"/>
        </w:rPr>
        <w:fldChar w:fldCharType="end"/>
      </w:r>
      <w:r>
        <w:rPr>
          <w:rFonts w:ascii="Times New Roman" w:hAnsi="Times New Roman"/>
        </w:rPr>
        <w:t>.  Guvernul susține că cererea nr. 52855/20 a fost tardivă, motivând că a fost introdusă la 19 noiembrie 2020, deși decizia internă definitivă, pronunțată de Înalta Curte la 24 septembrie 2019, fusese comunicată reclamantului la 15 mai 2020.</w:t>
      </w:r>
    </w:p>
    <w:p w:rsidR="00C55D78" w:rsidRPr="00C55D78" w:rsidRDefault="00C20445" w:rsidP="00C55D78">
      <w:pPr>
        <w:pStyle w:val="JuPara"/>
      </w:pPr>
      <w:fldSimple w:instr=" SEQ level0 \*arabic \* MERGEFORMAT ">
        <w:r w:rsidR="003959BC">
          <w:rPr>
            <w:noProof/>
          </w:rPr>
          <w:t>19</w:t>
        </w:r>
      </w:fldSimple>
      <w:r w:rsidR="00C55D78">
        <w:t xml:space="preserve">.  Principiile generale referitoare la termenele de introducere a cererilor la Curte, în sensul art. 35 § 1 din Convenție, au fost rezumate în hotărârea </w:t>
      </w:r>
      <w:bookmarkStart w:id="7" w:name="_cl15500ENDROIT"/>
      <w:proofErr w:type="spellStart"/>
      <w:r w:rsidR="00C55D78">
        <w:rPr>
          <w:i/>
          <w:iCs/>
        </w:rPr>
        <w:t>Sabri</w:t>
      </w:r>
      <w:proofErr w:type="spellEnd"/>
      <w:r w:rsidR="00C55D78">
        <w:rPr>
          <w:i/>
          <w:iCs/>
        </w:rPr>
        <w:t xml:space="preserve"> </w:t>
      </w:r>
      <w:proofErr w:type="spellStart"/>
      <w:r w:rsidR="00C55D78">
        <w:rPr>
          <w:i/>
          <w:iCs/>
        </w:rPr>
        <w:t>Güneş</w:t>
      </w:r>
      <w:proofErr w:type="spellEnd"/>
      <w:r w:rsidR="00C55D78">
        <w:rPr>
          <w:i/>
          <w:iCs/>
        </w:rPr>
        <w:t xml:space="preserve"> împotriva Turciei</w:t>
      </w:r>
      <w:bookmarkEnd w:id="7"/>
      <w:r w:rsidR="00C55D78">
        <w:t xml:space="preserve"> [(MC), nr. 27396/06, pct. 29 și 39</w:t>
      </w:r>
      <w:r w:rsidR="00C55D78">
        <w:noBreakHyphen/>
        <w:t xml:space="preserve">42, 29 iunie 2012, precum și trimiterile citate acolo]. În special, Curtea amintește că regula celor 6 luni este o normă de ordine publică și că, în fiecare cauză cu care este sesizată, trebuie să se asigure că acest termen a fost respectat [a se vedea, de asemenea, </w:t>
      </w:r>
      <w:proofErr w:type="spellStart"/>
      <w:r w:rsidR="00C55D78">
        <w:rPr>
          <w:i/>
          <w:iCs/>
        </w:rPr>
        <w:t>Masse</w:t>
      </w:r>
      <w:proofErr w:type="spellEnd"/>
      <w:r w:rsidR="00C55D78">
        <w:rPr>
          <w:i/>
          <w:iCs/>
        </w:rPr>
        <w:t xml:space="preserve"> împotriva Franței</w:t>
      </w:r>
      <w:r w:rsidR="00C55D78">
        <w:t xml:space="preserve"> (dec.), nr. 47506/20, pct. 21, 25 martie 2025].</w:t>
      </w:r>
    </w:p>
    <w:p w:rsidR="00C55D78" w:rsidRPr="00C55D78" w:rsidRDefault="00C20445" w:rsidP="00C55D78">
      <w:pPr>
        <w:pStyle w:val="JuPara"/>
      </w:pPr>
      <w:fldSimple w:instr=" SEQ level0 \*arabic \* MERGEFORMAT ">
        <w:r w:rsidR="003959BC">
          <w:rPr>
            <w:noProof/>
          </w:rPr>
          <w:t>20</w:t>
        </w:r>
      </w:fldSimple>
      <w:r w:rsidR="00C55D78">
        <w:t xml:space="preserve">.  În speță, astfel cum arată Guvernul în susținerea probelor privind comunicarea, ultima decizie internă a fost primită de reclamant la 15 mai 2020. Termenul pentru introducerea cererii în fața Curții se împlinea în mod normal 6 luni calendaristice mai târziu, respectiv la 15 noiembrie 2020 (a se vedea decizia </w:t>
      </w:r>
      <w:proofErr w:type="spellStart"/>
      <w:r w:rsidR="00C55D78">
        <w:rPr>
          <w:i/>
          <w:iCs/>
        </w:rPr>
        <w:t>Masse</w:t>
      </w:r>
      <w:proofErr w:type="spellEnd"/>
      <w:r w:rsidR="00C55D78">
        <w:t>, citată anterior, pct. 22).</w:t>
      </w:r>
    </w:p>
    <w:bookmarkStart w:id="8" w:name="p22"/>
    <w:p w:rsidR="00C55D78" w:rsidRPr="00C55D78" w:rsidRDefault="00C55D78" w:rsidP="00C55D78">
      <w:pPr>
        <w:pStyle w:val="JuPara"/>
      </w:pPr>
      <w:r w:rsidRPr="00C55D78">
        <w:fldChar w:fldCharType="begin"/>
      </w:r>
      <w:r w:rsidRPr="00C55D78">
        <w:instrText xml:space="preserve"> SEQ level0 \*arabic \* MERGEFORMAT </w:instrText>
      </w:r>
      <w:r w:rsidRPr="00C55D78">
        <w:fldChar w:fldCharType="separate"/>
      </w:r>
      <w:r w:rsidR="003959BC">
        <w:rPr>
          <w:noProof/>
        </w:rPr>
        <w:t>21</w:t>
      </w:r>
      <w:r w:rsidRPr="00C55D78">
        <w:fldChar w:fldCharType="end"/>
      </w:r>
      <w:bookmarkEnd w:id="8"/>
      <w:r>
        <w:t xml:space="preserve">.  În decizia </w:t>
      </w:r>
      <w:bookmarkStart w:id="9" w:name="_cl44199APPRÉCIATIONDELACOUR"/>
      <w:proofErr w:type="spellStart"/>
      <w:r>
        <w:rPr>
          <w:i/>
          <w:iCs/>
        </w:rPr>
        <w:t>Saakashvili</w:t>
      </w:r>
      <w:proofErr w:type="spellEnd"/>
      <w:r>
        <w:rPr>
          <w:i/>
          <w:iCs/>
        </w:rPr>
        <w:t xml:space="preserve"> împotriva Georgiei</w:t>
      </w:r>
      <w:bookmarkEnd w:id="9"/>
      <w:r>
        <w:t xml:space="preserve"> (nr. 6232/20 și 22394/20, pct. 49, 23 mai 2024), Curtea a declarat următoarele (traducerea grefei):</w:t>
      </w:r>
    </w:p>
    <w:p w:rsidR="00C55D78" w:rsidRPr="00C55D78" w:rsidRDefault="00C55D78" w:rsidP="00C55D78">
      <w:pPr>
        <w:pStyle w:val="JuQuot"/>
      </w:pPr>
      <w:r>
        <w:t>„[...] [L]a 11 martie 2020, Organizația Mondială a Sănătății a declarat o urgență de sănătate publică de interes internațional – cel mai înalt nivel de alertă – din cauza izbucnirii la nivel mondial a pandemiei [...] Covid-19 [...]. Având în vedere aceste evoluții, la 16 martie și 9 aprilie 2020, președintele Curții a anunțat adoptarea mai multor măsuri excepționale pentru a permite reclamanților, Înaltelor Părți Contractante și Curții să atenueze dificultățile survenite. Una dintre consecințele acestor măsuri (adoptate de președinte în exercitarea competenței sale, pe care i-o conferă art. 9 din Regulamentul Curții, de a conduce lucrările și serviciile Curții) a fost că grefa Curții a trebuit să înregistreze cererile nou primite fără a aduce atingere niciunei hotărâri judecătorești ulterioare în materie, adăugând 3 luni în total la calcularea duratei celor 6 luni pentru fiecare termen de 6 luni calendaristice care începuse să curgă sau, în caz contrar, care trebuia să se împlinească în orice moment între 16 martie și 15 iunie 2020.”</w:t>
      </w:r>
    </w:p>
    <w:p w:rsidR="00C55D78" w:rsidRPr="00C55D78" w:rsidRDefault="00C20445" w:rsidP="00C55D78">
      <w:pPr>
        <w:pStyle w:val="JuPara"/>
      </w:pPr>
      <w:fldSimple w:instr=" SEQ level0 \*arabic \* MERGEFORMAT ">
        <w:r w:rsidR="003959BC">
          <w:rPr>
            <w:noProof/>
          </w:rPr>
          <w:t>22</w:t>
        </w:r>
      </w:fldSimple>
      <w:r w:rsidR="00C55D78">
        <w:t xml:space="preserve">.  În continuare, Curtea a examinat consecințele impunerii bruște și neașteptate a măsurilor de izolare în aproape toate statele contractante din </w:t>
      </w:r>
      <w:r w:rsidR="00C55D78">
        <w:lastRenderedPageBreak/>
        <w:t>perspectiva necesității de a păstra dreptul de a introduce o cerere individuală și de a asigura respectarea angajamentelor Înaltelor Părți Contractante care decurg din Convenție, în sensul art. 19 și 34 din Convenție (</w:t>
      </w:r>
      <w:r w:rsidR="00C55D78">
        <w:rPr>
          <w:i/>
          <w:iCs/>
        </w:rPr>
        <w:t>ibidem</w:t>
      </w:r>
      <w:r w:rsidR="00C55D78">
        <w:t>, pct. 52</w:t>
      </w:r>
      <w:r w:rsidR="00C55D78">
        <w:noBreakHyphen/>
        <w:t>53). Aceasta a concluzionat că „în cazul în care termenul de 6 luni calendaristice a început să curgă sau, în caz contrar, trebuia să se împlinească în perioada anunțată în deciziile președintelui Curții (între 16 martie și 15 iunie 2020), termenul de 6 luni prevăzut la art. 35 § 1 din Convenție ar trebui considerat, în mod excepțional, ca fiind suspendat pentru 3 luni calendaristice în total” (</w:t>
      </w:r>
      <w:r w:rsidR="00C55D78">
        <w:rPr>
          <w:i/>
          <w:iCs/>
        </w:rPr>
        <w:t>ibidem</w:t>
      </w:r>
      <w:r w:rsidR="00C55D78">
        <w:t>, pct. 58).</w:t>
      </w:r>
    </w:p>
    <w:p w:rsidR="00C55D78" w:rsidRPr="00C55D78" w:rsidRDefault="00C20445" w:rsidP="00C55D78">
      <w:pPr>
        <w:pStyle w:val="JuPara"/>
      </w:pPr>
      <w:fldSimple w:instr=" SEQ level0 \*arabic \* MERGEFORMAT ">
        <w:r w:rsidR="003959BC">
          <w:rPr>
            <w:noProof/>
          </w:rPr>
          <w:t>23</w:t>
        </w:r>
      </w:fldSimple>
      <w:r w:rsidR="00C55D78">
        <w:t xml:space="preserve">.  În speță, în cazul reclamantului, termenul de 6 luni ar fi trebuit în mod normal să înceapă să curgă la 15 mai 2020, în perioada de derogare. Astfel, Curtea consideră că reclamantul a avut la dispoziție, în mod excepțional, 3 luni suplimentare – până la 15 februarie 2021 – pentru a sesiza Curtea. Întrucât cererea a fost introdusă la 19 noiembrie 2020, aceasta trebuie așadar să fie declarată admisibilă [a se vedea de asemenea, printre altele, </w:t>
      </w:r>
      <w:r w:rsidR="00C55D78">
        <w:rPr>
          <w:i/>
          <w:iCs/>
        </w:rPr>
        <w:t>X și alții împotriva Irlandei</w:t>
      </w:r>
      <w:r w:rsidR="00C55D78">
        <w:t xml:space="preserve">, nr. 23851/20 și 24360/20, pct. 58, 22 iunie 2023; </w:t>
      </w:r>
      <w:proofErr w:type="spellStart"/>
      <w:r w:rsidR="00C55D78">
        <w:rPr>
          <w:i/>
          <w:iCs/>
        </w:rPr>
        <w:t>Koilova</w:t>
      </w:r>
      <w:proofErr w:type="spellEnd"/>
      <w:r w:rsidR="00C55D78">
        <w:rPr>
          <w:i/>
          <w:iCs/>
        </w:rPr>
        <w:t xml:space="preserve"> și </w:t>
      </w:r>
      <w:proofErr w:type="spellStart"/>
      <w:r w:rsidR="00C55D78">
        <w:rPr>
          <w:i/>
          <w:iCs/>
        </w:rPr>
        <w:t>Babulkova</w:t>
      </w:r>
      <w:proofErr w:type="spellEnd"/>
      <w:r w:rsidR="00C55D78">
        <w:rPr>
          <w:i/>
          <w:iCs/>
        </w:rPr>
        <w:t xml:space="preserve"> împotriva Bulgariei</w:t>
      </w:r>
      <w:r w:rsidR="00C55D78">
        <w:t xml:space="preserve">, nr. 40209/20, pct. 25, 5 septembrie 2023; și </w:t>
      </w:r>
      <w:bookmarkStart w:id="10" w:name="_cl44415ENDROIT"/>
      <w:proofErr w:type="spellStart"/>
      <w:r w:rsidR="00C55D78">
        <w:rPr>
          <w:i/>
          <w:iCs/>
        </w:rPr>
        <w:t>Validity</w:t>
      </w:r>
      <w:proofErr w:type="spellEnd"/>
      <w:r w:rsidR="00C55D78">
        <w:rPr>
          <w:i/>
          <w:iCs/>
        </w:rPr>
        <w:t xml:space="preserve"> Foundation în numele T.J. împotriva Ungariei</w:t>
      </w:r>
      <w:bookmarkEnd w:id="10"/>
      <w:r w:rsidR="00C55D78">
        <w:t xml:space="preserve">, nr. 31970/20, pct. 57, 10 octombrie 2024; și </w:t>
      </w:r>
      <w:r w:rsidR="00C55D78">
        <w:rPr>
          <w:i/>
          <w:iCs/>
        </w:rPr>
        <w:t>a contrario</w:t>
      </w:r>
      <w:r w:rsidR="00C55D78">
        <w:t>, pentru o situație în care termenul de 6 luni nu începea să curgă, nici să se împlinească în perioada anunțată în deciziile președintelui Curții (</w:t>
      </w:r>
      <w:r w:rsidR="00C55D78">
        <w:rPr>
          <w:i/>
          <w:iCs/>
        </w:rPr>
        <w:t>supra</w:t>
      </w:r>
      <w:r w:rsidR="00C55D78">
        <w:t>, pct. </w:t>
      </w:r>
      <w:r w:rsidR="00C55D78" w:rsidRPr="00C55D78">
        <w:fldChar w:fldCharType="begin"/>
      </w:r>
      <w:r w:rsidR="00C55D78" w:rsidRPr="00C55D78">
        <w:instrText xml:space="preserve"> REF p22 \h \* CharFormat </w:instrText>
      </w:r>
      <w:r w:rsidR="00C55D78" w:rsidRPr="00C55D78">
        <w:fldChar w:fldCharType="separate"/>
      </w:r>
      <w:r w:rsidR="003959BC">
        <w:t>21</w:t>
      </w:r>
      <w:r w:rsidR="00C55D78" w:rsidRPr="00C55D78">
        <w:fldChar w:fldCharType="end"/>
      </w:r>
      <w:r w:rsidR="00C55D78">
        <w:t xml:space="preserve">), a se vedea decizia </w:t>
      </w:r>
      <w:proofErr w:type="spellStart"/>
      <w:r w:rsidR="00C55D78">
        <w:rPr>
          <w:i/>
          <w:iCs/>
        </w:rPr>
        <w:t>Masse</w:t>
      </w:r>
      <w:proofErr w:type="spellEnd"/>
      <w:r w:rsidR="00C55D78">
        <w:t>, citată anterior, pct. 28-32].</w:t>
      </w:r>
    </w:p>
    <w:p w:rsidR="00C55D78" w:rsidRPr="00C55D78" w:rsidRDefault="00C55D78" w:rsidP="00C55D78">
      <w:pPr>
        <w:pStyle w:val="JuPara"/>
      </w:pPr>
      <w:r>
        <w:t>În consecință, excepția tardivității ridicată de Guvern trebuie să fie respinsă.</w:t>
      </w:r>
    </w:p>
    <w:p w:rsidR="00C55D78" w:rsidRPr="00C55D78" w:rsidRDefault="00C55D78" w:rsidP="00C55D78">
      <w:pPr>
        <w:pStyle w:val="JuPara"/>
        <w:rPr>
          <w:rFonts w:eastAsia="Times New Roman"/>
        </w:rPr>
      </w:pPr>
      <w:r w:rsidRPr="00C55D78">
        <w:rPr>
          <w:rFonts w:eastAsia="Times New Roman"/>
        </w:rPr>
        <w:fldChar w:fldCharType="begin"/>
      </w:r>
      <w:r w:rsidRPr="00C55D78">
        <w:rPr>
          <w:rFonts w:eastAsia="Times New Roman"/>
        </w:rPr>
        <w:instrText xml:space="preserve"> SEQ level0 \*arabic \* MERGEFORMAT </w:instrText>
      </w:r>
      <w:r w:rsidRPr="00C55D78">
        <w:rPr>
          <w:rFonts w:eastAsia="Times New Roman"/>
        </w:rPr>
        <w:fldChar w:fldCharType="separate"/>
      </w:r>
      <w:r w:rsidR="003959BC">
        <w:rPr>
          <w:rFonts w:eastAsia="Times New Roman"/>
          <w:noProof/>
        </w:rPr>
        <w:t>24</w:t>
      </w:r>
      <w:r w:rsidRPr="00C55D78">
        <w:rPr>
          <w:rFonts w:eastAsia="Times New Roman"/>
        </w:rPr>
        <w:fldChar w:fldCharType="end"/>
      </w:r>
      <w:r>
        <w:t>.  Constatând că aceste capete de cerere nu sunt în mod vădit nefondate și că nu prezintă niciun alt motiv de inadmisibilitate în sensul art. 35 din Convenție, Curtea le declară admisibile.</w:t>
      </w:r>
    </w:p>
    <w:p w:rsidR="00C55D78" w:rsidRPr="00C55D78" w:rsidRDefault="00C55D78" w:rsidP="00C55D78">
      <w:pPr>
        <w:pStyle w:val="JuHA"/>
        <w:rPr>
          <w:rFonts w:eastAsia="Times New Roman"/>
        </w:rPr>
      </w:pPr>
      <w:r>
        <w:t>Cu privire la temeinicie</w:t>
      </w:r>
    </w:p>
    <w:p w:rsidR="00C55D78" w:rsidRPr="00C55D78" w:rsidRDefault="00C20445" w:rsidP="00C55D78">
      <w:pPr>
        <w:pStyle w:val="JuPara"/>
      </w:pPr>
      <w:fldSimple w:instr=" SEQ level0 \*arabic \* MERGEFORMAT ">
        <w:r w:rsidR="003959BC">
          <w:rPr>
            <w:noProof/>
          </w:rPr>
          <w:t>25</w:t>
        </w:r>
      </w:fldSimple>
      <w:r w:rsidR="00C55D78">
        <w:t xml:space="preserve">.  Principiile generale privind dreptul la respectarea bunurilor au fost rezumate în hotărârea </w:t>
      </w:r>
      <w:bookmarkStart w:id="11" w:name="_cl43879APPRÉCIATIONDELACOUR"/>
      <w:r w:rsidR="00C55D78">
        <w:rPr>
          <w:i/>
          <w:iCs/>
        </w:rPr>
        <w:t xml:space="preserve">Asociațiile de coproprietate forestieră </w:t>
      </w:r>
      <w:proofErr w:type="spellStart"/>
      <w:r w:rsidR="00C55D78">
        <w:rPr>
          <w:i/>
          <w:iCs/>
        </w:rPr>
        <w:t>Porceni</w:t>
      </w:r>
      <w:proofErr w:type="spellEnd"/>
      <w:r w:rsidR="00C55D78">
        <w:rPr>
          <w:i/>
          <w:iCs/>
        </w:rPr>
        <w:t xml:space="preserve"> Pleșa și Piciorul Bătrân Banciu împotriva României</w:t>
      </w:r>
      <w:bookmarkEnd w:id="11"/>
      <w:r w:rsidR="00C55D78">
        <w:t xml:space="preserve"> (nr. 46201/16, pct. 69, 28 noiembrie 2023).</w:t>
      </w:r>
    </w:p>
    <w:bookmarkStart w:id="12" w:name="paragraph00074"/>
    <w:p w:rsidR="00C55D78" w:rsidRPr="00C55D78" w:rsidRDefault="00C55D78" w:rsidP="00C55D78">
      <w:pPr>
        <w:pStyle w:val="JuPara"/>
        <w:rPr>
          <w:rFonts w:eastAsia="Times New Roman"/>
        </w:rPr>
      </w:pPr>
      <w:r w:rsidRPr="00C55D78">
        <w:rPr>
          <w:rFonts w:eastAsia="Times New Roman"/>
        </w:rPr>
        <w:fldChar w:fldCharType="begin"/>
      </w:r>
      <w:r w:rsidRPr="00C55D78">
        <w:rPr>
          <w:rFonts w:eastAsia="Times New Roman"/>
        </w:rPr>
        <w:instrText xml:space="preserve"> SEQ level0 \*arabic \* MERGEFORMAT </w:instrText>
      </w:r>
      <w:r w:rsidRPr="00C55D78">
        <w:rPr>
          <w:rFonts w:eastAsia="Times New Roman"/>
        </w:rPr>
        <w:fldChar w:fldCharType="separate"/>
      </w:r>
      <w:r w:rsidR="003959BC">
        <w:rPr>
          <w:rFonts w:eastAsia="Times New Roman"/>
          <w:noProof/>
        </w:rPr>
        <w:t>26</w:t>
      </w:r>
      <w:r w:rsidRPr="00C55D78">
        <w:rPr>
          <w:rFonts w:eastAsia="Times New Roman"/>
        </w:rPr>
        <w:fldChar w:fldCharType="end"/>
      </w:r>
      <w:bookmarkEnd w:id="12"/>
      <w:r>
        <w:t>.  În hotărârea citată anterior, Curtea a constatat că într-un proiect de hotărâre de Guvern, aprobat de Comisia Europeană în 2012, se prevedea că ajutoarele în cauză trebuie să se situeze între 40 EUR și 200 EUR pe hectar, iar plățile trebuie să fie anuale. În pofida validării de către Comisia Europeană, hotărârea nu a fost nici adoptată, nici publicată în Monitorul Oficial (</w:t>
      </w:r>
      <w:r>
        <w:rPr>
          <w:i/>
          <w:iCs/>
        </w:rPr>
        <w:t xml:space="preserve">Asociațiile de coproprietate forestieră </w:t>
      </w:r>
      <w:proofErr w:type="spellStart"/>
      <w:r>
        <w:rPr>
          <w:i/>
          <w:iCs/>
        </w:rPr>
        <w:t>Porceni</w:t>
      </w:r>
      <w:proofErr w:type="spellEnd"/>
      <w:r>
        <w:rPr>
          <w:i/>
          <w:iCs/>
        </w:rPr>
        <w:t xml:space="preserve"> Pleșa și Piciorul Bătrân Banciu</w:t>
      </w:r>
      <w:r>
        <w:t>, citată anterior, pct. 75).</w:t>
      </w:r>
    </w:p>
    <w:bookmarkStart w:id="13" w:name="paragraph00076"/>
    <w:p w:rsidR="00C55D78" w:rsidRPr="00C55D78" w:rsidRDefault="00C55D78" w:rsidP="00C55D78">
      <w:pPr>
        <w:pStyle w:val="JuPara"/>
        <w:rPr>
          <w:rFonts w:eastAsia="Times New Roman"/>
          <w:snapToGrid w:val="0"/>
        </w:rPr>
      </w:pPr>
      <w:r w:rsidRPr="00C55D78">
        <w:rPr>
          <w:rFonts w:eastAsia="Times New Roman"/>
          <w:snapToGrid w:val="0"/>
        </w:rPr>
        <w:fldChar w:fldCharType="begin"/>
      </w:r>
      <w:r w:rsidRPr="00C55D78">
        <w:rPr>
          <w:rFonts w:eastAsia="Times New Roman"/>
          <w:snapToGrid w:val="0"/>
        </w:rPr>
        <w:instrText xml:space="preserve"> SEQ level0 \*arabic \* MERGEFORMAT </w:instrText>
      </w:r>
      <w:r w:rsidRPr="00C55D78">
        <w:rPr>
          <w:rFonts w:eastAsia="Times New Roman"/>
          <w:snapToGrid w:val="0"/>
        </w:rPr>
        <w:fldChar w:fldCharType="separate"/>
      </w:r>
      <w:r w:rsidR="003959BC">
        <w:rPr>
          <w:rFonts w:eastAsia="Times New Roman"/>
          <w:noProof/>
          <w:snapToGrid w:val="0"/>
        </w:rPr>
        <w:t>27</w:t>
      </w:r>
      <w:r w:rsidRPr="00C55D78">
        <w:rPr>
          <w:rFonts w:eastAsia="Times New Roman"/>
          <w:snapToGrid w:val="0"/>
        </w:rPr>
        <w:fldChar w:fldCharType="end"/>
      </w:r>
      <w:bookmarkEnd w:id="13"/>
      <w:r>
        <w:rPr>
          <w:snapToGrid w:val="0"/>
        </w:rPr>
        <w:t xml:space="preserve">.  În speță, Curtea constată inacțiunea prelungită a statului în ceea ce privește adoptarea și publicarea normelor metodologice de acordare a ajutoarelor de stat în vederea compensării costului gestionării durabile a </w:t>
      </w:r>
      <w:r>
        <w:rPr>
          <w:snapToGrid w:val="0"/>
        </w:rPr>
        <w:lastRenderedPageBreak/>
        <w:t>terenurilor forestiere și a contravalorii masei lemnoase nerecoltate din cauza funcțiilor de protecție stabilite prin amenajamente silvice. Având în vedere domeniul său de aplicare deosebit de limitat (</w:t>
      </w:r>
      <w:r>
        <w:rPr>
          <w:i/>
          <w:iCs/>
          <w:snapToGrid w:val="0"/>
        </w:rPr>
        <w:t>supra</w:t>
      </w:r>
      <w:r>
        <w:rPr>
          <w:snapToGrid w:val="0"/>
        </w:rPr>
        <w:t>, pct. </w:t>
      </w:r>
      <w:r w:rsidRPr="00C55D78">
        <w:rPr>
          <w:rFonts w:eastAsia="Times New Roman"/>
          <w:snapToGrid w:val="0"/>
        </w:rPr>
        <w:fldChar w:fldCharType="begin"/>
      </w:r>
      <w:r w:rsidRPr="00C55D78">
        <w:rPr>
          <w:rFonts w:eastAsia="Times New Roman"/>
          <w:snapToGrid w:val="0"/>
        </w:rPr>
        <w:instrText xml:space="preserve"> REF paragraph00015 \h \* CharFormat </w:instrText>
      </w:r>
      <w:r w:rsidRPr="00C55D78">
        <w:rPr>
          <w:rFonts w:eastAsia="Times New Roman"/>
          <w:snapToGrid w:val="0"/>
        </w:rPr>
      </w:r>
      <w:r w:rsidRPr="00C55D78">
        <w:rPr>
          <w:rFonts w:eastAsia="Times New Roman"/>
          <w:snapToGrid w:val="0"/>
        </w:rPr>
        <w:fldChar w:fldCharType="separate"/>
      </w:r>
      <w:r w:rsidR="003959BC" w:rsidRPr="003959BC">
        <w:rPr>
          <w:rFonts w:eastAsia="Times New Roman"/>
          <w:snapToGrid w:val="0"/>
        </w:rPr>
        <w:t>15</w:t>
      </w:r>
      <w:r w:rsidRPr="00C55D78">
        <w:rPr>
          <w:rFonts w:eastAsia="Times New Roman"/>
          <w:snapToGrid w:val="0"/>
        </w:rPr>
        <w:fldChar w:fldCharType="end"/>
      </w:r>
      <w:r>
        <w:rPr>
          <w:snapToGrid w:val="0"/>
        </w:rPr>
        <w:t xml:space="preserve"> și </w:t>
      </w:r>
      <w:r w:rsidRPr="00C55D78">
        <w:rPr>
          <w:rFonts w:eastAsia="Times New Roman"/>
          <w:snapToGrid w:val="0"/>
        </w:rPr>
        <w:fldChar w:fldCharType="begin"/>
      </w:r>
      <w:r w:rsidRPr="00C55D78">
        <w:rPr>
          <w:rFonts w:eastAsia="Times New Roman"/>
          <w:snapToGrid w:val="0"/>
        </w:rPr>
        <w:instrText xml:space="preserve"> REF paragraph00017 \h \* CharFormat </w:instrText>
      </w:r>
      <w:r w:rsidRPr="00C55D78">
        <w:rPr>
          <w:rFonts w:eastAsia="Times New Roman"/>
          <w:snapToGrid w:val="0"/>
        </w:rPr>
      </w:r>
      <w:r w:rsidRPr="00C55D78">
        <w:rPr>
          <w:rFonts w:eastAsia="Times New Roman"/>
          <w:snapToGrid w:val="0"/>
        </w:rPr>
        <w:fldChar w:fldCharType="separate"/>
      </w:r>
      <w:r w:rsidR="003959BC" w:rsidRPr="003959BC">
        <w:rPr>
          <w:rFonts w:eastAsia="Times New Roman"/>
          <w:snapToGrid w:val="0"/>
        </w:rPr>
        <w:t>17</w:t>
      </w:r>
      <w:r w:rsidRPr="00C55D78">
        <w:rPr>
          <w:rFonts w:eastAsia="Times New Roman"/>
          <w:snapToGrid w:val="0"/>
        </w:rPr>
        <w:fldChar w:fldCharType="end"/>
      </w:r>
      <w:r>
        <w:rPr>
          <w:snapToGrid w:val="0"/>
        </w:rPr>
        <w:t xml:space="preserve">), nu se poate considera că adoptarea Hotărârii de Guvern nr. 1370/2022 a completat această inacțiune în ceea ce îi privește pe reclamanți. Pentru motivele expuse în hotărârea </w:t>
      </w:r>
      <w:r>
        <w:rPr>
          <w:i/>
          <w:iCs/>
          <w:snapToGrid w:val="0"/>
        </w:rPr>
        <w:t xml:space="preserve">Asociațiile de coproprietate forestieră </w:t>
      </w:r>
      <w:proofErr w:type="spellStart"/>
      <w:r>
        <w:rPr>
          <w:i/>
          <w:iCs/>
          <w:snapToGrid w:val="0"/>
        </w:rPr>
        <w:t>Porceni</w:t>
      </w:r>
      <w:proofErr w:type="spellEnd"/>
      <w:r>
        <w:rPr>
          <w:i/>
          <w:iCs/>
          <w:snapToGrid w:val="0"/>
        </w:rPr>
        <w:t xml:space="preserve"> Pleșa și Piciorul Bătrân Banciu</w:t>
      </w:r>
      <w:r>
        <w:rPr>
          <w:snapToGrid w:val="0"/>
        </w:rPr>
        <w:t xml:space="preserve"> (citată anterior, pct. 76 și 77), care se aplică și în prezenta cauză, Curtea concluzionează că principiul legalității nu a fost respectat. </w:t>
      </w:r>
      <w:bookmarkStart w:id="14" w:name="_cl19032"/>
      <w:r>
        <w:rPr>
          <w:snapToGrid w:val="0"/>
        </w:rPr>
        <w:t>În plus, Guvernul nu a susținut că omisiunea de a publica normele metodologice relevante și, în consecință, de a plăti compensațiile pe care le puteau solicita reclamanții ar fi urmărit vreun scop legitim, iar Curtea, la rândul său, nu vede în ce ar fi putut consta un astfel de scop.</w:t>
      </w:r>
      <w:bookmarkEnd w:id="14"/>
      <w:r>
        <w:rPr>
          <w:snapToGrid w:val="0"/>
        </w:rPr>
        <w:t xml:space="preserve"> Ajungând astfel la concluzia că ingerința în litigiu nu era legală și că nu urmărea niciun scop legitim, Curtea nu trebuie să examineze dacă echilibrul just necesar între cerințele interesului general și imperativele protejării drepturilor individuale a fost respectat în prezenta cauză.</w:t>
      </w:r>
    </w:p>
    <w:p w:rsidR="00C55D78" w:rsidRPr="00C55D78" w:rsidRDefault="00C55D78" w:rsidP="00C55D78">
      <w:pPr>
        <w:pStyle w:val="JuPara"/>
        <w:rPr>
          <w:rFonts w:eastAsia="Times New Roman"/>
        </w:rPr>
      </w:pPr>
      <w:r w:rsidRPr="00C55D78">
        <w:rPr>
          <w:rFonts w:eastAsia="Times New Roman"/>
        </w:rPr>
        <w:fldChar w:fldCharType="begin"/>
      </w:r>
      <w:r w:rsidRPr="00C55D78">
        <w:rPr>
          <w:rFonts w:eastAsia="Times New Roman"/>
        </w:rPr>
        <w:instrText xml:space="preserve"> SEQ level0 \*arabic </w:instrText>
      </w:r>
      <w:r w:rsidRPr="00C55D78">
        <w:rPr>
          <w:rFonts w:eastAsia="Times New Roman"/>
        </w:rPr>
        <w:fldChar w:fldCharType="separate"/>
      </w:r>
      <w:r w:rsidR="003959BC">
        <w:rPr>
          <w:rFonts w:eastAsia="Times New Roman"/>
          <w:noProof/>
        </w:rPr>
        <w:t>28</w:t>
      </w:r>
      <w:r w:rsidRPr="00C55D78">
        <w:rPr>
          <w:rFonts w:eastAsia="Times New Roman"/>
        </w:rPr>
        <w:fldChar w:fldCharType="end"/>
      </w:r>
      <w:r>
        <w:t>.  Având în vedere cele de mai sus, Curtea concluzionează că a fost încălcat art. 1 din Protocolul nr. 1 la Convenție.</w:t>
      </w:r>
    </w:p>
    <w:p w:rsidR="00C55D78" w:rsidRPr="00C55D78" w:rsidRDefault="00C55D78" w:rsidP="00C55D78">
      <w:pPr>
        <w:pStyle w:val="JuHIRoman"/>
      </w:pPr>
      <w:r>
        <w:t>CU PRIVIRE LA CELELALTE CAPETE DE CERERE</w:t>
      </w:r>
    </w:p>
    <w:p w:rsidR="00C55D78" w:rsidRPr="00C55D78" w:rsidRDefault="00C20445" w:rsidP="00C55D78">
      <w:pPr>
        <w:pStyle w:val="JuPara"/>
      </w:pPr>
      <w:fldSimple w:instr=" SEQ level0 \*arabic \* MERGEFORMAT ">
        <w:r w:rsidR="003959BC">
          <w:rPr>
            <w:noProof/>
          </w:rPr>
          <w:t>29</w:t>
        </w:r>
      </w:fldSimple>
      <w:r w:rsidR="00C55D78">
        <w:t xml:space="preserve">.  Reclamanții au formulat, de asemenea, capete de cerere în temeiul art. 1 din Protocolul nr. 12 la Convenție. Având în vedere faptele cauzei, argumentele părților și concluziile expuse mai sus, Curtea consideră că s-a pronunțat cu privire la principalele probleme juridice ridicate de cauză și că nu este necesar să examineze celelalte capete de cerere [a se vedea </w:t>
      </w:r>
      <w:r w:rsidR="00C55D78">
        <w:rPr>
          <w:i/>
          <w:iCs/>
        </w:rPr>
        <w:t>Centrul de Resurse Juridice în numele lui Valentin Câmpeanu împotriva României</w:t>
      </w:r>
      <w:r w:rsidR="00C55D78">
        <w:t xml:space="preserve"> (MC), nr. 47848/08, pct. 156, CEDO 2014].</w:t>
      </w:r>
    </w:p>
    <w:p w:rsidR="00C55D78" w:rsidRPr="00C55D78" w:rsidRDefault="00C55D78" w:rsidP="00C55D78">
      <w:pPr>
        <w:pStyle w:val="JuHHead"/>
      </w:pPr>
      <w:r>
        <w:t>APLICAREA ART. 41 DIN CONVENȚIE</w:t>
      </w:r>
    </w:p>
    <w:p w:rsidR="00C55D78" w:rsidRPr="00C55D78" w:rsidRDefault="00C20445" w:rsidP="00C55D78">
      <w:pPr>
        <w:pStyle w:val="JuPara"/>
      </w:pPr>
      <w:fldSimple w:instr=" SEQ level0 \*arabic \* MERGEFORMAT ">
        <w:r w:rsidR="003959BC">
          <w:rPr>
            <w:noProof/>
          </w:rPr>
          <w:t>30</w:t>
        </w:r>
      </w:fldSimple>
      <w:r w:rsidR="00C55D78">
        <w:t>.  Reclamanții solicită sumele menționate în tabelul anexat cu titlu de despăgubire pentru prejudiciul material și moral pe care consideră că l-au suferit, precum și sumele menționate în ultima coloană din tabel pentru cheltuielile de judecată pe care susțin că le-au suportat în cadrul procedurii desfășurate în fața Curții.</w:t>
      </w:r>
    </w:p>
    <w:p w:rsidR="00C55D78" w:rsidRPr="00C55D78" w:rsidRDefault="00C20445" w:rsidP="00C55D78">
      <w:pPr>
        <w:pStyle w:val="JuPara"/>
      </w:pPr>
      <w:fldSimple w:instr=" SEQ level0 \*arabic \* MERGEFORMAT ">
        <w:r w:rsidR="003959BC">
          <w:rPr>
            <w:noProof/>
          </w:rPr>
          <w:t>31</w:t>
        </w:r>
      </w:fldSimple>
      <w:r w:rsidR="00C55D78">
        <w:t>.  Guvernul consideră că o constatare a încălcării ar constitui o reparație echitabilă suficientă în prezenta cauză. Susține, în plus, că cererea introdusă de prima reclamantă cu privire la cheltuielile de judecată nu era însoțită de documente justificative.</w:t>
      </w:r>
    </w:p>
    <w:p w:rsidR="00C55D78" w:rsidRPr="00C55D78" w:rsidRDefault="00C20445" w:rsidP="00C55D78">
      <w:pPr>
        <w:pStyle w:val="JuPara"/>
      </w:pPr>
      <w:fldSimple w:instr=" SEQ level0 \*arabic \* MERGEFORMAT ">
        <w:r w:rsidR="003959BC">
          <w:rPr>
            <w:noProof/>
          </w:rPr>
          <w:t>32</w:t>
        </w:r>
      </w:fldSimple>
      <w:r w:rsidR="00C55D78">
        <w:t>.  Având în vedere documentele de care dispune și jurisprudența sa, Curtea consideră că este rezonabil să acorde fiecărui reclamant următoarele sume pentru prejudiciul material (</w:t>
      </w:r>
      <w:r w:rsidR="00C55D78">
        <w:rPr>
          <w:i/>
          <w:iCs/>
        </w:rPr>
        <w:t>supra</w:t>
      </w:r>
      <w:r w:rsidR="00C55D78">
        <w:t>, pct. </w:t>
      </w:r>
      <w:r w:rsidR="00C55D78" w:rsidRPr="00C55D78">
        <w:fldChar w:fldCharType="begin"/>
      </w:r>
      <w:r w:rsidR="00C55D78" w:rsidRPr="00C55D78">
        <w:instrText xml:space="preserve"> REF paragraph00006 \h \* CharFormat \* MERGEFORMAT </w:instrText>
      </w:r>
      <w:r w:rsidR="00C55D78" w:rsidRPr="00C55D78">
        <w:fldChar w:fldCharType="separate"/>
      </w:r>
      <w:r w:rsidR="003959BC">
        <w:t>6</w:t>
      </w:r>
      <w:r w:rsidR="00C55D78" w:rsidRPr="00C55D78">
        <w:fldChar w:fldCharType="end"/>
      </w:r>
      <w:r w:rsidR="00C55D78">
        <w:t>), plus orice sumă ce poate fi datorată cu titlu de impozit:</w:t>
      </w:r>
    </w:p>
    <w:p w:rsidR="00C55D78" w:rsidRPr="00C55D78" w:rsidRDefault="00C55D78" w:rsidP="00C55D78">
      <w:pPr>
        <w:pStyle w:val="JuPara"/>
      </w:pPr>
      <w:r>
        <w:lastRenderedPageBreak/>
        <w:t>- primei reclamante, suma de 3 730 EUR;</w:t>
      </w:r>
    </w:p>
    <w:p w:rsidR="00C55D78" w:rsidRPr="00C55D78" w:rsidRDefault="00C55D78" w:rsidP="00C55D78">
      <w:pPr>
        <w:pStyle w:val="JuPara"/>
      </w:pPr>
      <w:r>
        <w:t>- celei de a doua reclamante, suma de 9 400 EUR;</w:t>
      </w:r>
    </w:p>
    <w:p w:rsidR="00C55D78" w:rsidRPr="00C55D78" w:rsidRDefault="00C55D78" w:rsidP="00C55D78">
      <w:pPr>
        <w:pStyle w:val="JuPara"/>
      </w:pPr>
      <w:r>
        <w:t>- celui de al treilea reclamant, suma de 12 026 EUR.</w:t>
      </w:r>
    </w:p>
    <w:p w:rsidR="00C55D78" w:rsidRPr="00C55D78" w:rsidRDefault="00C55D78" w:rsidP="00C55D78">
      <w:pPr>
        <w:pStyle w:val="JuPara"/>
        <w:rPr>
          <w:rFonts w:ascii="Times New Roman" w:eastAsia="Times New Roman" w:hAnsi="Times New Roman" w:cs="Times New Roman"/>
        </w:rPr>
      </w:pPr>
      <w:r w:rsidRPr="00C55D78">
        <w:rPr>
          <w:rFonts w:ascii="Times New Roman" w:eastAsia="Times New Roman" w:hAnsi="Times New Roman" w:cs="Times New Roman"/>
        </w:rPr>
        <w:fldChar w:fldCharType="begin"/>
      </w:r>
      <w:r w:rsidRPr="00C55D78">
        <w:rPr>
          <w:rFonts w:ascii="Times New Roman" w:eastAsia="Times New Roman" w:hAnsi="Times New Roman" w:cs="Times New Roman"/>
        </w:rPr>
        <w:instrText xml:space="preserve"> SEQ level0 \*arabic \* MERGEFORMAT </w:instrText>
      </w:r>
      <w:r w:rsidRPr="00C55D78">
        <w:rPr>
          <w:rFonts w:ascii="Times New Roman" w:eastAsia="Times New Roman" w:hAnsi="Times New Roman" w:cs="Times New Roman"/>
        </w:rPr>
        <w:fldChar w:fldCharType="separate"/>
      </w:r>
      <w:r w:rsidR="003959BC">
        <w:rPr>
          <w:rFonts w:ascii="Times New Roman" w:eastAsia="Times New Roman" w:hAnsi="Times New Roman" w:cs="Times New Roman"/>
          <w:noProof/>
        </w:rPr>
        <w:t>33</w:t>
      </w:r>
      <w:r w:rsidRPr="00C55D78">
        <w:rPr>
          <w:rFonts w:ascii="Times New Roman" w:eastAsia="Times New Roman" w:hAnsi="Times New Roman" w:cs="Times New Roman"/>
        </w:rPr>
        <w:fldChar w:fldCharType="end"/>
      </w:r>
      <w:r>
        <w:rPr>
          <w:rFonts w:ascii="Times New Roman" w:hAnsi="Times New Roman"/>
        </w:rPr>
        <w:t>.  De asemenea, Curtea acordă reclamanților sumele pretinse pentru prejudiciul moral, plus orice sumă care poate fi datorată cu titlu de impozit (</w:t>
      </w:r>
      <w:r>
        <w:rPr>
          <w:rFonts w:ascii="Times New Roman" w:hAnsi="Times New Roman"/>
          <w:i/>
          <w:iCs/>
        </w:rPr>
        <w:t xml:space="preserve">Asociațiile de coproprietate forestieră </w:t>
      </w:r>
      <w:proofErr w:type="spellStart"/>
      <w:r>
        <w:rPr>
          <w:rFonts w:ascii="Times New Roman" w:hAnsi="Times New Roman"/>
          <w:i/>
          <w:iCs/>
        </w:rPr>
        <w:t>Porceni</w:t>
      </w:r>
      <w:proofErr w:type="spellEnd"/>
      <w:r>
        <w:rPr>
          <w:rFonts w:ascii="Times New Roman" w:hAnsi="Times New Roman"/>
          <w:i/>
          <w:iCs/>
        </w:rPr>
        <w:t xml:space="preserve"> Pleșa și Piciorul Bătrân Banciu</w:t>
      </w:r>
      <w:r>
        <w:rPr>
          <w:rFonts w:ascii="Times New Roman" w:hAnsi="Times New Roman"/>
        </w:rPr>
        <w:t>, citată anterior, pct. 90).</w:t>
      </w:r>
    </w:p>
    <w:p w:rsidR="00C55D78" w:rsidRPr="00C55D78" w:rsidRDefault="00C20445" w:rsidP="00C55D78">
      <w:pPr>
        <w:pStyle w:val="JuPara"/>
      </w:pPr>
      <w:fldSimple w:instr=" SEQ level0 \*arabic \* MERGEFORMAT ">
        <w:r w:rsidR="003959BC">
          <w:rPr>
            <w:noProof/>
          </w:rPr>
          <w:t>34</w:t>
        </w:r>
      </w:fldSimple>
      <w:r w:rsidR="00C55D78">
        <w:t>.  În final, ținând seama de documentele de care dispune și de jurisprudența sa, Curtea consideră că este rezonabil să acorde sumele pretinse de a doua reclamantă și de al treilea reclamant pentru cheltuielile de judecată suportate în cadrul procedurii desfășurate în fața Curții, plus orice sumă ce poate fi datorată cu titlu de impozit de către aceștia.</w:t>
      </w:r>
    </w:p>
    <w:p w:rsidR="00C55D78" w:rsidRPr="00C55D78" w:rsidRDefault="00C55D78" w:rsidP="00C55D78">
      <w:pPr>
        <w:pStyle w:val="JuHHead"/>
      </w:pPr>
      <w:r>
        <w:t>PENTRU ACESTE MOTIVE, CURTEA, ÎN UNANIMITATE,</w:t>
      </w:r>
    </w:p>
    <w:p w:rsidR="00C55D78" w:rsidRPr="00C55D78" w:rsidRDefault="00C55D78" w:rsidP="00C55D78">
      <w:pPr>
        <w:pStyle w:val="JuList"/>
        <w:rPr>
          <w:iCs/>
        </w:rPr>
      </w:pPr>
      <w:r>
        <w:rPr>
          <w:i/>
        </w:rPr>
        <w:t>Decide</w:t>
      </w:r>
      <w:r>
        <w:t xml:space="preserve"> să conexeze cererile;</w:t>
      </w:r>
    </w:p>
    <w:p w:rsidR="00C55D78" w:rsidRPr="00C55D78" w:rsidRDefault="00C55D78" w:rsidP="00C55D78">
      <w:pPr>
        <w:pStyle w:val="JuList"/>
        <w:rPr>
          <w:iCs/>
        </w:rPr>
      </w:pPr>
      <w:r>
        <w:rPr>
          <w:i/>
          <w:iCs/>
        </w:rPr>
        <w:t>Declară</w:t>
      </w:r>
      <w:r>
        <w:t xml:space="preserve"> admisibile capetele de cerere întemeiate pe art. 1 din Protocolul nr. 1 la Convenție;</w:t>
      </w:r>
    </w:p>
    <w:p w:rsidR="00C55D78" w:rsidRPr="00C55D78" w:rsidRDefault="00C55D78" w:rsidP="00C55D78">
      <w:pPr>
        <w:pStyle w:val="JuList"/>
        <w:rPr>
          <w:iCs/>
        </w:rPr>
      </w:pPr>
      <w:r>
        <w:rPr>
          <w:i/>
        </w:rPr>
        <w:t>Hotărăște</w:t>
      </w:r>
      <w:r>
        <w:t xml:space="preserve"> că a fost încălcat art. 1 din Protocolul nr. 1 la Convenție;</w:t>
      </w:r>
    </w:p>
    <w:p w:rsidR="00C55D78" w:rsidRPr="00C55D78" w:rsidRDefault="00C55D78" w:rsidP="00C55D78">
      <w:pPr>
        <w:pStyle w:val="JuList"/>
        <w:rPr>
          <w:iCs/>
        </w:rPr>
      </w:pPr>
      <w:r>
        <w:rPr>
          <w:i/>
          <w:iCs/>
        </w:rPr>
        <w:t>Hotărăște</w:t>
      </w:r>
      <w:r>
        <w:t xml:space="preserve"> că nu este necesar să examineze admisibilitatea și fondul celorlalte capete de cerere;</w:t>
      </w:r>
    </w:p>
    <w:p w:rsidR="00C55D78" w:rsidRPr="00C55D78" w:rsidRDefault="00C55D78" w:rsidP="00C55D78">
      <w:pPr>
        <w:pStyle w:val="JuList"/>
        <w:rPr>
          <w:iCs/>
        </w:rPr>
      </w:pPr>
      <w:r>
        <w:rPr>
          <w:i/>
          <w:iCs/>
        </w:rPr>
        <w:t>Hotărăște</w:t>
      </w:r>
    </w:p>
    <w:p w:rsidR="00C55D78" w:rsidRPr="00C55D78" w:rsidRDefault="00C55D78" w:rsidP="00C55D78">
      <w:pPr>
        <w:pStyle w:val="JuLista"/>
      </w:pPr>
      <w:r>
        <w:t>că statul pârât trebuie să plătească primei reclamante, în termen de trei luni de la data rămânerii definitive a hotărârii, în conformitate cu art. 44 § 2 din Convenție, următoarele sume, care trebuie convertite în moneda statului pârât la rata de schimb aplicabilă la data plății, plus orice sumă ce poate fi datorată cu titlu de impozit:</w:t>
      </w:r>
    </w:p>
    <w:p w:rsidR="00C55D78" w:rsidRPr="00C55D78" w:rsidRDefault="00C55D78" w:rsidP="00C55D78">
      <w:pPr>
        <w:pStyle w:val="JuListi"/>
      </w:pPr>
      <w:r>
        <w:t>3 730 EUR (trei mii șapte sute treizeci de euro), pentru prejudiciul material;</w:t>
      </w:r>
    </w:p>
    <w:p w:rsidR="00C55D78" w:rsidRPr="00C55D78" w:rsidRDefault="00C55D78" w:rsidP="00C55D78">
      <w:pPr>
        <w:pStyle w:val="JuListi"/>
      </w:pPr>
      <w:r>
        <w:t>2 000 EUR (două mii de euro), pentru prejudiciul moral;</w:t>
      </w:r>
    </w:p>
    <w:p w:rsidR="00C55D78" w:rsidRPr="00C55D78" w:rsidRDefault="00C55D78" w:rsidP="00C55D78">
      <w:r>
        <w:br w:type="page"/>
      </w:r>
    </w:p>
    <w:p w:rsidR="00C55D78" w:rsidRPr="00C55D78" w:rsidRDefault="00C55D78" w:rsidP="00C55D78">
      <w:pPr>
        <w:pStyle w:val="JuLista"/>
      </w:pPr>
      <w:r>
        <w:lastRenderedPageBreak/>
        <w:t>că statul pârât trebuie să plătească celei de a doua reclamante, în termen de trei luni de la data rămânerii definitive a hotărârii, în conformitate cu art. 44 § 2 din Convenție, următoarele sume, care trebuie convertite în moneda statului pârât la rata de schimb aplicabilă la data plății, plus orice sumă ce poate fi datorată cu titlu de impozit:</w:t>
      </w:r>
    </w:p>
    <w:p w:rsidR="00C55D78" w:rsidRPr="00C55D78" w:rsidRDefault="00C55D78" w:rsidP="00C55D78">
      <w:pPr>
        <w:pStyle w:val="JuListi"/>
      </w:pPr>
      <w:r>
        <w:t>9 400 EUR (nouă mii patru sute de euro) pentru prejudiciul material;</w:t>
      </w:r>
    </w:p>
    <w:p w:rsidR="00C55D78" w:rsidRPr="00C55D78" w:rsidRDefault="00C55D78" w:rsidP="00C55D78">
      <w:pPr>
        <w:pStyle w:val="JuListi"/>
      </w:pPr>
      <w:r>
        <w:t>2 000 EUR (două mii de euro), pentru prejudiciul moral;</w:t>
      </w:r>
    </w:p>
    <w:p w:rsidR="00C55D78" w:rsidRPr="00C55D78" w:rsidRDefault="00C55D78" w:rsidP="00C55D78">
      <w:pPr>
        <w:pStyle w:val="JuListi"/>
      </w:pPr>
      <w:r>
        <w:t>1 000 EUR (o mie de euro), pentru cheltuielile de judecată;</w:t>
      </w:r>
    </w:p>
    <w:p w:rsidR="00C55D78" w:rsidRPr="00C55D78" w:rsidRDefault="00C55D78" w:rsidP="00C55D78">
      <w:pPr>
        <w:pStyle w:val="JuLista"/>
      </w:pPr>
      <w:r>
        <w:t>că statul pârât trebuie să plătească celui de al treilea reclamant, în termen de trei luni de la data rămânerii definitive a hotărârii, în conformitate cu art. 44 § 2 din Convenție, următoarele sume, care trebuie convertite în moneda statului pârât la rata de schimb aplicabilă la data plății, plus orice sumă ce poate fi datorată cu titlu de impozit:</w:t>
      </w:r>
    </w:p>
    <w:p w:rsidR="00C55D78" w:rsidRPr="00C55D78" w:rsidRDefault="00C55D78" w:rsidP="00C55D78">
      <w:pPr>
        <w:pStyle w:val="JuListi"/>
      </w:pPr>
      <w:r>
        <w:t>12 026 EUR (douăsprezece mii douăzeci și șase de euro), pentru prejudiciul material;</w:t>
      </w:r>
    </w:p>
    <w:p w:rsidR="00C55D78" w:rsidRPr="00C55D78" w:rsidRDefault="00C55D78" w:rsidP="00C55D78">
      <w:pPr>
        <w:pStyle w:val="JuListi"/>
      </w:pPr>
      <w:r>
        <w:t>2 000 EUR (două mii de euro), pentru prejudiciul moral;</w:t>
      </w:r>
    </w:p>
    <w:p w:rsidR="00C55D78" w:rsidRPr="00C55D78" w:rsidRDefault="00C55D78" w:rsidP="00C55D78">
      <w:pPr>
        <w:pStyle w:val="JuListi"/>
      </w:pPr>
      <w:r>
        <w:t>600 EUR (șase sute de euro), pentru cheltuielile de judecată;</w:t>
      </w:r>
    </w:p>
    <w:p w:rsidR="00C55D78" w:rsidRPr="00C55D78" w:rsidRDefault="00C55D78" w:rsidP="00C55D78">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C55D78" w:rsidRPr="00C55D78" w:rsidRDefault="00C55D78" w:rsidP="00C55D78">
      <w:pPr>
        <w:pStyle w:val="JuList"/>
        <w:rPr>
          <w:iCs/>
        </w:rPr>
      </w:pPr>
      <w:r>
        <w:rPr>
          <w:i/>
          <w:iCs/>
        </w:rPr>
        <w:t>Respinge</w:t>
      </w:r>
      <w:r>
        <w:t xml:space="preserve"> cererile de acordare a unei reparații echitabile pentru celelalte capete de cerere.</w:t>
      </w:r>
    </w:p>
    <w:p w:rsidR="00C55D78" w:rsidRPr="00C55D78" w:rsidRDefault="00C55D78" w:rsidP="00C55D78">
      <w:pPr>
        <w:pStyle w:val="JuParaLast"/>
      </w:pPr>
      <w:r>
        <w:t>Redactată în limba franceză, apoi comunicată în scris, la 26 august 2025, în temeiul art. 77 § 2 și 3 din Regulament.</w:t>
      </w:r>
    </w:p>
    <w:p w:rsidR="00C55D78" w:rsidRPr="00C55D78" w:rsidRDefault="00C55D78" w:rsidP="00C55D78">
      <w:pPr>
        <w:pStyle w:val="JuSigned"/>
        <w:keepNext/>
        <w:keepLines/>
        <w:rPr>
          <w:color w:val="F8F8F8" w:themeColor="background2"/>
        </w:rPr>
      </w:pPr>
    </w:p>
    <w:p w:rsidR="00C55D78" w:rsidRPr="00C55D78" w:rsidRDefault="00C55D78" w:rsidP="00C55D78">
      <w:pPr>
        <w:pStyle w:val="JuSigned"/>
        <w:rPr>
          <w:noProof/>
        </w:rPr>
      </w:pPr>
      <w:r>
        <w:tab/>
        <w:t>Valentin Nicolescu</w:t>
      </w:r>
      <w:r>
        <w:tab/>
      </w:r>
      <w:proofErr w:type="spellStart"/>
      <w:r>
        <w:t>Anja</w:t>
      </w:r>
      <w:proofErr w:type="spellEnd"/>
      <w:r>
        <w:t xml:space="preserve"> </w:t>
      </w:r>
      <w:proofErr w:type="spellStart"/>
      <w:r>
        <w:t>Seibert-Fohr</w:t>
      </w:r>
      <w:proofErr w:type="spellEnd"/>
      <w:r>
        <w:br/>
      </w:r>
      <w:r>
        <w:tab/>
        <w:t xml:space="preserve">Grefier adjunct </w:t>
      </w:r>
      <w:proofErr w:type="spellStart"/>
      <w:r>
        <w:t>a.i</w:t>
      </w:r>
      <w:proofErr w:type="spellEnd"/>
      <w:r>
        <w:t>.</w:t>
      </w:r>
      <w:r>
        <w:tab/>
        <w:t>Președinte</w:t>
      </w:r>
    </w:p>
    <w:p w:rsidR="00C55D78" w:rsidRPr="00C55D78" w:rsidRDefault="00C55D78" w:rsidP="00C55D78">
      <w:pPr>
        <w:rPr>
          <w:noProof/>
          <w:color w:val="000000"/>
        </w:rPr>
      </w:pPr>
    </w:p>
    <w:p w:rsidR="00C55D78" w:rsidRPr="00C55D78" w:rsidRDefault="00C55D78" w:rsidP="00C55D78">
      <w:pPr>
        <w:rPr>
          <w:noProof/>
          <w:color w:val="000000"/>
        </w:rPr>
        <w:sectPr w:rsidR="00C55D78" w:rsidRPr="00C55D78" w:rsidSect="007E12F5">
          <w:headerReference w:type="even" r:id="rId13"/>
          <w:headerReference w:type="default" r:id="rId14"/>
          <w:footerReference w:type="even" r:id="rId15"/>
          <w:footerReference w:type="default" r:id="rId16"/>
          <w:footnotePr>
            <w:numRestart w:val="eachSect"/>
          </w:footnotePr>
          <w:pgSz w:w="11906" w:h="16838" w:code="9"/>
          <w:pgMar w:top="2268" w:right="2268" w:bottom="2268" w:left="2268" w:header="1417" w:footer="720" w:gutter="0"/>
          <w:pgNumType w:start="1"/>
          <w:cols w:space="720"/>
          <w:noEndnote/>
          <w:docGrid w:linePitch="326"/>
        </w:sectPr>
      </w:pPr>
    </w:p>
    <w:p w:rsidR="00C55D78" w:rsidRPr="00C55D78" w:rsidRDefault="00C55D78" w:rsidP="00C55D78">
      <w:pPr>
        <w:pStyle w:val="DecHTitle"/>
        <w:rPr>
          <w:caps/>
        </w:rPr>
      </w:pPr>
      <w:r>
        <w:rPr>
          <w:caps/>
        </w:rPr>
        <w:lastRenderedPageBreak/>
        <w:t>Anexă</w:t>
      </w:r>
    </w:p>
    <w:p w:rsidR="00C55D78" w:rsidRPr="00C55D78" w:rsidRDefault="00C55D78" w:rsidP="00C55D78">
      <w:pPr>
        <w:pStyle w:val="DecHCase"/>
        <w:keepNext w:val="0"/>
        <w:keepLines w:val="0"/>
        <w:jc w:val="left"/>
        <w:rPr>
          <w:rFonts w:ascii="Times New Roman" w:hAnsi="Times New Roman" w:cs="Times New Roman"/>
        </w:rPr>
      </w:pPr>
      <w:r>
        <w:rPr>
          <w:rFonts w:ascii="Times New Roman" w:hAnsi="Times New Roman"/>
        </w:rPr>
        <w:t>Lista cererilor:</w:t>
      </w:r>
    </w:p>
    <w:tbl>
      <w:tblPr>
        <w:tblStyle w:val="ECHRListTable"/>
        <w:tblW w:w="14742" w:type="dxa"/>
        <w:tblInd w:w="-1139" w:type="dxa"/>
        <w:tblLook w:val="0420" w:firstRow="1" w:lastRow="0" w:firstColumn="0" w:lastColumn="0" w:noHBand="0" w:noVBand="1"/>
      </w:tblPr>
      <w:tblGrid>
        <w:gridCol w:w="556"/>
        <w:gridCol w:w="1394"/>
        <w:gridCol w:w="1520"/>
        <w:gridCol w:w="1507"/>
        <w:gridCol w:w="2296"/>
        <w:gridCol w:w="1749"/>
        <w:gridCol w:w="1909"/>
        <w:gridCol w:w="1906"/>
        <w:gridCol w:w="1905"/>
      </w:tblGrid>
      <w:tr w:rsidR="00C55D78" w:rsidRPr="00C55D78" w:rsidTr="00BB7587">
        <w:trPr>
          <w:cnfStyle w:val="100000000000" w:firstRow="1" w:lastRow="0" w:firstColumn="0" w:lastColumn="0" w:oddVBand="0" w:evenVBand="0" w:oddHBand="0" w:evenHBand="0" w:firstRowFirstColumn="0" w:firstRowLastColumn="0" w:lastRowFirstColumn="0" w:lastRowLastColumn="0"/>
        </w:trPr>
        <w:tc>
          <w:tcPr>
            <w:tcW w:w="530" w:type="dxa"/>
            <w:hideMark/>
          </w:tcPr>
          <w:p w:rsidR="00C55D78" w:rsidRPr="00C55D78" w:rsidRDefault="00C55D78" w:rsidP="00BB7587">
            <w:pPr>
              <w:rPr>
                <w:rFonts w:eastAsia="Times New Roman"/>
              </w:rPr>
            </w:pPr>
            <w:bookmarkStart w:id="15" w:name="AppTableStart"/>
            <w:bookmarkEnd w:id="15"/>
            <w:r>
              <w:t>Nr.</w:t>
            </w:r>
          </w:p>
        </w:tc>
        <w:tc>
          <w:tcPr>
            <w:tcW w:w="1455" w:type="dxa"/>
            <w:hideMark/>
          </w:tcPr>
          <w:p w:rsidR="00C55D78" w:rsidRPr="00C55D78" w:rsidRDefault="00C55D78" w:rsidP="00BB7587">
            <w:pPr>
              <w:rPr>
                <w:rFonts w:eastAsia="Times New Roman"/>
              </w:rPr>
            </w:pPr>
            <w:r>
              <w:t>Numărul cererii</w:t>
            </w:r>
          </w:p>
        </w:tc>
        <w:tc>
          <w:tcPr>
            <w:tcW w:w="1559" w:type="dxa"/>
            <w:hideMark/>
          </w:tcPr>
          <w:p w:rsidR="00C55D78" w:rsidRPr="00C55D78" w:rsidRDefault="00C55D78" w:rsidP="00BB7587">
            <w:pPr>
              <w:rPr>
                <w:rFonts w:eastAsia="Times New Roman"/>
              </w:rPr>
            </w:pPr>
            <w:r>
              <w:t>Denumirea cauzei</w:t>
            </w:r>
          </w:p>
        </w:tc>
        <w:tc>
          <w:tcPr>
            <w:tcW w:w="1559" w:type="dxa"/>
            <w:hideMark/>
          </w:tcPr>
          <w:p w:rsidR="00C55D78" w:rsidRPr="00C55D78" w:rsidRDefault="00C55D78" w:rsidP="00BB7587">
            <w:pPr>
              <w:rPr>
                <w:rFonts w:eastAsia="Times New Roman"/>
              </w:rPr>
            </w:pPr>
            <w:r>
              <w:t>Introdusă de</w:t>
            </w:r>
          </w:p>
        </w:tc>
        <w:tc>
          <w:tcPr>
            <w:tcW w:w="2014" w:type="dxa"/>
            <w:hideMark/>
          </w:tcPr>
          <w:p w:rsidR="00C55D78" w:rsidRPr="00C55D78" w:rsidRDefault="00C55D78" w:rsidP="00BB7587">
            <w:pPr>
              <w:rPr>
                <w:rFonts w:eastAsia="Times New Roman"/>
              </w:rPr>
            </w:pPr>
            <w:r>
              <w:t>Reclamant(ă)</w:t>
            </w:r>
            <w:r>
              <w:br/>
              <w:t>Anul nașterii</w:t>
            </w:r>
            <w:r>
              <w:br/>
              <w:t>Domiciliu/Reședință</w:t>
            </w:r>
            <w:r>
              <w:br/>
              <w:t>Cetățenie</w:t>
            </w:r>
          </w:p>
        </w:tc>
        <w:tc>
          <w:tcPr>
            <w:tcW w:w="1629" w:type="dxa"/>
            <w:hideMark/>
          </w:tcPr>
          <w:p w:rsidR="00C55D78" w:rsidRPr="00C55D78" w:rsidRDefault="00C55D78" w:rsidP="00BB7587">
            <w:pPr>
              <w:rPr>
                <w:rFonts w:eastAsia="Times New Roman"/>
              </w:rPr>
            </w:pPr>
            <w:r>
              <w:t>Reprezentat(ă) de</w:t>
            </w:r>
          </w:p>
        </w:tc>
        <w:tc>
          <w:tcPr>
            <w:tcW w:w="2002" w:type="dxa"/>
          </w:tcPr>
          <w:p w:rsidR="00C55D78" w:rsidRPr="00C55D78" w:rsidRDefault="00C55D78" w:rsidP="00BB7587">
            <w:pPr>
              <w:rPr>
                <w:rFonts w:eastAsia="Times New Roman"/>
              </w:rPr>
            </w:pPr>
            <w:r>
              <w:t>Suma pretinsă de reclamant(ă) pentru prejudiciul material</w:t>
            </w:r>
          </w:p>
          <w:p w:rsidR="00C55D78" w:rsidRPr="00C55D78" w:rsidRDefault="00C55D78" w:rsidP="00BB7587">
            <w:pPr>
              <w:rPr>
                <w:rFonts w:eastAsia="Times New Roman"/>
              </w:rPr>
            </w:pPr>
            <w:r>
              <w:t>(în euro)</w:t>
            </w:r>
          </w:p>
        </w:tc>
        <w:tc>
          <w:tcPr>
            <w:tcW w:w="1998" w:type="dxa"/>
          </w:tcPr>
          <w:p w:rsidR="00C55D78" w:rsidRPr="00C55D78" w:rsidRDefault="00C55D78" w:rsidP="00BB7587">
            <w:pPr>
              <w:rPr>
                <w:rFonts w:eastAsia="Times New Roman"/>
              </w:rPr>
            </w:pPr>
            <w:r>
              <w:t>Suma pretinsă de reclamant(ă) pentru prejudiciul moral</w:t>
            </w:r>
          </w:p>
          <w:p w:rsidR="00C55D78" w:rsidRPr="00C55D78" w:rsidRDefault="00C55D78" w:rsidP="00BB7587">
            <w:pPr>
              <w:rPr>
                <w:rFonts w:eastAsia="Times New Roman"/>
              </w:rPr>
            </w:pPr>
            <w:r>
              <w:t>(în euro)</w:t>
            </w:r>
          </w:p>
        </w:tc>
        <w:tc>
          <w:tcPr>
            <w:tcW w:w="1996" w:type="dxa"/>
          </w:tcPr>
          <w:p w:rsidR="00C55D78" w:rsidRPr="00C55D78" w:rsidRDefault="00C55D78" w:rsidP="00BB7587">
            <w:pPr>
              <w:rPr>
                <w:rFonts w:eastAsia="Times New Roman"/>
              </w:rPr>
            </w:pPr>
            <w:r>
              <w:t>Suma pretinsă de</w:t>
            </w:r>
          </w:p>
          <w:p w:rsidR="00C55D78" w:rsidRPr="00C55D78" w:rsidRDefault="00C55D78" w:rsidP="00BB7587">
            <w:pPr>
              <w:rPr>
                <w:rFonts w:eastAsia="Times New Roman"/>
              </w:rPr>
            </w:pPr>
            <w:r>
              <w:t>reclamant(ă) pentru cheltuieli de judecată</w:t>
            </w:r>
          </w:p>
          <w:p w:rsidR="00C55D78" w:rsidRPr="00C55D78" w:rsidRDefault="00C55D78" w:rsidP="00BB7587">
            <w:pPr>
              <w:rPr>
                <w:rFonts w:eastAsia="Times New Roman"/>
              </w:rPr>
            </w:pPr>
            <w:r>
              <w:t xml:space="preserve">(în euro) </w:t>
            </w:r>
          </w:p>
        </w:tc>
      </w:tr>
      <w:tr w:rsidR="00C55D78" w:rsidRPr="00C55D78" w:rsidTr="00BB7587">
        <w:tc>
          <w:tcPr>
            <w:tcW w:w="530" w:type="dxa"/>
            <w:hideMark/>
          </w:tcPr>
          <w:p w:rsidR="00C55D78" w:rsidRPr="00C55D78" w:rsidRDefault="00C55D78" w:rsidP="00BB7587">
            <w:pPr>
              <w:rPr>
                <w:rFonts w:eastAsia="Times New Roman"/>
              </w:rPr>
            </w:pPr>
            <w:r>
              <w:t>1.</w:t>
            </w:r>
          </w:p>
        </w:tc>
        <w:tc>
          <w:tcPr>
            <w:tcW w:w="1455" w:type="dxa"/>
            <w:hideMark/>
          </w:tcPr>
          <w:p w:rsidR="00C55D78" w:rsidRPr="00C55D78" w:rsidRDefault="00C55D78" w:rsidP="00BB7587">
            <w:pPr>
              <w:rPr>
                <w:rFonts w:eastAsia="Times New Roman"/>
              </w:rPr>
            </w:pPr>
            <w:r>
              <w:t>46913/20</w:t>
            </w:r>
          </w:p>
        </w:tc>
        <w:tc>
          <w:tcPr>
            <w:tcW w:w="1559" w:type="dxa"/>
            <w:hideMark/>
          </w:tcPr>
          <w:p w:rsidR="00C55D78" w:rsidRPr="00C55D78" w:rsidRDefault="00C55D78" w:rsidP="00BB7587">
            <w:pPr>
              <w:rPr>
                <w:rFonts w:eastAsia="Times New Roman"/>
              </w:rPr>
            </w:pPr>
            <w:r>
              <w:t>Pop-Manta împotriva României</w:t>
            </w:r>
          </w:p>
        </w:tc>
        <w:tc>
          <w:tcPr>
            <w:tcW w:w="1559" w:type="dxa"/>
            <w:hideMark/>
          </w:tcPr>
          <w:p w:rsidR="00C55D78" w:rsidRPr="00C55D78" w:rsidRDefault="00C55D78" w:rsidP="00BB7587">
            <w:pPr>
              <w:rPr>
                <w:rFonts w:eastAsia="Times New Roman"/>
              </w:rPr>
            </w:pPr>
            <w:r>
              <w:t>6.10.2020</w:t>
            </w:r>
          </w:p>
        </w:tc>
        <w:tc>
          <w:tcPr>
            <w:tcW w:w="2014" w:type="dxa"/>
            <w:hideMark/>
          </w:tcPr>
          <w:p w:rsidR="00C55D78" w:rsidRPr="00C55D78" w:rsidRDefault="00C55D78" w:rsidP="00BB7587">
            <w:pPr>
              <w:rPr>
                <w:rFonts w:eastAsia="Times New Roman"/>
                <w:bCs/>
              </w:rPr>
            </w:pPr>
            <w:r>
              <w:rPr>
                <w:b/>
              </w:rPr>
              <w:t>Rodica POP</w:t>
            </w:r>
            <w:r>
              <w:rPr>
                <w:b/>
              </w:rPr>
              <w:noBreakHyphen/>
              <w:t>MANTA</w:t>
            </w:r>
            <w:r>
              <w:br/>
              <w:t>1955</w:t>
            </w:r>
            <w:r>
              <w:br/>
              <w:t>Târgu Jiu</w:t>
            </w:r>
            <w:r>
              <w:br/>
              <w:t>română</w:t>
            </w:r>
          </w:p>
        </w:tc>
        <w:tc>
          <w:tcPr>
            <w:tcW w:w="1629" w:type="dxa"/>
            <w:hideMark/>
          </w:tcPr>
          <w:p w:rsidR="00C55D78" w:rsidRPr="00C55D78" w:rsidRDefault="00C55D78" w:rsidP="00BB7587">
            <w:pPr>
              <w:rPr>
                <w:rFonts w:eastAsia="Times New Roman"/>
              </w:rPr>
            </w:pPr>
            <w:r>
              <w:t>Cristina DUVLEA</w:t>
            </w:r>
          </w:p>
        </w:tc>
        <w:tc>
          <w:tcPr>
            <w:tcW w:w="2002" w:type="dxa"/>
          </w:tcPr>
          <w:p w:rsidR="00C55D78" w:rsidRPr="00C55D78" w:rsidRDefault="00C55D78" w:rsidP="00BB7587">
            <w:pPr>
              <w:rPr>
                <w:rFonts w:eastAsia="Times New Roman"/>
              </w:rPr>
            </w:pPr>
            <w:r>
              <w:t xml:space="preserve">4 000 </w:t>
            </w:r>
          </w:p>
        </w:tc>
        <w:tc>
          <w:tcPr>
            <w:tcW w:w="1998" w:type="dxa"/>
          </w:tcPr>
          <w:p w:rsidR="00C55D78" w:rsidRPr="00C55D78" w:rsidRDefault="00C55D78" w:rsidP="00BB7587">
            <w:pPr>
              <w:rPr>
                <w:rFonts w:eastAsia="Times New Roman"/>
              </w:rPr>
            </w:pPr>
            <w:r>
              <w:t>2 000</w:t>
            </w:r>
          </w:p>
        </w:tc>
        <w:tc>
          <w:tcPr>
            <w:tcW w:w="1996" w:type="dxa"/>
          </w:tcPr>
          <w:p w:rsidR="00C55D78" w:rsidRPr="00C55D78" w:rsidRDefault="00C55D78" w:rsidP="00BB7587">
            <w:pPr>
              <w:rPr>
                <w:rFonts w:eastAsia="Times New Roman"/>
              </w:rPr>
            </w:pPr>
            <w:r>
              <w:t>1 000</w:t>
            </w:r>
          </w:p>
        </w:tc>
      </w:tr>
      <w:tr w:rsidR="00C55D78" w:rsidRPr="00C55D78" w:rsidTr="00BB7587">
        <w:tc>
          <w:tcPr>
            <w:tcW w:w="530" w:type="dxa"/>
            <w:hideMark/>
          </w:tcPr>
          <w:p w:rsidR="00C55D78" w:rsidRPr="00C55D78" w:rsidRDefault="00C55D78" w:rsidP="00BB7587">
            <w:pPr>
              <w:rPr>
                <w:rFonts w:eastAsia="Times New Roman"/>
              </w:rPr>
            </w:pPr>
            <w:r>
              <w:t>2.</w:t>
            </w:r>
          </w:p>
        </w:tc>
        <w:tc>
          <w:tcPr>
            <w:tcW w:w="1455" w:type="dxa"/>
            <w:hideMark/>
          </w:tcPr>
          <w:p w:rsidR="00C55D78" w:rsidRPr="00C55D78" w:rsidRDefault="00C55D78" w:rsidP="00BB7587">
            <w:pPr>
              <w:rPr>
                <w:rFonts w:eastAsia="Times New Roman"/>
              </w:rPr>
            </w:pPr>
            <w:r>
              <w:t>46916/20</w:t>
            </w:r>
          </w:p>
        </w:tc>
        <w:tc>
          <w:tcPr>
            <w:tcW w:w="1559" w:type="dxa"/>
            <w:hideMark/>
          </w:tcPr>
          <w:p w:rsidR="00C55D78" w:rsidRPr="00C55D78" w:rsidRDefault="00C55D78" w:rsidP="00BB7587">
            <w:pPr>
              <w:rPr>
                <w:rFonts w:eastAsia="Times New Roman"/>
              </w:rPr>
            </w:pPr>
            <w:proofErr w:type="spellStart"/>
            <w:r>
              <w:t>Mincea</w:t>
            </w:r>
            <w:proofErr w:type="spellEnd"/>
            <w:r>
              <w:t xml:space="preserve"> împotriva României</w:t>
            </w:r>
          </w:p>
        </w:tc>
        <w:tc>
          <w:tcPr>
            <w:tcW w:w="1559" w:type="dxa"/>
            <w:hideMark/>
          </w:tcPr>
          <w:p w:rsidR="00C55D78" w:rsidRPr="00C55D78" w:rsidRDefault="00C55D78" w:rsidP="00BB7587">
            <w:pPr>
              <w:rPr>
                <w:rFonts w:eastAsia="Times New Roman"/>
              </w:rPr>
            </w:pPr>
            <w:r>
              <w:t>6.10.2020</w:t>
            </w:r>
          </w:p>
        </w:tc>
        <w:tc>
          <w:tcPr>
            <w:tcW w:w="2014" w:type="dxa"/>
            <w:hideMark/>
          </w:tcPr>
          <w:p w:rsidR="00C55D78" w:rsidRPr="00C55D78" w:rsidRDefault="00C55D78" w:rsidP="00BB7587">
            <w:pPr>
              <w:rPr>
                <w:rFonts w:eastAsia="Times New Roman"/>
                <w:bCs/>
              </w:rPr>
            </w:pPr>
            <w:r>
              <w:rPr>
                <w:b/>
              </w:rPr>
              <w:t>Ermina MINCEA</w:t>
            </w:r>
            <w:r>
              <w:br/>
              <w:t>1949</w:t>
            </w:r>
            <w:r>
              <w:br/>
              <w:t>Scoarța</w:t>
            </w:r>
          </w:p>
          <w:p w:rsidR="00C55D78" w:rsidRPr="00C55D78" w:rsidRDefault="00C55D78" w:rsidP="00BB7587">
            <w:pPr>
              <w:rPr>
                <w:rFonts w:eastAsia="Times New Roman"/>
              </w:rPr>
            </w:pPr>
            <w:r>
              <w:t>(Gorj)</w:t>
            </w:r>
            <w:r>
              <w:br/>
              <w:t>română</w:t>
            </w:r>
          </w:p>
        </w:tc>
        <w:tc>
          <w:tcPr>
            <w:tcW w:w="1629" w:type="dxa"/>
            <w:hideMark/>
          </w:tcPr>
          <w:p w:rsidR="00C55D78" w:rsidRPr="00C55D78" w:rsidRDefault="00C55D78" w:rsidP="00BB7587">
            <w:pPr>
              <w:rPr>
                <w:rFonts w:eastAsia="Times New Roman"/>
              </w:rPr>
            </w:pPr>
            <w:r>
              <w:t>Cristina DUVLEA</w:t>
            </w:r>
          </w:p>
        </w:tc>
        <w:tc>
          <w:tcPr>
            <w:tcW w:w="2002" w:type="dxa"/>
          </w:tcPr>
          <w:p w:rsidR="00C55D78" w:rsidRPr="00C55D78" w:rsidRDefault="00C55D78" w:rsidP="00BB7587">
            <w:pPr>
              <w:rPr>
                <w:rFonts w:eastAsia="Times New Roman"/>
              </w:rPr>
            </w:pPr>
            <w:r>
              <w:t>10 000</w:t>
            </w:r>
          </w:p>
        </w:tc>
        <w:tc>
          <w:tcPr>
            <w:tcW w:w="1998" w:type="dxa"/>
          </w:tcPr>
          <w:p w:rsidR="00C55D78" w:rsidRPr="00C55D78" w:rsidRDefault="00C55D78" w:rsidP="00BB7587">
            <w:pPr>
              <w:rPr>
                <w:rFonts w:eastAsia="Times New Roman"/>
              </w:rPr>
            </w:pPr>
            <w:r>
              <w:t>2 000</w:t>
            </w:r>
          </w:p>
        </w:tc>
        <w:tc>
          <w:tcPr>
            <w:tcW w:w="1996" w:type="dxa"/>
          </w:tcPr>
          <w:p w:rsidR="00C55D78" w:rsidRPr="00C55D78" w:rsidRDefault="00C55D78" w:rsidP="00BB7587">
            <w:pPr>
              <w:rPr>
                <w:rFonts w:eastAsia="Times New Roman"/>
              </w:rPr>
            </w:pPr>
            <w:r>
              <w:t>1 000</w:t>
            </w:r>
          </w:p>
        </w:tc>
      </w:tr>
      <w:tr w:rsidR="00C55D78" w:rsidRPr="00C55D78" w:rsidTr="00BB7587">
        <w:tc>
          <w:tcPr>
            <w:tcW w:w="530" w:type="dxa"/>
          </w:tcPr>
          <w:p w:rsidR="00C55D78" w:rsidRPr="00C55D78" w:rsidRDefault="00C55D78" w:rsidP="00BB7587">
            <w:pPr>
              <w:rPr>
                <w:rFonts w:eastAsia="Times New Roman"/>
              </w:rPr>
            </w:pPr>
            <w:r>
              <w:t>3.</w:t>
            </w:r>
          </w:p>
        </w:tc>
        <w:tc>
          <w:tcPr>
            <w:tcW w:w="1455" w:type="dxa"/>
          </w:tcPr>
          <w:p w:rsidR="00C55D78" w:rsidRPr="00C55D78" w:rsidRDefault="00C55D78" w:rsidP="00BB7587">
            <w:pPr>
              <w:rPr>
                <w:rFonts w:eastAsia="Times New Roman"/>
              </w:rPr>
            </w:pPr>
            <w:r>
              <w:t>52855/20</w:t>
            </w:r>
          </w:p>
        </w:tc>
        <w:tc>
          <w:tcPr>
            <w:tcW w:w="1559" w:type="dxa"/>
          </w:tcPr>
          <w:p w:rsidR="00C55D78" w:rsidRPr="00C55D78" w:rsidRDefault="00C55D78" w:rsidP="00BB7587">
            <w:pPr>
              <w:rPr>
                <w:rFonts w:eastAsia="Times New Roman"/>
              </w:rPr>
            </w:pPr>
            <w:proofErr w:type="spellStart"/>
            <w:r>
              <w:t>Bumbaru</w:t>
            </w:r>
            <w:proofErr w:type="spellEnd"/>
            <w:r>
              <w:t xml:space="preserve"> împotriva României</w:t>
            </w:r>
          </w:p>
        </w:tc>
        <w:tc>
          <w:tcPr>
            <w:tcW w:w="1559" w:type="dxa"/>
          </w:tcPr>
          <w:p w:rsidR="00C55D78" w:rsidRPr="00C55D78" w:rsidRDefault="00C55D78" w:rsidP="00BB7587">
            <w:pPr>
              <w:rPr>
                <w:rFonts w:eastAsia="Times New Roman"/>
              </w:rPr>
            </w:pPr>
            <w:r>
              <w:t>19.11.2020</w:t>
            </w:r>
          </w:p>
        </w:tc>
        <w:tc>
          <w:tcPr>
            <w:tcW w:w="2014" w:type="dxa"/>
          </w:tcPr>
          <w:p w:rsidR="00C55D78" w:rsidRPr="00C55D78" w:rsidRDefault="00C55D78" w:rsidP="00BB7587">
            <w:pPr>
              <w:rPr>
                <w:rFonts w:eastAsia="Times New Roman"/>
                <w:b/>
                <w:bCs/>
              </w:rPr>
            </w:pPr>
            <w:r>
              <w:rPr>
                <w:b/>
              </w:rPr>
              <w:t>Petre BUMBARU</w:t>
            </w:r>
          </w:p>
          <w:p w:rsidR="00C55D78" w:rsidRPr="00C55D78" w:rsidRDefault="00C55D78" w:rsidP="00BB7587">
            <w:pPr>
              <w:rPr>
                <w:rFonts w:eastAsia="Times New Roman"/>
              </w:rPr>
            </w:pPr>
            <w:r>
              <w:t>Târgu Jiu</w:t>
            </w:r>
          </w:p>
          <w:p w:rsidR="00C55D78" w:rsidRPr="00C55D78" w:rsidRDefault="00C55D78" w:rsidP="00BB7587">
            <w:pPr>
              <w:rPr>
                <w:rFonts w:eastAsia="Times New Roman"/>
              </w:rPr>
            </w:pPr>
            <w:r>
              <w:t>română</w:t>
            </w:r>
          </w:p>
        </w:tc>
        <w:tc>
          <w:tcPr>
            <w:tcW w:w="1629" w:type="dxa"/>
          </w:tcPr>
          <w:p w:rsidR="00C55D78" w:rsidRPr="00C55D78" w:rsidRDefault="00C55D78" w:rsidP="00BB7587">
            <w:pPr>
              <w:rPr>
                <w:rFonts w:eastAsia="Times New Roman"/>
              </w:rPr>
            </w:pPr>
            <w:r>
              <w:t>Cristina DUVLEA</w:t>
            </w:r>
          </w:p>
        </w:tc>
        <w:tc>
          <w:tcPr>
            <w:tcW w:w="2002" w:type="dxa"/>
          </w:tcPr>
          <w:p w:rsidR="00C55D78" w:rsidRPr="00C55D78" w:rsidRDefault="00C55D78" w:rsidP="00BB7587">
            <w:pPr>
              <w:rPr>
                <w:rFonts w:eastAsia="Times New Roman"/>
              </w:rPr>
            </w:pPr>
            <w:r>
              <w:t>15 000</w:t>
            </w:r>
          </w:p>
        </w:tc>
        <w:tc>
          <w:tcPr>
            <w:tcW w:w="1998" w:type="dxa"/>
          </w:tcPr>
          <w:p w:rsidR="00C55D78" w:rsidRPr="00C55D78" w:rsidRDefault="00C55D78" w:rsidP="00BB7587">
            <w:pPr>
              <w:rPr>
                <w:rFonts w:eastAsia="Times New Roman"/>
              </w:rPr>
            </w:pPr>
            <w:r>
              <w:t>2 000</w:t>
            </w:r>
          </w:p>
        </w:tc>
        <w:tc>
          <w:tcPr>
            <w:tcW w:w="1996" w:type="dxa"/>
          </w:tcPr>
          <w:p w:rsidR="00C55D78" w:rsidRPr="00C55D78" w:rsidRDefault="00C55D78" w:rsidP="00BB7587">
            <w:pPr>
              <w:rPr>
                <w:rFonts w:eastAsia="Times New Roman"/>
              </w:rPr>
            </w:pPr>
            <w:r>
              <w:t>600</w:t>
            </w:r>
          </w:p>
        </w:tc>
      </w:tr>
    </w:tbl>
    <w:p w:rsidR="00876F03" w:rsidRPr="00C55D78" w:rsidRDefault="00876F03" w:rsidP="00C55D78"/>
    <w:sectPr w:rsidR="00876F03" w:rsidRPr="00C55D78" w:rsidSect="007E12F5">
      <w:headerReference w:type="even" r:id="rId17"/>
      <w:headerReference w:type="default" r:id="rId18"/>
      <w:footerReference w:type="default" r:id="rId19"/>
      <w:footnotePr>
        <w:numRestart w:val="eachSect"/>
      </w:footnotePr>
      <w:pgSz w:w="16838" w:h="11906" w:orient="landscape" w:code="9"/>
      <w:pgMar w:top="2268" w:right="2268" w:bottom="2268" w:left="2268"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445" w:rsidRDefault="00C20445">
      <w:r>
        <w:separator/>
      </w:r>
    </w:p>
  </w:endnote>
  <w:endnote w:type="continuationSeparator" w:id="0">
    <w:p w:rsidR="00C20445" w:rsidRDefault="00C20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D78" w:rsidRPr="00C55D78" w:rsidRDefault="00C55D78" w:rsidP="00C55D78">
    <w:pPr>
      <w:pStyle w:val="JuHeader"/>
    </w:pPr>
    <w:r w:rsidRPr="00C55D78">
      <w:fldChar w:fldCharType="begin"/>
    </w:r>
    <w:r w:rsidRPr="00C55D78">
      <w:instrText xml:space="preserve"> PAGE  \* MERGEFORMAT </w:instrText>
    </w:r>
    <w:r w:rsidRPr="00C55D78">
      <w:fldChar w:fldCharType="separate"/>
    </w:r>
    <w:r w:rsidRPr="00C55D78">
      <w:t>1</w:t>
    </w:r>
    <w:r w:rsidRPr="00C55D78">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D78" w:rsidRPr="00C55D78" w:rsidRDefault="00C55D78" w:rsidP="00C55D78">
    <w:pPr>
      <w:jc w:val="center"/>
    </w:pPr>
    <w:r>
      <w:rPr>
        <w:noProof/>
        <w:lang w:eastAsia="ro-RO"/>
      </w:rPr>
      <w:drawing>
        <wp:inline distT="0" distB="0" distL="0" distR="0" wp14:anchorId="55F32501" wp14:editId="6BDF8881">
          <wp:extent cx="771525" cy="619125"/>
          <wp:effectExtent l="0" t="0" r="9525" b="9525"/>
          <wp:docPr id="76" name="Picture 7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C55D78" w:rsidRPr="00C55D78" w:rsidRDefault="00C55D78" w:rsidP="00C55D78">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D78" w:rsidRPr="00C55D78" w:rsidRDefault="00C55D78" w:rsidP="00C55D78">
    <w:pPr>
      <w:jc w:val="center"/>
    </w:pPr>
    <w:r>
      <w:rPr>
        <w:noProof/>
        <w:lang w:eastAsia="ro-RO"/>
      </w:rPr>
      <w:drawing>
        <wp:inline distT="0" distB="0" distL="0" distR="0" wp14:anchorId="418F609F" wp14:editId="347A93BF">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C55D78" w:rsidRPr="00C55D78" w:rsidRDefault="00C55D78" w:rsidP="00C55D78">
    <w:pPr>
      <w:pStyle w:val="Footer0"/>
      <w:jc w:val="center"/>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D78" w:rsidRPr="00C55D78" w:rsidRDefault="00C55D78" w:rsidP="00C55D78">
    <w:pPr>
      <w:pStyle w:val="JuHeader"/>
    </w:pPr>
    <w:r w:rsidRPr="00C55D78">
      <w:fldChar w:fldCharType="begin"/>
    </w:r>
    <w:r w:rsidRPr="00C55D78">
      <w:instrText xml:space="preserve"> PAGE  \* MERGEFORMAT </w:instrText>
    </w:r>
    <w:r w:rsidRPr="00C55D78">
      <w:fldChar w:fldCharType="separate"/>
    </w:r>
    <w:r w:rsidR="003959BC">
      <w:rPr>
        <w:noProof/>
      </w:rPr>
      <w:t>2</w:t>
    </w:r>
    <w:r w:rsidRPr="00C55D78">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D78" w:rsidRPr="00C55D78" w:rsidRDefault="00C55D78" w:rsidP="00C55D78">
    <w:pPr>
      <w:pStyle w:val="JuHeader"/>
    </w:pPr>
    <w:r w:rsidRPr="00C55D78">
      <w:fldChar w:fldCharType="begin"/>
    </w:r>
    <w:r w:rsidRPr="00C55D78">
      <w:instrText xml:space="preserve"> PAGE  \* MERGEFORMAT </w:instrText>
    </w:r>
    <w:r w:rsidRPr="00C55D78">
      <w:fldChar w:fldCharType="separate"/>
    </w:r>
    <w:r w:rsidR="003959BC">
      <w:rPr>
        <w:noProof/>
      </w:rPr>
      <w:t>1</w:t>
    </w:r>
    <w:r w:rsidRPr="00C55D78">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C55D78" w:rsidRDefault="0012339B" w:rsidP="00C55D78">
    <w:pPr>
      <w:pStyle w:val="JuHeader"/>
    </w:pPr>
    <w:r w:rsidRPr="00C55D78">
      <w:fldChar w:fldCharType="begin"/>
    </w:r>
    <w:r w:rsidRPr="00C55D78">
      <w:instrText xml:space="preserve"> PAGE  \* MERGEFORMAT </w:instrText>
    </w:r>
    <w:r w:rsidRPr="00C55D78">
      <w:fldChar w:fldCharType="separate"/>
    </w:r>
    <w:r w:rsidR="003959BC">
      <w:rPr>
        <w:noProof/>
      </w:rPr>
      <w:t>9</w:t>
    </w:r>
    <w:r w:rsidRPr="00C55D78">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445" w:rsidRDefault="00C20445">
      <w:r>
        <w:separator/>
      </w:r>
    </w:p>
  </w:footnote>
  <w:footnote w:type="continuationSeparator" w:id="0">
    <w:p w:rsidR="00C20445" w:rsidRDefault="00C204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D78" w:rsidRPr="00C55D78" w:rsidRDefault="00C55D78" w:rsidP="00C55D78">
    <w:pPr>
      <w:jc w:val="center"/>
    </w:pPr>
    <w:r>
      <w:rPr>
        <w:noProof/>
        <w:lang w:eastAsia="ro-RO"/>
      </w:rPr>
      <w:drawing>
        <wp:inline distT="0" distB="0" distL="0" distR="0" wp14:anchorId="7BF1F2F4" wp14:editId="0C027946">
          <wp:extent cx="2962275" cy="1219200"/>
          <wp:effectExtent l="0" t="0" r="9525" b="0"/>
          <wp:docPr id="73" name="Picture 7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C55D78" w:rsidRPr="00C55D78" w:rsidRDefault="00C55D78" w:rsidP="00C55D7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3FB" w:rsidRPr="00FE3849" w:rsidRDefault="006D13FB" w:rsidP="006D13FB">
    <w:pPr>
      <w:jc w:val="right"/>
      <w:rPr>
        <w:i/>
      </w:rPr>
    </w:pPr>
    <w:r>
      <w:rPr>
        <w:i/>
        <w:iCs/>
      </w:rPr>
      <w:t>Tradus și revizuit de IER</w:t>
    </w:r>
    <w:r>
      <w:t xml:space="preserve"> </w:t>
    </w:r>
    <w:r>
      <w:rPr>
        <w:i/>
      </w:rPr>
      <w:t>(</w:t>
    </w:r>
    <w:hyperlink r:id="rId1" w:history="1">
      <w:r>
        <w:rPr>
          <w:rStyle w:val="Hyperlink"/>
          <w:i/>
        </w:rPr>
        <w:t>http://ier.gov.ro/</w:t>
      </w:r>
    </w:hyperlink>
    <w:r>
      <w:rPr>
        <w:i/>
      </w:rPr>
      <w:t>)</w:t>
    </w:r>
  </w:p>
  <w:p w:rsidR="006D13FB" w:rsidRDefault="006D13FB" w:rsidP="00C55D78">
    <w:pPr>
      <w:jc w:val="center"/>
      <w:rPr>
        <w:noProof/>
        <w:lang w:eastAsia="ro-RO"/>
      </w:rPr>
    </w:pPr>
  </w:p>
  <w:p w:rsidR="00C55D78" w:rsidRPr="00C55D78" w:rsidRDefault="00C55D78" w:rsidP="00C55D78">
    <w:pPr>
      <w:jc w:val="center"/>
    </w:pPr>
    <w:r>
      <w:rPr>
        <w:noProof/>
        <w:lang w:eastAsia="ro-RO"/>
      </w:rPr>
      <w:drawing>
        <wp:inline distT="0" distB="0" distL="0" distR="0" wp14:anchorId="7984A157" wp14:editId="702E76C5">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C55D78" w:rsidRPr="00C55D78" w:rsidRDefault="00C55D78" w:rsidP="00C55D78">
    <w:pPr>
      <w:jc w:val="center"/>
      <w:rPr>
        <w:sz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D78" w:rsidRPr="00C55D78" w:rsidRDefault="00C55D78" w:rsidP="00C55D78">
    <w:pPr>
      <w:pStyle w:val="JuHeader"/>
    </w:pPr>
    <w:r>
      <w:t>HOTĂRÂREA POP-MANTA ȘI ALȚII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D78" w:rsidRPr="00C55D78" w:rsidRDefault="00C55D78" w:rsidP="00C55D78">
    <w:pPr>
      <w:pStyle w:val="JuHeader"/>
    </w:pPr>
    <w:r>
      <w:t>HOTĂRÂREA POP-MANTA ȘI ALȚII ÎMPOTRIVA ROMÂNIEI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C55D78" w:rsidRDefault="0012339B" w:rsidP="00C55D78">
    <w:pPr>
      <w:pStyle w:val="JuHeader"/>
    </w:pPr>
    <w:r>
      <w:t xml:space="preserve">HOTĂRÂREA POP-MANTA ÎMPOTRIVA ROMÂNIEI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C55D78" w:rsidRDefault="0012339B" w:rsidP="00C55D78">
    <w:pPr>
      <w:pStyle w:val="JuHeader"/>
    </w:pPr>
    <w:r>
      <w:t xml:space="preserve">HOTĂRÂREA POP-MANTA ȘI ALȚII ÎMPOTRIVA ROMÂNIEI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0284E5EE">
      <w:start w:val="1"/>
      <w:numFmt w:val="bullet"/>
      <w:pStyle w:val="ListBullet"/>
      <w:lvlText w:val=""/>
      <w:lvlJc w:val="left"/>
      <w:pPr>
        <w:tabs>
          <w:tab w:val="num" w:pos="851"/>
        </w:tabs>
        <w:ind w:left="568" w:firstLine="0"/>
      </w:pPr>
      <w:rPr>
        <w:rFonts w:ascii="Wingdings" w:hAnsi="Wingdings" w:hint="default"/>
        <w:color w:val="808080"/>
        <w:sz w:val="16"/>
      </w:rPr>
    </w:lvl>
    <w:lvl w:ilvl="1" w:tplc="5D9A719E" w:tentative="1">
      <w:start w:val="1"/>
      <w:numFmt w:val="bullet"/>
      <w:lvlText w:val="o"/>
      <w:lvlJc w:val="left"/>
      <w:pPr>
        <w:tabs>
          <w:tab w:val="num" w:pos="1724"/>
        </w:tabs>
        <w:ind w:left="1724" w:hanging="360"/>
      </w:pPr>
      <w:rPr>
        <w:rFonts w:ascii="Courier New" w:hAnsi="Courier New" w:cs="Courier New" w:hint="default"/>
      </w:rPr>
    </w:lvl>
    <w:lvl w:ilvl="2" w:tplc="36F49320" w:tentative="1">
      <w:start w:val="1"/>
      <w:numFmt w:val="bullet"/>
      <w:lvlText w:val=""/>
      <w:lvlJc w:val="left"/>
      <w:pPr>
        <w:tabs>
          <w:tab w:val="num" w:pos="2444"/>
        </w:tabs>
        <w:ind w:left="2444" w:hanging="360"/>
      </w:pPr>
      <w:rPr>
        <w:rFonts w:ascii="Wingdings" w:hAnsi="Wingdings" w:hint="default"/>
      </w:rPr>
    </w:lvl>
    <w:lvl w:ilvl="3" w:tplc="AF32AA7C" w:tentative="1">
      <w:start w:val="1"/>
      <w:numFmt w:val="bullet"/>
      <w:lvlText w:val=""/>
      <w:lvlJc w:val="left"/>
      <w:pPr>
        <w:tabs>
          <w:tab w:val="num" w:pos="3164"/>
        </w:tabs>
        <w:ind w:left="3164" w:hanging="360"/>
      </w:pPr>
      <w:rPr>
        <w:rFonts w:ascii="Symbol" w:hAnsi="Symbol" w:hint="default"/>
      </w:rPr>
    </w:lvl>
    <w:lvl w:ilvl="4" w:tplc="DC04044A" w:tentative="1">
      <w:start w:val="1"/>
      <w:numFmt w:val="bullet"/>
      <w:lvlText w:val="o"/>
      <w:lvlJc w:val="left"/>
      <w:pPr>
        <w:tabs>
          <w:tab w:val="num" w:pos="3884"/>
        </w:tabs>
        <w:ind w:left="3884" w:hanging="360"/>
      </w:pPr>
      <w:rPr>
        <w:rFonts w:ascii="Courier New" w:hAnsi="Courier New" w:cs="Courier New" w:hint="default"/>
      </w:rPr>
    </w:lvl>
    <w:lvl w:ilvl="5" w:tplc="083EB4DA" w:tentative="1">
      <w:start w:val="1"/>
      <w:numFmt w:val="bullet"/>
      <w:lvlText w:val=""/>
      <w:lvlJc w:val="left"/>
      <w:pPr>
        <w:tabs>
          <w:tab w:val="num" w:pos="4604"/>
        </w:tabs>
        <w:ind w:left="4604" w:hanging="360"/>
      </w:pPr>
      <w:rPr>
        <w:rFonts w:ascii="Wingdings" w:hAnsi="Wingdings" w:hint="default"/>
      </w:rPr>
    </w:lvl>
    <w:lvl w:ilvl="6" w:tplc="BFA2560A" w:tentative="1">
      <w:start w:val="1"/>
      <w:numFmt w:val="bullet"/>
      <w:lvlText w:val=""/>
      <w:lvlJc w:val="left"/>
      <w:pPr>
        <w:tabs>
          <w:tab w:val="num" w:pos="5324"/>
        </w:tabs>
        <w:ind w:left="5324" w:hanging="360"/>
      </w:pPr>
      <w:rPr>
        <w:rFonts w:ascii="Symbol" w:hAnsi="Symbol" w:hint="default"/>
      </w:rPr>
    </w:lvl>
    <w:lvl w:ilvl="7" w:tplc="48FC5D2A" w:tentative="1">
      <w:start w:val="1"/>
      <w:numFmt w:val="bullet"/>
      <w:lvlText w:val="o"/>
      <w:lvlJc w:val="left"/>
      <w:pPr>
        <w:tabs>
          <w:tab w:val="num" w:pos="6044"/>
        </w:tabs>
        <w:ind w:left="6044" w:hanging="360"/>
      </w:pPr>
      <w:rPr>
        <w:rFonts w:ascii="Courier New" w:hAnsi="Courier New" w:cs="Courier New" w:hint="default"/>
      </w:rPr>
    </w:lvl>
    <w:lvl w:ilvl="8" w:tplc="B1021682"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2"/>
    <w:docVar w:name="AppNatAutre" w:val="0"/>
    <w:docVar w:name="DocVarPREMATURE" w:val="0"/>
    <w:docVar w:name="EMM" w:val="0"/>
    <w:docVar w:name="ETRANSMISSION" w:val="PAR VOIE ÈLECTRONIQUE UNIQUEMENT"/>
    <w:docVar w:name="L4_1Annex" w:val="0"/>
    <w:docVar w:name="L4_1Anonymity" w:val="0"/>
    <w:docVar w:name="NBEMMDOC" w:val="0"/>
    <w:docVar w:name="Plural" w:val="3"/>
    <w:docVar w:name="SignForeName" w:val="0"/>
    <w:docVar w:name="SndCaseNumber" w:val="Error!Nodocumentvariablesupplied."/>
  </w:docVars>
  <w:rsids>
    <w:rsidRoot w:val="00D277AA"/>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8AF"/>
    <w:rsid w:val="00061B05"/>
    <w:rsid w:val="000632D5"/>
    <w:rsid w:val="000644EE"/>
    <w:rsid w:val="000675A9"/>
    <w:rsid w:val="00074FD9"/>
    <w:rsid w:val="00080ECE"/>
    <w:rsid w:val="0008621D"/>
    <w:rsid w:val="00086E4E"/>
    <w:rsid w:val="00086E70"/>
    <w:rsid w:val="0009057B"/>
    <w:rsid w:val="000925AD"/>
    <w:rsid w:val="000A20EB"/>
    <w:rsid w:val="000A24EB"/>
    <w:rsid w:val="000B5D17"/>
    <w:rsid w:val="000B6923"/>
    <w:rsid w:val="000C5F3C"/>
    <w:rsid w:val="000C6DCC"/>
    <w:rsid w:val="000D04C2"/>
    <w:rsid w:val="000D3A69"/>
    <w:rsid w:val="000D47AA"/>
    <w:rsid w:val="000D721F"/>
    <w:rsid w:val="000D7D2F"/>
    <w:rsid w:val="000E069B"/>
    <w:rsid w:val="000E0E82"/>
    <w:rsid w:val="000E1DC5"/>
    <w:rsid w:val="000E223F"/>
    <w:rsid w:val="000E4AC8"/>
    <w:rsid w:val="000E7D45"/>
    <w:rsid w:val="000F1305"/>
    <w:rsid w:val="000F19D8"/>
    <w:rsid w:val="000F7851"/>
    <w:rsid w:val="00104E23"/>
    <w:rsid w:val="00111B0C"/>
    <w:rsid w:val="00117CD2"/>
    <w:rsid w:val="00120D6C"/>
    <w:rsid w:val="0012339B"/>
    <w:rsid w:val="001257EC"/>
    <w:rsid w:val="001313D2"/>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C6A7B"/>
    <w:rsid w:val="001D63ED"/>
    <w:rsid w:val="001D7348"/>
    <w:rsid w:val="001E035B"/>
    <w:rsid w:val="001E0961"/>
    <w:rsid w:val="001E3EAE"/>
    <w:rsid w:val="001E6F32"/>
    <w:rsid w:val="001F2145"/>
    <w:rsid w:val="001F39F4"/>
    <w:rsid w:val="001F6262"/>
    <w:rsid w:val="001F67B0"/>
    <w:rsid w:val="001F7B3D"/>
    <w:rsid w:val="00202296"/>
    <w:rsid w:val="00204F24"/>
    <w:rsid w:val="00205F9F"/>
    <w:rsid w:val="00206658"/>
    <w:rsid w:val="00206DC2"/>
    <w:rsid w:val="0020718E"/>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1F31"/>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E18C1"/>
    <w:rsid w:val="002E3774"/>
    <w:rsid w:val="002F29AA"/>
    <w:rsid w:val="002F2AF7"/>
    <w:rsid w:val="002F7E1C"/>
    <w:rsid w:val="00301A75"/>
    <w:rsid w:val="00302F70"/>
    <w:rsid w:val="0030336F"/>
    <w:rsid w:val="0030375E"/>
    <w:rsid w:val="00303CB6"/>
    <w:rsid w:val="0030660C"/>
    <w:rsid w:val="00312A30"/>
    <w:rsid w:val="00316323"/>
    <w:rsid w:val="00320F72"/>
    <w:rsid w:val="0032463E"/>
    <w:rsid w:val="00326224"/>
    <w:rsid w:val="00337020"/>
    <w:rsid w:val="00337EE4"/>
    <w:rsid w:val="00340FFD"/>
    <w:rsid w:val="003471AF"/>
    <w:rsid w:val="003506B1"/>
    <w:rsid w:val="00354DA8"/>
    <w:rsid w:val="00356AC7"/>
    <w:rsid w:val="003609FA"/>
    <w:rsid w:val="00361D45"/>
    <w:rsid w:val="00367B4F"/>
    <w:rsid w:val="003710C8"/>
    <w:rsid w:val="003722CE"/>
    <w:rsid w:val="003750BE"/>
    <w:rsid w:val="00387B9D"/>
    <w:rsid w:val="00387DFB"/>
    <w:rsid w:val="0039364F"/>
    <w:rsid w:val="003959BC"/>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02ADA"/>
    <w:rsid w:val="0041177B"/>
    <w:rsid w:val="00414300"/>
    <w:rsid w:val="00425C67"/>
    <w:rsid w:val="00427E7A"/>
    <w:rsid w:val="00431C07"/>
    <w:rsid w:val="004344E6"/>
    <w:rsid w:val="00436C49"/>
    <w:rsid w:val="00440060"/>
    <w:rsid w:val="00442EE3"/>
    <w:rsid w:val="0044318F"/>
    <w:rsid w:val="00445366"/>
    <w:rsid w:val="00447F5B"/>
    <w:rsid w:val="00456549"/>
    <w:rsid w:val="004604A0"/>
    <w:rsid w:val="00461DB0"/>
    <w:rsid w:val="00463926"/>
    <w:rsid w:val="00464C9A"/>
    <w:rsid w:val="004658B8"/>
    <w:rsid w:val="00474F3D"/>
    <w:rsid w:val="00477E3A"/>
    <w:rsid w:val="004839C4"/>
    <w:rsid w:val="00483E5F"/>
    <w:rsid w:val="00484EA4"/>
    <w:rsid w:val="00485FF9"/>
    <w:rsid w:val="004907F0"/>
    <w:rsid w:val="0049140B"/>
    <w:rsid w:val="004923A5"/>
    <w:rsid w:val="00496197"/>
    <w:rsid w:val="00496BFB"/>
    <w:rsid w:val="004A15C7"/>
    <w:rsid w:val="004B013B"/>
    <w:rsid w:val="004B112B"/>
    <w:rsid w:val="004B73FF"/>
    <w:rsid w:val="004C01E4"/>
    <w:rsid w:val="004C086C"/>
    <w:rsid w:val="004C14C4"/>
    <w:rsid w:val="004C1A3F"/>
    <w:rsid w:val="004C1F56"/>
    <w:rsid w:val="004C27BC"/>
    <w:rsid w:val="004C42E5"/>
    <w:rsid w:val="004C5352"/>
    <w:rsid w:val="004D15F3"/>
    <w:rsid w:val="004D51C3"/>
    <w:rsid w:val="004D5311"/>
    <w:rsid w:val="004D5DCC"/>
    <w:rsid w:val="004E0973"/>
    <w:rsid w:val="004E22F1"/>
    <w:rsid w:val="004E348E"/>
    <w:rsid w:val="004F10AF"/>
    <w:rsid w:val="004F11A4"/>
    <w:rsid w:val="004F2389"/>
    <w:rsid w:val="004F304D"/>
    <w:rsid w:val="004F61BE"/>
    <w:rsid w:val="004F66B1"/>
    <w:rsid w:val="00510D77"/>
    <w:rsid w:val="00511C07"/>
    <w:rsid w:val="00516967"/>
    <w:rsid w:val="00516B59"/>
    <w:rsid w:val="005173A6"/>
    <w:rsid w:val="00520BAA"/>
    <w:rsid w:val="00520BC2"/>
    <w:rsid w:val="00522ABA"/>
    <w:rsid w:val="00525208"/>
    <w:rsid w:val="005257A5"/>
    <w:rsid w:val="005264C0"/>
    <w:rsid w:val="00526A8A"/>
    <w:rsid w:val="00531DF2"/>
    <w:rsid w:val="005442EE"/>
    <w:rsid w:val="00547353"/>
    <w:rsid w:val="005474E7"/>
    <w:rsid w:val="005512A3"/>
    <w:rsid w:val="005578CE"/>
    <w:rsid w:val="00562781"/>
    <w:rsid w:val="005631B4"/>
    <w:rsid w:val="00566E2B"/>
    <w:rsid w:val="0057271C"/>
    <w:rsid w:val="00572845"/>
    <w:rsid w:val="0057698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C5494"/>
    <w:rsid w:val="005D34F9"/>
    <w:rsid w:val="005D4190"/>
    <w:rsid w:val="005D67A3"/>
    <w:rsid w:val="005E2988"/>
    <w:rsid w:val="005E3085"/>
    <w:rsid w:val="005F51E1"/>
    <w:rsid w:val="00610F7A"/>
    <w:rsid w:val="00611C80"/>
    <w:rsid w:val="00613B21"/>
    <w:rsid w:val="00615A6B"/>
    <w:rsid w:val="00620692"/>
    <w:rsid w:val="006242CA"/>
    <w:rsid w:val="00627507"/>
    <w:rsid w:val="00633717"/>
    <w:rsid w:val="006344E1"/>
    <w:rsid w:val="006361FD"/>
    <w:rsid w:val="00652512"/>
    <w:rsid w:val="006545C4"/>
    <w:rsid w:val="00654B7E"/>
    <w:rsid w:val="00661971"/>
    <w:rsid w:val="00661CE8"/>
    <w:rsid w:val="006623D9"/>
    <w:rsid w:val="00662882"/>
    <w:rsid w:val="0066550C"/>
    <w:rsid w:val="006716F2"/>
    <w:rsid w:val="006779BD"/>
    <w:rsid w:val="00682BF2"/>
    <w:rsid w:val="006833A5"/>
    <w:rsid w:val="006859CE"/>
    <w:rsid w:val="00691270"/>
    <w:rsid w:val="00693DAC"/>
    <w:rsid w:val="00694BA8"/>
    <w:rsid w:val="006A037C"/>
    <w:rsid w:val="006A2534"/>
    <w:rsid w:val="006A36F4"/>
    <w:rsid w:val="006A406F"/>
    <w:rsid w:val="006A5D3A"/>
    <w:rsid w:val="006C23D4"/>
    <w:rsid w:val="006C475E"/>
    <w:rsid w:val="006C7BB0"/>
    <w:rsid w:val="006D13FB"/>
    <w:rsid w:val="006D3237"/>
    <w:rsid w:val="006E2E37"/>
    <w:rsid w:val="006E3CF1"/>
    <w:rsid w:val="006E569D"/>
    <w:rsid w:val="006E7E80"/>
    <w:rsid w:val="006F158C"/>
    <w:rsid w:val="006F48CA"/>
    <w:rsid w:val="006F4C67"/>
    <w:rsid w:val="006F64DD"/>
    <w:rsid w:val="007100AD"/>
    <w:rsid w:val="00715127"/>
    <w:rsid w:val="00715E8E"/>
    <w:rsid w:val="007172B0"/>
    <w:rsid w:val="00723580"/>
    <w:rsid w:val="00723755"/>
    <w:rsid w:val="00724AE2"/>
    <w:rsid w:val="00730B5C"/>
    <w:rsid w:val="0073136C"/>
    <w:rsid w:val="00731F0F"/>
    <w:rsid w:val="00733250"/>
    <w:rsid w:val="00735951"/>
    <w:rsid w:val="00737EEC"/>
    <w:rsid w:val="00740E88"/>
    <w:rsid w:val="00741404"/>
    <w:rsid w:val="007449E5"/>
    <w:rsid w:val="00747FF0"/>
    <w:rsid w:val="007612E2"/>
    <w:rsid w:val="00764D4E"/>
    <w:rsid w:val="00765A1F"/>
    <w:rsid w:val="00775B6D"/>
    <w:rsid w:val="00776D68"/>
    <w:rsid w:val="0078300D"/>
    <w:rsid w:val="007850EE"/>
    <w:rsid w:val="00785B95"/>
    <w:rsid w:val="00790AAD"/>
    <w:rsid w:val="00790E96"/>
    <w:rsid w:val="00793366"/>
    <w:rsid w:val="00794E99"/>
    <w:rsid w:val="007971FF"/>
    <w:rsid w:val="007A4070"/>
    <w:rsid w:val="007A716F"/>
    <w:rsid w:val="007B270A"/>
    <w:rsid w:val="007B32F2"/>
    <w:rsid w:val="007C0695"/>
    <w:rsid w:val="007C419A"/>
    <w:rsid w:val="007C4CC8"/>
    <w:rsid w:val="007C5426"/>
    <w:rsid w:val="007C5798"/>
    <w:rsid w:val="007D4832"/>
    <w:rsid w:val="007E12F5"/>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962C9"/>
    <w:rsid w:val="008A046A"/>
    <w:rsid w:val="008B02DC"/>
    <w:rsid w:val="008B2698"/>
    <w:rsid w:val="008B57CE"/>
    <w:rsid w:val="008C26DE"/>
    <w:rsid w:val="008C60F1"/>
    <w:rsid w:val="008D093E"/>
    <w:rsid w:val="008D2225"/>
    <w:rsid w:val="008D4752"/>
    <w:rsid w:val="008E271C"/>
    <w:rsid w:val="008E418E"/>
    <w:rsid w:val="008E5BC6"/>
    <w:rsid w:val="008E698F"/>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1E57"/>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776C"/>
    <w:rsid w:val="009F0797"/>
    <w:rsid w:val="00A00672"/>
    <w:rsid w:val="00A065BF"/>
    <w:rsid w:val="00A132AD"/>
    <w:rsid w:val="00A1726E"/>
    <w:rsid w:val="00A204CF"/>
    <w:rsid w:val="00A21624"/>
    <w:rsid w:val="00A23D49"/>
    <w:rsid w:val="00A2578E"/>
    <w:rsid w:val="00A27004"/>
    <w:rsid w:val="00A30C29"/>
    <w:rsid w:val="00A34DD6"/>
    <w:rsid w:val="00A36819"/>
    <w:rsid w:val="00A36989"/>
    <w:rsid w:val="00A43628"/>
    <w:rsid w:val="00A43AA3"/>
    <w:rsid w:val="00A45145"/>
    <w:rsid w:val="00A4783F"/>
    <w:rsid w:val="00A54192"/>
    <w:rsid w:val="00A6035E"/>
    <w:rsid w:val="00A60C9B"/>
    <w:rsid w:val="00A6144C"/>
    <w:rsid w:val="00A66617"/>
    <w:rsid w:val="00A671F8"/>
    <w:rsid w:val="00A673A4"/>
    <w:rsid w:val="00A724AE"/>
    <w:rsid w:val="00A73329"/>
    <w:rsid w:val="00A75785"/>
    <w:rsid w:val="00A8094B"/>
    <w:rsid w:val="00A82359"/>
    <w:rsid w:val="00A865D2"/>
    <w:rsid w:val="00A94C20"/>
    <w:rsid w:val="00AA227F"/>
    <w:rsid w:val="00AA3BC7"/>
    <w:rsid w:val="00AA5E4E"/>
    <w:rsid w:val="00AA754A"/>
    <w:rsid w:val="00AB099E"/>
    <w:rsid w:val="00AB4328"/>
    <w:rsid w:val="00AB5628"/>
    <w:rsid w:val="00AC00C2"/>
    <w:rsid w:val="00AC5872"/>
    <w:rsid w:val="00AD2473"/>
    <w:rsid w:val="00AE0A2E"/>
    <w:rsid w:val="00AE354C"/>
    <w:rsid w:val="00AF4866"/>
    <w:rsid w:val="00AF4B07"/>
    <w:rsid w:val="00AF6186"/>
    <w:rsid w:val="00AF7A3A"/>
    <w:rsid w:val="00B009F4"/>
    <w:rsid w:val="00B160DB"/>
    <w:rsid w:val="00B20836"/>
    <w:rsid w:val="00B20F1A"/>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3D7F"/>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3B0A"/>
    <w:rsid w:val="00C054C7"/>
    <w:rsid w:val="00C057B5"/>
    <w:rsid w:val="00C149F0"/>
    <w:rsid w:val="00C20445"/>
    <w:rsid w:val="00C22687"/>
    <w:rsid w:val="00C25983"/>
    <w:rsid w:val="00C32E4D"/>
    <w:rsid w:val="00C333A0"/>
    <w:rsid w:val="00C36408"/>
    <w:rsid w:val="00C36A81"/>
    <w:rsid w:val="00C41974"/>
    <w:rsid w:val="00C45616"/>
    <w:rsid w:val="00C53F4A"/>
    <w:rsid w:val="00C54125"/>
    <w:rsid w:val="00C55B54"/>
    <w:rsid w:val="00C55D78"/>
    <w:rsid w:val="00C57A76"/>
    <w:rsid w:val="00C6098E"/>
    <w:rsid w:val="00C6152C"/>
    <w:rsid w:val="00C61D3B"/>
    <w:rsid w:val="00C74810"/>
    <w:rsid w:val="00C74814"/>
    <w:rsid w:val="00C81ACF"/>
    <w:rsid w:val="00C90D68"/>
    <w:rsid w:val="00C939FE"/>
    <w:rsid w:val="00CA4BDA"/>
    <w:rsid w:val="00CA7C61"/>
    <w:rsid w:val="00CB1F66"/>
    <w:rsid w:val="00CB2951"/>
    <w:rsid w:val="00CC0B63"/>
    <w:rsid w:val="00CC0FB4"/>
    <w:rsid w:val="00CC1296"/>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0080"/>
    <w:rsid w:val="00D21B3E"/>
    <w:rsid w:val="00D21C26"/>
    <w:rsid w:val="00D21FED"/>
    <w:rsid w:val="00D24251"/>
    <w:rsid w:val="00D277AA"/>
    <w:rsid w:val="00D343E2"/>
    <w:rsid w:val="00D361A2"/>
    <w:rsid w:val="00D437FC"/>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351"/>
    <w:rsid w:val="00DA4A31"/>
    <w:rsid w:val="00DA65BE"/>
    <w:rsid w:val="00DA7B04"/>
    <w:rsid w:val="00DB36C2"/>
    <w:rsid w:val="00DB5CBD"/>
    <w:rsid w:val="00DC169B"/>
    <w:rsid w:val="00DC2AB9"/>
    <w:rsid w:val="00DC63F0"/>
    <w:rsid w:val="00DD10E5"/>
    <w:rsid w:val="00DD5382"/>
    <w:rsid w:val="00DD6EE5"/>
    <w:rsid w:val="00DE2362"/>
    <w:rsid w:val="00DE386C"/>
    <w:rsid w:val="00DE4D35"/>
    <w:rsid w:val="00DF098B"/>
    <w:rsid w:val="00DF11C4"/>
    <w:rsid w:val="00DF210C"/>
    <w:rsid w:val="00DF4A43"/>
    <w:rsid w:val="00DF4B6A"/>
    <w:rsid w:val="00E02C09"/>
    <w:rsid w:val="00E04D59"/>
    <w:rsid w:val="00E07DA1"/>
    <w:rsid w:val="00E123CB"/>
    <w:rsid w:val="00E20E13"/>
    <w:rsid w:val="00E21DBC"/>
    <w:rsid w:val="00E25550"/>
    <w:rsid w:val="00E275D7"/>
    <w:rsid w:val="00E27DBE"/>
    <w:rsid w:val="00E32AB1"/>
    <w:rsid w:val="00E36C71"/>
    <w:rsid w:val="00E37E79"/>
    <w:rsid w:val="00E40404"/>
    <w:rsid w:val="00E43A79"/>
    <w:rsid w:val="00E459C6"/>
    <w:rsid w:val="00E47589"/>
    <w:rsid w:val="00E62E2A"/>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34CB"/>
    <w:rsid w:val="00EF6E2D"/>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432B"/>
    <w:rsid w:val="00F56A6F"/>
    <w:rsid w:val="00F5709C"/>
    <w:rsid w:val="00F57407"/>
    <w:rsid w:val="00F626DA"/>
    <w:rsid w:val="00F64EF1"/>
    <w:rsid w:val="00F659F3"/>
    <w:rsid w:val="00F83589"/>
    <w:rsid w:val="00F85527"/>
    <w:rsid w:val="00F8765F"/>
    <w:rsid w:val="00F90767"/>
    <w:rsid w:val="00F912E4"/>
    <w:rsid w:val="00F91718"/>
    <w:rsid w:val="00F93138"/>
    <w:rsid w:val="00F94531"/>
    <w:rsid w:val="00F9588E"/>
    <w:rsid w:val="00FA0688"/>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91718"/>
    <w:rPr>
      <w:sz w:val="24"/>
      <w:szCs w:val="24"/>
    </w:rPr>
  </w:style>
  <w:style w:type="paragraph" w:styleId="Heading1">
    <w:name w:val="heading 1"/>
    <w:basedOn w:val="Normal"/>
    <w:next w:val="Normal"/>
    <w:link w:val="Heading1Char"/>
    <w:uiPriority w:val="98"/>
    <w:semiHidden/>
    <w:rsid w:val="00F9171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9171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91718"/>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91718"/>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91718"/>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91718"/>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91718"/>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91718"/>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91718"/>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F91718"/>
    <w:rPr>
      <w:rFonts w:ascii="Tahoma" w:hAnsi="Tahoma" w:cs="Tahoma"/>
      <w:sz w:val="16"/>
      <w:szCs w:val="16"/>
    </w:rPr>
  </w:style>
  <w:style w:type="character" w:customStyle="1" w:styleId="BalloonTextChar">
    <w:name w:val="Balloon Text Char"/>
    <w:basedOn w:val="DefaultParagraphFont"/>
    <w:link w:val="BalloonText"/>
    <w:uiPriority w:val="98"/>
    <w:semiHidden/>
    <w:rsid w:val="00F91718"/>
    <w:rPr>
      <w:rFonts w:ascii="Tahoma" w:hAnsi="Tahoma" w:cs="Tahoma"/>
      <w:sz w:val="16"/>
      <w:szCs w:val="16"/>
      <w:lang w:val="ro-RO"/>
    </w:rPr>
  </w:style>
  <w:style w:type="character" w:styleId="BookTitle">
    <w:name w:val="Book Title"/>
    <w:uiPriority w:val="98"/>
    <w:semiHidden/>
    <w:qFormat/>
    <w:rsid w:val="00F91718"/>
    <w:rPr>
      <w:i/>
      <w:iCs/>
      <w:smallCaps/>
      <w:spacing w:val="5"/>
    </w:rPr>
  </w:style>
  <w:style w:type="paragraph" w:customStyle="1" w:styleId="JuHeader">
    <w:name w:val="Ju_Header"/>
    <w:aliases w:val="_Header"/>
    <w:basedOn w:val="Header"/>
    <w:uiPriority w:val="29"/>
    <w:qFormat/>
    <w:rsid w:val="00F91718"/>
    <w:pPr>
      <w:tabs>
        <w:tab w:val="clear" w:pos="4536"/>
        <w:tab w:val="clear" w:pos="9072"/>
      </w:tabs>
      <w:jc w:val="center"/>
    </w:pPr>
    <w:rPr>
      <w:sz w:val="18"/>
    </w:rPr>
  </w:style>
  <w:style w:type="paragraph" w:customStyle="1" w:styleId="DummyStyle">
    <w:name w:val="Dummy_Style"/>
    <w:aliases w:val="_Dummy"/>
    <w:basedOn w:val="Normal"/>
    <w:semiHidden/>
    <w:qFormat/>
    <w:rsid w:val="00F91718"/>
    <w:rPr>
      <w:color w:val="00B050"/>
      <w:sz w:val="22"/>
    </w:rPr>
  </w:style>
  <w:style w:type="character" w:styleId="Strong">
    <w:name w:val="Strong"/>
    <w:uiPriority w:val="98"/>
    <w:semiHidden/>
    <w:qFormat/>
    <w:rsid w:val="00F91718"/>
    <w:rPr>
      <w:b/>
      <w:bCs/>
    </w:rPr>
  </w:style>
  <w:style w:type="paragraph" w:styleId="NoSpacing">
    <w:name w:val="No Spacing"/>
    <w:basedOn w:val="Normal"/>
    <w:link w:val="NoSpacingChar"/>
    <w:uiPriority w:val="98"/>
    <w:semiHidden/>
    <w:qFormat/>
    <w:rsid w:val="00F91718"/>
  </w:style>
  <w:style w:type="character" w:customStyle="1" w:styleId="NoSpacingChar">
    <w:name w:val="No Spacing Char"/>
    <w:basedOn w:val="DefaultParagraphFont"/>
    <w:link w:val="NoSpacing"/>
    <w:uiPriority w:val="98"/>
    <w:semiHidden/>
    <w:rsid w:val="00F91718"/>
    <w:rPr>
      <w:sz w:val="24"/>
      <w:szCs w:val="24"/>
      <w:lang w:val="ro-RO"/>
    </w:rPr>
  </w:style>
  <w:style w:type="paragraph" w:customStyle="1" w:styleId="JuQuot">
    <w:name w:val="Ju_Quot"/>
    <w:aliases w:val="_Quote"/>
    <w:basedOn w:val="NormalJustified"/>
    <w:uiPriority w:val="20"/>
    <w:qFormat/>
    <w:rsid w:val="00F91718"/>
    <w:pPr>
      <w:spacing w:before="120" w:after="120"/>
      <w:ind w:left="425" w:firstLine="142"/>
    </w:pPr>
    <w:rPr>
      <w:sz w:val="20"/>
    </w:rPr>
  </w:style>
  <w:style w:type="paragraph" w:customStyle="1" w:styleId="JuList">
    <w:name w:val="Ju_List"/>
    <w:aliases w:val="_List_1"/>
    <w:basedOn w:val="NormalJustified"/>
    <w:uiPriority w:val="23"/>
    <w:qFormat/>
    <w:rsid w:val="00F91718"/>
    <w:pPr>
      <w:numPr>
        <w:numId w:val="16"/>
      </w:numPr>
      <w:spacing w:before="280" w:after="60"/>
    </w:pPr>
  </w:style>
  <w:style w:type="paragraph" w:customStyle="1" w:styleId="JuLista">
    <w:name w:val="Ju_List_a"/>
    <w:aliases w:val="_List_2"/>
    <w:basedOn w:val="NormalJustified"/>
    <w:uiPriority w:val="23"/>
    <w:rsid w:val="00F91718"/>
    <w:pPr>
      <w:numPr>
        <w:ilvl w:val="1"/>
        <w:numId w:val="16"/>
      </w:numPr>
    </w:pPr>
  </w:style>
  <w:style w:type="paragraph" w:customStyle="1" w:styleId="JuListi">
    <w:name w:val="Ju_List_i"/>
    <w:aliases w:val="_List_3"/>
    <w:basedOn w:val="NormalJustified"/>
    <w:uiPriority w:val="23"/>
    <w:rsid w:val="00F91718"/>
    <w:pPr>
      <w:numPr>
        <w:ilvl w:val="2"/>
        <w:numId w:val="16"/>
      </w:numPr>
    </w:pPr>
  </w:style>
  <w:style w:type="paragraph" w:customStyle="1" w:styleId="DecHTitle">
    <w:name w:val="Dec_H_Title"/>
    <w:aliases w:val="_Title_1"/>
    <w:basedOn w:val="JuPara"/>
    <w:next w:val="JuPara"/>
    <w:uiPriority w:val="38"/>
    <w:qFormat/>
    <w:rsid w:val="00F91718"/>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F91718"/>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F91718"/>
    <w:pPr>
      <w:keepNext/>
      <w:keepLines/>
      <w:tabs>
        <w:tab w:val="right" w:pos="7938"/>
      </w:tabs>
      <w:ind w:firstLine="0"/>
      <w:jc w:val="center"/>
    </w:pPr>
    <w:rPr>
      <w:i/>
    </w:rPr>
  </w:style>
  <w:style w:type="numbering" w:customStyle="1" w:styleId="ECHRA1StyleBulletedSquare">
    <w:name w:val="ECHR_A1_Style_Bulleted_Square"/>
    <w:basedOn w:val="NoList"/>
    <w:rsid w:val="00F91718"/>
    <w:pPr>
      <w:numPr>
        <w:numId w:val="15"/>
      </w:numPr>
    </w:pPr>
  </w:style>
  <w:style w:type="paragraph" w:customStyle="1" w:styleId="JuHHead">
    <w:name w:val="Ju_H_Head"/>
    <w:aliases w:val="_Head_1"/>
    <w:basedOn w:val="Heading1"/>
    <w:next w:val="JuPara"/>
    <w:uiPriority w:val="17"/>
    <w:qFormat/>
    <w:rsid w:val="00F91718"/>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F91718"/>
    <w:pPr>
      <w:numPr>
        <w:numId w:val="16"/>
      </w:numPr>
    </w:pPr>
  </w:style>
  <w:style w:type="paragraph" w:customStyle="1" w:styleId="JuSigned">
    <w:name w:val="Ju_Signed"/>
    <w:aliases w:val="_Signature"/>
    <w:basedOn w:val="Normal"/>
    <w:next w:val="JuPara"/>
    <w:uiPriority w:val="31"/>
    <w:qFormat/>
    <w:rsid w:val="00F91718"/>
    <w:pPr>
      <w:tabs>
        <w:tab w:val="center" w:pos="1418"/>
        <w:tab w:val="center" w:pos="5954"/>
      </w:tabs>
      <w:spacing w:before="720"/>
    </w:pPr>
  </w:style>
  <w:style w:type="paragraph" w:styleId="Title">
    <w:name w:val="Title"/>
    <w:basedOn w:val="Normal"/>
    <w:next w:val="Normal"/>
    <w:link w:val="TitleChar"/>
    <w:uiPriority w:val="98"/>
    <w:semiHidden/>
    <w:qFormat/>
    <w:rsid w:val="00F91718"/>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F91718"/>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F91718"/>
    <w:pPr>
      <w:numPr>
        <w:numId w:val="17"/>
      </w:numPr>
    </w:pPr>
  </w:style>
  <w:style w:type="table" w:customStyle="1" w:styleId="ECHRTable2019">
    <w:name w:val="ECHR_Table_2019"/>
    <w:basedOn w:val="TableNormal"/>
    <w:uiPriority w:val="99"/>
    <w:rsid w:val="00F91718"/>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F91718"/>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F91718"/>
    <w:pPr>
      <w:tabs>
        <w:tab w:val="center" w:pos="6407"/>
      </w:tabs>
      <w:spacing w:before="720"/>
      <w:jc w:val="right"/>
    </w:pPr>
  </w:style>
  <w:style w:type="paragraph" w:customStyle="1" w:styleId="JuHIRoman">
    <w:name w:val="Ju_H_I_Roman"/>
    <w:aliases w:val="_Head_2"/>
    <w:basedOn w:val="Heading2"/>
    <w:next w:val="JuPara"/>
    <w:uiPriority w:val="17"/>
    <w:qFormat/>
    <w:rsid w:val="00F91718"/>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F91718"/>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F91718"/>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F91718"/>
    <w:pPr>
      <w:tabs>
        <w:tab w:val="center" w:pos="4536"/>
        <w:tab w:val="right" w:pos="9072"/>
      </w:tabs>
    </w:pPr>
  </w:style>
  <w:style w:type="character" w:customStyle="1" w:styleId="HeaderChar">
    <w:name w:val="Header Char"/>
    <w:basedOn w:val="DefaultParagraphFont"/>
    <w:link w:val="Header"/>
    <w:uiPriority w:val="98"/>
    <w:semiHidden/>
    <w:rsid w:val="00F91718"/>
    <w:rPr>
      <w:sz w:val="24"/>
      <w:szCs w:val="24"/>
      <w:lang w:val="ro-RO"/>
    </w:rPr>
  </w:style>
  <w:style w:type="character" w:customStyle="1" w:styleId="Heading1Char">
    <w:name w:val="Heading 1 Char"/>
    <w:basedOn w:val="DefaultParagraphFont"/>
    <w:link w:val="Heading1"/>
    <w:uiPriority w:val="98"/>
    <w:semiHidden/>
    <w:rsid w:val="00F91718"/>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F91718"/>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F91718"/>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F91718"/>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F91718"/>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F91718"/>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F91718"/>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F91718"/>
    <w:pPr>
      <w:keepNext/>
      <w:keepLines/>
      <w:spacing w:before="240" w:after="240"/>
      <w:ind w:firstLine="284"/>
    </w:pPr>
  </w:style>
  <w:style w:type="paragraph" w:customStyle="1" w:styleId="JuJudges">
    <w:name w:val="Ju_Judges"/>
    <w:aliases w:val="_Judges"/>
    <w:basedOn w:val="Normal"/>
    <w:uiPriority w:val="32"/>
    <w:qFormat/>
    <w:rsid w:val="00F91718"/>
    <w:pPr>
      <w:tabs>
        <w:tab w:val="left" w:pos="567"/>
        <w:tab w:val="left" w:pos="1134"/>
      </w:tabs>
    </w:pPr>
  </w:style>
  <w:style w:type="character" w:customStyle="1" w:styleId="Heading4Char">
    <w:name w:val="Heading 4 Char"/>
    <w:basedOn w:val="DefaultParagraphFont"/>
    <w:link w:val="Heading4"/>
    <w:uiPriority w:val="98"/>
    <w:semiHidden/>
    <w:rsid w:val="00F91718"/>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F91718"/>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F91718"/>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F91718"/>
    <w:rPr>
      <w:caps w:val="0"/>
      <w:smallCaps/>
    </w:rPr>
  </w:style>
  <w:style w:type="paragraph" w:customStyle="1" w:styleId="NormalJustified">
    <w:name w:val="Normal_Justified"/>
    <w:basedOn w:val="Normal"/>
    <w:semiHidden/>
    <w:rsid w:val="00F91718"/>
    <w:pPr>
      <w:jc w:val="both"/>
    </w:pPr>
  </w:style>
  <w:style w:type="character" w:styleId="SubtleEmphasis">
    <w:name w:val="Subtle Emphasis"/>
    <w:uiPriority w:val="98"/>
    <w:semiHidden/>
    <w:qFormat/>
    <w:rsid w:val="00F91718"/>
    <w:rPr>
      <w:i/>
      <w:iCs/>
    </w:rPr>
  </w:style>
  <w:style w:type="table" w:customStyle="1" w:styleId="ECHRTable">
    <w:name w:val="ECHR_Table"/>
    <w:basedOn w:val="TableNormal"/>
    <w:rsid w:val="00F91718"/>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F91718"/>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F91718"/>
    <w:rPr>
      <w:b/>
      <w:bCs/>
      <w:i/>
      <w:iCs/>
      <w:spacing w:val="10"/>
      <w:bdr w:val="none" w:sz="0" w:space="0" w:color="auto"/>
      <w:shd w:val="clear" w:color="auto" w:fill="auto"/>
    </w:rPr>
  </w:style>
  <w:style w:type="paragraph" w:styleId="Footer0">
    <w:name w:val="footer"/>
    <w:basedOn w:val="Normal"/>
    <w:link w:val="FooterChar"/>
    <w:uiPriority w:val="98"/>
    <w:semiHidden/>
    <w:rsid w:val="00F91718"/>
    <w:pPr>
      <w:tabs>
        <w:tab w:val="center" w:pos="3686"/>
        <w:tab w:val="right" w:pos="7371"/>
      </w:tabs>
    </w:pPr>
  </w:style>
  <w:style w:type="character" w:customStyle="1" w:styleId="FooterChar">
    <w:name w:val="Footer Char"/>
    <w:basedOn w:val="DefaultParagraphFont"/>
    <w:link w:val="Footer0"/>
    <w:uiPriority w:val="98"/>
    <w:semiHidden/>
    <w:rsid w:val="00F91718"/>
    <w:rPr>
      <w:sz w:val="24"/>
      <w:szCs w:val="24"/>
      <w:lang w:val="ro-RO"/>
    </w:rPr>
  </w:style>
  <w:style w:type="character" w:styleId="FootnoteReference">
    <w:name w:val="footnote reference"/>
    <w:basedOn w:val="DefaultParagraphFont"/>
    <w:uiPriority w:val="98"/>
    <w:semiHidden/>
    <w:rsid w:val="00F91718"/>
    <w:rPr>
      <w:vertAlign w:val="superscript"/>
    </w:rPr>
  </w:style>
  <w:style w:type="paragraph" w:styleId="FootnoteText">
    <w:name w:val="footnote text"/>
    <w:basedOn w:val="NormalJustified"/>
    <w:link w:val="FootnoteTextChar"/>
    <w:uiPriority w:val="98"/>
    <w:semiHidden/>
    <w:rsid w:val="00F91718"/>
    <w:rPr>
      <w:sz w:val="20"/>
      <w:szCs w:val="20"/>
    </w:rPr>
  </w:style>
  <w:style w:type="character" w:customStyle="1" w:styleId="FootnoteTextChar">
    <w:name w:val="Footnote Text Char"/>
    <w:basedOn w:val="DefaultParagraphFont"/>
    <w:link w:val="FootnoteText"/>
    <w:uiPriority w:val="98"/>
    <w:semiHidden/>
    <w:rsid w:val="00F91718"/>
    <w:rPr>
      <w:sz w:val="20"/>
      <w:szCs w:val="20"/>
      <w:lang w:val="ro-RO"/>
    </w:rPr>
  </w:style>
  <w:style w:type="character" w:customStyle="1" w:styleId="Heading6Char">
    <w:name w:val="Heading 6 Char"/>
    <w:basedOn w:val="DefaultParagraphFont"/>
    <w:link w:val="Heading6"/>
    <w:uiPriority w:val="98"/>
    <w:semiHidden/>
    <w:rsid w:val="00F91718"/>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F91718"/>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F91718"/>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F91718"/>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F91718"/>
    <w:rPr>
      <w:color w:val="0072BC" w:themeColor="hyperlink"/>
      <w:u w:val="single"/>
    </w:rPr>
  </w:style>
  <w:style w:type="character" w:styleId="IntenseEmphasis">
    <w:name w:val="Intense Emphasis"/>
    <w:uiPriority w:val="98"/>
    <w:semiHidden/>
    <w:qFormat/>
    <w:rsid w:val="00F91718"/>
    <w:rPr>
      <w:b/>
      <w:bCs/>
    </w:rPr>
  </w:style>
  <w:style w:type="paragraph" w:styleId="IntenseQuote">
    <w:name w:val="Intense Quote"/>
    <w:basedOn w:val="Normal"/>
    <w:next w:val="Normal"/>
    <w:link w:val="IntenseQuoteChar"/>
    <w:uiPriority w:val="98"/>
    <w:semiHidden/>
    <w:qFormat/>
    <w:rsid w:val="00F91718"/>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F91718"/>
    <w:rPr>
      <w:b/>
      <w:bCs/>
      <w:i/>
      <w:iCs/>
      <w:sz w:val="24"/>
      <w:szCs w:val="24"/>
      <w:lang w:val="ro-RO" w:bidi="en-US"/>
    </w:rPr>
  </w:style>
  <w:style w:type="character" w:styleId="IntenseReference">
    <w:name w:val="Intense Reference"/>
    <w:uiPriority w:val="98"/>
    <w:semiHidden/>
    <w:qFormat/>
    <w:rsid w:val="00F91718"/>
    <w:rPr>
      <w:smallCaps/>
      <w:spacing w:val="5"/>
      <w:u w:val="single"/>
    </w:rPr>
  </w:style>
  <w:style w:type="paragraph" w:styleId="ListParagraph">
    <w:name w:val="List Paragraph"/>
    <w:basedOn w:val="Normal"/>
    <w:uiPriority w:val="98"/>
    <w:semiHidden/>
    <w:qFormat/>
    <w:rsid w:val="00F91718"/>
    <w:pPr>
      <w:ind w:left="720"/>
      <w:contextualSpacing/>
    </w:pPr>
  </w:style>
  <w:style w:type="table" w:customStyle="1" w:styleId="LtrTableAddress">
    <w:name w:val="Ltr_Table_Address"/>
    <w:aliases w:val="ECHR_Ltr_Table_Address"/>
    <w:basedOn w:val="TableNormal"/>
    <w:uiPriority w:val="99"/>
    <w:rsid w:val="00F91718"/>
    <w:rPr>
      <w:sz w:val="24"/>
      <w:szCs w:val="24"/>
    </w:rPr>
    <w:tblPr>
      <w:tblInd w:w="5103" w:type="dxa"/>
    </w:tblPr>
  </w:style>
  <w:style w:type="paragraph" w:styleId="Quote">
    <w:name w:val="Quote"/>
    <w:basedOn w:val="Normal"/>
    <w:next w:val="Normal"/>
    <w:link w:val="QuoteChar"/>
    <w:uiPriority w:val="98"/>
    <w:semiHidden/>
    <w:qFormat/>
    <w:rsid w:val="00F91718"/>
    <w:pPr>
      <w:spacing w:before="200"/>
      <w:ind w:left="360" w:right="360"/>
    </w:pPr>
    <w:rPr>
      <w:i/>
      <w:iCs/>
      <w:lang w:bidi="en-US"/>
    </w:rPr>
  </w:style>
  <w:style w:type="character" w:customStyle="1" w:styleId="QuoteChar">
    <w:name w:val="Quote Char"/>
    <w:basedOn w:val="DefaultParagraphFont"/>
    <w:link w:val="Quote"/>
    <w:uiPriority w:val="98"/>
    <w:semiHidden/>
    <w:rsid w:val="00F91718"/>
    <w:rPr>
      <w:i/>
      <w:iCs/>
      <w:sz w:val="24"/>
      <w:szCs w:val="24"/>
      <w:lang w:val="ro-RO" w:bidi="en-US"/>
    </w:rPr>
  </w:style>
  <w:style w:type="character" w:styleId="SubtleReference">
    <w:name w:val="Subtle Reference"/>
    <w:uiPriority w:val="98"/>
    <w:semiHidden/>
    <w:qFormat/>
    <w:rsid w:val="00F91718"/>
    <w:rPr>
      <w:smallCaps/>
    </w:rPr>
  </w:style>
  <w:style w:type="table" w:styleId="TableGrid">
    <w:name w:val="Table Grid"/>
    <w:basedOn w:val="TableNormal"/>
    <w:uiPriority w:val="59"/>
    <w:semiHidden/>
    <w:rsid w:val="00F91718"/>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F9171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F9171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F9171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F91718"/>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F91718"/>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F91718"/>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F91718"/>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91718"/>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F91718"/>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F91718"/>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F91718"/>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F91718"/>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F91718"/>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F9171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F91718"/>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F91718"/>
    <w:pPr>
      <w:numPr>
        <w:numId w:val="1"/>
      </w:numPr>
    </w:pPr>
  </w:style>
  <w:style w:type="paragraph" w:customStyle="1" w:styleId="JuPara">
    <w:name w:val="Ju_Para"/>
    <w:aliases w:val="_Para"/>
    <w:basedOn w:val="NormalJustified"/>
    <w:link w:val="JuParaChar"/>
    <w:uiPriority w:val="4"/>
    <w:qFormat/>
    <w:rsid w:val="00F91718"/>
    <w:pPr>
      <w:ind w:firstLine="284"/>
    </w:pPr>
  </w:style>
  <w:style w:type="numbering" w:styleId="1ai">
    <w:name w:val="Outline List 1"/>
    <w:basedOn w:val="NoList"/>
    <w:uiPriority w:val="99"/>
    <w:semiHidden/>
    <w:unhideWhenUsed/>
    <w:rsid w:val="00F91718"/>
    <w:pPr>
      <w:numPr>
        <w:numId w:val="2"/>
      </w:numPr>
    </w:pPr>
  </w:style>
  <w:style w:type="table" w:customStyle="1" w:styleId="ECHRTableSimpleBox">
    <w:name w:val="ECHR_Table_Simple_Box"/>
    <w:basedOn w:val="TableNormal"/>
    <w:uiPriority w:val="99"/>
    <w:rsid w:val="00F91718"/>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F91718"/>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F91718"/>
    <w:pPr>
      <w:numPr>
        <w:numId w:val="3"/>
      </w:numPr>
    </w:pPr>
  </w:style>
  <w:style w:type="table" w:customStyle="1" w:styleId="ECHRTableForInternalUse">
    <w:name w:val="ECHR_Table_For_Internal_Use"/>
    <w:basedOn w:val="TableNormal"/>
    <w:uiPriority w:val="99"/>
    <w:rsid w:val="00F91718"/>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F91718"/>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F91718"/>
  </w:style>
  <w:style w:type="paragraph" w:styleId="BlockText">
    <w:name w:val="Block Text"/>
    <w:basedOn w:val="Normal"/>
    <w:uiPriority w:val="98"/>
    <w:semiHidden/>
    <w:rsid w:val="00F91718"/>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F91718"/>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F91718"/>
    <w:pPr>
      <w:spacing w:after="120"/>
    </w:pPr>
  </w:style>
  <w:style w:type="character" w:customStyle="1" w:styleId="BodyTextChar">
    <w:name w:val="Body Text Char"/>
    <w:basedOn w:val="DefaultParagraphFont"/>
    <w:link w:val="BodyText"/>
    <w:uiPriority w:val="98"/>
    <w:semiHidden/>
    <w:rsid w:val="00F91718"/>
    <w:rPr>
      <w:sz w:val="24"/>
      <w:szCs w:val="24"/>
      <w:lang w:val="ro-RO"/>
    </w:rPr>
  </w:style>
  <w:style w:type="table" w:customStyle="1" w:styleId="ECHRTableOddBanded">
    <w:name w:val="ECHR_Table_Odd_Banded"/>
    <w:basedOn w:val="TableNormal"/>
    <w:uiPriority w:val="99"/>
    <w:rsid w:val="00F91718"/>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F91718"/>
    <w:pPr>
      <w:spacing w:after="120" w:line="480" w:lineRule="auto"/>
    </w:pPr>
  </w:style>
  <w:style w:type="table" w:customStyle="1" w:styleId="ECHRHeaderTableReduced">
    <w:name w:val="ECHR_Header_Table_Reduced"/>
    <w:basedOn w:val="TableNormal"/>
    <w:uiPriority w:val="99"/>
    <w:rsid w:val="00F91718"/>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F91718"/>
    <w:pPr>
      <w:ind w:firstLine="284"/>
    </w:pPr>
    <w:rPr>
      <w:b/>
    </w:rPr>
  </w:style>
  <w:style w:type="character" w:styleId="PageNumber">
    <w:name w:val="page number"/>
    <w:uiPriority w:val="98"/>
    <w:semiHidden/>
    <w:rsid w:val="00F91718"/>
    <w:rPr>
      <w:sz w:val="18"/>
    </w:rPr>
  </w:style>
  <w:style w:type="paragraph" w:styleId="ListBullet2">
    <w:name w:val="List Bullet 2"/>
    <w:basedOn w:val="Normal"/>
    <w:uiPriority w:val="98"/>
    <w:semiHidden/>
    <w:rsid w:val="00F91718"/>
    <w:pPr>
      <w:numPr>
        <w:numId w:val="5"/>
      </w:numPr>
      <w:contextualSpacing/>
    </w:pPr>
  </w:style>
  <w:style w:type="character" w:customStyle="1" w:styleId="BodyText2Char">
    <w:name w:val="Body Text 2 Char"/>
    <w:basedOn w:val="DefaultParagraphFont"/>
    <w:link w:val="BodyText2"/>
    <w:uiPriority w:val="98"/>
    <w:semiHidden/>
    <w:rsid w:val="00F91718"/>
    <w:rPr>
      <w:sz w:val="24"/>
      <w:szCs w:val="24"/>
      <w:lang w:val="ro-RO"/>
    </w:rPr>
  </w:style>
  <w:style w:type="paragraph" w:styleId="BodyText3">
    <w:name w:val="Body Text 3"/>
    <w:basedOn w:val="Normal"/>
    <w:link w:val="BodyText3Char"/>
    <w:uiPriority w:val="98"/>
    <w:semiHidden/>
    <w:rsid w:val="00F91718"/>
    <w:pPr>
      <w:spacing w:after="120"/>
    </w:pPr>
    <w:rPr>
      <w:sz w:val="16"/>
      <w:szCs w:val="16"/>
    </w:rPr>
  </w:style>
  <w:style w:type="character" w:customStyle="1" w:styleId="BodyText3Char">
    <w:name w:val="Body Text 3 Char"/>
    <w:basedOn w:val="DefaultParagraphFont"/>
    <w:link w:val="BodyText3"/>
    <w:uiPriority w:val="98"/>
    <w:semiHidden/>
    <w:rsid w:val="00F91718"/>
    <w:rPr>
      <w:sz w:val="16"/>
      <w:szCs w:val="16"/>
      <w:lang w:val="ro-RO"/>
    </w:rPr>
  </w:style>
  <w:style w:type="paragraph" w:styleId="BodyTextFirstIndent">
    <w:name w:val="Body Text First Indent"/>
    <w:basedOn w:val="BodyText"/>
    <w:link w:val="BodyTextFirstIndentChar"/>
    <w:uiPriority w:val="98"/>
    <w:semiHidden/>
    <w:rsid w:val="00F91718"/>
    <w:pPr>
      <w:spacing w:after="0"/>
      <w:ind w:firstLine="360"/>
    </w:pPr>
  </w:style>
  <w:style w:type="character" w:customStyle="1" w:styleId="BodyTextFirstIndentChar">
    <w:name w:val="Body Text First Indent Char"/>
    <w:basedOn w:val="BodyTextChar"/>
    <w:link w:val="BodyTextFirstIndent"/>
    <w:uiPriority w:val="98"/>
    <w:semiHidden/>
    <w:rsid w:val="00F91718"/>
    <w:rPr>
      <w:sz w:val="24"/>
      <w:szCs w:val="24"/>
      <w:lang w:val="ro-RO"/>
    </w:rPr>
  </w:style>
  <w:style w:type="paragraph" w:styleId="BodyTextIndent">
    <w:name w:val="Body Text Indent"/>
    <w:basedOn w:val="Normal"/>
    <w:link w:val="BodyTextIndentChar"/>
    <w:uiPriority w:val="98"/>
    <w:semiHidden/>
    <w:rsid w:val="00F91718"/>
    <w:pPr>
      <w:spacing w:after="120"/>
      <w:ind w:left="283"/>
    </w:pPr>
  </w:style>
  <w:style w:type="character" w:customStyle="1" w:styleId="BodyTextIndentChar">
    <w:name w:val="Body Text Indent Char"/>
    <w:basedOn w:val="DefaultParagraphFont"/>
    <w:link w:val="BodyTextIndent"/>
    <w:uiPriority w:val="98"/>
    <w:semiHidden/>
    <w:rsid w:val="00F91718"/>
    <w:rPr>
      <w:sz w:val="24"/>
      <w:szCs w:val="24"/>
      <w:lang w:val="ro-RO"/>
    </w:rPr>
  </w:style>
  <w:style w:type="paragraph" w:styleId="BodyTextFirstIndent2">
    <w:name w:val="Body Text First Indent 2"/>
    <w:basedOn w:val="BodyTextIndent"/>
    <w:link w:val="BodyTextFirstIndent2Char"/>
    <w:uiPriority w:val="98"/>
    <w:semiHidden/>
    <w:rsid w:val="00F91718"/>
    <w:pPr>
      <w:spacing w:after="0"/>
      <w:ind w:left="360" w:firstLine="360"/>
    </w:pPr>
  </w:style>
  <w:style w:type="character" w:customStyle="1" w:styleId="BodyTextFirstIndent2Char">
    <w:name w:val="Body Text First Indent 2 Char"/>
    <w:basedOn w:val="BodyTextIndentChar"/>
    <w:link w:val="BodyTextFirstIndent2"/>
    <w:uiPriority w:val="98"/>
    <w:semiHidden/>
    <w:rsid w:val="00F91718"/>
    <w:rPr>
      <w:sz w:val="24"/>
      <w:szCs w:val="24"/>
      <w:lang w:val="ro-RO"/>
    </w:rPr>
  </w:style>
  <w:style w:type="paragraph" w:styleId="BodyTextIndent2">
    <w:name w:val="Body Text Indent 2"/>
    <w:basedOn w:val="Normal"/>
    <w:link w:val="BodyTextIndent2Char"/>
    <w:uiPriority w:val="98"/>
    <w:semiHidden/>
    <w:rsid w:val="00F91718"/>
    <w:pPr>
      <w:spacing w:after="120" w:line="480" w:lineRule="auto"/>
      <w:ind w:left="283"/>
    </w:pPr>
  </w:style>
  <w:style w:type="character" w:customStyle="1" w:styleId="BodyTextIndent2Char">
    <w:name w:val="Body Text Indent 2 Char"/>
    <w:basedOn w:val="DefaultParagraphFont"/>
    <w:link w:val="BodyTextIndent2"/>
    <w:uiPriority w:val="98"/>
    <w:semiHidden/>
    <w:rsid w:val="00F91718"/>
    <w:rPr>
      <w:sz w:val="24"/>
      <w:szCs w:val="24"/>
      <w:lang w:val="ro-RO"/>
    </w:rPr>
  </w:style>
  <w:style w:type="paragraph" w:styleId="BodyTextIndent3">
    <w:name w:val="Body Text Indent 3"/>
    <w:basedOn w:val="Normal"/>
    <w:link w:val="BodyTextIndent3Char"/>
    <w:uiPriority w:val="98"/>
    <w:semiHidden/>
    <w:rsid w:val="00F91718"/>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91718"/>
    <w:rPr>
      <w:sz w:val="16"/>
      <w:szCs w:val="16"/>
      <w:lang w:val="ro-RO"/>
    </w:rPr>
  </w:style>
  <w:style w:type="paragraph" w:styleId="Caption">
    <w:name w:val="caption"/>
    <w:basedOn w:val="Normal"/>
    <w:next w:val="Normal"/>
    <w:uiPriority w:val="98"/>
    <w:semiHidden/>
    <w:qFormat/>
    <w:rsid w:val="00F91718"/>
    <w:pPr>
      <w:spacing w:after="200"/>
    </w:pPr>
    <w:rPr>
      <w:b/>
      <w:bCs/>
      <w:color w:val="0072BC" w:themeColor="accent1"/>
      <w:sz w:val="18"/>
      <w:szCs w:val="18"/>
    </w:rPr>
  </w:style>
  <w:style w:type="paragraph" w:styleId="Closing">
    <w:name w:val="Closing"/>
    <w:basedOn w:val="Normal"/>
    <w:link w:val="ClosingChar"/>
    <w:uiPriority w:val="98"/>
    <w:semiHidden/>
    <w:rsid w:val="00F91718"/>
    <w:pPr>
      <w:ind w:left="4252"/>
    </w:pPr>
  </w:style>
  <w:style w:type="character" w:customStyle="1" w:styleId="ClosingChar">
    <w:name w:val="Closing Char"/>
    <w:basedOn w:val="DefaultParagraphFont"/>
    <w:link w:val="Closing"/>
    <w:uiPriority w:val="98"/>
    <w:semiHidden/>
    <w:rsid w:val="00F91718"/>
    <w:rPr>
      <w:sz w:val="24"/>
      <w:szCs w:val="24"/>
      <w:lang w:val="ro-RO"/>
    </w:rPr>
  </w:style>
  <w:style w:type="table" w:styleId="ColorfulGrid">
    <w:name w:val="Colorful Grid"/>
    <w:basedOn w:val="TableNormal"/>
    <w:uiPriority w:val="73"/>
    <w:semiHidden/>
    <w:rsid w:val="00F91718"/>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91718"/>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91718"/>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91718"/>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F91718"/>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91718"/>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91718"/>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91718"/>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91718"/>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91718"/>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91718"/>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F91718"/>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91718"/>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91718"/>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91718"/>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91718"/>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91718"/>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91718"/>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F91718"/>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91718"/>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91718"/>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F91718"/>
    <w:rPr>
      <w:sz w:val="16"/>
      <w:szCs w:val="16"/>
    </w:rPr>
  </w:style>
  <w:style w:type="paragraph" w:styleId="CommentText">
    <w:name w:val="annotation text"/>
    <w:basedOn w:val="Normal"/>
    <w:link w:val="CommentTextChar"/>
    <w:uiPriority w:val="98"/>
    <w:semiHidden/>
    <w:rsid w:val="00F91718"/>
    <w:rPr>
      <w:sz w:val="20"/>
      <w:szCs w:val="20"/>
    </w:rPr>
  </w:style>
  <w:style w:type="character" w:customStyle="1" w:styleId="CommentTextChar">
    <w:name w:val="Comment Text Char"/>
    <w:basedOn w:val="DefaultParagraphFont"/>
    <w:link w:val="CommentText"/>
    <w:uiPriority w:val="98"/>
    <w:semiHidden/>
    <w:rsid w:val="00F91718"/>
    <w:rPr>
      <w:sz w:val="20"/>
      <w:szCs w:val="20"/>
      <w:lang w:val="ro-RO"/>
    </w:rPr>
  </w:style>
  <w:style w:type="paragraph" w:styleId="CommentSubject">
    <w:name w:val="annotation subject"/>
    <w:basedOn w:val="CommentText"/>
    <w:next w:val="CommentText"/>
    <w:link w:val="CommentSubjectChar"/>
    <w:uiPriority w:val="98"/>
    <w:semiHidden/>
    <w:rsid w:val="00F91718"/>
    <w:rPr>
      <w:b/>
      <w:bCs/>
    </w:rPr>
  </w:style>
  <w:style w:type="character" w:customStyle="1" w:styleId="CommentSubjectChar">
    <w:name w:val="Comment Subject Char"/>
    <w:basedOn w:val="CommentTextChar"/>
    <w:link w:val="CommentSubject"/>
    <w:uiPriority w:val="98"/>
    <w:semiHidden/>
    <w:rsid w:val="00F91718"/>
    <w:rPr>
      <w:b/>
      <w:bCs/>
      <w:sz w:val="20"/>
      <w:szCs w:val="20"/>
      <w:lang w:val="ro-RO"/>
    </w:rPr>
  </w:style>
  <w:style w:type="table" w:styleId="DarkList">
    <w:name w:val="Dark List"/>
    <w:basedOn w:val="TableNormal"/>
    <w:uiPriority w:val="70"/>
    <w:semiHidden/>
    <w:rsid w:val="00F91718"/>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91718"/>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91718"/>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91718"/>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F91718"/>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91718"/>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91718"/>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91718"/>
  </w:style>
  <w:style w:type="character" w:customStyle="1" w:styleId="DateChar">
    <w:name w:val="Date Char"/>
    <w:basedOn w:val="DefaultParagraphFont"/>
    <w:link w:val="Date"/>
    <w:uiPriority w:val="98"/>
    <w:semiHidden/>
    <w:rsid w:val="00F91718"/>
    <w:rPr>
      <w:sz w:val="24"/>
      <w:szCs w:val="24"/>
      <w:lang w:val="ro-RO"/>
    </w:rPr>
  </w:style>
  <w:style w:type="paragraph" w:styleId="DocumentMap">
    <w:name w:val="Document Map"/>
    <w:basedOn w:val="Normal"/>
    <w:link w:val="DocumentMapChar"/>
    <w:uiPriority w:val="98"/>
    <w:semiHidden/>
    <w:rsid w:val="00F91718"/>
    <w:rPr>
      <w:rFonts w:ascii="Tahoma" w:hAnsi="Tahoma" w:cs="Tahoma"/>
      <w:sz w:val="16"/>
      <w:szCs w:val="16"/>
    </w:rPr>
  </w:style>
  <w:style w:type="character" w:customStyle="1" w:styleId="DocumentMapChar">
    <w:name w:val="Document Map Char"/>
    <w:basedOn w:val="DefaultParagraphFont"/>
    <w:link w:val="DocumentMap"/>
    <w:uiPriority w:val="98"/>
    <w:semiHidden/>
    <w:rsid w:val="00F91718"/>
    <w:rPr>
      <w:rFonts w:ascii="Tahoma" w:hAnsi="Tahoma" w:cs="Tahoma"/>
      <w:sz w:val="16"/>
      <w:szCs w:val="16"/>
      <w:lang w:val="ro-RO"/>
    </w:rPr>
  </w:style>
  <w:style w:type="paragraph" w:styleId="E-mailSignature">
    <w:name w:val="E-mail Signature"/>
    <w:basedOn w:val="Normal"/>
    <w:link w:val="E-mailSignatureChar"/>
    <w:uiPriority w:val="98"/>
    <w:semiHidden/>
    <w:rsid w:val="00F91718"/>
  </w:style>
  <w:style w:type="character" w:customStyle="1" w:styleId="E-mailSignatureChar">
    <w:name w:val="E-mail Signature Char"/>
    <w:basedOn w:val="DefaultParagraphFont"/>
    <w:link w:val="E-mailSignature"/>
    <w:uiPriority w:val="98"/>
    <w:semiHidden/>
    <w:rsid w:val="00F91718"/>
    <w:rPr>
      <w:sz w:val="24"/>
      <w:szCs w:val="24"/>
      <w:lang w:val="ro-RO"/>
    </w:rPr>
  </w:style>
  <w:style w:type="character" w:styleId="EndnoteReference">
    <w:name w:val="endnote reference"/>
    <w:basedOn w:val="DefaultParagraphFont"/>
    <w:uiPriority w:val="98"/>
    <w:semiHidden/>
    <w:rsid w:val="00F91718"/>
    <w:rPr>
      <w:vertAlign w:val="superscript"/>
    </w:rPr>
  </w:style>
  <w:style w:type="paragraph" w:styleId="EndnoteText">
    <w:name w:val="endnote text"/>
    <w:basedOn w:val="Normal"/>
    <w:link w:val="EndnoteTextChar"/>
    <w:uiPriority w:val="98"/>
    <w:semiHidden/>
    <w:rsid w:val="00F91718"/>
    <w:rPr>
      <w:sz w:val="20"/>
      <w:szCs w:val="20"/>
    </w:rPr>
  </w:style>
  <w:style w:type="character" w:customStyle="1" w:styleId="EndnoteTextChar">
    <w:name w:val="Endnote Text Char"/>
    <w:basedOn w:val="DefaultParagraphFont"/>
    <w:link w:val="EndnoteText"/>
    <w:uiPriority w:val="98"/>
    <w:semiHidden/>
    <w:rsid w:val="00F91718"/>
    <w:rPr>
      <w:sz w:val="20"/>
      <w:szCs w:val="20"/>
      <w:lang w:val="ro-RO"/>
    </w:rPr>
  </w:style>
  <w:style w:type="paragraph" w:styleId="EnvelopeAddress">
    <w:name w:val="envelope address"/>
    <w:basedOn w:val="Normal"/>
    <w:uiPriority w:val="98"/>
    <w:semiHidden/>
    <w:rsid w:val="00F91718"/>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91718"/>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91718"/>
    <w:rPr>
      <w:color w:val="7030A0" w:themeColor="followedHyperlink"/>
      <w:u w:val="single"/>
    </w:rPr>
  </w:style>
  <w:style w:type="character" w:styleId="HTMLAcronym">
    <w:name w:val="HTML Acronym"/>
    <w:basedOn w:val="DefaultParagraphFont"/>
    <w:uiPriority w:val="98"/>
    <w:semiHidden/>
    <w:rsid w:val="00F91718"/>
  </w:style>
  <w:style w:type="paragraph" w:styleId="HTMLAddress">
    <w:name w:val="HTML Address"/>
    <w:basedOn w:val="Normal"/>
    <w:link w:val="HTMLAddressChar"/>
    <w:uiPriority w:val="98"/>
    <w:semiHidden/>
    <w:rsid w:val="00F91718"/>
    <w:rPr>
      <w:i/>
      <w:iCs/>
    </w:rPr>
  </w:style>
  <w:style w:type="character" w:customStyle="1" w:styleId="HTMLAddressChar">
    <w:name w:val="HTML Address Char"/>
    <w:basedOn w:val="DefaultParagraphFont"/>
    <w:link w:val="HTMLAddress"/>
    <w:uiPriority w:val="98"/>
    <w:semiHidden/>
    <w:rsid w:val="00F91718"/>
    <w:rPr>
      <w:i/>
      <w:iCs/>
      <w:sz w:val="24"/>
      <w:szCs w:val="24"/>
      <w:lang w:val="ro-RO"/>
    </w:rPr>
  </w:style>
  <w:style w:type="character" w:styleId="HTMLCite">
    <w:name w:val="HTML Cite"/>
    <w:basedOn w:val="DefaultParagraphFont"/>
    <w:uiPriority w:val="98"/>
    <w:semiHidden/>
    <w:rsid w:val="00F91718"/>
    <w:rPr>
      <w:i/>
      <w:iCs/>
    </w:rPr>
  </w:style>
  <w:style w:type="character" w:styleId="HTMLCode">
    <w:name w:val="HTML Code"/>
    <w:basedOn w:val="DefaultParagraphFont"/>
    <w:uiPriority w:val="98"/>
    <w:semiHidden/>
    <w:rsid w:val="00F91718"/>
    <w:rPr>
      <w:rFonts w:ascii="Consolas" w:hAnsi="Consolas" w:cs="Consolas"/>
      <w:sz w:val="20"/>
      <w:szCs w:val="20"/>
    </w:rPr>
  </w:style>
  <w:style w:type="character" w:styleId="HTMLDefinition">
    <w:name w:val="HTML Definition"/>
    <w:basedOn w:val="DefaultParagraphFont"/>
    <w:uiPriority w:val="98"/>
    <w:semiHidden/>
    <w:rsid w:val="00F91718"/>
    <w:rPr>
      <w:i/>
      <w:iCs/>
    </w:rPr>
  </w:style>
  <w:style w:type="character" w:styleId="HTMLKeyboard">
    <w:name w:val="HTML Keyboard"/>
    <w:basedOn w:val="DefaultParagraphFont"/>
    <w:uiPriority w:val="98"/>
    <w:semiHidden/>
    <w:rsid w:val="00F91718"/>
    <w:rPr>
      <w:rFonts w:ascii="Consolas" w:hAnsi="Consolas" w:cs="Consolas"/>
      <w:sz w:val="20"/>
      <w:szCs w:val="20"/>
    </w:rPr>
  </w:style>
  <w:style w:type="paragraph" w:styleId="HTMLPreformatted">
    <w:name w:val="HTML Preformatted"/>
    <w:basedOn w:val="Normal"/>
    <w:link w:val="HTMLPreformattedChar"/>
    <w:uiPriority w:val="98"/>
    <w:semiHidden/>
    <w:rsid w:val="00F91718"/>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91718"/>
    <w:rPr>
      <w:rFonts w:ascii="Consolas" w:hAnsi="Consolas" w:cs="Consolas"/>
      <w:sz w:val="20"/>
      <w:szCs w:val="20"/>
      <w:lang w:val="ro-RO"/>
    </w:rPr>
  </w:style>
  <w:style w:type="character" w:styleId="HTMLSample">
    <w:name w:val="HTML Sample"/>
    <w:basedOn w:val="DefaultParagraphFont"/>
    <w:uiPriority w:val="98"/>
    <w:semiHidden/>
    <w:rsid w:val="00F91718"/>
    <w:rPr>
      <w:rFonts w:ascii="Consolas" w:hAnsi="Consolas" w:cs="Consolas"/>
      <w:sz w:val="24"/>
      <w:szCs w:val="24"/>
    </w:rPr>
  </w:style>
  <w:style w:type="character" w:styleId="HTMLTypewriter">
    <w:name w:val="HTML Typewriter"/>
    <w:basedOn w:val="DefaultParagraphFont"/>
    <w:uiPriority w:val="98"/>
    <w:semiHidden/>
    <w:rsid w:val="00F91718"/>
    <w:rPr>
      <w:rFonts w:ascii="Consolas" w:hAnsi="Consolas" w:cs="Consolas"/>
      <w:sz w:val="20"/>
      <w:szCs w:val="20"/>
    </w:rPr>
  </w:style>
  <w:style w:type="character" w:styleId="HTMLVariable">
    <w:name w:val="HTML Variable"/>
    <w:basedOn w:val="DefaultParagraphFont"/>
    <w:uiPriority w:val="98"/>
    <w:semiHidden/>
    <w:rsid w:val="00F91718"/>
    <w:rPr>
      <w:i/>
      <w:iCs/>
    </w:rPr>
  </w:style>
  <w:style w:type="paragraph" w:styleId="Index1">
    <w:name w:val="index 1"/>
    <w:basedOn w:val="Normal"/>
    <w:next w:val="Normal"/>
    <w:autoRedefine/>
    <w:uiPriority w:val="98"/>
    <w:semiHidden/>
    <w:rsid w:val="00F91718"/>
    <w:pPr>
      <w:ind w:left="240" w:hanging="240"/>
    </w:pPr>
  </w:style>
  <w:style w:type="paragraph" w:styleId="Index2">
    <w:name w:val="index 2"/>
    <w:basedOn w:val="Normal"/>
    <w:next w:val="Normal"/>
    <w:autoRedefine/>
    <w:uiPriority w:val="98"/>
    <w:semiHidden/>
    <w:rsid w:val="00F91718"/>
    <w:pPr>
      <w:ind w:left="480" w:hanging="240"/>
    </w:pPr>
  </w:style>
  <w:style w:type="paragraph" w:styleId="Index3">
    <w:name w:val="index 3"/>
    <w:basedOn w:val="Normal"/>
    <w:next w:val="Normal"/>
    <w:autoRedefine/>
    <w:uiPriority w:val="98"/>
    <w:semiHidden/>
    <w:rsid w:val="00F91718"/>
    <w:pPr>
      <w:ind w:left="720" w:hanging="240"/>
    </w:pPr>
  </w:style>
  <w:style w:type="paragraph" w:styleId="Index4">
    <w:name w:val="index 4"/>
    <w:basedOn w:val="Normal"/>
    <w:next w:val="Normal"/>
    <w:autoRedefine/>
    <w:uiPriority w:val="98"/>
    <w:semiHidden/>
    <w:rsid w:val="00F91718"/>
    <w:pPr>
      <w:ind w:left="960" w:hanging="240"/>
    </w:pPr>
  </w:style>
  <w:style w:type="paragraph" w:styleId="Index5">
    <w:name w:val="index 5"/>
    <w:basedOn w:val="Normal"/>
    <w:next w:val="Normal"/>
    <w:autoRedefine/>
    <w:uiPriority w:val="98"/>
    <w:semiHidden/>
    <w:rsid w:val="00F91718"/>
    <w:pPr>
      <w:ind w:left="1200" w:hanging="240"/>
    </w:pPr>
  </w:style>
  <w:style w:type="paragraph" w:styleId="Index6">
    <w:name w:val="index 6"/>
    <w:basedOn w:val="Normal"/>
    <w:next w:val="Normal"/>
    <w:autoRedefine/>
    <w:uiPriority w:val="98"/>
    <w:semiHidden/>
    <w:rsid w:val="00F91718"/>
    <w:pPr>
      <w:ind w:left="1440" w:hanging="240"/>
    </w:pPr>
  </w:style>
  <w:style w:type="paragraph" w:styleId="Index7">
    <w:name w:val="index 7"/>
    <w:basedOn w:val="Normal"/>
    <w:next w:val="Normal"/>
    <w:autoRedefine/>
    <w:uiPriority w:val="98"/>
    <w:semiHidden/>
    <w:rsid w:val="00F91718"/>
    <w:pPr>
      <w:ind w:left="1680" w:hanging="240"/>
    </w:pPr>
  </w:style>
  <w:style w:type="paragraph" w:styleId="Index8">
    <w:name w:val="index 8"/>
    <w:basedOn w:val="Normal"/>
    <w:next w:val="Normal"/>
    <w:autoRedefine/>
    <w:uiPriority w:val="98"/>
    <w:semiHidden/>
    <w:rsid w:val="00F91718"/>
    <w:pPr>
      <w:ind w:left="1920" w:hanging="240"/>
    </w:pPr>
  </w:style>
  <w:style w:type="paragraph" w:styleId="Index9">
    <w:name w:val="index 9"/>
    <w:basedOn w:val="Normal"/>
    <w:next w:val="Normal"/>
    <w:autoRedefine/>
    <w:uiPriority w:val="98"/>
    <w:semiHidden/>
    <w:rsid w:val="00F91718"/>
    <w:pPr>
      <w:ind w:left="2160" w:hanging="240"/>
    </w:pPr>
  </w:style>
  <w:style w:type="paragraph" w:styleId="IndexHeading">
    <w:name w:val="index heading"/>
    <w:basedOn w:val="Normal"/>
    <w:next w:val="Index1"/>
    <w:uiPriority w:val="98"/>
    <w:semiHidden/>
    <w:rsid w:val="00F91718"/>
    <w:rPr>
      <w:rFonts w:asciiTheme="majorHAnsi" w:eastAsiaTheme="majorEastAsia" w:hAnsiTheme="majorHAnsi" w:cstheme="majorBidi"/>
      <w:b/>
      <w:bCs/>
    </w:rPr>
  </w:style>
  <w:style w:type="table" w:styleId="LightGrid">
    <w:name w:val="Light Grid"/>
    <w:basedOn w:val="TableNormal"/>
    <w:uiPriority w:val="62"/>
    <w:semiHidden/>
    <w:rsid w:val="00F9171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9171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9171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91718"/>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F9171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9171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9171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9171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9171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9171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91718"/>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F9171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9171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9171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91718"/>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91718"/>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91718"/>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91718"/>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F91718"/>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91718"/>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91718"/>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91718"/>
  </w:style>
  <w:style w:type="paragraph" w:styleId="List">
    <w:name w:val="List"/>
    <w:basedOn w:val="Normal"/>
    <w:uiPriority w:val="98"/>
    <w:semiHidden/>
    <w:rsid w:val="00F91718"/>
    <w:pPr>
      <w:ind w:left="283" w:hanging="283"/>
      <w:contextualSpacing/>
    </w:pPr>
  </w:style>
  <w:style w:type="paragraph" w:styleId="List2">
    <w:name w:val="List 2"/>
    <w:basedOn w:val="Normal"/>
    <w:uiPriority w:val="98"/>
    <w:semiHidden/>
    <w:rsid w:val="00F91718"/>
    <w:pPr>
      <w:ind w:left="566" w:hanging="283"/>
      <w:contextualSpacing/>
    </w:pPr>
  </w:style>
  <w:style w:type="paragraph" w:styleId="List3">
    <w:name w:val="List 3"/>
    <w:basedOn w:val="Normal"/>
    <w:uiPriority w:val="98"/>
    <w:semiHidden/>
    <w:rsid w:val="00F91718"/>
    <w:pPr>
      <w:ind w:left="849" w:hanging="283"/>
      <w:contextualSpacing/>
    </w:pPr>
  </w:style>
  <w:style w:type="paragraph" w:styleId="List4">
    <w:name w:val="List 4"/>
    <w:basedOn w:val="Normal"/>
    <w:uiPriority w:val="98"/>
    <w:semiHidden/>
    <w:rsid w:val="00F91718"/>
    <w:pPr>
      <w:ind w:left="1132" w:hanging="283"/>
      <w:contextualSpacing/>
    </w:pPr>
  </w:style>
  <w:style w:type="paragraph" w:styleId="List5">
    <w:name w:val="List 5"/>
    <w:basedOn w:val="Normal"/>
    <w:uiPriority w:val="98"/>
    <w:semiHidden/>
    <w:rsid w:val="00F91718"/>
    <w:pPr>
      <w:ind w:left="1415" w:hanging="283"/>
      <w:contextualSpacing/>
    </w:pPr>
  </w:style>
  <w:style w:type="paragraph" w:styleId="ListBullet">
    <w:name w:val="List Bullet"/>
    <w:basedOn w:val="Normal"/>
    <w:uiPriority w:val="98"/>
    <w:semiHidden/>
    <w:rsid w:val="00F91718"/>
    <w:pPr>
      <w:numPr>
        <w:numId w:val="4"/>
      </w:numPr>
    </w:pPr>
  </w:style>
  <w:style w:type="paragraph" w:styleId="ListBullet3">
    <w:name w:val="List Bullet 3"/>
    <w:basedOn w:val="Normal"/>
    <w:uiPriority w:val="98"/>
    <w:semiHidden/>
    <w:rsid w:val="00F91718"/>
    <w:pPr>
      <w:numPr>
        <w:numId w:val="6"/>
      </w:numPr>
      <w:contextualSpacing/>
    </w:pPr>
  </w:style>
  <w:style w:type="paragraph" w:styleId="ListBullet4">
    <w:name w:val="List Bullet 4"/>
    <w:basedOn w:val="Normal"/>
    <w:uiPriority w:val="98"/>
    <w:semiHidden/>
    <w:rsid w:val="00F91718"/>
    <w:pPr>
      <w:numPr>
        <w:numId w:val="7"/>
      </w:numPr>
      <w:contextualSpacing/>
    </w:pPr>
  </w:style>
  <w:style w:type="paragraph" w:styleId="ListBullet5">
    <w:name w:val="List Bullet 5"/>
    <w:basedOn w:val="Normal"/>
    <w:uiPriority w:val="98"/>
    <w:semiHidden/>
    <w:rsid w:val="00F91718"/>
    <w:pPr>
      <w:numPr>
        <w:numId w:val="8"/>
      </w:numPr>
      <w:contextualSpacing/>
    </w:pPr>
  </w:style>
  <w:style w:type="paragraph" w:styleId="ListContinue">
    <w:name w:val="List Continue"/>
    <w:basedOn w:val="Normal"/>
    <w:uiPriority w:val="98"/>
    <w:semiHidden/>
    <w:rsid w:val="00F91718"/>
    <w:pPr>
      <w:spacing w:after="120"/>
      <w:ind w:left="283"/>
      <w:contextualSpacing/>
    </w:pPr>
  </w:style>
  <w:style w:type="paragraph" w:styleId="ListContinue2">
    <w:name w:val="List Continue 2"/>
    <w:basedOn w:val="Normal"/>
    <w:uiPriority w:val="98"/>
    <w:semiHidden/>
    <w:rsid w:val="00F91718"/>
    <w:pPr>
      <w:spacing w:after="120"/>
      <w:ind w:left="566"/>
      <w:contextualSpacing/>
    </w:pPr>
  </w:style>
  <w:style w:type="paragraph" w:styleId="ListContinue3">
    <w:name w:val="List Continue 3"/>
    <w:basedOn w:val="Normal"/>
    <w:uiPriority w:val="98"/>
    <w:semiHidden/>
    <w:rsid w:val="00F91718"/>
    <w:pPr>
      <w:spacing w:after="120"/>
      <w:ind w:left="849"/>
      <w:contextualSpacing/>
    </w:pPr>
  </w:style>
  <w:style w:type="paragraph" w:styleId="ListContinue4">
    <w:name w:val="List Continue 4"/>
    <w:basedOn w:val="Normal"/>
    <w:uiPriority w:val="98"/>
    <w:semiHidden/>
    <w:rsid w:val="00F91718"/>
    <w:pPr>
      <w:spacing w:after="120"/>
      <w:ind w:left="1132"/>
      <w:contextualSpacing/>
    </w:pPr>
  </w:style>
  <w:style w:type="paragraph" w:styleId="ListContinue5">
    <w:name w:val="List Continue 5"/>
    <w:basedOn w:val="Normal"/>
    <w:uiPriority w:val="98"/>
    <w:semiHidden/>
    <w:rsid w:val="00F91718"/>
    <w:pPr>
      <w:spacing w:after="120"/>
      <w:ind w:left="1415"/>
      <w:contextualSpacing/>
    </w:pPr>
  </w:style>
  <w:style w:type="paragraph" w:styleId="ListNumber">
    <w:name w:val="List Number"/>
    <w:basedOn w:val="Normal"/>
    <w:uiPriority w:val="98"/>
    <w:semiHidden/>
    <w:rsid w:val="00F91718"/>
    <w:pPr>
      <w:numPr>
        <w:numId w:val="9"/>
      </w:numPr>
      <w:contextualSpacing/>
    </w:pPr>
  </w:style>
  <w:style w:type="paragraph" w:styleId="ListNumber2">
    <w:name w:val="List Number 2"/>
    <w:basedOn w:val="Normal"/>
    <w:uiPriority w:val="98"/>
    <w:semiHidden/>
    <w:rsid w:val="00F91718"/>
    <w:pPr>
      <w:numPr>
        <w:numId w:val="10"/>
      </w:numPr>
      <w:contextualSpacing/>
    </w:pPr>
  </w:style>
  <w:style w:type="paragraph" w:styleId="ListNumber3">
    <w:name w:val="List Number 3"/>
    <w:basedOn w:val="Normal"/>
    <w:uiPriority w:val="98"/>
    <w:semiHidden/>
    <w:rsid w:val="00F91718"/>
    <w:pPr>
      <w:numPr>
        <w:numId w:val="11"/>
      </w:numPr>
      <w:contextualSpacing/>
    </w:pPr>
  </w:style>
  <w:style w:type="paragraph" w:styleId="ListNumber4">
    <w:name w:val="List Number 4"/>
    <w:basedOn w:val="Normal"/>
    <w:uiPriority w:val="98"/>
    <w:semiHidden/>
    <w:rsid w:val="00F91718"/>
    <w:pPr>
      <w:numPr>
        <w:numId w:val="12"/>
      </w:numPr>
      <w:contextualSpacing/>
    </w:pPr>
  </w:style>
  <w:style w:type="paragraph" w:styleId="ListNumber5">
    <w:name w:val="List Number 5"/>
    <w:basedOn w:val="Normal"/>
    <w:uiPriority w:val="98"/>
    <w:semiHidden/>
    <w:rsid w:val="00F91718"/>
    <w:pPr>
      <w:numPr>
        <w:numId w:val="13"/>
      </w:numPr>
      <w:contextualSpacing/>
    </w:pPr>
  </w:style>
  <w:style w:type="paragraph" w:styleId="MacroText">
    <w:name w:val="macro"/>
    <w:link w:val="MacroTextChar"/>
    <w:uiPriority w:val="98"/>
    <w:semiHidden/>
    <w:rsid w:val="00F9171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91718"/>
    <w:rPr>
      <w:rFonts w:ascii="Consolas" w:eastAsiaTheme="minorEastAsia" w:hAnsi="Consolas" w:cs="Consolas"/>
      <w:sz w:val="20"/>
      <w:szCs w:val="20"/>
    </w:rPr>
  </w:style>
  <w:style w:type="table" w:styleId="MediumGrid1">
    <w:name w:val="Medium Grid 1"/>
    <w:basedOn w:val="TableNormal"/>
    <w:uiPriority w:val="67"/>
    <w:semiHidden/>
    <w:rsid w:val="00F9171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9171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9171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91718"/>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F9171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9171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9171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F917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F917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917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917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F917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917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9171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F91718"/>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91718"/>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91718"/>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91718"/>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F91718"/>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91718"/>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91718"/>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9171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F9171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9171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9171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91718"/>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9171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9171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9171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917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917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917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917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917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917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9171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9171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91718"/>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F91718"/>
    <w:rPr>
      <w:rFonts w:ascii="Times New Roman" w:hAnsi="Times New Roman" w:cs="Times New Roman"/>
    </w:rPr>
  </w:style>
  <w:style w:type="paragraph" w:styleId="NormalIndent">
    <w:name w:val="Normal Indent"/>
    <w:basedOn w:val="Normal"/>
    <w:uiPriority w:val="98"/>
    <w:semiHidden/>
    <w:rsid w:val="00F91718"/>
    <w:pPr>
      <w:ind w:left="720"/>
    </w:pPr>
  </w:style>
  <w:style w:type="paragraph" w:styleId="NoteHeading">
    <w:name w:val="Note Heading"/>
    <w:basedOn w:val="Normal"/>
    <w:next w:val="Normal"/>
    <w:link w:val="NoteHeadingChar"/>
    <w:uiPriority w:val="98"/>
    <w:semiHidden/>
    <w:rsid w:val="00F91718"/>
  </w:style>
  <w:style w:type="character" w:customStyle="1" w:styleId="NoteHeadingChar">
    <w:name w:val="Note Heading Char"/>
    <w:basedOn w:val="DefaultParagraphFont"/>
    <w:link w:val="NoteHeading"/>
    <w:uiPriority w:val="98"/>
    <w:semiHidden/>
    <w:rsid w:val="00F91718"/>
    <w:rPr>
      <w:sz w:val="24"/>
      <w:szCs w:val="24"/>
      <w:lang w:val="ro-RO"/>
    </w:rPr>
  </w:style>
  <w:style w:type="character" w:styleId="PlaceholderText">
    <w:name w:val="Placeholder Text"/>
    <w:basedOn w:val="DefaultParagraphFont"/>
    <w:uiPriority w:val="98"/>
    <w:semiHidden/>
    <w:rsid w:val="00F91718"/>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91718"/>
    <w:rPr>
      <w:rFonts w:ascii="Consolas" w:hAnsi="Consolas" w:cs="Consolas"/>
      <w:sz w:val="21"/>
      <w:szCs w:val="21"/>
    </w:rPr>
  </w:style>
  <w:style w:type="character" w:customStyle="1" w:styleId="PlainTextChar">
    <w:name w:val="Plain Text Char"/>
    <w:basedOn w:val="DefaultParagraphFont"/>
    <w:link w:val="PlainText"/>
    <w:uiPriority w:val="98"/>
    <w:semiHidden/>
    <w:rsid w:val="00F91718"/>
    <w:rPr>
      <w:rFonts w:ascii="Consolas" w:hAnsi="Consolas" w:cs="Consolas"/>
      <w:sz w:val="21"/>
      <w:szCs w:val="21"/>
      <w:lang w:val="ro-RO"/>
    </w:rPr>
  </w:style>
  <w:style w:type="paragraph" w:styleId="Salutation">
    <w:name w:val="Salutation"/>
    <w:basedOn w:val="Normal"/>
    <w:next w:val="Normal"/>
    <w:link w:val="SalutationChar"/>
    <w:uiPriority w:val="98"/>
    <w:semiHidden/>
    <w:rsid w:val="00F91718"/>
  </w:style>
  <w:style w:type="character" w:customStyle="1" w:styleId="SalutationChar">
    <w:name w:val="Salutation Char"/>
    <w:basedOn w:val="DefaultParagraphFont"/>
    <w:link w:val="Salutation"/>
    <w:uiPriority w:val="98"/>
    <w:semiHidden/>
    <w:rsid w:val="00F91718"/>
    <w:rPr>
      <w:sz w:val="24"/>
      <w:szCs w:val="24"/>
      <w:lang w:val="ro-RO"/>
    </w:rPr>
  </w:style>
  <w:style w:type="paragraph" w:styleId="Signature">
    <w:name w:val="Signature"/>
    <w:basedOn w:val="Normal"/>
    <w:link w:val="SignatureChar"/>
    <w:uiPriority w:val="98"/>
    <w:semiHidden/>
    <w:rsid w:val="00F91718"/>
    <w:pPr>
      <w:ind w:left="4252"/>
    </w:pPr>
  </w:style>
  <w:style w:type="character" w:customStyle="1" w:styleId="SignatureChar">
    <w:name w:val="Signature Char"/>
    <w:basedOn w:val="DefaultParagraphFont"/>
    <w:link w:val="Signature"/>
    <w:uiPriority w:val="98"/>
    <w:semiHidden/>
    <w:rsid w:val="00F91718"/>
    <w:rPr>
      <w:sz w:val="24"/>
      <w:szCs w:val="24"/>
      <w:lang w:val="ro-RO"/>
    </w:rPr>
  </w:style>
  <w:style w:type="table" w:styleId="Table3Deffects1">
    <w:name w:val="Table 3D effects 1"/>
    <w:basedOn w:val="TableNormal"/>
    <w:uiPriority w:val="99"/>
    <w:semiHidden/>
    <w:unhideWhenUsed/>
    <w:rsid w:val="00F91718"/>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1718"/>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1718"/>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718"/>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1718"/>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718"/>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1718"/>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1718"/>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1718"/>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1718"/>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1718"/>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718"/>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718"/>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1718"/>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718"/>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1718"/>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1718"/>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171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1718"/>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1718"/>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1718"/>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171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1718"/>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718"/>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718"/>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718"/>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1718"/>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1718"/>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71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171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171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1718"/>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171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91718"/>
    <w:pPr>
      <w:ind w:left="240" w:hanging="240"/>
    </w:pPr>
  </w:style>
  <w:style w:type="paragraph" w:styleId="TableofFigures">
    <w:name w:val="table of figures"/>
    <w:basedOn w:val="Normal"/>
    <w:next w:val="Normal"/>
    <w:uiPriority w:val="98"/>
    <w:semiHidden/>
    <w:rsid w:val="00F91718"/>
  </w:style>
  <w:style w:type="table" w:styleId="TableProfessional">
    <w:name w:val="Table Professional"/>
    <w:basedOn w:val="TableNormal"/>
    <w:uiPriority w:val="99"/>
    <w:semiHidden/>
    <w:unhideWhenUsed/>
    <w:rsid w:val="00F9171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718"/>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718"/>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1718"/>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718"/>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718"/>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1718"/>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91718"/>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1718"/>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1718"/>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F9171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F9171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F91718"/>
    <w:pPr>
      <w:spacing w:after="100"/>
      <w:ind w:left="1680"/>
    </w:pPr>
  </w:style>
  <w:style w:type="paragraph" w:styleId="TOC9">
    <w:name w:val="toc 9"/>
    <w:basedOn w:val="Normal"/>
    <w:next w:val="Normal"/>
    <w:autoRedefine/>
    <w:uiPriority w:val="98"/>
    <w:semiHidden/>
    <w:rsid w:val="00F91718"/>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F91718"/>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F91718"/>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F91718"/>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F91718"/>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F91718"/>
    <w:pPr>
      <w:numPr>
        <w:numId w:val="15"/>
      </w:numPr>
      <w:spacing w:before="60" w:after="60"/>
    </w:pPr>
  </w:style>
  <w:style w:type="paragraph" w:customStyle="1" w:styleId="ECHRBullet2">
    <w:name w:val="ECHR_Bullet_2"/>
    <w:aliases w:val="_Bul_2"/>
    <w:basedOn w:val="ECHRBullet1"/>
    <w:uiPriority w:val="23"/>
    <w:semiHidden/>
    <w:rsid w:val="00F91718"/>
    <w:pPr>
      <w:numPr>
        <w:ilvl w:val="1"/>
      </w:numPr>
    </w:pPr>
  </w:style>
  <w:style w:type="paragraph" w:customStyle="1" w:styleId="ECHRBullet3">
    <w:name w:val="ECHR_Bullet_3"/>
    <w:aliases w:val="_Bul_3"/>
    <w:basedOn w:val="ECHRBullet2"/>
    <w:uiPriority w:val="23"/>
    <w:semiHidden/>
    <w:rsid w:val="00F91718"/>
    <w:pPr>
      <w:numPr>
        <w:ilvl w:val="2"/>
      </w:numPr>
    </w:pPr>
  </w:style>
  <w:style w:type="paragraph" w:customStyle="1" w:styleId="ECHRBullet4">
    <w:name w:val="ECHR_Bullet_4"/>
    <w:aliases w:val="_Bul_4"/>
    <w:basedOn w:val="ECHRBullet3"/>
    <w:uiPriority w:val="23"/>
    <w:semiHidden/>
    <w:rsid w:val="00F91718"/>
    <w:pPr>
      <w:numPr>
        <w:ilvl w:val="3"/>
      </w:numPr>
    </w:pPr>
  </w:style>
  <w:style w:type="paragraph" w:customStyle="1" w:styleId="ECHRConfidential">
    <w:name w:val="ECHR_Confidential"/>
    <w:aliases w:val="_Confidential"/>
    <w:basedOn w:val="Normal"/>
    <w:next w:val="Normal"/>
    <w:uiPriority w:val="42"/>
    <w:semiHidden/>
    <w:qFormat/>
    <w:rsid w:val="00F91718"/>
    <w:pPr>
      <w:jc w:val="right"/>
    </w:pPr>
    <w:rPr>
      <w:color w:val="C00000"/>
      <w:sz w:val="20"/>
    </w:rPr>
  </w:style>
  <w:style w:type="paragraph" w:customStyle="1" w:styleId="ECHRDecisionBody">
    <w:name w:val="ECHR_Decision_Body"/>
    <w:aliases w:val="_Decision_Body"/>
    <w:basedOn w:val="NormalJustified"/>
    <w:uiPriority w:val="54"/>
    <w:semiHidden/>
    <w:rsid w:val="00F91718"/>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F91718"/>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F91718"/>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F91718"/>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F91718"/>
    <w:pPr>
      <w:jc w:val="right"/>
    </w:pPr>
    <w:rPr>
      <w:sz w:val="20"/>
    </w:rPr>
  </w:style>
  <w:style w:type="paragraph" w:customStyle="1" w:styleId="ECHRHeaderRefIt">
    <w:name w:val="ECHR_Header_Ref_It"/>
    <w:aliases w:val="_Ref_Ital"/>
    <w:basedOn w:val="Normal"/>
    <w:next w:val="ECHRHeaderDate"/>
    <w:uiPriority w:val="43"/>
    <w:qFormat/>
    <w:rsid w:val="00F91718"/>
    <w:pPr>
      <w:jc w:val="right"/>
    </w:pPr>
    <w:rPr>
      <w:i/>
      <w:sz w:val="20"/>
    </w:rPr>
  </w:style>
  <w:style w:type="paragraph" w:customStyle="1" w:styleId="ECHRHeading9">
    <w:name w:val="ECHR_Heading_9"/>
    <w:aliases w:val="_Head_9"/>
    <w:basedOn w:val="Heading9"/>
    <w:uiPriority w:val="17"/>
    <w:semiHidden/>
    <w:rsid w:val="00F91718"/>
    <w:pPr>
      <w:keepNext/>
      <w:keepLines/>
      <w:numPr>
        <w:ilvl w:val="8"/>
        <w:numId w:val="1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F91718"/>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F91718"/>
    <w:pPr>
      <w:numPr>
        <w:numId w:val="17"/>
      </w:numPr>
      <w:spacing w:before="60" w:after="60"/>
    </w:pPr>
  </w:style>
  <w:style w:type="paragraph" w:customStyle="1" w:styleId="ECHRNumberedList2">
    <w:name w:val="ECHR_Numbered_List_2"/>
    <w:aliases w:val="_Num_2"/>
    <w:basedOn w:val="ECHRNumberedList1"/>
    <w:uiPriority w:val="23"/>
    <w:semiHidden/>
    <w:rsid w:val="00F91718"/>
    <w:pPr>
      <w:numPr>
        <w:ilvl w:val="1"/>
      </w:numPr>
    </w:pPr>
  </w:style>
  <w:style w:type="paragraph" w:customStyle="1" w:styleId="ECHRNumberedList3">
    <w:name w:val="ECHR_Numbered_List_3"/>
    <w:aliases w:val="_Num_3"/>
    <w:basedOn w:val="ECHRNumberedList2"/>
    <w:uiPriority w:val="23"/>
    <w:semiHidden/>
    <w:rsid w:val="00F91718"/>
    <w:pPr>
      <w:numPr>
        <w:ilvl w:val="2"/>
      </w:numPr>
    </w:pPr>
  </w:style>
  <w:style w:type="paragraph" w:customStyle="1" w:styleId="ECHRParaHanging">
    <w:name w:val="ECHR_Para_Hanging"/>
    <w:aliases w:val="_Hanging"/>
    <w:basedOn w:val="NormalJustified"/>
    <w:uiPriority w:val="8"/>
    <w:semiHidden/>
    <w:qFormat/>
    <w:rsid w:val="00F91718"/>
    <w:pPr>
      <w:ind w:left="567" w:hanging="567"/>
    </w:pPr>
  </w:style>
  <w:style w:type="paragraph" w:customStyle="1" w:styleId="ECHRParaIndent">
    <w:name w:val="ECHR_Para_Indent"/>
    <w:aliases w:val="_Indent"/>
    <w:basedOn w:val="NormalJustified"/>
    <w:uiPriority w:val="7"/>
    <w:semiHidden/>
    <w:qFormat/>
    <w:rsid w:val="00F91718"/>
    <w:pPr>
      <w:spacing w:before="120" w:after="120"/>
      <w:ind w:left="567"/>
    </w:pPr>
  </w:style>
  <w:style w:type="character" w:customStyle="1" w:styleId="ECHRRed">
    <w:name w:val="ECHR_Red"/>
    <w:aliases w:val="_Red"/>
    <w:basedOn w:val="DefaultParagraphFont"/>
    <w:uiPriority w:val="15"/>
    <w:semiHidden/>
    <w:qFormat/>
    <w:rsid w:val="00F91718"/>
    <w:rPr>
      <w:color w:val="C00000" w:themeColor="accent2"/>
    </w:rPr>
  </w:style>
  <w:style w:type="paragraph" w:customStyle="1" w:styleId="DecList">
    <w:name w:val="Dec_List"/>
    <w:aliases w:val="_List"/>
    <w:basedOn w:val="JuList"/>
    <w:uiPriority w:val="22"/>
    <w:rsid w:val="00F91718"/>
    <w:pPr>
      <w:numPr>
        <w:numId w:val="0"/>
      </w:numPr>
      <w:ind w:left="284"/>
    </w:pPr>
  </w:style>
  <w:style w:type="table" w:customStyle="1" w:styleId="ECHRTable2">
    <w:name w:val="ECHR_Table_2"/>
    <w:basedOn w:val="TableNormal"/>
    <w:uiPriority w:val="99"/>
    <w:rsid w:val="00F91718"/>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91718"/>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F91718"/>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F91718"/>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F91718"/>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F91718"/>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F91718"/>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F91718"/>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F91718"/>
    <w:pPr>
      <w:outlineLvl w:val="0"/>
    </w:pPr>
  </w:style>
  <w:style w:type="paragraph" w:customStyle="1" w:styleId="ECHRTitleTOC1">
    <w:name w:val="ECHR_Title_TOC_1"/>
    <w:aliases w:val="_Title_L_TOC"/>
    <w:basedOn w:val="ECHRTitle1"/>
    <w:next w:val="Normal"/>
    <w:uiPriority w:val="27"/>
    <w:semiHidden/>
    <w:qFormat/>
    <w:rsid w:val="00F91718"/>
    <w:pPr>
      <w:outlineLvl w:val="0"/>
    </w:pPr>
  </w:style>
  <w:style w:type="paragraph" w:customStyle="1" w:styleId="ECHRPlaceholder">
    <w:name w:val="ECHR_Placeholder"/>
    <w:aliases w:val="_Placeholder"/>
    <w:basedOn w:val="JuSigned"/>
    <w:uiPriority w:val="31"/>
    <w:rsid w:val="00F91718"/>
    <w:rPr>
      <w:color w:val="FFFFFF"/>
    </w:rPr>
  </w:style>
  <w:style w:type="paragraph" w:customStyle="1" w:styleId="ECHRSpacer">
    <w:name w:val="ECHR_Spacer"/>
    <w:aliases w:val="_Spacer"/>
    <w:basedOn w:val="Normal"/>
    <w:uiPriority w:val="45"/>
    <w:semiHidden/>
    <w:rsid w:val="00F91718"/>
    <w:rPr>
      <w:sz w:val="4"/>
    </w:rPr>
  </w:style>
  <w:style w:type="table" w:customStyle="1" w:styleId="ECHRTableGrey">
    <w:name w:val="ECHR_Table_Grey"/>
    <w:basedOn w:val="TableNormal"/>
    <w:uiPriority w:val="99"/>
    <w:rsid w:val="00F91718"/>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D277AA"/>
    <w:rPr>
      <w:sz w:val="24"/>
      <w:szCs w:val="24"/>
      <w:lang w:val="ro-RO"/>
    </w:rPr>
  </w:style>
  <w:style w:type="character" w:customStyle="1" w:styleId="JuNames0">
    <w:name w:val="Ju_Names"/>
    <w:rsid w:val="00D277AA"/>
    <w:rPr>
      <w:smallCaps/>
    </w:rPr>
  </w:style>
  <w:style w:type="paragraph" w:customStyle="1" w:styleId="JuList4">
    <w:name w:val="Ju_List_4"/>
    <w:aliases w:val="N_Bul_4"/>
    <w:basedOn w:val="JuListi"/>
    <w:uiPriority w:val="19"/>
    <w:rsid w:val="00D277AA"/>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D277AA"/>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D277AA"/>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277AA"/>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277AA"/>
    <w:rPr>
      <w:sz w:val="24"/>
      <w:szCs w:val="24"/>
    </w:rPr>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277AA"/>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277AA"/>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277AA"/>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277AA"/>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277AA"/>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277AA"/>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D277AA"/>
    <w:rPr>
      <w:sz w:val="24"/>
      <w:szCs w:val="24"/>
    </w:rPr>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D277AA"/>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277AA"/>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277AA"/>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277AA"/>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277AA"/>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277AA"/>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277AA"/>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D277AA"/>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277AA"/>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277AA"/>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277AA"/>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277AA"/>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277AA"/>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277AA"/>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D277AA"/>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277AA"/>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277AA"/>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277AA"/>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277AA"/>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277AA"/>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277AA"/>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D277AA"/>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277AA"/>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277AA"/>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277AA"/>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277AA"/>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277AA"/>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277AA"/>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D277AA"/>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277AA"/>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277AA"/>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277AA"/>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277AA"/>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277AA"/>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277AA"/>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D277AA"/>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277AA"/>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277AA"/>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D277AA"/>
    <w:rPr>
      <w:color w:val="2B579A"/>
      <w:shd w:val="clear" w:color="auto" w:fill="E1DFDD"/>
    </w:rPr>
  </w:style>
  <w:style w:type="table" w:styleId="ListTable1Light">
    <w:name w:val="List Table 1 Light"/>
    <w:basedOn w:val="TableNormal"/>
    <w:uiPriority w:val="46"/>
    <w:semiHidden/>
    <w:rsid w:val="00D277AA"/>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277AA"/>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277AA"/>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277AA"/>
    <w:rPr>
      <w:sz w:val="24"/>
      <w:szCs w:val="24"/>
    </w:rPr>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D277AA"/>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277AA"/>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277AA"/>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277AA"/>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277AA"/>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277AA"/>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277AA"/>
    <w:rPr>
      <w:sz w:val="24"/>
      <w:szCs w:val="24"/>
    </w:rPr>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D277AA"/>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277AA"/>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277AA"/>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277AA"/>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277AA"/>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277AA"/>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277AA"/>
    <w:rPr>
      <w:sz w:val="24"/>
      <w:szCs w:val="24"/>
    </w:rPr>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D277AA"/>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277AA"/>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277AA"/>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277AA"/>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277AA"/>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277AA"/>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277AA"/>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D277AA"/>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277AA"/>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277AA"/>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277AA"/>
    <w:rPr>
      <w:color w:val="FFFFFF"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277AA"/>
    <w:rPr>
      <w:color w:val="FFFFFF"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277AA"/>
    <w:rPr>
      <w:color w:val="FFFFFF"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277AA"/>
    <w:rPr>
      <w:color w:val="FFFFFF" w:themeColor="background1"/>
      <w:sz w:val="24"/>
      <w:szCs w:val="24"/>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277AA"/>
    <w:rPr>
      <w:color w:val="FFFFFF"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277AA"/>
    <w:rPr>
      <w:color w:val="FFFFFF"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277AA"/>
    <w:rPr>
      <w:color w:val="FFFFFF"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277AA"/>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277AA"/>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277AA"/>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277AA"/>
    <w:rPr>
      <w:color w:val="424242" w:themeColor="accent3" w:themeShade="BF"/>
      <w:sz w:val="24"/>
      <w:szCs w:val="24"/>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D277AA"/>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277AA"/>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277AA"/>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277AA"/>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277AA"/>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277AA"/>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277AA"/>
    <w:rPr>
      <w:color w:val="424242"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277AA"/>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277AA"/>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277AA"/>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D277AA"/>
    <w:rPr>
      <w:color w:val="2B579A"/>
      <w:shd w:val="clear" w:color="auto" w:fill="E1DFDD"/>
    </w:rPr>
  </w:style>
  <w:style w:type="table" w:styleId="PlainTable1">
    <w:name w:val="Plain Table 1"/>
    <w:basedOn w:val="TableNormal"/>
    <w:uiPriority w:val="41"/>
    <w:semiHidden/>
    <w:rsid w:val="00D277AA"/>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D277AA"/>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277AA"/>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277AA"/>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D277AA"/>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D277AA"/>
    <w:rPr>
      <w:u w:val="dotted"/>
    </w:rPr>
  </w:style>
  <w:style w:type="character" w:customStyle="1" w:styleId="SmartLink">
    <w:name w:val="Smart Link"/>
    <w:basedOn w:val="DefaultParagraphFont"/>
    <w:uiPriority w:val="99"/>
    <w:semiHidden/>
    <w:unhideWhenUsed/>
    <w:rsid w:val="00D277AA"/>
    <w:rPr>
      <w:color w:val="0000FF"/>
      <w:u w:val="single"/>
      <w:shd w:val="clear" w:color="auto" w:fill="F3F2F1"/>
    </w:rPr>
  </w:style>
  <w:style w:type="table" w:styleId="TableGridLight">
    <w:name w:val="Grid Table Light"/>
    <w:basedOn w:val="TableNormal"/>
    <w:uiPriority w:val="40"/>
    <w:semiHidden/>
    <w:rsid w:val="00D277AA"/>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ECHRA1StyleBulletedSquare1">
    <w:name w:val="ECHR_A1_Style_Bulleted_Square1"/>
    <w:basedOn w:val="NoList"/>
    <w:rsid w:val="00D277AA"/>
  </w:style>
  <w:style w:type="numbering" w:customStyle="1" w:styleId="ECHRA1StyleList1">
    <w:name w:val="ECHR_A1_Style_List1"/>
    <w:basedOn w:val="NoList"/>
    <w:uiPriority w:val="99"/>
    <w:rsid w:val="00D277AA"/>
  </w:style>
  <w:style w:type="numbering" w:customStyle="1" w:styleId="ECHRA1StyleNumberedList1">
    <w:name w:val="ECHR_A1_Style_Numbered_List1"/>
    <w:basedOn w:val="NoList"/>
    <w:rsid w:val="00D277AA"/>
  </w:style>
  <w:style w:type="paragraph" w:styleId="Revision">
    <w:name w:val="Revision"/>
    <w:hidden/>
    <w:uiPriority w:val="99"/>
    <w:semiHidden/>
    <w:rsid w:val="00D277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E62AD-3A3A-48B4-B644-60D5976B5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3237</Words>
  <Characters>19417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22609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Pop-Manta si altii impotriva Romaniei</dc:title>
  <dc:subject>JUDF</dc:subject>
  <dc:creator/>
  <cp:lastModifiedBy/>
  <cp:revision>1</cp:revision>
  <dcterms:created xsi:type="dcterms:W3CDTF">2025-08-25T08:58:00Z</dcterms:created>
  <dcterms:modified xsi:type="dcterms:W3CDTF">2025-10-01T06:25:00Z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1590422</vt:lpwstr>
  </property>
  <property fmtid="{D5CDD505-2E9C-101B-9397-08002B2CF9AE}" pid="3" name="cstLanguage">
    <vt:i4>1036</vt:i4>
  </property>
  <property fmtid="{D5CDD505-2E9C-101B-9397-08002B2CF9AE}" pid="4" name="RegisteredNo">
    <vt:lpwstr>46913/20</vt:lpwstr>
  </property>
</Properties>
</file>