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5AD3" w:rsidRPr="005C1F20" w:rsidRDefault="00315AD3" w:rsidP="00E40DAB">
      <w:pPr>
        <w:rPr>
          <w:rFonts w:ascii="Times New Roman" w:hAnsi="Times New Roman" w:cs="Times New Roman"/>
        </w:rPr>
      </w:pPr>
    </w:p>
    <w:p w:rsidR="0098410D" w:rsidRPr="00E40DAB" w:rsidRDefault="00C0369E" w:rsidP="00E40DAB">
      <w:pPr>
        <w:pStyle w:val="DecHTitle"/>
      </w:pPr>
      <w:r>
        <w:t>SECȚIA A PATRA</w:t>
      </w:r>
    </w:p>
    <w:p w:rsidR="008E6217" w:rsidRPr="00E40DAB" w:rsidRDefault="00C0369E" w:rsidP="00E40DAB">
      <w:pPr>
        <w:pStyle w:val="JuTitle"/>
        <w:spacing w:before="1080"/>
      </w:pPr>
      <w:r>
        <w:rPr>
          <w:color w:val="000000" w:themeColor="text1"/>
        </w:rPr>
        <w:t xml:space="preserve">CAUZA </w:t>
      </w:r>
      <w:r>
        <w:t>CANTEMIR ÎMPOTRIVA ROMÂNIEI</w:t>
      </w:r>
    </w:p>
    <w:p w:rsidR="00D74888" w:rsidRPr="00E40DAB" w:rsidRDefault="00C0369E" w:rsidP="00E40DAB">
      <w:pPr>
        <w:pStyle w:val="ECHRCoverTitle4"/>
      </w:pPr>
      <w:r>
        <w:t>(Cererea nr. 9915/19)</w:t>
      </w:r>
    </w:p>
    <w:p w:rsidR="0098410D" w:rsidRPr="00E40DAB" w:rsidRDefault="0098410D" w:rsidP="00E40DAB">
      <w:pPr>
        <w:pStyle w:val="DecHCase"/>
      </w:pPr>
    </w:p>
    <w:p w:rsidR="0098410D" w:rsidRPr="00E40DAB" w:rsidRDefault="0098410D" w:rsidP="00E40DAB">
      <w:pPr>
        <w:pStyle w:val="DecHCase"/>
      </w:pPr>
    </w:p>
    <w:p w:rsidR="00E40DAB" w:rsidRPr="00E40DAB" w:rsidRDefault="00E40DAB" w:rsidP="00E40DAB">
      <w:pPr>
        <w:pStyle w:val="JuPara"/>
      </w:pPr>
    </w:p>
    <w:p w:rsidR="00E40DAB" w:rsidRPr="00E40DAB" w:rsidRDefault="00E40DAB" w:rsidP="00E40DAB">
      <w:pPr>
        <w:pStyle w:val="JuPara"/>
      </w:pPr>
    </w:p>
    <w:p w:rsidR="0098410D" w:rsidRPr="00E40DAB" w:rsidRDefault="00C0369E" w:rsidP="00E40DAB">
      <w:pPr>
        <w:pStyle w:val="DecHCase"/>
        <w:spacing w:after="360"/>
      </w:pPr>
      <w:r>
        <w:t>HOTĂRÂRE</w:t>
      </w:r>
      <w:r>
        <w:br/>
      </w:r>
    </w:p>
    <w:p w:rsidR="00E40DAB" w:rsidRPr="00E40DAB" w:rsidRDefault="00C0369E" w:rsidP="00E40DAB">
      <w:pPr>
        <w:pStyle w:val="JuPara"/>
        <w:pBdr>
          <w:top w:val="single" w:sz="4" w:space="1" w:color="auto"/>
          <w:left w:val="single" w:sz="4" w:space="4" w:color="auto"/>
          <w:bottom w:val="single" w:sz="4" w:space="1" w:color="auto"/>
          <w:right w:val="single" w:sz="4" w:space="4" w:color="auto"/>
        </w:pBdr>
        <w:ind w:firstLine="0"/>
      </w:pPr>
      <w:r>
        <w:t>Art. 3 (sub aspect procedural) • Lipsa unei anchete efective privind relele tratamente la care a fost supus reclamantul în timpul demonstrațiilor împotriva regimului din decembrie 1989</w:t>
      </w:r>
    </w:p>
    <w:p w:rsidR="00E40DAB" w:rsidRPr="00E40DAB" w:rsidRDefault="00E40DAB" w:rsidP="00E40DAB">
      <w:pPr>
        <w:pStyle w:val="JuPara"/>
        <w:pBdr>
          <w:top w:val="single" w:sz="4" w:space="1" w:color="auto"/>
          <w:left w:val="single" w:sz="4" w:space="4" w:color="auto"/>
          <w:bottom w:val="single" w:sz="4" w:space="1" w:color="auto"/>
          <w:right w:val="single" w:sz="4" w:space="4" w:color="auto"/>
        </w:pBdr>
      </w:pPr>
      <w:bookmarkStart w:id="0" w:name="_GoBack"/>
      <w:bookmarkEnd w:id="0"/>
    </w:p>
    <w:p w:rsidR="00E40DAB" w:rsidRPr="00E40DAB" w:rsidRDefault="00C0369E" w:rsidP="00E40DAB">
      <w:pPr>
        <w:pStyle w:val="JuPara"/>
        <w:pBdr>
          <w:top w:val="single" w:sz="4" w:space="1" w:color="auto"/>
          <w:left w:val="single" w:sz="4" w:space="4" w:color="auto"/>
          <w:bottom w:val="single" w:sz="4" w:space="1" w:color="auto"/>
          <w:right w:val="single" w:sz="4" w:space="4" w:color="auto"/>
        </w:pBdr>
        <w:jc w:val="center"/>
      </w:pPr>
      <w:r>
        <w:rPr>
          <w:sz w:val="20"/>
        </w:rPr>
        <w:t>Întocmit de Grefă. Nu obligă Curtea.</w:t>
      </w:r>
    </w:p>
    <w:p w:rsidR="00E40DAB" w:rsidRPr="00E40DAB" w:rsidRDefault="00E40DAB" w:rsidP="00E40DAB">
      <w:pPr>
        <w:pStyle w:val="JuPara"/>
        <w:spacing w:after="240"/>
      </w:pPr>
    </w:p>
    <w:p w:rsidR="0098410D" w:rsidRPr="00E40DAB" w:rsidRDefault="00C0369E" w:rsidP="00E40DAB">
      <w:pPr>
        <w:pStyle w:val="DecHCase"/>
      </w:pPr>
      <w:r>
        <w:t>STRASBOURG</w:t>
      </w:r>
    </w:p>
    <w:p w:rsidR="0098410D" w:rsidRPr="00E40DAB" w:rsidRDefault="00C0369E" w:rsidP="00E40DAB">
      <w:pPr>
        <w:pStyle w:val="DecHCase"/>
      </w:pPr>
      <w:r>
        <w:rPr>
          <w:rFonts w:ascii="Times New Roman" w:hAnsi="Times New Roman"/>
        </w:rPr>
        <w:t>16 septembrie 2025</w:t>
      </w:r>
    </w:p>
    <w:p w:rsidR="00AC4CD4" w:rsidRPr="00E40DAB" w:rsidRDefault="00AC4CD4" w:rsidP="00E40DAB">
      <w:pPr>
        <w:pStyle w:val="JuPara"/>
      </w:pPr>
    </w:p>
    <w:p w:rsidR="00E40DAB" w:rsidRPr="00E40DAB" w:rsidRDefault="00E40DAB" w:rsidP="00E40DAB">
      <w:pPr>
        <w:pStyle w:val="JuPara"/>
      </w:pPr>
    </w:p>
    <w:p w:rsidR="00E40DAB" w:rsidRPr="00E40DAB" w:rsidRDefault="00E40DAB" w:rsidP="00E40DAB">
      <w:pPr>
        <w:pStyle w:val="JuPara"/>
      </w:pPr>
    </w:p>
    <w:p w:rsidR="002422B6" w:rsidRPr="00E40DAB" w:rsidRDefault="00C0369E" w:rsidP="00E40DAB">
      <w:pPr>
        <w:rPr>
          <w:i/>
          <w:sz w:val="22"/>
        </w:rPr>
      </w:pPr>
      <w:r>
        <w:rPr>
          <w:i/>
          <w:sz w:val="22"/>
        </w:rPr>
        <w:t>Hotărârea devine definitivă în condițiile prevăzute la art. 44 § 2 din Convenție. Poate suferi modificări de formă.</w:t>
      </w:r>
    </w:p>
    <w:p w:rsidR="0098410D" w:rsidRPr="00E40DAB" w:rsidRDefault="0098410D" w:rsidP="00E40DAB"/>
    <w:p w:rsidR="00E40DAB" w:rsidRPr="00E40DAB" w:rsidRDefault="00E40DAB" w:rsidP="00E40DAB">
      <w:pPr>
        <w:sectPr w:rsidR="00E40DAB" w:rsidRPr="00E40DAB" w:rsidSect="00D66471">
          <w:headerReference w:type="default" r:id="rId8"/>
          <w:footerReference w:type="default" r:id="rId9"/>
          <w:headerReference w:type="first" r:id="rId10"/>
          <w:footerReference w:type="first" r:id="rId11"/>
          <w:footnotePr>
            <w:numRestart w:val="eachSect"/>
          </w:footnotePr>
          <w:endnotePr>
            <w:numFmt w:val="decimal"/>
          </w:endnotePr>
          <w:pgSz w:w="11906" w:h="16838" w:code="9"/>
          <w:pgMar w:top="2274" w:right="2274" w:bottom="2274" w:left="2274" w:header="1701" w:footer="720" w:gutter="0"/>
          <w:pgNumType w:start="1"/>
          <w:cols w:space="720"/>
          <w:noEndnote/>
          <w:titlePg/>
        </w:sectPr>
      </w:pPr>
    </w:p>
    <w:p w:rsidR="005D17D1" w:rsidRPr="00E40DAB" w:rsidRDefault="00C0369E" w:rsidP="00E40DAB">
      <w:pPr>
        <w:pStyle w:val="JuCase"/>
        <w:rPr>
          <w:bCs/>
        </w:rPr>
      </w:pPr>
      <w:r>
        <w:lastRenderedPageBreak/>
        <w:t>În cauza Cantemir împotriva României,</w:t>
      </w:r>
    </w:p>
    <w:p w:rsidR="005D17D1" w:rsidRPr="00E40DAB" w:rsidRDefault="00C0369E" w:rsidP="00E40DAB">
      <w:pPr>
        <w:pStyle w:val="JuPara"/>
      </w:pPr>
      <w:r>
        <w:t>Curtea Europeană a Drepturilor Omului (Secția a patra), reunită într-o cameră compusă din:</w:t>
      </w:r>
    </w:p>
    <w:p w:rsidR="005D17D1" w:rsidRPr="00E40DAB" w:rsidRDefault="00C0369E" w:rsidP="00E40DAB">
      <w:pPr>
        <w:pStyle w:val="JuJudges"/>
      </w:pPr>
      <w:r>
        <w:tab/>
      </w:r>
      <w:proofErr w:type="spellStart"/>
      <w:r>
        <w:t>Lado</w:t>
      </w:r>
      <w:proofErr w:type="spellEnd"/>
      <w:r>
        <w:t xml:space="preserve"> Chanturia</w:t>
      </w:r>
      <w:r>
        <w:rPr>
          <w:i/>
        </w:rPr>
        <w:t>, președinte</w:t>
      </w:r>
      <w:r>
        <w:t>,</w:t>
      </w:r>
      <w:r>
        <w:br/>
      </w:r>
      <w:r>
        <w:tab/>
      </w:r>
      <w:proofErr w:type="spellStart"/>
      <w:r>
        <w:t>Faris</w:t>
      </w:r>
      <w:proofErr w:type="spellEnd"/>
      <w:r>
        <w:t xml:space="preserve"> </w:t>
      </w:r>
      <w:proofErr w:type="spellStart"/>
      <w:r>
        <w:t>Vehabović</w:t>
      </w:r>
      <w:proofErr w:type="spellEnd"/>
      <w:r>
        <w:t>,</w:t>
      </w:r>
      <w:r>
        <w:br/>
      </w:r>
      <w:r>
        <w:tab/>
      </w:r>
      <w:proofErr w:type="spellStart"/>
      <w:r>
        <w:t>Lorraine</w:t>
      </w:r>
      <w:proofErr w:type="spellEnd"/>
      <w:r>
        <w:t xml:space="preserve"> </w:t>
      </w:r>
      <w:proofErr w:type="spellStart"/>
      <w:r>
        <w:t>Schembri</w:t>
      </w:r>
      <w:proofErr w:type="spellEnd"/>
      <w:r>
        <w:t xml:space="preserve"> </w:t>
      </w:r>
      <w:proofErr w:type="spellStart"/>
      <w:r>
        <w:t>Orland</w:t>
      </w:r>
      <w:proofErr w:type="spellEnd"/>
      <w:r>
        <w:t>,</w:t>
      </w:r>
      <w:r>
        <w:br/>
      </w:r>
      <w:r>
        <w:tab/>
      </w:r>
      <w:proofErr w:type="spellStart"/>
      <w:r>
        <w:t>Anja</w:t>
      </w:r>
      <w:proofErr w:type="spellEnd"/>
      <w:r>
        <w:t xml:space="preserve"> </w:t>
      </w:r>
      <w:proofErr w:type="spellStart"/>
      <w:r>
        <w:t>Seibert-Fohr</w:t>
      </w:r>
      <w:proofErr w:type="spellEnd"/>
      <w:r>
        <w:t>,</w:t>
      </w:r>
      <w:r>
        <w:br/>
      </w:r>
      <w:r>
        <w:tab/>
        <w:t xml:space="preserve">Anne </w:t>
      </w:r>
      <w:proofErr w:type="spellStart"/>
      <w:r>
        <w:t>Louise</w:t>
      </w:r>
      <w:proofErr w:type="spellEnd"/>
      <w:r>
        <w:t xml:space="preserve"> Bormann,</w:t>
      </w:r>
      <w:r>
        <w:br/>
      </w:r>
      <w:r>
        <w:tab/>
        <w:t>Sebastian Răduleţu,</w:t>
      </w:r>
      <w:r>
        <w:br/>
      </w:r>
      <w:r>
        <w:tab/>
        <w:t xml:space="preserve">András </w:t>
      </w:r>
      <w:proofErr w:type="spellStart"/>
      <w:r>
        <w:t>Jakab</w:t>
      </w:r>
      <w:proofErr w:type="spellEnd"/>
      <w:r>
        <w:rPr>
          <w:i/>
        </w:rPr>
        <w:t>, judecători</w:t>
      </w:r>
      <w:r>
        <w:t>,</w:t>
      </w:r>
    </w:p>
    <w:p w:rsidR="005D17D1" w:rsidRPr="00E40DAB" w:rsidRDefault="00C0369E" w:rsidP="00E40DAB">
      <w:pPr>
        <w:pStyle w:val="JuJudges"/>
      </w:pPr>
      <w:r>
        <w:t xml:space="preserve">și Simeon Petrovski, </w:t>
      </w:r>
      <w:r>
        <w:rPr>
          <w:i/>
          <w:iCs/>
        </w:rPr>
        <w:t>grefier adjunct de secție</w:t>
      </w:r>
      <w:r>
        <w:rPr>
          <w:i/>
        </w:rPr>
        <w:t>,</w:t>
      </w:r>
    </w:p>
    <w:p w:rsidR="005D17D1" w:rsidRPr="00E40DAB" w:rsidRDefault="00C0369E" w:rsidP="00E40DAB">
      <w:pPr>
        <w:pStyle w:val="JuPara"/>
      </w:pPr>
      <w:r>
        <w:t>Având în vedere:</w:t>
      </w:r>
    </w:p>
    <w:p w:rsidR="005D17D1" w:rsidRPr="00E40DAB" w:rsidRDefault="00C0369E" w:rsidP="00E40DAB">
      <w:pPr>
        <w:pStyle w:val="JuPara"/>
      </w:pPr>
      <w:r>
        <w:t>cererea (nr. 9915/19) îndreptată împotriva României, prin care un resortisant al acestui stat, domnul Tiberiu Cantemir („reclamantul”), a sesizat Curtea, la 8 februarie 2019, în temeiul art. 34 din Convenția pentru apărarea drepturilor omului și a libertăților fundamentale (Convenția);</w:t>
      </w:r>
    </w:p>
    <w:p w:rsidR="005D17D1" w:rsidRPr="00E40DAB" w:rsidRDefault="00C0369E" w:rsidP="00E40DAB">
      <w:pPr>
        <w:pStyle w:val="JuPara"/>
      </w:pPr>
      <w:r>
        <w:t>decizia de a comunica cererea Guvernului României („Guvernul”);</w:t>
      </w:r>
    </w:p>
    <w:p w:rsidR="005D17D1" w:rsidRPr="00E40DAB" w:rsidRDefault="00C0369E" w:rsidP="00E40DAB">
      <w:pPr>
        <w:pStyle w:val="JuPara"/>
      </w:pPr>
      <w:r>
        <w:t>observațiile părților;</w:t>
      </w:r>
    </w:p>
    <w:p w:rsidR="005D17D1" w:rsidRPr="00E40DAB" w:rsidRDefault="00C0369E" w:rsidP="00E40DAB">
      <w:pPr>
        <w:pStyle w:val="JuPara"/>
      </w:pPr>
      <w:r>
        <w:t>după ce a deliberat în camera de consiliu, la 26 august 2025,</w:t>
      </w:r>
    </w:p>
    <w:p w:rsidR="005D17D1" w:rsidRPr="00E40DAB" w:rsidRDefault="00C0369E" w:rsidP="00E40DAB">
      <w:pPr>
        <w:pStyle w:val="JuPara"/>
      </w:pPr>
      <w:r>
        <w:t>pronunță prezenta hotărâre, adoptată la aceeași dată:</w:t>
      </w:r>
    </w:p>
    <w:p w:rsidR="005D17D1" w:rsidRPr="00E40DAB" w:rsidRDefault="00C0369E" w:rsidP="00E40DAB">
      <w:pPr>
        <w:pStyle w:val="JuHHead"/>
        <w:numPr>
          <w:ilvl w:val="0"/>
          <w:numId w:val="0"/>
        </w:numPr>
      </w:pPr>
      <w:r>
        <w:t>INTRODUCERE</w:t>
      </w:r>
    </w:p>
    <w:p w:rsidR="005D17D1" w:rsidRPr="00E40DAB" w:rsidRDefault="00530E63" w:rsidP="00E40DAB">
      <w:pPr>
        <w:pStyle w:val="JuPara"/>
      </w:pPr>
      <w:r>
        <w:fldChar w:fldCharType="begin"/>
      </w:r>
      <w:r>
        <w:instrText xml:space="preserve"> SEQ level0 \*arabic \* MERGEFORMAT </w:instrText>
      </w:r>
      <w:r>
        <w:fldChar w:fldCharType="separate"/>
      </w:r>
      <w:r w:rsidR="00E40DAB" w:rsidRPr="00E40DAB">
        <w:rPr>
          <w:noProof/>
        </w:rPr>
        <w:t>1</w:t>
      </w:r>
      <w:r>
        <w:rPr>
          <w:noProof/>
        </w:rPr>
        <w:fldChar w:fldCharType="end"/>
      </w:r>
      <w:r w:rsidR="00C0369E">
        <w:t xml:space="preserve">.  Cauza privește pretinsa ineficacitate a anchetei efectuate cu privire la relele tratamente la care a fost supus reclamantul în decembrie 1989. Reclamantul invocă art. 3 din Convenție. Faptele prezentei cauze sunt similare cu cele ale cauzei </w:t>
      </w:r>
      <w:r w:rsidR="00C0369E">
        <w:rPr>
          <w:i/>
          <w:iCs/>
        </w:rPr>
        <w:t>Asociația „21 decembrie 1989” și alții împotriva României</w:t>
      </w:r>
      <w:r w:rsidR="00C0369E">
        <w:t xml:space="preserve"> (nr. 33810/07 și 18817/08, pct. 12-41, 24 mai 2011), privesc același context istoric și au legătură cu același proces penal național.</w:t>
      </w:r>
    </w:p>
    <w:p w:rsidR="005D17D1" w:rsidRPr="00E40DAB" w:rsidRDefault="00C0369E" w:rsidP="00E40DAB">
      <w:pPr>
        <w:pStyle w:val="JuHHead"/>
      </w:pPr>
      <w:r>
        <w:t>ÎN FAPT</w:t>
      </w:r>
    </w:p>
    <w:p w:rsidR="005D17D1" w:rsidRPr="00E40DAB" w:rsidRDefault="00530E63" w:rsidP="00E40DAB">
      <w:pPr>
        <w:pStyle w:val="JuPara"/>
      </w:pPr>
      <w:r>
        <w:fldChar w:fldCharType="begin"/>
      </w:r>
      <w:r>
        <w:instrText xml:space="preserve"> SEQ level0 \*arabic \* MERGEFORMAT </w:instrText>
      </w:r>
      <w:r>
        <w:fldChar w:fldCharType="separate"/>
      </w:r>
      <w:r w:rsidR="00E40DAB" w:rsidRPr="00E40DAB">
        <w:rPr>
          <w:noProof/>
        </w:rPr>
        <w:t>2</w:t>
      </w:r>
      <w:r>
        <w:rPr>
          <w:noProof/>
        </w:rPr>
        <w:fldChar w:fldCharType="end"/>
      </w:r>
      <w:r w:rsidR="00C0369E">
        <w:t>.  Reclamantul s-a născut în 1964 și locuiește în București. Acesta a fost reprezentat de doamna E. Arjoca, avocat în București.</w:t>
      </w:r>
    </w:p>
    <w:p w:rsidR="005D17D1" w:rsidRPr="00E40DAB" w:rsidRDefault="00530E63" w:rsidP="00E40DAB">
      <w:pPr>
        <w:pStyle w:val="JuPara"/>
      </w:pPr>
      <w:r>
        <w:fldChar w:fldCharType="begin"/>
      </w:r>
      <w:r>
        <w:instrText xml:space="preserve"> SEQ level0 \*arabic \* MERGEFORMAT </w:instrText>
      </w:r>
      <w:r>
        <w:fldChar w:fldCharType="separate"/>
      </w:r>
      <w:r w:rsidR="00E40DAB" w:rsidRPr="00E40DAB">
        <w:rPr>
          <w:noProof/>
        </w:rPr>
        <w:t>3</w:t>
      </w:r>
      <w:r>
        <w:rPr>
          <w:noProof/>
        </w:rPr>
        <w:fldChar w:fldCharType="end"/>
      </w:r>
      <w:r w:rsidR="00C0369E">
        <w:t xml:space="preserve">.  Guvernul a fost reprezentat de agentul guvernamental doamna O.F. </w:t>
      </w:r>
      <w:proofErr w:type="spellStart"/>
      <w:r w:rsidR="00C0369E">
        <w:t>Ezer</w:t>
      </w:r>
      <w:proofErr w:type="spellEnd"/>
      <w:r w:rsidR="00C0369E">
        <w:t>, din cadrul Ministerului Afacerilor Externe.</w:t>
      </w:r>
    </w:p>
    <w:bookmarkStart w:id="1" w:name="daysofmedicalcare"/>
    <w:p w:rsidR="007A54E1" w:rsidRPr="00E40DAB" w:rsidRDefault="00C0369E" w:rsidP="00E40DAB">
      <w:pPr>
        <w:pStyle w:val="JuPara"/>
      </w:pPr>
      <w:r w:rsidRPr="00E40DAB">
        <w:fldChar w:fldCharType="begin"/>
      </w:r>
      <w:r w:rsidRPr="00E40DAB">
        <w:instrText xml:space="preserve"> SEQ level0 \*arabic \* MERGEFORMAT </w:instrText>
      </w:r>
      <w:r w:rsidRPr="00E40DAB">
        <w:fldChar w:fldCharType="separate"/>
      </w:r>
      <w:r w:rsidR="00E40DAB" w:rsidRPr="00E40DAB">
        <w:t>4</w:t>
      </w:r>
      <w:r w:rsidRPr="00E40DAB">
        <w:fldChar w:fldCharType="end"/>
      </w:r>
      <w:bookmarkEnd w:id="1"/>
      <w:r>
        <w:t>.  În seara zilei de 21 decembrie 1989, în jurul orei 9, împreună cu soția sa, reclamantul a decis să se alăture demonstrațiilor din București. În timp ce se afla pe stradă și se apropia de Piața Universității, el și soția sa, alături de alți participanți la demonstrații, au fost opriți și bătuți (loviți cu obiecte contondente în cap și pe corp)</w:t>
      </w:r>
      <w:r>
        <w:rPr>
          <w:i/>
        </w:rPr>
        <w:t xml:space="preserve"> </w:t>
      </w:r>
      <w:r>
        <w:t xml:space="preserve">de miliție. Reclamantul și soția sa au fost ulterior reținuți, împinși cu forța într-un autobuz și transferați mai târziu într-o dubă care i-a dus la Miliția Capitalei. Acolo, reclamantul a fost supus în continuare la rele tratamente în noaptea de 21-22 decembrie 1989 (i-au fost </w:t>
      </w:r>
      <w:r>
        <w:lastRenderedPageBreak/>
        <w:t>sparți dinții și, deși sângera, a fost legat cu sfoară). În acest timp, reclamantul a pierdut legătura cu soția sa.</w:t>
      </w:r>
    </w:p>
    <w:p w:rsidR="005D17D1" w:rsidRPr="00E40DAB" w:rsidRDefault="00530E63" w:rsidP="00E40DAB">
      <w:pPr>
        <w:pStyle w:val="JuPara"/>
      </w:pPr>
      <w:r>
        <w:fldChar w:fldCharType="begin"/>
      </w:r>
      <w:r>
        <w:instrText xml:space="preserve"> SEQ level0 \*arabic \* MERGEFORMAT </w:instrText>
      </w:r>
      <w:r>
        <w:fldChar w:fldCharType="separate"/>
      </w:r>
      <w:r w:rsidR="00E40DAB" w:rsidRPr="00E40DAB">
        <w:rPr>
          <w:noProof/>
        </w:rPr>
        <w:t>5</w:t>
      </w:r>
      <w:r>
        <w:rPr>
          <w:noProof/>
        </w:rPr>
        <w:fldChar w:fldCharType="end"/>
      </w:r>
      <w:r w:rsidR="00C0369E">
        <w:t>.  Ulterior a fost dus la Penitenciarul Jilava, unde, pentru prima dată, a primit îngrijiri medicale. Potrivit Guvernului, la 22 decembrie 1989 în jurul orei 16, odată cu alți demonstranți, el a fost pus în libertate și s-a reîntâlnit cu soția sa.</w:t>
      </w:r>
    </w:p>
    <w:bookmarkStart w:id="2" w:name="paragraph00004"/>
    <w:p w:rsidR="005D17D1" w:rsidRPr="00E40DAB" w:rsidRDefault="00C0369E" w:rsidP="00E40DAB">
      <w:pPr>
        <w:pStyle w:val="JuPara"/>
      </w:pPr>
      <w:r w:rsidRPr="00E40DAB">
        <w:fldChar w:fldCharType="begin"/>
      </w:r>
      <w:r w:rsidRPr="00E40DAB">
        <w:instrText xml:space="preserve"> SEQ level0 \*arabic \* MERGEFORMAT </w:instrText>
      </w:r>
      <w:r w:rsidRPr="00E40DAB">
        <w:fldChar w:fldCharType="separate"/>
      </w:r>
      <w:r w:rsidR="00E40DAB" w:rsidRPr="00E40DAB">
        <w:t>6</w:t>
      </w:r>
      <w:r w:rsidRPr="00E40DAB">
        <w:fldChar w:fldCharType="end"/>
      </w:r>
      <w:bookmarkEnd w:id="2"/>
      <w:r>
        <w:t>.  În 1990, Parchetul militar de pe lângă Înalta Curte de Casație și Justiție a început urmărirea penală, din oficiu,</w:t>
      </w:r>
      <w:r>
        <w:rPr>
          <w:i/>
        </w:rPr>
        <w:t xml:space="preserve"> </w:t>
      </w:r>
      <w:r>
        <w:t>cu privire la tratamentele neomenoase și vătămările suferite de reclamant și alți participanți în timpul evenimentelor din decembrie 1989. Ancheta penală principală a făcut obiectul dosarului nr. 97/P/1990.</w:t>
      </w:r>
    </w:p>
    <w:bookmarkStart w:id="3" w:name="paragraph00005"/>
    <w:p w:rsidR="005D17D1" w:rsidRPr="00E40DAB" w:rsidRDefault="00C0369E" w:rsidP="00E40DAB">
      <w:pPr>
        <w:pStyle w:val="JuPara"/>
      </w:pPr>
      <w:r w:rsidRPr="00E40DAB">
        <w:fldChar w:fldCharType="begin"/>
      </w:r>
      <w:r w:rsidRPr="00E40DAB">
        <w:instrText xml:space="preserve"> SEQ level0 \*arabic \* MERGEFORMAT </w:instrText>
      </w:r>
      <w:r w:rsidRPr="00E40DAB">
        <w:fldChar w:fldCharType="separate"/>
      </w:r>
      <w:r w:rsidR="00E40DAB" w:rsidRPr="00E40DAB">
        <w:t>7</w:t>
      </w:r>
      <w:r w:rsidRPr="00E40DAB">
        <w:fldChar w:fldCharType="end"/>
      </w:r>
      <w:bookmarkEnd w:id="3"/>
      <w:r>
        <w:t xml:space="preserve">.  În paralel, o altă anchetă privind infracțiuni de lipsire de libertate în mod ilegal, arestare nelegală și cercetare abuzivă împotriva unui număr mare de persoane a culminat cu trimiterea în judecată a unor înalți oficiali militari și funcționari publici și condamnarea lor ulterioară printr-o sentință a Curții Supreme de Justiție din 10 mai 1991, care a devenit definitivă la 14 noiembrie 1991. Sentința Curții Supreme nu a indicat dacă reclamantul a participat la aceste proceduri [a se vedea, cu titlu ilustrativ, </w:t>
      </w:r>
      <w:proofErr w:type="spellStart"/>
      <w:r>
        <w:rPr>
          <w:i/>
        </w:rPr>
        <w:t>Bănuțoiu</w:t>
      </w:r>
      <w:proofErr w:type="spellEnd"/>
      <w:r>
        <w:rPr>
          <w:i/>
        </w:rPr>
        <w:t xml:space="preserve"> și </w:t>
      </w:r>
      <w:proofErr w:type="spellStart"/>
      <w:r>
        <w:rPr>
          <w:i/>
        </w:rPr>
        <w:t>Ștefoglu</w:t>
      </w:r>
      <w:proofErr w:type="spellEnd"/>
      <w:r>
        <w:rPr>
          <w:i/>
        </w:rPr>
        <w:t xml:space="preserve"> împotriva României</w:t>
      </w:r>
      <w:r>
        <w:t xml:space="preserve"> (Comitet), nr. 64752/13 și 54607/14, pct. 7, 3 iulie 2018, și </w:t>
      </w:r>
      <w:proofErr w:type="spellStart"/>
      <w:r>
        <w:rPr>
          <w:i/>
        </w:rPr>
        <w:t>Giurcanu</w:t>
      </w:r>
      <w:proofErr w:type="spellEnd"/>
      <w:r>
        <w:rPr>
          <w:i/>
        </w:rPr>
        <w:t xml:space="preserve"> și alții împotriva României</w:t>
      </w:r>
      <w:r>
        <w:t xml:space="preserve"> (Comitet), nr. 30365/15 și alte două, pct. 7, 16 octombrie 2018].</w:t>
      </w:r>
    </w:p>
    <w:bookmarkStart w:id="4" w:name="culminatedinreferral"/>
    <w:p w:rsidR="007A54E1" w:rsidRPr="00E40DAB" w:rsidRDefault="00C0369E" w:rsidP="00E40DAB">
      <w:pPr>
        <w:pStyle w:val="JuPara"/>
      </w:pPr>
      <w:r w:rsidRPr="00E40DAB">
        <w:fldChar w:fldCharType="begin"/>
      </w:r>
      <w:r w:rsidRPr="00E40DAB">
        <w:instrText xml:space="preserve"> SEQ level0 \*arabic \* MERGEFORMAT </w:instrText>
      </w:r>
      <w:r w:rsidRPr="00E40DAB">
        <w:fldChar w:fldCharType="separate"/>
      </w:r>
      <w:r w:rsidR="00E40DAB" w:rsidRPr="00E40DAB">
        <w:t>8</w:t>
      </w:r>
      <w:r w:rsidRPr="00E40DAB">
        <w:fldChar w:fldCharType="end"/>
      </w:r>
      <w:bookmarkEnd w:id="4"/>
      <w:r>
        <w:t xml:space="preserve">.  Cazul reclamantului a fost examinat în cadrul anchetei penale principale (a se vedea supra, pct. </w:t>
      </w:r>
      <w:r w:rsidRPr="00E40DAB">
        <w:fldChar w:fldCharType="begin"/>
      </w:r>
      <w:r w:rsidRPr="00E40DAB">
        <w:instrText xml:space="preserve"> REF paragraph00004 \h  \* CharFormat  \* MERGEFORMAT </w:instrText>
      </w:r>
      <w:r w:rsidRPr="00E40DAB">
        <w:fldChar w:fldCharType="separate"/>
      </w:r>
      <w:r w:rsidR="00E40DAB" w:rsidRPr="00E40DAB">
        <w:t>6</w:t>
      </w:r>
      <w:r w:rsidRPr="00E40DAB">
        <w:fldChar w:fldCharType="end"/>
      </w:r>
      <w:r>
        <w:t>).</w:t>
      </w:r>
    </w:p>
    <w:p w:rsidR="007A54E1" w:rsidRPr="00E40DAB" w:rsidRDefault="00530E63" w:rsidP="00E40DAB">
      <w:pPr>
        <w:pStyle w:val="JuPara"/>
        <w:rPr>
          <w:rFonts w:cstheme="minorHAnsi"/>
        </w:rPr>
      </w:pPr>
      <w:r>
        <w:fldChar w:fldCharType="begin"/>
      </w:r>
      <w:r>
        <w:instrText xml:space="preserve"> SEQ level0 \*arabic \* MERGEFORMAT </w:instrText>
      </w:r>
      <w:r>
        <w:fldChar w:fldCharType="separate"/>
      </w:r>
      <w:bookmarkStart w:id="5" w:name="paragraph00009"/>
      <w:r w:rsidR="00E40DAB" w:rsidRPr="00E40DAB">
        <w:rPr>
          <w:noProof/>
        </w:rPr>
        <w:t>9</w:t>
      </w:r>
      <w:bookmarkEnd w:id="5"/>
      <w:r>
        <w:rPr>
          <w:noProof/>
        </w:rPr>
        <w:fldChar w:fldCharType="end"/>
      </w:r>
      <w:r w:rsidR="00C0369E">
        <w:t>.  La 22 octombrie 1992, Direcția procuraturilor militare l-a informat pe reclamant că „din cercetările efectuate până în prezent, a rezultat că a[...] fost reținut în noaptea de 21/22.12.1989 […] ca urmare a participării [sale] la manifestațiile revoluționare din Decembrie 1989”. Scrisoarea făcea trimitere la probe precum declarațiile martorilor și fișa camerei din Penitenciarul Jilava.</w:t>
      </w:r>
    </w:p>
    <w:p w:rsidR="005D17D1" w:rsidRPr="00E40DAB" w:rsidRDefault="00530E63" w:rsidP="00E40DAB">
      <w:pPr>
        <w:pStyle w:val="JuPara"/>
      </w:pPr>
      <w:r>
        <w:fldChar w:fldCharType="begin"/>
      </w:r>
      <w:r>
        <w:instrText xml:space="preserve"> SEQ </w:instrText>
      </w:r>
      <w:r>
        <w:instrText xml:space="preserve">level0 \*arabic \* MERGEFORMAT </w:instrText>
      </w:r>
      <w:r>
        <w:fldChar w:fldCharType="separate"/>
      </w:r>
      <w:r w:rsidR="00E40DAB" w:rsidRPr="00E40DAB">
        <w:rPr>
          <w:noProof/>
        </w:rPr>
        <w:t>10</w:t>
      </w:r>
      <w:r>
        <w:rPr>
          <w:noProof/>
        </w:rPr>
        <w:fldChar w:fldCharType="end"/>
      </w:r>
      <w:r w:rsidR="00C0369E">
        <w:t>.  La 2 ianuarie 2006, Parchetul militar de pe lângă Înalta Curte de Casație și Justiție l-a informat pe reclamant cu privire la dosarul de urmărire penală după cum urmează:</w:t>
      </w:r>
    </w:p>
    <w:p w:rsidR="007A54E1" w:rsidRPr="00E40DAB" w:rsidRDefault="00C0369E" w:rsidP="00E40DAB">
      <w:pPr>
        <w:pStyle w:val="JuQuot"/>
      </w:pPr>
      <w:r>
        <w:t>„Urmarea cererii Dvs., vă facem cunoscut că din dosarul nostru nr. 97/P/1990, rezultă că la data de 21.12.1989 ați manifestat împotriva regimului comunist în Piața Universității din București, ocazie cu care ați fost bătut și lipsit de libertate în mod ilegal de către forțele de represiune, la Miliția Capitalei și la Penitenciarul Jilava, până pe data de 22.12.1989.   Atașăm copii de pe actele de la dosar”.</w:t>
      </w:r>
    </w:p>
    <w:p w:rsidR="007A54E1" w:rsidRPr="00E40DAB" w:rsidRDefault="00530E63" w:rsidP="00E40DAB">
      <w:pPr>
        <w:pStyle w:val="JuPara"/>
      </w:pPr>
      <w:r>
        <w:fldChar w:fldCharType="begin"/>
      </w:r>
      <w:r>
        <w:instrText xml:space="preserve"> SEQ level0 \*arabic \* MERGEFORMAT </w:instrText>
      </w:r>
      <w:r>
        <w:fldChar w:fldCharType="separate"/>
      </w:r>
      <w:r w:rsidR="00E40DAB" w:rsidRPr="00E40DAB">
        <w:rPr>
          <w:noProof/>
        </w:rPr>
        <w:t>11</w:t>
      </w:r>
      <w:r>
        <w:rPr>
          <w:noProof/>
        </w:rPr>
        <w:fldChar w:fldCharType="end"/>
      </w:r>
      <w:r w:rsidR="00C0369E">
        <w:t>.  Reclamantul a fost audiat în cursul procedurii în mai multe ocazii, inclusiv la 21 februarie 1990, 20 octombrie 1992 și 16 ianuarie 2006, ca parte vătămată.</w:t>
      </w:r>
    </w:p>
    <w:p w:rsidR="007A54E1" w:rsidRPr="00E40DAB" w:rsidRDefault="00530E63" w:rsidP="00E40DAB">
      <w:pPr>
        <w:pStyle w:val="JuPara"/>
      </w:pPr>
      <w:r>
        <w:fldChar w:fldCharType="begin"/>
      </w:r>
      <w:r>
        <w:instrText xml:space="preserve"> SEQ level0 \*arabic \* MERGEFORMAT </w:instrText>
      </w:r>
      <w:r>
        <w:fldChar w:fldCharType="separate"/>
      </w:r>
      <w:bookmarkStart w:id="6" w:name="paragraph00012"/>
      <w:r w:rsidR="00E40DAB" w:rsidRPr="00E40DAB">
        <w:rPr>
          <w:noProof/>
        </w:rPr>
        <w:t>12</w:t>
      </w:r>
      <w:bookmarkEnd w:id="6"/>
      <w:r>
        <w:rPr>
          <w:noProof/>
        </w:rPr>
        <w:fldChar w:fldCharType="end"/>
      </w:r>
      <w:r w:rsidR="00C0369E">
        <w:t>.  La 16 ianuarie 2006 reclamantul a solicitat să participe în proces în calitate de parte civilă.</w:t>
      </w:r>
    </w:p>
    <w:p w:rsidR="007A54E1" w:rsidRPr="00E40DAB" w:rsidRDefault="00530E63" w:rsidP="00E40DAB">
      <w:pPr>
        <w:pStyle w:val="JuPara"/>
      </w:pPr>
      <w:r>
        <w:fldChar w:fldCharType="begin"/>
      </w:r>
      <w:r>
        <w:instrText xml:space="preserve"> SEQ level0 \*arabic \* MERGEFORMAT </w:instrText>
      </w:r>
      <w:r>
        <w:fldChar w:fldCharType="separate"/>
      </w:r>
      <w:r w:rsidR="00E40DAB" w:rsidRPr="00E40DAB">
        <w:rPr>
          <w:noProof/>
        </w:rPr>
        <w:t>13</w:t>
      </w:r>
      <w:r>
        <w:rPr>
          <w:noProof/>
        </w:rPr>
        <w:fldChar w:fldCharType="end"/>
      </w:r>
      <w:r w:rsidR="00C0369E">
        <w:t xml:space="preserve">.  La 3 mai 2007, în baza Legii nr. 341/2004 a recunoștinței față de eroii-martiri și luptătorii care au contribuit la victoria Revoluției române din </w:t>
      </w:r>
      <w:r w:rsidR="00C0369E">
        <w:lastRenderedPageBreak/>
        <w:t xml:space="preserve">decembrie 1989, printr-o decizie administrativă a </w:t>
      </w:r>
      <w:r w:rsidR="00C0369E">
        <w:rPr>
          <w:i/>
        </w:rPr>
        <w:t>Comisiei parlamentare a Revoluționarilor din Decembrie 1989</w:t>
      </w:r>
      <w:r w:rsidR="00C0369E">
        <w:t>), reclamantului i s-a atribuit titlul de „luptător pentru victoria Revoluției din decembrie 1989”, fiind „luptător reținut”.</w:t>
      </w:r>
    </w:p>
    <w:p w:rsidR="007A54E1" w:rsidRPr="00E40DAB" w:rsidRDefault="00530E63" w:rsidP="00E40DAB">
      <w:pPr>
        <w:pStyle w:val="JuPara"/>
      </w:pPr>
      <w:r>
        <w:fldChar w:fldCharType="begin"/>
      </w:r>
      <w:r>
        <w:instrText xml:space="preserve"> SEQ level0 \*arabic \* MERGEFORMAT </w:instrText>
      </w:r>
      <w:r>
        <w:fldChar w:fldCharType="separate"/>
      </w:r>
      <w:bookmarkStart w:id="7" w:name="paragraph00014"/>
      <w:r w:rsidR="00E40DAB" w:rsidRPr="00E40DAB">
        <w:rPr>
          <w:noProof/>
        </w:rPr>
        <w:t>14</w:t>
      </w:r>
      <w:bookmarkEnd w:id="7"/>
      <w:r>
        <w:rPr>
          <w:noProof/>
        </w:rPr>
        <w:fldChar w:fldCharType="end"/>
      </w:r>
      <w:r w:rsidR="00C0369E">
        <w:t>.  Potrivit ordonanțelor emise de procuror la 18 octombrie 2010 și 15 octombrie 2015, reclamantul „a fost reținut în seara zilei de 21.12.1989, în zona Piața Universității, de mai mulți subofițeri de miliție” și a susținut că a fost supus la rele tratamente înainte de a fi dus la Penitenciarul Jilava.</w:t>
      </w:r>
    </w:p>
    <w:p w:rsidR="007A54E1" w:rsidRPr="00E40DAB" w:rsidRDefault="00530E63" w:rsidP="00E40DAB">
      <w:pPr>
        <w:pStyle w:val="JuPara"/>
      </w:pPr>
      <w:r>
        <w:fldChar w:fldCharType="begin"/>
      </w:r>
      <w:r>
        <w:instrText xml:space="preserve"> SEQ level0 \*arabic \* MERGEFORMAT </w:instrText>
      </w:r>
      <w:r>
        <w:fldChar w:fldCharType="separate"/>
      </w:r>
      <w:bookmarkStart w:id="8" w:name="paragraph00015"/>
      <w:r w:rsidR="00E40DAB" w:rsidRPr="00E40DAB">
        <w:rPr>
          <w:noProof/>
        </w:rPr>
        <w:t>15</w:t>
      </w:r>
      <w:bookmarkEnd w:id="8"/>
      <w:r>
        <w:rPr>
          <w:noProof/>
        </w:rPr>
        <w:fldChar w:fldCharType="end"/>
      </w:r>
      <w:r w:rsidR="00C0369E">
        <w:t>.  La 10 august 2018, reclamantul a dat o altă declarație cu privire la evenimentele din decembrie 1989, pe care o încheia menționând că nu mai dorea să participe la procesul penal ca parte vătămată sau parte civilă. În consecință, declarația sa a fost încadrată de organele judiciare ca declarație a martorului.</w:t>
      </w:r>
    </w:p>
    <w:p w:rsidR="005D17D1" w:rsidRPr="00E40DAB" w:rsidRDefault="00530E63" w:rsidP="00E40DAB">
      <w:pPr>
        <w:pStyle w:val="JuPara"/>
      </w:pPr>
      <w:r>
        <w:fldChar w:fldCharType="begin"/>
      </w:r>
      <w:r>
        <w:instrText xml:space="preserve"> SEQ level0 \*arabic \* MERGEFORMAT </w:instrText>
      </w:r>
      <w:r>
        <w:fldChar w:fldCharType="separate"/>
      </w:r>
      <w:bookmarkStart w:id="9" w:name="paragraph00016"/>
      <w:r w:rsidR="00E40DAB" w:rsidRPr="00E40DAB">
        <w:rPr>
          <w:noProof/>
        </w:rPr>
        <w:t>16</w:t>
      </w:r>
      <w:bookmarkEnd w:id="9"/>
      <w:r>
        <w:rPr>
          <w:noProof/>
        </w:rPr>
        <w:fldChar w:fldCharType="end"/>
      </w:r>
      <w:r w:rsidR="00C0369E">
        <w:t>.  Cu ocazia audierii reclamantului din 10 august 2018, procurorul a întocmit două procese verbale, în unul dintre acestea făcând referire la reclamant ca fiind „persoana vătămată”, iar în celălalt ca „martor”.</w:t>
      </w:r>
    </w:p>
    <w:bookmarkStart w:id="10" w:name="paragraph00017"/>
    <w:p w:rsidR="005D17D1" w:rsidRPr="00E40DAB" w:rsidRDefault="00C0369E" w:rsidP="00E40DAB">
      <w:pPr>
        <w:pStyle w:val="JuPara"/>
      </w:pPr>
      <w:r w:rsidRPr="00E40DAB">
        <w:fldChar w:fldCharType="begin"/>
      </w:r>
      <w:r w:rsidRPr="00E40DAB">
        <w:instrText xml:space="preserve"> SEQ level0 \*arabic \* MERGEFORMAT </w:instrText>
      </w:r>
      <w:r w:rsidRPr="00E40DAB">
        <w:fldChar w:fldCharType="separate"/>
      </w:r>
      <w:r w:rsidR="00E40DAB" w:rsidRPr="00E40DAB">
        <w:t>17</w:t>
      </w:r>
      <w:r w:rsidRPr="00E40DAB">
        <w:fldChar w:fldCharType="end"/>
      </w:r>
      <w:bookmarkEnd w:id="10"/>
      <w:r>
        <w:t xml:space="preserve">.  Etapele procedurale relevante ale anchetei penale principale au fost descrise în cauza </w:t>
      </w:r>
      <w:r>
        <w:rPr>
          <w:i/>
          <w:iCs/>
        </w:rPr>
        <w:t>Asociația „21 decembrie 1989” și alții împotriva României</w:t>
      </w:r>
      <w:r>
        <w:t xml:space="preserve"> (citată anterior, pct. 12</w:t>
      </w:r>
      <w:r>
        <w:noBreakHyphen/>
        <w:t>41).</w:t>
      </w:r>
    </w:p>
    <w:bookmarkStart w:id="11" w:name="paragraph00008"/>
    <w:p w:rsidR="005D17D1" w:rsidRPr="00E40DAB" w:rsidRDefault="00C0369E" w:rsidP="00E40DAB">
      <w:pPr>
        <w:pStyle w:val="JuPara"/>
      </w:pPr>
      <w:r w:rsidRPr="00E40DAB">
        <w:fldChar w:fldCharType="begin"/>
      </w:r>
      <w:r w:rsidRPr="00E40DAB">
        <w:instrText xml:space="preserve"> SEQ level0 \*arabic \* MERGEFORMAT </w:instrText>
      </w:r>
      <w:r w:rsidRPr="00E40DAB">
        <w:fldChar w:fldCharType="separate"/>
      </w:r>
      <w:r w:rsidR="00E40DAB" w:rsidRPr="00E40DAB">
        <w:t>18</w:t>
      </w:r>
      <w:r w:rsidRPr="00E40DAB">
        <w:fldChar w:fldCharType="end"/>
      </w:r>
      <w:bookmarkEnd w:id="11"/>
      <w:r>
        <w:t>.  La 5 aprilie 2019, parchetul militar a dispus încetarea urmăririi penale față de 627 de persoane vătămate, inclusiv reclamantul.</w:t>
      </w:r>
      <w:r>
        <w:rPr>
          <w:strike/>
        </w:rPr>
        <w:t xml:space="preserve"> </w:t>
      </w:r>
      <w:r>
        <w:t xml:space="preserve">Conform acestei ordonanțe, urmărirea penală a fost continuată față de trei persoane, foști înalți funcționari civili și militari, și în legătură cu fapte care au avut loc pe teritoriul țării între 22 și 30 decembrie 1989 [a se vedea </w:t>
      </w:r>
      <w:r>
        <w:rPr>
          <w:i/>
        </w:rPr>
        <w:t>Lupu și alții împotriva României</w:t>
      </w:r>
      <w:r>
        <w:t xml:space="preserve"> (Comitet), nr. 3107/19 și alte 16, pct. 6, 17 ianuarie 2023]. În contextul prezentei cauze, părțile nu au informat Curtea despre alte evoluții ulterioare.</w:t>
      </w:r>
    </w:p>
    <w:p w:rsidR="005D17D1" w:rsidRPr="00E40DAB" w:rsidRDefault="00C0369E" w:rsidP="00E40DAB">
      <w:pPr>
        <w:pStyle w:val="JuHHead"/>
      </w:pPr>
      <w:r>
        <w:t>CADRUL JURIDIC RELEVANT</w:t>
      </w:r>
    </w:p>
    <w:p w:rsidR="005D17D1" w:rsidRPr="00E40DAB" w:rsidRDefault="00530E63" w:rsidP="00E40DAB">
      <w:pPr>
        <w:pStyle w:val="JuPara"/>
      </w:pPr>
      <w:r>
        <w:fldChar w:fldCharType="begin"/>
      </w:r>
      <w:r>
        <w:instrText xml:space="preserve"> SEQ level0 \*arabic \* MERGEFORMAT </w:instrText>
      </w:r>
      <w:r>
        <w:fldChar w:fldCharType="separate"/>
      </w:r>
      <w:r w:rsidR="00E40DAB" w:rsidRPr="00E40DAB">
        <w:rPr>
          <w:noProof/>
        </w:rPr>
        <w:t>19</w:t>
      </w:r>
      <w:r>
        <w:rPr>
          <w:noProof/>
        </w:rPr>
        <w:fldChar w:fldCharType="end"/>
      </w:r>
      <w:r w:rsidR="00C0369E">
        <w:t xml:space="preserve">.  Dispozițiile legale interne relevante pentru procedurile penale inițiate în legătură cu evenimentele din decembrie 1989 sunt prezentate în cauza </w:t>
      </w:r>
      <w:r w:rsidR="00C0369E">
        <w:rPr>
          <w:i/>
          <w:iCs/>
        </w:rPr>
        <w:t>Asociația „21 decembrie 1989” și alții</w:t>
      </w:r>
      <w:r w:rsidR="00C0369E">
        <w:t xml:space="preserve"> (citată anterior, pct. 95-100).</w:t>
      </w:r>
    </w:p>
    <w:p w:rsidR="005D17D1" w:rsidRPr="00E40DAB" w:rsidRDefault="00530E63" w:rsidP="00E40DAB">
      <w:pPr>
        <w:pStyle w:val="JuPara"/>
      </w:pPr>
      <w:r>
        <w:fldChar w:fldCharType="begin"/>
      </w:r>
      <w:r>
        <w:instrText xml:space="preserve"> SEQ level0 \*arabic \* MERGEFORMAT </w:instrText>
      </w:r>
      <w:r>
        <w:fldChar w:fldCharType="separate"/>
      </w:r>
      <w:bookmarkStart w:id="12" w:name="paragraph00021"/>
      <w:r w:rsidR="00E40DAB" w:rsidRPr="00E40DAB">
        <w:rPr>
          <w:noProof/>
        </w:rPr>
        <w:t>20</w:t>
      </w:r>
      <w:bookmarkEnd w:id="12"/>
      <w:r>
        <w:rPr>
          <w:noProof/>
        </w:rPr>
        <w:fldChar w:fldCharType="end"/>
      </w:r>
      <w:r w:rsidR="00C0369E">
        <w:t>.  Dispozițiile relevante din vechiul Cod de procedură penală (în vigoare până la 1 februarie 2014) privind participanții la procesul penal erau următoarele:</w:t>
      </w:r>
    </w:p>
    <w:p w:rsidR="005D17D1" w:rsidRPr="00E40DAB" w:rsidRDefault="00C0369E" w:rsidP="00E40DAB">
      <w:pPr>
        <w:pStyle w:val="JuHArticle"/>
      </w:pPr>
      <w:r>
        <w:t>Art. 15</w:t>
      </w:r>
    </w:p>
    <w:p w:rsidR="005D17D1" w:rsidRPr="00E40DAB" w:rsidRDefault="00C0369E" w:rsidP="00E40DAB">
      <w:pPr>
        <w:pStyle w:val="JuQuot"/>
      </w:pPr>
      <w:r>
        <w:t>„Persoana vătămată se poate constitui parte civilă în contra învinuitului sau inculpatului și persoanei responsabile civilmente.</w:t>
      </w:r>
    </w:p>
    <w:p w:rsidR="005D17D1" w:rsidRPr="00E40DAB" w:rsidRDefault="00C0369E" w:rsidP="00E40DAB">
      <w:pPr>
        <w:pStyle w:val="JuQuot"/>
      </w:pPr>
      <w:r>
        <w:t>Constituirea ca parte civilă se poate face în cursul urmăririi penale, precum și în fața instanței de judecată până la citirea actului de sesizare. […]”.</w:t>
      </w:r>
    </w:p>
    <w:p w:rsidR="005D17D1" w:rsidRPr="00E40DAB" w:rsidRDefault="00C0369E" w:rsidP="00E40DAB">
      <w:pPr>
        <w:pStyle w:val="JuHArticle"/>
      </w:pPr>
      <w:r>
        <w:lastRenderedPageBreak/>
        <w:t>Art. 82</w:t>
      </w:r>
    </w:p>
    <w:p w:rsidR="005D17D1" w:rsidRPr="00E40DAB" w:rsidRDefault="00C0369E" w:rsidP="00E40DAB">
      <w:pPr>
        <w:pStyle w:val="JuQuot"/>
      </w:pPr>
      <w:r>
        <w:t>„Persoana vătămată poate fi ascultată ca martor, dacă nu este constituită parte civilă sau nu participă în proces ca parte vătămată.”</w:t>
      </w:r>
    </w:p>
    <w:p w:rsidR="005D17D1" w:rsidRPr="00E40DAB" w:rsidRDefault="00C0369E" w:rsidP="00E40DAB">
      <w:pPr>
        <w:pStyle w:val="JuPara"/>
      </w:pPr>
      <w:fldSimple w:instr=" SEQ level0 \*arabic ">
        <w:bookmarkStart w:id="13" w:name="paragraph00022"/>
        <w:r w:rsidR="00E40DAB" w:rsidRPr="00E40DAB">
          <w:t>21</w:t>
        </w:r>
        <w:bookmarkEnd w:id="13"/>
      </w:fldSimple>
      <w:r>
        <w:t>.  Noul Cod de procedură penală (în vigoare la momentul faptelor) prevede următoarele:</w:t>
      </w:r>
    </w:p>
    <w:p w:rsidR="005D17D1" w:rsidRPr="00E40DAB" w:rsidRDefault="00C0369E" w:rsidP="00E40DAB">
      <w:pPr>
        <w:pStyle w:val="JuHArticle"/>
      </w:pPr>
      <w:r>
        <w:t>Articolul 20 alin. (1)</w:t>
      </w:r>
    </w:p>
    <w:p w:rsidR="005D17D1" w:rsidRPr="00E40DAB" w:rsidRDefault="00C0369E" w:rsidP="00E40DAB">
      <w:pPr>
        <w:pStyle w:val="JuQuot"/>
      </w:pPr>
      <w:r>
        <w:t>„Constituirea ca parte civilă se poate face până la începerea cercetării judecătorești. Organele judiciare au obligația de a aduce la cunoștința persoanei vătămate acest drept.”</w:t>
      </w:r>
    </w:p>
    <w:p w:rsidR="005D17D1" w:rsidRPr="00E40DAB" w:rsidRDefault="00C0369E" w:rsidP="00E40DAB">
      <w:pPr>
        <w:pStyle w:val="JuHArticle"/>
      </w:pPr>
      <w:r>
        <w:t>Articolul 22</w:t>
      </w:r>
    </w:p>
    <w:p w:rsidR="005D17D1" w:rsidRPr="00E40DAB" w:rsidRDefault="00C0369E" w:rsidP="00E40DAB">
      <w:pPr>
        <w:pStyle w:val="JuQuot"/>
      </w:pPr>
      <w:r>
        <w:t>„Partea civilă poate renunța, în tot sau în parte, la pretențiile civile formulate, până la terminarea dezbaterilor în apel.</w:t>
      </w:r>
    </w:p>
    <w:p w:rsidR="005D17D1" w:rsidRPr="00E40DAB" w:rsidRDefault="00C0369E" w:rsidP="00E40DAB">
      <w:pPr>
        <w:pStyle w:val="JuQuot"/>
      </w:pPr>
      <w:r>
        <w:t>Renunțarea se poate face fie prin cerere scrisă, fie oral în ședința de judecată.</w:t>
      </w:r>
    </w:p>
    <w:p w:rsidR="005D17D1" w:rsidRPr="00E40DAB" w:rsidRDefault="00C0369E" w:rsidP="00E40DAB">
      <w:pPr>
        <w:pStyle w:val="JuQuot"/>
      </w:pPr>
      <w:r>
        <w:t>Partea civilă nu poate reveni asupra renunțării și nu poate introduce acțiune la instanța civilă pentru aceleași pretenții.”</w:t>
      </w:r>
    </w:p>
    <w:p w:rsidR="005D17D1" w:rsidRPr="00E40DAB" w:rsidRDefault="00C0369E" w:rsidP="00E40DAB">
      <w:pPr>
        <w:pStyle w:val="JuHArticle"/>
      </w:pPr>
      <w:r>
        <w:t>Articolul 81 alin. (2)</w:t>
      </w:r>
    </w:p>
    <w:p w:rsidR="005D17D1" w:rsidRPr="00E40DAB" w:rsidRDefault="00C0369E" w:rsidP="00E40DAB">
      <w:pPr>
        <w:pStyle w:val="JuQuot"/>
      </w:pPr>
      <w:r>
        <w:t>„Persoana care a suferit o vătămare fizică, materială sau morală printr-o faptă penală pentru care acțiunea penală se pune în mișcare din oficiu și care nu dorește să participe la procesul penal trebuie să înștiințeze despre aceasta organul judiciar, care, dacă apreciază necesar, o va putea audia în calitate de martor.”</w:t>
      </w:r>
    </w:p>
    <w:p w:rsidR="005D17D1" w:rsidRPr="00E40DAB" w:rsidRDefault="00C0369E" w:rsidP="00E40DAB">
      <w:pPr>
        <w:pStyle w:val="JuHHead"/>
        <w:numPr>
          <w:ilvl w:val="0"/>
          <w:numId w:val="1"/>
        </w:numPr>
        <w:tabs>
          <w:tab w:val="num" w:pos="340"/>
        </w:tabs>
        <w:ind w:left="340" w:hanging="340"/>
      </w:pPr>
      <w:r>
        <w:t>ÎN DREPT</w:t>
      </w:r>
    </w:p>
    <w:p w:rsidR="005D17D1" w:rsidRPr="00E40DAB" w:rsidRDefault="00C0369E" w:rsidP="00E40DAB">
      <w:pPr>
        <w:pStyle w:val="JuHIRoman"/>
        <w:tabs>
          <w:tab w:val="left" w:pos="567"/>
          <w:tab w:val="left" w:pos="680"/>
        </w:tabs>
        <w:ind w:left="397" w:hanging="397"/>
      </w:pPr>
      <w:r>
        <w:t>CU PRIVIRE LA PRETINSA ÎNCĂLCARE A ART. 3 DIN CONVENȚIE</w:t>
      </w:r>
    </w:p>
    <w:p w:rsidR="005D17D1" w:rsidRPr="00E40DAB" w:rsidRDefault="00530E63" w:rsidP="00E40DAB">
      <w:pPr>
        <w:pStyle w:val="JuPara"/>
      </w:pPr>
      <w:r>
        <w:fldChar w:fldCharType="begin"/>
      </w:r>
      <w:r>
        <w:instrText xml:space="preserve"> SEQ level0 \*arabic \* MERGEFORMAT </w:instrText>
      </w:r>
      <w:r>
        <w:fldChar w:fldCharType="separate"/>
      </w:r>
      <w:bookmarkStart w:id="14" w:name="paragraph00023"/>
      <w:r w:rsidR="00E40DAB" w:rsidRPr="00E40DAB">
        <w:rPr>
          <w:noProof/>
        </w:rPr>
        <w:t>22</w:t>
      </w:r>
      <w:bookmarkEnd w:id="14"/>
      <w:r>
        <w:rPr>
          <w:noProof/>
        </w:rPr>
        <w:fldChar w:fldCharType="end"/>
      </w:r>
      <w:r w:rsidR="00C0369E">
        <w:t xml:space="preserve">.  Reclamantul s-a plâns că ancheta penală principală desfășurată până la 10 august 2018 (a se vedea supra, pct. </w:t>
      </w:r>
      <w:r w:rsidR="0032605D" w:rsidRPr="00E40DAB">
        <w:fldChar w:fldCharType="begin"/>
      </w:r>
      <w:r w:rsidR="0032605D" w:rsidRPr="00E40DAB">
        <w:instrText xml:space="preserve"> REF paragraph00016 \h  \* CharFormat </w:instrText>
      </w:r>
      <w:r w:rsidR="0032605D" w:rsidRPr="00E40DAB">
        <w:fldChar w:fldCharType="separate"/>
      </w:r>
      <w:r w:rsidR="00E40DAB" w:rsidRPr="00E40DAB">
        <w:t>16</w:t>
      </w:r>
      <w:r w:rsidR="0032605D" w:rsidRPr="00E40DAB">
        <w:fldChar w:fldCharType="end"/>
      </w:r>
      <w:r w:rsidR="00C0369E">
        <w:t>) cu privire la relele tratamente la care a fost supus în decembrie 1989 nu a fost efectivă, astfel cum prevede art. 3 din Convenție. Art. 3 prevede următoarele:</w:t>
      </w:r>
    </w:p>
    <w:p w:rsidR="005D17D1" w:rsidRPr="00E40DAB" w:rsidRDefault="00C0369E" w:rsidP="00E40DAB">
      <w:pPr>
        <w:pStyle w:val="JuQuot"/>
      </w:pPr>
      <w:r>
        <w:t>„Nimeni nu poate fi supus torturii, nici pedepselor sau tratamentelor inumane ori degradante.”</w:t>
      </w:r>
    </w:p>
    <w:p w:rsidR="005D17D1" w:rsidRPr="00E40DAB" w:rsidRDefault="00C0369E" w:rsidP="00E40DAB">
      <w:pPr>
        <w:pStyle w:val="JuHA"/>
      </w:pPr>
      <w:r>
        <w:t>Cu privire la admisibilitate</w:t>
      </w:r>
    </w:p>
    <w:p w:rsidR="005D17D1" w:rsidRPr="00E40DAB" w:rsidRDefault="00C0369E" w:rsidP="00E40DAB">
      <w:pPr>
        <w:pStyle w:val="JuH1"/>
      </w:pPr>
      <w:r>
        <w:t>Argumentele părților</w:t>
      </w:r>
    </w:p>
    <w:p w:rsidR="005D17D1" w:rsidRPr="00E40DAB" w:rsidRDefault="00530E63" w:rsidP="00E40DAB">
      <w:pPr>
        <w:pStyle w:val="JuPara"/>
      </w:pPr>
      <w:r>
        <w:fldChar w:fldCharType="begin"/>
      </w:r>
      <w:r>
        <w:instrText xml:space="preserve"> SEQ level0 \*arabic \* MERGEFORMAT </w:instrText>
      </w:r>
      <w:r>
        <w:fldChar w:fldCharType="separate"/>
      </w:r>
      <w:r w:rsidR="00E40DAB" w:rsidRPr="00E40DAB">
        <w:rPr>
          <w:noProof/>
        </w:rPr>
        <w:t>23</w:t>
      </w:r>
      <w:r>
        <w:rPr>
          <w:noProof/>
        </w:rPr>
        <w:fldChar w:fldCharType="end"/>
      </w:r>
      <w:r w:rsidR="00C0369E">
        <w:t xml:space="preserve">.  Guvernul a ridicat excepția preliminară privind incompatibilitatea </w:t>
      </w:r>
      <w:r w:rsidR="00C0369E">
        <w:rPr>
          <w:i/>
        </w:rPr>
        <w:t xml:space="preserve">ratione temporis </w:t>
      </w:r>
      <w:r w:rsidR="00C0369E">
        <w:t xml:space="preserve">a prezentei cereri și o altă excepție preliminară privind lipsa calității de victimă a reclamantului. Acesta a susținut că ancheta penală cu privire la reclamant a încetat anterior datei de 20 iunie 1994, data ratificării Convenției de către România. Guvernul a făcut referire la ancheta care a </w:t>
      </w:r>
      <w:r w:rsidR="00C0369E">
        <w:lastRenderedPageBreak/>
        <w:t xml:space="preserve">încetat în 1991 și care a culminat cu condamnarea unui număr mare de persoane de către Curtea Supremă Justiție (a se vedea supra, pct. </w:t>
      </w:r>
      <w:r w:rsidR="00C0369E" w:rsidRPr="00E40DAB">
        <w:fldChar w:fldCharType="begin"/>
      </w:r>
      <w:r w:rsidR="00C0369E" w:rsidRPr="00E40DAB">
        <w:instrText xml:space="preserve"> REF paragraph00005 \h  \* CharFormat </w:instrText>
      </w:r>
      <w:r w:rsidR="00C0369E" w:rsidRPr="00E40DAB">
        <w:fldChar w:fldCharType="separate"/>
      </w:r>
      <w:r w:rsidR="00E40DAB" w:rsidRPr="00E40DAB">
        <w:t>7</w:t>
      </w:r>
      <w:r w:rsidR="00C0369E" w:rsidRPr="00E40DAB">
        <w:fldChar w:fldCharType="end"/>
      </w:r>
      <w:r w:rsidR="00C0369E">
        <w:t>), întrucât reclamantul și-a pierdut calitatea de victimă.</w:t>
      </w:r>
    </w:p>
    <w:p w:rsidR="005D17D1" w:rsidRPr="00E40DAB" w:rsidRDefault="00530E63" w:rsidP="00E40DAB">
      <w:pPr>
        <w:pStyle w:val="JuPara"/>
      </w:pPr>
      <w:r>
        <w:fldChar w:fldCharType="begin"/>
      </w:r>
      <w:r>
        <w:instrText xml:space="preserve"> SEQ level0 \*arabic \* MERGEFORMAT </w:instrText>
      </w:r>
      <w:r>
        <w:fldChar w:fldCharType="separate"/>
      </w:r>
      <w:bookmarkStart w:id="15" w:name="paragraph00024"/>
      <w:r w:rsidR="00E40DAB" w:rsidRPr="00E40DAB">
        <w:rPr>
          <w:noProof/>
        </w:rPr>
        <w:t>24</w:t>
      </w:r>
      <w:bookmarkEnd w:id="15"/>
      <w:r>
        <w:rPr>
          <w:noProof/>
        </w:rPr>
        <w:fldChar w:fldCharType="end"/>
      </w:r>
      <w:r w:rsidR="00C0369E">
        <w:t xml:space="preserve">.  Reclamantul a susținut că nu a fost implicat în urmărirea penală menționată anterior, care a încetat în 1991, întrucât el a fost implicat în ancheta penală principală, care era încă în desfășurare la data introducerii prezentei cereri în fața Curții la 8 februarie 2019 (a se vedea supra, pct. </w:t>
      </w:r>
      <w:r w:rsidR="00C0369E" w:rsidRPr="00E40DAB">
        <w:fldChar w:fldCharType="begin"/>
      </w:r>
      <w:r w:rsidR="00C0369E" w:rsidRPr="00E40DAB">
        <w:instrText xml:space="preserve"> REF paragraph00005 \h  \* CharFormat </w:instrText>
      </w:r>
      <w:r w:rsidR="00C0369E" w:rsidRPr="00E40DAB">
        <w:fldChar w:fldCharType="separate"/>
      </w:r>
      <w:r w:rsidR="00E40DAB" w:rsidRPr="00E40DAB">
        <w:t>7</w:t>
      </w:r>
      <w:r w:rsidR="00C0369E" w:rsidRPr="00E40DAB">
        <w:fldChar w:fldCharType="end"/>
      </w:r>
      <w:r w:rsidR="00C0369E">
        <w:t xml:space="preserve"> și </w:t>
      </w:r>
      <w:r w:rsidR="00C0369E" w:rsidRPr="00E40DAB">
        <w:fldChar w:fldCharType="begin"/>
      </w:r>
      <w:r w:rsidR="00C0369E" w:rsidRPr="00E40DAB">
        <w:instrText xml:space="preserve"> REF culminatedinreferral \h  \* CharFormat </w:instrText>
      </w:r>
      <w:r w:rsidR="00C0369E" w:rsidRPr="00E40DAB">
        <w:fldChar w:fldCharType="separate"/>
      </w:r>
      <w:r w:rsidR="00E40DAB" w:rsidRPr="00E40DAB">
        <w:t>8</w:t>
      </w:r>
      <w:r w:rsidR="00C0369E" w:rsidRPr="00E40DAB">
        <w:fldChar w:fldCharType="end"/>
      </w:r>
      <w:r w:rsidR="00C0369E">
        <w:t>).</w:t>
      </w:r>
    </w:p>
    <w:p w:rsidR="005D17D1" w:rsidRPr="00E40DAB" w:rsidRDefault="00C0369E" w:rsidP="00E40DAB">
      <w:pPr>
        <w:pStyle w:val="JuH1"/>
      </w:pPr>
      <w:r>
        <w:t>Motivarea Curții</w:t>
      </w:r>
    </w:p>
    <w:p w:rsidR="007A54E1" w:rsidRPr="00E40DAB" w:rsidRDefault="00530E63" w:rsidP="00E40DAB">
      <w:pPr>
        <w:pStyle w:val="JuPara"/>
      </w:pPr>
      <w:r>
        <w:fldChar w:fldCharType="begin"/>
      </w:r>
      <w:r>
        <w:instrText xml:space="preserve"> SEQ level0 \*arabic \* MERGEFORMAT </w:instrText>
      </w:r>
      <w:r>
        <w:fldChar w:fldCharType="separate"/>
      </w:r>
      <w:bookmarkStart w:id="16" w:name="paragraph00030"/>
      <w:r w:rsidR="00E40DAB" w:rsidRPr="00E40DAB">
        <w:rPr>
          <w:noProof/>
        </w:rPr>
        <w:t>25</w:t>
      </w:r>
      <w:bookmarkEnd w:id="16"/>
      <w:r>
        <w:rPr>
          <w:noProof/>
        </w:rPr>
        <w:fldChar w:fldCharType="end"/>
      </w:r>
      <w:r w:rsidR="00C0369E">
        <w:t xml:space="preserve">.  Curtea a definit deja competența sa </w:t>
      </w:r>
      <w:r w:rsidR="00C0369E">
        <w:rPr>
          <w:i/>
        </w:rPr>
        <w:t>ratione temporis</w:t>
      </w:r>
      <w:r w:rsidR="00C0369E">
        <w:t xml:space="preserve"> în cauze similare [a se vedea </w:t>
      </w:r>
      <w:r w:rsidR="00C0369E">
        <w:rPr>
          <w:i/>
          <w:iCs/>
        </w:rPr>
        <w:t>Asociația „21 decembrie 1989” și alții împotriva României</w:t>
      </w:r>
      <w:r w:rsidR="00C0369E">
        <w:t xml:space="preserve">, nr. 33810/07 și 18817/08, pct. 114-118, 24 mai 2011, și </w:t>
      </w:r>
      <w:r w:rsidR="00C0369E">
        <w:rPr>
          <w:i/>
          <w:iCs/>
        </w:rPr>
        <w:t>Mocanu și alții împotriva României</w:t>
      </w:r>
      <w:r w:rsidR="00C0369E">
        <w:t xml:space="preserve"> (MC), nr. 10865/09 și alte două, pct. 207‑211, CEDO 2014 (extrase)], concluzionând că are competența de a examina cereri legate de ineficacitatea anchetelor penale privind evenimentele din decembrie 1989, din moment ce majoritatea procedurilor privind o cauză și cele mai importante măsuri procedurale au fost efectuate după intrarea în vigoare a Convenției în privința României.</w:t>
      </w:r>
    </w:p>
    <w:bookmarkStart w:id="17" w:name="paragraph00032"/>
    <w:p w:rsidR="007A54E1" w:rsidRPr="00E40DAB" w:rsidRDefault="00C0369E" w:rsidP="00E40DAB">
      <w:pPr>
        <w:pStyle w:val="JuPara"/>
      </w:pPr>
      <w:r w:rsidRPr="00E40DAB">
        <w:fldChar w:fldCharType="begin"/>
      </w:r>
      <w:r w:rsidRPr="00E40DAB">
        <w:instrText xml:space="preserve"> SEQ level0 \*arabic \* MERGEFORMAT </w:instrText>
      </w:r>
      <w:r w:rsidRPr="00E40DAB">
        <w:fldChar w:fldCharType="separate"/>
      </w:r>
      <w:r w:rsidR="00E40DAB" w:rsidRPr="00E40DAB">
        <w:t>26</w:t>
      </w:r>
      <w:r w:rsidRPr="00E40DAB">
        <w:fldChar w:fldCharType="end"/>
      </w:r>
      <w:bookmarkEnd w:id="17"/>
      <w:r>
        <w:t xml:space="preserve">.  Curtea consideră că nu există niciun motiv pentru a concluziona diferit în speță, care privește aceeași anchetă penală principală (a se vedea supra, pct. </w:t>
      </w:r>
      <w:r w:rsidRPr="00E40DAB">
        <w:fldChar w:fldCharType="begin"/>
      </w:r>
      <w:r w:rsidRPr="00E40DAB">
        <w:instrText xml:space="preserve"> REF culminatedinreferral \h  \* CharFormat </w:instrText>
      </w:r>
      <w:r w:rsidRPr="00E40DAB">
        <w:fldChar w:fldCharType="separate"/>
      </w:r>
      <w:r w:rsidR="00E40DAB" w:rsidRPr="00E40DAB">
        <w:t>8</w:t>
      </w:r>
      <w:r w:rsidRPr="00E40DAB">
        <w:fldChar w:fldCharType="end"/>
      </w:r>
      <w:r>
        <w:t>-</w:t>
      </w:r>
      <w:r w:rsidRPr="00E40DAB">
        <w:fldChar w:fldCharType="begin"/>
      </w:r>
      <w:r w:rsidRPr="00E40DAB">
        <w:instrText xml:space="preserve"> REF paragraph00012 \h  \* CharFormat </w:instrText>
      </w:r>
      <w:r w:rsidRPr="00E40DAB">
        <w:fldChar w:fldCharType="separate"/>
      </w:r>
      <w:r w:rsidR="00E40DAB" w:rsidRPr="00E40DAB">
        <w:t>12</w:t>
      </w:r>
      <w:r w:rsidRPr="00E40DAB">
        <w:fldChar w:fldCharType="end"/>
      </w:r>
      <w:r>
        <w:t xml:space="preserve">, </w:t>
      </w:r>
      <w:r w:rsidRPr="00E40DAB">
        <w:fldChar w:fldCharType="begin"/>
      </w:r>
      <w:r w:rsidRPr="00E40DAB">
        <w:instrText xml:space="preserve"> REF paragraph00022 \h  \* CharFormat </w:instrText>
      </w:r>
      <w:r w:rsidRPr="00E40DAB">
        <w:fldChar w:fldCharType="separate"/>
      </w:r>
      <w:r w:rsidR="00E40DAB" w:rsidRPr="00E40DAB">
        <w:t>21</w:t>
      </w:r>
      <w:r w:rsidRPr="00E40DAB">
        <w:fldChar w:fldCharType="end"/>
      </w:r>
      <w:r>
        <w:t xml:space="preserve"> și </w:t>
      </w:r>
      <w:r w:rsidRPr="00E40DAB">
        <w:fldChar w:fldCharType="begin"/>
      </w:r>
      <w:r w:rsidRPr="00E40DAB">
        <w:instrText xml:space="preserve"> REF paragraph00024 \h  \* CharFormat </w:instrText>
      </w:r>
      <w:r w:rsidRPr="00E40DAB">
        <w:fldChar w:fldCharType="separate"/>
      </w:r>
      <w:r w:rsidR="00E40DAB" w:rsidRPr="00E40DAB">
        <w:t>24</w:t>
      </w:r>
      <w:r w:rsidRPr="00E40DAB">
        <w:fldChar w:fldCharType="end"/>
      </w:r>
      <w:r>
        <w:t xml:space="preserve">). Prin urmare, respingând excepția preliminară ridicată de Guvern, Curtea consideră că are competență </w:t>
      </w:r>
      <w:r>
        <w:rPr>
          <w:i/>
        </w:rPr>
        <w:t>ratione temporis</w:t>
      </w:r>
      <w:r>
        <w:t xml:space="preserve"> să examineze partea anchetei efectuate după 20 iunie 1994 (a se vedea </w:t>
      </w:r>
      <w:r>
        <w:rPr>
          <w:i/>
        </w:rPr>
        <w:t>Mocanu și alții</w:t>
      </w:r>
      <w:r>
        <w:t>, citată supra, pct. 205‑211).</w:t>
      </w:r>
    </w:p>
    <w:p w:rsidR="007A54E1" w:rsidRPr="00E40DAB" w:rsidRDefault="00530E63" w:rsidP="00E40DAB">
      <w:pPr>
        <w:pStyle w:val="JuPara"/>
      </w:pPr>
      <w:r>
        <w:fldChar w:fldCharType="begin"/>
      </w:r>
      <w:r>
        <w:instrText xml:space="preserve"> SEQ level0 \*arabic \* MERGEFORMAT </w:instrText>
      </w:r>
      <w:r>
        <w:fldChar w:fldCharType="separate"/>
      </w:r>
      <w:r w:rsidR="00E40DAB" w:rsidRPr="00E40DAB">
        <w:rPr>
          <w:noProof/>
        </w:rPr>
        <w:t>27</w:t>
      </w:r>
      <w:r>
        <w:rPr>
          <w:noProof/>
        </w:rPr>
        <w:fldChar w:fldCharType="end"/>
      </w:r>
      <w:r w:rsidR="00C0369E">
        <w:t xml:space="preserve">.  Cu privire la excepția ridicată de Guvern privind calitatea de victimă a reclamantului, Curtea reiterează că prezenta cauză privește ancheta penală principală, iar nu cea care a încetat în 1991, astfel cum susține Guvernul (a se vedea supra, pct. </w:t>
      </w:r>
      <w:r w:rsidR="005D17D1" w:rsidRPr="00E40DAB">
        <w:fldChar w:fldCharType="begin"/>
      </w:r>
      <w:r w:rsidR="005D17D1" w:rsidRPr="00E40DAB">
        <w:instrText xml:space="preserve"> REF paragraph00023 \h  \* CharFormat </w:instrText>
      </w:r>
      <w:r w:rsidR="005D17D1" w:rsidRPr="00E40DAB">
        <w:fldChar w:fldCharType="separate"/>
      </w:r>
      <w:r w:rsidR="00E40DAB" w:rsidRPr="00E40DAB">
        <w:t>22</w:t>
      </w:r>
      <w:r w:rsidR="005D17D1" w:rsidRPr="00E40DAB">
        <w:fldChar w:fldCharType="end"/>
      </w:r>
      <w:r w:rsidR="00C0369E">
        <w:t>). Arată, de asemenea, că nu există probe care să indice o recunoaștere a încălcării invocate de reclamant (și anume ineficacitatea anchetei penale principale) sau o despăgubire acordată acestuia de autoritățile naționale în această privință.</w:t>
      </w:r>
    </w:p>
    <w:p w:rsidR="005D17D1" w:rsidRPr="00E40DAB" w:rsidRDefault="00530E63" w:rsidP="00E40DAB">
      <w:pPr>
        <w:pStyle w:val="JuPara"/>
      </w:pPr>
      <w:r>
        <w:fldChar w:fldCharType="begin"/>
      </w:r>
      <w:r>
        <w:instrText xml:space="preserve"> SEQ level0 \*</w:instrText>
      </w:r>
      <w:r>
        <w:instrText xml:space="preserve">arabic \* MERGEFORMAT </w:instrText>
      </w:r>
      <w:r>
        <w:fldChar w:fldCharType="separate"/>
      </w:r>
      <w:r w:rsidR="00E40DAB" w:rsidRPr="00E40DAB">
        <w:rPr>
          <w:noProof/>
        </w:rPr>
        <w:t>28</w:t>
      </w:r>
      <w:r>
        <w:rPr>
          <w:noProof/>
        </w:rPr>
        <w:fldChar w:fldCharType="end"/>
      </w:r>
      <w:r w:rsidR="00C0369E">
        <w:t xml:space="preserve">.  Curtea observă în continuare că ancheta a fost declanșată din oficiu de autorități (a se vedea supra, pct. </w:t>
      </w:r>
      <w:r w:rsidR="00C0369E" w:rsidRPr="00E40DAB">
        <w:fldChar w:fldCharType="begin"/>
      </w:r>
      <w:r w:rsidR="00C0369E" w:rsidRPr="00E40DAB">
        <w:instrText xml:space="preserve"> REF paragraph00004 \h  \* CharFormat </w:instrText>
      </w:r>
      <w:r w:rsidR="00C0369E" w:rsidRPr="00E40DAB">
        <w:fldChar w:fldCharType="separate"/>
      </w:r>
      <w:r w:rsidR="00E40DAB" w:rsidRPr="00E40DAB">
        <w:t>6</w:t>
      </w:r>
      <w:r w:rsidR="00C0369E" w:rsidRPr="00E40DAB">
        <w:fldChar w:fldCharType="end"/>
      </w:r>
      <w:r w:rsidR="00C0369E">
        <w:t xml:space="preserve">) și că reclamantul a participat activ la această anchetă până la 10 august 2018 când a fost audiat ultima dată (a se vedea supra, pct. </w:t>
      </w:r>
      <w:r w:rsidR="00C0369E" w:rsidRPr="00E40DAB">
        <w:fldChar w:fldCharType="begin"/>
      </w:r>
      <w:r w:rsidR="00C0369E" w:rsidRPr="00E40DAB">
        <w:instrText xml:space="preserve"> REF paragraph00009 \h  \* CharFormat  \* MERGEFORMAT </w:instrText>
      </w:r>
      <w:r w:rsidR="00C0369E" w:rsidRPr="00E40DAB">
        <w:fldChar w:fldCharType="separate"/>
      </w:r>
      <w:r w:rsidR="00E40DAB" w:rsidRPr="00E40DAB">
        <w:t>9</w:t>
      </w:r>
      <w:r w:rsidR="00C0369E" w:rsidRPr="00E40DAB">
        <w:fldChar w:fldCharType="end"/>
      </w:r>
      <w:r w:rsidR="00C0369E">
        <w:t>-</w:t>
      </w:r>
      <w:r w:rsidR="00C0369E" w:rsidRPr="00E40DAB">
        <w:fldChar w:fldCharType="begin"/>
      </w:r>
      <w:r w:rsidR="00C0369E" w:rsidRPr="00E40DAB">
        <w:instrText xml:space="preserve"> REF paragraph00016 \h  \* CharFormat  \* MERGEFORMAT </w:instrText>
      </w:r>
      <w:r w:rsidR="00C0369E" w:rsidRPr="00E40DAB">
        <w:fldChar w:fldCharType="separate"/>
      </w:r>
      <w:r w:rsidR="00E40DAB" w:rsidRPr="00E40DAB">
        <w:t>16</w:t>
      </w:r>
      <w:r w:rsidR="00C0369E" w:rsidRPr="00E40DAB">
        <w:fldChar w:fldCharType="end"/>
      </w:r>
      <w:r w:rsidR="00C0369E">
        <w:t xml:space="preserve">). Cu acea ocazie, în conformitate cu posibilitatea prevăzută de legislația națională (a se vedea supra, pct. </w:t>
      </w:r>
      <w:r w:rsidR="00C0369E" w:rsidRPr="00E40DAB">
        <w:fldChar w:fldCharType="begin"/>
      </w:r>
      <w:r w:rsidR="00C0369E" w:rsidRPr="00E40DAB">
        <w:instrText xml:space="preserve"> REF paragraph00021 \h  \* CharFormat </w:instrText>
      </w:r>
      <w:r w:rsidR="00C0369E" w:rsidRPr="00E40DAB">
        <w:fldChar w:fldCharType="separate"/>
      </w:r>
      <w:r w:rsidR="00E40DAB" w:rsidRPr="00E40DAB">
        <w:t>20</w:t>
      </w:r>
      <w:r w:rsidR="00C0369E" w:rsidRPr="00E40DAB">
        <w:fldChar w:fldCharType="end"/>
      </w:r>
      <w:r w:rsidR="00C0369E">
        <w:t xml:space="preserve"> și </w:t>
      </w:r>
      <w:r w:rsidR="00C0369E" w:rsidRPr="00E40DAB">
        <w:fldChar w:fldCharType="begin"/>
      </w:r>
      <w:r w:rsidR="00C0369E" w:rsidRPr="00E40DAB">
        <w:instrText xml:space="preserve"> REF paragraph00022 \h  \* CharFormat </w:instrText>
      </w:r>
      <w:r w:rsidR="00C0369E" w:rsidRPr="00E40DAB">
        <w:fldChar w:fldCharType="separate"/>
      </w:r>
      <w:r w:rsidR="00E40DAB" w:rsidRPr="00E40DAB">
        <w:t>21</w:t>
      </w:r>
      <w:r w:rsidR="00C0369E" w:rsidRPr="00E40DAB">
        <w:fldChar w:fldCharType="end"/>
      </w:r>
      <w:r w:rsidR="00C0369E">
        <w:t xml:space="preserve">), reclamantul a declarat că nu mai dorea să participe la procesul penal în calitate de parte vătămată sau de parte civilă. Prin urmare, începând cu acel moment calitatea sa în procedură s-a schimbat în cea de martor (a se vedea supra, pct. </w:t>
      </w:r>
      <w:r w:rsidR="00C0369E" w:rsidRPr="00E40DAB">
        <w:fldChar w:fldCharType="begin"/>
      </w:r>
      <w:r w:rsidR="00C0369E" w:rsidRPr="00E40DAB">
        <w:instrText xml:space="preserve"> REF paragraph00015 \h  \* CharFormat  \* MERGEFORMAT </w:instrText>
      </w:r>
      <w:r w:rsidR="00C0369E" w:rsidRPr="00E40DAB">
        <w:fldChar w:fldCharType="separate"/>
      </w:r>
      <w:r w:rsidR="00E40DAB" w:rsidRPr="00E40DAB">
        <w:t>15</w:t>
      </w:r>
      <w:r w:rsidR="00C0369E" w:rsidRPr="00E40DAB">
        <w:fldChar w:fldCharType="end"/>
      </w:r>
      <w:r w:rsidR="00C0369E">
        <w:t xml:space="preserve">). Curtea consideră că renunțarea reclamantului din 10 august 2018 nu a adus atingere calității sale de victimă în temeiul aspectului procedural al art. 3 din Convenție, cel puțin nu pentru perioada anterioară datei de care se plânge reclamantul (a se vedea supra, pct. </w:t>
      </w:r>
      <w:r w:rsidR="00450125" w:rsidRPr="00E40DAB">
        <w:fldChar w:fldCharType="begin"/>
      </w:r>
      <w:r w:rsidR="00450125" w:rsidRPr="00E40DAB">
        <w:instrText xml:space="preserve"> REF paragraph00023 \h  \* CharFormat  \* MERGEFORMAT </w:instrText>
      </w:r>
      <w:r w:rsidR="00450125" w:rsidRPr="00E40DAB">
        <w:fldChar w:fldCharType="separate"/>
      </w:r>
      <w:r w:rsidR="00E40DAB" w:rsidRPr="00E40DAB">
        <w:t>22</w:t>
      </w:r>
      <w:r w:rsidR="00450125" w:rsidRPr="00E40DAB">
        <w:fldChar w:fldCharType="end"/>
      </w:r>
      <w:r w:rsidR="00C0369E">
        <w:t xml:space="preserve">). Prin urmare, trebuie să se facă </w:t>
      </w:r>
      <w:r w:rsidR="00C0369E">
        <w:lastRenderedPageBreak/>
        <w:t xml:space="preserve">distincție între această cauză și </w:t>
      </w:r>
      <w:r w:rsidR="00C0369E">
        <w:rPr>
          <w:i/>
        </w:rPr>
        <w:t>Matei și Badea împotriva României</w:t>
      </w:r>
      <w:r w:rsidR="00C0369E">
        <w:t xml:space="preserve"> [(dec.) (Comitet), nr. 30357/15 și 30411/15, pct. 16-17, 9 octombrie 2018], </w:t>
      </w:r>
      <w:r w:rsidR="00C0369E">
        <w:rPr>
          <w:i/>
        </w:rPr>
        <w:t xml:space="preserve">Cristian împotriva României </w:t>
      </w:r>
      <w:r w:rsidR="00C0369E">
        <w:t xml:space="preserve">[(dec.) (Comitet), nr. 39663/15, 4 septembrie 2018] și </w:t>
      </w:r>
      <w:r w:rsidR="00C0369E">
        <w:rPr>
          <w:i/>
        </w:rPr>
        <w:t>Adam împotriva României</w:t>
      </w:r>
      <w:r w:rsidR="00C0369E">
        <w:t xml:space="preserve"> [(dec.) (Comitet), nr. 30474/15, pct. 9-13, 25 septembrie 2018], în care reclamanții nu s-au constituit niciodată personal și în mod oficial în proces ca părți vătămate, precum și </w:t>
      </w:r>
      <w:r w:rsidR="00C0369E">
        <w:rPr>
          <w:i/>
        </w:rPr>
        <w:t>Cristian</w:t>
      </w:r>
      <w:r w:rsidR="00C0369E">
        <w:t xml:space="preserve"> (citată anterior, pct. 7), în care aceștia au renunțat în mod expres, cu mai mult de 10 ani înainte de a sesiza Curtea, la dreptul lor de a fi tratați ca parte vătămată sau ca parte civilă, fiind audiați doar în calitate de martori.</w:t>
      </w:r>
    </w:p>
    <w:p w:rsidR="005D17D1" w:rsidRPr="00E40DAB" w:rsidRDefault="00530E63" w:rsidP="00E40DAB">
      <w:pPr>
        <w:pStyle w:val="JuPara"/>
      </w:pPr>
      <w:r>
        <w:fldChar w:fldCharType="begin"/>
      </w:r>
      <w:r>
        <w:instrText xml:space="preserve"> SEQ level0 \*arabic \* MERGEFORMAT </w:instrText>
      </w:r>
      <w:r>
        <w:fldChar w:fldCharType="separate"/>
      </w:r>
      <w:r w:rsidR="00E40DAB" w:rsidRPr="00E40DAB">
        <w:rPr>
          <w:noProof/>
        </w:rPr>
        <w:t>29</w:t>
      </w:r>
      <w:r>
        <w:rPr>
          <w:noProof/>
        </w:rPr>
        <w:fldChar w:fldCharType="end"/>
      </w:r>
      <w:r w:rsidR="00C0369E">
        <w:t xml:space="preserve">.  De asemenea, Curtea reiterează că, în contextul anchetei principale privind evenimentele violente din 21-30 decembrie 1989 din România, a apreciat că cererea reclamanților de a fi implicați în ancheta principală nu ar trebui să aibă niciun efect asupra calității lor procesuale (a se vedea </w:t>
      </w:r>
      <w:r w:rsidR="00C0369E">
        <w:rPr>
          <w:i/>
        </w:rPr>
        <w:t>Alecu și alții împotriva României</w:t>
      </w:r>
      <w:r w:rsidR="00C0369E">
        <w:t xml:space="preserve">, nr. 56838/08 și alte 80, pct. 31, 27 ianuarie 2015, și </w:t>
      </w:r>
      <w:r w:rsidR="00C0369E">
        <w:rPr>
          <w:i/>
        </w:rPr>
        <w:t>Ecaterina Mirea și alții împotriva României</w:t>
      </w:r>
      <w:r w:rsidR="00C0369E">
        <w:t>, nr. 43626/13 și alte 69, pct. 24</w:t>
      </w:r>
      <w:r w:rsidR="00C0369E">
        <w:noBreakHyphen/>
        <w:t>30, 12 aprilie 2016).</w:t>
      </w:r>
    </w:p>
    <w:p w:rsidR="007A54E1" w:rsidRPr="00E40DAB" w:rsidRDefault="00530E63" w:rsidP="00E40DAB">
      <w:pPr>
        <w:pStyle w:val="JuPara"/>
      </w:pPr>
      <w:r>
        <w:fldChar w:fldCharType="begin"/>
      </w:r>
      <w:r>
        <w:instrText xml:space="preserve"> SEQ level0 \*arabic \* MERGEF</w:instrText>
      </w:r>
      <w:r>
        <w:instrText xml:space="preserve">ORMAT </w:instrText>
      </w:r>
      <w:r>
        <w:fldChar w:fldCharType="separate"/>
      </w:r>
      <w:r w:rsidR="00E40DAB" w:rsidRPr="00E40DAB">
        <w:rPr>
          <w:noProof/>
        </w:rPr>
        <w:t>30</w:t>
      </w:r>
      <w:r>
        <w:rPr>
          <w:noProof/>
        </w:rPr>
        <w:fldChar w:fldCharType="end"/>
      </w:r>
      <w:r w:rsidR="00C0369E">
        <w:t>.  După ce a examinat toate probele care i-au fost prezentate, Curtea a respins excepțiile preliminare ridicate de Guvern. Curtea concluzionează, prin urmare, că cererea nu este nici vădit nefondată, nici inadmisibilă pentru alte motive enumerate la art. 35 din Convenție. Prin urmare, este necesar să fie declarată admisibilă.</w:t>
      </w:r>
    </w:p>
    <w:p w:rsidR="005D17D1" w:rsidRPr="00E40DAB" w:rsidRDefault="00C0369E" w:rsidP="00E40DAB">
      <w:pPr>
        <w:pStyle w:val="JuHA"/>
      </w:pPr>
      <w:r>
        <w:t>Cu privire la fond</w:t>
      </w:r>
    </w:p>
    <w:p w:rsidR="005D17D1" w:rsidRPr="00E40DAB" w:rsidRDefault="00530E63" w:rsidP="00E40DAB">
      <w:pPr>
        <w:pStyle w:val="JuPara"/>
      </w:pPr>
      <w:r>
        <w:fldChar w:fldCharType="begin"/>
      </w:r>
      <w:r>
        <w:instrText xml:space="preserve"> SEQ level0 \*arabic \* MERGEFORMAT </w:instrText>
      </w:r>
      <w:r>
        <w:fldChar w:fldCharType="separate"/>
      </w:r>
      <w:r w:rsidR="00E40DAB" w:rsidRPr="00E40DAB">
        <w:rPr>
          <w:noProof/>
        </w:rPr>
        <w:t>31</w:t>
      </w:r>
      <w:r>
        <w:rPr>
          <w:noProof/>
        </w:rPr>
        <w:fldChar w:fldCharType="end"/>
      </w:r>
      <w:r w:rsidR="00C0369E">
        <w:t xml:space="preserve">.  Principiile generale referitoare la eficacitatea unei anchete privind acuzațiile de rele tratamente sau de vătămare au fost rezumate în </w:t>
      </w:r>
      <w:proofErr w:type="spellStart"/>
      <w:r w:rsidR="00C0369E">
        <w:rPr>
          <w:i/>
        </w:rPr>
        <w:t>Labita</w:t>
      </w:r>
      <w:proofErr w:type="spellEnd"/>
      <w:r w:rsidR="00C0369E">
        <w:rPr>
          <w:i/>
        </w:rPr>
        <w:t xml:space="preserve"> împotriva Italiei </w:t>
      </w:r>
      <w:r w:rsidR="00C0369E">
        <w:t xml:space="preserve">[(MC), nr. 26772/95, </w:t>
      </w:r>
      <w:r w:rsidR="00C0369E">
        <w:rPr>
          <w:snapToGrid w:val="0"/>
        </w:rPr>
        <w:t xml:space="preserve">pct. </w:t>
      </w:r>
      <w:r w:rsidR="00C0369E">
        <w:t xml:space="preserve">131, CEDO 2000-IV) și în </w:t>
      </w:r>
      <w:r w:rsidR="00C0369E">
        <w:rPr>
          <w:i/>
        </w:rPr>
        <w:t>Mocanu și alții</w:t>
      </w:r>
      <w:r w:rsidR="00C0369E">
        <w:t xml:space="preserve"> (citată anterior, pct. 320-326)].</w:t>
      </w:r>
    </w:p>
    <w:p w:rsidR="007A54E1" w:rsidRPr="00E40DAB" w:rsidRDefault="00530E63" w:rsidP="00E40DAB">
      <w:pPr>
        <w:pStyle w:val="JuPara"/>
      </w:pPr>
      <w:r>
        <w:fldChar w:fldCharType="begin"/>
      </w:r>
      <w:r>
        <w:instrText xml:space="preserve"> SEQ level0 \*arabic \* MERGEFORMAT </w:instrText>
      </w:r>
      <w:r>
        <w:fldChar w:fldCharType="separate"/>
      </w:r>
      <w:r w:rsidR="00E40DAB" w:rsidRPr="00E40DAB">
        <w:rPr>
          <w:noProof/>
        </w:rPr>
        <w:t>32</w:t>
      </w:r>
      <w:r>
        <w:rPr>
          <w:noProof/>
        </w:rPr>
        <w:fldChar w:fldCharType="end"/>
      </w:r>
      <w:r w:rsidR="00C0369E">
        <w:t xml:space="preserve">.  Reclamantul a susținut, iar Guvernul nu a contestat, că a fost supus la rele tratamente în timpul evenimentelor din decembrie 1989 (a se vedea supra, pct. </w:t>
      </w:r>
      <w:r w:rsidR="005D17D1" w:rsidRPr="00E40DAB">
        <w:fldChar w:fldCharType="begin"/>
      </w:r>
      <w:r w:rsidR="005D17D1" w:rsidRPr="00E40DAB">
        <w:instrText xml:space="preserve"> REF daysofmedicalcare \h  \* CharFormat </w:instrText>
      </w:r>
      <w:r w:rsidR="005D17D1" w:rsidRPr="00E40DAB">
        <w:fldChar w:fldCharType="separate"/>
      </w:r>
      <w:r w:rsidR="00E40DAB" w:rsidRPr="00E40DAB">
        <w:t>4</w:t>
      </w:r>
      <w:r w:rsidR="005D17D1" w:rsidRPr="00E40DAB">
        <w:fldChar w:fldCharType="end"/>
      </w:r>
      <w:r w:rsidR="00C0369E">
        <w:t>). În opinia Curții, afirmațiile sale erau, cel puțin, credibile pentru a determina aplicarea obligației procedurale a statului în temeiul art. 3.</w:t>
      </w:r>
    </w:p>
    <w:p w:rsidR="007A54E1" w:rsidRPr="00E40DAB" w:rsidRDefault="00530E63" w:rsidP="00E40DAB">
      <w:pPr>
        <w:pStyle w:val="JuPara"/>
      </w:pPr>
      <w:r>
        <w:fldChar w:fldCharType="begin"/>
      </w:r>
      <w:r>
        <w:instrText xml:space="preserve"> SEQ level0 \*arabic \* MERGEFORMAT </w:instrText>
      </w:r>
      <w:r>
        <w:fldChar w:fldCharType="separate"/>
      </w:r>
      <w:r w:rsidR="00E40DAB" w:rsidRPr="00E40DAB">
        <w:rPr>
          <w:noProof/>
        </w:rPr>
        <w:t>33</w:t>
      </w:r>
      <w:r>
        <w:rPr>
          <w:noProof/>
        </w:rPr>
        <w:fldChar w:fldCharType="end"/>
      </w:r>
      <w:r w:rsidR="00C0369E">
        <w:t xml:space="preserve">.  Ancheta principală a început în 1990 și a continuat după 20 iunie 1994 (a se vedea supra, pct. </w:t>
      </w:r>
      <w:r w:rsidR="005D17D1" w:rsidRPr="00E40DAB">
        <w:fldChar w:fldCharType="begin"/>
      </w:r>
      <w:r w:rsidR="005D17D1" w:rsidRPr="00E40DAB">
        <w:instrText xml:space="preserve"> REF paragraph00004 \h  \* CharFormat </w:instrText>
      </w:r>
      <w:r w:rsidR="005D17D1" w:rsidRPr="00E40DAB">
        <w:fldChar w:fldCharType="separate"/>
      </w:r>
      <w:r w:rsidR="00E40DAB" w:rsidRPr="00E40DAB">
        <w:t>6</w:t>
      </w:r>
      <w:r w:rsidR="005D17D1" w:rsidRPr="00E40DAB">
        <w:fldChar w:fldCharType="end"/>
      </w:r>
      <w:r w:rsidR="00C0369E">
        <w:t>-</w:t>
      </w:r>
      <w:r w:rsidR="005D17D1" w:rsidRPr="00E40DAB">
        <w:fldChar w:fldCharType="begin"/>
      </w:r>
      <w:r w:rsidR="005D17D1" w:rsidRPr="00E40DAB">
        <w:instrText xml:space="preserve"> REF paragraph00017 \h  \* CharFormat </w:instrText>
      </w:r>
      <w:r w:rsidR="005D17D1" w:rsidRPr="00E40DAB">
        <w:fldChar w:fldCharType="separate"/>
      </w:r>
      <w:r w:rsidR="00E40DAB" w:rsidRPr="00E40DAB">
        <w:t>17</w:t>
      </w:r>
      <w:r w:rsidR="005D17D1" w:rsidRPr="00E40DAB">
        <w:fldChar w:fldCharType="end"/>
      </w:r>
      <w:r w:rsidR="00C0369E">
        <w:t xml:space="preserve">), data care marchează competența </w:t>
      </w:r>
      <w:r w:rsidR="00C0369E">
        <w:rPr>
          <w:i/>
        </w:rPr>
        <w:t>ratione temporis</w:t>
      </w:r>
      <w:r w:rsidR="00C0369E">
        <w:t xml:space="preserve"> a Curții (a se vedea supra, pct. </w:t>
      </w:r>
      <w:r w:rsidR="005D17D1" w:rsidRPr="00E40DAB">
        <w:fldChar w:fldCharType="begin"/>
      </w:r>
      <w:r w:rsidR="005D17D1" w:rsidRPr="00E40DAB">
        <w:instrText xml:space="preserve"> REF paragraph00032 \h  \* CharFormat </w:instrText>
      </w:r>
      <w:r w:rsidR="005D17D1" w:rsidRPr="00E40DAB">
        <w:fldChar w:fldCharType="separate"/>
      </w:r>
      <w:r w:rsidR="00E40DAB" w:rsidRPr="00E40DAB">
        <w:t>26</w:t>
      </w:r>
      <w:r w:rsidR="005D17D1" w:rsidRPr="00E40DAB">
        <w:fldChar w:fldCharType="end"/>
      </w:r>
      <w:r w:rsidR="00C0369E">
        <w:t xml:space="preserve">). Curtea a constatat deja că ancheta a fost afectată de vicii de procedură, nu numai din cauza duratei excesive și a perioadelor lungi de inactivitate, ci și din cauza numeroaselor deficiențe procedurale și a lipsei de informații furnizate publicului cu privire la evoluția acesteia (a se vedea </w:t>
      </w:r>
      <w:r w:rsidR="00C0369E">
        <w:rPr>
          <w:i/>
          <w:iCs/>
        </w:rPr>
        <w:t>Asociația „21 decembrie 1989” și alții împotriva României</w:t>
      </w:r>
      <w:r w:rsidR="00C0369E">
        <w:t>, citată anterior, pct. 133</w:t>
      </w:r>
      <w:r w:rsidR="00C0369E">
        <w:noBreakHyphen/>
        <w:t xml:space="preserve">145; </w:t>
      </w:r>
      <w:r w:rsidR="00C0369E">
        <w:rPr>
          <w:i/>
        </w:rPr>
        <w:t>Mocanu și alții</w:t>
      </w:r>
      <w:r w:rsidR="00C0369E">
        <w:t xml:space="preserve">, citată anterior, pct. 335-348; și </w:t>
      </w:r>
      <w:r w:rsidR="00C0369E">
        <w:rPr>
          <w:i/>
        </w:rPr>
        <w:t xml:space="preserve">Alecu și alții, </w:t>
      </w:r>
      <w:r w:rsidR="00C0369E">
        <w:t xml:space="preserve">citată anterior, pct. 39). Nu identifică niciun motiv pentru a concluziona diferit în speță, în pofida deciziei reclamantului de a nu continua să participe la procesul penal după douăzeci și opt de ani și jumătate de la începerea anchetei. Prin urmare, Curtea consideră că ancheta </w:t>
      </w:r>
      <w:r w:rsidR="00C0369E">
        <w:lastRenderedPageBreak/>
        <w:t>penală în prezenta cauză nu a respectat normele procedurale necesare, în special deoarece nu a fost efectuată cu celeritatea rezonabilă impusă de Convenție.</w:t>
      </w:r>
    </w:p>
    <w:p w:rsidR="005D17D1" w:rsidRPr="00E40DAB" w:rsidRDefault="00530E63" w:rsidP="00E40DAB">
      <w:pPr>
        <w:pStyle w:val="JuPara"/>
      </w:pPr>
      <w:r>
        <w:fldChar w:fldCharType="begin"/>
      </w:r>
      <w:r>
        <w:instrText xml:space="preserve"> SEQ level0 \*arabic \* MERGEFORMAT </w:instrText>
      </w:r>
      <w:r>
        <w:fldChar w:fldCharType="separate"/>
      </w:r>
      <w:r w:rsidR="00E40DAB" w:rsidRPr="00E40DAB">
        <w:rPr>
          <w:noProof/>
        </w:rPr>
        <w:t>34</w:t>
      </w:r>
      <w:r>
        <w:rPr>
          <w:noProof/>
        </w:rPr>
        <w:fldChar w:fldCharType="end"/>
      </w:r>
      <w:r w:rsidR="00C0369E">
        <w:t>.  Considerațiile precedente sunt suficiente pentru a permite Curții să concluzioneze că reclamantul nu a beneficiat de o anchetă efectivă cu privire la speța sa.</w:t>
      </w:r>
    </w:p>
    <w:p w:rsidR="005D17D1" w:rsidRPr="00E40DAB" w:rsidRDefault="00530E63" w:rsidP="00E40DAB">
      <w:pPr>
        <w:pStyle w:val="JuPara"/>
      </w:pPr>
      <w:r>
        <w:fldChar w:fldCharType="begin"/>
      </w:r>
      <w:r>
        <w:instrText xml:space="preserve"> SEQ level0 \*arabic \* MERGEF</w:instrText>
      </w:r>
      <w:r>
        <w:instrText xml:space="preserve">ORMAT </w:instrText>
      </w:r>
      <w:r>
        <w:fldChar w:fldCharType="separate"/>
      </w:r>
      <w:bookmarkStart w:id="18" w:name="paragraph00043"/>
      <w:r w:rsidR="00E40DAB" w:rsidRPr="00E40DAB">
        <w:rPr>
          <w:noProof/>
        </w:rPr>
        <w:t>35</w:t>
      </w:r>
      <w:bookmarkEnd w:id="18"/>
      <w:r>
        <w:rPr>
          <w:noProof/>
        </w:rPr>
        <w:fldChar w:fldCharType="end"/>
      </w:r>
      <w:r w:rsidR="00C0369E">
        <w:t>.  În consecință, a fost încălcat art. 3 din Convenție sub aspect procedural.</w:t>
      </w:r>
    </w:p>
    <w:p w:rsidR="005D17D1" w:rsidRPr="00E40DAB" w:rsidRDefault="00C0369E" w:rsidP="00E40DAB">
      <w:pPr>
        <w:pStyle w:val="JuHIRoman"/>
        <w:tabs>
          <w:tab w:val="left" w:pos="567"/>
          <w:tab w:val="left" w:pos="680"/>
        </w:tabs>
        <w:ind w:left="397" w:hanging="397"/>
      </w:pPr>
      <w:r>
        <w:t>CU PRIVIRE LA APLICAREA ART. 41 DIN CONVENȚIE</w:t>
      </w:r>
    </w:p>
    <w:p w:rsidR="005D17D1" w:rsidRPr="00E40DAB" w:rsidRDefault="00530E63" w:rsidP="00E40DAB">
      <w:pPr>
        <w:pStyle w:val="JuPara"/>
      </w:pPr>
      <w:r>
        <w:fldChar w:fldCharType="begin"/>
      </w:r>
      <w:r>
        <w:instrText xml:space="preserve"> SEQ level0 \*arabic \* MERGEFORMAT </w:instrText>
      </w:r>
      <w:r>
        <w:fldChar w:fldCharType="separate"/>
      </w:r>
      <w:r w:rsidR="00E40DAB" w:rsidRPr="00E40DAB">
        <w:rPr>
          <w:noProof/>
        </w:rPr>
        <w:t>36</w:t>
      </w:r>
      <w:r>
        <w:rPr>
          <w:noProof/>
        </w:rPr>
        <w:fldChar w:fldCharType="end"/>
      </w:r>
      <w:r w:rsidR="00C0369E">
        <w:t>.  Art. 41 din Convenție prevede:</w:t>
      </w:r>
    </w:p>
    <w:p w:rsidR="005D17D1" w:rsidRPr="00E40DAB" w:rsidRDefault="00C0369E" w:rsidP="00E40DAB">
      <w:pPr>
        <w:pStyle w:val="JuQuot"/>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rsidR="005D17D1" w:rsidRPr="00E40DAB" w:rsidRDefault="00C0369E" w:rsidP="00E40DAB">
      <w:pPr>
        <w:pStyle w:val="JuHA"/>
      </w:pPr>
      <w:r>
        <w:t>Prejudiciu</w:t>
      </w:r>
    </w:p>
    <w:p w:rsidR="005D17D1" w:rsidRPr="00E40DAB" w:rsidRDefault="00530E63" w:rsidP="00E40DAB">
      <w:pPr>
        <w:pStyle w:val="JuPara"/>
      </w:pPr>
      <w:r>
        <w:fldChar w:fldCharType="begin"/>
      </w:r>
      <w:r>
        <w:instrText xml:space="preserve"> SEQ l</w:instrText>
      </w:r>
      <w:r>
        <w:instrText xml:space="preserve">evel0 \*arabic \* MERGEFORMAT </w:instrText>
      </w:r>
      <w:r>
        <w:fldChar w:fldCharType="separate"/>
      </w:r>
      <w:r w:rsidR="00E40DAB" w:rsidRPr="00E40DAB">
        <w:rPr>
          <w:noProof/>
        </w:rPr>
        <w:t>37</w:t>
      </w:r>
      <w:r>
        <w:rPr>
          <w:noProof/>
        </w:rPr>
        <w:fldChar w:fldCharType="end"/>
      </w:r>
      <w:r w:rsidR="00C0369E">
        <w:t>.  Reclamantul a solicitat 20 000 de euro (EUR) cu titlu de despăgubire pentru prejudiciul moral.</w:t>
      </w:r>
    </w:p>
    <w:p w:rsidR="005D17D1" w:rsidRPr="00E40DAB" w:rsidRDefault="00530E63" w:rsidP="00E40DAB">
      <w:pPr>
        <w:pStyle w:val="JuPara"/>
      </w:pPr>
      <w:r>
        <w:fldChar w:fldCharType="begin"/>
      </w:r>
      <w:r>
        <w:instrText xml:space="preserve"> SEQ level0 \*arabic \* MERGEFORMAT </w:instrText>
      </w:r>
      <w:r>
        <w:fldChar w:fldCharType="separate"/>
      </w:r>
      <w:r w:rsidR="00E40DAB" w:rsidRPr="00E40DAB">
        <w:rPr>
          <w:noProof/>
        </w:rPr>
        <w:t>38</w:t>
      </w:r>
      <w:r>
        <w:rPr>
          <w:noProof/>
        </w:rPr>
        <w:fldChar w:fldCharType="end"/>
      </w:r>
      <w:r w:rsidR="00C0369E">
        <w:t>.  Guvernul a contestat această sumă ca fiind nejustificată.</w:t>
      </w:r>
    </w:p>
    <w:p w:rsidR="005D17D1" w:rsidRPr="00E40DAB" w:rsidRDefault="00530E63" w:rsidP="00E40DAB">
      <w:pPr>
        <w:pStyle w:val="JuPara"/>
        <w:rPr>
          <w:rFonts w:cstheme="minorHAnsi"/>
        </w:rPr>
      </w:pPr>
      <w:r>
        <w:fldChar w:fldCharType="begin"/>
      </w:r>
      <w:r>
        <w:instrText xml:space="preserve"> SEQ level0 \*arabic \* MERGEFORMAT </w:instrText>
      </w:r>
      <w:r>
        <w:fldChar w:fldCharType="separate"/>
      </w:r>
      <w:r w:rsidR="00E40DAB" w:rsidRPr="00E40DAB">
        <w:rPr>
          <w:noProof/>
        </w:rPr>
        <w:t>39</w:t>
      </w:r>
      <w:r>
        <w:rPr>
          <w:noProof/>
        </w:rPr>
        <w:fldChar w:fldCharType="end"/>
      </w:r>
      <w:r w:rsidR="00C0369E">
        <w:t>.  Având în vedere documentele de care dispune, Curtea consideră că încălcarea art. 3 din Convenție sub aspect procedural i-a cauzat reclamantului un prejudiciu moral substanțial, constând în suferință și frustrare. Pronunțându-se în echitate, Curtea acordă reclamantului suma de 12 500 EUR, plus orice sumă ce poate fi datorată cu titlu de impozit.</w:t>
      </w:r>
    </w:p>
    <w:p w:rsidR="005D17D1" w:rsidRPr="00E40DAB" w:rsidRDefault="00C0369E" w:rsidP="00E40DAB">
      <w:pPr>
        <w:pStyle w:val="JuHA"/>
      </w:pPr>
      <w:r>
        <w:t>Cheltuieli de judecată</w:t>
      </w:r>
    </w:p>
    <w:p w:rsidR="005D17D1" w:rsidRPr="00E40DAB" w:rsidRDefault="00530E63" w:rsidP="00E40DAB">
      <w:pPr>
        <w:pStyle w:val="JuPara"/>
      </w:pPr>
      <w:r>
        <w:fldChar w:fldCharType="begin"/>
      </w:r>
      <w:r>
        <w:instrText xml:space="preserve"> SEQ level0 \*arabic \* MERGEFORMAT </w:instrText>
      </w:r>
      <w:r>
        <w:fldChar w:fldCharType="separate"/>
      </w:r>
      <w:r w:rsidR="00E40DAB" w:rsidRPr="00E40DAB">
        <w:rPr>
          <w:noProof/>
        </w:rPr>
        <w:t>40</w:t>
      </w:r>
      <w:r>
        <w:rPr>
          <w:noProof/>
        </w:rPr>
        <w:fldChar w:fldCharType="end"/>
      </w:r>
      <w:r w:rsidR="00C0369E">
        <w:t>.  Reclamantul nu a formulat nicio pretenție în această privință. În consecință, Curtea nu acordă nicio sumă.</w:t>
      </w:r>
    </w:p>
    <w:p w:rsidR="005D17D1" w:rsidRPr="00E40DAB" w:rsidRDefault="00C0369E" w:rsidP="00E40DAB">
      <w:pPr>
        <w:pStyle w:val="JuHHead"/>
      </w:pPr>
      <w:r>
        <w:t>PENTRU ACESTE MOTIVE, CURTEA, ÎN UNANIMITATE,</w:t>
      </w:r>
    </w:p>
    <w:p w:rsidR="005D17D1" w:rsidRPr="00E40DAB" w:rsidRDefault="00C0369E" w:rsidP="00E40DAB">
      <w:pPr>
        <w:pStyle w:val="JuList"/>
        <w:numPr>
          <w:ilvl w:val="0"/>
          <w:numId w:val="3"/>
        </w:numPr>
      </w:pPr>
      <w:r>
        <w:rPr>
          <w:i/>
          <w:iCs/>
        </w:rPr>
        <w:t>Declară</w:t>
      </w:r>
      <w:r>
        <w:t xml:space="preserve"> cererea admisibilă;</w:t>
      </w:r>
    </w:p>
    <w:p w:rsidR="005D17D1" w:rsidRPr="00E40DAB" w:rsidRDefault="00C0369E" w:rsidP="00E40DAB">
      <w:pPr>
        <w:pStyle w:val="JuList"/>
      </w:pPr>
      <w:r>
        <w:rPr>
          <w:i/>
        </w:rPr>
        <w:t>Hotărăște</w:t>
      </w:r>
      <w:r>
        <w:t xml:space="preserve"> că a fost încălcat art. 3 din Convenție sub aspect procedural;</w:t>
      </w:r>
    </w:p>
    <w:p w:rsidR="005D17D1" w:rsidRPr="00E40DAB" w:rsidRDefault="00C0369E" w:rsidP="00E40DAB">
      <w:pPr>
        <w:pStyle w:val="JuList"/>
      </w:pPr>
      <w:r>
        <w:rPr>
          <w:i/>
        </w:rPr>
        <w:t>Hotărăște</w:t>
      </w:r>
    </w:p>
    <w:p w:rsidR="005D17D1" w:rsidRPr="00E40DAB" w:rsidRDefault="00C0369E" w:rsidP="00E40DAB">
      <w:pPr>
        <w:pStyle w:val="JuLista"/>
      </w:pPr>
      <w:r>
        <w:t xml:space="preserve">că statul pârât trebuie să plătească reclamantului, în termen de trei luni de la data rămânerii definitive a hotărârii, în conformitate cu art. 44 § 2 din Convenție, suma de 12 500 EUR (douăsprezece mii cinci sute euro), care trebuie convertită în moneda națională a statului </w:t>
      </w:r>
      <w:r>
        <w:lastRenderedPageBreak/>
        <w:t>pârât la rata de schimb aplicabilă la data plății, pentru prejudiciul moral, plus orice sumă ce poate fi datorată cu titlu de impozit;</w:t>
      </w:r>
    </w:p>
    <w:p w:rsidR="005D17D1" w:rsidRPr="00E40DAB" w:rsidRDefault="00C0369E" w:rsidP="00E40DAB">
      <w:pPr>
        <w:pStyle w:val="JuLista"/>
      </w:pPr>
      <w:r>
        <w:t>că, de la expirarea termenului menționat și până la efectuarea plății, această sumă trebuie majorată cu o dobândă simplă, la o rată egală cu rata dobânzii facilității de împrumut marginal practicată de Banca Centrală Europeană, aplicabilă pe parcursul acestei perioade, majorată cu trei puncte procentuale;</w:t>
      </w:r>
    </w:p>
    <w:p w:rsidR="005D17D1" w:rsidRPr="00E40DAB" w:rsidRDefault="00C0369E" w:rsidP="00E40DAB">
      <w:pPr>
        <w:pStyle w:val="JuList"/>
      </w:pPr>
      <w:r>
        <w:rPr>
          <w:i/>
          <w:iCs/>
        </w:rPr>
        <w:t>Respinge</w:t>
      </w:r>
      <w:r>
        <w:t xml:space="preserve"> cererea de acordare a unei reparații echitabile pentru celelalte capete de cerere.</w:t>
      </w:r>
    </w:p>
    <w:p w:rsidR="002C335D" w:rsidRPr="00E40DAB" w:rsidRDefault="00C0369E" w:rsidP="00E40DAB">
      <w:pPr>
        <w:pStyle w:val="JuParaLast"/>
      </w:pPr>
      <w:r>
        <w:t>Redactată în limba engleză, apoi comunicată în scris, la 16 septembrie 2025, în temeiul art. 77 § 2 și § 3 din Regulamentul Curții.</w:t>
      </w:r>
    </w:p>
    <w:p w:rsidR="002C335D" w:rsidRPr="00E40DAB" w:rsidRDefault="002C335D" w:rsidP="00E40DAB">
      <w:pPr>
        <w:pStyle w:val="ECHRPlaceholder"/>
        <w:rPr>
          <w:szCs w:val="22"/>
        </w:rPr>
      </w:pPr>
    </w:p>
    <w:p w:rsidR="00182EBA" w:rsidRPr="00E40DAB" w:rsidRDefault="00C0369E" w:rsidP="00E40DAB">
      <w:pPr>
        <w:pStyle w:val="JuSigned"/>
      </w:pPr>
      <w:r>
        <w:tab/>
        <w:t>Simeon Petrovski</w:t>
      </w:r>
      <w:r>
        <w:tab/>
      </w:r>
      <w:proofErr w:type="spellStart"/>
      <w:r>
        <w:t>Lado</w:t>
      </w:r>
      <w:proofErr w:type="spellEnd"/>
      <w:r>
        <w:t xml:space="preserve"> Chanturia</w:t>
      </w:r>
      <w:r>
        <w:br/>
      </w:r>
      <w:r>
        <w:tab/>
        <w:t>Grefier adjunct</w:t>
      </w:r>
      <w:r>
        <w:tab/>
        <w:t>Președinte</w:t>
      </w:r>
    </w:p>
    <w:p w:rsidR="00E40DAB" w:rsidRPr="00E40DAB" w:rsidRDefault="00E40DAB" w:rsidP="00E40DAB">
      <w:pPr>
        <w:pStyle w:val="JuPara"/>
      </w:pPr>
    </w:p>
    <w:sectPr w:rsidR="00E40DAB" w:rsidRPr="00E40DAB" w:rsidSect="007D3701">
      <w:headerReference w:type="even" r:id="rId12"/>
      <w:headerReference w:type="default" r:id="rId13"/>
      <w:footerReference w:type="even" r:id="rId14"/>
      <w:footerReference w:type="default" r:id="rId15"/>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0E63" w:rsidRDefault="00530E63">
      <w:r>
        <w:separator/>
      </w:r>
    </w:p>
  </w:endnote>
  <w:endnote w:type="continuationSeparator" w:id="0">
    <w:p w:rsidR="00530E63" w:rsidRDefault="00530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AD3" w:rsidRPr="00150BFA" w:rsidRDefault="00C0369E" w:rsidP="0020718E">
    <w:pPr>
      <w:jc w:val="center"/>
    </w:pPr>
    <w:r>
      <w:rPr>
        <w:noProof/>
        <w:lang w:eastAsia="ro-RO"/>
      </w:rPr>
      <w:drawing>
        <wp:inline distT="0" distB="0" distL="0" distR="0">
          <wp:extent cx="771525" cy="619125"/>
          <wp:effectExtent l="0" t="0" r="9525" b="9525"/>
          <wp:docPr id="98288265" name="Picture 98288265"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88265"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8410D" w:rsidRPr="00E67565" w:rsidRDefault="0098410D" w:rsidP="00AF12C5">
    <w:pPr>
      <w:pStyle w:val="Footer0"/>
      <w:jc w:val="cen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AD3" w:rsidRPr="00150BFA" w:rsidRDefault="00C0369E" w:rsidP="0020718E">
    <w:pPr>
      <w:jc w:val="center"/>
    </w:pPr>
    <w:r>
      <w:rPr>
        <w:noProof/>
        <w:lang w:eastAsia="ro-RO"/>
      </w:rPr>
      <w:drawing>
        <wp:inline distT="0" distB="0" distL="0" distR="0">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E7A6F" w:rsidRPr="00E67565" w:rsidRDefault="009E7A6F" w:rsidP="009E7A6F">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Default="00C0369E" w:rsidP="009A115C">
    <w:pPr>
      <w:pStyle w:val="JuHeader"/>
    </w:pPr>
    <w:r>
      <w:fldChar w:fldCharType="begin"/>
    </w:r>
    <w:r>
      <w:instrText xml:space="preserve"> PAGE  \* MERGEFORMAT </w:instrText>
    </w:r>
    <w:r>
      <w:fldChar w:fldCharType="separate"/>
    </w:r>
    <w:r w:rsidR="007710DD">
      <w:rPr>
        <w:noProof/>
      </w:rPr>
      <w:t>8</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0B7195" w:rsidRDefault="00C0369E" w:rsidP="007D3701">
    <w:pPr>
      <w:pStyle w:val="JuHeader"/>
    </w:pPr>
    <w:r>
      <w:fldChar w:fldCharType="begin"/>
    </w:r>
    <w:r>
      <w:instrText xml:space="preserve"> PAGE  \* MERGEFORMAT </w:instrText>
    </w:r>
    <w:r>
      <w:fldChar w:fldCharType="separate"/>
    </w:r>
    <w:r w:rsidR="007710DD">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0E63" w:rsidRDefault="00530E63">
      <w:r>
        <w:separator/>
      </w:r>
    </w:p>
  </w:footnote>
  <w:footnote w:type="continuationSeparator" w:id="0">
    <w:p w:rsidR="00530E63" w:rsidRDefault="00530E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AD3" w:rsidRPr="00A45145" w:rsidRDefault="00C0369E" w:rsidP="00A45145">
    <w:pPr>
      <w:jc w:val="center"/>
    </w:pPr>
    <w:r>
      <w:rPr>
        <w:noProof/>
        <w:lang w:eastAsia="ro-RO"/>
      </w:rPr>
      <w:drawing>
        <wp:inline distT="0" distB="0" distL="0" distR="0">
          <wp:extent cx="2962275" cy="1219200"/>
          <wp:effectExtent l="0" t="0" r="9525" b="0"/>
          <wp:docPr id="1727107051" name="Picture 172710705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107051"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98410D" w:rsidRPr="00E67565" w:rsidRDefault="0098410D" w:rsidP="00B14793">
    <w:pPr>
      <w:jc w:val="cente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0DD" w:rsidRPr="00E95050" w:rsidRDefault="007710DD" w:rsidP="007710DD">
    <w:pPr>
      <w:jc w:val="right"/>
      <w:rPr>
        <w:i/>
        <w:noProof/>
        <w:sz w:val="22"/>
        <w:szCs w:val="22"/>
      </w:rPr>
    </w:pPr>
    <w:r>
      <w:rPr>
        <w:i/>
        <w:iCs/>
      </w:rPr>
      <w:t>Tradus și revizuit de IER</w:t>
    </w:r>
    <w:r>
      <w:t xml:space="preserve"> </w:t>
    </w:r>
    <w:r>
      <w:rPr>
        <w:i/>
        <w:sz w:val="22"/>
      </w:rPr>
      <w:t>(</w:t>
    </w:r>
    <w:hyperlink r:id="rId1" w:history="1">
      <w:r>
        <w:rPr>
          <w:rStyle w:val="Hyperlink"/>
          <w:i/>
          <w:sz w:val="22"/>
        </w:rPr>
        <w:t>http://ier.gov.ro/</w:t>
      </w:r>
    </w:hyperlink>
    <w:r>
      <w:rPr>
        <w:i/>
        <w:sz w:val="22"/>
      </w:rPr>
      <w:t>)</w:t>
    </w:r>
  </w:p>
  <w:p w:rsidR="007710DD" w:rsidRDefault="007710DD" w:rsidP="00A45145">
    <w:pPr>
      <w:jc w:val="center"/>
      <w:rPr>
        <w:noProof/>
        <w:lang w:eastAsia="ro-RO"/>
      </w:rPr>
    </w:pPr>
  </w:p>
  <w:p w:rsidR="00315AD3" w:rsidRPr="00A45145" w:rsidRDefault="00C0369E" w:rsidP="00A45145">
    <w:pPr>
      <w:jc w:val="center"/>
    </w:pPr>
    <w:r>
      <w:rPr>
        <w:noProof/>
        <w:lang w:eastAsia="ro-RO"/>
      </w:rPr>
      <w:drawing>
        <wp:inline distT="0" distB="0" distL="0" distR="0">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98410D" w:rsidRPr="00E67565" w:rsidRDefault="0098410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4D0EC7" w:rsidRDefault="00C0369E" w:rsidP="004D0EC7">
    <w:pPr>
      <w:pStyle w:val="JuHeader"/>
    </w:pPr>
    <w:r>
      <w:t>HOTĂRÂREA CANTEMIR ÎMPOTRIVA ROMÂNIEI</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882CD5" w:rsidRDefault="00C0369E" w:rsidP="007D3701">
    <w:pPr>
      <w:pStyle w:val="JuHeader"/>
    </w:pPr>
    <w:r>
      <w:t>HOTĂRÂREA CANTEMIR ÎMPOTRIVA ROMÂNIEI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FFFFFF" w:themeColor="background1"/>
      </w:rPr>
    </w:lvl>
    <w:lvl w:ilvl="1">
      <w:start w:val="1"/>
      <w:numFmt w:val="bullet"/>
      <w:pStyle w:val="ECHRBullet2"/>
      <w:lvlText w:val=""/>
      <w:lvlJc w:val="left"/>
      <w:pPr>
        <w:tabs>
          <w:tab w:val="num" w:pos="1134"/>
        </w:tabs>
        <w:ind w:left="1135" w:hanging="284"/>
      </w:pPr>
      <w:rPr>
        <w:rFonts w:ascii="Wingdings" w:hAnsi="Wingdings" w:hint="default"/>
        <w:color w:val="FFFFFF"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FFFFFF"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56B942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8" w15:restartNumberingAfterBreak="0">
    <w:nsid w:val="67FD1241"/>
    <w:multiLevelType w:val="hybridMultilevel"/>
    <w:tmpl w:val="F6D86CC2"/>
    <w:lvl w:ilvl="0" w:tplc="B6AC6416">
      <w:start w:val="1"/>
      <w:numFmt w:val="bullet"/>
      <w:pStyle w:val="ListBullet"/>
      <w:lvlText w:val=""/>
      <w:lvlJc w:val="left"/>
      <w:pPr>
        <w:tabs>
          <w:tab w:val="num" w:pos="851"/>
        </w:tabs>
        <w:ind w:left="568" w:firstLine="0"/>
      </w:pPr>
      <w:rPr>
        <w:rFonts w:ascii="Wingdings" w:hAnsi="Wingdings" w:hint="default"/>
        <w:color w:val="808080"/>
        <w:sz w:val="16"/>
      </w:rPr>
    </w:lvl>
    <w:lvl w:ilvl="1" w:tplc="3DFC77F0" w:tentative="1">
      <w:start w:val="1"/>
      <w:numFmt w:val="bullet"/>
      <w:lvlText w:val="o"/>
      <w:lvlJc w:val="left"/>
      <w:pPr>
        <w:tabs>
          <w:tab w:val="num" w:pos="1724"/>
        </w:tabs>
        <w:ind w:left="1724" w:hanging="360"/>
      </w:pPr>
      <w:rPr>
        <w:rFonts w:ascii="Courier New" w:hAnsi="Courier New" w:cs="Courier New" w:hint="default"/>
      </w:rPr>
    </w:lvl>
    <w:lvl w:ilvl="2" w:tplc="B792D64C" w:tentative="1">
      <w:start w:val="1"/>
      <w:numFmt w:val="bullet"/>
      <w:lvlText w:val=""/>
      <w:lvlJc w:val="left"/>
      <w:pPr>
        <w:tabs>
          <w:tab w:val="num" w:pos="2444"/>
        </w:tabs>
        <w:ind w:left="2444" w:hanging="360"/>
      </w:pPr>
      <w:rPr>
        <w:rFonts w:ascii="Wingdings" w:hAnsi="Wingdings" w:hint="default"/>
      </w:rPr>
    </w:lvl>
    <w:lvl w:ilvl="3" w:tplc="A894A260" w:tentative="1">
      <w:start w:val="1"/>
      <w:numFmt w:val="bullet"/>
      <w:lvlText w:val=""/>
      <w:lvlJc w:val="left"/>
      <w:pPr>
        <w:tabs>
          <w:tab w:val="num" w:pos="3164"/>
        </w:tabs>
        <w:ind w:left="3164" w:hanging="360"/>
      </w:pPr>
      <w:rPr>
        <w:rFonts w:ascii="Symbol" w:hAnsi="Symbol" w:hint="default"/>
      </w:rPr>
    </w:lvl>
    <w:lvl w:ilvl="4" w:tplc="AB568ADC" w:tentative="1">
      <w:start w:val="1"/>
      <w:numFmt w:val="bullet"/>
      <w:lvlText w:val="o"/>
      <w:lvlJc w:val="left"/>
      <w:pPr>
        <w:tabs>
          <w:tab w:val="num" w:pos="3884"/>
        </w:tabs>
        <w:ind w:left="3884" w:hanging="360"/>
      </w:pPr>
      <w:rPr>
        <w:rFonts w:ascii="Courier New" w:hAnsi="Courier New" w:cs="Courier New" w:hint="default"/>
      </w:rPr>
    </w:lvl>
    <w:lvl w:ilvl="5" w:tplc="A0AC9642" w:tentative="1">
      <w:start w:val="1"/>
      <w:numFmt w:val="bullet"/>
      <w:lvlText w:val=""/>
      <w:lvlJc w:val="left"/>
      <w:pPr>
        <w:tabs>
          <w:tab w:val="num" w:pos="4604"/>
        </w:tabs>
        <w:ind w:left="4604" w:hanging="360"/>
      </w:pPr>
      <w:rPr>
        <w:rFonts w:ascii="Wingdings" w:hAnsi="Wingdings" w:hint="default"/>
      </w:rPr>
    </w:lvl>
    <w:lvl w:ilvl="6" w:tplc="D5884B4E" w:tentative="1">
      <w:start w:val="1"/>
      <w:numFmt w:val="bullet"/>
      <w:lvlText w:val=""/>
      <w:lvlJc w:val="left"/>
      <w:pPr>
        <w:tabs>
          <w:tab w:val="num" w:pos="5324"/>
        </w:tabs>
        <w:ind w:left="5324" w:hanging="360"/>
      </w:pPr>
      <w:rPr>
        <w:rFonts w:ascii="Symbol" w:hAnsi="Symbol" w:hint="default"/>
      </w:rPr>
    </w:lvl>
    <w:lvl w:ilvl="7" w:tplc="8132C702" w:tentative="1">
      <w:start w:val="1"/>
      <w:numFmt w:val="bullet"/>
      <w:lvlText w:val="o"/>
      <w:lvlJc w:val="left"/>
      <w:pPr>
        <w:tabs>
          <w:tab w:val="num" w:pos="6044"/>
        </w:tabs>
        <w:ind w:left="6044" w:hanging="360"/>
      </w:pPr>
      <w:rPr>
        <w:rFonts w:ascii="Courier New" w:hAnsi="Courier New" w:cs="Courier New" w:hint="default"/>
      </w:rPr>
    </w:lvl>
    <w:lvl w:ilvl="8" w:tplc="348AF2D8"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778"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abstractNumId w:val="17"/>
  </w:num>
  <w:num w:numId="2">
    <w:abstractNumId w:val="19"/>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2"/>
  </w:num>
  <w:num w:numId="6">
    <w:abstractNumId w:val="11"/>
  </w:num>
  <w:num w:numId="7">
    <w:abstractNumId w:val="18"/>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5"/>
  </w:num>
  <w:num w:numId="18">
    <w:abstractNumId w:val="13"/>
  </w:num>
  <w:num w:numId="19">
    <w:abstractNumId w:val="16"/>
  </w:num>
  <w:num w:numId="20">
    <w:abstractNumId w:val="15"/>
  </w:num>
  <w:num w:numId="21">
    <w:abstractNumId w:val="16"/>
  </w:num>
  <w:num w:numId="22">
    <w:abstractNumId w:val="10"/>
  </w:num>
  <w:num w:numId="23">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0"/>
  </w:docVars>
  <w:rsids>
    <w:rsidRoot w:val="00315AD3"/>
    <w:rsid w:val="000041F8"/>
    <w:rsid w:val="000042A8"/>
    <w:rsid w:val="00004308"/>
    <w:rsid w:val="00005BF0"/>
    <w:rsid w:val="0000617D"/>
    <w:rsid w:val="00007154"/>
    <w:rsid w:val="000103AE"/>
    <w:rsid w:val="00011D69"/>
    <w:rsid w:val="00012AD3"/>
    <w:rsid w:val="00015C2D"/>
    <w:rsid w:val="00015F00"/>
    <w:rsid w:val="0001768D"/>
    <w:rsid w:val="00022C1D"/>
    <w:rsid w:val="0002592F"/>
    <w:rsid w:val="00031428"/>
    <w:rsid w:val="00034987"/>
    <w:rsid w:val="00041560"/>
    <w:rsid w:val="000602DF"/>
    <w:rsid w:val="00061B05"/>
    <w:rsid w:val="000632D5"/>
    <w:rsid w:val="000644EE"/>
    <w:rsid w:val="000712E3"/>
    <w:rsid w:val="0007780A"/>
    <w:rsid w:val="0008318D"/>
    <w:rsid w:val="00085457"/>
    <w:rsid w:val="000925AD"/>
    <w:rsid w:val="00096FE1"/>
    <w:rsid w:val="00097A62"/>
    <w:rsid w:val="000A24EB"/>
    <w:rsid w:val="000B686A"/>
    <w:rsid w:val="000B6923"/>
    <w:rsid w:val="000B7195"/>
    <w:rsid w:val="000C5F3C"/>
    <w:rsid w:val="000C6DCC"/>
    <w:rsid w:val="000D47AA"/>
    <w:rsid w:val="000D721F"/>
    <w:rsid w:val="000E069B"/>
    <w:rsid w:val="000E0E82"/>
    <w:rsid w:val="000E1DC5"/>
    <w:rsid w:val="000E223F"/>
    <w:rsid w:val="000E46B8"/>
    <w:rsid w:val="000E6061"/>
    <w:rsid w:val="000E7D45"/>
    <w:rsid w:val="000F52F4"/>
    <w:rsid w:val="000F7851"/>
    <w:rsid w:val="00101505"/>
    <w:rsid w:val="00104E23"/>
    <w:rsid w:val="00110DA8"/>
    <w:rsid w:val="00111B0C"/>
    <w:rsid w:val="00120D6C"/>
    <w:rsid w:val="001257EC"/>
    <w:rsid w:val="00133D33"/>
    <w:rsid w:val="00134B6A"/>
    <w:rsid w:val="00134D64"/>
    <w:rsid w:val="00135A30"/>
    <w:rsid w:val="0013612C"/>
    <w:rsid w:val="00137FF6"/>
    <w:rsid w:val="00141650"/>
    <w:rsid w:val="00150BFA"/>
    <w:rsid w:val="001561B6"/>
    <w:rsid w:val="00162A12"/>
    <w:rsid w:val="00166530"/>
    <w:rsid w:val="00170027"/>
    <w:rsid w:val="00182EBA"/>
    <w:rsid w:val="001832BD"/>
    <w:rsid w:val="001943B5"/>
    <w:rsid w:val="00195134"/>
    <w:rsid w:val="001A020C"/>
    <w:rsid w:val="001A145B"/>
    <w:rsid w:val="001A3E09"/>
    <w:rsid w:val="001A674C"/>
    <w:rsid w:val="001B3B24"/>
    <w:rsid w:val="001C055B"/>
    <w:rsid w:val="001C0F98"/>
    <w:rsid w:val="001C2A42"/>
    <w:rsid w:val="001D63ED"/>
    <w:rsid w:val="001D7348"/>
    <w:rsid w:val="001E035B"/>
    <w:rsid w:val="001E0961"/>
    <w:rsid w:val="001E3EAE"/>
    <w:rsid w:val="001E6857"/>
    <w:rsid w:val="001E6F32"/>
    <w:rsid w:val="001F2145"/>
    <w:rsid w:val="001F6262"/>
    <w:rsid w:val="001F67B0"/>
    <w:rsid w:val="001F7B3D"/>
    <w:rsid w:val="00202752"/>
    <w:rsid w:val="0020335A"/>
    <w:rsid w:val="002052BC"/>
    <w:rsid w:val="00205F9F"/>
    <w:rsid w:val="0020718E"/>
    <w:rsid w:val="00210338"/>
    <w:rsid w:val="002115FC"/>
    <w:rsid w:val="0021423C"/>
    <w:rsid w:val="00226C89"/>
    <w:rsid w:val="00230D00"/>
    <w:rsid w:val="00231DF7"/>
    <w:rsid w:val="00231FD1"/>
    <w:rsid w:val="002339E0"/>
    <w:rsid w:val="00233CF8"/>
    <w:rsid w:val="0023575D"/>
    <w:rsid w:val="00237148"/>
    <w:rsid w:val="0024222D"/>
    <w:rsid w:val="002422B6"/>
    <w:rsid w:val="00244B0E"/>
    <w:rsid w:val="00244F6C"/>
    <w:rsid w:val="00246B89"/>
    <w:rsid w:val="00252C4E"/>
    <w:rsid w:val="002532C5"/>
    <w:rsid w:val="00254DF2"/>
    <w:rsid w:val="00260C03"/>
    <w:rsid w:val="0026439A"/>
    <w:rsid w:val="0026540E"/>
    <w:rsid w:val="00275123"/>
    <w:rsid w:val="00281B7C"/>
    <w:rsid w:val="00282240"/>
    <w:rsid w:val="00282BD8"/>
    <w:rsid w:val="00287AD5"/>
    <w:rsid w:val="002934D0"/>
    <w:rsid w:val="00293676"/>
    <w:rsid w:val="00293BD9"/>
    <w:rsid w:val="002948AD"/>
    <w:rsid w:val="002A01CC"/>
    <w:rsid w:val="002A613A"/>
    <w:rsid w:val="002A61B1"/>
    <w:rsid w:val="002A6294"/>
    <w:rsid w:val="002A663C"/>
    <w:rsid w:val="002A75C3"/>
    <w:rsid w:val="002B444B"/>
    <w:rsid w:val="002B5887"/>
    <w:rsid w:val="002B5B43"/>
    <w:rsid w:val="002C0E27"/>
    <w:rsid w:val="002C3040"/>
    <w:rsid w:val="002C335D"/>
    <w:rsid w:val="002C4433"/>
    <w:rsid w:val="002C5ADD"/>
    <w:rsid w:val="002C7826"/>
    <w:rsid w:val="002D022D"/>
    <w:rsid w:val="002D24BB"/>
    <w:rsid w:val="002D2FA7"/>
    <w:rsid w:val="002D47BA"/>
    <w:rsid w:val="002D77B9"/>
    <w:rsid w:val="002E46DA"/>
    <w:rsid w:val="002E5BE2"/>
    <w:rsid w:val="002E7764"/>
    <w:rsid w:val="002F2AF7"/>
    <w:rsid w:val="002F69C4"/>
    <w:rsid w:val="002F7D9E"/>
    <w:rsid w:val="002F7E1C"/>
    <w:rsid w:val="00301A75"/>
    <w:rsid w:val="00302F70"/>
    <w:rsid w:val="0030336F"/>
    <w:rsid w:val="0030375E"/>
    <w:rsid w:val="00312A30"/>
    <w:rsid w:val="00315AD3"/>
    <w:rsid w:val="003201D8"/>
    <w:rsid w:val="00320F72"/>
    <w:rsid w:val="00321AEB"/>
    <w:rsid w:val="0032463E"/>
    <w:rsid w:val="0032605D"/>
    <w:rsid w:val="00326224"/>
    <w:rsid w:val="00335BF3"/>
    <w:rsid w:val="00337EE4"/>
    <w:rsid w:val="00340FFD"/>
    <w:rsid w:val="00345C41"/>
    <w:rsid w:val="003506B1"/>
    <w:rsid w:val="00355877"/>
    <w:rsid w:val="00356AC7"/>
    <w:rsid w:val="003609FA"/>
    <w:rsid w:val="003710C8"/>
    <w:rsid w:val="003750BE"/>
    <w:rsid w:val="00385A36"/>
    <w:rsid w:val="00385F3D"/>
    <w:rsid w:val="0038740C"/>
    <w:rsid w:val="00387B9D"/>
    <w:rsid w:val="00387C70"/>
    <w:rsid w:val="00390294"/>
    <w:rsid w:val="0039364F"/>
    <w:rsid w:val="00396686"/>
    <w:rsid w:val="0039778E"/>
    <w:rsid w:val="003B4941"/>
    <w:rsid w:val="003C0CBD"/>
    <w:rsid w:val="003C5714"/>
    <w:rsid w:val="003C6B9F"/>
    <w:rsid w:val="003C6E2A"/>
    <w:rsid w:val="003D0299"/>
    <w:rsid w:val="003E6D80"/>
    <w:rsid w:val="003E7BCC"/>
    <w:rsid w:val="003F05FA"/>
    <w:rsid w:val="003F244A"/>
    <w:rsid w:val="003F2517"/>
    <w:rsid w:val="003F30B8"/>
    <w:rsid w:val="003F4C45"/>
    <w:rsid w:val="003F5F7B"/>
    <w:rsid w:val="003F7D64"/>
    <w:rsid w:val="00403C85"/>
    <w:rsid w:val="0040433A"/>
    <w:rsid w:val="00414300"/>
    <w:rsid w:val="00414F27"/>
    <w:rsid w:val="00420703"/>
    <w:rsid w:val="00425C67"/>
    <w:rsid w:val="00427E7A"/>
    <w:rsid w:val="004355AC"/>
    <w:rsid w:val="00436C49"/>
    <w:rsid w:val="00443D98"/>
    <w:rsid w:val="00445366"/>
    <w:rsid w:val="00447F5B"/>
    <w:rsid w:val="00450125"/>
    <w:rsid w:val="00461DB0"/>
    <w:rsid w:val="00463926"/>
    <w:rsid w:val="00464AB7"/>
    <w:rsid w:val="00464C9A"/>
    <w:rsid w:val="00471660"/>
    <w:rsid w:val="00474F3D"/>
    <w:rsid w:val="00477E3A"/>
    <w:rsid w:val="00483E5F"/>
    <w:rsid w:val="00485FF9"/>
    <w:rsid w:val="0049049B"/>
    <w:rsid w:val="004907F0"/>
    <w:rsid w:val="0049140B"/>
    <w:rsid w:val="004923A5"/>
    <w:rsid w:val="00492B8E"/>
    <w:rsid w:val="0049310E"/>
    <w:rsid w:val="004950E2"/>
    <w:rsid w:val="00496BFB"/>
    <w:rsid w:val="004A15C7"/>
    <w:rsid w:val="004A3201"/>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E45"/>
    <w:rsid w:val="004F10AF"/>
    <w:rsid w:val="004F11A4"/>
    <w:rsid w:val="004F2389"/>
    <w:rsid w:val="004F304D"/>
    <w:rsid w:val="004F4290"/>
    <w:rsid w:val="004F61BE"/>
    <w:rsid w:val="004F66B1"/>
    <w:rsid w:val="00505F69"/>
    <w:rsid w:val="00511C07"/>
    <w:rsid w:val="005125CB"/>
    <w:rsid w:val="00512EC4"/>
    <w:rsid w:val="0051725A"/>
    <w:rsid w:val="005173A6"/>
    <w:rsid w:val="00517BB8"/>
    <w:rsid w:val="00520354"/>
    <w:rsid w:val="00520BAA"/>
    <w:rsid w:val="005217D8"/>
    <w:rsid w:val="00525208"/>
    <w:rsid w:val="005257A5"/>
    <w:rsid w:val="005264C0"/>
    <w:rsid w:val="00526A8A"/>
    <w:rsid w:val="00527FB1"/>
    <w:rsid w:val="00530E63"/>
    <w:rsid w:val="00530FE6"/>
    <w:rsid w:val="00531DF2"/>
    <w:rsid w:val="0053315C"/>
    <w:rsid w:val="00537476"/>
    <w:rsid w:val="005442EE"/>
    <w:rsid w:val="00545DA6"/>
    <w:rsid w:val="0054716E"/>
    <w:rsid w:val="00547353"/>
    <w:rsid w:val="005474E7"/>
    <w:rsid w:val="005512A3"/>
    <w:rsid w:val="005578CE"/>
    <w:rsid w:val="00562781"/>
    <w:rsid w:val="00562B6C"/>
    <w:rsid w:val="0056740E"/>
    <w:rsid w:val="0057271C"/>
    <w:rsid w:val="00572845"/>
    <w:rsid w:val="005879A2"/>
    <w:rsid w:val="00592772"/>
    <w:rsid w:val="0059574A"/>
    <w:rsid w:val="005A1B9B"/>
    <w:rsid w:val="005A2221"/>
    <w:rsid w:val="005A2E79"/>
    <w:rsid w:val="005A6751"/>
    <w:rsid w:val="005B092E"/>
    <w:rsid w:val="005B152C"/>
    <w:rsid w:val="005B1EE0"/>
    <w:rsid w:val="005B2B24"/>
    <w:rsid w:val="005B4425"/>
    <w:rsid w:val="005B4B94"/>
    <w:rsid w:val="005C1F20"/>
    <w:rsid w:val="005C2C62"/>
    <w:rsid w:val="005C3EE8"/>
    <w:rsid w:val="005D17D1"/>
    <w:rsid w:val="005D2F2A"/>
    <w:rsid w:val="005D34F9"/>
    <w:rsid w:val="005D4190"/>
    <w:rsid w:val="005D67A3"/>
    <w:rsid w:val="005E2988"/>
    <w:rsid w:val="005E3085"/>
    <w:rsid w:val="005F0EB3"/>
    <w:rsid w:val="005F51E1"/>
    <w:rsid w:val="0060053D"/>
    <w:rsid w:val="00611C80"/>
    <w:rsid w:val="00620692"/>
    <w:rsid w:val="00623885"/>
    <w:rsid w:val="006242CA"/>
    <w:rsid w:val="00627507"/>
    <w:rsid w:val="00633717"/>
    <w:rsid w:val="006344E1"/>
    <w:rsid w:val="00643524"/>
    <w:rsid w:val="0064393B"/>
    <w:rsid w:val="00645CF2"/>
    <w:rsid w:val="00653BED"/>
    <w:rsid w:val="006545C4"/>
    <w:rsid w:val="00661971"/>
    <w:rsid w:val="00661CE8"/>
    <w:rsid w:val="006623D9"/>
    <w:rsid w:val="006642A5"/>
    <w:rsid w:val="0066550C"/>
    <w:rsid w:val="00665BD2"/>
    <w:rsid w:val="006716F2"/>
    <w:rsid w:val="00675AF2"/>
    <w:rsid w:val="00682BF2"/>
    <w:rsid w:val="0068573E"/>
    <w:rsid w:val="006859CE"/>
    <w:rsid w:val="00691270"/>
    <w:rsid w:val="00694BA8"/>
    <w:rsid w:val="006A037C"/>
    <w:rsid w:val="006A0C84"/>
    <w:rsid w:val="006A36F4"/>
    <w:rsid w:val="006A406F"/>
    <w:rsid w:val="006A4E97"/>
    <w:rsid w:val="006A5D3A"/>
    <w:rsid w:val="006B1942"/>
    <w:rsid w:val="006C23D4"/>
    <w:rsid w:val="006C7BB0"/>
    <w:rsid w:val="006D3237"/>
    <w:rsid w:val="006E2E37"/>
    <w:rsid w:val="006E3CF1"/>
    <w:rsid w:val="006E68A3"/>
    <w:rsid w:val="006E7E80"/>
    <w:rsid w:val="006F1C2D"/>
    <w:rsid w:val="006F48CA"/>
    <w:rsid w:val="006F64DD"/>
    <w:rsid w:val="006F712D"/>
    <w:rsid w:val="00715127"/>
    <w:rsid w:val="00715E8E"/>
    <w:rsid w:val="00723580"/>
    <w:rsid w:val="00723755"/>
    <w:rsid w:val="0073136C"/>
    <w:rsid w:val="00731F0F"/>
    <w:rsid w:val="00733250"/>
    <w:rsid w:val="00741404"/>
    <w:rsid w:val="007449E5"/>
    <w:rsid w:val="0074750E"/>
    <w:rsid w:val="00747FF0"/>
    <w:rsid w:val="00751066"/>
    <w:rsid w:val="0075566E"/>
    <w:rsid w:val="0076172C"/>
    <w:rsid w:val="00763602"/>
    <w:rsid w:val="00764D4E"/>
    <w:rsid w:val="00765A1F"/>
    <w:rsid w:val="007710DD"/>
    <w:rsid w:val="00775B6D"/>
    <w:rsid w:val="00776D68"/>
    <w:rsid w:val="00781140"/>
    <w:rsid w:val="0078323E"/>
    <w:rsid w:val="007849C2"/>
    <w:rsid w:val="007850EE"/>
    <w:rsid w:val="00785B95"/>
    <w:rsid w:val="00790E96"/>
    <w:rsid w:val="007926FD"/>
    <w:rsid w:val="00793366"/>
    <w:rsid w:val="0079666C"/>
    <w:rsid w:val="007A54E1"/>
    <w:rsid w:val="007A716F"/>
    <w:rsid w:val="007B270A"/>
    <w:rsid w:val="007B4182"/>
    <w:rsid w:val="007C0695"/>
    <w:rsid w:val="007C419A"/>
    <w:rsid w:val="007C4CC8"/>
    <w:rsid w:val="007C5426"/>
    <w:rsid w:val="007C5798"/>
    <w:rsid w:val="007D1ECD"/>
    <w:rsid w:val="007D3701"/>
    <w:rsid w:val="007D4832"/>
    <w:rsid w:val="007E21B2"/>
    <w:rsid w:val="007E2C4E"/>
    <w:rsid w:val="007E2C8C"/>
    <w:rsid w:val="007E51BA"/>
    <w:rsid w:val="007E73D7"/>
    <w:rsid w:val="007E79A4"/>
    <w:rsid w:val="007F1905"/>
    <w:rsid w:val="007F27E4"/>
    <w:rsid w:val="007F3437"/>
    <w:rsid w:val="00802C64"/>
    <w:rsid w:val="00805E52"/>
    <w:rsid w:val="008061D0"/>
    <w:rsid w:val="00810B38"/>
    <w:rsid w:val="008204C7"/>
    <w:rsid w:val="00820992"/>
    <w:rsid w:val="00823602"/>
    <w:rsid w:val="008255F5"/>
    <w:rsid w:val="00826890"/>
    <w:rsid w:val="0083014E"/>
    <w:rsid w:val="0083214A"/>
    <w:rsid w:val="00832BC6"/>
    <w:rsid w:val="00834220"/>
    <w:rsid w:val="00845723"/>
    <w:rsid w:val="008519E7"/>
    <w:rsid w:val="00851EF9"/>
    <w:rsid w:val="008577FD"/>
    <w:rsid w:val="00860B03"/>
    <w:rsid w:val="0086497A"/>
    <w:rsid w:val="0086538E"/>
    <w:rsid w:val="00867066"/>
    <w:rsid w:val="008713A1"/>
    <w:rsid w:val="00872584"/>
    <w:rsid w:val="008754AB"/>
    <w:rsid w:val="0088060C"/>
    <w:rsid w:val="00882CD5"/>
    <w:rsid w:val="00883151"/>
    <w:rsid w:val="00893576"/>
    <w:rsid w:val="00893E73"/>
    <w:rsid w:val="008B02DC"/>
    <w:rsid w:val="008B092C"/>
    <w:rsid w:val="008B57CE"/>
    <w:rsid w:val="008C26DE"/>
    <w:rsid w:val="008D1668"/>
    <w:rsid w:val="008D2225"/>
    <w:rsid w:val="008D4752"/>
    <w:rsid w:val="008D5A13"/>
    <w:rsid w:val="008E271C"/>
    <w:rsid w:val="008E3A08"/>
    <w:rsid w:val="008E418E"/>
    <w:rsid w:val="008E5BC6"/>
    <w:rsid w:val="008E6217"/>
    <w:rsid w:val="008E6A25"/>
    <w:rsid w:val="008F2465"/>
    <w:rsid w:val="008F2554"/>
    <w:rsid w:val="008F3AEC"/>
    <w:rsid w:val="008F4D80"/>
    <w:rsid w:val="008F5193"/>
    <w:rsid w:val="008F6B36"/>
    <w:rsid w:val="009013A7"/>
    <w:rsid w:val="009017FB"/>
    <w:rsid w:val="009017FC"/>
    <w:rsid w:val="0090506B"/>
    <w:rsid w:val="009050C9"/>
    <w:rsid w:val="009066FC"/>
    <w:rsid w:val="009140A3"/>
    <w:rsid w:val="009144A2"/>
    <w:rsid w:val="00914DBE"/>
    <w:rsid w:val="0091510C"/>
    <w:rsid w:val="009259AC"/>
    <w:rsid w:val="00926F38"/>
    <w:rsid w:val="00927BEB"/>
    <w:rsid w:val="009333DC"/>
    <w:rsid w:val="00934301"/>
    <w:rsid w:val="00936CD1"/>
    <w:rsid w:val="0094131C"/>
    <w:rsid w:val="00941747"/>
    <w:rsid w:val="00941EFB"/>
    <w:rsid w:val="00947AFB"/>
    <w:rsid w:val="00951AA3"/>
    <w:rsid w:val="00951D7D"/>
    <w:rsid w:val="00956D0C"/>
    <w:rsid w:val="009630C7"/>
    <w:rsid w:val="00972B55"/>
    <w:rsid w:val="009743B7"/>
    <w:rsid w:val="0098228B"/>
    <w:rsid w:val="009828DA"/>
    <w:rsid w:val="0098410D"/>
    <w:rsid w:val="00985BAB"/>
    <w:rsid w:val="00986B3C"/>
    <w:rsid w:val="009A115C"/>
    <w:rsid w:val="009A7FC1"/>
    <w:rsid w:val="009B1606"/>
    <w:rsid w:val="009B1B5F"/>
    <w:rsid w:val="009B6673"/>
    <w:rsid w:val="009C191B"/>
    <w:rsid w:val="009C2BD6"/>
    <w:rsid w:val="009D57AA"/>
    <w:rsid w:val="009E1F32"/>
    <w:rsid w:val="009E2CC2"/>
    <w:rsid w:val="009E47A2"/>
    <w:rsid w:val="009E776C"/>
    <w:rsid w:val="009E7A6F"/>
    <w:rsid w:val="009F4C8F"/>
    <w:rsid w:val="00A02972"/>
    <w:rsid w:val="00A05588"/>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45145"/>
    <w:rsid w:val="00A51D0F"/>
    <w:rsid w:val="00A54192"/>
    <w:rsid w:val="00A57147"/>
    <w:rsid w:val="00A57401"/>
    <w:rsid w:val="00A6035E"/>
    <w:rsid w:val="00A6144C"/>
    <w:rsid w:val="00A66617"/>
    <w:rsid w:val="00A671F8"/>
    <w:rsid w:val="00A673A4"/>
    <w:rsid w:val="00A724AE"/>
    <w:rsid w:val="00A73329"/>
    <w:rsid w:val="00A82359"/>
    <w:rsid w:val="00A865D2"/>
    <w:rsid w:val="00A87C10"/>
    <w:rsid w:val="00A90BCD"/>
    <w:rsid w:val="00A92625"/>
    <w:rsid w:val="00A94C20"/>
    <w:rsid w:val="00A95D81"/>
    <w:rsid w:val="00AA1B09"/>
    <w:rsid w:val="00AA227F"/>
    <w:rsid w:val="00AA3BC7"/>
    <w:rsid w:val="00AA754A"/>
    <w:rsid w:val="00AB099E"/>
    <w:rsid w:val="00AB4328"/>
    <w:rsid w:val="00AC38DE"/>
    <w:rsid w:val="00AC4CD4"/>
    <w:rsid w:val="00AE0A2E"/>
    <w:rsid w:val="00AE354C"/>
    <w:rsid w:val="00AF12C5"/>
    <w:rsid w:val="00AF4B07"/>
    <w:rsid w:val="00AF6186"/>
    <w:rsid w:val="00AF7A3A"/>
    <w:rsid w:val="00B02587"/>
    <w:rsid w:val="00B049D1"/>
    <w:rsid w:val="00B141FF"/>
    <w:rsid w:val="00B14793"/>
    <w:rsid w:val="00B153A0"/>
    <w:rsid w:val="00B160DB"/>
    <w:rsid w:val="00B20836"/>
    <w:rsid w:val="00B235BB"/>
    <w:rsid w:val="00B27A44"/>
    <w:rsid w:val="00B30BBF"/>
    <w:rsid w:val="00B33C03"/>
    <w:rsid w:val="00B4421F"/>
    <w:rsid w:val="00B44E56"/>
    <w:rsid w:val="00B45917"/>
    <w:rsid w:val="00B46543"/>
    <w:rsid w:val="00B47D33"/>
    <w:rsid w:val="00B52BE0"/>
    <w:rsid w:val="00B54133"/>
    <w:rsid w:val="00B55A8D"/>
    <w:rsid w:val="00B6747E"/>
    <w:rsid w:val="00B701ED"/>
    <w:rsid w:val="00B748F7"/>
    <w:rsid w:val="00B8086C"/>
    <w:rsid w:val="00B81C58"/>
    <w:rsid w:val="00B861B4"/>
    <w:rsid w:val="00B86DFE"/>
    <w:rsid w:val="00B90990"/>
    <w:rsid w:val="00B90FE4"/>
    <w:rsid w:val="00B922FF"/>
    <w:rsid w:val="00B9281E"/>
    <w:rsid w:val="00B93925"/>
    <w:rsid w:val="00B95187"/>
    <w:rsid w:val="00BA2D55"/>
    <w:rsid w:val="00BA71B1"/>
    <w:rsid w:val="00BB0637"/>
    <w:rsid w:val="00BB345F"/>
    <w:rsid w:val="00BB68EA"/>
    <w:rsid w:val="00BC0B99"/>
    <w:rsid w:val="00BC1C27"/>
    <w:rsid w:val="00BC56A7"/>
    <w:rsid w:val="00BC6BBF"/>
    <w:rsid w:val="00BD1572"/>
    <w:rsid w:val="00BE14E3"/>
    <w:rsid w:val="00BE3774"/>
    <w:rsid w:val="00BE41E5"/>
    <w:rsid w:val="00BE4CE2"/>
    <w:rsid w:val="00BF118F"/>
    <w:rsid w:val="00BF4109"/>
    <w:rsid w:val="00BF4CC3"/>
    <w:rsid w:val="00C0369E"/>
    <w:rsid w:val="00C054C7"/>
    <w:rsid w:val="00C057B5"/>
    <w:rsid w:val="00C07D0E"/>
    <w:rsid w:val="00C115C3"/>
    <w:rsid w:val="00C15547"/>
    <w:rsid w:val="00C1672D"/>
    <w:rsid w:val="00C22687"/>
    <w:rsid w:val="00C26A92"/>
    <w:rsid w:val="00C26B1C"/>
    <w:rsid w:val="00C32E4D"/>
    <w:rsid w:val="00C333A0"/>
    <w:rsid w:val="00C36A81"/>
    <w:rsid w:val="00C41974"/>
    <w:rsid w:val="00C44A2C"/>
    <w:rsid w:val="00C44F09"/>
    <w:rsid w:val="00C477F7"/>
    <w:rsid w:val="00C509A6"/>
    <w:rsid w:val="00C53F4A"/>
    <w:rsid w:val="00C54125"/>
    <w:rsid w:val="00C55B54"/>
    <w:rsid w:val="00C6098E"/>
    <w:rsid w:val="00C6152C"/>
    <w:rsid w:val="00C71424"/>
    <w:rsid w:val="00C74810"/>
    <w:rsid w:val="00C90D68"/>
    <w:rsid w:val="00C939FE"/>
    <w:rsid w:val="00CA4BDA"/>
    <w:rsid w:val="00CB13E3"/>
    <w:rsid w:val="00CB1F66"/>
    <w:rsid w:val="00CB232C"/>
    <w:rsid w:val="00CB2951"/>
    <w:rsid w:val="00CB4277"/>
    <w:rsid w:val="00CC5067"/>
    <w:rsid w:val="00CD11D3"/>
    <w:rsid w:val="00CD282B"/>
    <w:rsid w:val="00CD447B"/>
    <w:rsid w:val="00CD4C35"/>
    <w:rsid w:val="00CD7369"/>
    <w:rsid w:val="00CE0B0E"/>
    <w:rsid w:val="00CE3831"/>
    <w:rsid w:val="00CF2397"/>
    <w:rsid w:val="00D00ABB"/>
    <w:rsid w:val="00D02EEC"/>
    <w:rsid w:val="00D03551"/>
    <w:rsid w:val="00D04315"/>
    <w:rsid w:val="00D06A63"/>
    <w:rsid w:val="00D07E0E"/>
    <w:rsid w:val="00D10CD6"/>
    <w:rsid w:val="00D11478"/>
    <w:rsid w:val="00D15ED0"/>
    <w:rsid w:val="00D164BF"/>
    <w:rsid w:val="00D21B3E"/>
    <w:rsid w:val="00D21FED"/>
    <w:rsid w:val="00D23048"/>
    <w:rsid w:val="00D24251"/>
    <w:rsid w:val="00D26E72"/>
    <w:rsid w:val="00D343E2"/>
    <w:rsid w:val="00D361A2"/>
    <w:rsid w:val="00D37272"/>
    <w:rsid w:val="00D44C2E"/>
    <w:rsid w:val="00D45414"/>
    <w:rsid w:val="00D50A0A"/>
    <w:rsid w:val="00D53548"/>
    <w:rsid w:val="00D5576B"/>
    <w:rsid w:val="00D566BD"/>
    <w:rsid w:val="00D57A4D"/>
    <w:rsid w:val="00D60AA7"/>
    <w:rsid w:val="00D6435F"/>
    <w:rsid w:val="00D66471"/>
    <w:rsid w:val="00D669D4"/>
    <w:rsid w:val="00D70641"/>
    <w:rsid w:val="00D74888"/>
    <w:rsid w:val="00D7488B"/>
    <w:rsid w:val="00D75E28"/>
    <w:rsid w:val="00D772C2"/>
    <w:rsid w:val="00D8008E"/>
    <w:rsid w:val="00D82C45"/>
    <w:rsid w:val="00D908A8"/>
    <w:rsid w:val="00D9359F"/>
    <w:rsid w:val="00D977B6"/>
    <w:rsid w:val="00DA1223"/>
    <w:rsid w:val="00DA4A31"/>
    <w:rsid w:val="00DA7B04"/>
    <w:rsid w:val="00DB36C2"/>
    <w:rsid w:val="00DC00A8"/>
    <w:rsid w:val="00DC169B"/>
    <w:rsid w:val="00DC2AB9"/>
    <w:rsid w:val="00DC63F0"/>
    <w:rsid w:val="00DD37EA"/>
    <w:rsid w:val="00DD3AA9"/>
    <w:rsid w:val="00DD6EE5"/>
    <w:rsid w:val="00DE386C"/>
    <w:rsid w:val="00DE4D35"/>
    <w:rsid w:val="00DF098B"/>
    <w:rsid w:val="00DF11C4"/>
    <w:rsid w:val="00DF210C"/>
    <w:rsid w:val="00DF4B6A"/>
    <w:rsid w:val="00E004C0"/>
    <w:rsid w:val="00E02C09"/>
    <w:rsid w:val="00E03345"/>
    <w:rsid w:val="00E04D59"/>
    <w:rsid w:val="00E07DA1"/>
    <w:rsid w:val="00E123CB"/>
    <w:rsid w:val="00E13B09"/>
    <w:rsid w:val="00E20E13"/>
    <w:rsid w:val="00E21DBC"/>
    <w:rsid w:val="00E275D7"/>
    <w:rsid w:val="00E27DBE"/>
    <w:rsid w:val="00E32AB1"/>
    <w:rsid w:val="00E36C71"/>
    <w:rsid w:val="00E40404"/>
    <w:rsid w:val="00E40DAB"/>
    <w:rsid w:val="00E4126A"/>
    <w:rsid w:val="00E42A06"/>
    <w:rsid w:val="00E459C6"/>
    <w:rsid w:val="00E47589"/>
    <w:rsid w:val="00E557AA"/>
    <w:rsid w:val="00E63EC7"/>
    <w:rsid w:val="00E64915"/>
    <w:rsid w:val="00E64D3A"/>
    <w:rsid w:val="00E661D4"/>
    <w:rsid w:val="00E67565"/>
    <w:rsid w:val="00E70091"/>
    <w:rsid w:val="00E70D2E"/>
    <w:rsid w:val="00E720F5"/>
    <w:rsid w:val="00E744E0"/>
    <w:rsid w:val="00E76D47"/>
    <w:rsid w:val="00E827BC"/>
    <w:rsid w:val="00E838A6"/>
    <w:rsid w:val="00E849F7"/>
    <w:rsid w:val="00E90302"/>
    <w:rsid w:val="00E91D05"/>
    <w:rsid w:val="00E9262D"/>
    <w:rsid w:val="00E92FFB"/>
    <w:rsid w:val="00E94245"/>
    <w:rsid w:val="00E95C1E"/>
    <w:rsid w:val="00E97396"/>
    <w:rsid w:val="00EA185E"/>
    <w:rsid w:val="00EA592A"/>
    <w:rsid w:val="00EB14E4"/>
    <w:rsid w:val="00EB32A5"/>
    <w:rsid w:val="00EB34ED"/>
    <w:rsid w:val="00EB447C"/>
    <w:rsid w:val="00EB7BE0"/>
    <w:rsid w:val="00EC315E"/>
    <w:rsid w:val="00ED077C"/>
    <w:rsid w:val="00ED10A9"/>
    <w:rsid w:val="00ED1190"/>
    <w:rsid w:val="00ED34AC"/>
    <w:rsid w:val="00ED6544"/>
    <w:rsid w:val="00EE0277"/>
    <w:rsid w:val="00EE2899"/>
    <w:rsid w:val="00EE3E00"/>
    <w:rsid w:val="00EE5DD2"/>
    <w:rsid w:val="00EF36C5"/>
    <w:rsid w:val="00EF3DB4"/>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66A2"/>
    <w:rsid w:val="00F32269"/>
    <w:rsid w:val="00F35B7A"/>
    <w:rsid w:val="00F56A6F"/>
    <w:rsid w:val="00F5709C"/>
    <w:rsid w:val="00F60B85"/>
    <w:rsid w:val="00F64EF1"/>
    <w:rsid w:val="00F72498"/>
    <w:rsid w:val="00F72B14"/>
    <w:rsid w:val="00F7349B"/>
    <w:rsid w:val="00F8765F"/>
    <w:rsid w:val="00F90767"/>
    <w:rsid w:val="00F9263C"/>
    <w:rsid w:val="00FA1637"/>
    <w:rsid w:val="00FA685B"/>
    <w:rsid w:val="00FB0C01"/>
    <w:rsid w:val="00FB5934"/>
    <w:rsid w:val="00FC18F2"/>
    <w:rsid w:val="00FC2A17"/>
    <w:rsid w:val="00FC38CF"/>
    <w:rsid w:val="00FC39E5"/>
    <w:rsid w:val="00FC3A78"/>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CBB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7A54E1"/>
    <w:rPr>
      <w:sz w:val="24"/>
      <w:szCs w:val="24"/>
    </w:rPr>
  </w:style>
  <w:style w:type="paragraph" w:styleId="Heading1">
    <w:name w:val="heading 1"/>
    <w:basedOn w:val="Normal"/>
    <w:next w:val="Normal"/>
    <w:link w:val="Heading1Char"/>
    <w:uiPriority w:val="98"/>
    <w:semiHidden/>
    <w:rsid w:val="007A54E1"/>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7A54E1"/>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7A54E1"/>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7A54E1"/>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7A54E1"/>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7A54E1"/>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7A54E1"/>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7A54E1"/>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7A54E1"/>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7A54E1"/>
    <w:rPr>
      <w:rFonts w:ascii="Tahoma" w:hAnsi="Tahoma" w:cs="Tahoma"/>
      <w:sz w:val="16"/>
      <w:szCs w:val="16"/>
    </w:rPr>
  </w:style>
  <w:style w:type="character" w:customStyle="1" w:styleId="BalloonTextChar">
    <w:name w:val="Balloon Text Char"/>
    <w:basedOn w:val="DefaultParagraphFont"/>
    <w:link w:val="BalloonText"/>
    <w:uiPriority w:val="98"/>
    <w:semiHidden/>
    <w:rsid w:val="007A54E1"/>
    <w:rPr>
      <w:rFonts w:ascii="Tahoma" w:hAnsi="Tahoma" w:cs="Tahoma"/>
      <w:sz w:val="16"/>
      <w:szCs w:val="16"/>
      <w:lang w:val="ro-RO"/>
    </w:rPr>
  </w:style>
  <w:style w:type="character" w:styleId="BookTitle">
    <w:name w:val="Book Title"/>
    <w:uiPriority w:val="98"/>
    <w:semiHidden/>
    <w:qFormat/>
    <w:rsid w:val="007A54E1"/>
    <w:rPr>
      <w:i/>
      <w:iCs/>
      <w:smallCaps/>
      <w:spacing w:val="5"/>
    </w:rPr>
  </w:style>
  <w:style w:type="paragraph" w:customStyle="1" w:styleId="JuHeader">
    <w:name w:val="Ju_Header"/>
    <w:aliases w:val="_Header"/>
    <w:basedOn w:val="Header"/>
    <w:uiPriority w:val="29"/>
    <w:qFormat/>
    <w:rsid w:val="007A54E1"/>
    <w:pPr>
      <w:tabs>
        <w:tab w:val="clear" w:pos="4536"/>
        <w:tab w:val="clear" w:pos="9072"/>
      </w:tabs>
      <w:jc w:val="center"/>
    </w:pPr>
    <w:rPr>
      <w:sz w:val="18"/>
    </w:rPr>
  </w:style>
  <w:style w:type="paragraph" w:customStyle="1" w:styleId="NormalJustified">
    <w:name w:val="Normal_Justified"/>
    <w:basedOn w:val="Normal"/>
    <w:semiHidden/>
    <w:rsid w:val="007A54E1"/>
    <w:pPr>
      <w:jc w:val="both"/>
    </w:pPr>
  </w:style>
  <w:style w:type="character" w:styleId="Strong">
    <w:name w:val="Strong"/>
    <w:uiPriority w:val="98"/>
    <w:semiHidden/>
    <w:qFormat/>
    <w:rsid w:val="007A54E1"/>
    <w:rPr>
      <w:b/>
      <w:bCs/>
    </w:rPr>
  </w:style>
  <w:style w:type="paragraph" w:styleId="NoSpacing">
    <w:name w:val="No Spacing"/>
    <w:basedOn w:val="Normal"/>
    <w:link w:val="NoSpacingChar"/>
    <w:uiPriority w:val="98"/>
    <w:semiHidden/>
    <w:qFormat/>
    <w:rsid w:val="007A54E1"/>
  </w:style>
  <w:style w:type="character" w:customStyle="1" w:styleId="NoSpacingChar">
    <w:name w:val="No Spacing Char"/>
    <w:basedOn w:val="DefaultParagraphFont"/>
    <w:link w:val="NoSpacing"/>
    <w:uiPriority w:val="98"/>
    <w:semiHidden/>
    <w:rsid w:val="007A54E1"/>
    <w:rPr>
      <w:sz w:val="24"/>
      <w:szCs w:val="24"/>
      <w:lang w:val="ro-RO"/>
    </w:rPr>
  </w:style>
  <w:style w:type="paragraph" w:customStyle="1" w:styleId="JuQuot">
    <w:name w:val="Ju_Quot"/>
    <w:aliases w:val="_Quote"/>
    <w:basedOn w:val="NormalJustified"/>
    <w:uiPriority w:val="20"/>
    <w:qFormat/>
    <w:rsid w:val="007A54E1"/>
    <w:pPr>
      <w:spacing w:before="120" w:after="120"/>
      <w:ind w:left="425" w:firstLine="142"/>
    </w:pPr>
    <w:rPr>
      <w:sz w:val="20"/>
    </w:rPr>
  </w:style>
  <w:style w:type="paragraph" w:customStyle="1" w:styleId="DummyStyle">
    <w:name w:val="Dummy_Style"/>
    <w:aliases w:val="_Dummy"/>
    <w:basedOn w:val="Normal"/>
    <w:semiHidden/>
    <w:qFormat/>
    <w:rsid w:val="007A54E1"/>
    <w:rPr>
      <w:color w:val="00B050"/>
      <w:sz w:val="22"/>
    </w:rPr>
  </w:style>
  <w:style w:type="paragraph" w:customStyle="1" w:styleId="JuList">
    <w:name w:val="Ju_List"/>
    <w:aliases w:val="_List_1"/>
    <w:basedOn w:val="NormalJustified"/>
    <w:uiPriority w:val="23"/>
    <w:qFormat/>
    <w:rsid w:val="007A54E1"/>
    <w:pPr>
      <w:numPr>
        <w:numId w:val="23"/>
      </w:numPr>
      <w:spacing w:before="280" w:after="60"/>
    </w:pPr>
  </w:style>
  <w:style w:type="paragraph" w:customStyle="1" w:styleId="JuLista">
    <w:name w:val="Ju_List_a"/>
    <w:aliases w:val="_List_2"/>
    <w:basedOn w:val="NormalJustified"/>
    <w:uiPriority w:val="23"/>
    <w:rsid w:val="007A54E1"/>
    <w:pPr>
      <w:numPr>
        <w:ilvl w:val="1"/>
        <w:numId w:val="23"/>
      </w:numPr>
    </w:pPr>
  </w:style>
  <w:style w:type="paragraph" w:customStyle="1" w:styleId="JuListi">
    <w:name w:val="Ju_List_i"/>
    <w:aliases w:val="_List_3"/>
    <w:basedOn w:val="NormalJustified"/>
    <w:uiPriority w:val="23"/>
    <w:rsid w:val="007A54E1"/>
    <w:pPr>
      <w:numPr>
        <w:ilvl w:val="2"/>
        <w:numId w:val="23"/>
      </w:numPr>
    </w:pPr>
  </w:style>
  <w:style w:type="paragraph" w:customStyle="1" w:styleId="JuHArticle">
    <w:name w:val="Ju_H_Article"/>
    <w:aliases w:val="_Title_Quote"/>
    <w:basedOn w:val="Normal"/>
    <w:next w:val="JuQuot"/>
    <w:uiPriority w:val="19"/>
    <w:qFormat/>
    <w:rsid w:val="007A54E1"/>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7A54E1"/>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7A54E1"/>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7A54E1"/>
    <w:pPr>
      <w:keepNext/>
      <w:keepLines/>
      <w:numPr>
        <w:numId w:val="22"/>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7A54E1"/>
    <w:pPr>
      <w:numPr>
        <w:numId w:val="17"/>
      </w:numPr>
    </w:pPr>
  </w:style>
  <w:style w:type="paragraph" w:customStyle="1" w:styleId="JuSigned">
    <w:name w:val="Ju_Signed"/>
    <w:aliases w:val="_Signature"/>
    <w:basedOn w:val="Normal"/>
    <w:next w:val="JuPara"/>
    <w:uiPriority w:val="31"/>
    <w:qFormat/>
    <w:rsid w:val="007A54E1"/>
    <w:pPr>
      <w:tabs>
        <w:tab w:val="center" w:pos="1418"/>
        <w:tab w:val="center" w:pos="5954"/>
      </w:tabs>
      <w:spacing w:before="720"/>
    </w:pPr>
  </w:style>
  <w:style w:type="paragraph" w:styleId="Title">
    <w:name w:val="Title"/>
    <w:basedOn w:val="Normal"/>
    <w:next w:val="Normal"/>
    <w:link w:val="TitleChar"/>
    <w:uiPriority w:val="98"/>
    <w:semiHidden/>
    <w:qFormat/>
    <w:rsid w:val="007A54E1"/>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7A54E1"/>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7A54E1"/>
    <w:pPr>
      <w:numPr>
        <w:numId w:val="18"/>
      </w:numPr>
    </w:pPr>
  </w:style>
  <w:style w:type="numbering" w:customStyle="1" w:styleId="ECHRA1StyleNumberedList">
    <w:name w:val="ECHR_A1_Style_Numbered_List"/>
    <w:basedOn w:val="NoList"/>
    <w:rsid w:val="007A54E1"/>
    <w:pPr>
      <w:numPr>
        <w:numId w:val="19"/>
      </w:numPr>
    </w:pPr>
  </w:style>
  <w:style w:type="table" w:customStyle="1" w:styleId="ECHRTable2019">
    <w:name w:val="ECHR_Table_2019"/>
    <w:basedOn w:val="TableNormal"/>
    <w:uiPriority w:val="99"/>
    <w:rsid w:val="007A54E1"/>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auto"/>
        <w:sz w:val="22"/>
      </w:rPr>
      <w:tblPr/>
      <w:tcPr>
        <w:shd w:val="clear" w:color="auto" w:fill="DDDDDD" w:themeFill="accent3" w:themeFillTint="3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band2Horz">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l2br w:val="nil"/>
          <w:tr2bl w:val="nil"/>
        </w:tcBorders>
        <w:shd w:val="clear" w:color="auto" w:fill="EFEFEF"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7A54E1"/>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7A54E1"/>
    <w:pPr>
      <w:keepNext/>
      <w:keepLines/>
      <w:numPr>
        <w:ilvl w:val="1"/>
        <w:numId w:val="22"/>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7A54E1"/>
    <w:pPr>
      <w:keepNext/>
      <w:keepLines/>
      <w:numPr>
        <w:ilvl w:val="2"/>
        <w:numId w:val="22"/>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7A54E1"/>
    <w:pPr>
      <w:keepNext/>
      <w:keepLines/>
      <w:numPr>
        <w:ilvl w:val="3"/>
        <w:numId w:val="22"/>
      </w:numPr>
      <w:spacing w:before="100" w:beforeAutospacing="1" w:after="120"/>
      <w:jc w:val="both"/>
    </w:pPr>
    <w:rPr>
      <w:b w:val="0"/>
      <w:color w:val="auto"/>
      <w:sz w:val="24"/>
    </w:rPr>
  </w:style>
  <w:style w:type="paragraph" w:styleId="Header">
    <w:name w:val="header"/>
    <w:basedOn w:val="Normal"/>
    <w:link w:val="HeaderChar"/>
    <w:uiPriority w:val="98"/>
    <w:semiHidden/>
    <w:rsid w:val="007A54E1"/>
    <w:pPr>
      <w:tabs>
        <w:tab w:val="center" w:pos="4536"/>
        <w:tab w:val="right" w:pos="9072"/>
      </w:tabs>
    </w:pPr>
  </w:style>
  <w:style w:type="character" w:customStyle="1" w:styleId="HeaderChar">
    <w:name w:val="Header Char"/>
    <w:basedOn w:val="DefaultParagraphFont"/>
    <w:link w:val="Header"/>
    <w:uiPriority w:val="98"/>
    <w:semiHidden/>
    <w:rsid w:val="007A54E1"/>
    <w:rPr>
      <w:sz w:val="24"/>
      <w:szCs w:val="24"/>
      <w:lang w:val="ro-RO"/>
    </w:rPr>
  </w:style>
  <w:style w:type="character" w:customStyle="1" w:styleId="Heading1Char">
    <w:name w:val="Heading 1 Char"/>
    <w:basedOn w:val="DefaultParagraphFont"/>
    <w:link w:val="Heading1"/>
    <w:uiPriority w:val="98"/>
    <w:semiHidden/>
    <w:rsid w:val="007A54E1"/>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7A54E1"/>
    <w:pPr>
      <w:keepNext/>
      <w:keepLines/>
      <w:numPr>
        <w:ilvl w:val="4"/>
        <w:numId w:val="22"/>
      </w:numPr>
      <w:spacing w:before="100" w:beforeAutospacing="1" w:after="120"/>
      <w:jc w:val="both"/>
    </w:pPr>
    <w:rPr>
      <w:color w:val="auto"/>
      <w:sz w:val="20"/>
    </w:rPr>
  </w:style>
  <w:style w:type="paragraph" w:customStyle="1" w:styleId="JuHi">
    <w:name w:val="Ju_H_i"/>
    <w:aliases w:val="_Head_6"/>
    <w:basedOn w:val="Heading6"/>
    <w:next w:val="JuPara"/>
    <w:uiPriority w:val="17"/>
    <w:rsid w:val="007A54E1"/>
    <w:pPr>
      <w:keepNext/>
      <w:keepLines/>
      <w:numPr>
        <w:ilvl w:val="5"/>
        <w:numId w:val="22"/>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7A54E1"/>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7A54E1"/>
    <w:pPr>
      <w:keepNext/>
      <w:keepLines/>
      <w:numPr>
        <w:ilvl w:val="6"/>
        <w:numId w:val="22"/>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7A54E1"/>
    <w:pPr>
      <w:keepNext/>
      <w:keepLines/>
      <w:numPr>
        <w:ilvl w:val="7"/>
        <w:numId w:val="22"/>
      </w:numPr>
      <w:spacing w:before="100" w:beforeAutospacing="1" w:after="120"/>
      <w:jc w:val="both"/>
    </w:pPr>
    <w:rPr>
      <w:i/>
    </w:rPr>
  </w:style>
  <w:style w:type="character" w:customStyle="1" w:styleId="Heading3Char">
    <w:name w:val="Heading 3 Char"/>
    <w:basedOn w:val="DefaultParagraphFont"/>
    <w:link w:val="Heading3"/>
    <w:uiPriority w:val="98"/>
    <w:semiHidden/>
    <w:rsid w:val="007A54E1"/>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7A54E1"/>
    <w:pPr>
      <w:keepNext/>
      <w:keepLines/>
      <w:spacing w:before="240" w:after="240"/>
      <w:ind w:firstLine="284"/>
    </w:pPr>
  </w:style>
  <w:style w:type="paragraph" w:customStyle="1" w:styleId="JuJudges">
    <w:name w:val="Ju_Judges"/>
    <w:aliases w:val="_Judges"/>
    <w:basedOn w:val="Normal"/>
    <w:uiPriority w:val="32"/>
    <w:qFormat/>
    <w:rsid w:val="007A54E1"/>
    <w:pPr>
      <w:tabs>
        <w:tab w:val="left" w:pos="567"/>
        <w:tab w:val="left" w:pos="1134"/>
      </w:tabs>
    </w:pPr>
  </w:style>
  <w:style w:type="character" w:customStyle="1" w:styleId="Heading4Char">
    <w:name w:val="Heading 4 Char"/>
    <w:basedOn w:val="DefaultParagraphFont"/>
    <w:link w:val="Heading4"/>
    <w:uiPriority w:val="98"/>
    <w:semiHidden/>
    <w:rsid w:val="007A54E1"/>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7A54E1"/>
    <w:pPr>
      <w:tabs>
        <w:tab w:val="center" w:pos="6407"/>
      </w:tabs>
      <w:spacing w:before="720"/>
      <w:jc w:val="right"/>
    </w:pPr>
  </w:style>
  <w:style w:type="character" w:customStyle="1" w:styleId="Heading5Char">
    <w:name w:val="Heading 5 Char"/>
    <w:basedOn w:val="DefaultParagraphFont"/>
    <w:link w:val="Heading5"/>
    <w:uiPriority w:val="98"/>
    <w:semiHidden/>
    <w:rsid w:val="007A54E1"/>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7A54E1"/>
    <w:rPr>
      <w:vanish w:val="0"/>
      <w:color w:val="auto"/>
      <w:sz w:val="14"/>
      <w:bdr w:val="none" w:sz="0" w:space="0" w:color="auto"/>
      <w:shd w:val="clear" w:color="auto" w:fill="FFFFFF" w:themeFill="background1" w:themeFillTint="33"/>
    </w:rPr>
  </w:style>
  <w:style w:type="character" w:customStyle="1" w:styleId="JUNAMES">
    <w:name w:val="JU_NAMES"/>
    <w:aliases w:val="_Ju_Names"/>
    <w:uiPriority w:val="33"/>
    <w:qFormat/>
    <w:rsid w:val="007A54E1"/>
    <w:rPr>
      <w:caps w:val="0"/>
      <w:smallCaps/>
    </w:rPr>
  </w:style>
  <w:style w:type="character" w:styleId="SubtleEmphasis">
    <w:name w:val="Subtle Emphasis"/>
    <w:uiPriority w:val="98"/>
    <w:semiHidden/>
    <w:qFormat/>
    <w:rsid w:val="007A54E1"/>
    <w:rPr>
      <w:i/>
      <w:iCs/>
    </w:rPr>
  </w:style>
  <w:style w:type="table" w:customStyle="1" w:styleId="ECHRTable">
    <w:name w:val="ECHR_Table"/>
    <w:basedOn w:val="TableNormal"/>
    <w:rsid w:val="007A54E1"/>
    <w:rPr>
      <w:rFonts w:eastAsia="Times New Roman" w:cs="Times New Roman"/>
      <w:sz w:val="20"/>
      <w:szCs w:val="20"/>
    </w:rPr>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7A54E1"/>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95959" w:themeColor="accent3"/>
      </w:rPr>
    </w:tblStylePr>
  </w:style>
  <w:style w:type="character" w:styleId="Emphasis">
    <w:name w:val="Emphasis"/>
    <w:uiPriority w:val="98"/>
    <w:semiHidden/>
    <w:qFormat/>
    <w:rsid w:val="007A54E1"/>
    <w:rPr>
      <w:b/>
      <w:bCs/>
      <w:i/>
      <w:iCs/>
      <w:spacing w:val="10"/>
      <w:bdr w:val="none" w:sz="0" w:space="0" w:color="auto"/>
      <w:shd w:val="clear" w:color="auto" w:fill="auto"/>
    </w:rPr>
  </w:style>
  <w:style w:type="paragraph" w:styleId="Footer0">
    <w:name w:val="footer"/>
    <w:basedOn w:val="Normal"/>
    <w:link w:val="FooterChar"/>
    <w:uiPriority w:val="98"/>
    <w:semiHidden/>
    <w:rsid w:val="007A54E1"/>
    <w:pPr>
      <w:tabs>
        <w:tab w:val="center" w:pos="3686"/>
        <w:tab w:val="right" w:pos="7371"/>
      </w:tabs>
    </w:pPr>
  </w:style>
  <w:style w:type="character" w:customStyle="1" w:styleId="FooterChar">
    <w:name w:val="Footer Char"/>
    <w:basedOn w:val="DefaultParagraphFont"/>
    <w:link w:val="Footer0"/>
    <w:uiPriority w:val="98"/>
    <w:semiHidden/>
    <w:rsid w:val="007A54E1"/>
    <w:rPr>
      <w:sz w:val="24"/>
      <w:szCs w:val="24"/>
      <w:lang w:val="ro-RO"/>
    </w:rPr>
  </w:style>
  <w:style w:type="character" w:styleId="FootnoteReference">
    <w:name w:val="footnote reference"/>
    <w:basedOn w:val="DefaultParagraphFont"/>
    <w:uiPriority w:val="98"/>
    <w:semiHidden/>
    <w:rsid w:val="007A54E1"/>
    <w:rPr>
      <w:vertAlign w:val="superscript"/>
    </w:rPr>
  </w:style>
  <w:style w:type="paragraph" w:styleId="FootnoteText">
    <w:name w:val="footnote text"/>
    <w:basedOn w:val="NormalJustified"/>
    <w:link w:val="FootnoteTextChar"/>
    <w:uiPriority w:val="98"/>
    <w:semiHidden/>
    <w:rsid w:val="007A54E1"/>
    <w:rPr>
      <w:sz w:val="20"/>
      <w:szCs w:val="20"/>
    </w:rPr>
  </w:style>
  <w:style w:type="character" w:customStyle="1" w:styleId="FootnoteTextChar">
    <w:name w:val="Footnote Text Char"/>
    <w:basedOn w:val="DefaultParagraphFont"/>
    <w:link w:val="FootnoteText"/>
    <w:uiPriority w:val="98"/>
    <w:semiHidden/>
    <w:rsid w:val="007A54E1"/>
    <w:rPr>
      <w:sz w:val="20"/>
      <w:szCs w:val="20"/>
      <w:lang w:val="ro-RO"/>
    </w:rPr>
  </w:style>
  <w:style w:type="character" w:customStyle="1" w:styleId="Heading6Char">
    <w:name w:val="Heading 6 Char"/>
    <w:basedOn w:val="DefaultParagraphFont"/>
    <w:link w:val="Heading6"/>
    <w:uiPriority w:val="98"/>
    <w:semiHidden/>
    <w:rsid w:val="007A54E1"/>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7A54E1"/>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7A54E1"/>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7A54E1"/>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7A54E1"/>
    <w:rPr>
      <w:color w:val="0072BC" w:themeColor="hyperlink"/>
      <w:u w:val="single"/>
    </w:rPr>
  </w:style>
  <w:style w:type="character" w:styleId="IntenseEmphasis">
    <w:name w:val="Intense Emphasis"/>
    <w:uiPriority w:val="98"/>
    <w:semiHidden/>
    <w:qFormat/>
    <w:rsid w:val="007A54E1"/>
    <w:rPr>
      <w:b/>
      <w:bCs/>
    </w:rPr>
  </w:style>
  <w:style w:type="paragraph" w:styleId="IntenseQuote">
    <w:name w:val="Intense Quote"/>
    <w:basedOn w:val="Normal"/>
    <w:next w:val="Normal"/>
    <w:link w:val="IntenseQuoteChar"/>
    <w:uiPriority w:val="98"/>
    <w:semiHidden/>
    <w:qFormat/>
    <w:rsid w:val="007A54E1"/>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7A54E1"/>
    <w:rPr>
      <w:b/>
      <w:bCs/>
      <w:i/>
      <w:iCs/>
      <w:sz w:val="24"/>
      <w:szCs w:val="24"/>
      <w:lang w:val="ro-RO" w:bidi="en-US"/>
    </w:rPr>
  </w:style>
  <w:style w:type="character" w:styleId="IntenseReference">
    <w:name w:val="Intense Reference"/>
    <w:uiPriority w:val="98"/>
    <w:semiHidden/>
    <w:qFormat/>
    <w:rsid w:val="007A54E1"/>
    <w:rPr>
      <w:smallCaps/>
      <w:spacing w:val="5"/>
      <w:u w:val="single"/>
    </w:rPr>
  </w:style>
  <w:style w:type="paragraph" w:styleId="ListParagraph">
    <w:name w:val="List Paragraph"/>
    <w:basedOn w:val="Normal"/>
    <w:uiPriority w:val="98"/>
    <w:semiHidden/>
    <w:qFormat/>
    <w:rsid w:val="007A54E1"/>
    <w:pPr>
      <w:ind w:left="720"/>
      <w:contextualSpacing/>
    </w:pPr>
  </w:style>
  <w:style w:type="table" w:customStyle="1" w:styleId="LtrTableAddress">
    <w:name w:val="Ltr_Table_Address"/>
    <w:aliases w:val="ECHR_Ltr_Table_Address"/>
    <w:basedOn w:val="TableNormal"/>
    <w:uiPriority w:val="99"/>
    <w:rsid w:val="007A54E1"/>
    <w:rPr>
      <w:sz w:val="24"/>
      <w:szCs w:val="24"/>
    </w:rPr>
    <w:tblPr>
      <w:tblInd w:w="5103" w:type="dxa"/>
    </w:tblPr>
  </w:style>
  <w:style w:type="paragraph" w:styleId="Quote">
    <w:name w:val="Quote"/>
    <w:basedOn w:val="Normal"/>
    <w:next w:val="Normal"/>
    <w:link w:val="QuoteChar"/>
    <w:uiPriority w:val="98"/>
    <w:semiHidden/>
    <w:qFormat/>
    <w:rsid w:val="007A54E1"/>
    <w:pPr>
      <w:spacing w:before="200"/>
      <w:ind w:left="360" w:right="360"/>
    </w:pPr>
    <w:rPr>
      <w:i/>
      <w:iCs/>
      <w:lang w:bidi="en-US"/>
    </w:rPr>
  </w:style>
  <w:style w:type="character" w:customStyle="1" w:styleId="QuoteChar">
    <w:name w:val="Quote Char"/>
    <w:basedOn w:val="DefaultParagraphFont"/>
    <w:link w:val="Quote"/>
    <w:uiPriority w:val="98"/>
    <w:semiHidden/>
    <w:rsid w:val="007A54E1"/>
    <w:rPr>
      <w:i/>
      <w:iCs/>
      <w:sz w:val="24"/>
      <w:szCs w:val="24"/>
      <w:lang w:val="ro-RO" w:bidi="en-US"/>
    </w:rPr>
  </w:style>
  <w:style w:type="character" w:styleId="SubtleReference">
    <w:name w:val="Subtle Reference"/>
    <w:uiPriority w:val="98"/>
    <w:semiHidden/>
    <w:qFormat/>
    <w:rsid w:val="007A54E1"/>
    <w:rPr>
      <w:smallCaps/>
    </w:rPr>
  </w:style>
  <w:style w:type="table" w:styleId="TableGrid">
    <w:name w:val="Table Grid"/>
    <w:basedOn w:val="TableNormal"/>
    <w:uiPriority w:val="59"/>
    <w:semiHidden/>
    <w:rsid w:val="007A54E1"/>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7A54E1"/>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7A54E1"/>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7A54E1"/>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7A54E1"/>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7A54E1"/>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7A54E1"/>
    <w:pPr>
      <w:keepNext/>
      <w:keepLines/>
      <w:spacing w:before="240"/>
      <w:contextualSpacing/>
      <w:jc w:val="center"/>
    </w:pPr>
    <w:rPr>
      <w:rFonts w:asciiTheme="majorHAnsi" w:hAnsiTheme="majorHAnsi"/>
      <w:b/>
      <w:color w:val="424242" w:themeColor="accent3" w:themeShade="BF"/>
      <w:sz w:val="28"/>
    </w:rPr>
  </w:style>
  <w:style w:type="table" w:customStyle="1" w:styleId="UGTable">
    <w:name w:val="UG_Table"/>
    <w:aliases w:val="ECHR_UG_Table"/>
    <w:basedOn w:val="TableNormal"/>
    <w:uiPriority w:val="99"/>
    <w:rsid w:val="007A54E1"/>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7A54E1"/>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7A54E1"/>
    <w:rPr>
      <w:color w:val="000000" w:themeColor="text1"/>
      <w:sz w:val="18"/>
      <w:szCs w:val="24"/>
    </w:rPr>
    <w:tblPr>
      <w:tblBorders>
        <w:top w:val="single" w:sz="8" w:space="0" w:color="9B9B9B" w:themeColor="accent3" w:themeTint="99"/>
        <w:left w:val="single" w:sz="8" w:space="0" w:color="9B9B9B" w:themeColor="accent3" w:themeTint="99"/>
        <w:bottom w:val="single" w:sz="8" w:space="0" w:color="9B9B9B" w:themeColor="accent3" w:themeTint="99"/>
        <w:right w:val="single" w:sz="8" w:space="0" w:color="9B9B9B" w:themeColor="accent3" w:themeTint="99"/>
        <w:insideH w:val="single" w:sz="8" w:space="0" w:color="9B9B9B" w:themeColor="accent3" w:themeTint="99"/>
        <w:insideV w:val="single" w:sz="8" w:space="0" w:color="9B9B9B"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7A54E1"/>
    <w:rPr>
      <w:color w:val="000000" w:themeColor="text1"/>
      <w:sz w:val="24"/>
      <w:szCs w:val="24"/>
    </w:rPr>
    <w:tblPr>
      <w:tblInd w:w="-680" w:type="dxa"/>
      <w:tblBorders>
        <w:insideH w:val="single" w:sz="4" w:space="0" w:color="B0B0B0" w:themeColor="text2"/>
        <w:insideV w:val="single" w:sz="4" w:space="0" w:color="B0B0B0" w:themeColor="text2"/>
      </w:tblBorders>
      <w:tblCellMar>
        <w:top w:w="142" w:type="dxa"/>
        <w:bottom w:w="142" w:type="dxa"/>
      </w:tblCellMar>
    </w:tblPr>
    <w:trPr>
      <w:cantSplit/>
    </w:trPr>
  </w:style>
  <w:style w:type="table" w:customStyle="1" w:styleId="ECHRTableMemo">
    <w:name w:val="ECHR_Table_Memo"/>
    <w:basedOn w:val="TableNormal"/>
    <w:uiPriority w:val="99"/>
    <w:rsid w:val="007A54E1"/>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838383" w:themeColor="text2" w:themeShade="BF"/>
          <w:right w:val="nil"/>
          <w:insideH w:val="nil"/>
          <w:insideV w:val="nil"/>
          <w:tl2br w:val="nil"/>
          <w:tr2bl w:val="nil"/>
        </w:tcBorders>
      </w:tcPr>
    </w:tblStylePr>
  </w:style>
  <w:style w:type="table" w:customStyle="1" w:styleId="ECHRDNTable">
    <w:name w:val="ECHR_DN_Table"/>
    <w:basedOn w:val="TableNormal"/>
    <w:uiPriority w:val="99"/>
    <w:rsid w:val="007A54E1"/>
    <w:rPr>
      <w:sz w:val="24"/>
      <w:szCs w:val="24"/>
    </w:rPr>
    <w:tblPr>
      <w:jc w:val="center"/>
      <w:tblBorders>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nil"/>
          <w:right w:val="single" w:sz="4" w:space="0" w:color="838383"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7A54E1"/>
    <w:pPr>
      <w:keepNext/>
      <w:keepLines/>
      <w:spacing w:before="240"/>
      <w:contextualSpacing/>
      <w:jc w:val="center"/>
    </w:pPr>
    <w:rPr>
      <w:rFonts w:asciiTheme="majorHAnsi" w:eastAsiaTheme="majorEastAsia" w:hAnsiTheme="majorHAnsi" w:cstheme="majorBidi"/>
      <w:b/>
      <w:bCs/>
      <w:color w:val="424242" w:themeColor="accent3" w:themeShade="BF"/>
      <w:sz w:val="28"/>
    </w:rPr>
  </w:style>
  <w:style w:type="paragraph" w:styleId="Subtitle">
    <w:name w:val="Subtitle"/>
    <w:basedOn w:val="Normal"/>
    <w:next w:val="Normal"/>
    <w:link w:val="SubtitleChar"/>
    <w:uiPriority w:val="98"/>
    <w:semiHidden/>
    <w:qFormat/>
    <w:rsid w:val="007A54E1"/>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7A54E1"/>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7A54E1"/>
    <w:pPr>
      <w:numPr>
        <w:numId w:val="4"/>
      </w:numPr>
    </w:pPr>
  </w:style>
  <w:style w:type="paragraph" w:customStyle="1" w:styleId="JuPara">
    <w:name w:val="Ju_Para"/>
    <w:aliases w:val="_Para"/>
    <w:basedOn w:val="NormalJustified"/>
    <w:link w:val="JuParaChar"/>
    <w:uiPriority w:val="4"/>
    <w:qFormat/>
    <w:rsid w:val="007A54E1"/>
    <w:pPr>
      <w:ind w:firstLine="284"/>
    </w:pPr>
  </w:style>
  <w:style w:type="numbering" w:styleId="1ai">
    <w:name w:val="Outline List 1"/>
    <w:basedOn w:val="NoList"/>
    <w:uiPriority w:val="99"/>
    <w:semiHidden/>
    <w:unhideWhenUsed/>
    <w:rsid w:val="007A54E1"/>
    <w:pPr>
      <w:numPr>
        <w:numId w:val="5"/>
      </w:numPr>
    </w:pPr>
  </w:style>
  <w:style w:type="table" w:customStyle="1" w:styleId="ECHRTableSimpleBox">
    <w:name w:val="ECHR_Table_Simple_Box"/>
    <w:basedOn w:val="TableNormal"/>
    <w:uiPriority w:val="99"/>
    <w:rsid w:val="007A54E1"/>
    <w:rPr>
      <w:sz w:val="24"/>
      <w:szCs w:val="24"/>
    </w:rPr>
    <w:tblPr>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tblBorders>
      <w:tblCellMar>
        <w:top w:w="113" w:type="dxa"/>
        <w:bottom w:w="113" w:type="dxa"/>
      </w:tblCellMar>
    </w:tblPr>
  </w:style>
  <w:style w:type="table" w:customStyle="1" w:styleId="ECHRTableNoLines">
    <w:name w:val="ECHR_Table_No_Lines"/>
    <w:basedOn w:val="TableNormal"/>
    <w:uiPriority w:val="99"/>
    <w:rsid w:val="007A54E1"/>
    <w:rPr>
      <w:sz w:val="24"/>
      <w:szCs w:val="24"/>
    </w:rPr>
    <w:tblPr>
      <w:tblCellMar>
        <w:top w:w="85" w:type="dxa"/>
        <w:left w:w="142" w:type="dxa"/>
        <w:bottom w:w="28" w:type="dxa"/>
        <w:right w:w="142" w:type="dxa"/>
      </w:tblCellMar>
    </w:tblPr>
    <w:tblStylePr w:type="firstRow">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tcPr>
    </w:tblStylePr>
  </w:style>
  <w:style w:type="numbering" w:styleId="ArticleSection">
    <w:name w:val="Outline List 3"/>
    <w:basedOn w:val="NoList"/>
    <w:uiPriority w:val="99"/>
    <w:semiHidden/>
    <w:unhideWhenUsed/>
    <w:rsid w:val="007A54E1"/>
    <w:pPr>
      <w:numPr>
        <w:numId w:val="6"/>
      </w:numPr>
    </w:pPr>
  </w:style>
  <w:style w:type="table" w:customStyle="1" w:styleId="ECHRTableForInternalUse">
    <w:name w:val="ECHR_Table_For_Internal_Use"/>
    <w:basedOn w:val="TableNormal"/>
    <w:uiPriority w:val="99"/>
    <w:rsid w:val="007A54E1"/>
    <w:rPr>
      <w:color w:val="585858"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tblStylePr w:type="band1Vert">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style>
  <w:style w:type="table" w:customStyle="1" w:styleId="ECHRListTable">
    <w:name w:val="ECHR_List_Table"/>
    <w:basedOn w:val="TableNormal"/>
    <w:uiPriority w:val="99"/>
    <w:rsid w:val="007A54E1"/>
    <w:rPr>
      <w:sz w:val="24"/>
      <w:szCs w:val="24"/>
    </w:rPr>
    <w:tblPr>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b/>
        <w:color w:val="424242" w:themeColor="accent3" w:themeShade="BF"/>
      </w:rPr>
      <w:tblPr/>
      <w:trPr>
        <w:tblHeader/>
      </w:tr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7A54E1"/>
  </w:style>
  <w:style w:type="paragraph" w:styleId="BlockText">
    <w:name w:val="Block Text"/>
    <w:basedOn w:val="Normal"/>
    <w:uiPriority w:val="98"/>
    <w:semiHidden/>
    <w:rsid w:val="007A54E1"/>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7A54E1"/>
    <w:rPr>
      <w:sz w:val="24"/>
      <w:szCs w:val="24"/>
    </w:rPr>
    <w:tblPr>
      <w:tblInd w:w="-1474" w:type="dxa"/>
      <w:tblBorders>
        <w:bottom w:val="single" w:sz="6" w:space="0" w:color="838383"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7A54E1"/>
    <w:pPr>
      <w:spacing w:after="120"/>
    </w:pPr>
  </w:style>
  <w:style w:type="character" w:customStyle="1" w:styleId="BodyTextChar">
    <w:name w:val="Body Text Char"/>
    <w:basedOn w:val="DefaultParagraphFont"/>
    <w:link w:val="BodyText"/>
    <w:uiPriority w:val="98"/>
    <w:semiHidden/>
    <w:rsid w:val="007A54E1"/>
    <w:rPr>
      <w:sz w:val="24"/>
      <w:szCs w:val="24"/>
      <w:lang w:val="ro-RO"/>
    </w:rPr>
  </w:style>
  <w:style w:type="table" w:customStyle="1" w:styleId="ECHRTableOddBanded">
    <w:name w:val="ECHR_Table_Odd_Banded"/>
    <w:basedOn w:val="TableNormal"/>
    <w:uiPriority w:val="99"/>
    <w:rsid w:val="007A54E1"/>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single" w:sz="4" w:space="0" w:color="838383"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7A54E1"/>
    <w:pPr>
      <w:spacing w:after="120" w:line="480" w:lineRule="auto"/>
    </w:pPr>
  </w:style>
  <w:style w:type="table" w:customStyle="1" w:styleId="ECHRHeaderTableReduced">
    <w:name w:val="ECHR_Header_Table_Reduced"/>
    <w:basedOn w:val="TableNormal"/>
    <w:uiPriority w:val="99"/>
    <w:rsid w:val="007A54E1"/>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838383" w:themeColor="text2" w:themeShade="BF"/>
          <w:right w:val="nil"/>
          <w:insideH w:val="nil"/>
          <w:insideV w:val="nil"/>
          <w:tl2br w:val="nil"/>
          <w:tr2bl w:val="nil"/>
        </w:tcBorders>
      </w:tcPr>
    </w:tblStylePr>
    <w:tblStylePr w:type="lastRow">
      <w:pPr>
        <w:jc w:val="right"/>
      </w:pPr>
      <w:tblPr/>
      <w:tcPr>
        <w:tcBorders>
          <w:top w:val="single" w:sz="6" w:space="0" w:color="838383"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7A54E1"/>
    <w:pPr>
      <w:ind w:firstLine="284"/>
    </w:pPr>
    <w:rPr>
      <w:b/>
    </w:rPr>
  </w:style>
  <w:style w:type="character" w:styleId="PageNumber">
    <w:name w:val="page number"/>
    <w:uiPriority w:val="98"/>
    <w:semiHidden/>
    <w:rsid w:val="007A54E1"/>
    <w:rPr>
      <w:sz w:val="18"/>
    </w:rPr>
  </w:style>
  <w:style w:type="paragraph" w:styleId="ListBullet">
    <w:name w:val="List Bullet"/>
    <w:basedOn w:val="Normal"/>
    <w:uiPriority w:val="98"/>
    <w:semiHidden/>
    <w:rsid w:val="007A54E1"/>
    <w:pPr>
      <w:numPr>
        <w:numId w:val="7"/>
      </w:numPr>
    </w:pPr>
  </w:style>
  <w:style w:type="paragraph" w:styleId="ListBullet3">
    <w:name w:val="List Bullet 3"/>
    <w:basedOn w:val="Normal"/>
    <w:uiPriority w:val="98"/>
    <w:semiHidden/>
    <w:rsid w:val="007A54E1"/>
    <w:pPr>
      <w:numPr>
        <w:numId w:val="9"/>
      </w:numPr>
      <w:contextualSpacing/>
    </w:pPr>
  </w:style>
  <w:style w:type="character" w:customStyle="1" w:styleId="BodyText2Char">
    <w:name w:val="Body Text 2 Char"/>
    <w:basedOn w:val="DefaultParagraphFont"/>
    <w:link w:val="BodyText2"/>
    <w:uiPriority w:val="98"/>
    <w:semiHidden/>
    <w:rsid w:val="007A54E1"/>
    <w:rPr>
      <w:sz w:val="24"/>
      <w:szCs w:val="24"/>
      <w:lang w:val="ro-RO"/>
    </w:rPr>
  </w:style>
  <w:style w:type="paragraph" w:styleId="BodyText3">
    <w:name w:val="Body Text 3"/>
    <w:basedOn w:val="Normal"/>
    <w:link w:val="BodyText3Char"/>
    <w:uiPriority w:val="98"/>
    <w:semiHidden/>
    <w:rsid w:val="007A54E1"/>
    <w:pPr>
      <w:spacing w:after="120"/>
    </w:pPr>
    <w:rPr>
      <w:sz w:val="16"/>
      <w:szCs w:val="16"/>
    </w:rPr>
  </w:style>
  <w:style w:type="character" w:customStyle="1" w:styleId="BodyText3Char">
    <w:name w:val="Body Text 3 Char"/>
    <w:basedOn w:val="DefaultParagraphFont"/>
    <w:link w:val="BodyText3"/>
    <w:uiPriority w:val="98"/>
    <w:semiHidden/>
    <w:rsid w:val="007A54E1"/>
    <w:rPr>
      <w:sz w:val="16"/>
      <w:szCs w:val="16"/>
      <w:lang w:val="ro-RO"/>
    </w:rPr>
  </w:style>
  <w:style w:type="paragraph" w:styleId="BodyTextFirstIndent">
    <w:name w:val="Body Text First Indent"/>
    <w:basedOn w:val="BodyText"/>
    <w:link w:val="BodyTextFirstIndentChar"/>
    <w:uiPriority w:val="98"/>
    <w:semiHidden/>
    <w:rsid w:val="007A54E1"/>
    <w:pPr>
      <w:spacing w:after="0"/>
      <w:ind w:firstLine="360"/>
    </w:pPr>
  </w:style>
  <w:style w:type="character" w:customStyle="1" w:styleId="BodyTextFirstIndentChar">
    <w:name w:val="Body Text First Indent Char"/>
    <w:basedOn w:val="BodyTextChar"/>
    <w:link w:val="BodyTextFirstIndent"/>
    <w:uiPriority w:val="98"/>
    <w:semiHidden/>
    <w:rsid w:val="007A54E1"/>
    <w:rPr>
      <w:sz w:val="24"/>
      <w:szCs w:val="24"/>
      <w:lang w:val="ro-RO"/>
    </w:rPr>
  </w:style>
  <w:style w:type="paragraph" w:styleId="BodyTextIndent">
    <w:name w:val="Body Text Indent"/>
    <w:basedOn w:val="Normal"/>
    <w:link w:val="BodyTextIndentChar"/>
    <w:uiPriority w:val="98"/>
    <w:semiHidden/>
    <w:rsid w:val="007A54E1"/>
    <w:pPr>
      <w:spacing w:after="120"/>
      <w:ind w:left="283"/>
    </w:pPr>
  </w:style>
  <w:style w:type="character" w:customStyle="1" w:styleId="BodyTextIndentChar">
    <w:name w:val="Body Text Indent Char"/>
    <w:basedOn w:val="DefaultParagraphFont"/>
    <w:link w:val="BodyTextIndent"/>
    <w:uiPriority w:val="98"/>
    <w:semiHidden/>
    <w:rsid w:val="007A54E1"/>
    <w:rPr>
      <w:sz w:val="24"/>
      <w:szCs w:val="24"/>
      <w:lang w:val="ro-RO"/>
    </w:rPr>
  </w:style>
  <w:style w:type="paragraph" w:styleId="BodyTextFirstIndent2">
    <w:name w:val="Body Text First Indent 2"/>
    <w:basedOn w:val="BodyTextIndent"/>
    <w:link w:val="BodyTextFirstIndent2Char"/>
    <w:uiPriority w:val="98"/>
    <w:semiHidden/>
    <w:rsid w:val="007A54E1"/>
    <w:pPr>
      <w:spacing w:after="0"/>
      <w:ind w:left="360" w:firstLine="360"/>
    </w:pPr>
  </w:style>
  <w:style w:type="character" w:customStyle="1" w:styleId="BodyTextFirstIndent2Char">
    <w:name w:val="Body Text First Indent 2 Char"/>
    <w:basedOn w:val="BodyTextIndentChar"/>
    <w:link w:val="BodyTextFirstIndent2"/>
    <w:uiPriority w:val="98"/>
    <w:semiHidden/>
    <w:rsid w:val="007A54E1"/>
    <w:rPr>
      <w:sz w:val="24"/>
      <w:szCs w:val="24"/>
      <w:lang w:val="ro-RO"/>
    </w:rPr>
  </w:style>
  <w:style w:type="paragraph" w:styleId="BodyTextIndent2">
    <w:name w:val="Body Text Indent 2"/>
    <w:basedOn w:val="Normal"/>
    <w:link w:val="BodyTextIndent2Char"/>
    <w:uiPriority w:val="98"/>
    <w:semiHidden/>
    <w:rsid w:val="007A54E1"/>
    <w:pPr>
      <w:spacing w:after="120" w:line="480" w:lineRule="auto"/>
      <w:ind w:left="283"/>
    </w:pPr>
  </w:style>
  <w:style w:type="character" w:customStyle="1" w:styleId="BodyTextIndent2Char">
    <w:name w:val="Body Text Indent 2 Char"/>
    <w:basedOn w:val="DefaultParagraphFont"/>
    <w:link w:val="BodyTextIndent2"/>
    <w:uiPriority w:val="98"/>
    <w:semiHidden/>
    <w:rsid w:val="007A54E1"/>
    <w:rPr>
      <w:sz w:val="24"/>
      <w:szCs w:val="24"/>
      <w:lang w:val="ro-RO"/>
    </w:rPr>
  </w:style>
  <w:style w:type="paragraph" w:styleId="BodyTextIndent3">
    <w:name w:val="Body Text Indent 3"/>
    <w:basedOn w:val="Normal"/>
    <w:link w:val="BodyTextIndent3Char"/>
    <w:uiPriority w:val="98"/>
    <w:semiHidden/>
    <w:rsid w:val="007A54E1"/>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7A54E1"/>
    <w:rPr>
      <w:sz w:val="16"/>
      <w:szCs w:val="16"/>
      <w:lang w:val="ro-RO"/>
    </w:rPr>
  </w:style>
  <w:style w:type="paragraph" w:styleId="Caption">
    <w:name w:val="caption"/>
    <w:basedOn w:val="Normal"/>
    <w:next w:val="Normal"/>
    <w:uiPriority w:val="98"/>
    <w:semiHidden/>
    <w:qFormat/>
    <w:rsid w:val="007A54E1"/>
    <w:pPr>
      <w:spacing w:after="200"/>
    </w:pPr>
    <w:rPr>
      <w:b/>
      <w:bCs/>
      <w:color w:val="0072BC" w:themeColor="accent1"/>
      <w:sz w:val="18"/>
      <w:szCs w:val="18"/>
    </w:rPr>
  </w:style>
  <w:style w:type="paragraph" w:styleId="Closing">
    <w:name w:val="Closing"/>
    <w:basedOn w:val="Normal"/>
    <w:link w:val="ClosingChar"/>
    <w:uiPriority w:val="98"/>
    <w:semiHidden/>
    <w:rsid w:val="007A54E1"/>
    <w:pPr>
      <w:ind w:left="4252"/>
    </w:pPr>
  </w:style>
  <w:style w:type="character" w:customStyle="1" w:styleId="ClosingChar">
    <w:name w:val="Closing Char"/>
    <w:basedOn w:val="DefaultParagraphFont"/>
    <w:link w:val="Closing"/>
    <w:uiPriority w:val="98"/>
    <w:semiHidden/>
    <w:rsid w:val="007A54E1"/>
    <w:rPr>
      <w:sz w:val="24"/>
      <w:szCs w:val="24"/>
      <w:lang w:val="ro-RO"/>
    </w:rPr>
  </w:style>
  <w:style w:type="table" w:styleId="ColorfulGrid">
    <w:name w:val="Colorful Grid"/>
    <w:basedOn w:val="TableNormal"/>
    <w:uiPriority w:val="73"/>
    <w:semiHidden/>
    <w:rsid w:val="007A54E1"/>
    <w:rPr>
      <w:color w:val="000000" w:themeColor="text1"/>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7A54E1"/>
    <w:rPr>
      <w:color w:val="000000" w:themeColor="text1"/>
      <w:sz w:val="24"/>
      <w:szCs w:val="24"/>
    </w:rPr>
    <w:tblPr>
      <w:tblStyleRowBandSize w:val="1"/>
      <w:tblStyleColBandSize w:val="1"/>
      <w:tblBorders>
        <w:insideH w:val="single" w:sz="4" w:space="0" w:color="FFFFFF"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FFFFFF" w:themeColor="background1"/>
      </w:rPr>
      <w:tblPr/>
      <w:tcPr>
        <w:shd w:val="clear" w:color="auto" w:fill="00548C" w:themeFill="accent1" w:themeFillShade="BF"/>
      </w:tcPr>
    </w:tblStylePr>
    <w:tblStylePr w:type="lastCol">
      <w:rPr>
        <w:color w:val="FFFFFF"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7A54E1"/>
    <w:rPr>
      <w:color w:val="000000" w:themeColor="text1"/>
      <w:sz w:val="24"/>
      <w:szCs w:val="24"/>
    </w:rPr>
    <w:tblPr>
      <w:tblStyleRowBandSize w:val="1"/>
      <w:tblStyleColBandSize w:val="1"/>
      <w:tblBorders>
        <w:insideH w:val="single" w:sz="4" w:space="0" w:color="FFFFFF"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FFFFFF" w:themeColor="background1"/>
      </w:rPr>
      <w:tblPr/>
      <w:tcPr>
        <w:shd w:val="clear" w:color="auto" w:fill="8F0000" w:themeFill="accent2" w:themeFillShade="BF"/>
      </w:tcPr>
    </w:tblStylePr>
    <w:tblStylePr w:type="lastCol">
      <w:rPr>
        <w:color w:val="FFFFFF"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7A54E1"/>
    <w:rPr>
      <w:color w:val="000000" w:themeColor="text1"/>
      <w:sz w:val="24"/>
      <w:szCs w:val="24"/>
    </w:rPr>
    <w:tblPr>
      <w:tblStyleRowBandSize w:val="1"/>
      <w:tblStyleColBandSize w:val="1"/>
      <w:tblBorders>
        <w:insideH w:val="single" w:sz="4" w:space="0" w:color="FFFFFF" w:themeColor="background1"/>
      </w:tblBorders>
    </w:tblPr>
    <w:tcPr>
      <w:shd w:val="clear" w:color="auto" w:fill="DDDDDD" w:themeFill="accent3" w:themeFillTint="33"/>
    </w:tcPr>
    <w:tblStylePr w:type="firstRow">
      <w:rPr>
        <w:b/>
        <w:bCs/>
      </w:rPr>
      <w:tblPr/>
      <w:tcPr>
        <w:shd w:val="clear" w:color="auto" w:fill="BCBCBC" w:themeFill="accent3" w:themeFillTint="66"/>
      </w:tcPr>
    </w:tblStylePr>
    <w:tblStylePr w:type="lastRow">
      <w:rPr>
        <w:b/>
        <w:bCs/>
        <w:color w:val="000000" w:themeColor="text1"/>
      </w:rPr>
      <w:tblPr/>
      <w:tcPr>
        <w:shd w:val="clear" w:color="auto" w:fill="BCBCBC" w:themeFill="accent3" w:themeFillTint="66"/>
      </w:tcPr>
    </w:tblStylePr>
    <w:tblStylePr w:type="firstCol">
      <w:rPr>
        <w:color w:val="FFFFFF" w:themeColor="background1"/>
      </w:rPr>
      <w:tblPr/>
      <w:tcPr>
        <w:shd w:val="clear" w:color="auto" w:fill="424242" w:themeFill="accent3" w:themeFillShade="BF"/>
      </w:tcPr>
    </w:tblStylePr>
    <w:tblStylePr w:type="lastCol">
      <w:rPr>
        <w:color w:val="FFFFFF" w:themeColor="background1"/>
      </w:rPr>
      <w:tblPr/>
      <w:tcPr>
        <w:shd w:val="clear" w:color="auto" w:fill="424242" w:themeFill="accent3" w:themeFillShade="BF"/>
      </w:tc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ColorfulGrid-Accent4">
    <w:name w:val="Colorful Grid Accent 4"/>
    <w:basedOn w:val="TableNormal"/>
    <w:uiPriority w:val="73"/>
    <w:semiHidden/>
    <w:rsid w:val="007A54E1"/>
    <w:rPr>
      <w:color w:val="000000" w:themeColor="text1"/>
      <w:sz w:val="24"/>
      <w:szCs w:val="24"/>
    </w:rPr>
    <w:tblPr>
      <w:tblStyleRowBandSize w:val="1"/>
      <w:tblStyleColBandSize w:val="1"/>
      <w:tblBorders>
        <w:insideH w:val="single" w:sz="4" w:space="0" w:color="FFFFFF"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FFFFFF" w:themeColor="background1"/>
      </w:rPr>
      <w:tblPr/>
      <w:tcPr>
        <w:shd w:val="clear" w:color="auto" w:fill="707070" w:themeFill="accent4" w:themeFillShade="BF"/>
      </w:tcPr>
    </w:tblStylePr>
    <w:tblStylePr w:type="lastCol">
      <w:rPr>
        <w:color w:val="FFFFFF"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7A54E1"/>
    <w:rPr>
      <w:color w:val="000000" w:themeColor="text1"/>
      <w:sz w:val="24"/>
      <w:szCs w:val="24"/>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7A54E1"/>
    <w:rPr>
      <w:color w:val="000000" w:themeColor="text1"/>
      <w:sz w:val="24"/>
      <w:szCs w:val="24"/>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7A54E1"/>
    <w:rPr>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7A54E1"/>
    <w:rPr>
      <w:color w:val="000000" w:themeColor="text1"/>
      <w:sz w:val="24"/>
      <w:szCs w:val="24"/>
    </w:rPr>
    <w:tblPr>
      <w:tblStyleRowBandSize w:val="1"/>
      <w:tblStyleColBandSize w:val="1"/>
    </w:tblPr>
    <w:tcPr>
      <w:shd w:val="clear" w:color="auto" w:fill="DFF2FF" w:themeFill="accen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7A54E1"/>
    <w:rPr>
      <w:color w:val="000000" w:themeColor="text1"/>
      <w:sz w:val="24"/>
      <w:szCs w:val="24"/>
    </w:rPr>
    <w:tblPr>
      <w:tblStyleRowBandSize w:val="1"/>
      <w:tblStyleColBandSize w:val="1"/>
    </w:tblPr>
    <w:tcPr>
      <w:shd w:val="clear" w:color="auto" w:fill="FFDFDF" w:themeFill="accent2"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7A54E1"/>
    <w:rPr>
      <w:color w:val="000000" w:themeColor="text1"/>
      <w:sz w:val="24"/>
      <w:szCs w:val="24"/>
    </w:rPr>
    <w:tblPr>
      <w:tblStyleRowBandSize w:val="1"/>
      <w:tblStyleColBandSize w:val="1"/>
    </w:tblPr>
    <w:tcPr>
      <w:shd w:val="clear" w:color="auto" w:fill="EEEEEE" w:themeFill="accent3" w:themeFillTint="19"/>
    </w:tcPr>
    <w:tblStylePr w:type="firstRow">
      <w:rPr>
        <w:b/>
        <w:bCs/>
        <w:color w:val="FFFFFF" w:themeColor="background1"/>
      </w:rPr>
      <w:tblPr/>
      <w:tcPr>
        <w:tcBorders>
          <w:bottom w:val="single" w:sz="12" w:space="0" w:color="FFFFFF"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5D5" w:themeFill="accent3" w:themeFillTint="3F"/>
      </w:tcPr>
    </w:tblStylePr>
    <w:tblStylePr w:type="band1Horz">
      <w:tblPr/>
      <w:tcPr>
        <w:shd w:val="clear" w:color="auto" w:fill="DDDDDD" w:themeFill="accent3" w:themeFillTint="33"/>
      </w:tcPr>
    </w:tblStylePr>
  </w:style>
  <w:style w:type="table" w:styleId="ColorfulList-Accent4">
    <w:name w:val="Colorful List Accent 4"/>
    <w:basedOn w:val="TableNormal"/>
    <w:uiPriority w:val="72"/>
    <w:semiHidden/>
    <w:rsid w:val="007A54E1"/>
    <w:rPr>
      <w:color w:val="000000" w:themeColor="text1"/>
      <w:sz w:val="24"/>
      <w:szCs w:val="24"/>
    </w:rPr>
    <w:tblPr>
      <w:tblStyleRowBandSize w:val="1"/>
      <w:tblStyleColBandSize w:val="1"/>
    </w:tblPr>
    <w:tcPr>
      <w:shd w:val="clear" w:color="auto" w:fill="F4F4F4" w:themeFill="accent4" w:themeFillTint="19"/>
    </w:tcPr>
    <w:tblStylePr w:type="firstRow">
      <w:rPr>
        <w:b/>
        <w:bCs/>
        <w:color w:val="FFFFFF" w:themeColor="background1"/>
      </w:rPr>
      <w:tblPr/>
      <w:tcPr>
        <w:tcBorders>
          <w:bottom w:val="single" w:sz="12" w:space="0" w:color="FFFFFF" w:themeColor="background1"/>
        </w:tcBorders>
        <w:shd w:val="clear" w:color="auto" w:fill="474747" w:themeFill="accent3" w:themeFillShade="CC"/>
      </w:tcPr>
    </w:tblStylePr>
    <w:tblStylePr w:type="lastRow">
      <w:rPr>
        <w:b/>
        <w:bCs/>
        <w:color w:val="47474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7A54E1"/>
    <w:rPr>
      <w:color w:val="000000" w:themeColor="text1"/>
      <w:sz w:val="24"/>
      <w:szCs w:val="24"/>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7A54E1"/>
    <w:rPr>
      <w:color w:val="000000" w:themeColor="text1"/>
      <w:sz w:val="24"/>
      <w:szCs w:val="24"/>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7A54E1"/>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7A54E1"/>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FFFFFF" w:themeColor="background1"/>
        <w:insideV w:val="single" w:sz="4" w:space="0" w:color="FFFFFF"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470" w:themeFill="accent1" w:themeFillShade="99"/>
      </w:tcPr>
    </w:tblStylePr>
    <w:tblStylePr w:type="firstCol">
      <w:rPr>
        <w:color w:val="FFFFFF"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7A54E1"/>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FFFFFF" w:themeColor="background1"/>
        <w:insideV w:val="single" w:sz="4" w:space="0" w:color="FFFFFF"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2" w:themeFillShade="99"/>
      </w:tcPr>
    </w:tblStylePr>
    <w:tblStylePr w:type="firstCol">
      <w:rPr>
        <w:color w:val="FFFFFF"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7A54E1"/>
    <w:rPr>
      <w:color w:val="000000" w:themeColor="text1"/>
      <w:sz w:val="24"/>
      <w:szCs w:val="24"/>
    </w:rPr>
    <w:tblPr>
      <w:tblStyleRowBandSize w:val="1"/>
      <w:tblStyleColBandSize w:val="1"/>
      <w:tblBorders>
        <w:top w:val="single" w:sz="24" w:space="0" w:color="969696" w:themeColor="accent4"/>
        <w:left w:val="single" w:sz="4" w:space="0" w:color="595959" w:themeColor="accent3"/>
        <w:bottom w:val="single" w:sz="4" w:space="0" w:color="595959" w:themeColor="accent3"/>
        <w:right w:val="single" w:sz="4" w:space="0" w:color="595959" w:themeColor="accent3"/>
        <w:insideH w:val="single" w:sz="4" w:space="0" w:color="FFFFFF" w:themeColor="background1"/>
        <w:insideV w:val="single" w:sz="4" w:space="0" w:color="FFFFFF" w:themeColor="background1"/>
      </w:tblBorders>
    </w:tblPr>
    <w:tcPr>
      <w:shd w:val="clear" w:color="auto" w:fill="EEEEEE"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3535" w:themeFill="accent3" w:themeFillShade="99"/>
      </w:tcPr>
    </w:tblStylePr>
    <w:tblStylePr w:type="firstCol">
      <w:rPr>
        <w:color w:val="FFFFFF" w:themeColor="background1"/>
      </w:rPr>
      <w:tblPr/>
      <w:tcPr>
        <w:tcBorders>
          <w:top w:val="nil"/>
          <w:left w:val="nil"/>
          <w:bottom w:val="nil"/>
          <w:right w:val="nil"/>
          <w:insideH w:val="single" w:sz="4" w:space="0" w:color="353535" w:themeColor="accent3" w:themeShade="99"/>
          <w:insideV w:val="nil"/>
        </w:tcBorders>
        <w:shd w:val="clear" w:color="auto" w:fill="35353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53535" w:themeFill="accent3" w:themeFillShade="99"/>
      </w:tcPr>
    </w:tblStylePr>
    <w:tblStylePr w:type="band1Vert">
      <w:tblPr/>
      <w:tcPr>
        <w:shd w:val="clear" w:color="auto" w:fill="BCBCBC" w:themeFill="accent3" w:themeFillTint="66"/>
      </w:tcPr>
    </w:tblStylePr>
    <w:tblStylePr w:type="band1Horz">
      <w:tblPr/>
      <w:tcPr>
        <w:shd w:val="clear" w:color="auto" w:fill="ACACAC" w:themeFill="accent3" w:themeFillTint="7F"/>
      </w:tcPr>
    </w:tblStylePr>
  </w:style>
  <w:style w:type="table" w:styleId="ColorfulShading-Accent4">
    <w:name w:val="Colorful Shading Accent 4"/>
    <w:basedOn w:val="TableNormal"/>
    <w:uiPriority w:val="71"/>
    <w:semiHidden/>
    <w:rsid w:val="007A54E1"/>
    <w:rPr>
      <w:color w:val="000000" w:themeColor="text1"/>
      <w:sz w:val="24"/>
      <w:szCs w:val="24"/>
    </w:rPr>
    <w:tblPr>
      <w:tblStyleRowBandSize w:val="1"/>
      <w:tblStyleColBandSize w:val="1"/>
      <w:tblBorders>
        <w:top w:val="single" w:sz="24" w:space="0" w:color="595959" w:themeColor="accent3"/>
        <w:left w:val="single" w:sz="4" w:space="0" w:color="969696" w:themeColor="accent4"/>
        <w:bottom w:val="single" w:sz="4" w:space="0" w:color="969696" w:themeColor="accent4"/>
        <w:right w:val="single" w:sz="4" w:space="0" w:color="969696" w:themeColor="accent4"/>
        <w:insideH w:val="single" w:sz="4" w:space="0" w:color="FFFFFF" w:themeColor="background1"/>
        <w:insideV w:val="single" w:sz="4" w:space="0" w:color="FFFFFF" w:themeColor="background1"/>
      </w:tblBorders>
    </w:tblPr>
    <w:tcPr>
      <w:shd w:val="clear" w:color="auto" w:fill="F4F4F4" w:themeFill="accent4" w:themeFillTint="19"/>
    </w:tcPr>
    <w:tblStylePr w:type="firstRow">
      <w:rPr>
        <w:b/>
        <w:bCs/>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4" w:themeFillShade="99"/>
      </w:tcPr>
    </w:tblStylePr>
    <w:tblStylePr w:type="firstCol">
      <w:rPr>
        <w:color w:val="FFFFFF"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7A54E1"/>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7A54E1"/>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7A54E1"/>
    <w:rPr>
      <w:sz w:val="16"/>
      <w:szCs w:val="16"/>
    </w:rPr>
  </w:style>
  <w:style w:type="paragraph" w:styleId="CommentText">
    <w:name w:val="annotation text"/>
    <w:basedOn w:val="Normal"/>
    <w:link w:val="CommentTextChar"/>
    <w:uiPriority w:val="98"/>
    <w:semiHidden/>
    <w:rsid w:val="007A54E1"/>
    <w:rPr>
      <w:sz w:val="20"/>
      <w:szCs w:val="20"/>
    </w:rPr>
  </w:style>
  <w:style w:type="character" w:customStyle="1" w:styleId="CommentTextChar">
    <w:name w:val="Comment Text Char"/>
    <w:basedOn w:val="DefaultParagraphFont"/>
    <w:link w:val="CommentText"/>
    <w:uiPriority w:val="98"/>
    <w:semiHidden/>
    <w:rsid w:val="007A54E1"/>
    <w:rPr>
      <w:sz w:val="20"/>
      <w:szCs w:val="20"/>
      <w:lang w:val="ro-RO"/>
    </w:rPr>
  </w:style>
  <w:style w:type="paragraph" w:styleId="CommentSubject">
    <w:name w:val="annotation subject"/>
    <w:basedOn w:val="CommentText"/>
    <w:next w:val="CommentText"/>
    <w:link w:val="CommentSubjectChar"/>
    <w:uiPriority w:val="98"/>
    <w:semiHidden/>
    <w:rsid w:val="007A54E1"/>
    <w:rPr>
      <w:b/>
      <w:bCs/>
    </w:rPr>
  </w:style>
  <w:style w:type="character" w:customStyle="1" w:styleId="CommentSubjectChar">
    <w:name w:val="Comment Subject Char"/>
    <w:basedOn w:val="CommentTextChar"/>
    <w:link w:val="CommentSubject"/>
    <w:uiPriority w:val="98"/>
    <w:semiHidden/>
    <w:rsid w:val="007A54E1"/>
    <w:rPr>
      <w:b/>
      <w:bCs/>
      <w:sz w:val="20"/>
      <w:szCs w:val="20"/>
      <w:lang w:val="ro-RO"/>
    </w:rPr>
  </w:style>
  <w:style w:type="table" w:styleId="DarkList">
    <w:name w:val="Dark List"/>
    <w:basedOn w:val="TableNormal"/>
    <w:uiPriority w:val="70"/>
    <w:semiHidden/>
    <w:rsid w:val="007A54E1"/>
    <w:rPr>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7A54E1"/>
    <w:rPr>
      <w:color w:val="FFFFFF"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48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7A54E1"/>
    <w:rPr>
      <w:color w:val="FFFFFF"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7A54E1"/>
    <w:rPr>
      <w:color w:val="FFFFFF" w:themeColor="background1"/>
      <w:sz w:val="24"/>
      <w:szCs w:val="24"/>
    </w:rPr>
    <w:tblPr>
      <w:tblStyleRowBandSize w:val="1"/>
      <w:tblStyleColBandSize w:val="1"/>
    </w:tblPr>
    <w:tcPr>
      <w:shd w:val="clear" w:color="auto" w:fill="5959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2C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2424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24242" w:themeFill="accent3" w:themeFillShade="BF"/>
      </w:tcPr>
    </w:tblStylePr>
    <w:tblStylePr w:type="band1Vert">
      <w:tblPr/>
      <w:tcPr>
        <w:tcBorders>
          <w:top w:val="nil"/>
          <w:left w:val="nil"/>
          <w:bottom w:val="nil"/>
          <w:right w:val="nil"/>
          <w:insideH w:val="nil"/>
          <w:insideV w:val="nil"/>
        </w:tcBorders>
        <w:shd w:val="clear" w:color="auto" w:fill="424242" w:themeFill="accent3" w:themeFillShade="BF"/>
      </w:tcPr>
    </w:tblStylePr>
    <w:tblStylePr w:type="band1Horz">
      <w:tblPr/>
      <w:tcPr>
        <w:tcBorders>
          <w:top w:val="nil"/>
          <w:left w:val="nil"/>
          <w:bottom w:val="nil"/>
          <w:right w:val="nil"/>
          <w:insideH w:val="nil"/>
          <w:insideV w:val="nil"/>
        </w:tcBorders>
        <w:shd w:val="clear" w:color="auto" w:fill="424242" w:themeFill="accent3" w:themeFillShade="BF"/>
      </w:tcPr>
    </w:tblStylePr>
  </w:style>
  <w:style w:type="table" w:styleId="DarkList-Accent4">
    <w:name w:val="Dark List Accent 4"/>
    <w:basedOn w:val="TableNormal"/>
    <w:uiPriority w:val="70"/>
    <w:semiHidden/>
    <w:rsid w:val="007A54E1"/>
    <w:rPr>
      <w:color w:val="FFFFFF"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7A54E1"/>
    <w:rPr>
      <w:color w:val="FFFFFF"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7A54E1"/>
    <w:rPr>
      <w:color w:val="FFFFFF"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7A54E1"/>
  </w:style>
  <w:style w:type="character" w:customStyle="1" w:styleId="DateChar">
    <w:name w:val="Date Char"/>
    <w:basedOn w:val="DefaultParagraphFont"/>
    <w:link w:val="Date"/>
    <w:uiPriority w:val="98"/>
    <w:semiHidden/>
    <w:rsid w:val="007A54E1"/>
    <w:rPr>
      <w:sz w:val="24"/>
      <w:szCs w:val="24"/>
      <w:lang w:val="ro-RO"/>
    </w:rPr>
  </w:style>
  <w:style w:type="paragraph" w:styleId="DocumentMap">
    <w:name w:val="Document Map"/>
    <w:basedOn w:val="Normal"/>
    <w:link w:val="DocumentMapChar"/>
    <w:uiPriority w:val="98"/>
    <w:semiHidden/>
    <w:rsid w:val="007A54E1"/>
    <w:rPr>
      <w:rFonts w:ascii="Tahoma" w:hAnsi="Tahoma" w:cs="Tahoma"/>
      <w:sz w:val="16"/>
      <w:szCs w:val="16"/>
    </w:rPr>
  </w:style>
  <w:style w:type="character" w:customStyle="1" w:styleId="DocumentMapChar">
    <w:name w:val="Document Map Char"/>
    <w:basedOn w:val="DefaultParagraphFont"/>
    <w:link w:val="DocumentMap"/>
    <w:uiPriority w:val="98"/>
    <w:semiHidden/>
    <w:rsid w:val="007A54E1"/>
    <w:rPr>
      <w:rFonts w:ascii="Tahoma" w:hAnsi="Tahoma" w:cs="Tahoma"/>
      <w:sz w:val="16"/>
      <w:szCs w:val="16"/>
      <w:lang w:val="ro-RO"/>
    </w:rPr>
  </w:style>
  <w:style w:type="paragraph" w:styleId="E-mailSignature">
    <w:name w:val="E-mail Signature"/>
    <w:basedOn w:val="Normal"/>
    <w:link w:val="E-mailSignatureChar"/>
    <w:uiPriority w:val="98"/>
    <w:semiHidden/>
    <w:rsid w:val="007A54E1"/>
  </w:style>
  <w:style w:type="character" w:customStyle="1" w:styleId="E-mailSignatureChar">
    <w:name w:val="E-mail Signature Char"/>
    <w:basedOn w:val="DefaultParagraphFont"/>
    <w:link w:val="E-mailSignature"/>
    <w:uiPriority w:val="98"/>
    <w:semiHidden/>
    <w:rsid w:val="007A54E1"/>
    <w:rPr>
      <w:sz w:val="24"/>
      <w:szCs w:val="24"/>
      <w:lang w:val="ro-RO"/>
    </w:rPr>
  </w:style>
  <w:style w:type="character" w:styleId="EndnoteReference">
    <w:name w:val="endnote reference"/>
    <w:basedOn w:val="DefaultParagraphFont"/>
    <w:uiPriority w:val="98"/>
    <w:semiHidden/>
    <w:rsid w:val="007A54E1"/>
    <w:rPr>
      <w:vertAlign w:val="superscript"/>
    </w:rPr>
  </w:style>
  <w:style w:type="paragraph" w:styleId="EndnoteText">
    <w:name w:val="endnote text"/>
    <w:basedOn w:val="Normal"/>
    <w:link w:val="EndnoteTextChar"/>
    <w:uiPriority w:val="98"/>
    <w:semiHidden/>
    <w:rsid w:val="007A54E1"/>
    <w:rPr>
      <w:sz w:val="20"/>
      <w:szCs w:val="20"/>
    </w:rPr>
  </w:style>
  <w:style w:type="character" w:customStyle="1" w:styleId="EndnoteTextChar">
    <w:name w:val="Endnote Text Char"/>
    <w:basedOn w:val="DefaultParagraphFont"/>
    <w:link w:val="EndnoteText"/>
    <w:uiPriority w:val="98"/>
    <w:semiHidden/>
    <w:rsid w:val="007A54E1"/>
    <w:rPr>
      <w:sz w:val="20"/>
      <w:szCs w:val="20"/>
      <w:lang w:val="ro-RO"/>
    </w:rPr>
  </w:style>
  <w:style w:type="paragraph" w:styleId="EnvelopeAddress">
    <w:name w:val="envelope address"/>
    <w:basedOn w:val="Normal"/>
    <w:uiPriority w:val="98"/>
    <w:semiHidden/>
    <w:rsid w:val="007A54E1"/>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7A54E1"/>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7A54E1"/>
    <w:rPr>
      <w:color w:val="7030A0" w:themeColor="followedHyperlink"/>
      <w:u w:val="single"/>
    </w:rPr>
  </w:style>
  <w:style w:type="character" w:styleId="HTMLAcronym">
    <w:name w:val="HTML Acronym"/>
    <w:basedOn w:val="DefaultParagraphFont"/>
    <w:uiPriority w:val="98"/>
    <w:semiHidden/>
    <w:rsid w:val="007A54E1"/>
  </w:style>
  <w:style w:type="paragraph" w:styleId="HTMLAddress">
    <w:name w:val="HTML Address"/>
    <w:basedOn w:val="Normal"/>
    <w:link w:val="HTMLAddressChar"/>
    <w:uiPriority w:val="98"/>
    <w:semiHidden/>
    <w:rsid w:val="007A54E1"/>
    <w:rPr>
      <w:i/>
      <w:iCs/>
    </w:rPr>
  </w:style>
  <w:style w:type="character" w:customStyle="1" w:styleId="HTMLAddressChar">
    <w:name w:val="HTML Address Char"/>
    <w:basedOn w:val="DefaultParagraphFont"/>
    <w:link w:val="HTMLAddress"/>
    <w:uiPriority w:val="98"/>
    <w:semiHidden/>
    <w:rsid w:val="007A54E1"/>
    <w:rPr>
      <w:i/>
      <w:iCs/>
      <w:sz w:val="24"/>
      <w:szCs w:val="24"/>
      <w:lang w:val="ro-RO"/>
    </w:rPr>
  </w:style>
  <w:style w:type="character" w:styleId="HTMLCite">
    <w:name w:val="HTML Cite"/>
    <w:basedOn w:val="DefaultParagraphFont"/>
    <w:uiPriority w:val="98"/>
    <w:semiHidden/>
    <w:rsid w:val="007A54E1"/>
    <w:rPr>
      <w:i/>
      <w:iCs/>
    </w:rPr>
  </w:style>
  <w:style w:type="character" w:styleId="HTMLCode">
    <w:name w:val="HTML Code"/>
    <w:basedOn w:val="DefaultParagraphFont"/>
    <w:uiPriority w:val="98"/>
    <w:semiHidden/>
    <w:rsid w:val="007A54E1"/>
    <w:rPr>
      <w:rFonts w:ascii="Consolas" w:hAnsi="Consolas" w:cs="Consolas"/>
      <w:sz w:val="20"/>
      <w:szCs w:val="20"/>
    </w:rPr>
  </w:style>
  <w:style w:type="character" w:styleId="HTMLDefinition">
    <w:name w:val="HTML Definition"/>
    <w:basedOn w:val="DefaultParagraphFont"/>
    <w:uiPriority w:val="98"/>
    <w:semiHidden/>
    <w:rsid w:val="007A54E1"/>
    <w:rPr>
      <w:i/>
      <w:iCs/>
    </w:rPr>
  </w:style>
  <w:style w:type="character" w:styleId="HTMLKeyboard">
    <w:name w:val="HTML Keyboard"/>
    <w:basedOn w:val="DefaultParagraphFont"/>
    <w:uiPriority w:val="98"/>
    <w:semiHidden/>
    <w:rsid w:val="007A54E1"/>
    <w:rPr>
      <w:rFonts w:ascii="Consolas" w:hAnsi="Consolas" w:cs="Consolas"/>
      <w:sz w:val="20"/>
      <w:szCs w:val="20"/>
    </w:rPr>
  </w:style>
  <w:style w:type="paragraph" w:styleId="HTMLPreformatted">
    <w:name w:val="HTML Preformatted"/>
    <w:basedOn w:val="Normal"/>
    <w:link w:val="HTMLPreformattedChar"/>
    <w:uiPriority w:val="98"/>
    <w:semiHidden/>
    <w:rsid w:val="007A54E1"/>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7A54E1"/>
    <w:rPr>
      <w:rFonts w:ascii="Consolas" w:hAnsi="Consolas" w:cs="Consolas"/>
      <w:sz w:val="20"/>
      <w:szCs w:val="20"/>
      <w:lang w:val="ro-RO"/>
    </w:rPr>
  </w:style>
  <w:style w:type="character" w:styleId="HTMLSample">
    <w:name w:val="HTML Sample"/>
    <w:basedOn w:val="DefaultParagraphFont"/>
    <w:uiPriority w:val="98"/>
    <w:semiHidden/>
    <w:rsid w:val="007A54E1"/>
    <w:rPr>
      <w:rFonts w:ascii="Consolas" w:hAnsi="Consolas" w:cs="Consolas"/>
      <w:sz w:val="24"/>
      <w:szCs w:val="24"/>
    </w:rPr>
  </w:style>
  <w:style w:type="character" w:styleId="HTMLTypewriter">
    <w:name w:val="HTML Typewriter"/>
    <w:basedOn w:val="DefaultParagraphFont"/>
    <w:uiPriority w:val="98"/>
    <w:semiHidden/>
    <w:rsid w:val="007A54E1"/>
    <w:rPr>
      <w:rFonts w:ascii="Consolas" w:hAnsi="Consolas" w:cs="Consolas"/>
      <w:sz w:val="20"/>
      <w:szCs w:val="20"/>
    </w:rPr>
  </w:style>
  <w:style w:type="character" w:styleId="HTMLVariable">
    <w:name w:val="HTML Variable"/>
    <w:basedOn w:val="DefaultParagraphFont"/>
    <w:uiPriority w:val="98"/>
    <w:semiHidden/>
    <w:rsid w:val="007A54E1"/>
    <w:rPr>
      <w:i/>
      <w:iCs/>
    </w:rPr>
  </w:style>
  <w:style w:type="paragraph" w:styleId="Index1">
    <w:name w:val="index 1"/>
    <w:basedOn w:val="Normal"/>
    <w:next w:val="Normal"/>
    <w:autoRedefine/>
    <w:uiPriority w:val="98"/>
    <w:semiHidden/>
    <w:rsid w:val="007A54E1"/>
    <w:pPr>
      <w:ind w:left="240" w:hanging="240"/>
    </w:pPr>
  </w:style>
  <w:style w:type="paragraph" w:styleId="Index2">
    <w:name w:val="index 2"/>
    <w:basedOn w:val="Normal"/>
    <w:next w:val="Normal"/>
    <w:autoRedefine/>
    <w:uiPriority w:val="98"/>
    <w:semiHidden/>
    <w:rsid w:val="007A54E1"/>
    <w:pPr>
      <w:ind w:left="480" w:hanging="240"/>
    </w:pPr>
  </w:style>
  <w:style w:type="paragraph" w:styleId="Index3">
    <w:name w:val="index 3"/>
    <w:basedOn w:val="Normal"/>
    <w:next w:val="Normal"/>
    <w:autoRedefine/>
    <w:uiPriority w:val="98"/>
    <w:semiHidden/>
    <w:rsid w:val="007A54E1"/>
    <w:pPr>
      <w:ind w:left="720" w:hanging="240"/>
    </w:pPr>
  </w:style>
  <w:style w:type="paragraph" w:styleId="Index4">
    <w:name w:val="index 4"/>
    <w:basedOn w:val="Normal"/>
    <w:next w:val="Normal"/>
    <w:autoRedefine/>
    <w:uiPriority w:val="98"/>
    <w:semiHidden/>
    <w:rsid w:val="007A54E1"/>
    <w:pPr>
      <w:ind w:left="960" w:hanging="240"/>
    </w:pPr>
  </w:style>
  <w:style w:type="paragraph" w:styleId="Index5">
    <w:name w:val="index 5"/>
    <w:basedOn w:val="Normal"/>
    <w:next w:val="Normal"/>
    <w:autoRedefine/>
    <w:uiPriority w:val="98"/>
    <w:semiHidden/>
    <w:rsid w:val="007A54E1"/>
    <w:pPr>
      <w:ind w:left="1200" w:hanging="240"/>
    </w:pPr>
  </w:style>
  <w:style w:type="paragraph" w:styleId="Index6">
    <w:name w:val="index 6"/>
    <w:basedOn w:val="Normal"/>
    <w:next w:val="Normal"/>
    <w:autoRedefine/>
    <w:uiPriority w:val="98"/>
    <w:semiHidden/>
    <w:rsid w:val="007A54E1"/>
    <w:pPr>
      <w:ind w:left="1440" w:hanging="240"/>
    </w:pPr>
  </w:style>
  <w:style w:type="paragraph" w:styleId="Index7">
    <w:name w:val="index 7"/>
    <w:basedOn w:val="Normal"/>
    <w:next w:val="Normal"/>
    <w:autoRedefine/>
    <w:uiPriority w:val="98"/>
    <w:semiHidden/>
    <w:rsid w:val="007A54E1"/>
    <w:pPr>
      <w:ind w:left="1680" w:hanging="240"/>
    </w:pPr>
  </w:style>
  <w:style w:type="paragraph" w:styleId="Index8">
    <w:name w:val="index 8"/>
    <w:basedOn w:val="Normal"/>
    <w:next w:val="Normal"/>
    <w:autoRedefine/>
    <w:uiPriority w:val="98"/>
    <w:semiHidden/>
    <w:rsid w:val="007A54E1"/>
    <w:pPr>
      <w:ind w:left="1920" w:hanging="240"/>
    </w:pPr>
  </w:style>
  <w:style w:type="paragraph" w:styleId="Index9">
    <w:name w:val="index 9"/>
    <w:basedOn w:val="Normal"/>
    <w:next w:val="Normal"/>
    <w:autoRedefine/>
    <w:uiPriority w:val="98"/>
    <w:semiHidden/>
    <w:rsid w:val="007A54E1"/>
    <w:pPr>
      <w:ind w:left="2160" w:hanging="240"/>
    </w:pPr>
  </w:style>
  <w:style w:type="paragraph" w:styleId="IndexHeading">
    <w:name w:val="index heading"/>
    <w:basedOn w:val="Normal"/>
    <w:next w:val="Index1"/>
    <w:uiPriority w:val="98"/>
    <w:semiHidden/>
    <w:rsid w:val="007A54E1"/>
    <w:rPr>
      <w:rFonts w:asciiTheme="majorHAnsi" w:eastAsiaTheme="majorEastAsia" w:hAnsiTheme="majorHAnsi" w:cstheme="majorBidi"/>
      <w:b/>
      <w:bCs/>
    </w:rPr>
  </w:style>
  <w:style w:type="table" w:styleId="LightGrid">
    <w:name w:val="Light Grid"/>
    <w:basedOn w:val="TableNormal"/>
    <w:uiPriority w:val="62"/>
    <w:semiHidden/>
    <w:rsid w:val="007A54E1"/>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7A54E1"/>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7A54E1"/>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7A54E1"/>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18" w:space="0" w:color="595959" w:themeColor="accent3"/>
          <w:right w:val="single" w:sz="8" w:space="0" w:color="595959" w:themeColor="accent3"/>
          <w:insideH w:val="nil"/>
          <w:insideV w:val="single" w:sz="8" w:space="0" w:color="5959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insideH w:val="nil"/>
          <w:insideV w:val="single" w:sz="8" w:space="0" w:color="5959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shd w:val="clear" w:color="auto" w:fill="D5D5D5" w:themeFill="accent3" w:themeFillTint="3F"/>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shd w:val="clear" w:color="auto" w:fill="D5D5D5" w:themeFill="accent3" w:themeFillTint="3F"/>
      </w:tcPr>
    </w:tblStylePr>
    <w:tblStylePr w:type="band2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tcPr>
    </w:tblStylePr>
  </w:style>
  <w:style w:type="table" w:styleId="LightGrid-Accent4">
    <w:name w:val="Light Grid Accent 4"/>
    <w:basedOn w:val="TableNormal"/>
    <w:uiPriority w:val="62"/>
    <w:semiHidden/>
    <w:rsid w:val="007A54E1"/>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7A54E1"/>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7A54E1"/>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7A54E1"/>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7A54E1"/>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FFFFFF"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7A54E1"/>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FFFFFF"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7A54E1"/>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pPr>
        <w:spacing w:before="0" w:after="0" w:line="240" w:lineRule="auto"/>
      </w:pPr>
      <w:rPr>
        <w:b/>
        <w:bCs/>
        <w:color w:val="FFFFFF" w:themeColor="background1"/>
      </w:rPr>
      <w:tblPr/>
      <w:tcPr>
        <w:shd w:val="clear" w:color="auto" w:fill="595959" w:themeFill="accent3"/>
      </w:tcPr>
    </w:tblStylePr>
    <w:tblStylePr w:type="lastRow">
      <w:pPr>
        <w:spacing w:before="0" w:after="0" w:line="240" w:lineRule="auto"/>
      </w:pPr>
      <w:rPr>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tcBorders>
      </w:tcPr>
    </w:tblStylePr>
    <w:tblStylePr w:type="firstCol">
      <w:rPr>
        <w:b/>
        <w:bCs/>
      </w:rPr>
    </w:tblStylePr>
    <w:tblStylePr w:type="lastCol">
      <w:rPr>
        <w:b/>
        <w:bCs/>
      </w:r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style>
  <w:style w:type="table" w:styleId="LightList-Accent4">
    <w:name w:val="Light List Accent 4"/>
    <w:basedOn w:val="TableNormal"/>
    <w:uiPriority w:val="61"/>
    <w:semiHidden/>
    <w:rsid w:val="007A54E1"/>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FFFFFF"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7A54E1"/>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7A54E1"/>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7A54E1"/>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7A54E1"/>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7A54E1"/>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7A54E1"/>
    <w:rPr>
      <w:color w:val="424242" w:themeColor="accent3" w:themeShade="BF"/>
      <w:sz w:val="24"/>
      <w:szCs w:val="24"/>
    </w:rPr>
    <w:tblPr>
      <w:tblStyleRowBandSize w:val="1"/>
      <w:tblStyleColBandSize w:val="1"/>
      <w:tblBorders>
        <w:top w:val="single" w:sz="8" w:space="0" w:color="595959" w:themeColor="accent3"/>
        <w:bottom w:val="single" w:sz="8" w:space="0" w:color="595959" w:themeColor="accent3"/>
      </w:tblBorders>
    </w:tblPr>
    <w:tblStylePr w:type="fir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la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left w:val="nil"/>
          <w:right w:val="nil"/>
          <w:insideH w:val="nil"/>
          <w:insideV w:val="nil"/>
        </w:tcBorders>
        <w:shd w:val="clear" w:color="auto" w:fill="D5D5D5" w:themeFill="accent3" w:themeFillTint="3F"/>
      </w:tcPr>
    </w:tblStylePr>
  </w:style>
  <w:style w:type="table" w:styleId="LightShading-Accent4">
    <w:name w:val="Light Shading Accent 4"/>
    <w:basedOn w:val="TableNormal"/>
    <w:uiPriority w:val="60"/>
    <w:semiHidden/>
    <w:rsid w:val="007A54E1"/>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7A54E1"/>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7A54E1"/>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7A54E1"/>
  </w:style>
  <w:style w:type="paragraph" w:styleId="List">
    <w:name w:val="List"/>
    <w:basedOn w:val="Normal"/>
    <w:uiPriority w:val="98"/>
    <w:semiHidden/>
    <w:rsid w:val="007A54E1"/>
    <w:pPr>
      <w:ind w:left="283" w:hanging="283"/>
      <w:contextualSpacing/>
    </w:pPr>
  </w:style>
  <w:style w:type="paragraph" w:styleId="List2">
    <w:name w:val="List 2"/>
    <w:basedOn w:val="Normal"/>
    <w:uiPriority w:val="98"/>
    <w:semiHidden/>
    <w:rsid w:val="007A54E1"/>
    <w:pPr>
      <w:ind w:left="566" w:hanging="283"/>
      <w:contextualSpacing/>
    </w:pPr>
  </w:style>
  <w:style w:type="paragraph" w:styleId="List3">
    <w:name w:val="List 3"/>
    <w:basedOn w:val="Normal"/>
    <w:uiPriority w:val="98"/>
    <w:semiHidden/>
    <w:rsid w:val="007A54E1"/>
    <w:pPr>
      <w:ind w:left="849" w:hanging="283"/>
      <w:contextualSpacing/>
    </w:pPr>
  </w:style>
  <w:style w:type="paragraph" w:styleId="List4">
    <w:name w:val="List 4"/>
    <w:basedOn w:val="Normal"/>
    <w:uiPriority w:val="98"/>
    <w:semiHidden/>
    <w:rsid w:val="007A54E1"/>
    <w:pPr>
      <w:ind w:left="1132" w:hanging="283"/>
      <w:contextualSpacing/>
    </w:pPr>
  </w:style>
  <w:style w:type="paragraph" w:styleId="List5">
    <w:name w:val="List 5"/>
    <w:basedOn w:val="Normal"/>
    <w:uiPriority w:val="98"/>
    <w:semiHidden/>
    <w:rsid w:val="007A54E1"/>
    <w:pPr>
      <w:ind w:left="1415" w:hanging="283"/>
      <w:contextualSpacing/>
    </w:pPr>
  </w:style>
  <w:style w:type="paragraph" w:styleId="ListBullet2">
    <w:name w:val="List Bullet 2"/>
    <w:basedOn w:val="Normal"/>
    <w:uiPriority w:val="98"/>
    <w:semiHidden/>
    <w:rsid w:val="007A54E1"/>
    <w:pPr>
      <w:numPr>
        <w:numId w:val="8"/>
      </w:numPr>
      <w:contextualSpacing/>
    </w:pPr>
  </w:style>
  <w:style w:type="paragraph" w:styleId="ListBullet4">
    <w:name w:val="List Bullet 4"/>
    <w:basedOn w:val="Normal"/>
    <w:uiPriority w:val="98"/>
    <w:semiHidden/>
    <w:rsid w:val="007A54E1"/>
    <w:pPr>
      <w:numPr>
        <w:numId w:val="10"/>
      </w:numPr>
      <w:contextualSpacing/>
    </w:pPr>
  </w:style>
  <w:style w:type="paragraph" w:styleId="ListBullet5">
    <w:name w:val="List Bullet 5"/>
    <w:basedOn w:val="Normal"/>
    <w:uiPriority w:val="98"/>
    <w:semiHidden/>
    <w:rsid w:val="007A54E1"/>
    <w:pPr>
      <w:numPr>
        <w:numId w:val="11"/>
      </w:numPr>
      <w:contextualSpacing/>
    </w:pPr>
  </w:style>
  <w:style w:type="paragraph" w:styleId="ListContinue">
    <w:name w:val="List Continue"/>
    <w:basedOn w:val="Normal"/>
    <w:uiPriority w:val="98"/>
    <w:semiHidden/>
    <w:rsid w:val="007A54E1"/>
    <w:pPr>
      <w:spacing w:after="120"/>
      <w:ind w:left="283"/>
      <w:contextualSpacing/>
    </w:pPr>
  </w:style>
  <w:style w:type="paragraph" w:styleId="ListContinue2">
    <w:name w:val="List Continue 2"/>
    <w:basedOn w:val="Normal"/>
    <w:uiPriority w:val="98"/>
    <w:semiHidden/>
    <w:rsid w:val="007A54E1"/>
    <w:pPr>
      <w:spacing w:after="120"/>
      <w:ind w:left="566"/>
      <w:contextualSpacing/>
    </w:pPr>
  </w:style>
  <w:style w:type="paragraph" w:styleId="ListContinue3">
    <w:name w:val="List Continue 3"/>
    <w:basedOn w:val="Normal"/>
    <w:uiPriority w:val="98"/>
    <w:semiHidden/>
    <w:rsid w:val="007A54E1"/>
    <w:pPr>
      <w:spacing w:after="120"/>
      <w:ind w:left="849"/>
      <w:contextualSpacing/>
    </w:pPr>
  </w:style>
  <w:style w:type="paragraph" w:styleId="ListContinue4">
    <w:name w:val="List Continue 4"/>
    <w:basedOn w:val="Normal"/>
    <w:uiPriority w:val="98"/>
    <w:semiHidden/>
    <w:rsid w:val="007A54E1"/>
    <w:pPr>
      <w:spacing w:after="120"/>
      <w:ind w:left="1132"/>
      <w:contextualSpacing/>
    </w:pPr>
  </w:style>
  <w:style w:type="paragraph" w:styleId="ListContinue5">
    <w:name w:val="List Continue 5"/>
    <w:basedOn w:val="Normal"/>
    <w:uiPriority w:val="98"/>
    <w:semiHidden/>
    <w:rsid w:val="007A54E1"/>
    <w:pPr>
      <w:spacing w:after="120"/>
      <w:ind w:left="1415"/>
      <w:contextualSpacing/>
    </w:pPr>
  </w:style>
  <w:style w:type="paragraph" w:styleId="ListNumber">
    <w:name w:val="List Number"/>
    <w:basedOn w:val="Normal"/>
    <w:uiPriority w:val="98"/>
    <w:semiHidden/>
    <w:rsid w:val="007A54E1"/>
    <w:pPr>
      <w:numPr>
        <w:numId w:val="12"/>
      </w:numPr>
      <w:contextualSpacing/>
    </w:pPr>
  </w:style>
  <w:style w:type="paragraph" w:styleId="ListNumber2">
    <w:name w:val="List Number 2"/>
    <w:basedOn w:val="Normal"/>
    <w:uiPriority w:val="98"/>
    <w:semiHidden/>
    <w:rsid w:val="007A54E1"/>
    <w:pPr>
      <w:numPr>
        <w:numId w:val="13"/>
      </w:numPr>
      <w:contextualSpacing/>
    </w:pPr>
  </w:style>
  <w:style w:type="paragraph" w:styleId="ListNumber3">
    <w:name w:val="List Number 3"/>
    <w:basedOn w:val="Normal"/>
    <w:uiPriority w:val="98"/>
    <w:semiHidden/>
    <w:rsid w:val="007A54E1"/>
    <w:pPr>
      <w:numPr>
        <w:numId w:val="14"/>
      </w:numPr>
      <w:contextualSpacing/>
    </w:pPr>
  </w:style>
  <w:style w:type="paragraph" w:styleId="ListNumber4">
    <w:name w:val="List Number 4"/>
    <w:basedOn w:val="Normal"/>
    <w:uiPriority w:val="98"/>
    <w:semiHidden/>
    <w:rsid w:val="007A54E1"/>
    <w:pPr>
      <w:numPr>
        <w:numId w:val="15"/>
      </w:numPr>
      <w:contextualSpacing/>
    </w:pPr>
  </w:style>
  <w:style w:type="paragraph" w:styleId="ListNumber5">
    <w:name w:val="List Number 5"/>
    <w:basedOn w:val="Normal"/>
    <w:uiPriority w:val="98"/>
    <w:semiHidden/>
    <w:rsid w:val="007A54E1"/>
    <w:pPr>
      <w:numPr>
        <w:numId w:val="16"/>
      </w:numPr>
      <w:contextualSpacing/>
    </w:pPr>
  </w:style>
  <w:style w:type="paragraph" w:styleId="MacroText">
    <w:name w:val="macro"/>
    <w:link w:val="MacroTextChar"/>
    <w:uiPriority w:val="98"/>
    <w:semiHidden/>
    <w:rsid w:val="007A54E1"/>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7A54E1"/>
    <w:rPr>
      <w:rFonts w:ascii="Consolas" w:eastAsiaTheme="minorEastAsia" w:hAnsi="Consolas" w:cs="Consolas"/>
      <w:sz w:val="20"/>
      <w:szCs w:val="20"/>
    </w:rPr>
  </w:style>
  <w:style w:type="table" w:styleId="MediumGrid1">
    <w:name w:val="Medium Grid 1"/>
    <w:basedOn w:val="TableNormal"/>
    <w:uiPriority w:val="67"/>
    <w:semiHidden/>
    <w:rsid w:val="007A54E1"/>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7A54E1"/>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7A54E1"/>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7A54E1"/>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insideV w:val="single" w:sz="8" w:space="0" w:color="828282" w:themeColor="accent3" w:themeTint="BF"/>
      </w:tblBorders>
    </w:tblPr>
    <w:tcPr>
      <w:shd w:val="clear" w:color="auto" w:fill="D5D5D5" w:themeFill="accent3" w:themeFillTint="3F"/>
    </w:tcPr>
    <w:tblStylePr w:type="firstRow">
      <w:rPr>
        <w:b/>
        <w:bCs/>
      </w:rPr>
    </w:tblStylePr>
    <w:tblStylePr w:type="lastRow">
      <w:rPr>
        <w:b/>
        <w:bCs/>
      </w:rPr>
      <w:tblPr/>
      <w:tcPr>
        <w:tcBorders>
          <w:top w:val="single" w:sz="18" w:space="0" w:color="828282" w:themeColor="accent3" w:themeTint="BF"/>
        </w:tcBorders>
      </w:tcPr>
    </w:tblStylePr>
    <w:tblStylePr w:type="firstCol">
      <w:rPr>
        <w:b/>
        <w:bCs/>
      </w:rPr>
    </w:tblStylePr>
    <w:tblStylePr w:type="lastCol">
      <w:rPr>
        <w:b/>
        <w:bCs/>
      </w:r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MediumGrid1-Accent4">
    <w:name w:val="Medium Grid 1 Accent 4"/>
    <w:basedOn w:val="TableNormal"/>
    <w:uiPriority w:val="67"/>
    <w:semiHidden/>
    <w:rsid w:val="007A54E1"/>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7A54E1"/>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7A54E1"/>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7A54E1"/>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7A54E1"/>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7A54E1"/>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7A54E1"/>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cPr>
      <w:shd w:val="clear" w:color="auto" w:fill="D5D5D5" w:themeFill="accent3" w:themeFillTint="3F"/>
    </w:tcPr>
    <w:tblStylePr w:type="firstRow">
      <w:rPr>
        <w:b/>
        <w:bCs/>
        <w:color w:val="000000" w:themeColor="text1"/>
      </w:rPr>
      <w:tblPr/>
      <w:tcPr>
        <w:shd w:val="clear" w:color="auto" w:fill="EEEE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DDD" w:themeFill="accent3" w:themeFillTint="33"/>
      </w:tcPr>
    </w:tblStylePr>
    <w:tblStylePr w:type="band1Vert">
      <w:tblPr/>
      <w:tcPr>
        <w:shd w:val="clear" w:color="auto" w:fill="ACACAC" w:themeFill="accent3" w:themeFillTint="7F"/>
      </w:tcPr>
    </w:tblStylePr>
    <w:tblStylePr w:type="band1Horz">
      <w:tblPr/>
      <w:tcPr>
        <w:tcBorders>
          <w:insideH w:val="single" w:sz="6" w:space="0" w:color="595959" w:themeColor="accent3"/>
          <w:insideV w:val="single" w:sz="6" w:space="0" w:color="595959" w:themeColor="accent3"/>
        </w:tcBorders>
        <w:shd w:val="clear" w:color="auto" w:fill="ACAC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7A54E1"/>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7A54E1"/>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7A54E1"/>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7A54E1"/>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7A54E1"/>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2B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2B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E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EBFFF" w:themeFill="accent1" w:themeFillTint="7F"/>
      </w:tcPr>
    </w:tblStylePr>
  </w:style>
  <w:style w:type="table" w:styleId="MediumGrid3-Accent2">
    <w:name w:val="Medium Grid 3 Accent 2"/>
    <w:basedOn w:val="TableNormal"/>
    <w:uiPriority w:val="69"/>
    <w:semiHidden/>
    <w:rsid w:val="007A54E1"/>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2" w:themeFillTint="7F"/>
      </w:tcPr>
    </w:tblStylePr>
  </w:style>
  <w:style w:type="table" w:styleId="MediumGrid3-Accent3">
    <w:name w:val="Medium Grid 3 Accent 3"/>
    <w:basedOn w:val="TableNormal"/>
    <w:uiPriority w:val="69"/>
    <w:semiHidden/>
    <w:rsid w:val="007A54E1"/>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5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59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59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C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CAC" w:themeFill="accent3" w:themeFillTint="7F"/>
      </w:tcPr>
    </w:tblStylePr>
  </w:style>
  <w:style w:type="table" w:styleId="MediumGrid3-Accent4">
    <w:name w:val="Medium Grid 3 Accent 4"/>
    <w:basedOn w:val="TableNormal"/>
    <w:uiPriority w:val="69"/>
    <w:semiHidden/>
    <w:rsid w:val="007A54E1"/>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4" w:themeFillTint="7F"/>
      </w:tcPr>
    </w:tblStylePr>
  </w:style>
  <w:style w:type="table" w:styleId="MediumGrid3-Accent5">
    <w:name w:val="Medium Grid 3 Accent 5"/>
    <w:basedOn w:val="TableNormal"/>
    <w:uiPriority w:val="69"/>
    <w:semiHidden/>
    <w:rsid w:val="007A54E1"/>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rsid w:val="007A54E1"/>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rsid w:val="007A54E1"/>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0B0B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7A54E1"/>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B0B0B0"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7A54E1"/>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B0B0B0"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7A54E1"/>
    <w:rPr>
      <w:color w:val="000000" w:themeColor="text1"/>
      <w:sz w:val="24"/>
      <w:szCs w:val="24"/>
    </w:rPr>
    <w:tblPr>
      <w:tblStyleRowBandSize w:val="1"/>
      <w:tblStyleColBandSize w:val="1"/>
      <w:tblBorders>
        <w:top w:val="single" w:sz="8" w:space="0" w:color="595959" w:themeColor="accent3"/>
        <w:bottom w:val="single" w:sz="8" w:space="0" w:color="595959" w:themeColor="accent3"/>
      </w:tblBorders>
    </w:tblPr>
    <w:tblStylePr w:type="firstRow">
      <w:rPr>
        <w:rFonts w:asciiTheme="majorHAnsi" w:eastAsiaTheme="majorEastAsia" w:hAnsiTheme="majorHAnsi" w:cstheme="majorBidi"/>
      </w:rPr>
      <w:tblPr/>
      <w:tcPr>
        <w:tcBorders>
          <w:top w:val="nil"/>
          <w:bottom w:val="single" w:sz="8" w:space="0" w:color="595959" w:themeColor="accent3"/>
        </w:tcBorders>
      </w:tcPr>
    </w:tblStylePr>
    <w:tblStylePr w:type="lastRow">
      <w:rPr>
        <w:b/>
        <w:bCs/>
        <w:color w:val="B0B0B0" w:themeColor="text2"/>
      </w:rPr>
      <w:tblPr/>
      <w:tcPr>
        <w:tcBorders>
          <w:top w:val="single" w:sz="8" w:space="0" w:color="595959" w:themeColor="accent3"/>
          <w:bottom w:val="single" w:sz="8" w:space="0" w:color="595959" w:themeColor="accent3"/>
        </w:tcBorders>
      </w:tcPr>
    </w:tblStylePr>
    <w:tblStylePr w:type="firstCol">
      <w:rPr>
        <w:b/>
        <w:bCs/>
      </w:rPr>
    </w:tblStylePr>
    <w:tblStylePr w:type="lastCol">
      <w:rPr>
        <w:b/>
        <w:bCs/>
      </w:rPr>
      <w:tblPr/>
      <w:tcPr>
        <w:tcBorders>
          <w:top w:val="single" w:sz="8" w:space="0" w:color="595959" w:themeColor="accent3"/>
          <w:bottom w:val="single" w:sz="8" w:space="0" w:color="595959" w:themeColor="accent3"/>
        </w:tcBorders>
      </w:tcPr>
    </w:tblStylePr>
    <w:tblStylePr w:type="band1Vert">
      <w:tblPr/>
      <w:tcPr>
        <w:shd w:val="clear" w:color="auto" w:fill="D5D5D5" w:themeFill="accent3" w:themeFillTint="3F"/>
      </w:tcPr>
    </w:tblStylePr>
    <w:tblStylePr w:type="band1Horz">
      <w:tblPr/>
      <w:tcPr>
        <w:shd w:val="clear" w:color="auto" w:fill="D5D5D5" w:themeFill="accent3" w:themeFillTint="3F"/>
      </w:tcPr>
    </w:tblStylePr>
  </w:style>
  <w:style w:type="table" w:styleId="MediumList1-Accent4">
    <w:name w:val="Medium List 1 Accent 4"/>
    <w:basedOn w:val="TableNormal"/>
    <w:uiPriority w:val="65"/>
    <w:semiHidden/>
    <w:rsid w:val="007A54E1"/>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B0B0B0"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7A54E1"/>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B0B0B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7A54E1"/>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B0B0B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7A54E1"/>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7A54E1"/>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FFFFFF" w:themeFill="background1"/>
      </w:tcPr>
    </w:tblStylePr>
    <w:tblStylePr w:type="lastRow">
      <w:tblPr/>
      <w:tcPr>
        <w:tcBorders>
          <w:top w:val="single" w:sz="8" w:space="0" w:color="0072B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2BC" w:themeColor="accent1"/>
          <w:insideH w:val="nil"/>
          <w:insideV w:val="nil"/>
        </w:tcBorders>
        <w:shd w:val="clear" w:color="auto" w:fill="FFFFFF" w:themeFill="background1"/>
      </w:tcPr>
    </w:tblStylePr>
    <w:tblStylePr w:type="lastCol">
      <w:tblPr/>
      <w:tcPr>
        <w:tcBorders>
          <w:top w:val="nil"/>
          <w:left w:val="single" w:sz="8" w:space="0" w:color="0072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7A54E1"/>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tblPr/>
      <w:tcPr>
        <w:tcBorders>
          <w:top w:val="single" w:sz="8" w:space="0" w:color="C00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2"/>
          <w:insideH w:val="nil"/>
          <w:insideV w:val="nil"/>
        </w:tcBorders>
        <w:shd w:val="clear" w:color="auto" w:fill="FFFFFF" w:themeFill="background1"/>
      </w:tcPr>
    </w:tblStylePr>
    <w:tblStylePr w:type="lastCol">
      <w:tblPr/>
      <w:tcPr>
        <w:tcBorders>
          <w:top w:val="nil"/>
          <w:left w:val="single" w:sz="8" w:space="0" w:color="C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7A54E1"/>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rPr>
        <w:sz w:val="24"/>
        <w:szCs w:val="24"/>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tblPr/>
      <w:tcPr>
        <w:tcBorders>
          <w:top w:val="single" w:sz="8" w:space="0" w:color="5959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5959" w:themeColor="accent3"/>
          <w:insideH w:val="nil"/>
          <w:insideV w:val="nil"/>
        </w:tcBorders>
        <w:shd w:val="clear" w:color="auto" w:fill="FFFFFF" w:themeFill="background1"/>
      </w:tcPr>
    </w:tblStylePr>
    <w:tblStylePr w:type="lastCol">
      <w:tblPr/>
      <w:tcPr>
        <w:tcBorders>
          <w:top w:val="nil"/>
          <w:left w:val="single" w:sz="8" w:space="0" w:color="5959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top w:val="nil"/>
          <w:bottom w:val="nil"/>
          <w:insideH w:val="nil"/>
          <w:insideV w:val="nil"/>
        </w:tcBorders>
        <w:shd w:val="clear" w:color="auto" w:fill="D5D5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7A54E1"/>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tblPr/>
      <w:tcPr>
        <w:tcBorders>
          <w:top w:val="single" w:sz="8" w:space="0" w:color="96969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4"/>
          <w:insideH w:val="nil"/>
          <w:insideV w:val="nil"/>
        </w:tcBorders>
        <w:shd w:val="clear" w:color="auto" w:fill="FFFFFF" w:themeFill="background1"/>
      </w:tcPr>
    </w:tblStylePr>
    <w:tblStylePr w:type="lastCol">
      <w:tblPr/>
      <w:tcPr>
        <w:tcBorders>
          <w:top w:val="nil"/>
          <w:left w:val="single" w:sz="8" w:space="0" w:color="96969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7A54E1"/>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7A54E1"/>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7A54E1"/>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7A54E1"/>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FFFFFF"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7A54E1"/>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FFFFFF"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7A54E1"/>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tblBorders>
    </w:tblPr>
    <w:tblStylePr w:type="firstRow">
      <w:pPr>
        <w:spacing w:before="0" w:after="0" w:line="240" w:lineRule="auto"/>
      </w:pPr>
      <w:rPr>
        <w:b/>
        <w:bCs/>
        <w:color w:val="FFFFFF" w:themeColor="background1"/>
      </w:rPr>
      <w:tblPr/>
      <w:tcPr>
        <w:tc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shd w:val="clear" w:color="auto" w:fill="595959" w:themeFill="accent3"/>
      </w:tcPr>
    </w:tblStylePr>
    <w:tblStylePr w:type="lastRow">
      <w:pPr>
        <w:spacing w:before="0" w:after="0" w:line="240" w:lineRule="auto"/>
      </w:pPr>
      <w:rPr>
        <w:b/>
        <w:bCs/>
      </w:rPr>
      <w:tblPr/>
      <w:tcPr>
        <w:tcBorders>
          <w:top w:val="double" w:sz="6"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5D5" w:themeFill="accent3" w:themeFillTint="3F"/>
      </w:tcPr>
    </w:tblStylePr>
    <w:tblStylePr w:type="band1Horz">
      <w:tblPr/>
      <w:tcPr>
        <w:tcBorders>
          <w:insideH w:val="nil"/>
          <w:insideV w:val="nil"/>
        </w:tcBorders>
        <w:shd w:val="clear" w:color="auto" w:fill="D5D5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7A54E1"/>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FFFFFF"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7A54E1"/>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7A54E1"/>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7A54E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7A54E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FFFFFF"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7A54E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FFFFFF"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7A54E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59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5959" w:themeFill="accent3"/>
      </w:tcPr>
    </w:tblStylePr>
    <w:tblStylePr w:type="lastCol">
      <w:rPr>
        <w:b/>
        <w:bCs/>
        <w:color w:val="FFFFFF" w:themeColor="background1"/>
      </w:rPr>
      <w:tblPr/>
      <w:tcPr>
        <w:tcBorders>
          <w:left w:val="nil"/>
          <w:right w:val="nil"/>
          <w:insideH w:val="nil"/>
          <w:insideV w:val="nil"/>
        </w:tcBorders>
        <w:shd w:val="clear" w:color="auto" w:fill="5959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7A54E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FFFFFF"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7A54E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7A54E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7A54E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7A54E1"/>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7A54E1"/>
    <w:rPr>
      <w:rFonts w:ascii="Times New Roman" w:hAnsi="Times New Roman" w:cs="Times New Roman"/>
    </w:rPr>
  </w:style>
  <w:style w:type="paragraph" w:styleId="NormalIndent">
    <w:name w:val="Normal Indent"/>
    <w:basedOn w:val="Normal"/>
    <w:uiPriority w:val="98"/>
    <w:semiHidden/>
    <w:rsid w:val="007A54E1"/>
    <w:pPr>
      <w:ind w:left="720"/>
    </w:pPr>
  </w:style>
  <w:style w:type="paragraph" w:styleId="NoteHeading">
    <w:name w:val="Note Heading"/>
    <w:basedOn w:val="Normal"/>
    <w:next w:val="Normal"/>
    <w:link w:val="NoteHeadingChar"/>
    <w:uiPriority w:val="98"/>
    <w:semiHidden/>
    <w:rsid w:val="007A54E1"/>
  </w:style>
  <w:style w:type="character" w:customStyle="1" w:styleId="NoteHeadingChar">
    <w:name w:val="Note Heading Char"/>
    <w:basedOn w:val="DefaultParagraphFont"/>
    <w:link w:val="NoteHeading"/>
    <w:uiPriority w:val="98"/>
    <w:semiHidden/>
    <w:rsid w:val="007A54E1"/>
    <w:rPr>
      <w:sz w:val="24"/>
      <w:szCs w:val="24"/>
      <w:lang w:val="ro-RO"/>
    </w:rPr>
  </w:style>
  <w:style w:type="character" w:styleId="PlaceholderText">
    <w:name w:val="Placeholder Text"/>
    <w:basedOn w:val="DefaultParagraphFont"/>
    <w:uiPriority w:val="98"/>
    <w:semiHidden/>
    <w:rsid w:val="007A54E1"/>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7A54E1"/>
    <w:rPr>
      <w:rFonts w:ascii="Consolas" w:hAnsi="Consolas" w:cs="Consolas"/>
      <w:sz w:val="21"/>
      <w:szCs w:val="21"/>
    </w:rPr>
  </w:style>
  <w:style w:type="character" w:customStyle="1" w:styleId="PlainTextChar">
    <w:name w:val="Plain Text Char"/>
    <w:basedOn w:val="DefaultParagraphFont"/>
    <w:link w:val="PlainText"/>
    <w:uiPriority w:val="98"/>
    <w:semiHidden/>
    <w:rsid w:val="007A54E1"/>
    <w:rPr>
      <w:rFonts w:ascii="Consolas" w:hAnsi="Consolas" w:cs="Consolas"/>
      <w:sz w:val="21"/>
      <w:szCs w:val="21"/>
      <w:lang w:val="ro-RO"/>
    </w:rPr>
  </w:style>
  <w:style w:type="paragraph" w:styleId="Salutation">
    <w:name w:val="Salutation"/>
    <w:basedOn w:val="Normal"/>
    <w:next w:val="Normal"/>
    <w:link w:val="SalutationChar"/>
    <w:uiPriority w:val="98"/>
    <w:semiHidden/>
    <w:rsid w:val="007A54E1"/>
  </w:style>
  <w:style w:type="character" w:customStyle="1" w:styleId="SalutationChar">
    <w:name w:val="Salutation Char"/>
    <w:basedOn w:val="DefaultParagraphFont"/>
    <w:link w:val="Salutation"/>
    <w:uiPriority w:val="98"/>
    <w:semiHidden/>
    <w:rsid w:val="007A54E1"/>
    <w:rPr>
      <w:sz w:val="24"/>
      <w:szCs w:val="24"/>
      <w:lang w:val="ro-RO"/>
    </w:rPr>
  </w:style>
  <w:style w:type="paragraph" w:styleId="Signature">
    <w:name w:val="Signature"/>
    <w:basedOn w:val="Normal"/>
    <w:link w:val="SignatureChar"/>
    <w:uiPriority w:val="98"/>
    <w:semiHidden/>
    <w:rsid w:val="007A54E1"/>
    <w:pPr>
      <w:ind w:left="4252"/>
    </w:pPr>
  </w:style>
  <w:style w:type="character" w:customStyle="1" w:styleId="SignatureChar">
    <w:name w:val="Signature Char"/>
    <w:basedOn w:val="DefaultParagraphFont"/>
    <w:link w:val="Signature"/>
    <w:uiPriority w:val="98"/>
    <w:semiHidden/>
    <w:rsid w:val="007A54E1"/>
    <w:rPr>
      <w:sz w:val="24"/>
      <w:szCs w:val="24"/>
      <w:lang w:val="ro-RO"/>
    </w:rPr>
  </w:style>
  <w:style w:type="table" w:styleId="Table3Deffects1">
    <w:name w:val="Table 3D effects 1"/>
    <w:basedOn w:val="TableNormal"/>
    <w:uiPriority w:val="99"/>
    <w:semiHidden/>
    <w:unhideWhenUsed/>
    <w:rsid w:val="007A54E1"/>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A54E1"/>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A54E1"/>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A54E1"/>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A54E1"/>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A54E1"/>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A54E1"/>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A54E1"/>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A54E1"/>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A54E1"/>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A54E1"/>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A54E1"/>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A54E1"/>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A54E1"/>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A54E1"/>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A54E1"/>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A54E1"/>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A54E1"/>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A54E1"/>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A54E1"/>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A54E1"/>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A54E1"/>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A54E1"/>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A54E1"/>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A54E1"/>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A54E1"/>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A54E1"/>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A54E1"/>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A54E1"/>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A54E1"/>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A54E1"/>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A54E1"/>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A54E1"/>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7A54E1"/>
    <w:pPr>
      <w:ind w:left="240" w:hanging="240"/>
    </w:pPr>
  </w:style>
  <w:style w:type="paragraph" w:styleId="TableofFigures">
    <w:name w:val="table of figures"/>
    <w:basedOn w:val="Normal"/>
    <w:next w:val="Normal"/>
    <w:uiPriority w:val="98"/>
    <w:semiHidden/>
    <w:rsid w:val="007A54E1"/>
  </w:style>
  <w:style w:type="table" w:styleId="TableProfessional">
    <w:name w:val="Table Professional"/>
    <w:basedOn w:val="TableNormal"/>
    <w:uiPriority w:val="99"/>
    <w:semiHidden/>
    <w:unhideWhenUsed/>
    <w:rsid w:val="007A54E1"/>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A54E1"/>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A54E1"/>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A54E1"/>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A54E1"/>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A54E1"/>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A54E1"/>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A54E1"/>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A54E1"/>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A54E1"/>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7A54E1"/>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7A54E1"/>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7A54E1"/>
    <w:pPr>
      <w:spacing w:after="100"/>
      <w:ind w:left="1680"/>
    </w:pPr>
  </w:style>
  <w:style w:type="paragraph" w:styleId="TOC9">
    <w:name w:val="toc 9"/>
    <w:basedOn w:val="Normal"/>
    <w:next w:val="Normal"/>
    <w:autoRedefine/>
    <w:uiPriority w:val="98"/>
    <w:semiHidden/>
    <w:rsid w:val="007A54E1"/>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7A54E1"/>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7A54E1"/>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7A54E1"/>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7A54E1"/>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7A54E1"/>
    <w:pPr>
      <w:numPr>
        <w:numId w:val="20"/>
      </w:numPr>
      <w:spacing w:before="60" w:after="60"/>
    </w:pPr>
  </w:style>
  <w:style w:type="paragraph" w:customStyle="1" w:styleId="ECHRBullet2">
    <w:name w:val="ECHR_Bullet_2"/>
    <w:aliases w:val="_Bul_2"/>
    <w:basedOn w:val="ECHRBullet1"/>
    <w:uiPriority w:val="23"/>
    <w:semiHidden/>
    <w:rsid w:val="007A54E1"/>
    <w:pPr>
      <w:numPr>
        <w:ilvl w:val="1"/>
      </w:numPr>
    </w:pPr>
  </w:style>
  <w:style w:type="paragraph" w:customStyle="1" w:styleId="ECHRBullet3">
    <w:name w:val="ECHR_Bullet_3"/>
    <w:aliases w:val="_Bul_3"/>
    <w:basedOn w:val="ECHRBullet2"/>
    <w:uiPriority w:val="23"/>
    <w:semiHidden/>
    <w:rsid w:val="007A54E1"/>
    <w:pPr>
      <w:numPr>
        <w:ilvl w:val="2"/>
      </w:numPr>
    </w:pPr>
  </w:style>
  <w:style w:type="paragraph" w:customStyle="1" w:styleId="ECHRBullet4">
    <w:name w:val="ECHR_Bullet_4"/>
    <w:aliases w:val="_Bul_4"/>
    <w:basedOn w:val="ECHRBullet3"/>
    <w:uiPriority w:val="23"/>
    <w:semiHidden/>
    <w:rsid w:val="007A54E1"/>
    <w:pPr>
      <w:numPr>
        <w:ilvl w:val="3"/>
      </w:numPr>
    </w:pPr>
  </w:style>
  <w:style w:type="paragraph" w:customStyle="1" w:styleId="ECHRConfidential">
    <w:name w:val="ECHR_Confidential"/>
    <w:aliases w:val="_Confidential"/>
    <w:basedOn w:val="Normal"/>
    <w:next w:val="Normal"/>
    <w:uiPriority w:val="42"/>
    <w:semiHidden/>
    <w:qFormat/>
    <w:rsid w:val="007A54E1"/>
    <w:pPr>
      <w:jc w:val="right"/>
    </w:pPr>
    <w:rPr>
      <w:color w:val="C00000"/>
      <w:sz w:val="20"/>
    </w:rPr>
  </w:style>
  <w:style w:type="paragraph" w:customStyle="1" w:styleId="ECHRDecisionBody">
    <w:name w:val="ECHR_Decision_Body"/>
    <w:aliases w:val="_Decision_Body"/>
    <w:basedOn w:val="NormalJustified"/>
    <w:uiPriority w:val="54"/>
    <w:semiHidden/>
    <w:rsid w:val="007A54E1"/>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7A54E1"/>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7A54E1"/>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7A54E1"/>
    <w:pPr>
      <w:pBdr>
        <w:top w:val="single" w:sz="8" w:space="1" w:color="7F7F7F" w:themeColor="text1" w:themeTint="80"/>
      </w:pBdr>
      <w:tabs>
        <w:tab w:val="center" w:pos="6146"/>
        <w:tab w:val="right" w:pos="12293"/>
      </w:tabs>
      <w:ind w:left="-1474" w:right="-1474"/>
    </w:pPr>
    <w:rPr>
      <w:color w:val="424242" w:themeColor="accent3" w:themeShade="BF"/>
      <w:sz w:val="22"/>
    </w:rPr>
  </w:style>
  <w:style w:type="paragraph" w:customStyle="1" w:styleId="ECHRHeaderDate">
    <w:name w:val="ECHR_Header_Date"/>
    <w:aliases w:val="_Ref_Date"/>
    <w:basedOn w:val="Normal"/>
    <w:uiPriority w:val="44"/>
    <w:semiHidden/>
    <w:qFormat/>
    <w:rsid w:val="007A54E1"/>
    <w:pPr>
      <w:jc w:val="right"/>
    </w:pPr>
    <w:rPr>
      <w:sz w:val="20"/>
    </w:rPr>
  </w:style>
  <w:style w:type="paragraph" w:customStyle="1" w:styleId="ECHRHeaderRefIt">
    <w:name w:val="ECHR_Header_Ref_It"/>
    <w:aliases w:val="_Ref_Ital"/>
    <w:basedOn w:val="Normal"/>
    <w:next w:val="ECHRHeaderDate"/>
    <w:uiPriority w:val="43"/>
    <w:semiHidden/>
    <w:qFormat/>
    <w:rsid w:val="007A54E1"/>
    <w:pPr>
      <w:jc w:val="right"/>
    </w:pPr>
    <w:rPr>
      <w:i/>
      <w:sz w:val="20"/>
    </w:rPr>
  </w:style>
  <w:style w:type="paragraph" w:customStyle="1" w:styleId="ECHRHeading9">
    <w:name w:val="ECHR_Heading_9"/>
    <w:aliases w:val="_Head_9"/>
    <w:basedOn w:val="Heading9"/>
    <w:uiPriority w:val="17"/>
    <w:semiHidden/>
    <w:rsid w:val="007A54E1"/>
    <w:pPr>
      <w:keepNext/>
      <w:keepLines/>
      <w:numPr>
        <w:ilvl w:val="8"/>
        <w:numId w:val="22"/>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7A54E1"/>
    <w:pPr>
      <w:pBdr>
        <w:bottom w:val="single" w:sz="12" w:space="1" w:color="838383"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7A54E1"/>
    <w:pPr>
      <w:numPr>
        <w:numId w:val="21"/>
      </w:numPr>
      <w:spacing w:before="60" w:after="60"/>
    </w:pPr>
  </w:style>
  <w:style w:type="paragraph" w:customStyle="1" w:styleId="ECHRNumberedList2">
    <w:name w:val="ECHR_Numbered_List_2"/>
    <w:aliases w:val="_Num_2"/>
    <w:basedOn w:val="ECHRNumberedList1"/>
    <w:uiPriority w:val="23"/>
    <w:semiHidden/>
    <w:rsid w:val="007A54E1"/>
    <w:pPr>
      <w:numPr>
        <w:ilvl w:val="1"/>
      </w:numPr>
    </w:pPr>
  </w:style>
  <w:style w:type="paragraph" w:customStyle="1" w:styleId="ECHRNumberedList3">
    <w:name w:val="ECHR_Numbered_List_3"/>
    <w:aliases w:val="_Num_3"/>
    <w:basedOn w:val="ECHRNumberedList2"/>
    <w:uiPriority w:val="23"/>
    <w:semiHidden/>
    <w:rsid w:val="007A54E1"/>
    <w:pPr>
      <w:numPr>
        <w:ilvl w:val="2"/>
      </w:numPr>
    </w:pPr>
  </w:style>
  <w:style w:type="paragraph" w:customStyle="1" w:styleId="ECHRParaHanging">
    <w:name w:val="ECHR_Para_Hanging"/>
    <w:aliases w:val="_Hanging"/>
    <w:basedOn w:val="NormalJustified"/>
    <w:uiPriority w:val="8"/>
    <w:semiHidden/>
    <w:qFormat/>
    <w:rsid w:val="007A54E1"/>
    <w:pPr>
      <w:ind w:left="567" w:hanging="567"/>
    </w:pPr>
  </w:style>
  <w:style w:type="paragraph" w:customStyle="1" w:styleId="ECHRParaIndent">
    <w:name w:val="ECHR_Para_Indent"/>
    <w:aliases w:val="_Indent"/>
    <w:basedOn w:val="NormalJustified"/>
    <w:uiPriority w:val="7"/>
    <w:semiHidden/>
    <w:qFormat/>
    <w:rsid w:val="007A54E1"/>
    <w:pPr>
      <w:spacing w:before="120" w:after="120"/>
      <w:ind w:left="284"/>
    </w:pPr>
  </w:style>
  <w:style w:type="character" w:customStyle="1" w:styleId="ECHRRed">
    <w:name w:val="ECHR_Red"/>
    <w:aliases w:val="_Red"/>
    <w:basedOn w:val="DefaultParagraphFont"/>
    <w:uiPriority w:val="15"/>
    <w:semiHidden/>
    <w:qFormat/>
    <w:rsid w:val="007A54E1"/>
    <w:rPr>
      <w:color w:val="C00000" w:themeColor="accent2"/>
    </w:rPr>
  </w:style>
  <w:style w:type="paragraph" w:customStyle="1" w:styleId="DecList">
    <w:name w:val="Dec_List"/>
    <w:aliases w:val="_List"/>
    <w:basedOn w:val="JuList"/>
    <w:uiPriority w:val="22"/>
    <w:rsid w:val="007A54E1"/>
    <w:pPr>
      <w:numPr>
        <w:numId w:val="0"/>
      </w:numPr>
      <w:ind w:left="284"/>
    </w:pPr>
  </w:style>
  <w:style w:type="table" w:customStyle="1" w:styleId="ECHRTable2">
    <w:name w:val="ECHR_Table_2"/>
    <w:basedOn w:val="TableNormal"/>
    <w:uiPriority w:val="99"/>
    <w:rsid w:val="007A54E1"/>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7A54E1"/>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F8F8F8" w:themeColor="background2"/>
          <w:tl2br w:val="nil"/>
          <w:tr2bl w:val="nil"/>
        </w:tcBorders>
        <w:shd w:val="clear" w:color="auto" w:fill="595959" w:themeFill="accent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DFDFDF" w:themeFill="text2" w:themeFillTint="66"/>
      </w:tcPr>
    </w:tblStylePr>
  </w:style>
  <w:style w:type="paragraph" w:customStyle="1" w:styleId="ECHRTitle1">
    <w:name w:val="ECHR_Title_1"/>
    <w:aliases w:val="_Title_L_1"/>
    <w:basedOn w:val="Normal"/>
    <w:next w:val="Normal"/>
    <w:uiPriority w:val="28"/>
    <w:semiHidden/>
    <w:qFormat/>
    <w:rsid w:val="007A54E1"/>
    <w:pPr>
      <w:keepNext/>
      <w:keepLines/>
      <w:spacing w:before="240"/>
      <w:contextualSpacing/>
    </w:pPr>
    <w:rPr>
      <w:rFonts w:asciiTheme="majorHAnsi" w:hAnsiTheme="majorHAnsi"/>
      <w:b/>
      <w:color w:val="2C2C2C" w:themeColor="accent3" w:themeShade="80"/>
      <w:sz w:val="32"/>
    </w:rPr>
  </w:style>
  <w:style w:type="paragraph" w:customStyle="1" w:styleId="ECHRTitle2">
    <w:name w:val="ECHR_Title_2"/>
    <w:aliases w:val="_Title_L_2"/>
    <w:basedOn w:val="Normal"/>
    <w:next w:val="Normal"/>
    <w:uiPriority w:val="28"/>
    <w:semiHidden/>
    <w:qFormat/>
    <w:rsid w:val="007A54E1"/>
    <w:pPr>
      <w:keepNext/>
      <w:keepLines/>
      <w:spacing w:before="240"/>
      <w:contextualSpacing/>
    </w:pPr>
    <w:rPr>
      <w:rFonts w:asciiTheme="majorHAnsi" w:hAnsiTheme="majorHAnsi"/>
      <w:b/>
      <w:color w:val="424242" w:themeColor="accent3" w:themeShade="BF"/>
      <w:sz w:val="28"/>
    </w:rPr>
  </w:style>
  <w:style w:type="paragraph" w:customStyle="1" w:styleId="ECHRTitle3">
    <w:name w:val="ECHR_Title_3"/>
    <w:aliases w:val="_Title_L_3"/>
    <w:basedOn w:val="Normal"/>
    <w:next w:val="Normal"/>
    <w:uiPriority w:val="28"/>
    <w:semiHidden/>
    <w:qFormat/>
    <w:rsid w:val="007A54E1"/>
    <w:pPr>
      <w:keepNext/>
      <w:keepLines/>
      <w:spacing w:before="240"/>
      <w:contextualSpacing/>
    </w:pPr>
    <w:rPr>
      <w:rFonts w:asciiTheme="majorHAnsi" w:hAnsiTheme="majorHAnsi"/>
      <w:b/>
      <w:color w:val="424242" w:themeColor="accent3" w:themeShade="BF"/>
    </w:rPr>
  </w:style>
  <w:style w:type="paragraph" w:customStyle="1" w:styleId="ECHRTitleCentre1">
    <w:name w:val="ECHR_Title_Centre_1"/>
    <w:aliases w:val="_Title_C_1"/>
    <w:basedOn w:val="Normal"/>
    <w:next w:val="Normal"/>
    <w:uiPriority w:val="26"/>
    <w:semiHidden/>
    <w:qFormat/>
    <w:rsid w:val="007A54E1"/>
    <w:pPr>
      <w:keepNext/>
      <w:keepLines/>
      <w:spacing w:before="240"/>
      <w:contextualSpacing/>
      <w:jc w:val="center"/>
    </w:pPr>
    <w:rPr>
      <w:rFonts w:asciiTheme="majorHAnsi" w:hAnsiTheme="majorHAnsi"/>
      <w:b/>
      <w:color w:val="2C2C2C" w:themeColor="accent3" w:themeShade="80"/>
      <w:sz w:val="32"/>
    </w:rPr>
  </w:style>
  <w:style w:type="paragraph" w:customStyle="1" w:styleId="ECHRTitleCentre2">
    <w:name w:val="ECHR_Title_Centre_2"/>
    <w:aliases w:val="_Title_C_2"/>
    <w:basedOn w:val="Normal"/>
    <w:next w:val="Normal"/>
    <w:uiPriority w:val="26"/>
    <w:semiHidden/>
    <w:qFormat/>
    <w:rsid w:val="007A54E1"/>
    <w:pPr>
      <w:keepNext/>
      <w:keepLines/>
      <w:spacing w:before="240"/>
      <w:contextualSpacing/>
      <w:jc w:val="center"/>
    </w:pPr>
    <w:rPr>
      <w:rFonts w:asciiTheme="majorHAnsi" w:hAnsiTheme="majorHAnsi"/>
      <w:b/>
      <w:color w:val="424242" w:themeColor="accent3" w:themeShade="BF"/>
      <w:sz w:val="28"/>
    </w:rPr>
  </w:style>
  <w:style w:type="paragraph" w:customStyle="1" w:styleId="ECHRTitleCentre3">
    <w:name w:val="ECHR_Title_Centre_3"/>
    <w:aliases w:val="_Title_C_3"/>
    <w:basedOn w:val="Normal"/>
    <w:next w:val="Normal"/>
    <w:uiPriority w:val="26"/>
    <w:semiHidden/>
    <w:qFormat/>
    <w:rsid w:val="007A54E1"/>
    <w:pPr>
      <w:keepNext/>
      <w:keepLines/>
      <w:spacing w:before="240"/>
      <w:contextualSpacing/>
      <w:jc w:val="center"/>
    </w:pPr>
    <w:rPr>
      <w:rFonts w:asciiTheme="majorHAnsi" w:hAnsiTheme="majorHAnsi"/>
      <w:b/>
      <w:color w:val="424242" w:themeColor="accent3" w:themeShade="BF"/>
    </w:rPr>
  </w:style>
  <w:style w:type="paragraph" w:customStyle="1" w:styleId="ECHRTitleCentreTOC1">
    <w:name w:val="ECHR_Title_Centre_TOC_1"/>
    <w:aliases w:val="_Title_C_TOC"/>
    <w:basedOn w:val="ECHRTitleCentre1"/>
    <w:next w:val="Normal"/>
    <w:uiPriority w:val="25"/>
    <w:semiHidden/>
    <w:qFormat/>
    <w:rsid w:val="007A54E1"/>
    <w:pPr>
      <w:outlineLvl w:val="0"/>
    </w:pPr>
  </w:style>
  <w:style w:type="paragraph" w:customStyle="1" w:styleId="ECHRTitleTOC1">
    <w:name w:val="ECHR_Title_TOC_1"/>
    <w:aliases w:val="_Title_L_TOC"/>
    <w:basedOn w:val="ECHRTitle1"/>
    <w:next w:val="Normal"/>
    <w:uiPriority w:val="27"/>
    <w:semiHidden/>
    <w:qFormat/>
    <w:rsid w:val="007A54E1"/>
    <w:pPr>
      <w:outlineLvl w:val="0"/>
    </w:pPr>
  </w:style>
  <w:style w:type="paragraph" w:customStyle="1" w:styleId="ECHRPlaceholder">
    <w:name w:val="ECHR_Placeholder"/>
    <w:aliases w:val="_Placeholder"/>
    <w:basedOn w:val="JuSigned"/>
    <w:uiPriority w:val="31"/>
    <w:rsid w:val="007A54E1"/>
    <w:rPr>
      <w:color w:val="FFFFFF"/>
    </w:rPr>
  </w:style>
  <w:style w:type="paragraph" w:customStyle="1" w:styleId="ECHRSpacer">
    <w:name w:val="ECHR_Spacer"/>
    <w:aliases w:val="_Spacer"/>
    <w:basedOn w:val="Normal"/>
    <w:uiPriority w:val="45"/>
    <w:semiHidden/>
    <w:rsid w:val="007A54E1"/>
    <w:rPr>
      <w:sz w:val="4"/>
    </w:rPr>
  </w:style>
  <w:style w:type="table" w:customStyle="1" w:styleId="ECHRTableGrey">
    <w:name w:val="ECHR_Table_Grey"/>
    <w:basedOn w:val="TableNormal"/>
    <w:uiPriority w:val="99"/>
    <w:rsid w:val="007A54E1"/>
    <w:pPr>
      <w:tabs>
        <w:tab w:val="left" w:pos="397"/>
      </w:tabs>
    </w:pPr>
    <w:tblPr>
      <w:jc w:val="center"/>
      <w:tblBorders>
        <w:top w:val="single" w:sz="4" w:space="0" w:color="585858" w:themeColor="text2" w:themeShade="80"/>
        <w:left w:val="single" w:sz="4" w:space="0" w:color="585858" w:themeColor="text2" w:themeShade="80"/>
        <w:bottom w:val="single" w:sz="4" w:space="0" w:color="585858" w:themeColor="text2" w:themeShade="80"/>
        <w:right w:val="single" w:sz="4" w:space="0" w:color="585858"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7A54E1"/>
    <w:rPr>
      <w:color w:val="605E5C"/>
      <w:shd w:val="clear" w:color="auto" w:fill="E1DFDD"/>
    </w:rPr>
  </w:style>
  <w:style w:type="character" w:customStyle="1" w:styleId="JuParaChar">
    <w:name w:val="Ju_Para Char"/>
    <w:aliases w:val="_Para Char"/>
    <w:link w:val="JuPara"/>
    <w:uiPriority w:val="4"/>
    <w:rsid w:val="00315AD3"/>
    <w:rPr>
      <w:sz w:val="24"/>
      <w:szCs w:val="24"/>
      <w:lang w:val="ro-RO"/>
    </w:rPr>
  </w:style>
  <w:style w:type="table" w:styleId="GridTable1Light">
    <w:name w:val="Grid Table 1 Light"/>
    <w:basedOn w:val="TableNormal"/>
    <w:uiPriority w:val="46"/>
    <w:semiHidden/>
    <w:rsid w:val="007A54E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7A54E1"/>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7A54E1"/>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7A54E1"/>
    <w:tblPr>
      <w:tblStyleRowBandSize w:val="1"/>
      <w:tblStyleColBandSize w:val="1"/>
      <w:tblBorders>
        <w:top w:val="single" w:sz="4" w:space="0" w:color="BCBCBC" w:themeColor="accent3" w:themeTint="66"/>
        <w:left w:val="single" w:sz="4" w:space="0" w:color="BCBCBC" w:themeColor="accent3" w:themeTint="66"/>
        <w:bottom w:val="single" w:sz="4" w:space="0" w:color="BCBCBC" w:themeColor="accent3" w:themeTint="66"/>
        <w:right w:val="single" w:sz="4" w:space="0" w:color="BCBCBC" w:themeColor="accent3" w:themeTint="66"/>
        <w:insideH w:val="single" w:sz="4" w:space="0" w:color="BCBCBC" w:themeColor="accent3" w:themeTint="66"/>
        <w:insideV w:val="single" w:sz="4" w:space="0" w:color="BCBCBC" w:themeColor="accent3" w:themeTint="66"/>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2" w:space="0" w:color="9B9B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7A54E1"/>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7A54E1"/>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7A54E1"/>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7A54E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7A54E1"/>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FFFFFF" w:themeFill="background1"/>
      </w:tcPr>
    </w:tblStylePr>
    <w:tblStylePr w:type="lastRow">
      <w:rPr>
        <w:b/>
        <w:bCs/>
      </w:rPr>
      <w:tblPr/>
      <w:tcPr>
        <w:tcBorders>
          <w:top w:val="double" w:sz="2" w:space="0" w:color="3DB2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7A54E1"/>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FFFFFF" w:themeFill="background1"/>
      </w:tcPr>
    </w:tblStylePr>
    <w:tblStylePr w:type="lastRow">
      <w:rPr>
        <w:b/>
        <w:bCs/>
      </w:rPr>
      <w:tblPr/>
      <w:tcPr>
        <w:tcBorders>
          <w:top w:val="double" w:sz="2" w:space="0" w:color="FF404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7A54E1"/>
    <w:tblPr>
      <w:tblStyleRowBandSize w:val="1"/>
      <w:tblStyleColBandSize w:val="1"/>
      <w:tblBorders>
        <w:top w:val="single" w:sz="2" w:space="0" w:color="9B9B9B" w:themeColor="accent3" w:themeTint="99"/>
        <w:bottom w:val="single" w:sz="2" w:space="0" w:color="9B9B9B" w:themeColor="accent3" w:themeTint="99"/>
        <w:insideH w:val="single" w:sz="2" w:space="0" w:color="9B9B9B" w:themeColor="accent3" w:themeTint="99"/>
        <w:insideV w:val="single" w:sz="2" w:space="0" w:color="9B9B9B" w:themeColor="accent3" w:themeTint="99"/>
      </w:tblBorders>
    </w:tblPr>
    <w:tblStylePr w:type="firstRow">
      <w:rPr>
        <w:b/>
        <w:bCs/>
      </w:rPr>
      <w:tblPr/>
      <w:tcPr>
        <w:tcBorders>
          <w:top w:val="nil"/>
          <w:bottom w:val="single" w:sz="12" w:space="0" w:color="9B9B9B" w:themeColor="accent3" w:themeTint="99"/>
          <w:insideH w:val="nil"/>
          <w:insideV w:val="nil"/>
        </w:tcBorders>
        <w:shd w:val="clear" w:color="auto" w:fill="FFFFFF" w:themeFill="background1"/>
      </w:tcPr>
    </w:tblStylePr>
    <w:tblStylePr w:type="lastRow">
      <w:rPr>
        <w:b/>
        <w:bCs/>
      </w:rPr>
      <w:tblPr/>
      <w:tcPr>
        <w:tcBorders>
          <w:top w:val="double" w:sz="2" w:space="0" w:color="9B9B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2-Accent4">
    <w:name w:val="Grid Table 2 Accent 4"/>
    <w:basedOn w:val="TableNormal"/>
    <w:uiPriority w:val="47"/>
    <w:semiHidden/>
    <w:rsid w:val="007A54E1"/>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FFFFFF" w:themeFill="background1"/>
      </w:tcPr>
    </w:tblStylePr>
    <w:tblStylePr w:type="lastRow">
      <w:rPr>
        <w:b/>
        <w:bCs/>
      </w:rPr>
      <w:tblPr/>
      <w:tcPr>
        <w:tcBorders>
          <w:top w:val="double" w:sz="2" w:space="0" w:color="C0C0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7A54E1"/>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7A54E1"/>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7A54E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7A54E1"/>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7A54E1"/>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7A54E1"/>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3-Accent4">
    <w:name w:val="Grid Table 3 Accent 4"/>
    <w:basedOn w:val="TableNormal"/>
    <w:uiPriority w:val="48"/>
    <w:semiHidden/>
    <w:rsid w:val="007A54E1"/>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7A54E1"/>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7A54E1"/>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7A54E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7A54E1"/>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7A54E1"/>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7A54E1"/>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cBorders>
        <w:shd w:val="clear" w:color="auto" w:fill="595959" w:themeFill="accent3"/>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4-Accent4">
    <w:name w:val="Grid Table 4 Accent 4"/>
    <w:basedOn w:val="TableNormal"/>
    <w:uiPriority w:val="49"/>
    <w:semiHidden/>
    <w:rsid w:val="007A54E1"/>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7A54E1"/>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7A54E1"/>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7A54E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7A54E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2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2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2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7A54E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FB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7A54E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59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59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59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5959" w:themeFill="accent3"/>
      </w:tcPr>
    </w:tblStylePr>
    <w:tblStylePr w:type="band1Vert">
      <w:tblPr/>
      <w:tcPr>
        <w:shd w:val="clear" w:color="auto" w:fill="BCBCBC" w:themeFill="accent3" w:themeFillTint="66"/>
      </w:tcPr>
    </w:tblStylePr>
    <w:tblStylePr w:type="band1Horz">
      <w:tblPr/>
      <w:tcPr>
        <w:shd w:val="clear" w:color="auto" w:fill="BCBCBC" w:themeFill="accent3" w:themeFillTint="66"/>
      </w:tcPr>
    </w:tblStylePr>
  </w:style>
  <w:style w:type="table" w:styleId="GridTable5Dark-Accent4">
    <w:name w:val="Grid Table 5 Dark Accent 4"/>
    <w:basedOn w:val="TableNormal"/>
    <w:uiPriority w:val="50"/>
    <w:semiHidden/>
    <w:rsid w:val="007A54E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7A54E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7A54E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7A54E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7A54E1"/>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7A54E1"/>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7A54E1"/>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6Colorful-Accent4">
    <w:name w:val="Grid Table 6 Colorful Accent 4"/>
    <w:basedOn w:val="TableNormal"/>
    <w:uiPriority w:val="51"/>
    <w:semiHidden/>
    <w:rsid w:val="007A54E1"/>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7A54E1"/>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7A54E1"/>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7A54E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7A54E1"/>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7A54E1"/>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7A54E1"/>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7Colorful-Accent4">
    <w:name w:val="Grid Table 7 Colorful Accent 4"/>
    <w:basedOn w:val="TableNormal"/>
    <w:uiPriority w:val="52"/>
    <w:semiHidden/>
    <w:rsid w:val="007A54E1"/>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7A54E1"/>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7A54E1"/>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7A54E1"/>
    <w:rPr>
      <w:color w:val="2B579A"/>
      <w:shd w:val="clear" w:color="auto" w:fill="E1DFDD"/>
    </w:rPr>
  </w:style>
  <w:style w:type="table" w:styleId="ListTable1Light">
    <w:name w:val="List Table 1 Light"/>
    <w:basedOn w:val="TableNormal"/>
    <w:uiPriority w:val="46"/>
    <w:semiHidden/>
    <w:rsid w:val="007A54E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7A54E1"/>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7A54E1"/>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7A54E1"/>
    <w:tblPr>
      <w:tblStyleRowBandSize w:val="1"/>
      <w:tblStyleColBandSize w:val="1"/>
    </w:tblPr>
    <w:tblStylePr w:type="firstRow">
      <w:rPr>
        <w:b/>
        <w:bCs/>
      </w:rPr>
      <w:tblPr/>
      <w:tcPr>
        <w:tcBorders>
          <w:bottom w:val="single" w:sz="4" w:space="0" w:color="9B9B9B" w:themeColor="accent3" w:themeTint="99"/>
        </w:tcBorders>
      </w:tcPr>
    </w:tblStylePr>
    <w:tblStylePr w:type="lastRow">
      <w:rPr>
        <w:b/>
        <w:bCs/>
      </w:rPr>
      <w:tblPr/>
      <w:tcPr>
        <w:tcBorders>
          <w:top w:val="sing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1Light-Accent4">
    <w:name w:val="List Table 1 Light Accent 4"/>
    <w:basedOn w:val="TableNormal"/>
    <w:uiPriority w:val="46"/>
    <w:semiHidden/>
    <w:rsid w:val="007A54E1"/>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7A54E1"/>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7A54E1"/>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7A54E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7A54E1"/>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7A54E1"/>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7A54E1"/>
    <w:tblPr>
      <w:tblStyleRowBandSize w:val="1"/>
      <w:tblStyleColBandSize w:val="1"/>
      <w:tblBorders>
        <w:top w:val="single" w:sz="4" w:space="0" w:color="9B9B9B" w:themeColor="accent3" w:themeTint="99"/>
        <w:bottom w:val="single" w:sz="4" w:space="0" w:color="9B9B9B" w:themeColor="accent3" w:themeTint="99"/>
        <w:insideH w:val="single" w:sz="4" w:space="0" w:color="9B9B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2-Accent4">
    <w:name w:val="List Table 2 Accent 4"/>
    <w:basedOn w:val="TableNormal"/>
    <w:uiPriority w:val="47"/>
    <w:semiHidden/>
    <w:rsid w:val="007A54E1"/>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7A54E1"/>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7A54E1"/>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7A54E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7A54E1"/>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FFFFFF"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7A54E1"/>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FFFFFF"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7A54E1"/>
    <w:tblPr>
      <w:tblStyleRowBandSize w:val="1"/>
      <w:tblStyleColBandSize w:val="1"/>
      <w:tblBorders>
        <w:top w:val="single" w:sz="4" w:space="0" w:color="595959" w:themeColor="accent3"/>
        <w:left w:val="single" w:sz="4" w:space="0" w:color="595959" w:themeColor="accent3"/>
        <w:bottom w:val="single" w:sz="4" w:space="0" w:color="595959" w:themeColor="accent3"/>
        <w:right w:val="single" w:sz="4" w:space="0" w:color="595959" w:themeColor="accent3"/>
      </w:tblBorders>
    </w:tblPr>
    <w:tblStylePr w:type="firstRow">
      <w:rPr>
        <w:b/>
        <w:bCs/>
        <w:color w:val="FFFFFF" w:themeColor="background1"/>
      </w:rPr>
      <w:tblPr/>
      <w:tcPr>
        <w:shd w:val="clear" w:color="auto" w:fill="595959" w:themeFill="accent3"/>
      </w:tcPr>
    </w:tblStylePr>
    <w:tblStylePr w:type="lastRow">
      <w:rPr>
        <w:b/>
        <w:bCs/>
      </w:rPr>
      <w:tblPr/>
      <w:tcPr>
        <w:tcBorders>
          <w:top w:val="double" w:sz="4" w:space="0" w:color="5959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5959" w:themeColor="accent3"/>
          <w:right w:val="single" w:sz="4" w:space="0" w:color="595959" w:themeColor="accent3"/>
        </w:tcBorders>
      </w:tcPr>
    </w:tblStylePr>
    <w:tblStylePr w:type="band1Horz">
      <w:tblPr/>
      <w:tcPr>
        <w:tcBorders>
          <w:top w:val="single" w:sz="4" w:space="0" w:color="595959" w:themeColor="accent3"/>
          <w:bottom w:val="single" w:sz="4" w:space="0" w:color="5959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5959" w:themeColor="accent3"/>
          <w:left w:val="nil"/>
        </w:tcBorders>
      </w:tcPr>
    </w:tblStylePr>
    <w:tblStylePr w:type="swCell">
      <w:tblPr/>
      <w:tcPr>
        <w:tcBorders>
          <w:top w:val="double" w:sz="4" w:space="0" w:color="595959" w:themeColor="accent3"/>
          <w:right w:val="nil"/>
        </w:tcBorders>
      </w:tcPr>
    </w:tblStylePr>
  </w:style>
  <w:style w:type="table" w:styleId="ListTable3-Accent4">
    <w:name w:val="List Table 3 Accent 4"/>
    <w:basedOn w:val="TableNormal"/>
    <w:uiPriority w:val="48"/>
    <w:semiHidden/>
    <w:rsid w:val="007A54E1"/>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FFFFFF"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7A54E1"/>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7A54E1"/>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7A54E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7A54E1"/>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7A54E1"/>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7A54E1"/>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tcBorders>
        <w:shd w:val="clear" w:color="auto" w:fill="595959" w:themeFill="accent3"/>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4-Accent4">
    <w:name w:val="List Table 4 Accent 4"/>
    <w:basedOn w:val="TableNormal"/>
    <w:uiPriority w:val="49"/>
    <w:semiHidden/>
    <w:rsid w:val="007A54E1"/>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7A54E1"/>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7A54E1"/>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7A54E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7A54E1"/>
    <w:rPr>
      <w:color w:val="FFFFFF"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7A54E1"/>
    <w:rPr>
      <w:color w:val="FFFFFF"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7A54E1"/>
    <w:rPr>
      <w:color w:val="FFFFFF" w:themeColor="background1"/>
    </w:rPr>
    <w:tblPr>
      <w:tblStyleRowBandSize w:val="1"/>
      <w:tblStyleColBandSize w:val="1"/>
      <w:tblBorders>
        <w:top w:val="single" w:sz="24" w:space="0" w:color="595959" w:themeColor="accent3"/>
        <w:left w:val="single" w:sz="24" w:space="0" w:color="595959" w:themeColor="accent3"/>
        <w:bottom w:val="single" w:sz="24" w:space="0" w:color="595959" w:themeColor="accent3"/>
        <w:right w:val="single" w:sz="24" w:space="0" w:color="595959" w:themeColor="accent3"/>
      </w:tblBorders>
    </w:tblPr>
    <w:tcPr>
      <w:shd w:val="clear" w:color="auto" w:fill="5959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7A54E1"/>
    <w:rPr>
      <w:color w:val="FFFFFF"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7A54E1"/>
    <w:rPr>
      <w:color w:val="FFFFFF"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7A54E1"/>
    <w:rPr>
      <w:color w:val="FFFFFF"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7A54E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7A54E1"/>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7A54E1"/>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7A54E1"/>
    <w:rPr>
      <w:color w:val="424242" w:themeColor="accent3" w:themeShade="BF"/>
    </w:rPr>
    <w:tblPr>
      <w:tblStyleRowBandSize w:val="1"/>
      <w:tblStyleColBandSize w:val="1"/>
      <w:tblBorders>
        <w:top w:val="single" w:sz="4" w:space="0" w:color="595959" w:themeColor="accent3"/>
        <w:bottom w:val="single" w:sz="4" w:space="0" w:color="595959" w:themeColor="accent3"/>
      </w:tblBorders>
    </w:tblPr>
    <w:tblStylePr w:type="firstRow">
      <w:rPr>
        <w:b/>
        <w:bCs/>
      </w:rPr>
      <w:tblPr/>
      <w:tcPr>
        <w:tcBorders>
          <w:bottom w:val="single" w:sz="4" w:space="0" w:color="595959" w:themeColor="accent3"/>
        </w:tcBorders>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6Colorful-Accent4">
    <w:name w:val="List Table 6 Colorful Accent 4"/>
    <w:basedOn w:val="TableNormal"/>
    <w:uiPriority w:val="51"/>
    <w:semiHidden/>
    <w:rsid w:val="007A54E1"/>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7A54E1"/>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7A54E1"/>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7A54E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7A54E1"/>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7A54E1"/>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7A54E1"/>
    <w:rPr>
      <w:color w:val="42424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59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59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59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5959" w:themeColor="accent3"/>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7A54E1"/>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7A54E1"/>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7A54E1"/>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7A54E1"/>
    <w:rPr>
      <w:color w:val="2B579A"/>
      <w:shd w:val="clear" w:color="auto" w:fill="E1DFDD"/>
    </w:rPr>
  </w:style>
  <w:style w:type="table" w:styleId="PlainTable1">
    <w:name w:val="Plain Table 1"/>
    <w:basedOn w:val="TableNormal"/>
    <w:uiPriority w:val="41"/>
    <w:semiHidden/>
    <w:rsid w:val="007A54E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7A54E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7A54E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7A54E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7A54E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7A54E1"/>
    <w:rPr>
      <w:u w:val="dotted"/>
    </w:rPr>
  </w:style>
  <w:style w:type="character" w:customStyle="1" w:styleId="SmartLink">
    <w:name w:val="Smart Link"/>
    <w:basedOn w:val="DefaultParagraphFont"/>
    <w:uiPriority w:val="99"/>
    <w:semiHidden/>
    <w:unhideWhenUsed/>
    <w:rsid w:val="007A54E1"/>
    <w:rPr>
      <w:color w:val="0000FF"/>
      <w:u w:val="single"/>
      <w:shd w:val="clear" w:color="auto" w:fill="F3F2F1"/>
    </w:rPr>
  </w:style>
  <w:style w:type="table" w:styleId="TableGridLight">
    <w:name w:val="Grid Table Light"/>
    <w:basedOn w:val="TableNormal"/>
    <w:uiPriority w:val="40"/>
    <w:semiHidden/>
    <w:rsid w:val="007A54E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ier.gov.ro/" TargetMode="External"/></Relationships>
</file>

<file path=word/theme/theme1.xml><?xml version="1.0" encoding="utf-8"?>
<a:theme xmlns:a="http://schemas.openxmlformats.org/drawingml/2006/main" name="ECHR_Theme_Judgments_Decisions_Reports">
  <a:themeElements>
    <a:clrScheme name="ECHR_Grey_New">
      <a:dk1>
        <a:sysClr val="windowText" lastClr="000000"/>
      </a:dk1>
      <a:lt1>
        <a:srgbClr val="FFFFFF"/>
      </a:lt1>
      <a:dk2>
        <a:srgbClr val="B0B0B0"/>
      </a:dk2>
      <a:lt2>
        <a:srgbClr val="F8F8F8"/>
      </a:lt2>
      <a:accent1>
        <a:srgbClr val="0072BC"/>
      </a:accent1>
      <a:accent2>
        <a:srgbClr val="C00000"/>
      </a:accent2>
      <a:accent3>
        <a:srgbClr val="595959"/>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61834-A3BD-407F-B221-FD2F47F9C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3108</Words>
  <Characters>18033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21099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cp:lastModifiedBy/>
  <cp:revision>1</cp:revision>
  <dcterms:created xsi:type="dcterms:W3CDTF">2025-09-15T16:28:00Z</dcterms:created>
  <dcterms:modified xsi:type="dcterms:W3CDTF">2025-11-16T11:25:00Z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1437940</vt:lpwstr>
  </property>
  <property fmtid="{D5CDD505-2E9C-101B-9397-08002B2CF9AE}" pid="3" name="cstLanguage">
    <vt:i4>2057</vt:i4>
  </property>
  <property fmtid="{D5CDD505-2E9C-101B-9397-08002B2CF9AE}" pid="4" name="RegisteredNo">
    <vt:lpwstr>9915/19</vt:lpwstr>
  </property>
</Properties>
</file>