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4A8D" w:rsidRDefault="008B4A8D" w:rsidP="008B4A8D">
      <w:pPr>
        <w:jc w:val="center"/>
        <w:rPr>
          <w:rFonts w:asciiTheme="majorHAnsi" w:hAnsiTheme="majorHAnsi"/>
        </w:rPr>
      </w:pPr>
    </w:p>
    <w:p w:rsidR="00BC7938" w:rsidRPr="008B4A8D" w:rsidRDefault="008B4A8D" w:rsidP="008B4A8D">
      <w:pPr>
        <w:jc w:val="center"/>
        <w:rPr>
          <w:rFonts w:asciiTheme="majorHAnsi" w:hAnsiTheme="majorHAnsi"/>
        </w:rPr>
      </w:pPr>
      <w:r>
        <w:rPr>
          <w:rFonts w:asciiTheme="majorHAnsi" w:hAnsiTheme="majorHAnsi"/>
        </w:rPr>
        <w:t>CURTEA EUROPEANĂ A DREPTURILOR OMULUI</w:t>
      </w:r>
    </w:p>
    <w:p w:rsidR="0098410D" w:rsidRPr="00384BE2" w:rsidRDefault="00BC7938" w:rsidP="00384BE2">
      <w:pPr>
        <w:pStyle w:val="DecHCase"/>
      </w:pPr>
      <w:r>
        <w:t>SECȚIA A PATRA</w:t>
      </w:r>
    </w:p>
    <w:p w:rsidR="008E6217" w:rsidRPr="00384BE2" w:rsidRDefault="008E6217" w:rsidP="00384BE2">
      <w:pPr>
        <w:pStyle w:val="JuTitle"/>
        <w:keepNext w:val="0"/>
        <w:keepLines w:val="0"/>
      </w:pPr>
      <w:bookmarkStart w:id="0" w:name="To"/>
      <w:r>
        <w:t xml:space="preserve">CAUZA </w:t>
      </w:r>
      <w:bookmarkEnd w:id="0"/>
      <w:r>
        <w:t>BĂDOIU ÎMPOTRIVA ROMÂNIEI</w:t>
      </w:r>
    </w:p>
    <w:p w:rsidR="00D74888" w:rsidRPr="00384BE2" w:rsidRDefault="008E6217" w:rsidP="00384BE2">
      <w:pPr>
        <w:pStyle w:val="Title4"/>
        <w:keepNext w:val="0"/>
        <w:keepLines w:val="0"/>
      </w:pPr>
      <w:r>
        <w:t>(Cererea nr. 33809/16)</w:t>
      </w:r>
    </w:p>
    <w:p w:rsidR="0098410D" w:rsidRPr="00384BE2" w:rsidRDefault="0098410D" w:rsidP="00384BE2">
      <w:pPr>
        <w:pStyle w:val="DecHCase"/>
        <w:keepNext w:val="0"/>
        <w:keepLines w:val="0"/>
      </w:pPr>
    </w:p>
    <w:p w:rsidR="0098410D" w:rsidRPr="00384BE2" w:rsidRDefault="0098410D" w:rsidP="00384BE2">
      <w:pPr>
        <w:pStyle w:val="DecHCase"/>
        <w:keepNext w:val="0"/>
        <w:keepLines w:val="0"/>
      </w:pPr>
    </w:p>
    <w:p w:rsidR="00AC4CD4" w:rsidRPr="00384BE2" w:rsidRDefault="00AC4CD4" w:rsidP="00384BE2">
      <w:pPr>
        <w:pStyle w:val="DecHCase"/>
        <w:keepNext w:val="0"/>
        <w:keepLines w:val="0"/>
      </w:pPr>
    </w:p>
    <w:p w:rsidR="00AC4CD4" w:rsidRPr="00384BE2" w:rsidRDefault="00AC4CD4" w:rsidP="00384BE2">
      <w:pPr>
        <w:pStyle w:val="DecHCase"/>
        <w:keepNext w:val="0"/>
        <w:keepLines w:val="0"/>
      </w:pPr>
    </w:p>
    <w:p w:rsidR="00AC4CD4" w:rsidRPr="00384BE2" w:rsidRDefault="00AC4CD4" w:rsidP="00384BE2">
      <w:pPr>
        <w:pStyle w:val="DecHCase"/>
        <w:keepNext w:val="0"/>
        <w:keepLines w:val="0"/>
      </w:pPr>
    </w:p>
    <w:p w:rsidR="0098410D" w:rsidRPr="00384BE2" w:rsidRDefault="0098410D" w:rsidP="00384BE2">
      <w:pPr>
        <w:pStyle w:val="DecHCase"/>
        <w:keepNext w:val="0"/>
        <w:keepLines w:val="0"/>
      </w:pPr>
    </w:p>
    <w:p w:rsidR="0098410D" w:rsidRPr="00384BE2" w:rsidRDefault="0098410D" w:rsidP="00384BE2">
      <w:pPr>
        <w:pStyle w:val="DecHCase"/>
        <w:keepNext w:val="0"/>
        <w:keepLines w:val="0"/>
      </w:pPr>
      <w:r>
        <w:t>HOTĂRÂRE</w:t>
      </w:r>
    </w:p>
    <w:p w:rsidR="0098410D" w:rsidRPr="00384BE2" w:rsidRDefault="0098410D" w:rsidP="00384BE2">
      <w:pPr>
        <w:pStyle w:val="DecHCase"/>
        <w:keepNext w:val="0"/>
        <w:keepLines w:val="0"/>
      </w:pPr>
      <w:r>
        <w:t>STRASBOURG</w:t>
      </w:r>
    </w:p>
    <w:p w:rsidR="0098410D" w:rsidRPr="00384BE2" w:rsidRDefault="00BC7938" w:rsidP="00384BE2">
      <w:pPr>
        <w:pStyle w:val="DecHCase"/>
        <w:keepNext w:val="0"/>
        <w:keepLines w:val="0"/>
        <w:rPr>
          <w:szCs w:val="24"/>
        </w:rPr>
      </w:pPr>
      <w:r>
        <w:rPr>
          <w:rFonts w:ascii="Times New Roman" w:hAnsi="Times New Roman"/>
        </w:rPr>
        <w:t>22 octombrie 2019</w:t>
      </w:r>
    </w:p>
    <w:p w:rsidR="00AC4CD4" w:rsidRPr="00384BE2" w:rsidRDefault="00AC4CD4" w:rsidP="00384BE2">
      <w:pPr>
        <w:pStyle w:val="JuPara"/>
      </w:pPr>
    </w:p>
    <w:p w:rsidR="002422B6" w:rsidRPr="00384BE2" w:rsidRDefault="0098410D" w:rsidP="00384BE2">
      <w:pPr>
        <w:jc w:val="center"/>
        <w:rPr>
          <w:i/>
          <w:sz w:val="22"/>
        </w:rPr>
      </w:pPr>
      <w:r>
        <w:rPr>
          <w:i/>
          <w:sz w:val="22"/>
        </w:rPr>
        <w:t>Prezenta hotărâre este definitivă, dar poate suferi modificări de formă.</w:t>
      </w:r>
    </w:p>
    <w:p w:rsidR="0098410D" w:rsidRPr="00384BE2" w:rsidRDefault="0098410D" w:rsidP="00384BE2">
      <w:pPr>
        <w:sectPr w:rsidR="0098410D" w:rsidRPr="00384BE2">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11906" w:h="16838" w:code="9"/>
          <w:pgMar w:top="2274" w:right="2274" w:bottom="2274" w:left="2274" w:header="1701" w:footer="720" w:gutter="0"/>
          <w:pgNumType w:start="1"/>
          <w:cols w:space="720"/>
          <w:noEndnote/>
        </w:sectPr>
      </w:pPr>
    </w:p>
    <w:p w:rsidR="0098410D" w:rsidRPr="00384BE2" w:rsidRDefault="0098410D" w:rsidP="00384BE2">
      <w:pPr>
        <w:pStyle w:val="JuCase"/>
      </w:pPr>
      <w:r>
        <w:lastRenderedPageBreak/>
        <w:t>În cauza Bădoiu împotriva României,</w:t>
      </w:r>
    </w:p>
    <w:p w:rsidR="009F4C8F" w:rsidRPr="00384BE2" w:rsidRDefault="009F4C8F" w:rsidP="00384BE2">
      <w:pPr>
        <w:pStyle w:val="JuPara"/>
      </w:pPr>
      <w:r>
        <w:t>Curtea Europeană a Drepturilor Omului (Secția a patra), reunită într-o cameră compusă din:</w:t>
      </w:r>
    </w:p>
    <w:p w:rsidR="009F4C8F" w:rsidRPr="00384BE2" w:rsidRDefault="00F92D72" w:rsidP="00384BE2">
      <w:pPr>
        <w:pStyle w:val="JuJudges"/>
      </w:pPr>
      <w:r>
        <w:tab/>
      </w:r>
      <w:proofErr w:type="spellStart"/>
      <w:r>
        <w:t>Faris</w:t>
      </w:r>
      <w:proofErr w:type="spellEnd"/>
      <w:r>
        <w:t xml:space="preserve"> </w:t>
      </w:r>
      <w:proofErr w:type="spellStart"/>
      <w:r>
        <w:t>Vehabović</w:t>
      </w:r>
      <w:proofErr w:type="spellEnd"/>
      <w:r>
        <w:t>,</w:t>
      </w:r>
      <w:r>
        <w:rPr>
          <w:i/>
        </w:rPr>
        <w:t xml:space="preserve"> președinte,</w:t>
      </w:r>
      <w:r>
        <w:rPr>
          <w:i/>
        </w:rPr>
        <w:br/>
      </w:r>
      <w:r>
        <w:tab/>
        <w:t xml:space="preserve">Iulia </w:t>
      </w:r>
      <w:proofErr w:type="spellStart"/>
      <w:r>
        <w:t>Antoanella</w:t>
      </w:r>
      <w:proofErr w:type="spellEnd"/>
      <w:r>
        <w:t xml:space="preserve"> Motoc,</w:t>
      </w:r>
      <w:r>
        <w:br/>
      </w:r>
      <w:r>
        <w:tab/>
      </w:r>
      <w:proofErr w:type="spellStart"/>
      <w:r>
        <w:t>Carlo</w:t>
      </w:r>
      <w:proofErr w:type="spellEnd"/>
      <w:r>
        <w:t xml:space="preserve"> </w:t>
      </w:r>
      <w:proofErr w:type="spellStart"/>
      <w:r>
        <w:t>Ranzoni</w:t>
      </w:r>
      <w:proofErr w:type="spellEnd"/>
      <w:r>
        <w:t>,</w:t>
      </w:r>
      <w:r>
        <w:rPr>
          <w:i/>
        </w:rPr>
        <w:t xml:space="preserve"> judecători,</w:t>
      </w:r>
      <w:r>
        <w:rPr>
          <w:i/>
        </w:rPr>
        <w:br/>
      </w:r>
      <w:r>
        <w:t>și Andrea Tamietti,</w:t>
      </w:r>
      <w:r>
        <w:rPr>
          <w:i/>
          <w:iCs/>
        </w:rPr>
        <w:t xml:space="preserve"> grefier adjunct de secție</w:t>
      </w:r>
      <w:r>
        <w:rPr>
          <w:i/>
        </w:rPr>
        <w:t>,</w:t>
      </w:r>
    </w:p>
    <w:p w:rsidR="009F4C8F" w:rsidRPr="00384BE2" w:rsidRDefault="009F4C8F" w:rsidP="00384BE2">
      <w:pPr>
        <w:pStyle w:val="JuPara"/>
      </w:pPr>
      <w:r>
        <w:t>după ce a deliberat în camera de consiliu, la 1 octombrie 2019,</w:t>
      </w:r>
    </w:p>
    <w:p w:rsidR="009F4C8F" w:rsidRPr="00384BE2" w:rsidRDefault="009F4C8F" w:rsidP="00384BE2">
      <w:pPr>
        <w:pStyle w:val="JuPara"/>
      </w:pPr>
      <w:r>
        <w:t>pronunță prezenta hotărâre, adoptată la aceeași dată:</w:t>
      </w:r>
    </w:p>
    <w:p w:rsidR="00BC7938" w:rsidRPr="00384BE2" w:rsidRDefault="00BC7938" w:rsidP="00384BE2">
      <w:pPr>
        <w:pStyle w:val="JuHHead"/>
        <w:keepNext w:val="0"/>
        <w:keepLines w:val="0"/>
      </w:pPr>
      <w:r>
        <w:t>PROCEDURA</w:t>
      </w:r>
    </w:p>
    <w:p w:rsidR="00BC7938" w:rsidRPr="00384BE2" w:rsidRDefault="00BC7938" w:rsidP="00384BE2">
      <w:pPr>
        <w:pStyle w:val="JuPara"/>
      </w:pPr>
      <w:r>
        <w:t xml:space="preserve">1.  La originea cauzei se află cererea nr. 33809/16 îndreptată împotriva României, prin care un resortisant al acestui stat, domnul George </w:t>
      </w:r>
      <w:proofErr w:type="spellStart"/>
      <w:r>
        <w:t>Vichente</w:t>
      </w:r>
      <w:proofErr w:type="spellEnd"/>
      <w:r>
        <w:t xml:space="preserve"> Bădoiu („reclamantul”), a sesizat Curtea la 6 iunie 2016, în temeiul art. 34 din Convenția pentru apărarea drepturilor omului și a libertăților fundamentale („Convenția”).</w:t>
      </w:r>
    </w:p>
    <w:p w:rsidR="00BC7938" w:rsidRPr="00384BE2" w:rsidRDefault="00BC7938" w:rsidP="00384BE2">
      <w:pPr>
        <w:pStyle w:val="JuPara"/>
      </w:pPr>
      <w:r>
        <w:t>2.  Reclamantul a fost reprezentat de domnul F. David, avocat în Arad. Guvernul român („Guvernul”) a fost reprezentat de agentul guvernamental, cel mai recent domnul V. Mocanu, din cadrul Ministerului Afacerilor Externe.</w:t>
      </w:r>
    </w:p>
    <w:p w:rsidR="00BC7938" w:rsidRPr="00384BE2" w:rsidRDefault="00BC7938" w:rsidP="00384BE2">
      <w:pPr>
        <w:pStyle w:val="JuPara"/>
      </w:pPr>
      <w:r>
        <w:t>3.  La 27 februarie 2017, Guvernul a fost notificat cu privire la capătul de cerere referitor la art. 5 § 1 din Convenție (pretinsa lipsire de libertate nelegală la secția de poliție), iar restul capetelor de cerere au fost declarate inadmisibile în temeiul art. 54 § 3 din Regulamentul Curții.</w:t>
      </w:r>
    </w:p>
    <w:p w:rsidR="00BC7938" w:rsidRPr="00384BE2" w:rsidRDefault="00BC7938" w:rsidP="00384BE2">
      <w:pPr>
        <w:pStyle w:val="JuPara"/>
      </w:pPr>
      <w:r>
        <w:t>4.  Guvernul s-a opus examinării cererii de către un comitet. După examinarea acesteia, Curtea respinge obiecția ridicată de Guvern.</w:t>
      </w:r>
    </w:p>
    <w:p w:rsidR="00BC7938" w:rsidRPr="00384BE2" w:rsidRDefault="00BC7938" w:rsidP="00384BE2">
      <w:pPr>
        <w:pStyle w:val="JuHHead"/>
        <w:keepNext w:val="0"/>
        <w:keepLines w:val="0"/>
      </w:pPr>
      <w:r>
        <w:t>ÎN FAPT</w:t>
      </w:r>
    </w:p>
    <w:p w:rsidR="00BC7938" w:rsidRPr="00384BE2" w:rsidRDefault="00BC7938" w:rsidP="00384BE2">
      <w:pPr>
        <w:pStyle w:val="JuHIRoman"/>
        <w:keepNext w:val="0"/>
        <w:keepLines w:val="0"/>
      </w:pPr>
      <w:r>
        <w:t>CIRCUMSTANȚELE CAUZEI</w:t>
      </w:r>
    </w:p>
    <w:p w:rsidR="00BC7938" w:rsidRPr="00384BE2" w:rsidRDefault="00BC7938" w:rsidP="00384BE2">
      <w:pPr>
        <w:pStyle w:val="JuPara"/>
      </w:pPr>
      <w:r>
        <w:t>5.  Reclamantul s-a născut în 1983 și locuiește în Arad.</w:t>
      </w:r>
    </w:p>
    <w:p w:rsidR="00BC7938" w:rsidRPr="00384BE2" w:rsidRDefault="00BC7938" w:rsidP="00384BE2">
      <w:pPr>
        <w:pStyle w:val="JuPara"/>
      </w:pPr>
      <w:bookmarkStart w:id="2" w:name="para_6"/>
      <w:r>
        <w:t>6</w:t>
      </w:r>
      <w:bookmarkEnd w:id="2"/>
      <w:r>
        <w:t>.  La 16 septembrie 2014, ora 11.08 a.m., reclamantul a fost oprit în Zăbrani, pentru un control rutier, de doi agenți de poliție ai unei patrule. Și-a spus numele, dar i-a informat pe agenții de poliție că nu avea actele de identitate sau permisul de conducere asupra sa. Atunci când numele său a fost verificat în baza de date, s-a constatat că își conducea autovehiculul având permisul suspendat.</w:t>
      </w:r>
    </w:p>
    <w:p w:rsidR="00BC7938" w:rsidRPr="00384BE2" w:rsidRDefault="00BC7938" w:rsidP="00384BE2">
      <w:pPr>
        <w:pStyle w:val="JuPara"/>
      </w:pPr>
      <w:bookmarkStart w:id="3" w:name="Lipova_Zabreni"/>
      <w:r>
        <w:t>7</w:t>
      </w:r>
      <w:bookmarkEnd w:id="3"/>
      <w:r>
        <w:t xml:space="preserve">.  Reclamantul a fost condus la Postul de poliție comunal Zăbrani, unde a rămas timp de aproximativ două ore sub supravegherea mai multor agenți de poliție. A susținut că, în acest interval, nu i s-a permis să folosească telefonul mobil. A fost apoi dus la secția de poliție Lipova, la circa 10 km de </w:t>
      </w:r>
      <w:r>
        <w:lastRenderedPageBreak/>
        <w:t>locul unde a fost oprit. Reclamantul a explicat că a fost tot timpul sub escorta poliției.</w:t>
      </w:r>
    </w:p>
    <w:p w:rsidR="00BC7938" w:rsidRPr="00384BE2" w:rsidRDefault="00BC7938" w:rsidP="00384BE2">
      <w:pPr>
        <w:pStyle w:val="JuHA"/>
        <w:keepNext w:val="0"/>
        <w:keepLines w:val="0"/>
      </w:pPr>
      <w:r>
        <w:t>Urmărirea penală față de reclamant</w:t>
      </w:r>
    </w:p>
    <w:p w:rsidR="00BC7938" w:rsidRPr="00384BE2" w:rsidRDefault="00BC7938" w:rsidP="00384BE2">
      <w:pPr>
        <w:pStyle w:val="JuPara"/>
      </w:pPr>
      <w:bookmarkStart w:id="4" w:name="PV_constatare"/>
      <w:r>
        <w:t>8</w:t>
      </w:r>
      <w:bookmarkEnd w:id="4"/>
      <w:r>
        <w:t>.  Poliția a început cercetarea penală pentru stabilirea faptelor de îndată. T.M., unul dintre agenții de poliție care luaseră parte la controlul rutier, a întocmit procesul-verbal de constatare, în care menționează următoarele:</w:t>
      </w:r>
    </w:p>
    <w:p w:rsidR="00BC7938" w:rsidRPr="00384BE2" w:rsidRDefault="00BC7938" w:rsidP="00384BE2">
      <w:pPr>
        <w:pStyle w:val="JuQuot"/>
      </w:pPr>
      <w:r>
        <w:t>„La data de 16.09.2014, în jurul orelor 11.08, efectuând o acțiune pe linie rutieră pe raza localității Zăbrani, la intersecția din centrul comunei, împreună cu reprezentanții Registrului Auto Român Arad, am oprit [...] pentru control un autoturism marca [...], de culoare albă, cu numărul de înmatriculare [...], la volanul căruia se afla [...], fiul lui [...], născut la data de [...] în [...], domiciliat în [...], CNP [...], posesorul al C.I., seria [...], eliberată de [...], care a declarat verbal că nu are asupra sa niciun document de identitate și nici permisul de conducere și că a condus autoturismul mai susmenționat pe D.J.682 din satul Neudorf cu intenția de a se deplasa în mun. Arad.</w:t>
      </w:r>
    </w:p>
    <w:p w:rsidR="00BC7938" w:rsidRPr="00384BE2" w:rsidRDefault="00BC7938" w:rsidP="00384BE2">
      <w:pPr>
        <w:pStyle w:val="JuQuot"/>
      </w:pPr>
      <w:r>
        <w:t>În temeiul celor constatate, în prezența martorului asistent</w:t>
      </w:r>
      <w:r>
        <w:br/>
        <w:t>[... S.D.], am constatat faptul că numitul [...] figurează în baza de date a Poliției Române cu permisul de conducere reținut din anul 2013 pentru infracțiunea de conducere a unui autovehicul pe drumurile publice cu alcoolemie peste 0,80 g/l.</w:t>
      </w:r>
      <w:r>
        <w:cr/>
      </w:r>
      <w:r>
        <w:br/>
      </w:r>
    </w:p>
    <w:p w:rsidR="00BC7938" w:rsidRPr="00384BE2" w:rsidRDefault="00BC7938" w:rsidP="00384BE2">
      <w:pPr>
        <w:pStyle w:val="JuQuot"/>
      </w:pPr>
      <w:r>
        <w:t>Pentru care am încheiat prezentul proces-verbal.”</w:t>
      </w:r>
    </w:p>
    <w:p w:rsidR="00BC7938" w:rsidRPr="00384BE2" w:rsidRDefault="00BC7938" w:rsidP="00384BE2">
      <w:pPr>
        <w:pStyle w:val="JuPara"/>
      </w:pPr>
      <w:bookmarkStart w:id="5" w:name="PV_sesizare"/>
      <w:r>
        <w:t>9</w:t>
      </w:r>
      <w:bookmarkEnd w:id="5"/>
      <w:r>
        <w:t>.  Agentul de poliție a redactat în termeni similari și un proces-verbal de sesizare din oficiu.</w:t>
      </w:r>
    </w:p>
    <w:p w:rsidR="00BC7938" w:rsidRPr="00384BE2" w:rsidRDefault="00BC7938" w:rsidP="00384BE2">
      <w:pPr>
        <w:pStyle w:val="JuPara"/>
      </w:pPr>
      <w:bookmarkStart w:id="6" w:name="first_questioning"/>
      <w:r>
        <w:t>10</w:t>
      </w:r>
      <w:bookmarkEnd w:id="6"/>
      <w:r>
        <w:t>.  Poliția l-a audiat pe S.D.V., martorul ocular prezent la momentul când reclamantul a fost oprit de către poliție. După audiere, T.M. a întocmit ordonanța de începere a urmăririi penale, în termeni similari rapoartelor sale anterioare, cerând parchetului să înceapă urmărirea penală față de reclamant. Prin urmare, cel din urmă a devenit suspect în cauză și a fost audiat în această calitate, de la 5.50 la 6.20 p.m., în prezența unui avocat desemnat din oficiu.</w:t>
      </w:r>
    </w:p>
    <w:p w:rsidR="00BC7938" w:rsidRPr="00384BE2" w:rsidRDefault="00BC7938" w:rsidP="00384BE2">
      <w:pPr>
        <w:pStyle w:val="JuPara"/>
      </w:pPr>
      <w:bookmarkStart w:id="7" w:name="arrest"/>
      <w:r>
        <w:t>11</w:t>
      </w:r>
      <w:bookmarkEnd w:id="7"/>
      <w:r>
        <w:t>.  La orele 6 p.m. în acea zi, reclamantul a fost reținut pentru 24 de ore, între orele 6 p.m. la 16 septembrie 2014 și 6 p.m. la 17 septembrie 2014 (a se vedea infra, pct. 19). Reclamantul nu a depus plângere împotriva ordonanței de reținere.</w:t>
      </w:r>
    </w:p>
    <w:p w:rsidR="00BC7938" w:rsidRPr="00384BE2" w:rsidRDefault="00BC7938" w:rsidP="00384BE2">
      <w:pPr>
        <w:pStyle w:val="JuPara"/>
      </w:pPr>
      <w:r>
        <w:t>12.  La 17 septembrie 2014, a fost audiat din nou, de la 11.50 a.m. până la amiază, în prezența avocatului desemnat din oficiu. Acesta nu s-a plâns în niciuna din declarații că a fost lipsit de libertate în cadrul secției de poliție în mod nelegal sau împiedicat să părăsească locația.</w:t>
      </w:r>
    </w:p>
    <w:p w:rsidR="00BC7938" w:rsidRPr="00384BE2" w:rsidRDefault="00BC7938" w:rsidP="00384BE2">
      <w:pPr>
        <w:pStyle w:val="JuPara"/>
      </w:pPr>
      <w:bookmarkStart w:id="8" w:name="questioning_complaint"/>
      <w:r>
        <w:t>13</w:t>
      </w:r>
      <w:bookmarkEnd w:id="8"/>
      <w:r>
        <w:t>.  La 4 martie 2015, reclamantul a fost audiat de procuror în prezența unui avocat ales. S-a plâns că a fost reținut împotriva voinței sale la secția de poliție până la 6 p.m. la 16 septembrie 2014.</w:t>
      </w:r>
    </w:p>
    <w:p w:rsidR="00BC7938" w:rsidRPr="00384BE2" w:rsidRDefault="00BC7938" w:rsidP="00384BE2">
      <w:pPr>
        <w:pStyle w:val="JuPara"/>
      </w:pPr>
      <w:bookmarkStart w:id="9" w:name="final_address"/>
      <w:r>
        <w:t>14</w:t>
      </w:r>
      <w:bookmarkEnd w:id="9"/>
      <w:r>
        <w:t xml:space="preserve">.  La 30 iunie 2015, reclamantul a fost condamnat de Judecătoria Lipova. I s-a aplicat o pedeapsă de un an și patru luni de închisoare cu </w:t>
      </w:r>
      <w:r>
        <w:lastRenderedPageBreak/>
        <w:t>suspendare. În ultima sa adresare în scris către instanță, reclamantul a susținut că a fost lipsit de libertate în mod nelegal la 16 septembrie 2014.</w:t>
      </w:r>
    </w:p>
    <w:p w:rsidR="00BC7938" w:rsidRPr="00384BE2" w:rsidRDefault="00BC7938" w:rsidP="00384BE2">
      <w:pPr>
        <w:pStyle w:val="JuHA"/>
        <w:keepNext w:val="0"/>
        <w:keepLines w:val="0"/>
      </w:pPr>
      <w:r>
        <w:t>Urmărirea penală pentru pretinsa lipsire de libertate în mod nelegal</w:t>
      </w:r>
    </w:p>
    <w:p w:rsidR="00BC7938" w:rsidRPr="00384BE2" w:rsidRDefault="00BC7938" w:rsidP="00384BE2">
      <w:pPr>
        <w:pStyle w:val="JuPara"/>
      </w:pPr>
      <w:bookmarkStart w:id="10" w:name="criminal_complaint_v_police_officer"/>
      <w:r>
        <w:t>15</w:t>
      </w:r>
      <w:bookmarkEnd w:id="10"/>
      <w:r>
        <w:t>.  La 12 decembrie 2014, reclamantul a depus o plângere penală la Parchetul de pe lângă Curtea de Apel Timișoara împotriva lui T.M., agentul de poliție care l-a dus la secția de poliție la 16 septembrie 2014. L-a acuzat pe T.M. de lipsire de libertate în mod nelegal și de abuz în serviciu. La 8 februarie 2015, plângerea penală a fost înaintată Parchetului de pe lângă Judecătoria Lipova pentru efectuarea cercetării.</w:t>
      </w:r>
    </w:p>
    <w:p w:rsidR="00BC7938" w:rsidRPr="00384BE2" w:rsidRDefault="00BC7938" w:rsidP="00384BE2">
      <w:pPr>
        <w:pStyle w:val="JuPara"/>
      </w:pPr>
      <w:bookmarkStart w:id="11" w:name="para_16"/>
      <w:r>
        <w:t>16</w:t>
      </w:r>
      <w:bookmarkEnd w:id="11"/>
      <w:r>
        <w:t>.  Sesizat prin plângerea penală formulată de reclamant împotriva lui T.M., parchetul a început urmărirea penală. Parchetul l-a audiat pe reclamant la 28 octombrie 2015, pe un martor la 29 octombrie 2015 și pe T.M. la 6 noiembrie 2015. Conform acestuia din urmă, reclamantului i se permisese să-și aștepte avocatul ales în fața secției de poliție, având telefonul mobil asupra sa. La 5 p.m., reclamantul a intrat în clădire, l-a informat pe T.M. că avocatul său nu venea și a cerut desemnarea unui avocat din oficiu.</w:t>
      </w:r>
    </w:p>
    <w:p w:rsidR="00BC7938" w:rsidRPr="00384BE2" w:rsidRDefault="00BC7938" w:rsidP="00384BE2">
      <w:pPr>
        <w:pStyle w:val="JuPara"/>
      </w:pPr>
      <w:r>
        <w:t>17.  La 6 noiembrie 2015, parchetul a dispus încetarea urmăririi penale cu motivarea că privarea de libertate a reclamantului fusese dispusă la 6 p.m., cu respectarea dispozițiilor legale aplicabile.</w:t>
      </w:r>
    </w:p>
    <w:p w:rsidR="00BC7938" w:rsidRPr="00384BE2" w:rsidRDefault="00BC7938" w:rsidP="00384BE2">
      <w:pPr>
        <w:pStyle w:val="JuPara"/>
      </w:pPr>
      <w:bookmarkStart w:id="12" w:name="para_18"/>
      <w:r>
        <w:t>18</w:t>
      </w:r>
      <w:bookmarkEnd w:id="12"/>
      <w:r>
        <w:t>.  Reclamantul a făcut plângere și, prin sentința definitivă din 22 martie 2016, Judecătoria Lipova a constatat că perioada de șase ore și 52 de minute de la momentul în care a fost oprit în trafic, până la momentul când a fost reținut, a fost necesară pentru a fi dus la secția de poliție și pentru procesarea dosarului.</w:t>
      </w:r>
    </w:p>
    <w:p w:rsidR="00BC7938" w:rsidRPr="00384BE2" w:rsidRDefault="00BC7938" w:rsidP="00384BE2">
      <w:pPr>
        <w:pStyle w:val="JuHIRoman"/>
        <w:keepNext w:val="0"/>
        <w:keepLines w:val="0"/>
      </w:pPr>
      <w:r>
        <w:t>DREPTUL INTERN RELEVANT</w:t>
      </w:r>
    </w:p>
    <w:p w:rsidR="00BC7938" w:rsidRPr="00384BE2" w:rsidRDefault="00BC7938" w:rsidP="00384BE2">
      <w:pPr>
        <w:pStyle w:val="JuPara"/>
      </w:pPr>
      <w:bookmarkStart w:id="13" w:name="CCP"/>
      <w:r>
        <w:t>19</w:t>
      </w:r>
      <w:bookmarkEnd w:id="13"/>
      <w:r>
        <w:t xml:space="preserve">.  Dispozițiile relevante din Codul de procedură penală („C. </w:t>
      </w:r>
      <w:proofErr w:type="spellStart"/>
      <w:r>
        <w:t>proc</w:t>
      </w:r>
      <w:proofErr w:type="spellEnd"/>
      <w:r>
        <w:t xml:space="preserve">. </w:t>
      </w:r>
      <w:proofErr w:type="spellStart"/>
      <w:r>
        <w:t>pen</w:t>
      </w:r>
      <w:proofErr w:type="spellEnd"/>
      <w:r>
        <w:t>.”), în vigoare de la 1 februarie 2014, se citesc după cum urmează:</w:t>
      </w:r>
    </w:p>
    <w:p w:rsidR="00BC7938" w:rsidRPr="00384BE2" w:rsidRDefault="00BC7938" w:rsidP="00384BE2">
      <w:pPr>
        <w:pStyle w:val="JuHArticle"/>
        <w:keepNext w:val="0"/>
      </w:pPr>
      <w:r>
        <w:t>Art. 209 – Reținerea</w:t>
      </w:r>
    </w:p>
    <w:p w:rsidR="00BC7938" w:rsidRPr="00384BE2" w:rsidRDefault="00BC7938" w:rsidP="00384BE2">
      <w:pPr>
        <w:pStyle w:val="JuQuot"/>
      </w:pPr>
      <w:r>
        <w:t>„[...]</w:t>
      </w:r>
    </w:p>
    <w:p w:rsidR="00BC7938" w:rsidRPr="00384BE2" w:rsidRDefault="00BC7938" w:rsidP="00384BE2">
      <w:pPr>
        <w:pStyle w:val="JuQuot"/>
      </w:pPr>
      <w:r>
        <w:t>(2)  Persoanei reținute i se aduc la cunoștință, de îndată, în limba pe care o înțelege, infracțiunea de care este suspectat și motivele reținerii.</w:t>
      </w:r>
    </w:p>
    <w:p w:rsidR="00BC7938" w:rsidRPr="00384BE2" w:rsidRDefault="00BC7938" w:rsidP="00384BE2">
      <w:pPr>
        <w:pStyle w:val="JuQuot"/>
      </w:pPr>
      <w:r>
        <w:t>(3)  Reținerea se poate dispune pentru cel mult 24 de ore. În durata reținerii nu se include timpul strict necesar conducerii suspectului sau inculpatului la sediul organului judiciar, conform legii.</w:t>
      </w:r>
    </w:p>
    <w:p w:rsidR="00BC7938" w:rsidRPr="00384BE2" w:rsidRDefault="00BC7938" w:rsidP="00384BE2">
      <w:pPr>
        <w:pStyle w:val="JuQuot"/>
      </w:pPr>
      <w:r>
        <w:t>[...]</w:t>
      </w:r>
    </w:p>
    <w:p w:rsidR="00BC7938" w:rsidRPr="00384BE2" w:rsidRDefault="00BC7938" w:rsidP="00384BE2">
      <w:pPr>
        <w:pStyle w:val="JuQuot"/>
      </w:pPr>
      <w:r>
        <w:t>(5)  Măsura reținerii poate fi luată numai după audierea suspectului sau inculpatului, în prezența avocatului ales ori numit din oficiu.</w:t>
      </w:r>
    </w:p>
    <w:p w:rsidR="00BC7938" w:rsidRPr="00384BE2" w:rsidRDefault="00BC7938" w:rsidP="00384BE2">
      <w:pPr>
        <w:pStyle w:val="JuQuot"/>
      </w:pPr>
      <w:r>
        <w:lastRenderedPageBreak/>
        <w:t>[...]</w:t>
      </w:r>
    </w:p>
    <w:p w:rsidR="00BC7938" w:rsidRPr="00384BE2" w:rsidRDefault="00BC7938" w:rsidP="00384BE2">
      <w:pPr>
        <w:pStyle w:val="JuQuot"/>
      </w:pPr>
      <w:r>
        <w:t>(8)  Avocatul ales are obligația de a se prezenta la sediul organului judiciar în termen de cel mult două ore de la încunoștințare.  În caz de neprezentare a avocatului ales, organul de cercetare penală sau procurorul numește un avocat din oficiu.</w:t>
      </w:r>
    </w:p>
    <w:p w:rsidR="00BC7938" w:rsidRPr="00384BE2" w:rsidRDefault="00BC7938" w:rsidP="00384BE2">
      <w:pPr>
        <w:pStyle w:val="JuQuot"/>
      </w:pPr>
      <w:r>
        <w:t>[...]</w:t>
      </w:r>
    </w:p>
    <w:p w:rsidR="00BC7938" w:rsidRPr="00384BE2" w:rsidRDefault="00BC7938" w:rsidP="00384BE2">
      <w:pPr>
        <w:pStyle w:val="JuQuot"/>
      </w:pPr>
      <w:r>
        <w:t>(14)  Împotriva ordonanței organului de cercetare penală prin care s-a luat măsura reținerii suspectul sau inculpatul poate face plângere la procurorul care supraveghează urmărirea penală, înainte de expirarea duratei acesteia.  Procurorul se pronunță de îndată, prin ordonanță.  În cazul când constată că au fost încălcate dispozițiile legale care reglementează condițiile de luare a măsurii reținerii, procurorul dispune revocarea ei și punerea de îndată în libertate a celui reținut.</w:t>
      </w:r>
    </w:p>
    <w:p w:rsidR="00BC7938" w:rsidRPr="00384BE2" w:rsidRDefault="00BC7938" w:rsidP="00384BE2">
      <w:pPr>
        <w:pStyle w:val="JuQuot"/>
      </w:pPr>
      <w:r>
        <w:t>(15)  Împotriva ordonanței procurorului prin care s-a luat măsura reținerii suspectul sau inculpatul poate face plângere, înainte de expirarea duratei acesteia, la prim-procurorul parchetului sau, după caz, la procurorul ierarhic superior.  Prim-procurorul sau procurorul ierarhic superior se pronunță de îndată, prin ordonanță.  În cazul când constată că au fost încălcate dispozițiile legale care reglementează condițiile de luare a măsurii reținerii, prim-procurorul sau procurorul ierarhic superior dispune revocarea ei și punerea de îndată în libertate a inculpatului.”</w:t>
      </w:r>
    </w:p>
    <w:p w:rsidR="00BC7938" w:rsidRPr="00384BE2" w:rsidRDefault="00BC7938" w:rsidP="00384BE2">
      <w:pPr>
        <w:pStyle w:val="JuPara"/>
      </w:pPr>
      <w:bookmarkStart w:id="14" w:name="police_act"/>
      <w:r>
        <w:t>20</w:t>
      </w:r>
      <w:bookmarkEnd w:id="14"/>
      <w:r>
        <w:t>.  Art. 31 din Legea privind Poliția Română (Legea nr. 218/2002 privind organizarea și funcționarea Poliției Române) prevede că polițiștii au obligația:</w:t>
      </w:r>
    </w:p>
    <w:p w:rsidR="00BC7938" w:rsidRPr="00384BE2" w:rsidRDefault="00BC7938" w:rsidP="00384BE2">
      <w:pPr>
        <w:pStyle w:val="JuQuot"/>
      </w:pPr>
      <w:r>
        <w:t>„b) să conducă la sediul poliției pe cei care, prin acțiunile lor, periclitează viața persoanelor, ordinea publică sau alte valori sociale, precum și persoanele suspecte de săvârșirea unor fapte ilegale, a căror identitate nu a putut fi stabilită în condițiile legii; [...] verificarea situației acestor categorii de persoane și luarea măsurilor legale, după caz, se realizează în cel mult 24 de ore, ca măsură administrativă;”</w:t>
      </w:r>
    </w:p>
    <w:p w:rsidR="00BC7938" w:rsidRPr="00384BE2" w:rsidRDefault="00BC7938" w:rsidP="00384BE2">
      <w:pPr>
        <w:pStyle w:val="JuHHead"/>
        <w:keepNext w:val="0"/>
        <w:keepLines w:val="0"/>
      </w:pPr>
      <w:r>
        <w:t>ÎN DREPT</w:t>
      </w:r>
    </w:p>
    <w:p w:rsidR="00BC7938" w:rsidRPr="00384BE2" w:rsidRDefault="00BC7938" w:rsidP="00384BE2">
      <w:pPr>
        <w:pStyle w:val="JuHIRoman"/>
        <w:keepNext w:val="0"/>
        <w:keepLines w:val="0"/>
      </w:pPr>
      <w:r>
        <w:t>CU PRIVIRE LA PRETINSA ÎNCĂLCARE A ART. 5 § 1 DIN CONVENȚIE</w:t>
      </w:r>
    </w:p>
    <w:p w:rsidR="00BC7938" w:rsidRPr="00384BE2" w:rsidRDefault="00BC7938" w:rsidP="00384BE2">
      <w:pPr>
        <w:pStyle w:val="JuPara"/>
      </w:pPr>
      <w:r>
        <w:t>21.  Reclamantul s-a plâns, invocând art. 5 § 1 din Convenție, că a fost reținut nelegal între orele 11.08 a.m. și 6 p.m. la 16 septembrie 2014. Acesta a invocat art. 5 § 1 din Convenție, care prevede următoarele:</w:t>
      </w:r>
    </w:p>
    <w:p w:rsidR="00BC7938" w:rsidRPr="00384BE2" w:rsidRDefault="00BC7938" w:rsidP="00384BE2">
      <w:pPr>
        <w:pStyle w:val="JuQuot"/>
      </w:pPr>
      <w:r>
        <w:t>„1.  Orice persoană are dreptul la libertate și la siguranță. Nimeni nu poate fi lipsit de libertatea sa, cu excepția următoarelor cazuri și potrivit căilor legale:</w:t>
      </w:r>
    </w:p>
    <w:p w:rsidR="00BC7938" w:rsidRPr="00384BE2" w:rsidRDefault="00BC7938" w:rsidP="00384BE2">
      <w:pPr>
        <w:pStyle w:val="JuQuot"/>
      </w:pPr>
      <w:r>
        <w:t>[...]</w:t>
      </w:r>
    </w:p>
    <w:p w:rsidR="00BC7938" w:rsidRPr="00384BE2" w:rsidRDefault="00BC7938" w:rsidP="00384BE2">
      <w:pPr>
        <w:pStyle w:val="JuQuot"/>
      </w:pPr>
      <w:r>
        <w:t>c) dacă a fost arestat sau reținut în vederea aducerii sale în fața autorității judiciare competente, atunci când există motive verosimile de a bănui că a săvârșit o infracțiune sau când există motive temeinice de a crede în necesitatea de a-l împiedica să săvârșească o infracțiune sau să fugă după săvârșirea acesteia; [...].”</w:t>
      </w:r>
    </w:p>
    <w:p w:rsidR="00BC7938" w:rsidRPr="00384BE2" w:rsidRDefault="00BC7938" w:rsidP="00384BE2">
      <w:pPr>
        <w:pStyle w:val="JuHA"/>
      </w:pPr>
      <w:r>
        <w:lastRenderedPageBreak/>
        <w:t>Cu privire la admisibilitate</w:t>
      </w:r>
    </w:p>
    <w:p w:rsidR="00BC7938" w:rsidRPr="00384BE2" w:rsidRDefault="00BC7938" w:rsidP="00384BE2">
      <w:pPr>
        <w:pStyle w:val="JuH1"/>
      </w:pPr>
      <w:r>
        <w:t>Observațiile părților</w:t>
      </w:r>
    </w:p>
    <w:p w:rsidR="00BC7938" w:rsidRPr="00384BE2" w:rsidRDefault="00BC7938" w:rsidP="00384BE2">
      <w:pPr>
        <w:pStyle w:val="JuPara"/>
        <w:keepNext/>
        <w:keepLines/>
      </w:pPr>
      <w:r>
        <w:t xml:space="preserve">22.  Guvernul a susținut că reclamantul ar fi trebuit să depună plângere împotriva ordonanței de reținere pentru 24 de ore. Întemeindu-se pe art. 209 alin. (3) C. </w:t>
      </w:r>
      <w:proofErr w:type="spellStart"/>
      <w:r>
        <w:t>proc</w:t>
      </w:r>
      <w:proofErr w:type="spellEnd"/>
      <w:r>
        <w:t xml:space="preserve">. </w:t>
      </w:r>
      <w:proofErr w:type="spellStart"/>
      <w:r>
        <w:t>pen</w:t>
      </w:r>
      <w:proofErr w:type="spellEnd"/>
      <w:r>
        <w:t xml:space="preserve">. (supra, pct. 19), a învederat că, dacă reclamantul a considerat că a fost reținut mai mult timp decât era strict necesar pentru a fi condus la secția de poliție, ar fi trebuit să depună plângere împotriva ordonanței de reținere pentru 24 de ore și să ceară ca perioada care nu era strict necesară să fie dedusă din termenul de 24 de ore. A considerat că absența unei practici interne relevante în acest domeniu nu îl exonera pe reclamant de introducerea plângerii la autorități. În acest scop, a citat cauza </w:t>
      </w:r>
      <w:r>
        <w:rPr>
          <w:i/>
        </w:rPr>
        <w:t>Gherghina împotriva României</w:t>
      </w:r>
      <w:r>
        <w:t xml:space="preserve"> [(dec.) (MC), 42219/07, pct. 100, 9 iulie 2015].</w:t>
      </w:r>
    </w:p>
    <w:p w:rsidR="00BC7938" w:rsidRPr="00384BE2" w:rsidRDefault="00BC7938" w:rsidP="00384BE2">
      <w:pPr>
        <w:pStyle w:val="JuPara"/>
      </w:pPr>
      <w:r>
        <w:t>23.  Reclamantul a susținut că, atunci când i-a luat declarația la 16 septembrie 2014, agentul de poliție l-a informat că discuția privea exclusiv infracțiunea de conducere a unui autovehicul pe drumurile publice în perioada suspendării exercitării acestui drept și nu reținerea sub escorta poliției la secția de poliție. Cu privire la ultimele acuzații, agentul de poliție l-ar fi sfătuit să depună o plângere penală, ceea ce a făcut la 12 decembrie 2014 (a se vedea supra, pct. 15).</w:t>
      </w:r>
    </w:p>
    <w:p w:rsidR="00BC7938" w:rsidRPr="00384BE2" w:rsidRDefault="00BC7938" w:rsidP="00384BE2">
      <w:pPr>
        <w:pStyle w:val="JuH1"/>
        <w:keepNext w:val="0"/>
        <w:keepLines w:val="0"/>
      </w:pPr>
      <w:r>
        <w:t>Motivarea Curții</w:t>
      </w:r>
    </w:p>
    <w:p w:rsidR="00BC7938" w:rsidRPr="00384BE2" w:rsidRDefault="00BC7938" w:rsidP="00384BE2">
      <w:pPr>
        <w:pStyle w:val="JuPara"/>
        <w:rPr>
          <w:snapToGrid w:val="0"/>
        </w:rPr>
      </w:pPr>
      <w:r>
        <w:t xml:space="preserve">24.  Curtea reamintește de la început că respectivul control judecătoresc al privării de libertate trebuie să se efectueze automat și nu poate fi condiționat de o cerere anterioară a persoanei aflate în detenție [a se vedea </w:t>
      </w:r>
      <w:r>
        <w:rPr>
          <w:i/>
        </w:rPr>
        <w:t xml:space="preserve">Viorel </w:t>
      </w:r>
      <w:proofErr w:type="spellStart"/>
      <w:r>
        <w:rPr>
          <w:i/>
        </w:rPr>
        <w:t>Burzo</w:t>
      </w:r>
      <w:proofErr w:type="spellEnd"/>
      <w:r>
        <w:rPr>
          <w:i/>
        </w:rPr>
        <w:t xml:space="preserve"> împotriva României</w:t>
      </w:r>
      <w:r>
        <w:t>, nr. 75109/01 și 12639/02</w:t>
      </w:r>
      <w:r>
        <w:rPr>
          <w:snapToGrid w:val="0"/>
        </w:rPr>
        <w:t xml:space="preserve">, pct. 107, 30 </w:t>
      </w:r>
      <w:r>
        <w:t xml:space="preserve">iunie </w:t>
      </w:r>
      <w:r>
        <w:rPr>
          <w:snapToGrid w:val="0"/>
        </w:rPr>
        <w:t xml:space="preserve">2009, și </w:t>
      </w:r>
      <w:proofErr w:type="spellStart"/>
      <w:r>
        <w:rPr>
          <w:i/>
        </w:rPr>
        <w:t>McKay</w:t>
      </w:r>
      <w:proofErr w:type="spellEnd"/>
      <w:r>
        <w:rPr>
          <w:i/>
        </w:rPr>
        <w:t xml:space="preserve"> împotriva Regatului Unit</w:t>
      </w:r>
      <w:r>
        <w:t xml:space="preserve"> (MC), nr. 543/03, pct. 34, CEDO 2006</w:t>
      </w:r>
      <w:r>
        <w:noBreakHyphen/>
        <w:t>X</w:t>
      </w:r>
      <w:r>
        <w:rPr>
          <w:snapToGrid w:val="0"/>
        </w:rPr>
        <w:t>].</w:t>
      </w:r>
    </w:p>
    <w:p w:rsidR="00BC7938" w:rsidRPr="00384BE2" w:rsidRDefault="00BC7938" w:rsidP="00384BE2">
      <w:pPr>
        <w:pStyle w:val="JuPara"/>
      </w:pPr>
      <w:r>
        <w:t xml:space="preserve">25.  Cu privire la faptele din prezenta cauză, Curtea ia act că reclamantul s-a plâns atât procurorului, cât și instanței, ca și într-o plângere penală distinctă împotriva lui T.M., că a fost reținut în mod nelegal (a se vedea, respectiv, supra, pct. 13, 14 și 15). Guvernul nu a susținut că oricare dintre aceste proceduri a fost în mod evident lipsită de scop în contextul problemelor specifice legate de articolul 5 § 1 din Convenție (a se vedea, </w:t>
      </w:r>
      <w:r>
        <w:rPr>
          <w:i/>
        </w:rPr>
        <w:t>mutatis mutandis</w:t>
      </w:r>
      <w:r>
        <w:t xml:space="preserve">, </w:t>
      </w:r>
      <w:proofErr w:type="spellStart"/>
      <w:r>
        <w:rPr>
          <w:i/>
        </w:rPr>
        <w:t>Tsvetkova</w:t>
      </w:r>
      <w:proofErr w:type="spellEnd"/>
      <w:r>
        <w:rPr>
          <w:i/>
        </w:rPr>
        <w:t xml:space="preserve"> și alții împotriva Rusiei</w:t>
      </w:r>
      <w:r>
        <w:t>, nr. 54381/08 și alte 5, pct. 100, 10 aprilie 2018) și nu a oferit explicații despre motivul pentru care acțiunea pe care a sugerat-o ar constitui o cale mai bună pentru reclamant.</w:t>
      </w:r>
    </w:p>
    <w:p w:rsidR="00BC7938" w:rsidRPr="00384BE2" w:rsidRDefault="00BC7938" w:rsidP="00384BE2">
      <w:pPr>
        <w:pStyle w:val="JuPara"/>
      </w:pPr>
      <w:r>
        <w:t>26.  Prin urmare, în circumstanțele speciale ale cauzei, Curtea nu consideră că acțiunile întreprinse de reclamant sunt nerezonabile sau lipsite de orice perspectivă de reușită (ibid., pct. 100). Prin urmare, respinge excepția ridicată de Guvern.</w:t>
      </w:r>
    </w:p>
    <w:p w:rsidR="00BC7938" w:rsidRPr="00384BE2" w:rsidRDefault="00BC7938" w:rsidP="00384BE2">
      <w:pPr>
        <w:pStyle w:val="JuPara"/>
      </w:pPr>
      <w:r>
        <w:t xml:space="preserve">27.  Curtea constată, de asemenea, că prezenta cerere nu este în mod vădit nefondată în sensul art. 35 § 3 lit. a) din Convenție. Constată, de asemenea, </w:t>
      </w:r>
      <w:r>
        <w:lastRenderedPageBreak/>
        <w:t>că nu prezintă niciun alt motiv de inadmisibilitate. Trebuie așadar să fie declarat admisibilă.</w:t>
      </w:r>
    </w:p>
    <w:p w:rsidR="00BC7938" w:rsidRPr="00384BE2" w:rsidRDefault="00BC7938" w:rsidP="00384BE2">
      <w:pPr>
        <w:pStyle w:val="JuHA"/>
        <w:keepNext w:val="0"/>
        <w:keepLines w:val="0"/>
      </w:pPr>
      <w:r>
        <w:t>Cu privire la fond</w:t>
      </w:r>
    </w:p>
    <w:p w:rsidR="00BC7938" w:rsidRPr="00384BE2" w:rsidRDefault="00BC7938" w:rsidP="00384BE2">
      <w:pPr>
        <w:pStyle w:val="JuH1"/>
        <w:keepNext w:val="0"/>
        <w:keepLines w:val="0"/>
      </w:pPr>
      <w:r>
        <w:t>Observațiile părților</w:t>
      </w:r>
    </w:p>
    <w:p w:rsidR="00BC7938" w:rsidRPr="00384BE2" w:rsidRDefault="00BC7938" w:rsidP="00384BE2">
      <w:pPr>
        <w:pStyle w:val="JuPara"/>
      </w:pPr>
      <w:bookmarkStart w:id="15" w:name="ObsR5"/>
      <w:r>
        <w:t>28</w:t>
      </w:r>
      <w:bookmarkEnd w:id="15"/>
      <w:r>
        <w:t>.  Reclamantul a susținut că a fost reținut nelegal timp de șase ore și 52 de minute la cele două secții de poliție, sub controlul autorităților. A mai arătat că agentul de  poliție a dispus reținerea la ora 6 p.m., deși audierea a durat până la ora 6.20 p.m. (a se vedea supra, pct. 10 și 11). Faptul acesta dovedea, în opinia sa, că decizia de a fi reținut fusese deja luată, indiferent de ce urma să se întâmple pe durata audierii.</w:t>
      </w:r>
    </w:p>
    <w:p w:rsidR="00BC7938" w:rsidRPr="00384BE2" w:rsidRDefault="00BC7938" w:rsidP="00384BE2">
      <w:pPr>
        <w:pStyle w:val="JuPara"/>
      </w:pPr>
      <w:bookmarkStart w:id="16" w:name="Gov_no5"/>
      <w:r>
        <w:t>29</w:t>
      </w:r>
      <w:bookmarkEnd w:id="16"/>
      <w:r>
        <w:t>.  Guvernul a negat că reclamantul a fost privat de libertate în perioada în cauză. Bazându-se pe declarațiile agentului de poliție T.M. (a se vedea supra, pct. 16), a susținut că reclamantul a așteptat în exteriorul secției de poliție și că i s-a permis să-și folosească telefonul mobil. Deși nu existau probe care să indice că reclamantul a fost informat că era liber să plece, niciun element din dosar nu susținea versiunea sa asupra faptelor. În plus, nu a fost niciodată încătușat sau împiedicat în alt mod să plece.</w:t>
      </w:r>
    </w:p>
    <w:p w:rsidR="00BC7938" w:rsidRPr="00384BE2" w:rsidRDefault="00BC7938" w:rsidP="00384BE2">
      <w:pPr>
        <w:pStyle w:val="JuPara"/>
      </w:pPr>
      <w:bookmarkStart w:id="17" w:name="Gov_5_justified"/>
      <w:r>
        <w:t>30</w:t>
      </w:r>
      <w:bookmarkEnd w:id="17"/>
      <w:r>
        <w:t xml:space="preserve">.  Chiar presupunând că a fost lipsit de libertate, Guvernul a susținut că măsura era prevăzută de lege (Legea privind poliția și C. </w:t>
      </w:r>
      <w:proofErr w:type="spellStart"/>
      <w:r>
        <w:t>proc</w:t>
      </w:r>
      <w:proofErr w:type="spellEnd"/>
      <w:r>
        <w:t xml:space="preserve">. </w:t>
      </w:r>
      <w:proofErr w:type="spellStart"/>
      <w:r>
        <w:t>pen</w:t>
      </w:r>
      <w:proofErr w:type="spellEnd"/>
      <w:r>
        <w:t>. – a se vedea supra, pct. 19 și 20) și justificată de necesitatea ca agenții de poliție să-l identifice pe reclamant. Guvernul a învederat că reclamantul a refuzat să se legitimeze când a fost oprit în trafic. A explicat și că normele de procedură penală impuneau mai mulți pași procedurali înainte ca o persoană să poată fi reținută. În speță, respectivele cerințe procedurale au fost îndeplinite în perioada supusă examinării. Judecătoria Lipova a confirmat această justificare în sentința din 22 martie 2016 (a se vedea supra, pct. 18).</w:t>
      </w:r>
    </w:p>
    <w:p w:rsidR="00BC7938" w:rsidRPr="00384BE2" w:rsidRDefault="00BC7938" w:rsidP="00384BE2">
      <w:pPr>
        <w:pStyle w:val="JuH1"/>
        <w:keepNext w:val="0"/>
        <w:keepLines w:val="0"/>
      </w:pPr>
      <w:r>
        <w:t>Motivarea Curții</w:t>
      </w:r>
    </w:p>
    <w:p w:rsidR="00BC7938" w:rsidRPr="00384BE2" w:rsidRDefault="00BC7938" w:rsidP="00384BE2">
      <w:pPr>
        <w:pStyle w:val="JuPara"/>
      </w:pPr>
      <w:r>
        <w:t>31.  Încă de la început, Curtea observă că părțile nu sunt de acord asupra aspectului dacă reclamantul a fost privat de libertate cât timp s-a aflat în secțiile de poliție (a se vedea supra, pct. 28 și 29). Prin urmare, Curtea trebuie să stabilească, în primul rând, dacă reclamantul a fost lipsit de libertate în sensul art. 5 § 1 din Convenție.</w:t>
      </w:r>
    </w:p>
    <w:p w:rsidR="00BC7938" w:rsidRPr="00384BE2" w:rsidRDefault="00BC7938" w:rsidP="00384BE2">
      <w:pPr>
        <w:pStyle w:val="JuHa0"/>
      </w:pPr>
      <w:r>
        <w:lastRenderedPageBreak/>
        <w:t>Cu privire la aspectul dacă reclamantul a fost lipsit de libertate între orele 11.08 a.m. și 6 p.m. la 16 septembrie 2014</w:t>
      </w:r>
    </w:p>
    <w:p w:rsidR="00BC7938" w:rsidRPr="00384BE2" w:rsidRDefault="00BC7938" w:rsidP="00384BE2">
      <w:pPr>
        <w:pStyle w:val="JuHi"/>
      </w:pPr>
      <w:r>
        <w:t>Principii generale</w:t>
      </w:r>
    </w:p>
    <w:p w:rsidR="00BC7938" w:rsidRPr="00384BE2" w:rsidRDefault="00BC7938" w:rsidP="00384BE2">
      <w:pPr>
        <w:pStyle w:val="JuPara"/>
        <w:keepNext/>
        <w:keepLines/>
      </w:pPr>
      <w:r>
        <w:t xml:space="preserve">32.  Curtea reamintește că, proclamând „dreptul la libertate”, art. 5 § 1 are în vedere libertatea fizică a persoanei. În consecință, nu este vorba despre simple restrângeri ale libertății de circulație, care sunt reglementate de art. 2 din Protocolul nr. 4. Pentru a stabili dacă o persoană a fost „lipsită de libertate” în sensul art. 5, punctul de plecare trebuie să fie situația sa specifică și trebuie să se țină seama de o serie întreagă de factori precum tipul, durata, efectele și modul de punere în aplicare a măsurii în cauză. Diferența dintre lipsirea de libertate și restrângerea libertății este una de grad sau intensitate, nu una de natură sau substanță [a se vedea </w:t>
      </w:r>
      <w:r>
        <w:rPr>
          <w:i/>
          <w:iCs/>
        </w:rPr>
        <w:t>De</w:t>
      </w:r>
      <w:r>
        <w:t xml:space="preserve"> </w:t>
      </w:r>
      <w:r>
        <w:rPr>
          <w:i/>
        </w:rPr>
        <w:t>Tommaso împotriva Italiei</w:t>
      </w:r>
      <w:r>
        <w:t xml:space="preserve"> (MC), nr. 43395/09, pct. 80, CEDO 2017 (extrase), cu trimiterile citate, și </w:t>
      </w:r>
      <w:proofErr w:type="spellStart"/>
      <w:r>
        <w:rPr>
          <w:i/>
          <w:iCs/>
        </w:rPr>
        <w:t>Khlaifia</w:t>
      </w:r>
      <w:proofErr w:type="spellEnd"/>
      <w:r>
        <w:rPr>
          <w:i/>
          <w:iCs/>
        </w:rPr>
        <w:t xml:space="preserve"> și alții împotriva Italiei</w:t>
      </w:r>
      <w:r>
        <w:t xml:space="preserve"> (MC), nr. 16483/12, pct. 64, CEDO 2016 (extrase)].</w:t>
      </w:r>
    </w:p>
    <w:p w:rsidR="00BC7938" w:rsidRPr="00384BE2" w:rsidRDefault="00BC7938" w:rsidP="00384BE2">
      <w:pPr>
        <w:pStyle w:val="JuPara"/>
      </w:pPr>
      <w:r>
        <w:t xml:space="preserve">33.  Încadrarea sau neîncadrarea de către stat a unei situații de fapt nu poate afecta decisiv concluzia Curții privind existența unei lipsiri de libertate [a se vedea </w:t>
      </w:r>
      <w:r>
        <w:rPr>
          <w:i/>
        </w:rPr>
        <w:t xml:space="preserve">Creangă împotriva României </w:t>
      </w:r>
      <w:r>
        <w:t>(MC)</w:t>
      </w:r>
      <w:r>
        <w:rPr>
          <w:i/>
        </w:rPr>
        <w:t xml:space="preserve">, </w:t>
      </w:r>
      <w:r>
        <w:t>nr. 29226/03, pct. 92, 23 februarie 2012].</w:t>
      </w:r>
    </w:p>
    <w:p w:rsidR="00BC7938" w:rsidRPr="00384BE2" w:rsidRDefault="00BC7938" w:rsidP="00384BE2">
      <w:pPr>
        <w:pStyle w:val="JuHi"/>
        <w:keepNext w:val="0"/>
        <w:keepLines w:val="0"/>
      </w:pPr>
      <w:r>
        <w:t>Aplicarea acestor principii în prezenta cauză</w:t>
      </w:r>
    </w:p>
    <w:p w:rsidR="00BC7938" w:rsidRPr="00384BE2" w:rsidRDefault="00BC7938" w:rsidP="00384BE2">
      <w:pPr>
        <w:pStyle w:val="JuPara"/>
      </w:pPr>
      <w:r>
        <w:t xml:space="preserve">34.  Curtea a stabilit deja în jurisprudența sa că escortarea administrativă (inclusiv conducerea unei persoane la sediul poliției și prezența sa acolo) reprezintă „lipsire de libertate” (a se vedea </w:t>
      </w:r>
      <w:proofErr w:type="spellStart"/>
      <w:r>
        <w:rPr>
          <w:i/>
        </w:rPr>
        <w:t>Tsvetkova</w:t>
      </w:r>
      <w:proofErr w:type="spellEnd"/>
      <w:r>
        <w:rPr>
          <w:i/>
        </w:rPr>
        <w:t xml:space="preserve"> și alții</w:t>
      </w:r>
      <w:r>
        <w:t xml:space="preserve">, citată anterior, pct. 107). În prezenta cauză, nimic nu sugerează că, de fapt și/sau având în vedere cerințele legislației românești (a se vedea supra, pct. 20), reclamantul ar fi putut decide în mod liber să nu îi urmeze pe agenții de poliție la secția de poliție sau că, odată ajuns acolo, ar fi putut pleca în orice moment fără a exista consecințe negative (ibid., pct. 107, precum și, </w:t>
      </w:r>
      <w:r>
        <w:rPr>
          <w:i/>
        </w:rPr>
        <w:t>mutatis mutandis</w:t>
      </w:r>
      <w:r>
        <w:t xml:space="preserve">, </w:t>
      </w:r>
      <w:r>
        <w:rPr>
          <w:i/>
        </w:rPr>
        <w:t>Creangă</w:t>
      </w:r>
      <w:r>
        <w:t>, citată anterior, pct. 94-100).</w:t>
      </w:r>
    </w:p>
    <w:p w:rsidR="00BC7938" w:rsidRPr="00384BE2" w:rsidRDefault="00BC7938" w:rsidP="00384BE2">
      <w:pPr>
        <w:pStyle w:val="JuPara"/>
      </w:pPr>
      <w:r>
        <w:t xml:space="preserve">35.  Curtea consideră că, în desfășurarea acestor evenimente, a existat un element coercitiv care, în pofida duratei relativ scurte a procedurii, indica o lipsire de libertate în sensul art. 5 § 1 (a se vedea, </w:t>
      </w:r>
      <w:r>
        <w:rPr>
          <w:i/>
        </w:rPr>
        <w:t>mutatis mutandis</w:t>
      </w:r>
      <w:r>
        <w:t xml:space="preserve">, </w:t>
      </w:r>
      <w:proofErr w:type="spellStart"/>
      <w:r>
        <w:rPr>
          <w:i/>
        </w:rPr>
        <w:t>Khalikova</w:t>
      </w:r>
      <w:proofErr w:type="spellEnd"/>
      <w:r>
        <w:rPr>
          <w:i/>
        </w:rPr>
        <w:t xml:space="preserve"> împotriva Azerbaidjanului</w:t>
      </w:r>
      <w:r>
        <w:t>, nr. 42883/11, pct. 102, 22 octombrie 2015).</w:t>
      </w:r>
    </w:p>
    <w:p w:rsidR="00BC7938" w:rsidRPr="00384BE2" w:rsidRDefault="00BC7938" w:rsidP="00384BE2">
      <w:pPr>
        <w:pStyle w:val="JuPara"/>
      </w:pPr>
      <w:r>
        <w:t>36.  Prin urmare, Curtea constată că reclamantul a fost lipsit de libertate în sensul art. 5 § 1.</w:t>
      </w:r>
    </w:p>
    <w:p w:rsidR="00BC7938" w:rsidRPr="00384BE2" w:rsidRDefault="00BC7938" w:rsidP="00384BE2">
      <w:pPr>
        <w:pStyle w:val="JuHa0"/>
      </w:pPr>
      <w:r>
        <w:lastRenderedPageBreak/>
        <w:t>Cu privire la aspectul dacă lipsirea de libertate a încălcat art. 5 § 1 din Convenție</w:t>
      </w:r>
    </w:p>
    <w:p w:rsidR="00BC7938" w:rsidRPr="00384BE2" w:rsidRDefault="00BC7938" w:rsidP="00384BE2">
      <w:pPr>
        <w:pStyle w:val="JuHi"/>
      </w:pPr>
      <w:r>
        <w:t>Principii generale</w:t>
      </w:r>
    </w:p>
    <w:p w:rsidR="00BC7938" w:rsidRPr="00384BE2" w:rsidRDefault="00BC7938" w:rsidP="00384BE2">
      <w:pPr>
        <w:pStyle w:val="JuPara"/>
        <w:keepNext/>
        <w:keepLines/>
        <w:rPr>
          <w:iCs/>
        </w:rPr>
      </w:pPr>
      <w:r>
        <w:t xml:space="preserve">37.  Orice lipsire de libertate trebuie, în plus față de a se încadra într-una din excepțiile prevăzute la lit. a)–f) ale art. 5 § 1, să fie „legală”. În situațiile în care „legalitatea" detenției este în litigiu, inclusiv aspectul dacă „procedura prevăzută de lege" a fost respectată, Convenția se referă în mod esențial la legislația națională și prevede obligația de conformare la normele procedurale și materiale conținute de aceasta [a se vedea </w:t>
      </w:r>
      <w:proofErr w:type="spellStart"/>
      <w:r>
        <w:rPr>
          <w:i/>
        </w:rPr>
        <w:t>Ilnseher</w:t>
      </w:r>
      <w:proofErr w:type="spellEnd"/>
      <w:r>
        <w:rPr>
          <w:i/>
        </w:rPr>
        <w:t xml:space="preserve"> împotriva Germaniei</w:t>
      </w:r>
      <w:r>
        <w:t xml:space="preserve"> (MC), nr. 10211/12 și 27505/14, pct. 135, 4 decembrie 2018, și </w:t>
      </w:r>
      <w:r>
        <w:rPr>
          <w:i/>
        </w:rPr>
        <w:t>S., V. și A. împotriva Danemarcei</w:t>
      </w:r>
      <w:r>
        <w:t xml:space="preserve"> (MC), nr. 35553/12 și alte 2 cereri, pct. 74, 22 octombrie 2018].</w:t>
      </w:r>
    </w:p>
    <w:p w:rsidR="00BC7938" w:rsidRPr="00384BE2" w:rsidRDefault="00BC7938" w:rsidP="00384BE2">
      <w:pPr>
        <w:pStyle w:val="JuPara"/>
      </w:pPr>
      <w:r>
        <w:t xml:space="preserve">38.  Stabilind că orice lipsire de libertate trebuie efectuată „potrivit căilor legale”, art. 5 § 1 impune în primul rând că orice arestare sau deținere trebuie să aibă un temei legal în legislația națională. Totuși, aceste cuvinte nu fac doar trimitere la legislația internă. Se referă și la calitatea legii, ce trebuie să fie compatibilă cu statul de drept, un concept inerent tuturor articolelor Convenției. Cu privire la acest ultim aspect, Curtea subliniază că, în ceea ce privește lipsirea de libertate, este deosebit de important ca principiul general al securității juridice să fie respectat. Prin urmare, este esențial ca respectivele condiții ale lipsirii de libertate în temeiul legii naționale să fie în mod clar definite și ca legea să fie previzibilă în ceea ce privește aplicarea sa, încât să respecte regula privind „legalitatea” stabilită de Convenție, regulă care impune ca orice lege să fie suficient de precisă pentru a permite persoanei – dacă este necesar, cu o consiliere adecvată – să prevadă, într-o măsură rezonabilă în acele circumstanțe, consecințele pe care o acțiune dată le poate avea [a se vedea </w:t>
      </w:r>
      <w:proofErr w:type="spellStart"/>
      <w:r>
        <w:rPr>
          <w:i/>
        </w:rPr>
        <w:t>Khlaifia</w:t>
      </w:r>
      <w:proofErr w:type="spellEnd"/>
      <w:r>
        <w:rPr>
          <w:i/>
        </w:rPr>
        <w:t xml:space="preserve"> și alții</w:t>
      </w:r>
      <w:r>
        <w:t>, citată anterior, pct. 91</w:t>
      </w:r>
      <w:r>
        <w:noBreakHyphen/>
        <w:t xml:space="preserve">92, și </w:t>
      </w:r>
      <w:proofErr w:type="spellStart"/>
      <w:r>
        <w:rPr>
          <w:i/>
        </w:rPr>
        <w:t>Del</w:t>
      </w:r>
      <w:proofErr w:type="spellEnd"/>
      <w:r>
        <w:rPr>
          <w:i/>
        </w:rPr>
        <w:t xml:space="preserve"> </w:t>
      </w:r>
      <w:proofErr w:type="spellStart"/>
      <w:r>
        <w:rPr>
          <w:i/>
        </w:rPr>
        <w:t>Río</w:t>
      </w:r>
      <w:proofErr w:type="spellEnd"/>
      <w:r>
        <w:rPr>
          <w:i/>
        </w:rPr>
        <w:t xml:space="preserve"> Prada</w:t>
      </w:r>
      <w:r>
        <w:t xml:space="preserve"> </w:t>
      </w:r>
      <w:r>
        <w:rPr>
          <w:i/>
          <w:iCs/>
        </w:rPr>
        <w:t>împotriva Spaniei</w:t>
      </w:r>
      <w:r>
        <w:rPr>
          <w:i/>
        </w:rPr>
        <w:t xml:space="preserve"> </w:t>
      </w:r>
      <w:r>
        <w:t>(MC), nr. 42750/09, pct. 125, CEDO 2013, cu trimiterile citate].</w:t>
      </w:r>
    </w:p>
    <w:p w:rsidR="00BC7938" w:rsidRPr="00384BE2" w:rsidRDefault="00BC7938" w:rsidP="00384BE2">
      <w:pPr>
        <w:pStyle w:val="JuPara"/>
      </w:pPr>
      <w:r>
        <w:t xml:space="preserve">39.  În sfârșit, Curtea reamintește că, pentru ca lipsirea de libertate să fie considerată a nu avea caracter arbitrar, nu este de ajuns că această măsură este executată conform  legislației naționale; trebuie să fie, de asemenea, necesară în acele circumstanțe (a se vedea </w:t>
      </w:r>
      <w:r>
        <w:rPr>
          <w:i/>
        </w:rPr>
        <w:t>S., V. și A. împotriva Danemarcei</w:t>
      </w:r>
      <w:r>
        <w:t>, citată anterior, pct. 77).</w:t>
      </w:r>
    </w:p>
    <w:p w:rsidR="00BC7938" w:rsidRPr="00384BE2" w:rsidRDefault="00BC7938" w:rsidP="00384BE2">
      <w:pPr>
        <w:pStyle w:val="JuHi"/>
        <w:keepNext w:val="0"/>
        <w:keepLines w:val="0"/>
      </w:pPr>
      <w:r>
        <w:t>Aplicarea acestor principii în prezenta cauză</w:t>
      </w:r>
    </w:p>
    <w:p w:rsidR="00BC7938" w:rsidRPr="00384BE2" w:rsidRDefault="00BC7938" w:rsidP="00384BE2">
      <w:pPr>
        <w:pStyle w:val="JuPara"/>
      </w:pPr>
      <w:r>
        <w:t xml:space="preserve">40.  Curtea observă că reclamantul a fost oprit de poliția rutieră și condus la două secții de poliție, unde a fost reținut pentru aproape șapte ore în total (a se vedea supra, pct. 6 și 7). Ulterior a fost reținut în conformitate cu dispozițiile C. </w:t>
      </w:r>
      <w:proofErr w:type="spellStart"/>
      <w:r>
        <w:t>proc</w:t>
      </w:r>
      <w:proofErr w:type="spellEnd"/>
      <w:r>
        <w:t xml:space="preserve">. </w:t>
      </w:r>
      <w:proofErr w:type="spellStart"/>
      <w:r>
        <w:t>pen</w:t>
      </w:r>
      <w:proofErr w:type="spellEnd"/>
      <w:r>
        <w:t>. (a se vedea supra, pct. 11).</w:t>
      </w:r>
    </w:p>
    <w:p w:rsidR="00BC7938" w:rsidRPr="00384BE2" w:rsidRDefault="00BC7938" w:rsidP="00384BE2">
      <w:pPr>
        <w:pStyle w:val="JuPara"/>
      </w:pPr>
      <w:r>
        <w:t xml:space="preserve">41.  Guvernul a susținut, în primul rând, că scopul măsurii administrative de escortare a fost de a permite poliției să-l identifice pe reclamant. Mai mult, </w:t>
      </w:r>
      <w:r>
        <w:lastRenderedPageBreak/>
        <w:t>aceasta s-a întemeiat pe dispozițiile Legii privind poliția (a se vedea supra, pct. 30).</w:t>
      </w:r>
    </w:p>
    <w:p w:rsidR="00BC7938" w:rsidRPr="00384BE2" w:rsidRDefault="00BC7938" w:rsidP="00384BE2">
      <w:pPr>
        <w:pStyle w:val="JuPara"/>
      </w:pPr>
      <w:r>
        <w:t>42.  Totuși, Curtea observă că procesul-verbal întocmit de agentul de poliție despre incident cuprinde toate detaliile de identificare a reclamantului (a se vedea supra, pct. 8). În plus, în niciun moment pe durata petrecută de acesta la secțiile de poliție nu s-a menționat că a refuzat să se identifice sau că a negat informațiile aflate de poliție cu privire la cazierul judiciar al acestuia. În aceste circumstanțe, este dificil de acceptat că reclamantul a fost reținut de poliție și ținut timp de aproape șapte ore pentru identificare. Prin urmare, nu s-a stabilit că reținerea reclamantului era conformă cu măsura administrativă de escortare permisă de Legea privind poliția (a se vedea supra, pct. 20).</w:t>
      </w:r>
    </w:p>
    <w:p w:rsidR="00BC7938" w:rsidRPr="00384BE2" w:rsidRDefault="00BC7938" w:rsidP="00384BE2">
      <w:pPr>
        <w:pStyle w:val="JuPara"/>
        <w:rPr>
          <w:iCs/>
        </w:rPr>
      </w:pPr>
      <w:r>
        <w:t xml:space="preserve">43.  Mai mult, Curtea observă că în procesele-verbale redactate la 16 septembrie 2014 nu s-a menționat că reclamantul periclita viața persoanelor, ordinea publică sau alte valori sociale (a se vedea supra, pct. 8, 9 și 20). Niciun element din dosar, prin urmare, nu susține afirmația Guvernului că reținerea reclamantului era necesară (a se vedea supra, </w:t>
      </w:r>
      <w:r>
        <w:rPr>
          <w:i/>
        </w:rPr>
        <w:t>S., V. și A. împotriva Danemarcei</w:t>
      </w:r>
      <w:r>
        <w:t xml:space="preserve">, citată anterior, pct. 77, și pentru contrast </w:t>
      </w:r>
      <w:proofErr w:type="spellStart"/>
      <w:r>
        <w:rPr>
          <w:i/>
        </w:rPr>
        <w:t>Stănculeanu</w:t>
      </w:r>
      <w:proofErr w:type="spellEnd"/>
      <w:r>
        <w:rPr>
          <w:i/>
        </w:rPr>
        <w:t xml:space="preserve"> împotriva României</w:t>
      </w:r>
      <w:r>
        <w:t>, nr. 26990/15, pct. 57, 9 ianuarie 2018).</w:t>
      </w:r>
    </w:p>
    <w:p w:rsidR="00BC7938" w:rsidRPr="00384BE2" w:rsidRDefault="00BC7938" w:rsidP="00384BE2">
      <w:pPr>
        <w:pStyle w:val="JuPara"/>
      </w:pPr>
      <w:r>
        <w:t>44.  Pentru aceste motive, Curtea nu este convinsă că escortarea administrativă și lipsirea de libertate a reclamantului erau lipsite de arbitrariu și respectau legea națională. Prin urmare, lipsirea sa de libertate nu a fost „legală” în sensul art. 5 § 1 lit. c) din Convenție.</w:t>
      </w:r>
    </w:p>
    <w:p w:rsidR="00BC7938" w:rsidRPr="00384BE2" w:rsidRDefault="00BC7938" w:rsidP="00384BE2">
      <w:pPr>
        <w:pStyle w:val="JuPara"/>
      </w:pPr>
      <w:r>
        <w:t>Prin urmare, a fost încălcat art. 5 § 1.</w:t>
      </w:r>
    </w:p>
    <w:p w:rsidR="00BC7938" w:rsidRPr="00384BE2" w:rsidRDefault="000D0019" w:rsidP="00384BE2">
      <w:pPr>
        <w:pStyle w:val="JuHIRoman"/>
        <w:keepNext w:val="0"/>
        <w:keepLines w:val="0"/>
      </w:pPr>
      <w:r>
        <w:t>CU PRIVIRE LA APLICAREA ART. 41 DIN CONVENȚIE</w:t>
      </w:r>
    </w:p>
    <w:p w:rsidR="00BC7938" w:rsidRPr="00384BE2" w:rsidRDefault="00BC7938" w:rsidP="00384BE2">
      <w:pPr>
        <w:pStyle w:val="JuPara"/>
      </w:pPr>
      <w:r>
        <w:t>45.  Art. 41 din Convenție prevede:</w:t>
      </w:r>
    </w:p>
    <w:p w:rsidR="00BC7938" w:rsidRPr="00384BE2" w:rsidRDefault="00BC7938" w:rsidP="00384BE2">
      <w:pPr>
        <w:pStyle w:val="JuQuot"/>
      </w:pPr>
      <w:r>
        <w:t>„Dacă Curtea declară că a avut loc o încălcare a Convenției sau a protocoalelor sale și dacă dreptul intern al înaltei părți contractante nu permite decât o înlăturare incompletă a consecințelor acestei încălcări, Curtea acordă părții lezate, dacă este cazul, o reparație echitabilă.”</w:t>
      </w:r>
    </w:p>
    <w:p w:rsidR="00BC7938" w:rsidRPr="00384BE2" w:rsidRDefault="00BC7938" w:rsidP="00384BE2">
      <w:pPr>
        <w:pStyle w:val="JuPara"/>
      </w:pPr>
      <w:r>
        <w:t>46.  Reclamantul nu a formulat o cerere de acordare a unei reparații echitabile. În consecință, Curtea consideră că nu este necesar să i se acorde nicio sumă în această privință.</w:t>
      </w:r>
    </w:p>
    <w:p w:rsidR="00BC7938" w:rsidRPr="00384BE2" w:rsidRDefault="00BC7938" w:rsidP="00384BE2">
      <w:pPr>
        <w:pStyle w:val="JuHHead"/>
      </w:pPr>
      <w:r>
        <w:lastRenderedPageBreak/>
        <w:t>PENTRU ACESTE MOTIVE, CURTEA, ÎN UNANIMITATE,</w:t>
      </w:r>
    </w:p>
    <w:p w:rsidR="00BC7938" w:rsidRPr="00384BE2" w:rsidRDefault="00BC7938" w:rsidP="00384BE2">
      <w:pPr>
        <w:pStyle w:val="JuList"/>
        <w:keepNext/>
        <w:keepLines/>
        <w:ind w:left="0" w:firstLine="0"/>
      </w:pPr>
      <w:r>
        <w:rPr>
          <w:i/>
          <w:iCs/>
        </w:rPr>
        <w:t>Declară</w:t>
      </w:r>
      <w:r>
        <w:t xml:space="preserve"> cererea admisibilă;</w:t>
      </w:r>
    </w:p>
    <w:p w:rsidR="004D0EC7" w:rsidRPr="00384BE2" w:rsidRDefault="00BC7938" w:rsidP="00384BE2">
      <w:pPr>
        <w:pStyle w:val="JuList"/>
        <w:keepNext/>
        <w:keepLines/>
      </w:pPr>
      <w:r>
        <w:rPr>
          <w:i/>
          <w:iCs/>
        </w:rPr>
        <w:t>Hotărăște</w:t>
      </w:r>
      <w:r>
        <w:t xml:space="preserve"> că a fost încălcat art. 5 § 1 din Convenție.</w:t>
      </w:r>
    </w:p>
    <w:p w:rsidR="008E3A08" w:rsidRPr="00384BE2" w:rsidRDefault="007E2C8C" w:rsidP="00384BE2">
      <w:pPr>
        <w:pStyle w:val="JuParaLast"/>
      </w:pPr>
      <w:r>
        <w:t>Redactată în limba engleză și comunicată în scris la 22 octombrie 2019, în conformitate cu art. 77 § 2 și § 3 din Regulamentul Curții.</w:t>
      </w:r>
    </w:p>
    <w:p w:rsidR="002A613A" w:rsidRPr="00384BE2" w:rsidRDefault="00176A02" w:rsidP="00384BE2">
      <w:pPr>
        <w:pStyle w:val="JuSigned"/>
      </w:pPr>
      <w:r>
        <w:tab/>
        <w:t xml:space="preserve">Andrea Tamietti </w:t>
      </w:r>
      <w:r>
        <w:tab/>
      </w:r>
      <w:proofErr w:type="spellStart"/>
      <w:r>
        <w:t>Faris</w:t>
      </w:r>
      <w:proofErr w:type="spellEnd"/>
      <w:r>
        <w:t xml:space="preserve"> </w:t>
      </w:r>
      <w:proofErr w:type="spellStart"/>
      <w:r>
        <w:t>Vehabović</w:t>
      </w:r>
      <w:proofErr w:type="spellEnd"/>
      <w:r>
        <w:br/>
      </w:r>
      <w:r>
        <w:tab/>
        <w:t>Grefier adjunct</w:t>
      </w:r>
      <w:r>
        <w:tab/>
        <w:t>Președinte</w:t>
      </w:r>
    </w:p>
    <w:sectPr w:rsidR="002A613A" w:rsidRPr="00384BE2" w:rsidSect="000B7195">
      <w:headerReference w:type="even" r:id="rId17"/>
      <w:headerReference w:type="default" r:id="rId18"/>
      <w:footerReference w:type="even" r:id="rId19"/>
      <w:footerReference w:type="default" r:id="rId20"/>
      <w:footnotePr>
        <w:numRestart w:val="eachSect"/>
      </w:footnotePr>
      <w:pgSz w:w="11906" w:h="16838" w:code="9"/>
      <w:pgMar w:top="2274" w:right="2274" w:bottom="2274" w:left="2274" w:header="1701"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7B62" w:rsidRPr="00085457" w:rsidRDefault="00877B62" w:rsidP="0098410D">
      <w:r w:rsidRPr="00085457">
        <w:separator/>
      </w:r>
    </w:p>
  </w:endnote>
  <w:endnote w:type="continuationSeparator" w:id="0">
    <w:p w:rsidR="00877B62" w:rsidRPr="00085457" w:rsidRDefault="00877B62" w:rsidP="0098410D">
      <w:r w:rsidRPr="000854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7A2" w:rsidRDefault="00FF37A2">
    <w:pPr>
      <w:pStyle w:val="Footer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938" w:rsidRPr="00150BFA" w:rsidRDefault="00BC7938" w:rsidP="0020718E">
    <w:pPr>
      <w:jc w:val="center"/>
    </w:pPr>
    <w:r>
      <w:rPr>
        <w:noProof/>
        <w:lang w:eastAsia="ro-RO"/>
      </w:rPr>
      <w:drawing>
        <wp:inline distT="0" distB="0" distL="0" distR="0" wp14:anchorId="5B45EE47" wp14:editId="24D2F49C">
          <wp:extent cx="771525" cy="619125"/>
          <wp:effectExtent l="0" t="0" r="9525" b="9525"/>
          <wp:docPr id="30" name="Picture 30"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rsidR="0098410D" w:rsidRPr="00085457" w:rsidRDefault="0098410D" w:rsidP="00AF12C5">
    <w:pPr>
      <w:pStyle w:val="Footer0"/>
      <w:jc w:val="cen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7A2" w:rsidRDefault="00FF37A2">
    <w:pPr>
      <w:pStyle w:val="Footer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D3D" w:rsidRDefault="00877B62">
    <w:pPr>
      <w:pStyle w:val="Footer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D3D" w:rsidRPr="000B7195" w:rsidRDefault="00877B62" w:rsidP="00AF12C5">
    <w:pPr>
      <w:pStyle w:val="Footer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7B62" w:rsidRPr="00085457" w:rsidRDefault="00877B62" w:rsidP="0098410D">
      <w:r w:rsidRPr="00085457">
        <w:separator/>
      </w:r>
    </w:p>
  </w:footnote>
  <w:footnote w:type="continuationSeparator" w:id="0">
    <w:p w:rsidR="00877B62" w:rsidRPr="00085457" w:rsidRDefault="00877B62" w:rsidP="0098410D">
      <w:r w:rsidRPr="000854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7A2" w:rsidRDefault="00FF37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7A2" w:rsidRDefault="00FF37A2" w:rsidP="00FF37A2">
    <w:pPr>
      <w:jc w:val="right"/>
    </w:pPr>
    <w:r>
      <w:rPr>
        <w:i/>
      </w:rPr>
      <w:t>Tradus și revizuit de IER (</w:t>
    </w:r>
    <w:hyperlink r:id="rId1" w:history="1">
      <w:r>
        <w:rPr>
          <w:rStyle w:val="Hyperlink"/>
          <w:i/>
        </w:rPr>
        <w:t>http://ier.gov.ro/</w:t>
      </w:r>
    </w:hyperlink>
    <w:r>
      <w:rPr>
        <w:i/>
      </w:rPr>
      <w:t>)</w:t>
    </w:r>
    <w:bookmarkStart w:id="1" w:name="_GoBack"/>
    <w:bookmarkEnd w:id="1"/>
  </w:p>
  <w:p w:rsidR="00BC7938" w:rsidRPr="00A45145" w:rsidRDefault="00BC7938" w:rsidP="00A45145">
    <w:pPr>
      <w:jc w:val="center"/>
    </w:pPr>
    <w:r>
      <w:rPr>
        <w:noProof/>
        <w:lang w:eastAsia="ro-RO"/>
      </w:rPr>
      <w:drawing>
        <wp:inline distT="0" distB="0" distL="0" distR="0" wp14:anchorId="6C02E257" wp14:editId="45B21113">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98410D" w:rsidRPr="00085457" w:rsidRDefault="0098410D" w:rsidP="00B14793">
    <w:pPr>
      <w:jc w:val="center"/>
      <w:rPr>
        <w:sz w:val="4"/>
        <w:szCs w:val="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938" w:rsidRPr="00A45145" w:rsidRDefault="00BC7938" w:rsidP="00A45145">
    <w:pPr>
      <w:jc w:val="center"/>
    </w:pPr>
    <w:r>
      <w:rPr>
        <w:noProof/>
        <w:lang w:eastAsia="ro-RO"/>
      </w:rPr>
      <w:drawing>
        <wp:inline distT="0" distB="0" distL="0" distR="0" wp14:anchorId="4BFEBDD7" wp14:editId="06C5D1A7">
          <wp:extent cx="2962275" cy="1219200"/>
          <wp:effectExtent l="0" t="0" r="9525" b="0"/>
          <wp:docPr id="27" name="Picture 27"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98410D" w:rsidRPr="00085457" w:rsidRDefault="0098410D"/>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D3D" w:rsidRPr="004D0EC7" w:rsidRDefault="00BC7938" w:rsidP="004D0EC7">
    <w:pPr>
      <w:pStyle w:val="JuHeader"/>
    </w:pPr>
    <w:r>
      <w:rPr>
        <w:rStyle w:val="PageNumber"/>
      </w:rPr>
      <w:fldChar w:fldCharType="begin"/>
    </w:r>
    <w:r>
      <w:rPr>
        <w:rStyle w:val="PageNumber"/>
      </w:rPr>
      <w:instrText xml:space="preserve"> PAGE </w:instrText>
    </w:r>
    <w:r>
      <w:rPr>
        <w:rStyle w:val="PageNumber"/>
      </w:rPr>
      <w:fldChar w:fldCharType="separate"/>
    </w:r>
    <w:r w:rsidR="00FF37A2">
      <w:rPr>
        <w:rStyle w:val="PageNumber"/>
        <w:noProof/>
      </w:rPr>
      <w:t>10</w:t>
    </w:r>
    <w:r>
      <w:rPr>
        <w:rStyle w:val="PageNumber"/>
      </w:rPr>
      <w:fldChar w:fldCharType="end"/>
    </w:r>
    <w:r>
      <w:tab/>
      <w:t>HOTĂRÂREA BĂDOIU ÎMPOTRIVA ROMÂNIEI</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D3D" w:rsidRPr="00882CD5" w:rsidRDefault="00882CD5" w:rsidP="00882CD5">
    <w:pPr>
      <w:pStyle w:val="JuHeader"/>
    </w:pPr>
    <w:r>
      <w:tab/>
    </w:r>
    <w:r>
      <w:t>HOTĂRÂREA BĂDOIU ÎMPOTRIVA ROMÂNIEI</w:t>
    </w:r>
    <w:r>
      <w:tab/>
    </w:r>
    <w:r w:rsidR="00BC7938">
      <w:rPr>
        <w:rStyle w:val="PageNumber"/>
      </w:rPr>
      <w:fldChar w:fldCharType="begin"/>
    </w:r>
    <w:r w:rsidR="00BC7938">
      <w:rPr>
        <w:rStyle w:val="PageNumber"/>
      </w:rPr>
      <w:instrText xml:space="preserve"> PAGE </w:instrText>
    </w:r>
    <w:r w:rsidR="00BC7938">
      <w:rPr>
        <w:rStyle w:val="PageNumber"/>
      </w:rPr>
      <w:fldChar w:fldCharType="separate"/>
    </w:r>
    <w:r w:rsidR="00FF37A2">
      <w:rPr>
        <w:rStyle w:val="PageNumber"/>
        <w:noProof/>
      </w:rPr>
      <w:t>9</w:t>
    </w:r>
    <w:r w:rsidR="00BC7938">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066004F"/>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63F153D"/>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D5546B"/>
    <w:multiLevelType w:val="multilevel"/>
    <w:tmpl w:val="BD4225D2"/>
    <w:styleLink w:val="ECHRA1StyleList"/>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85E6A40"/>
    <w:multiLevelType w:val="multilevel"/>
    <w:tmpl w:val="84A2DB16"/>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lvlText w:val="(%3)"/>
      <w:lvlJc w:val="left"/>
      <w:pPr>
        <w:tabs>
          <w:tab w:val="num" w:pos="1134"/>
        </w:tabs>
        <w:ind w:left="1134" w:hanging="45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
      <w:lvlJc w:val="left"/>
      <w:pPr>
        <w:ind w:left="2517" w:hanging="345"/>
      </w:pPr>
      <w:rPr>
        <w:rFonts w:ascii="Symbol" w:hAnsi="Symbol" w:hint="default"/>
        <w:sz w:val="2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989571C"/>
    <w:multiLevelType w:val="multilevel"/>
    <w:tmpl w:val="F842BC8C"/>
    <w:styleLink w:val="ECHRA1StyleBulletedSquare"/>
    <w:lvl w:ilvl="0">
      <w:start w:val="1"/>
      <w:numFmt w:val="bullet"/>
      <w:lvlText w:val=""/>
      <w:lvlJc w:val="left"/>
      <w:pPr>
        <w:tabs>
          <w:tab w:val="num" w:pos="851"/>
        </w:tabs>
        <w:ind w:left="851" w:hanging="284"/>
      </w:pPr>
      <w:rPr>
        <w:rFonts w:ascii="Wingdings" w:hAnsi="Wingdings" w:hint="default"/>
        <w:color w:val="0072BC" w:themeColor="background1"/>
      </w:rPr>
    </w:lvl>
    <w:lvl w:ilvl="1">
      <w:start w:val="1"/>
      <w:numFmt w:val="bullet"/>
      <w:lvlText w:val=""/>
      <w:lvlJc w:val="left"/>
      <w:pPr>
        <w:tabs>
          <w:tab w:val="num" w:pos="1134"/>
        </w:tabs>
        <w:ind w:left="1135" w:hanging="284"/>
      </w:pPr>
      <w:rPr>
        <w:rFonts w:ascii="Wingdings" w:hAnsi="Wingdings" w:hint="default"/>
        <w:color w:val="0072BC" w:themeColor="background1"/>
      </w:rPr>
    </w:lvl>
    <w:lvl w:ilvl="2">
      <w:start w:val="1"/>
      <w:numFmt w:val="bullet"/>
      <w:lvlText w:val=""/>
      <w:lvlJc w:val="left"/>
      <w:pPr>
        <w:tabs>
          <w:tab w:val="num" w:pos="1418"/>
        </w:tabs>
        <w:ind w:left="1419" w:hanging="284"/>
      </w:pPr>
      <w:rPr>
        <w:rFonts w:ascii="Wingdings" w:hAnsi="Wingdings" w:hint="default"/>
        <w:color w:val="7F7F7F" w:themeColor="text1" w:themeTint="80"/>
      </w:rPr>
    </w:lvl>
    <w:lvl w:ilvl="3">
      <w:start w:val="1"/>
      <w:numFmt w:val="bullet"/>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7" w15:restartNumberingAfterBreak="0">
    <w:nsid w:val="5032512D"/>
    <w:multiLevelType w:val="multilevel"/>
    <w:tmpl w:val="9B34AC6C"/>
    <w:styleLink w:val="ECHRA1StyleNumberedList"/>
    <w:lvl w:ilvl="0">
      <w:start w:val="1"/>
      <w:numFmt w:val="decimal"/>
      <w:lvlText w:val="%1."/>
      <w:lvlJc w:val="left"/>
      <w:pPr>
        <w:tabs>
          <w:tab w:val="num" w:pos="964"/>
        </w:tabs>
        <w:ind w:left="964" w:hanging="397"/>
      </w:pPr>
      <w:rPr>
        <w:rFonts w:hint="default"/>
      </w:rPr>
    </w:lvl>
    <w:lvl w:ilvl="1">
      <w:start w:val="1"/>
      <w:numFmt w:val="lowerLetter"/>
      <w:lvlText w:val="%2."/>
      <w:lvlJc w:val="left"/>
      <w:pPr>
        <w:tabs>
          <w:tab w:val="num" w:pos="1361"/>
        </w:tabs>
        <w:ind w:left="1361" w:hanging="397"/>
      </w:pPr>
      <w:rPr>
        <w:rFonts w:hint="default"/>
      </w:rPr>
    </w:lvl>
    <w:lvl w:ilvl="2">
      <w:start w:val="1"/>
      <w:numFmt w:val="lowerRoman"/>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8" w15:restartNumberingAfterBreak="0">
    <w:nsid w:val="56B9429C"/>
    <w:multiLevelType w:val="multilevel"/>
    <w:tmpl w:val="B7886602"/>
    <w:lvl w:ilvl="0">
      <w:start w:val="1"/>
      <w:numFmt w:val="none"/>
      <w:pStyle w:val="JuHHead"/>
      <w:suff w:val="nothing"/>
      <w:lvlText w:val=""/>
      <w:lvlJc w:val="left"/>
      <w:pPr>
        <w:ind w:left="0" w:firstLine="0"/>
      </w:pPr>
      <w:rPr>
        <w:rFonts w:hint="default"/>
      </w:rPr>
    </w:lvl>
    <w:lvl w:ilvl="1">
      <w:start w:val="1"/>
      <w:numFmt w:val="upperRoman"/>
      <w:pStyle w:val="JuHIRoman"/>
      <w:suff w:val="space"/>
      <w:lvlText w:val="%2."/>
      <w:lvlJc w:val="left"/>
      <w:pPr>
        <w:ind w:left="357" w:hanging="357"/>
      </w:pPr>
      <w:rPr>
        <w:rFonts w:hint="default"/>
        <w:sz w:val="24"/>
      </w:rPr>
    </w:lvl>
    <w:lvl w:ilvl="2">
      <w:start w:val="1"/>
      <w:numFmt w:val="upperLetter"/>
      <w:pStyle w:val="JuHA"/>
      <w:lvlText w:val="%3."/>
      <w:lvlJc w:val="left"/>
      <w:pPr>
        <w:ind w:left="584" w:hanging="352"/>
      </w:pPr>
      <w:rPr>
        <w:rFonts w:hint="default"/>
      </w:rPr>
    </w:lvl>
    <w:lvl w:ilvl="3">
      <w:start w:val="1"/>
      <w:numFmt w:val="decimal"/>
      <w:pStyle w:val="JuH1"/>
      <w:lvlText w:val="%4."/>
      <w:lvlJc w:val="left"/>
      <w:pPr>
        <w:ind w:left="731" w:hanging="300"/>
      </w:pPr>
      <w:rPr>
        <w:rFonts w:hint="default"/>
      </w:rPr>
    </w:lvl>
    <w:lvl w:ilvl="4">
      <w:start w:val="1"/>
      <w:numFmt w:val="lowerLetter"/>
      <w:pStyle w:val="JuHa0"/>
      <w:lvlText w:val="(%5)"/>
      <w:lvlJc w:val="left"/>
      <w:pPr>
        <w:ind w:left="975" w:hanging="340"/>
      </w:pPr>
      <w:rPr>
        <w:rFonts w:hint="default"/>
      </w:rPr>
    </w:lvl>
    <w:lvl w:ilvl="5">
      <w:start w:val="1"/>
      <w:numFmt w:val="lowerRoman"/>
      <w:pStyle w:val="JuHi"/>
      <w:suff w:val="space"/>
      <w:lvlText w:val="(%6)"/>
      <w:lvlJc w:val="left"/>
      <w:pPr>
        <w:ind w:left="1191" w:hanging="358"/>
      </w:pPr>
      <w:rPr>
        <w:rFonts w:hint="default"/>
      </w:rPr>
    </w:lvl>
    <w:lvl w:ilvl="6">
      <w:start w:val="1"/>
      <w:numFmt w:val="lowerLetter"/>
      <w:pStyle w:val="JuHalpha"/>
      <w:lvlText w:val="(%7)"/>
      <w:lvlJc w:val="left"/>
      <w:pPr>
        <w:ind w:left="1372" w:hanging="334"/>
      </w:pPr>
      <w:rPr>
        <w:rFonts w:ascii="Symbol" w:hAnsi="Symbol" w:hint="default"/>
        <w:sz w:val="20"/>
      </w:rPr>
    </w:lvl>
    <w:lvl w:ilvl="7">
      <w:start w:val="1"/>
      <w:numFmt w:val="bullet"/>
      <w:pStyle w:val="JuH"/>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abstractNum w:abstractNumId="19"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20" w15:restartNumberingAfterBreak="0">
    <w:nsid w:val="76903243"/>
    <w:multiLevelType w:val="multilevel"/>
    <w:tmpl w:val="E884A926"/>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8"/>
  </w:num>
  <w:num w:numId="2">
    <w:abstractNumId w:val="14"/>
  </w:num>
  <w:num w:numId="3">
    <w:abstractNumId w:val="15"/>
  </w:num>
  <w:num w:numId="4">
    <w:abstractNumId w:val="12"/>
  </w:num>
  <w:num w:numId="5">
    <w:abstractNumId w:val="11"/>
  </w:num>
  <w:num w:numId="6">
    <w:abstractNumId w:val="16"/>
  </w:num>
  <w:num w:numId="7">
    <w:abstractNumId w:val="13"/>
  </w:num>
  <w:num w:numId="8">
    <w:abstractNumId w:val="17"/>
  </w:num>
  <w:num w:numId="9">
    <w:abstractNumId w:val="1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0"/>
  </w:num>
  <w:num w:numId="20">
    <w:abstractNumId w:val="9"/>
  </w:num>
  <w:num w:numId="21">
    <w:abstractNumId w:val="20"/>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EMM" w:val="0"/>
    <w:docVar w:name="NBEMMDOC" w:val="0"/>
  </w:docVars>
  <w:rsids>
    <w:rsidRoot w:val="00BC7938"/>
    <w:rsid w:val="000041F8"/>
    <w:rsid w:val="000042A8"/>
    <w:rsid w:val="00004308"/>
    <w:rsid w:val="00005BF0"/>
    <w:rsid w:val="00007154"/>
    <w:rsid w:val="000103AE"/>
    <w:rsid w:val="00011D69"/>
    <w:rsid w:val="00012AD3"/>
    <w:rsid w:val="00015C2D"/>
    <w:rsid w:val="00015F00"/>
    <w:rsid w:val="00022C1D"/>
    <w:rsid w:val="00034987"/>
    <w:rsid w:val="00041560"/>
    <w:rsid w:val="000602DF"/>
    <w:rsid w:val="00061B05"/>
    <w:rsid w:val="000632D5"/>
    <w:rsid w:val="000644EE"/>
    <w:rsid w:val="00085457"/>
    <w:rsid w:val="000925AD"/>
    <w:rsid w:val="00096FE1"/>
    <w:rsid w:val="00097A62"/>
    <w:rsid w:val="000A24EB"/>
    <w:rsid w:val="000B686A"/>
    <w:rsid w:val="000B6923"/>
    <w:rsid w:val="000B7195"/>
    <w:rsid w:val="000C5F3C"/>
    <w:rsid w:val="000C6DCC"/>
    <w:rsid w:val="000D0019"/>
    <w:rsid w:val="000D47AA"/>
    <w:rsid w:val="000D721F"/>
    <w:rsid w:val="000E069B"/>
    <w:rsid w:val="000E0E82"/>
    <w:rsid w:val="000E1DC5"/>
    <w:rsid w:val="000E223F"/>
    <w:rsid w:val="000E46B8"/>
    <w:rsid w:val="000E7D45"/>
    <w:rsid w:val="000F7851"/>
    <w:rsid w:val="00101505"/>
    <w:rsid w:val="00104E23"/>
    <w:rsid w:val="00110DA8"/>
    <w:rsid w:val="00111B0C"/>
    <w:rsid w:val="00120D6C"/>
    <w:rsid w:val="001257EC"/>
    <w:rsid w:val="00133D33"/>
    <w:rsid w:val="00134B6A"/>
    <w:rsid w:val="00134D64"/>
    <w:rsid w:val="00135A30"/>
    <w:rsid w:val="0013612C"/>
    <w:rsid w:val="00137FF6"/>
    <w:rsid w:val="00141650"/>
    <w:rsid w:val="001427FA"/>
    <w:rsid w:val="001561B6"/>
    <w:rsid w:val="00156E83"/>
    <w:rsid w:val="0016254F"/>
    <w:rsid w:val="00162A12"/>
    <w:rsid w:val="00166530"/>
    <w:rsid w:val="00170027"/>
    <w:rsid w:val="00176A02"/>
    <w:rsid w:val="001832BD"/>
    <w:rsid w:val="001943B5"/>
    <w:rsid w:val="00195134"/>
    <w:rsid w:val="001A145B"/>
    <w:rsid w:val="001A674C"/>
    <w:rsid w:val="001B3B24"/>
    <w:rsid w:val="001C055B"/>
    <w:rsid w:val="001C0F98"/>
    <w:rsid w:val="001C2A42"/>
    <w:rsid w:val="001D63ED"/>
    <w:rsid w:val="001D7348"/>
    <w:rsid w:val="001E035B"/>
    <w:rsid w:val="001E0961"/>
    <w:rsid w:val="001E3EAE"/>
    <w:rsid w:val="001E6857"/>
    <w:rsid w:val="001E6F32"/>
    <w:rsid w:val="001F2145"/>
    <w:rsid w:val="001F6262"/>
    <w:rsid w:val="001F67B0"/>
    <w:rsid w:val="001F7B3D"/>
    <w:rsid w:val="0020335A"/>
    <w:rsid w:val="002052BC"/>
    <w:rsid w:val="00205F9F"/>
    <w:rsid w:val="00210338"/>
    <w:rsid w:val="002115FC"/>
    <w:rsid w:val="00211ED9"/>
    <w:rsid w:val="0021423C"/>
    <w:rsid w:val="00230D00"/>
    <w:rsid w:val="00231DF7"/>
    <w:rsid w:val="00231FD1"/>
    <w:rsid w:val="002339E0"/>
    <w:rsid w:val="00233CF8"/>
    <w:rsid w:val="0023575D"/>
    <w:rsid w:val="00237148"/>
    <w:rsid w:val="0024222D"/>
    <w:rsid w:val="002422B6"/>
    <w:rsid w:val="00244B0E"/>
    <w:rsid w:val="00244F6C"/>
    <w:rsid w:val="00246B89"/>
    <w:rsid w:val="00252C4E"/>
    <w:rsid w:val="002532C5"/>
    <w:rsid w:val="00254DF2"/>
    <w:rsid w:val="00260C03"/>
    <w:rsid w:val="0026540E"/>
    <w:rsid w:val="00275123"/>
    <w:rsid w:val="00282240"/>
    <w:rsid w:val="00287AD5"/>
    <w:rsid w:val="002934D0"/>
    <w:rsid w:val="00293676"/>
    <w:rsid w:val="002948AD"/>
    <w:rsid w:val="002A01CC"/>
    <w:rsid w:val="002A613A"/>
    <w:rsid w:val="002A61B1"/>
    <w:rsid w:val="002A663C"/>
    <w:rsid w:val="002B444B"/>
    <w:rsid w:val="002B5887"/>
    <w:rsid w:val="002C0E27"/>
    <w:rsid w:val="002C3040"/>
    <w:rsid w:val="002C4433"/>
    <w:rsid w:val="002C7826"/>
    <w:rsid w:val="002D022D"/>
    <w:rsid w:val="002D24BB"/>
    <w:rsid w:val="002D2FA7"/>
    <w:rsid w:val="002D47BA"/>
    <w:rsid w:val="002D77B9"/>
    <w:rsid w:val="002E46DA"/>
    <w:rsid w:val="002F2AF7"/>
    <w:rsid w:val="002F69C4"/>
    <w:rsid w:val="002F7D9E"/>
    <w:rsid w:val="002F7E1C"/>
    <w:rsid w:val="00301A75"/>
    <w:rsid w:val="00302F70"/>
    <w:rsid w:val="0030336F"/>
    <w:rsid w:val="0030375E"/>
    <w:rsid w:val="00312A30"/>
    <w:rsid w:val="00320F72"/>
    <w:rsid w:val="0032463E"/>
    <w:rsid w:val="00326224"/>
    <w:rsid w:val="00337EE4"/>
    <w:rsid w:val="00340FFD"/>
    <w:rsid w:val="00345C41"/>
    <w:rsid w:val="003506B1"/>
    <w:rsid w:val="00355877"/>
    <w:rsid w:val="00356AC7"/>
    <w:rsid w:val="003609FA"/>
    <w:rsid w:val="003710C8"/>
    <w:rsid w:val="003750BE"/>
    <w:rsid w:val="00384BE2"/>
    <w:rsid w:val="00385A36"/>
    <w:rsid w:val="00385F3D"/>
    <w:rsid w:val="00387B9D"/>
    <w:rsid w:val="00390294"/>
    <w:rsid w:val="0039364F"/>
    <w:rsid w:val="00396686"/>
    <w:rsid w:val="0039778E"/>
    <w:rsid w:val="003B4941"/>
    <w:rsid w:val="003C5714"/>
    <w:rsid w:val="003C6B9F"/>
    <w:rsid w:val="003C6E2A"/>
    <w:rsid w:val="003D0299"/>
    <w:rsid w:val="003E6D80"/>
    <w:rsid w:val="003F05FA"/>
    <w:rsid w:val="003F244A"/>
    <w:rsid w:val="003F2517"/>
    <w:rsid w:val="003F30B8"/>
    <w:rsid w:val="003F4C45"/>
    <w:rsid w:val="003F5F7B"/>
    <w:rsid w:val="003F7D64"/>
    <w:rsid w:val="0040433A"/>
    <w:rsid w:val="00414300"/>
    <w:rsid w:val="00414F27"/>
    <w:rsid w:val="00420703"/>
    <w:rsid w:val="00425C67"/>
    <w:rsid w:val="00427E7A"/>
    <w:rsid w:val="004355AC"/>
    <w:rsid w:val="00436C49"/>
    <w:rsid w:val="00443D98"/>
    <w:rsid w:val="00445366"/>
    <w:rsid w:val="00447F5B"/>
    <w:rsid w:val="00461DB0"/>
    <w:rsid w:val="00463926"/>
    <w:rsid w:val="00464C9A"/>
    <w:rsid w:val="00474F3D"/>
    <w:rsid w:val="00477E3A"/>
    <w:rsid w:val="00483E5F"/>
    <w:rsid w:val="00485FF9"/>
    <w:rsid w:val="004907F0"/>
    <w:rsid w:val="0049140B"/>
    <w:rsid w:val="004923A5"/>
    <w:rsid w:val="0049310E"/>
    <w:rsid w:val="00496BFB"/>
    <w:rsid w:val="004A15C7"/>
    <w:rsid w:val="004B013B"/>
    <w:rsid w:val="004B112B"/>
    <w:rsid w:val="004B444E"/>
    <w:rsid w:val="004C01E4"/>
    <w:rsid w:val="004C086C"/>
    <w:rsid w:val="004C1F56"/>
    <w:rsid w:val="004C27BC"/>
    <w:rsid w:val="004C6621"/>
    <w:rsid w:val="004D0EC7"/>
    <w:rsid w:val="004D15F3"/>
    <w:rsid w:val="004D4EF1"/>
    <w:rsid w:val="004D5311"/>
    <w:rsid w:val="004D5DCC"/>
    <w:rsid w:val="004D7E45"/>
    <w:rsid w:val="004F10AF"/>
    <w:rsid w:val="004F11A4"/>
    <w:rsid w:val="004F2389"/>
    <w:rsid w:val="004F304D"/>
    <w:rsid w:val="004F61BE"/>
    <w:rsid w:val="004F66B1"/>
    <w:rsid w:val="00511C07"/>
    <w:rsid w:val="005125CB"/>
    <w:rsid w:val="00512EC4"/>
    <w:rsid w:val="0051725A"/>
    <w:rsid w:val="005173A6"/>
    <w:rsid w:val="00520354"/>
    <w:rsid w:val="00520BAA"/>
    <w:rsid w:val="005217D8"/>
    <w:rsid w:val="00525208"/>
    <w:rsid w:val="005257A5"/>
    <w:rsid w:val="005264C0"/>
    <w:rsid w:val="00526A8A"/>
    <w:rsid w:val="00530FE6"/>
    <w:rsid w:val="00531DF2"/>
    <w:rsid w:val="0053315C"/>
    <w:rsid w:val="00537476"/>
    <w:rsid w:val="005442EE"/>
    <w:rsid w:val="00545DA6"/>
    <w:rsid w:val="00547353"/>
    <w:rsid w:val="005474E7"/>
    <w:rsid w:val="005512A3"/>
    <w:rsid w:val="005578CE"/>
    <w:rsid w:val="00562781"/>
    <w:rsid w:val="00562B6C"/>
    <w:rsid w:val="0057271C"/>
    <w:rsid w:val="00572845"/>
    <w:rsid w:val="00575415"/>
    <w:rsid w:val="005879A2"/>
    <w:rsid w:val="00592772"/>
    <w:rsid w:val="0059574A"/>
    <w:rsid w:val="005A1B9B"/>
    <w:rsid w:val="005A2E79"/>
    <w:rsid w:val="005A6751"/>
    <w:rsid w:val="005B092E"/>
    <w:rsid w:val="005B152C"/>
    <w:rsid w:val="005B1EE0"/>
    <w:rsid w:val="005B2B24"/>
    <w:rsid w:val="005B4425"/>
    <w:rsid w:val="005B4B94"/>
    <w:rsid w:val="005C3EE8"/>
    <w:rsid w:val="005D34F9"/>
    <w:rsid w:val="005D4190"/>
    <w:rsid w:val="005D67A3"/>
    <w:rsid w:val="005E2988"/>
    <w:rsid w:val="005E3085"/>
    <w:rsid w:val="005F51E1"/>
    <w:rsid w:val="00611C80"/>
    <w:rsid w:val="00620692"/>
    <w:rsid w:val="006242CA"/>
    <w:rsid w:val="00627507"/>
    <w:rsid w:val="00633717"/>
    <w:rsid w:val="006344E1"/>
    <w:rsid w:val="00643524"/>
    <w:rsid w:val="0064393B"/>
    <w:rsid w:val="006545C4"/>
    <w:rsid w:val="00661971"/>
    <w:rsid w:val="00661CE8"/>
    <w:rsid w:val="006623D9"/>
    <w:rsid w:val="006642A5"/>
    <w:rsid w:val="0066550C"/>
    <w:rsid w:val="00665BD2"/>
    <w:rsid w:val="006716F2"/>
    <w:rsid w:val="00682BF2"/>
    <w:rsid w:val="0068573E"/>
    <w:rsid w:val="006859CE"/>
    <w:rsid w:val="00691270"/>
    <w:rsid w:val="00694BA8"/>
    <w:rsid w:val="006A037C"/>
    <w:rsid w:val="006A36F4"/>
    <w:rsid w:val="006A406F"/>
    <w:rsid w:val="006A5D3A"/>
    <w:rsid w:val="006C23D4"/>
    <w:rsid w:val="006C7BB0"/>
    <w:rsid w:val="006D3237"/>
    <w:rsid w:val="006E2E37"/>
    <w:rsid w:val="006E3CF1"/>
    <w:rsid w:val="006E7E80"/>
    <w:rsid w:val="006F48CA"/>
    <w:rsid w:val="006F64DD"/>
    <w:rsid w:val="006F712D"/>
    <w:rsid w:val="00715127"/>
    <w:rsid w:val="00715E8E"/>
    <w:rsid w:val="00723580"/>
    <w:rsid w:val="00723755"/>
    <w:rsid w:val="0073136C"/>
    <w:rsid w:val="00731F0F"/>
    <w:rsid w:val="00733250"/>
    <w:rsid w:val="00741404"/>
    <w:rsid w:val="007449E5"/>
    <w:rsid w:val="0074750E"/>
    <w:rsid w:val="00747FF0"/>
    <w:rsid w:val="00763602"/>
    <w:rsid w:val="00764D4E"/>
    <w:rsid w:val="00765A1F"/>
    <w:rsid w:val="00775B6D"/>
    <w:rsid w:val="00776D68"/>
    <w:rsid w:val="0078323E"/>
    <w:rsid w:val="007850EE"/>
    <w:rsid w:val="00785B95"/>
    <w:rsid w:val="00790E96"/>
    <w:rsid w:val="00793366"/>
    <w:rsid w:val="007A716F"/>
    <w:rsid w:val="007B270A"/>
    <w:rsid w:val="007B4182"/>
    <w:rsid w:val="007C0695"/>
    <w:rsid w:val="007C419A"/>
    <w:rsid w:val="007C4CC8"/>
    <w:rsid w:val="007C5426"/>
    <w:rsid w:val="007C5798"/>
    <w:rsid w:val="007D1ECD"/>
    <w:rsid w:val="007D4832"/>
    <w:rsid w:val="007E21B2"/>
    <w:rsid w:val="007E2C4E"/>
    <w:rsid w:val="007E2C8C"/>
    <w:rsid w:val="007E51BA"/>
    <w:rsid w:val="007E73D7"/>
    <w:rsid w:val="007F1905"/>
    <w:rsid w:val="007F27E4"/>
    <w:rsid w:val="007F3437"/>
    <w:rsid w:val="00802C64"/>
    <w:rsid w:val="00805E52"/>
    <w:rsid w:val="008061D0"/>
    <w:rsid w:val="00810B38"/>
    <w:rsid w:val="008204C7"/>
    <w:rsid w:val="00820992"/>
    <w:rsid w:val="00823602"/>
    <w:rsid w:val="008255F5"/>
    <w:rsid w:val="0083014E"/>
    <w:rsid w:val="0083214A"/>
    <w:rsid w:val="00834220"/>
    <w:rsid w:val="00845723"/>
    <w:rsid w:val="008519E7"/>
    <w:rsid w:val="00851EF9"/>
    <w:rsid w:val="008577FD"/>
    <w:rsid w:val="00860B03"/>
    <w:rsid w:val="0086497A"/>
    <w:rsid w:val="00867066"/>
    <w:rsid w:val="008713A1"/>
    <w:rsid w:val="00872584"/>
    <w:rsid w:val="008754AB"/>
    <w:rsid w:val="00877B62"/>
    <w:rsid w:val="0088060C"/>
    <w:rsid w:val="00882CD5"/>
    <w:rsid w:val="00883151"/>
    <w:rsid w:val="00893576"/>
    <w:rsid w:val="00893E73"/>
    <w:rsid w:val="008B02DC"/>
    <w:rsid w:val="008B4A8D"/>
    <w:rsid w:val="008B57CE"/>
    <w:rsid w:val="008C26DE"/>
    <w:rsid w:val="008D2225"/>
    <w:rsid w:val="008D4752"/>
    <w:rsid w:val="008D5A13"/>
    <w:rsid w:val="008E271C"/>
    <w:rsid w:val="008E3A08"/>
    <w:rsid w:val="008E418E"/>
    <w:rsid w:val="008E5BC6"/>
    <w:rsid w:val="008E6217"/>
    <w:rsid w:val="008E6A25"/>
    <w:rsid w:val="008F2554"/>
    <w:rsid w:val="008F3AEC"/>
    <w:rsid w:val="008F4D80"/>
    <w:rsid w:val="008F5193"/>
    <w:rsid w:val="008F6B36"/>
    <w:rsid w:val="009013A7"/>
    <w:rsid w:val="009017FB"/>
    <w:rsid w:val="009017FC"/>
    <w:rsid w:val="0090506B"/>
    <w:rsid w:val="009050C9"/>
    <w:rsid w:val="009066FC"/>
    <w:rsid w:val="009140A3"/>
    <w:rsid w:val="009144A2"/>
    <w:rsid w:val="0091510C"/>
    <w:rsid w:val="009259AC"/>
    <w:rsid w:val="00926F38"/>
    <w:rsid w:val="00927BEB"/>
    <w:rsid w:val="00934301"/>
    <w:rsid w:val="00936CD1"/>
    <w:rsid w:val="00941747"/>
    <w:rsid w:val="00941EFB"/>
    <w:rsid w:val="00947AFB"/>
    <w:rsid w:val="00951AA3"/>
    <w:rsid w:val="00951D7D"/>
    <w:rsid w:val="00956D0C"/>
    <w:rsid w:val="009630C7"/>
    <w:rsid w:val="00972B55"/>
    <w:rsid w:val="009743B7"/>
    <w:rsid w:val="0098228B"/>
    <w:rsid w:val="009828DA"/>
    <w:rsid w:val="0098410D"/>
    <w:rsid w:val="00985BAB"/>
    <w:rsid w:val="00986B3C"/>
    <w:rsid w:val="009B1B5F"/>
    <w:rsid w:val="009B6673"/>
    <w:rsid w:val="009C191B"/>
    <w:rsid w:val="009C2BD6"/>
    <w:rsid w:val="009E1F32"/>
    <w:rsid w:val="009E2CC2"/>
    <w:rsid w:val="009E776C"/>
    <w:rsid w:val="009F4C8F"/>
    <w:rsid w:val="00A05588"/>
    <w:rsid w:val="00A1726E"/>
    <w:rsid w:val="00A204CF"/>
    <w:rsid w:val="00A21D2B"/>
    <w:rsid w:val="00A23D49"/>
    <w:rsid w:val="00A27004"/>
    <w:rsid w:val="00A308CE"/>
    <w:rsid w:val="00A30C29"/>
    <w:rsid w:val="00A34DD6"/>
    <w:rsid w:val="00A36819"/>
    <w:rsid w:val="00A36989"/>
    <w:rsid w:val="00A43628"/>
    <w:rsid w:val="00A51D0F"/>
    <w:rsid w:val="00A54192"/>
    <w:rsid w:val="00A57147"/>
    <w:rsid w:val="00A6035E"/>
    <w:rsid w:val="00A6144C"/>
    <w:rsid w:val="00A66617"/>
    <w:rsid w:val="00A671F8"/>
    <w:rsid w:val="00A673A4"/>
    <w:rsid w:val="00A724AE"/>
    <w:rsid w:val="00A73329"/>
    <w:rsid w:val="00A82359"/>
    <w:rsid w:val="00A865D2"/>
    <w:rsid w:val="00A90BCD"/>
    <w:rsid w:val="00A94C20"/>
    <w:rsid w:val="00AA1B09"/>
    <w:rsid w:val="00AA227F"/>
    <w:rsid w:val="00AA3BC7"/>
    <w:rsid w:val="00AA754A"/>
    <w:rsid w:val="00AB099E"/>
    <w:rsid w:val="00AB4328"/>
    <w:rsid w:val="00AC4CD4"/>
    <w:rsid w:val="00AE0A2E"/>
    <w:rsid w:val="00AE354C"/>
    <w:rsid w:val="00AF4B07"/>
    <w:rsid w:val="00AF6186"/>
    <w:rsid w:val="00AF7A3A"/>
    <w:rsid w:val="00B02587"/>
    <w:rsid w:val="00B160DB"/>
    <w:rsid w:val="00B20836"/>
    <w:rsid w:val="00B235BB"/>
    <w:rsid w:val="00B27A44"/>
    <w:rsid w:val="00B30BBF"/>
    <w:rsid w:val="00B33C03"/>
    <w:rsid w:val="00B4421F"/>
    <w:rsid w:val="00B44E56"/>
    <w:rsid w:val="00B45917"/>
    <w:rsid w:val="00B46543"/>
    <w:rsid w:val="00B4712E"/>
    <w:rsid w:val="00B47D33"/>
    <w:rsid w:val="00B52BE0"/>
    <w:rsid w:val="00B54133"/>
    <w:rsid w:val="00B701ED"/>
    <w:rsid w:val="00B748F7"/>
    <w:rsid w:val="00B8086C"/>
    <w:rsid w:val="00B81C58"/>
    <w:rsid w:val="00B861B4"/>
    <w:rsid w:val="00B86DFE"/>
    <w:rsid w:val="00B90990"/>
    <w:rsid w:val="00B922FF"/>
    <w:rsid w:val="00B9281E"/>
    <w:rsid w:val="00B93925"/>
    <w:rsid w:val="00B95187"/>
    <w:rsid w:val="00BA2D55"/>
    <w:rsid w:val="00BA71B1"/>
    <w:rsid w:val="00BB0637"/>
    <w:rsid w:val="00BB345F"/>
    <w:rsid w:val="00BB68EA"/>
    <w:rsid w:val="00BC04FB"/>
    <w:rsid w:val="00BC0B99"/>
    <w:rsid w:val="00BC1C27"/>
    <w:rsid w:val="00BC6BBF"/>
    <w:rsid w:val="00BC7938"/>
    <w:rsid w:val="00BD1572"/>
    <w:rsid w:val="00BE14E3"/>
    <w:rsid w:val="00BE3774"/>
    <w:rsid w:val="00BE41E5"/>
    <w:rsid w:val="00BF118F"/>
    <w:rsid w:val="00BF4109"/>
    <w:rsid w:val="00BF4CC3"/>
    <w:rsid w:val="00C054C7"/>
    <w:rsid w:val="00C057B5"/>
    <w:rsid w:val="00C115C3"/>
    <w:rsid w:val="00C15547"/>
    <w:rsid w:val="00C22687"/>
    <w:rsid w:val="00C32E4D"/>
    <w:rsid w:val="00C333A0"/>
    <w:rsid w:val="00C36A81"/>
    <w:rsid w:val="00C41974"/>
    <w:rsid w:val="00C44A2C"/>
    <w:rsid w:val="00C477F7"/>
    <w:rsid w:val="00C509A6"/>
    <w:rsid w:val="00C53F4A"/>
    <w:rsid w:val="00C54125"/>
    <w:rsid w:val="00C55B54"/>
    <w:rsid w:val="00C6098E"/>
    <w:rsid w:val="00C6152C"/>
    <w:rsid w:val="00C74810"/>
    <w:rsid w:val="00C90D68"/>
    <w:rsid w:val="00C939FE"/>
    <w:rsid w:val="00CA4BDA"/>
    <w:rsid w:val="00CB13E3"/>
    <w:rsid w:val="00CB1F66"/>
    <w:rsid w:val="00CB232C"/>
    <w:rsid w:val="00CB2951"/>
    <w:rsid w:val="00CB4277"/>
    <w:rsid w:val="00CC5067"/>
    <w:rsid w:val="00CD11D3"/>
    <w:rsid w:val="00CD282B"/>
    <w:rsid w:val="00CD4C35"/>
    <w:rsid w:val="00CD7369"/>
    <w:rsid w:val="00CE0B0E"/>
    <w:rsid w:val="00CE3831"/>
    <w:rsid w:val="00CF2397"/>
    <w:rsid w:val="00D00ABB"/>
    <w:rsid w:val="00D02EEC"/>
    <w:rsid w:val="00D03551"/>
    <w:rsid w:val="00D06A63"/>
    <w:rsid w:val="00D07E0E"/>
    <w:rsid w:val="00D11478"/>
    <w:rsid w:val="00D15ED0"/>
    <w:rsid w:val="00D164BF"/>
    <w:rsid w:val="00D21B3E"/>
    <w:rsid w:val="00D21FED"/>
    <w:rsid w:val="00D23048"/>
    <w:rsid w:val="00D24251"/>
    <w:rsid w:val="00D26E72"/>
    <w:rsid w:val="00D343E2"/>
    <w:rsid w:val="00D361A2"/>
    <w:rsid w:val="00D44C2E"/>
    <w:rsid w:val="00D45414"/>
    <w:rsid w:val="00D50A0A"/>
    <w:rsid w:val="00D566BD"/>
    <w:rsid w:val="00D57A4D"/>
    <w:rsid w:val="00D60AA7"/>
    <w:rsid w:val="00D6435F"/>
    <w:rsid w:val="00D70641"/>
    <w:rsid w:val="00D74888"/>
    <w:rsid w:val="00D75E28"/>
    <w:rsid w:val="00D772C2"/>
    <w:rsid w:val="00D8008E"/>
    <w:rsid w:val="00D82C45"/>
    <w:rsid w:val="00D908A8"/>
    <w:rsid w:val="00D977B6"/>
    <w:rsid w:val="00DA1223"/>
    <w:rsid w:val="00DA4A31"/>
    <w:rsid w:val="00DA7B04"/>
    <w:rsid w:val="00DB36C2"/>
    <w:rsid w:val="00DC169B"/>
    <w:rsid w:val="00DC2216"/>
    <w:rsid w:val="00DC2AB9"/>
    <w:rsid w:val="00DC63F0"/>
    <w:rsid w:val="00DD37EA"/>
    <w:rsid w:val="00DD6EE5"/>
    <w:rsid w:val="00DE386C"/>
    <w:rsid w:val="00DE4D35"/>
    <w:rsid w:val="00DF098B"/>
    <w:rsid w:val="00DF11C4"/>
    <w:rsid w:val="00DF210C"/>
    <w:rsid w:val="00DF4B6A"/>
    <w:rsid w:val="00E02C09"/>
    <w:rsid w:val="00E04D59"/>
    <w:rsid w:val="00E07DA1"/>
    <w:rsid w:val="00E123CB"/>
    <w:rsid w:val="00E13B09"/>
    <w:rsid w:val="00E20E13"/>
    <w:rsid w:val="00E21DBC"/>
    <w:rsid w:val="00E275D7"/>
    <w:rsid w:val="00E27DBE"/>
    <w:rsid w:val="00E32AB1"/>
    <w:rsid w:val="00E36C71"/>
    <w:rsid w:val="00E40404"/>
    <w:rsid w:val="00E4126A"/>
    <w:rsid w:val="00E42A06"/>
    <w:rsid w:val="00E459C6"/>
    <w:rsid w:val="00E47589"/>
    <w:rsid w:val="00E63EC7"/>
    <w:rsid w:val="00E64915"/>
    <w:rsid w:val="00E64D3A"/>
    <w:rsid w:val="00E661D4"/>
    <w:rsid w:val="00E70091"/>
    <w:rsid w:val="00E70D2E"/>
    <w:rsid w:val="00E720F5"/>
    <w:rsid w:val="00E76D47"/>
    <w:rsid w:val="00E827BC"/>
    <w:rsid w:val="00E849F7"/>
    <w:rsid w:val="00E90302"/>
    <w:rsid w:val="00E95C1E"/>
    <w:rsid w:val="00E97396"/>
    <w:rsid w:val="00EA185E"/>
    <w:rsid w:val="00EA592A"/>
    <w:rsid w:val="00EB14E4"/>
    <w:rsid w:val="00EB32A5"/>
    <w:rsid w:val="00EB34ED"/>
    <w:rsid w:val="00EB447C"/>
    <w:rsid w:val="00EB7BE0"/>
    <w:rsid w:val="00EC315E"/>
    <w:rsid w:val="00ED077C"/>
    <w:rsid w:val="00ED10A9"/>
    <w:rsid w:val="00ED1190"/>
    <w:rsid w:val="00ED6544"/>
    <w:rsid w:val="00EE0277"/>
    <w:rsid w:val="00EE2899"/>
    <w:rsid w:val="00EE3E00"/>
    <w:rsid w:val="00EE5DD2"/>
    <w:rsid w:val="00EF3DB4"/>
    <w:rsid w:val="00F00A79"/>
    <w:rsid w:val="00F00E86"/>
    <w:rsid w:val="00F07C1E"/>
    <w:rsid w:val="00F105DB"/>
    <w:rsid w:val="00F132BC"/>
    <w:rsid w:val="00F13D80"/>
    <w:rsid w:val="00F15B4D"/>
    <w:rsid w:val="00F16AAA"/>
    <w:rsid w:val="00F1709C"/>
    <w:rsid w:val="00F21161"/>
    <w:rsid w:val="00F218EF"/>
    <w:rsid w:val="00F21BC7"/>
    <w:rsid w:val="00F266A2"/>
    <w:rsid w:val="00F32269"/>
    <w:rsid w:val="00F35B7A"/>
    <w:rsid w:val="00F56A6F"/>
    <w:rsid w:val="00F5709C"/>
    <w:rsid w:val="00F60B85"/>
    <w:rsid w:val="00F64EF1"/>
    <w:rsid w:val="00F7349B"/>
    <w:rsid w:val="00F8765F"/>
    <w:rsid w:val="00F90767"/>
    <w:rsid w:val="00F92D72"/>
    <w:rsid w:val="00FA1637"/>
    <w:rsid w:val="00FA685B"/>
    <w:rsid w:val="00FB0C01"/>
    <w:rsid w:val="00FB5934"/>
    <w:rsid w:val="00FC18F2"/>
    <w:rsid w:val="00FC2A17"/>
    <w:rsid w:val="00FC38CF"/>
    <w:rsid w:val="00FC39E5"/>
    <w:rsid w:val="00FC3A78"/>
    <w:rsid w:val="00FD1005"/>
    <w:rsid w:val="00FD6C75"/>
    <w:rsid w:val="00FD7972"/>
    <w:rsid w:val="00FE71B3"/>
    <w:rsid w:val="00FF37A2"/>
    <w:rsid w:val="00FF42C5"/>
    <w:rsid w:val="00FF7F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12FB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iPriority="57" w:unhideWhenUsed="1"/>
    <w:lsdException w:name="footer" w:semiHidden="1" w:uiPriority="57"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51725A"/>
    <w:rPr>
      <w:rFonts w:eastAsiaTheme="minorEastAsia"/>
      <w:sz w:val="24"/>
    </w:rPr>
  </w:style>
  <w:style w:type="paragraph" w:styleId="Heading1">
    <w:name w:val="heading 1"/>
    <w:basedOn w:val="Normal"/>
    <w:next w:val="Normal"/>
    <w:link w:val="Heading1Char"/>
    <w:uiPriority w:val="99"/>
    <w:semiHidden/>
    <w:rsid w:val="0051725A"/>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51725A"/>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51725A"/>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51725A"/>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51725A"/>
    <w:pPr>
      <w:spacing w:before="200"/>
      <w:outlineLvl w:val="4"/>
    </w:pPr>
    <w:rPr>
      <w:rFonts w:asciiTheme="majorHAnsi" w:eastAsiaTheme="majorEastAsia" w:hAnsiTheme="majorHAnsi" w:cstheme="majorBidi"/>
      <w:b/>
      <w:bCs/>
      <w:color w:val="808080"/>
    </w:rPr>
  </w:style>
  <w:style w:type="paragraph" w:styleId="Heading6">
    <w:name w:val="heading 6"/>
    <w:basedOn w:val="Normal"/>
    <w:next w:val="Normal"/>
    <w:link w:val="Heading6Char"/>
    <w:uiPriority w:val="99"/>
    <w:semiHidden/>
    <w:rsid w:val="0051725A"/>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51725A"/>
    <w:pPr>
      <w:outlineLvl w:val="6"/>
    </w:pPr>
    <w:rPr>
      <w:rFonts w:asciiTheme="majorHAnsi" w:eastAsiaTheme="majorEastAsia" w:hAnsiTheme="majorHAnsi" w:cstheme="majorBidi"/>
      <w:i/>
      <w:iCs/>
      <w:lang w:bidi="en-US"/>
    </w:rPr>
  </w:style>
  <w:style w:type="paragraph" w:styleId="Heading8">
    <w:name w:val="heading 8"/>
    <w:basedOn w:val="Normal"/>
    <w:next w:val="Normal"/>
    <w:link w:val="Heading8Char"/>
    <w:uiPriority w:val="99"/>
    <w:semiHidden/>
    <w:qFormat/>
    <w:rsid w:val="0051725A"/>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9"/>
    <w:semiHidden/>
    <w:qFormat/>
    <w:rsid w:val="0051725A"/>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51725A"/>
    <w:rPr>
      <w:rFonts w:ascii="Tahoma" w:hAnsi="Tahoma" w:cs="Tahoma"/>
      <w:sz w:val="16"/>
      <w:szCs w:val="16"/>
    </w:rPr>
  </w:style>
  <w:style w:type="character" w:customStyle="1" w:styleId="BalloonTextChar">
    <w:name w:val="Balloon Text Char"/>
    <w:basedOn w:val="DefaultParagraphFont"/>
    <w:link w:val="BalloonText"/>
    <w:uiPriority w:val="99"/>
    <w:semiHidden/>
    <w:rsid w:val="0051725A"/>
    <w:rPr>
      <w:rFonts w:ascii="Tahoma" w:eastAsiaTheme="minorEastAsia" w:hAnsi="Tahoma" w:cs="Tahoma"/>
      <w:sz w:val="16"/>
      <w:szCs w:val="16"/>
      <w:lang w:val="ro-RO"/>
    </w:rPr>
  </w:style>
  <w:style w:type="character" w:styleId="BookTitle">
    <w:name w:val="Book Title"/>
    <w:uiPriority w:val="99"/>
    <w:semiHidden/>
    <w:qFormat/>
    <w:rsid w:val="0051725A"/>
    <w:rPr>
      <w:i/>
      <w:iCs/>
      <w:smallCaps/>
      <w:spacing w:val="5"/>
    </w:rPr>
  </w:style>
  <w:style w:type="paragraph" w:customStyle="1" w:styleId="JuHeader">
    <w:name w:val="Ju_Header"/>
    <w:aliases w:val="_Header"/>
    <w:basedOn w:val="Header"/>
    <w:uiPriority w:val="29"/>
    <w:qFormat/>
    <w:rsid w:val="0051725A"/>
    <w:pPr>
      <w:tabs>
        <w:tab w:val="clear" w:pos="4536"/>
        <w:tab w:val="clear" w:pos="9072"/>
        <w:tab w:val="center" w:pos="3686"/>
        <w:tab w:val="right" w:pos="7371"/>
      </w:tabs>
    </w:pPr>
    <w:rPr>
      <w:sz w:val="18"/>
    </w:rPr>
  </w:style>
  <w:style w:type="paragraph" w:customStyle="1" w:styleId="NormalJustified">
    <w:name w:val="Normal_Justified"/>
    <w:basedOn w:val="Normal"/>
    <w:semiHidden/>
    <w:rsid w:val="0051725A"/>
    <w:pPr>
      <w:jc w:val="both"/>
    </w:pPr>
  </w:style>
  <w:style w:type="character" w:styleId="Strong">
    <w:name w:val="Strong"/>
    <w:uiPriority w:val="99"/>
    <w:semiHidden/>
    <w:qFormat/>
    <w:rsid w:val="0051725A"/>
    <w:rPr>
      <w:b/>
      <w:bCs/>
    </w:rPr>
  </w:style>
  <w:style w:type="paragraph" w:styleId="NoSpacing">
    <w:name w:val="No Spacing"/>
    <w:basedOn w:val="Normal"/>
    <w:link w:val="NoSpacingChar"/>
    <w:semiHidden/>
    <w:qFormat/>
    <w:rsid w:val="0051725A"/>
  </w:style>
  <w:style w:type="character" w:customStyle="1" w:styleId="NoSpacingChar">
    <w:name w:val="No Spacing Char"/>
    <w:basedOn w:val="DefaultParagraphFont"/>
    <w:link w:val="NoSpacing"/>
    <w:semiHidden/>
    <w:rsid w:val="0051725A"/>
    <w:rPr>
      <w:rFonts w:eastAsiaTheme="minorEastAsia"/>
      <w:sz w:val="24"/>
      <w:lang w:val="ro-RO"/>
    </w:rPr>
  </w:style>
  <w:style w:type="paragraph" w:customStyle="1" w:styleId="JuQuot">
    <w:name w:val="Ju_Quot"/>
    <w:aliases w:val="_Quote"/>
    <w:basedOn w:val="NormalJustified"/>
    <w:qFormat/>
    <w:rsid w:val="0051725A"/>
    <w:pPr>
      <w:spacing w:before="120" w:after="120"/>
      <w:ind w:left="425" w:firstLine="142"/>
    </w:pPr>
    <w:rPr>
      <w:sz w:val="20"/>
    </w:rPr>
  </w:style>
  <w:style w:type="paragraph" w:customStyle="1" w:styleId="DecList">
    <w:name w:val="Dec_List"/>
    <w:aliases w:val="_List"/>
    <w:basedOn w:val="JuList"/>
    <w:uiPriority w:val="22"/>
    <w:rsid w:val="0051725A"/>
    <w:pPr>
      <w:numPr>
        <w:numId w:val="0"/>
      </w:numPr>
      <w:ind w:left="340"/>
    </w:pPr>
  </w:style>
  <w:style w:type="paragraph" w:customStyle="1" w:styleId="JuList">
    <w:name w:val="Ju_List"/>
    <w:aliases w:val="_List_1"/>
    <w:basedOn w:val="NormalJustified"/>
    <w:uiPriority w:val="23"/>
    <w:qFormat/>
    <w:rsid w:val="0051725A"/>
    <w:pPr>
      <w:numPr>
        <w:numId w:val="2"/>
      </w:numPr>
      <w:spacing w:before="280" w:after="60"/>
    </w:pPr>
    <w:rPr>
      <w:rFonts w:eastAsiaTheme="minorHAnsi"/>
    </w:rPr>
  </w:style>
  <w:style w:type="paragraph" w:customStyle="1" w:styleId="JuLista">
    <w:name w:val="Ju_List_a"/>
    <w:aliases w:val="_List_2"/>
    <w:basedOn w:val="NormalJustified"/>
    <w:uiPriority w:val="23"/>
    <w:rsid w:val="0051725A"/>
    <w:pPr>
      <w:numPr>
        <w:ilvl w:val="1"/>
        <w:numId w:val="2"/>
      </w:numPr>
    </w:pPr>
  </w:style>
  <w:style w:type="paragraph" w:customStyle="1" w:styleId="JuListi">
    <w:name w:val="Ju_List_i"/>
    <w:aliases w:val="_List_3"/>
    <w:basedOn w:val="NormalJustified"/>
    <w:uiPriority w:val="23"/>
    <w:rsid w:val="0051725A"/>
    <w:pPr>
      <w:numPr>
        <w:ilvl w:val="2"/>
        <w:numId w:val="2"/>
      </w:numPr>
    </w:pPr>
  </w:style>
  <w:style w:type="paragraph" w:customStyle="1" w:styleId="JuHArticle">
    <w:name w:val="Ju_H_Article"/>
    <w:aliases w:val="_Title_Quote"/>
    <w:basedOn w:val="Normal"/>
    <w:next w:val="JuQuot"/>
    <w:uiPriority w:val="20"/>
    <w:qFormat/>
    <w:rsid w:val="0051725A"/>
    <w:pPr>
      <w:keepNext/>
      <w:spacing w:before="100" w:beforeAutospacing="1" w:after="120"/>
      <w:contextualSpacing/>
      <w:jc w:val="center"/>
    </w:pPr>
    <w:rPr>
      <w:rFonts w:eastAsiaTheme="minorHAnsi"/>
      <w:b/>
      <w:sz w:val="20"/>
    </w:rPr>
  </w:style>
  <w:style w:type="paragraph" w:customStyle="1" w:styleId="DecHTitle">
    <w:name w:val="Dec_H_Title"/>
    <w:aliases w:val="_Title_1"/>
    <w:basedOn w:val="JuPara"/>
    <w:next w:val="JuPara"/>
    <w:uiPriority w:val="35"/>
    <w:qFormat/>
    <w:rsid w:val="0051725A"/>
    <w:pPr>
      <w:keepNext/>
      <w:keepLines/>
      <w:spacing w:after="240"/>
      <w:ind w:firstLine="0"/>
      <w:jc w:val="center"/>
      <w:outlineLvl w:val="0"/>
    </w:pPr>
    <w:rPr>
      <w:rFonts w:asciiTheme="majorHAnsi" w:hAnsiTheme="majorHAnsi"/>
      <w:sz w:val="28"/>
    </w:rPr>
  </w:style>
  <w:style w:type="paragraph" w:customStyle="1" w:styleId="Title4">
    <w:name w:val="_Title_4"/>
    <w:basedOn w:val="JuPara"/>
    <w:next w:val="JuPara"/>
    <w:uiPriority w:val="35"/>
    <w:qFormat/>
    <w:rsid w:val="0051725A"/>
    <w:pPr>
      <w:keepNext/>
      <w:keepLines/>
      <w:tabs>
        <w:tab w:val="right" w:pos="7938"/>
      </w:tabs>
      <w:ind w:firstLine="0"/>
      <w:jc w:val="center"/>
    </w:pPr>
    <w:rPr>
      <w:rFonts w:eastAsiaTheme="minorHAnsi"/>
      <w:i/>
    </w:rPr>
  </w:style>
  <w:style w:type="paragraph" w:customStyle="1" w:styleId="JuHHead">
    <w:name w:val="Ju_H_Head"/>
    <w:aliases w:val="_Head_1"/>
    <w:basedOn w:val="Normal"/>
    <w:next w:val="JuPara"/>
    <w:uiPriority w:val="19"/>
    <w:qFormat/>
    <w:rsid w:val="0051725A"/>
    <w:pPr>
      <w:keepNext/>
      <w:keepLines/>
      <w:numPr>
        <w:numId w:val="1"/>
      </w:numPr>
      <w:spacing w:before="100" w:beforeAutospacing="1" w:after="240"/>
      <w:jc w:val="both"/>
      <w:outlineLvl w:val="0"/>
    </w:pPr>
    <w:rPr>
      <w:caps/>
      <w:sz w:val="28"/>
    </w:rPr>
  </w:style>
  <w:style w:type="numbering" w:customStyle="1" w:styleId="ECHRA1StyleBulletedSquare">
    <w:name w:val="ECHR_A1_Style_Bulleted_Square"/>
    <w:basedOn w:val="NoList"/>
    <w:rsid w:val="0051725A"/>
    <w:pPr>
      <w:numPr>
        <w:numId w:val="6"/>
      </w:numPr>
    </w:pPr>
  </w:style>
  <w:style w:type="paragraph" w:customStyle="1" w:styleId="JuSigned">
    <w:name w:val="Ju_Signed"/>
    <w:aliases w:val="_Signature"/>
    <w:basedOn w:val="Normal"/>
    <w:next w:val="JuPara"/>
    <w:uiPriority w:val="30"/>
    <w:qFormat/>
    <w:rsid w:val="0051725A"/>
    <w:pPr>
      <w:tabs>
        <w:tab w:val="center" w:pos="851"/>
        <w:tab w:val="center" w:pos="6407"/>
      </w:tabs>
      <w:spacing w:before="720"/>
    </w:pPr>
  </w:style>
  <w:style w:type="paragraph" w:styleId="Title">
    <w:name w:val="Title"/>
    <w:basedOn w:val="Normal"/>
    <w:next w:val="Normal"/>
    <w:link w:val="TitleChar"/>
    <w:uiPriority w:val="99"/>
    <w:semiHidden/>
    <w:qFormat/>
    <w:rsid w:val="0051725A"/>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9"/>
    <w:semiHidden/>
    <w:rsid w:val="0051725A"/>
    <w:rPr>
      <w:rFonts w:asciiTheme="majorHAnsi" w:eastAsiaTheme="majorEastAsia" w:hAnsiTheme="majorHAnsi" w:cstheme="majorBidi"/>
      <w:spacing w:val="5"/>
      <w:sz w:val="52"/>
      <w:szCs w:val="52"/>
      <w:lang w:val="ro-RO" w:bidi="en-US"/>
    </w:rPr>
  </w:style>
  <w:style w:type="numbering" w:customStyle="1" w:styleId="ECHRA1StyleList">
    <w:name w:val="ECHR_A1_Style_List"/>
    <w:basedOn w:val="NoList"/>
    <w:uiPriority w:val="99"/>
    <w:rsid w:val="0051725A"/>
    <w:pPr>
      <w:numPr>
        <w:numId w:val="7"/>
      </w:numPr>
    </w:pPr>
  </w:style>
  <w:style w:type="numbering" w:customStyle="1" w:styleId="ECHRA1StyleNumberedList">
    <w:name w:val="ECHR_A1_Style_Numbered_List"/>
    <w:basedOn w:val="NoList"/>
    <w:rsid w:val="0051725A"/>
    <w:pPr>
      <w:numPr>
        <w:numId w:val="8"/>
      </w:numPr>
    </w:pPr>
  </w:style>
  <w:style w:type="table" w:customStyle="1" w:styleId="ECHRTable2019">
    <w:name w:val="ECHR_Table_2019"/>
    <w:basedOn w:val="TableNormal"/>
    <w:uiPriority w:val="99"/>
    <w:rsid w:val="0051725A"/>
    <w:tblPr>
      <w:tblStyleRowBandSize w:val="1"/>
      <w:tblStyleColBandSize w:val="1"/>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Footer">
    <w:name w:val="_Footer"/>
    <w:aliases w:val="Footer_"/>
    <w:basedOn w:val="Footer0"/>
    <w:uiPriority w:val="57"/>
    <w:semiHidden/>
    <w:rsid w:val="0051725A"/>
    <w:rPr>
      <w:sz w:val="8"/>
    </w:rPr>
  </w:style>
  <w:style w:type="paragraph" w:customStyle="1" w:styleId="JuCourt">
    <w:name w:val="Ju_Court"/>
    <w:basedOn w:val="Normal"/>
    <w:next w:val="Normal"/>
    <w:uiPriority w:val="31"/>
    <w:qFormat/>
    <w:rsid w:val="0051725A"/>
    <w:pPr>
      <w:tabs>
        <w:tab w:val="left" w:pos="907"/>
        <w:tab w:val="left" w:pos="1701"/>
        <w:tab w:val="right" w:pos="7371"/>
      </w:tabs>
      <w:spacing w:before="240"/>
      <w:ind w:left="397" w:hanging="397"/>
    </w:pPr>
    <w:rPr>
      <w:lang w:bidi="en-US"/>
    </w:rPr>
  </w:style>
  <w:style w:type="paragraph" w:customStyle="1" w:styleId="JuHIRoman">
    <w:name w:val="Ju_H_I_Roman"/>
    <w:aliases w:val="_Head_2"/>
    <w:basedOn w:val="Normal"/>
    <w:next w:val="JuPara"/>
    <w:uiPriority w:val="19"/>
    <w:qFormat/>
    <w:rsid w:val="0051725A"/>
    <w:pPr>
      <w:keepNext/>
      <w:keepLines/>
      <w:numPr>
        <w:ilvl w:val="1"/>
        <w:numId w:val="1"/>
      </w:numPr>
      <w:spacing w:before="100" w:beforeAutospacing="1" w:after="240"/>
      <w:jc w:val="both"/>
      <w:outlineLvl w:val="1"/>
    </w:pPr>
    <w:rPr>
      <w:caps/>
    </w:rPr>
  </w:style>
  <w:style w:type="paragraph" w:customStyle="1" w:styleId="JuHA">
    <w:name w:val="Ju_H_A"/>
    <w:aliases w:val="_Head_3"/>
    <w:basedOn w:val="Normal"/>
    <w:next w:val="JuPara"/>
    <w:uiPriority w:val="19"/>
    <w:qFormat/>
    <w:rsid w:val="0051725A"/>
    <w:pPr>
      <w:keepNext/>
      <w:keepLines/>
      <w:numPr>
        <w:ilvl w:val="2"/>
        <w:numId w:val="1"/>
      </w:numPr>
      <w:spacing w:before="100" w:beforeAutospacing="1" w:after="240"/>
      <w:jc w:val="both"/>
      <w:outlineLvl w:val="2"/>
    </w:pPr>
    <w:rPr>
      <w:b/>
    </w:rPr>
  </w:style>
  <w:style w:type="paragraph" w:customStyle="1" w:styleId="JuH1">
    <w:name w:val="Ju_H_1."/>
    <w:aliases w:val="_Head_4"/>
    <w:basedOn w:val="Normal"/>
    <w:next w:val="JuPara"/>
    <w:uiPriority w:val="19"/>
    <w:rsid w:val="0051725A"/>
    <w:pPr>
      <w:keepNext/>
      <w:keepLines/>
      <w:numPr>
        <w:ilvl w:val="3"/>
        <w:numId w:val="1"/>
      </w:numPr>
      <w:spacing w:before="100" w:beforeAutospacing="1" w:after="120"/>
      <w:jc w:val="both"/>
      <w:outlineLvl w:val="3"/>
    </w:pPr>
    <w:rPr>
      <w:i/>
    </w:rPr>
  </w:style>
  <w:style w:type="paragraph" w:styleId="Header">
    <w:name w:val="header"/>
    <w:basedOn w:val="Normal"/>
    <w:link w:val="HeaderChar"/>
    <w:uiPriority w:val="57"/>
    <w:semiHidden/>
    <w:rsid w:val="0051725A"/>
    <w:pPr>
      <w:tabs>
        <w:tab w:val="center" w:pos="4536"/>
        <w:tab w:val="right" w:pos="9072"/>
      </w:tabs>
    </w:pPr>
    <w:rPr>
      <w:rFonts w:eastAsiaTheme="minorHAnsi"/>
    </w:rPr>
  </w:style>
  <w:style w:type="character" w:customStyle="1" w:styleId="HeaderChar">
    <w:name w:val="Header Char"/>
    <w:basedOn w:val="DefaultParagraphFont"/>
    <w:link w:val="Header"/>
    <w:uiPriority w:val="57"/>
    <w:semiHidden/>
    <w:rsid w:val="0051725A"/>
    <w:rPr>
      <w:sz w:val="24"/>
      <w:lang w:val="ro-RO"/>
    </w:rPr>
  </w:style>
  <w:style w:type="character" w:customStyle="1" w:styleId="Heading1Char">
    <w:name w:val="Heading 1 Char"/>
    <w:basedOn w:val="DefaultParagraphFont"/>
    <w:link w:val="Heading1"/>
    <w:uiPriority w:val="99"/>
    <w:semiHidden/>
    <w:rsid w:val="0051725A"/>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Normal"/>
    <w:next w:val="JuPara"/>
    <w:uiPriority w:val="19"/>
    <w:rsid w:val="0051725A"/>
    <w:pPr>
      <w:keepNext/>
      <w:keepLines/>
      <w:numPr>
        <w:ilvl w:val="4"/>
        <w:numId w:val="1"/>
      </w:numPr>
      <w:spacing w:before="100" w:beforeAutospacing="1" w:after="120"/>
      <w:jc w:val="both"/>
      <w:outlineLvl w:val="4"/>
    </w:pPr>
    <w:rPr>
      <w:b/>
      <w:sz w:val="20"/>
    </w:rPr>
  </w:style>
  <w:style w:type="paragraph" w:customStyle="1" w:styleId="JuHi">
    <w:name w:val="Ju_H_i"/>
    <w:aliases w:val="_Head_6"/>
    <w:basedOn w:val="Normal"/>
    <w:next w:val="JuPara"/>
    <w:uiPriority w:val="19"/>
    <w:rsid w:val="0051725A"/>
    <w:pPr>
      <w:keepNext/>
      <w:keepLines/>
      <w:numPr>
        <w:ilvl w:val="5"/>
        <w:numId w:val="1"/>
      </w:numPr>
      <w:spacing w:before="100" w:beforeAutospacing="1" w:after="120"/>
      <w:jc w:val="both"/>
      <w:outlineLvl w:val="5"/>
    </w:pPr>
    <w:rPr>
      <w:i/>
      <w:sz w:val="20"/>
    </w:rPr>
  </w:style>
  <w:style w:type="character" w:customStyle="1" w:styleId="Heading2Char">
    <w:name w:val="Heading 2 Char"/>
    <w:basedOn w:val="DefaultParagraphFont"/>
    <w:link w:val="Heading2"/>
    <w:uiPriority w:val="99"/>
    <w:semiHidden/>
    <w:rsid w:val="0051725A"/>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Normal"/>
    <w:next w:val="JuPara"/>
    <w:uiPriority w:val="19"/>
    <w:rsid w:val="0051725A"/>
    <w:pPr>
      <w:keepNext/>
      <w:keepLines/>
      <w:numPr>
        <w:ilvl w:val="6"/>
        <w:numId w:val="1"/>
      </w:numPr>
      <w:spacing w:before="100" w:beforeAutospacing="1" w:after="120"/>
      <w:jc w:val="both"/>
      <w:outlineLvl w:val="6"/>
    </w:pPr>
    <w:rPr>
      <w:sz w:val="20"/>
    </w:rPr>
  </w:style>
  <w:style w:type="paragraph" w:customStyle="1" w:styleId="JuH">
    <w:name w:val="Ju_H_–"/>
    <w:aliases w:val="_Head_8"/>
    <w:basedOn w:val="Normal"/>
    <w:next w:val="JuPara"/>
    <w:uiPriority w:val="19"/>
    <w:rsid w:val="0051725A"/>
    <w:pPr>
      <w:keepNext/>
      <w:keepLines/>
      <w:numPr>
        <w:ilvl w:val="7"/>
        <w:numId w:val="1"/>
      </w:numPr>
      <w:spacing w:before="100" w:beforeAutospacing="1" w:after="120"/>
      <w:jc w:val="both"/>
      <w:outlineLvl w:val="7"/>
    </w:pPr>
    <w:rPr>
      <w:i/>
      <w:sz w:val="20"/>
    </w:rPr>
  </w:style>
  <w:style w:type="character" w:customStyle="1" w:styleId="Heading3Char">
    <w:name w:val="Heading 3 Char"/>
    <w:basedOn w:val="DefaultParagraphFont"/>
    <w:link w:val="Heading3"/>
    <w:uiPriority w:val="99"/>
    <w:semiHidden/>
    <w:rsid w:val="0051725A"/>
    <w:rPr>
      <w:rFonts w:asciiTheme="majorHAnsi" w:eastAsiaTheme="majorEastAsia" w:hAnsiTheme="majorHAnsi" w:cstheme="majorBidi"/>
      <w:b/>
      <w:bCs/>
      <w:color w:val="5F5F5F"/>
      <w:sz w:val="24"/>
      <w:lang w:val="ro-RO"/>
    </w:rPr>
  </w:style>
  <w:style w:type="paragraph" w:customStyle="1" w:styleId="JuParaLast">
    <w:name w:val="Ju_Para_Last"/>
    <w:aliases w:val="_Para_Spaced"/>
    <w:basedOn w:val="NormalJustified"/>
    <w:uiPriority w:val="9"/>
    <w:qFormat/>
    <w:rsid w:val="0051725A"/>
    <w:pPr>
      <w:keepNext/>
      <w:keepLines/>
      <w:spacing w:before="240" w:after="240"/>
      <w:ind w:firstLine="284"/>
    </w:pPr>
    <w:rPr>
      <w:rFonts w:eastAsiaTheme="minorHAnsi"/>
    </w:rPr>
  </w:style>
  <w:style w:type="paragraph" w:customStyle="1" w:styleId="JuJudges">
    <w:name w:val="Ju_Judges"/>
    <w:basedOn w:val="Normal"/>
    <w:uiPriority w:val="31"/>
    <w:qFormat/>
    <w:rsid w:val="0051725A"/>
    <w:pPr>
      <w:tabs>
        <w:tab w:val="left" w:pos="567"/>
        <w:tab w:val="left" w:pos="1134"/>
      </w:tabs>
    </w:pPr>
  </w:style>
  <w:style w:type="character" w:customStyle="1" w:styleId="Heading4Char">
    <w:name w:val="Heading 4 Char"/>
    <w:basedOn w:val="DefaultParagraphFont"/>
    <w:link w:val="Heading4"/>
    <w:uiPriority w:val="99"/>
    <w:semiHidden/>
    <w:rsid w:val="0051725A"/>
    <w:rPr>
      <w:rFonts w:asciiTheme="majorHAnsi" w:eastAsiaTheme="majorEastAsia" w:hAnsiTheme="majorHAnsi" w:cstheme="majorBidi"/>
      <w:b/>
      <w:bCs/>
      <w:i/>
      <w:iCs/>
      <w:color w:val="777777"/>
      <w:sz w:val="24"/>
      <w:lang w:val="ro-RO"/>
    </w:rPr>
  </w:style>
  <w:style w:type="paragraph" w:customStyle="1" w:styleId="JuInitialled">
    <w:name w:val="Ju_Initialled"/>
    <w:aliases w:val="_Right"/>
    <w:basedOn w:val="Normal"/>
    <w:uiPriority w:val="30"/>
    <w:qFormat/>
    <w:rsid w:val="0051725A"/>
    <w:pPr>
      <w:tabs>
        <w:tab w:val="center" w:pos="6407"/>
      </w:tabs>
      <w:spacing w:before="720"/>
      <w:jc w:val="right"/>
    </w:pPr>
  </w:style>
  <w:style w:type="character" w:customStyle="1" w:styleId="Heading5Char">
    <w:name w:val="Heading 5 Char"/>
    <w:basedOn w:val="DefaultParagraphFont"/>
    <w:link w:val="Heading5"/>
    <w:uiPriority w:val="99"/>
    <w:semiHidden/>
    <w:rsid w:val="0051725A"/>
    <w:rPr>
      <w:rFonts w:asciiTheme="majorHAnsi" w:eastAsiaTheme="majorEastAsia" w:hAnsiTheme="majorHAnsi" w:cstheme="majorBidi"/>
      <w:b/>
      <w:bCs/>
      <w:color w:val="808080"/>
      <w:sz w:val="24"/>
      <w:lang w:val="ro-RO"/>
    </w:rPr>
  </w:style>
  <w:style w:type="character" w:customStyle="1" w:styleId="JuITMark">
    <w:name w:val="Ju_ITMark"/>
    <w:basedOn w:val="DefaultParagraphFont"/>
    <w:uiPriority w:val="38"/>
    <w:qFormat/>
    <w:rsid w:val="0051725A"/>
    <w:rPr>
      <w:vanish w:val="0"/>
      <w:color w:val="auto"/>
      <w:sz w:val="14"/>
      <w:bdr w:val="none" w:sz="0" w:space="0" w:color="auto"/>
      <w:shd w:val="clear" w:color="auto" w:fill="BEE5FF" w:themeFill="background1" w:themeFillTint="33"/>
    </w:rPr>
  </w:style>
  <w:style w:type="character" w:customStyle="1" w:styleId="JUNAMES">
    <w:name w:val="JU_NAMES"/>
    <w:uiPriority w:val="34"/>
    <w:qFormat/>
    <w:rsid w:val="0051725A"/>
    <w:rPr>
      <w:caps w:val="0"/>
      <w:smallCaps/>
    </w:rPr>
  </w:style>
  <w:style w:type="character" w:styleId="SubtleEmphasis">
    <w:name w:val="Subtle Emphasis"/>
    <w:uiPriority w:val="99"/>
    <w:semiHidden/>
    <w:qFormat/>
    <w:rsid w:val="0051725A"/>
    <w:rPr>
      <w:i/>
      <w:iCs/>
    </w:rPr>
  </w:style>
  <w:style w:type="table" w:customStyle="1" w:styleId="ECHRTable">
    <w:name w:val="ECHR_Table"/>
    <w:basedOn w:val="TableNormal"/>
    <w:rsid w:val="00860B03"/>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51725A"/>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9"/>
    <w:semiHidden/>
    <w:qFormat/>
    <w:rsid w:val="0051725A"/>
    <w:rPr>
      <w:b/>
      <w:bCs/>
      <w:i/>
      <w:iCs/>
      <w:spacing w:val="10"/>
      <w:bdr w:val="none" w:sz="0" w:space="0" w:color="auto"/>
      <w:shd w:val="clear" w:color="auto" w:fill="auto"/>
    </w:rPr>
  </w:style>
  <w:style w:type="paragraph" w:styleId="Footer0">
    <w:name w:val="footer"/>
    <w:basedOn w:val="Normal"/>
    <w:link w:val="FooterChar"/>
    <w:uiPriority w:val="57"/>
    <w:semiHidden/>
    <w:rsid w:val="0051725A"/>
    <w:pPr>
      <w:tabs>
        <w:tab w:val="center" w:pos="4536"/>
        <w:tab w:val="right" w:pos="9696"/>
      </w:tabs>
      <w:ind w:left="-680" w:right="-680"/>
    </w:pPr>
    <w:rPr>
      <w:rFonts w:eastAsiaTheme="minorHAnsi"/>
    </w:rPr>
  </w:style>
  <w:style w:type="character" w:customStyle="1" w:styleId="FooterChar">
    <w:name w:val="Footer Char"/>
    <w:basedOn w:val="DefaultParagraphFont"/>
    <w:link w:val="Footer0"/>
    <w:uiPriority w:val="57"/>
    <w:semiHidden/>
    <w:rsid w:val="0051725A"/>
    <w:rPr>
      <w:sz w:val="24"/>
      <w:lang w:val="ro-RO"/>
    </w:rPr>
  </w:style>
  <w:style w:type="character" w:styleId="FootnoteReference">
    <w:name w:val="footnote reference"/>
    <w:basedOn w:val="DefaultParagraphFont"/>
    <w:uiPriority w:val="99"/>
    <w:semiHidden/>
    <w:rsid w:val="0051725A"/>
    <w:rPr>
      <w:vertAlign w:val="superscript"/>
    </w:rPr>
  </w:style>
  <w:style w:type="paragraph" w:styleId="FootnoteText">
    <w:name w:val="footnote text"/>
    <w:basedOn w:val="Normal"/>
    <w:link w:val="FootnoteTextChar"/>
    <w:uiPriority w:val="99"/>
    <w:semiHidden/>
    <w:rsid w:val="0051725A"/>
    <w:rPr>
      <w:sz w:val="20"/>
      <w:szCs w:val="20"/>
    </w:rPr>
  </w:style>
  <w:style w:type="character" w:customStyle="1" w:styleId="FootnoteTextChar">
    <w:name w:val="Footnote Text Char"/>
    <w:basedOn w:val="DefaultParagraphFont"/>
    <w:link w:val="FootnoteText"/>
    <w:uiPriority w:val="99"/>
    <w:semiHidden/>
    <w:rsid w:val="0051725A"/>
    <w:rPr>
      <w:rFonts w:eastAsiaTheme="minorEastAsia"/>
      <w:sz w:val="20"/>
      <w:szCs w:val="20"/>
      <w:lang w:val="ro-RO"/>
    </w:rPr>
  </w:style>
  <w:style w:type="character" w:customStyle="1" w:styleId="Heading6Char">
    <w:name w:val="Heading 6 Char"/>
    <w:basedOn w:val="DefaultParagraphFont"/>
    <w:link w:val="Heading6"/>
    <w:uiPriority w:val="99"/>
    <w:semiHidden/>
    <w:rsid w:val="0051725A"/>
    <w:rPr>
      <w:rFonts w:asciiTheme="majorHAnsi" w:eastAsiaTheme="majorEastAsia" w:hAnsiTheme="majorHAnsi" w:cstheme="majorBidi"/>
      <w:b/>
      <w:bCs/>
      <w:i/>
      <w:iCs/>
      <w:color w:val="7F7F7F" w:themeColor="text1" w:themeTint="80"/>
      <w:sz w:val="24"/>
      <w:lang w:val="ro-RO" w:bidi="en-US"/>
    </w:rPr>
  </w:style>
  <w:style w:type="character" w:customStyle="1" w:styleId="Heading7Char">
    <w:name w:val="Heading 7 Char"/>
    <w:basedOn w:val="DefaultParagraphFont"/>
    <w:link w:val="Heading7"/>
    <w:uiPriority w:val="99"/>
    <w:semiHidden/>
    <w:rsid w:val="0051725A"/>
    <w:rPr>
      <w:rFonts w:asciiTheme="majorHAnsi" w:eastAsiaTheme="majorEastAsia" w:hAnsiTheme="majorHAnsi" w:cstheme="majorBidi"/>
      <w:i/>
      <w:iCs/>
      <w:sz w:val="24"/>
      <w:lang w:val="ro-RO" w:bidi="en-US"/>
    </w:rPr>
  </w:style>
  <w:style w:type="character" w:customStyle="1" w:styleId="Heading8Char">
    <w:name w:val="Heading 8 Char"/>
    <w:basedOn w:val="DefaultParagraphFont"/>
    <w:link w:val="Heading8"/>
    <w:uiPriority w:val="99"/>
    <w:semiHidden/>
    <w:rsid w:val="0051725A"/>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9"/>
    <w:semiHidden/>
    <w:rsid w:val="0051725A"/>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9"/>
    <w:semiHidden/>
    <w:rsid w:val="0051725A"/>
    <w:rPr>
      <w:color w:val="0072BC" w:themeColor="hyperlink"/>
      <w:u w:val="single"/>
    </w:rPr>
  </w:style>
  <w:style w:type="character" w:styleId="IntenseEmphasis">
    <w:name w:val="Intense Emphasis"/>
    <w:uiPriority w:val="99"/>
    <w:semiHidden/>
    <w:qFormat/>
    <w:rsid w:val="0051725A"/>
    <w:rPr>
      <w:b/>
      <w:bCs/>
    </w:rPr>
  </w:style>
  <w:style w:type="paragraph" w:styleId="IntenseQuote">
    <w:name w:val="Intense Quote"/>
    <w:basedOn w:val="Normal"/>
    <w:next w:val="Normal"/>
    <w:link w:val="IntenseQuoteChar"/>
    <w:uiPriority w:val="99"/>
    <w:semiHidden/>
    <w:qFormat/>
    <w:rsid w:val="0051725A"/>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9"/>
    <w:semiHidden/>
    <w:rsid w:val="0051725A"/>
    <w:rPr>
      <w:rFonts w:eastAsiaTheme="minorEastAsia"/>
      <w:b/>
      <w:bCs/>
      <w:i/>
      <w:iCs/>
      <w:sz w:val="24"/>
      <w:lang w:val="ro-RO" w:bidi="en-US"/>
    </w:rPr>
  </w:style>
  <w:style w:type="character" w:styleId="IntenseReference">
    <w:name w:val="Intense Reference"/>
    <w:uiPriority w:val="99"/>
    <w:semiHidden/>
    <w:qFormat/>
    <w:rsid w:val="0051725A"/>
    <w:rPr>
      <w:smallCaps/>
      <w:spacing w:val="5"/>
      <w:u w:val="single"/>
    </w:rPr>
  </w:style>
  <w:style w:type="paragraph" w:styleId="ListParagraph">
    <w:name w:val="List Paragraph"/>
    <w:basedOn w:val="Normal"/>
    <w:uiPriority w:val="99"/>
    <w:semiHidden/>
    <w:qFormat/>
    <w:rsid w:val="0051725A"/>
    <w:pPr>
      <w:ind w:left="720"/>
      <w:contextualSpacing/>
    </w:pPr>
  </w:style>
  <w:style w:type="table" w:customStyle="1" w:styleId="LtrTableAddress">
    <w:name w:val="Ltr_Table_Address"/>
    <w:basedOn w:val="TableNormal"/>
    <w:uiPriority w:val="99"/>
    <w:rsid w:val="001E6F32"/>
    <w:tblPr>
      <w:tblInd w:w="5103" w:type="dxa"/>
    </w:tblPr>
  </w:style>
  <w:style w:type="paragraph" w:styleId="Quote">
    <w:name w:val="Quote"/>
    <w:basedOn w:val="Normal"/>
    <w:next w:val="Normal"/>
    <w:link w:val="QuoteChar"/>
    <w:uiPriority w:val="99"/>
    <w:semiHidden/>
    <w:qFormat/>
    <w:rsid w:val="0051725A"/>
    <w:pPr>
      <w:spacing w:before="200"/>
      <w:ind w:left="360" w:right="360"/>
    </w:pPr>
    <w:rPr>
      <w:i/>
      <w:iCs/>
      <w:lang w:bidi="en-US"/>
    </w:rPr>
  </w:style>
  <w:style w:type="character" w:customStyle="1" w:styleId="QuoteChar">
    <w:name w:val="Quote Char"/>
    <w:basedOn w:val="DefaultParagraphFont"/>
    <w:link w:val="Quote"/>
    <w:uiPriority w:val="99"/>
    <w:semiHidden/>
    <w:rsid w:val="0051725A"/>
    <w:rPr>
      <w:rFonts w:eastAsiaTheme="minorEastAsia"/>
      <w:i/>
      <w:iCs/>
      <w:sz w:val="24"/>
      <w:lang w:val="ro-RO" w:bidi="en-US"/>
    </w:rPr>
  </w:style>
  <w:style w:type="character" w:styleId="SubtleReference">
    <w:name w:val="Subtle Reference"/>
    <w:uiPriority w:val="99"/>
    <w:semiHidden/>
    <w:qFormat/>
    <w:rsid w:val="0051725A"/>
    <w:rPr>
      <w:smallCaps/>
    </w:rPr>
  </w:style>
  <w:style w:type="table" w:styleId="TableGrid">
    <w:name w:val="Table Grid"/>
    <w:basedOn w:val="TableNormal"/>
    <w:uiPriority w:val="59"/>
    <w:semiHidden/>
    <w:rsid w:val="0051725A"/>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9"/>
    <w:semiHidden/>
    <w:rsid w:val="0051725A"/>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9"/>
    <w:semiHidden/>
    <w:rsid w:val="0051725A"/>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9"/>
    <w:semiHidden/>
    <w:rsid w:val="0051725A"/>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9"/>
    <w:semiHidden/>
    <w:rsid w:val="0051725A"/>
    <w:pPr>
      <w:tabs>
        <w:tab w:val="right" w:leader="dot" w:pos="7371"/>
      </w:tabs>
      <w:spacing w:after="60" w:line="240" w:lineRule="exact"/>
      <w:ind w:left="1361" w:right="567" w:hanging="340"/>
    </w:pPr>
    <w:rPr>
      <w:sz w:val="20"/>
    </w:rPr>
  </w:style>
  <w:style w:type="paragraph" w:styleId="TOC5">
    <w:name w:val="toc 5"/>
    <w:basedOn w:val="Normal"/>
    <w:next w:val="Normal"/>
    <w:autoRedefine/>
    <w:uiPriority w:val="99"/>
    <w:semiHidden/>
    <w:rsid w:val="0051725A"/>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9"/>
    <w:semiHidden/>
    <w:qFormat/>
    <w:rsid w:val="0051725A"/>
    <w:pPr>
      <w:keepNext/>
      <w:keepLines/>
      <w:spacing w:before="240"/>
      <w:contextualSpacing/>
      <w:jc w:val="center"/>
    </w:pPr>
    <w:rPr>
      <w:rFonts w:asciiTheme="majorHAnsi" w:eastAsiaTheme="minorHAnsi" w:hAnsiTheme="majorHAnsi"/>
      <w:b/>
      <w:color w:val="474747" w:themeColor="accent3" w:themeShade="BF"/>
      <w:sz w:val="28"/>
    </w:rPr>
  </w:style>
  <w:style w:type="table" w:customStyle="1" w:styleId="UGTable">
    <w:name w:val="UG_Table"/>
    <w:basedOn w:val="TableNormal"/>
    <w:uiPriority w:val="99"/>
    <w:rsid w:val="00572845"/>
    <w:rPr>
      <w:rFonts w:eastAsiaTheme="minorEastAsia"/>
      <w:sz w:val="20"/>
      <w:lang w:eastAsia="en-GB"/>
    </w:rPr>
    <w:tblPr>
      <w:tblInd w:w="-964" w:type="dxa"/>
      <w:tblCellMar>
        <w:left w:w="57" w:type="dxa"/>
        <w:bottom w:w="57" w:type="dxa"/>
        <w:right w:w="113"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3609FA"/>
    <w:rPr>
      <w:rFonts w:eastAsiaTheme="minorEastAsia"/>
      <w:lang w:eastAsia="en-GB"/>
    </w:rPr>
    <w:tblPr>
      <w:tblInd w:w="113" w:type="dxa"/>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810B38"/>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51725A"/>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51725A"/>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51725A"/>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9"/>
    <w:semiHidden/>
    <w:rsid w:val="0051725A"/>
    <w:pPr>
      <w:keepNext/>
      <w:keepLines/>
      <w:spacing w:before="240"/>
      <w:contextualSpacing/>
      <w:jc w:val="center"/>
    </w:pPr>
    <w:rPr>
      <w:rFonts w:asciiTheme="majorHAnsi" w:eastAsiaTheme="majorEastAsia" w:hAnsiTheme="majorHAnsi" w:cstheme="majorBidi"/>
      <w:b/>
      <w:bCs/>
      <w:color w:val="474747" w:themeColor="accent3" w:themeShade="BF"/>
      <w:sz w:val="28"/>
      <w:szCs w:val="24"/>
    </w:rPr>
  </w:style>
  <w:style w:type="paragraph" w:styleId="Subtitle">
    <w:name w:val="Subtitle"/>
    <w:basedOn w:val="Normal"/>
    <w:next w:val="Normal"/>
    <w:link w:val="SubtitleChar"/>
    <w:uiPriority w:val="99"/>
    <w:semiHidden/>
    <w:qFormat/>
    <w:rsid w:val="0051725A"/>
    <w:pPr>
      <w:spacing w:after="600"/>
    </w:pPr>
    <w:rPr>
      <w:rFonts w:asciiTheme="majorHAnsi" w:eastAsiaTheme="majorEastAsia" w:hAnsiTheme="majorHAnsi" w:cstheme="majorBidi"/>
      <w:i/>
      <w:iCs/>
      <w:spacing w:val="13"/>
      <w:szCs w:val="24"/>
      <w:lang w:bidi="en-US"/>
    </w:rPr>
  </w:style>
  <w:style w:type="character" w:customStyle="1" w:styleId="SubtitleChar">
    <w:name w:val="Subtitle Char"/>
    <w:basedOn w:val="DefaultParagraphFont"/>
    <w:link w:val="Subtitle"/>
    <w:uiPriority w:val="99"/>
    <w:semiHidden/>
    <w:rsid w:val="0051725A"/>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51725A"/>
    <w:pPr>
      <w:numPr>
        <w:numId w:val="3"/>
      </w:numPr>
    </w:pPr>
  </w:style>
  <w:style w:type="paragraph" w:customStyle="1" w:styleId="JuPara">
    <w:name w:val="Ju_Para"/>
    <w:aliases w:val="_Para"/>
    <w:basedOn w:val="NormalJustified"/>
    <w:link w:val="JuParaChar"/>
    <w:uiPriority w:val="8"/>
    <w:qFormat/>
    <w:rsid w:val="0051725A"/>
    <w:pPr>
      <w:ind w:firstLine="284"/>
    </w:pPr>
  </w:style>
  <w:style w:type="numbering" w:styleId="1ai">
    <w:name w:val="Outline List 1"/>
    <w:basedOn w:val="NoList"/>
    <w:uiPriority w:val="99"/>
    <w:semiHidden/>
    <w:unhideWhenUsed/>
    <w:rsid w:val="0051725A"/>
    <w:pPr>
      <w:numPr>
        <w:numId w:val="4"/>
      </w:numPr>
    </w:pPr>
  </w:style>
  <w:style w:type="table" w:customStyle="1" w:styleId="ECHRTableSimpleBox">
    <w:name w:val="ECHR_Table_Simple_Box"/>
    <w:basedOn w:val="TableNormal"/>
    <w:uiPriority w:val="99"/>
    <w:rsid w:val="0051725A"/>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51725A"/>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51725A"/>
    <w:pPr>
      <w:numPr>
        <w:numId w:val="5"/>
      </w:numPr>
    </w:pPr>
  </w:style>
  <w:style w:type="table" w:customStyle="1" w:styleId="ECHRTableForInternalUse">
    <w:name w:val="ECHR_Table_For_Internal_Use"/>
    <w:basedOn w:val="TableNormal"/>
    <w:uiPriority w:val="99"/>
    <w:rsid w:val="0051725A"/>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64393B"/>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9"/>
    <w:semiHidden/>
    <w:rsid w:val="0051725A"/>
  </w:style>
  <w:style w:type="paragraph" w:styleId="BlockText">
    <w:name w:val="Block Text"/>
    <w:basedOn w:val="Normal"/>
    <w:uiPriority w:val="99"/>
    <w:semiHidden/>
    <w:rsid w:val="0051725A"/>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51725A"/>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9"/>
    <w:semiHidden/>
    <w:rsid w:val="0051725A"/>
    <w:pPr>
      <w:spacing w:after="120"/>
    </w:pPr>
  </w:style>
  <w:style w:type="character" w:customStyle="1" w:styleId="BodyTextChar">
    <w:name w:val="Body Text Char"/>
    <w:basedOn w:val="DefaultParagraphFont"/>
    <w:link w:val="BodyText"/>
    <w:uiPriority w:val="99"/>
    <w:semiHidden/>
    <w:rsid w:val="0051725A"/>
    <w:rPr>
      <w:rFonts w:eastAsiaTheme="minorEastAsia"/>
      <w:sz w:val="24"/>
      <w:lang w:val="ro-RO"/>
    </w:rPr>
  </w:style>
  <w:style w:type="table" w:customStyle="1" w:styleId="ECHRTableOddBanded">
    <w:name w:val="ECHR_Table_Odd_Banded"/>
    <w:basedOn w:val="TableNormal"/>
    <w:uiPriority w:val="99"/>
    <w:rsid w:val="00860B0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9"/>
    <w:semiHidden/>
    <w:rsid w:val="0051725A"/>
    <w:pPr>
      <w:spacing w:after="120" w:line="480" w:lineRule="auto"/>
    </w:pPr>
  </w:style>
  <w:style w:type="table" w:customStyle="1" w:styleId="ECHRHeaderTableReduced">
    <w:name w:val="ECHR_Header_Table_Reduced"/>
    <w:basedOn w:val="TableNormal"/>
    <w:uiPriority w:val="99"/>
    <w:rsid w:val="0051725A"/>
    <w:tblPr>
      <w:tblInd w:w="-680" w:type="dxa"/>
      <w:tblCellMar>
        <w:left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basedOn w:val="Normal"/>
    <w:next w:val="JuPara"/>
    <w:uiPriority w:val="31"/>
    <w:rsid w:val="0051725A"/>
    <w:pPr>
      <w:ind w:firstLine="284"/>
    </w:pPr>
    <w:rPr>
      <w:b/>
    </w:rPr>
  </w:style>
  <w:style w:type="character" w:styleId="PageNumber">
    <w:name w:val="page number"/>
    <w:uiPriority w:val="99"/>
    <w:semiHidden/>
    <w:rsid w:val="0051725A"/>
    <w:rPr>
      <w:sz w:val="18"/>
    </w:rPr>
  </w:style>
  <w:style w:type="paragraph" w:styleId="ListBullet">
    <w:name w:val="List Bullet"/>
    <w:basedOn w:val="Normal"/>
    <w:uiPriority w:val="99"/>
    <w:semiHidden/>
    <w:rsid w:val="0051725A"/>
    <w:pPr>
      <w:numPr>
        <w:numId w:val="9"/>
      </w:numPr>
    </w:pPr>
  </w:style>
  <w:style w:type="paragraph" w:styleId="ListBullet3">
    <w:name w:val="List Bullet 3"/>
    <w:basedOn w:val="Normal"/>
    <w:uiPriority w:val="99"/>
    <w:semiHidden/>
    <w:rsid w:val="0051725A"/>
    <w:pPr>
      <w:numPr>
        <w:numId w:val="11"/>
      </w:numPr>
      <w:contextualSpacing/>
    </w:pPr>
  </w:style>
  <w:style w:type="character" w:customStyle="1" w:styleId="BodyText2Char">
    <w:name w:val="Body Text 2 Char"/>
    <w:basedOn w:val="DefaultParagraphFont"/>
    <w:link w:val="BodyText2"/>
    <w:uiPriority w:val="99"/>
    <w:semiHidden/>
    <w:rsid w:val="0051725A"/>
    <w:rPr>
      <w:rFonts w:eastAsiaTheme="minorEastAsia"/>
      <w:sz w:val="24"/>
      <w:lang w:val="ro-RO"/>
    </w:rPr>
  </w:style>
  <w:style w:type="paragraph" w:styleId="BodyText3">
    <w:name w:val="Body Text 3"/>
    <w:basedOn w:val="Normal"/>
    <w:link w:val="BodyText3Char"/>
    <w:uiPriority w:val="99"/>
    <w:semiHidden/>
    <w:rsid w:val="0051725A"/>
    <w:pPr>
      <w:spacing w:after="120"/>
    </w:pPr>
    <w:rPr>
      <w:sz w:val="16"/>
      <w:szCs w:val="16"/>
    </w:rPr>
  </w:style>
  <w:style w:type="character" w:customStyle="1" w:styleId="BodyText3Char">
    <w:name w:val="Body Text 3 Char"/>
    <w:basedOn w:val="DefaultParagraphFont"/>
    <w:link w:val="BodyText3"/>
    <w:uiPriority w:val="99"/>
    <w:semiHidden/>
    <w:rsid w:val="0051725A"/>
    <w:rPr>
      <w:rFonts w:eastAsiaTheme="minorEastAsia"/>
      <w:sz w:val="16"/>
      <w:szCs w:val="16"/>
      <w:lang w:val="ro-RO"/>
    </w:rPr>
  </w:style>
  <w:style w:type="paragraph" w:styleId="BodyTextFirstIndent">
    <w:name w:val="Body Text First Indent"/>
    <w:basedOn w:val="BodyText"/>
    <w:link w:val="BodyTextFirstIndentChar"/>
    <w:uiPriority w:val="99"/>
    <w:semiHidden/>
    <w:rsid w:val="0051725A"/>
    <w:pPr>
      <w:spacing w:after="0"/>
      <w:ind w:firstLine="360"/>
    </w:pPr>
  </w:style>
  <w:style w:type="character" w:customStyle="1" w:styleId="BodyTextFirstIndentChar">
    <w:name w:val="Body Text First Indent Char"/>
    <w:basedOn w:val="BodyTextChar"/>
    <w:link w:val="BodyTextFirstIndent"/>
    <w:uiPriority w:val="99"/>
    <w:semiHidden/>
    <w:rsid w:val="0051725A"/>
    <w:rPr>
      <w:rFonts w:eastAsiaTheme="minorEastAsia"/>
      <w:sz w:val="24"/>
      <w:lang w:val="ro-RO"/>
    </w:rPr>
  </w:style>
  <w:style w:type="paragraph" w:styleId="BodyTextIndent">
    <w:name w:val="Body Text Indent"/>
    <w:basedOn w:val="Normal"/>
    <w:link w:val="BodyTextIndentChar"/>
    <w:uiPriority w:val="99"/>
    <w:semiHidden/>
    <w:rsid w:val="0051725A"/>
    <w:pPr>
      <w:spacing w:after="120"/>
      <w:ind w:left="283"/>
    </w:pPr>
  </w:style>
  <w:style w:type="character" w:customStyle="1" w:styleId="BodyTextIndentChar">
    <w:name w:val="Body Text Indent Char"/>
    <w:basedOn w:val="DefaultParagraphFont"/>
    <w:link w:val="BodyTextIndent"/>
    <w:uiPriority w:val="99"/>
    <w:semiHidden/>
    <w:rsid w:val="0051725A"/>
    <w:rPr>
      <w:rFonts w:eastAsiaTheme="minorEastAsia"/>
      <w:sz w:val="24"/>
      <w:lang w:val="ro-RO"/>
    </w:rPr>
  </w:style>
  <w:style w:type="paragraph" w:styleId="BodyTextFirstIndent2">
    <w:name w:val="Body Text First Indent 2"/>
    <w:basedOn w:val="BodyTextIndent"/>
    <w:link w:val="BodyTextFirstIndent2Char"/>
    <w:uiPriority w:val="99"/>
    <w:semiHidden/>
    <w:rsid w:val="0051725A"/>
    <w:pPr>
      <w:spacing w:after="0"/>
      <w:ind w:left="360" w:firstLine="360"/>
    </w:pPr>
  </w:style>
  <w:style w:type="character" w:customStyle="1" w:styleId="BodyTextFirstIndent2Char">
    <w:name w:val="Body Text First Indent 2 Char"/>
    <w:basedOn w:val="BodyTextIndentChar"/>
    <w:link w:val="BodyTextFirstIndent2"/>
    <w:uiPriority w:val="99"/>
    <w:semiHidden/>
    <w:rsid w:val="0051725A"/>
    <w:rPr>
      <w:rFonts w:eastAsiaTheme="minorEastAsia"/>
      <w:sz w:val="24"/>
      <w:lang w:val="ro-RO"/>
    </w:rPr>
  </w:style>
  <w:style w:type="paragraph" w:styleId="BodyTextIndent2">
    <w:name w:val="Body Text Indent 2"/>
    <w:basedOn w:val="Normal"/>
    <w:link w:val="BodyTextIndent2Char"/>
    <w:uiPriority w:val="99"/>
    <w:semiHidden/>
    <w:rsid w:val="0051725A"/>
    <w:pPr>
      <w:spacing w:after="120" w:line="480" w:lineRule="auto"/>
      <w:ind w:left="283"/>
    </w:pPr>
  </w:style>
  <w:style w:type="character" w:customStyle="1" w:styleId="BodyTextIndent2Char">
    <w:name w:val="Body Text Indent 2 Char"/>
    <w:basedOn w:val="DefaultParagraphFont"/>
    <w:link w:val="BodyTextIndent2"/>
    <w:uiPriority w:val="99"/>
    <w:semiHidden/>
    <w:rsid w:val="0051725A"/>
    <w:rPr>
      <w:rFonts w:eastAsiaTheme="minorEastAsia"/>
      <w:sz w:val="24"/>
      <w:lang w:val="ro-RO"/>
    </w:rPr>
  </w:style>
  <w:style w:type="paragraph" w:styleId="BodyTextIndent3">
    <w:name w:val="Body Text Indent 3"/>
    <w:basedOn w:val="Normal"/>
    <w:link w:val="BodyTextIndent3Char"/>
    <w:uiPriority w:val="99"/>
    <w:semiHidden/>
    <w:rsid w:val="0051725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1725A"/>
    <w:rPr>
      <w:rFonts w:eastAsiaTheme="minorEastAsia"/>
      <w:sz w:val="16"/>
      <w:szCs w:val="16"/>
      <w:lang w:val="ro-RO"/>
    </w:rPr>
  </w:style>
  <w:style w:type="paragraph" w:styleId="Caption">
    <w:name w:val="caption"/>
    <w:basedOn w:val="Normal"/>
    <w:next w:val="Normal"/>
    <w:uiPriority w:val="99"/>
    <w:semiHidden/>
    <w:qFormat/>
    <w:rsid w:val="0051725A"/>
    <w:pPr>
      <w:spacing w:after="200"/>
    </w:pPr>
    <w:rPr>
      <w:b/>
      <w:bCs/>
      <w:color w:val="0072BC" w:themeColor="accent1"/>
      <w:sz w:val="18"/>
      <w:szCs w:val="18"/>
    </w:rPr>
  </w:style>
  <w:style w:type="paragraph" w:styleId="Closing">
    <w:name w:val="Closing"/>
    <w:basedOn w:val="Normal"/>
    <w:link w:val="ClosingChar"/>
    <w:uiPriority w:val="99"/>
    <w:semiHidden/>
    <w:rsid w:val="0051725A"/>
    <w:pPr>
      <w:ind w:left="4252"/>
    </w:pPr>
  </w:style>
  <w:style w:type="character" w:customStyle="1" w:styleId="ClosingChar">
    <w:name w:val="Closing Char"/>
    <w:basedOn w:val="DefaultParagraphFont"/>
    <w:link w:val="Closing"/>
    <w:uiPriority w:val="99"/>
    <w:semiHidden/>
    <w:rsid w:val="0051725A"/>
    <w:rPr>
      <w:rFonts w:eastAsiaTheme="minorEastAsia"/>
      <w:sz w:val="24"/>
      <w:lang w:val="ro-RO"/>
    </w:rPr>
  </w:style>
  <w:style w:type="table" w:styleId="ColorfulGrid">
    <w:name w:val="Colorful Grid"/>
    <w:basedOn w:val="TableNormal"/>
    <w:uiPriority w:val="73"/>
    <w:semiHidden/>
    <w:rsid w:val="0051725A"/>
    <w:rPr>
      <w:color w:val="000000" w:themeColor="text1"/>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51725A"/>
    <w:rPr>
      <w:color w:val="000000" w:themeColor="text1"/>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51725A"/>
    <w:rPr>
      <w:color w:val="000000" w:themeColor="text1"/>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51725A"/>
    <w:rPr>
      <w:color w:val="000000" w:themeColor="text1"/>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51725A"/>
    <w:rPr>
      <w:color w:val="000000" w:themeColor="text1"/>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51725A"/>
    <w:rPr>
      <w:color w:val="000000" w:themeColor="text1"/>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51725A"/>
    <w:rPr>
      <w:color w:val="000000" w:themeColor="text1"/>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51725A"/>
    <w:rPr>
      <w:color w:val="000000" w:themeColor="text1"/>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51725A"/>
    <w:rPr>
      <w:color w:val="000000" w:themeColor="text1"/>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51725A"/>
    <w:rPr>
      <w:color w:val="000000" w:themeColor="text1"/>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51725A"/>
    <w:rPr>
      <w:color w:val="000000" w:themeColor="text1"/>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51725A"/>
    <w:rPr>
      <w:color w:val="000000" w:themeColor="text1"/>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51725A"/>
    <w:rPr>
      <w:color w:val="000000" w:themeColor="text1"/>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51725A"/>
    <w:rPr>
      <w:color w:val="000000" w:themeColor="text1"/>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51725A"/>
    <w:rPr>
      <w:color w:val="000000" w:themeColor="text1"/>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51725A"/>
    <w:rPr>
      <w:color w:val="000000" w:themeColor="text1"/>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51725A"/>
    <w:rPr>
      <w:color w:val="000000" w:themeColor="text1"/>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51725A"/>
    <w:rPr>
      <w:color w:val="000000" w:themeColor="text1"/>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51725A"/>
    <w:rPr>
      <w:color w:val="000000" w:themeColor="text1"/>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51725A"/>
    <w:rPr>
      <w:color w:val="000000" w:themeColor="text1"/>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51725A"/>
    <w:rPr>
      <w:color w:val="000000" w:themeColor="text1"/>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51725A"/>
    <w:rPr>
      <w:sz w:val="16"/>
      <w:szCs w:val="16"/>
    </w:rPr>
  </w:style>
  <w:style w:type="paragraph" w:styleId="CommentText">
    <w:name w:val="annotation text"/>
    <w:basedOn w:val="Normal"/>
    <w:link w:val="CommentTextChar"/>
    <w:semiHidden/>
    <w:rsid w:val="0051725A"/>
    <w:rPr>
      <w:sz w:val="20"/>
      <w:szCs w:val="20"/>
    </w:rPr>
  </w:style>
  <w:style w:type="character" w:customStyle="1" w:styleId="CommentTextChar">
    <w:name w:val="Comment Text Char"/>
    <w:basedOn w:val="DefaultParagraphFont"/>
    <w:link w:val="CommentText"/>
    <w:semiHidden/>
    <w:rsid w:val="0051725A"/>
    <w:rPr>
      <w:rFonts w:eastAsiaTheme="minorEastAsia"/>
      <w:sz w:val="20"/>
      <w:szCs w:val="20"/>
      <w:lang w:val="ro-RO"/>
    </w:rPr>
  </w:style>
  <w:style w:type="paragraph" w:styleId="CommentSubject">
    <w:name w:val="annotation subject"/>
    <w:basedOn w:val="CommentText"/>
    <w:next w:val="CommentText"/>
    <w:link w:val="CommentSubjectChar"/>
    <w:uiPriority w:val="99"/>
    <w:semiHidden/>
    <w:rsid w:val="0051725A"/>
    <w:rPr>
      <w:b/>
      <w:bCs/>
    </w:rPr>
  </w:style>
  <w:style w:type="character" w:customStyle="1" w:styleId="CommentSubjectChar">
    <w:name w:val="Comment Subject Char"/>
    <w:basedOn w:val="CommentTextChar"/>
    <w:link w:val="CommentSubject"/>
    <w:uiPriority w:val="99"/>
    <w:semiHidden/>
    <w:rsid w:val="0051725A"/>
    <w:rPr>
      <w:rFonts w:eastAsiaTheme="minorEastAsia"/>
      <w:b/>
      <w:bCs/>
      <w:sz w:val="20"/>
      <w:szCs w:val="20"/>
      <w:lang w:val="ro-RO"/>
    </w:rPr>
  </w:style>
  <w:style w:type="table" w:styleId="DarkList">
    <w:name w:val="Dark List"/>
    <w:basedOn w:val="TableNormal"/>
    <w:uiPriority w:val="70"/>
    <w:semiHidden/>
    <w:rsid w:val="0051725A"/>
    <w:rPr>
      <w:color w:val="0072BC"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51725A"/>
    <w:rPr>
      <w:color w:val="0072BC" w:themeColor="background1"/>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51725A"/>
    <w:rPr>
      <w:color w:val="0072BC" w:themeColor="background1"/>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51725A"/>
    <w:rPr>
      <w:color w:val="0072BC" w:themeColor="background1"/>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51725A"/>
    <w:rPr>
      <w:color w:val="0072BC" w:themeColor="background1"/>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51725A"/>
    <w:rPr>
      <w:color w:val="0072BC" w:themeColor="background1"/>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51725A"/>
    <w:rPr>
      <w:color w:val="0072BC" w:themeColor="background1"/>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51725A"/>
  </w:style>
  <w:style w:type="character" w:customStyle="1" w:styleId="DateChar">
    <w:name w:val="Date Char"/>
    <w:basedOn w:val="DefaultParagraphFont"/>
    <w:link w:val="Date"/>
    <w:uiPriority w:val="99"/>
    <w:semiHidden/>
    <w:rsid w:val="0051725A"/>
    <w:rPr>
      <w:rFonts w:eastAsiaTheme="minorEastAsia"/>
      <w:sz w:val="24"/>
      <w:lang w:val="ro-RO"/>
    </w:rPr>
  </w:style>
  <w:style w:type="paragraph" w:styleId="DocumentMap">
    <w:name w:val="Document Map"/>
    <w:basedOn w:val="Normal"/>
    <w:link w:val="DocumentMapChar"/>
    <w:uiPriority w:val="99"/>
    <w:semiHidden/>
    <w:rsid w:val="0051725A"/>
    <w:rPr>
      <w:rFonts w:ascii="Tahoma" w:hAnsi="Tahoma" w:cs="Tahoma"/>
      <w:sz w:val="16"/>
      <w:szCs w:val="16"/>
    </w:rPr>
  </w:style>
  <w:style w:type="character" w:customStyle="1" w:styleId="DocumentMapChar">
    <w:name w:val="Document Map Char"/>
    <w:basedOn w:val="DefaultParagraphFont"/>
    <w:link w:val="DocumentMap"/>
    <w:uiPriority w:val="99"/>
    <w:semiHidden/>
    <w:rsid w:val="0051725A"/>
    <w:rPr>
      <w:rFonts w:ascii="Tahoma" w:eastAsiaTheme="minorEastAsia" w:hAnsi="Tahoma" w:cs="Tahoma"/>
      <w:sz w:val="16"/>
      <w:szCs w:val="16"/>
      <w:lang w:val="ro-RO"/>
    </w:rPr>
  </w:style>
  <w:style w:type="paragraph" w:styleId="E-mailSignature">
    <w:name w:val="E-mail Signature"/>
    <w:basedOn w:val="Normal"/>
    <w:link w:val="E-mailSignatureChar"/>
    <w:uiPriority w:val="99"/>
    <w:semiHidden/>
    <w:rsid w:val="0051725A"/>
  </w:style>
  <w:style w:type="character" w:customStyle="1" w:styleId="E-mailSignatureChar">
    <w:name w:val="E-mail Signature Char"/>
    <w:basedOn w:val="DefaultParagraphFont"/>
    <w:link w:val="E-mailSignature"/>
    <w:uiPriority w:val="99"/>
    <w:semiHidden/>
    <w:rsid w:val="0051725A"/>
    <w:rPr>
      <w:rFonts w:eastAsiaTheme="minorEastAsia"/>
      <w:sz w:val="24"/>
      <w:lang w:val="ro-RO"/>
    </w:rPr>
  </w:style>
  <w:style w:type="character" w:styleId="EndnoteReference">
    <w:name w:val="endnote reference"/>
    <w:basedOn w:val="DefaultParagraphFont"/>
    <w:uiPriority w:val="99"/>
    <w:semiHidden/>
    <w:rsid w:val="0051725A"/>
    <w:rPr>
      <w:vertAlign w:val="superscript"/>
    </w:rPr>
  </w:style>
  <w:style w:type="paragraph" w:styleId="EndnoteText">
    <w:name w:val="endnote text"/>
    <w:basedOn w:val="Normal"/>
    <w:link w:val="EndnoteTextChar"/>
    <w:uiPriority w:val="99"/>
    <w:semiHidden/>
    <w:rsid w:val="0051725A"/>
    <w:rPr>
      <w:sz w:val="20"/>
      <w:szCs w:val="20"/>
    </w:rPr>
  </w:style>
  <w:style w:type="character" w:customStyle="1" w:styleId="EndnoteTextChar">
    <w:name w:val="Endnote Text Char"/>
    <w:basedOn w:val="DefaultParagraphFont"/>
    <w:link w:val="EndnoteText"/>
    <w:uiPriority w:val="99"/>
    <w:semiHidden/>
    <w:rsid w:val="0051725A"/>
    <w:rPr>
      <w:rFonts w:eastAsiaTheme="minorEastAsia"/>
      <w:sz w:val="20"/>
      <w:szCs w:val="20"/>
      <w:lang w:val="ro-RO"/>
    </w:rPr>
  </w:style>
  <w:style w:type="paragraph" w:styleId="EnvelopeAddress">
    <w:name w:val="envelope address"/>
    <w:basedOn w:val="Normal"/>
    <w:uiPriority w:val="99"/>
    <w:semiHidden/>
    <w:rsid w:val="0051725A"/>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EnvelopeReturn">
    <w:name w:val="envelope return"/>
    <w:basedOn w:val="Normal"/>
    <w:uiPriority w:val="99"/>
    <w:semiHidden/>
    <w:rsid w:val="0051725A"/>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rsid w:val="0051725A"/>
    <w:rPr>
      <w:color w:val="7030A0" w:themeColor="followedHyperlink"/>
      <w:u w:val="single"/>
    </w:rPr>
  </w:style>
  <w:style w:type="character" w:styleId="HTMLAcronym">
    <w:name w:val="HTML Acronym"/>
    <w:basedOn w:val="DefaultParagraphFont"/>
    <w:uiPriority w:val="99"/>
    <w:semiHidden/>
    <w:rsid w:val="0051725A"/>
  </w:style>
  <w:style w:type="paragraph" w:styleId="HTMLAddress">
    <w:name w:val="HTML Address"/>
    <w:basedOn w:val="Normal"/>
    <w:link w:val="HTMLAddressChar"/>
    <w:uiPriority w:val="99"/>
    <w:semiHidden/>
    <w:rsid w:val="0051725A"/>
    <w:rPr>
      <w:i/>
      <w:iCs/>
    </w:rPr>
  </w:style>
  <w:style w:type="character" w:customStyle="1" w:styleId="HTMLAddressChar">
    <w:name w:val="HTML Address Char"/>
    <w:basedOn w:val="DefaultParagraphFont"/>
    <w:link w:val="HTMLAddress"/>
    <w:uiPriority w:val="99"/>
    <w:semiHidden/>
    <w:rsid w:val="0051725A"/>
    <w:rPr>
      <w:rFonts w:eastAsiaTheme="minorEastAsia"/>
      <w:i/>
      <w:iCs/>
      <w:sz w:val="24"/>
      <w:lang w:val="ro-RO"/>
    </w:rPr>
  </w:style>
  <w:style w:type="character" w:styleId="HTMLCite">
    <w:name w:val="HTML Cite"/>
    <w:basedOn w:val="DefaultParagraphFont"/>
    <w:uiPriority w:val="99"/>
    <w:semiHidden/>
    <w:rsid w:val="0051725A"/>
    <w:rPr>
      <w:i/>
      <w:iCs/>
    </w:rPr>
  </w:style>
  <w:style w:type="character" w:styleId="HTMLCode">
    <w:name w:val="HTML Code"/>
    <w:basedOn w:val="DefaultParagraphFont"/>
    <w:uiPriority w:val="99"/>
    <w:semiHidden/>
    <w:rsid w:val="0051725A"/>
    <w:rPr>
      <w:rFonts w:ascii="Consolas" w:hAnsi="Consolas" w:cs="Consolas"/>
      <w:sz w:val="20"/>
      <w:szCs w:val="20"/>
    </w:rPr>
  </w:style>
  <w:style w:type="character" w:styleId="HTMLDefinition">
    <w:name w:val="HTML Definition"/>
    <w:basedOn w:val="DefaultParagraphFont"/>
    <w:uiPriority w:val="99"/>
    <w:semiHidden/>
    <w:rsid w:val="0051725A"/>
    <w:rPr>
      <w:i/>
      <w:iCs/>
    </w:rPr>
  </w:style>
  <w:style w:type="character" w:styleId="HTMLKeyboard">
    <w:name w:val="HTML Keyboard"/>
    <w:basedOn w:val="DefaultParagraphFont"/>
    <w:uiPriority w:val="99"/>
    <w:semiHidden/>
    <w:rsid w:val="0051725A"/>
    <w:rPr>
      <w:rFonts w:ascii="Consolas" w:hAnsi="Consolas" w:cs="Consolas"/>
      <w:sz w:val="20"/>
      <w:szCs w:val="20"/>
    </w:rPr>
  </w:style>
  <w:style w:type="paragraph" w:styleId="HTMLPreformatted">
    <w:name w:val="HTML Preformatted"/>
    <w:basedOn w:val="Normal"/>
    <w:link w:val="HTMLPreformattedChar"/>
    <w:uiPriority w:val="99"/>
    <w:semiHidden/>
    <w:rsid w:val="0051725A"/>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1725A"/>
    <w:rPr>
      <w:rFonts w:ascii="Consolas" w:eastAsiaTheme="minorEastAsia" w:hAnsi="Consolas" w:cs="Consolas"/>
      <w:sz w:val="20"/>
      <w:szCs w:val="20"/>
      <w:lang w:val="ro-RO"/>
    </w:rPr>
  </w:style>
  <w:style w:type="character" w:styleId="HTMLSample">
    <w:name w:val="HTML Sample"/>
    <w:basedOn w:val="DefaultParagraphFont"/>
    <w:uiPriority w:val="99"/>
    <w:semiHidden/>
    <w:rsid w:val="0051725A"/>
    <w:rPr>
      <w:rFonts w:ascii="Consolas" w:hAnsi="Consolas" w:cs="Consolas"/>
      <w:sz w:val="24"/>
      <w:szCs w:val="24"/>
    </w:rPr>
  </w:style>
  <w:style w:type="character" w:styleId="HTMLTypewriter">
    <w:name w:val="HTML Typewriter"/>
    <w:basedOn w:val="DefaultParagraphFont"/>
    <w:uiPriority w:val="99"/>
    <w:semiHidden/>
    <w:rsid w:val="0051725A"/>
    <w:rPr>
      <w:rFonts w:ascii="Consolas" w:hAnsi="Consolas" w:cs="Consolas"/>
      <w:sz w:val="20"/>
      <w:szCs w:val="20"/>
    </w:rPr>
  </w:style>
  <w:style w:type="character" w:styleId="HTMLVariable">
    <w:name w:val="HTML Variable"/>
    <w:basedOn w:val="DefaultParagraphFont"/>
    <w:uiPriority w:val="99"/>
    <w:semiHidden/>
    <w:rsid w:val="0051725A"/>
    <w:rPr>
      <w:i/>
      <w:iCs/>
    </w:rPr>
  </w:style>
  <w:style w:type="paragraph" w:styleId="Index1">
    <w:name w:val="index 1"/>
    <w:basedOn w:val="Normal"/>
    <w:next w:val="Normal"/>
    <w:autoRedefine/>
    <w:uiPriority w:val="99"/>
    <w:semiHidden/>
    <w:rsid w:val="0051725A"/>
    <w:pPr>
      <w:ind w:left="240" w:hanging="240"/>
    </w:pPr>
  </w:style>
  <w:style w:type="paragraph" w:styleId="Index2">
    <w:name w:val="index 2"/>
    <w:basedOn w:val="Normal"/>
    <w:next w:val="Normal"/>
    <w:autoRedefine/>
    <w:uiPriority w:val="99"/>
    <w:semiHidden/>
    <w:rsid w:val="0051725A"/>
    <w:pPr>
      <w:ind w:left="480" w:hanging="240"/>
    </w:pPr>
  </w:style>
  <w:style w:type="paragraph" w:styleId="Index3">
    <w:name w:val="index 3"/>
    <w:basedOn w:val="Normal"/>
    <w:next w:val="Normal"/>
    <w:autoRedefine/>
    <w:uiPriority w:val="99"/>
    <w:semiHidden/>
    <w:rsid w:val="0051725A"/>
    <w:pPr>
      <w:ind w:left="720" w:hanging="240"/>
    </w:pPr>
  </w:style>
  <w:style w:type="paragraph" w:styleId="Index4">
    <w:name w:val="index 4"/>
    <w:basedOn w:val="Normal"/>
    <w:next w:val="Normal"/>
    <w:autoRedefine/>
    <w:uiPriority w:val="99"/>
    <w:semiHidden/>
    <w:rsid w:val="0051725A"/>
    <w:pPr>
      <w:ind w:left="960" w:hanging="240"/>
    </w:pPr>
  </w:style>
  <w:style w:type="paragraph" w:styleId="Index5">
    <w:name w:val="index 5"/>
    <w:basedOn w:val="Normal"/>
    <w:next w:val="Normal"/>
    <w:autoRedefine/>
    <w:uiPriority w:val="99"/>
    <w:semiHidden/>
    <w:rsid w:val="0051725A"/>
    <w:pPr>
      <w:ind w:left="1200" w:hanging="240"/>
    </w:pPr>
  </w:style>
  <w:style w:type="paragraph" w:styleId="Index6">
    <w:name w:val="index 6"/>
    <w:basedOn w:val="Normal"/>
    <w:next w:val="Normal"/>
    <w:autoRedefine/>
    <w:uiPriority w:val="99"/>
    <w:semiHidden/>
    <w:rsid w:val="0051725A"/>
    <w:pPr>
      <w:ind w:left="1440" w:hanging="240"/>
    </w:pPr>
  </w:style>
  <w:style w:type="paragraph" w:styleId="Index7">
    <w:name w:val="index 7"/>
    <w:basedOn w:val="Normal"/>
    <w:next w:val="Normal"/>
    <w:autoRedefine/>
    <w:uiPriority w:val="99"/>
    <w:semiHidden/>
    <w:rsid w:val="0051725A"/>
    <w:pPr>
      <w:ind w:left="1680" w:hanging="240"/>
    </w:pPr>
  </w:style>
  <w:style w:type="paragraph" w:styleId="Index8">
    <w:name w:val="index 8"/>
    <w:basedOn w:val="Normal"/>
    <w:next w:val="Normal"/>
    <w:autoRedefine/>
    <w:uiPriority w:val="99"/>
    <w:semiHidden/>
    <w:rsid w:val="0051725A"/>
    <w:pPr>
      <w:ind w:left="1920" w:hanging="240"/>
    </w:pPr>
  </w:style>
  <w:style w:type="paragraph" w:styleId="Index9">
    <w:name w:val="index 9"/>
    <w:basedOn w:val="Normal"/>
    <w:next w:val="Normal"/>
    <w:autoRedefine/>
    <w:uiPriority w:val="99"/>
    <w:semiHidden/>
    <w:rsid w:val="0051725A"/>
    <w:pPr>
      <w:ind w:left="2160" w:hanging="240"/>
    </w:pPr>
  </w:style>
  <w:style w:type="paragraph" w:styleId="IndexHeading">
    <w:name w:val="index heading"/>
    <w:basedOn w:val="Normal"/>
    <w:next w:val="Index1"/>
    <w:uiPriority w:val="99"/>
    <w:semiHidden/>
    <w:rsid w:val="0051725A"/>
    <w:rPr>
      <w:rFonts w:asciiTheme="majorHAnsi" w:eastAsiaTheme="majorEastAsia" w:hAnsiTheme="majorHAnsi" w:cstheme="majorBidi"/>
      <w:b/>
      <w:bCs/>
    </w:rPr>
  </w:style>
  <w:style w:type="table" w:styleId="LightGrid">
    <w:name w:val="Light Grid"/>
    <w:basedOn w:val="TableNormal"/>
    <w:uiPriority w:val="62"/>
    <w:semiHidden/>
    <w:rsid w:val="0051725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51725A"/>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51725A"/>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51725A"/>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51725A"/>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51725A"/>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51725A"/>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51725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51725A"/>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51725A"/>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51725A"/>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51725A"/>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51725A"/>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51725A"/>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51725A"/>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51725A"/>
    <w:rPr>
      <w:color w:val="00548C" w:themeColor="accent1" w:themeShade="BF"/>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51725A"/>
    <w:rPr>
      <w:color w:val="8F0000" w:themeColor="accent2" w:themeShade="BF"/>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51725A"/>
    <w:rPr>
      <w:color w:val="474747" w:themeColor="accent3" w:themeShade="BF"/>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51725A"/>
    <w:rPr>
      <w:color w:val="707070" w:themeColor="accent4" w:themeShade="BF"/>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51725A"/>
    <w:rPr>
      <w:color w:val="474747" w:themeColor="accent5" w:themeShade="BF"/>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51725A"/>
    <w:rPr>
      <w:color w:val="393939" w:themeColor="accent6" w:themeShade="BF"/>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51725A"/>
  </w:style>
  <w:style w:type="paragraph" w:styleId="List">
    <w:name w:val="List"/>
    <w:basedOn w:val="Normal"/>
    <w:uiPriority w:val="99"/>
    <w:semiHidden/>
    <w:rsid w:val="0051725A"/>
    <w:pPr>
      <w:ind w:left="283" w:hanging="283"/>
      <w:contextualSpacing/>
    </w:pPr>
  </w:style>
  <w:style w:type="paragraph" w:styleId="List2">
    <w:name w:val="List 2"/>
    <w:basedOn w:val="Normal"/>
    <w:uiPriority w:val="99"/>
    <w:semiHidden/>
    <w:rsid w:val="0051725A"/>
    <w:pPr>
      <w:ind w:left="566" w:hanging="283"/>
      <w:contextualSpacing/>
    </w:pPr>
  </w:style>
  <w:style w:type="paragraph" w:styleId="List3">
    <w:name w:val="List 3"/>
    <w:basedOn w:val="Normal"/>
    <w:uiPriority w:val="99"/>
    <w:semiHidden/>
    <w:rsid w:val="0051725A"/>
    <w:pPr>
      <w:ind w:left="849" w:hanging="283"/>
      <w:contextualSpacing/>
    </w:pPr>
  </w:style>
  <w:style w:type="paragraph" w:styleId="List4">
    <w:name w:val="List 4"/>
    <w:basedOn w:val="Normal"/>
    <w:uiPriority w:val="99"/>
    <w:semiHidden/>
    <w:rsid w:val="0051725A"/>
    <w:pPr>
      <w:ind w:left="1132" w:hanging="283"/>
      <w:contextualSpacing/>
    </w:pPr>
  </w:style>
  <w:style w:type="paragraph" w:styleId="List5">
    <w:name w:val="List 5"/>
    <w:basedOn w:val="Normal"/>
    <w:uiPriority w:val="99"/>
    <w:semiHidden/>
    <w:rsid w:val="0051725A"/>
    <w:pPr>
      <w:ind w:left="1415" w:hanging="283"/>
      <w:contextualSpacing/>
    </w:pPr>
  </w:style>
  <w:style w:type="paragraph" w:styleId="ListBullet2">
    <w:name w:val="List Bullet 2"/>
    <w:basedOn w:val="Normal"/>
    <w:uiPriority w:val="99"/>
    <w:semiHidden/>
    <w:rsid w:val="0051725A"/>
    <w:pPr>
      <w:numPr>
        <w:numId w:val="10"/>
      </w:numPr>
      <w:contextualSpacing/>
    </w:pPr>
  </w:style>
  <w:style w:type="paragraph" w:styleId="ListBullet4">
    <w:name w:val="List Bullet 4"/>
    <w:basedOn w:val="Normal"/>
    <w:uiPriority w:val="99"/>
    <w:semiHidden/>
    <w:rsid w:val="0051725A"/>
    <w:pPr>
      <w:numPr>
        <w:numId w:val="12"/>
      </w:numPr>
      <w:contextualSpacing/>
    </w:pPr>
  </w:style>
  <w:style w:type="paragraph" w:styleId="ListBullet5">
    <w:name w:val="List Bullet 5"/>
    <w:basedOn w:val="Normal"/>
    <w:uiPriority w:val="99"/>
    <w:semiHidden/>
    <w:rsid w:val="0051725A"/>
    <w:pPr>
      <w:numPr>
        <w:numId w:val="13"/>
      </w:numPr>
      <w:contextualSpacing/>
    </w:pPr>
  </w:style>
  <w:style w:type="paragraph" w:styleId="ListContinue">
    <w:name w:val="List Continue"/>
    <w:basedOn w:val="Normal"/>
    <w:uiPriority w:val="99"/>
    <w:semiHidden/>
    <w:rsid w:val="0051725A"/>
    <w:pPr>
      <w:spacing w:after="120"/>
      <w:ind w:left="283"/>
      <w:contextualSpacing/>
    </w:pPr>
  </w:style>
  <w:style w:type="paragraph" w:styleId="ListContinue2">
    <w:name w:val="List Continue 2"/>
    <w:basedOn w:val="Normal"/>
    <w:uiPriority w:val="99"/>
    <w:semiHidden/>
    <w:rsid w:val="0051725A"/>
    <w:pPr>
      <w:spacing w:after="120"/>
      <w:ind w:left="566"/>
      <w:contextualSpacing/>
    </w:pPr>
  </w:style>
  <w:style w:type="paragraph" w:styleId="ListContinue3">
    <w:name w:val="List Continue 3"/>
    <w:basedOn w:val="Normal"/>
    <w:uiPriority w:val="99"/>
    <w:semiHidden/>
    <w:rsid w:val="0051725A"/>
    <w:pPr>
      <w:spacing w:after="120"/>
      <w:ind w:left="849"/>
      <w:contextualSpacing/>
    </w:pPr>
  </w:style>
  <w:style w:type="paragraph" w:styleId="ListContinue4">
    <w:name w:val="List Continue 4"/>
    <w:basedOn w:val="Normal"/>
    <w:uiPriority w:val="99"/>
    <w:semiHidden/>
    <w:rsid w:val="0051725A"/>
    <w:pPr>
      <w:spacing w:after="120"/>
      <w:ind w:left="1132"/>
      <w:contextualSpacing/>
    </w:pPr>
  </w:style>
  <w:style w:type="paragraph" w:styleId="ListContinue5">
    <w:name w:val="List Continue 5"/>
    <w:basedOn w:val="Normal"/>
    <w:uiPriority w:val="99"/>
    <w:semiHidden/>
    <w:rsid w:val="0051725A"/>
    <w:pPr>
      <w:spacing w:after="120"/>
      <w:ind w:left="1415"/>
      <w:contextualSpacing/>
    </w:pPr>
  </w:style>
  <w:style w:type="paragraph" w:styleId="ListNumber">
    <w:name w:val="List Number"/>
    <w:basedOn w:val="Normal"/>
    <w:uiPriority w:val="99"/>
    <w:semiHidden/>
    <w:rsid w:val="0051725A"/>
    <w:pPr>
      <w:numPr>
        <w:numId w:val="14"/>
      </w:numPr>
      <w:contextualSpacing/>
    </w:pPr>
  </w:style>
  <w:style w:type="paragraph" w:styleId="ListNumber2">
    <w:name w:val="List Number 2"/>
    <w:basedOn w:val="Normal"/>
    <w:uiPriority w:val="99"/>
    <w:semiHidden/>
    <w:rsid w:val="0051725A"/>
    <w:pPr>
      <w:numPr>
        <w:numId w:val="15"/>
      </w:numPr>
      <w:contextualSpacing/>
    </w:pPr>
  </w:style>
  <w:style w:type="paragraph" w:styleId="ListNumber3">
    <w:name w:val="List Number 3"/>
    <w:basedOn w:val="Normal"/>
    <w:uiPriority w:val="99"/>
    <w:semiHidden/>
    <w:rsid w:val="0051725A"/>
    <w:pPr>
      <w:numPr>
        <w:numId w:val="16"/>
      </w:numPr>
      <w:contextualSpacing/>
    </w:pPr>
  </w:style>
  <w:style w:type="paragraph" w:styleId="ListNumber4">
    <w:name w:val="List Number 4"/>
    <w:basedOn w:val="Normal"/>
    <w:uiPriority w:val="99"/>
    <w:semiHidden/>
    <w:rsid w:val="0051725A"/>
    <w:pPr>
      <w:numPr>
        <w:numId w:val="17"/>
      </w:numPr>
      <w:contextualSpacing/>
    </w:pPr>
  </w:style>
  <w:style w:type="paragraph" w:styleId="ListNumber5">
    <w:name w:val="List Number 5"/>
    <w:basedOn w:val="Normal"/>
    <w:uiPriority w:val="99"/>
    <w:semiHidden/>
    <w:rsid w:val="0051725A"/>
    <w:pPr>
      <w:numPr>
        <w:numId w:val="18"/>
      </w:numPr>
      <w:contextualSpacing/>
    </w:pPr>
  </w:style>
  <w:style w:type="paragraph" w:styleId="MacroText">
    <w:name w:val="macro"/>
    <w:link w:val="MacroTextChar"/>
    <w:uiPriority w:val="99"/>
    <w:semiHidden/>
    <w:rsid w:val="0051725A"/>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9"/>
    <w:semiHidden/>
    <w:rsid w:val="0051725A"/>
    <w:rPr>
      <w:rFonts w:ascii="Consolas" w:eastAsiaTheme="minorEastAsia" w:hAnsi="Consolas" w:cs="Consolas"/>
      <w:sz w:val="20"/>
      <w:szCs w:val="20"/>
    </w:rPr>
  </w:style>
  <w:style w:type="table" w:styleId="MediumGrid1">
    <w:name w:val="Medium Grid 1"/>
    <w:basedOn w:val="TableNormal"/>
    <w:uiPriority w:val="67"/>
    <w:semiHidden/>
    <w:rsid w:val="0051725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51725A"/>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51725A"/>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51725A"/>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51725A"/>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51725A"/>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51725A"/>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51725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51725A"/>
    <w:rPr>
      <w:rFonts w:asciiTheme="majorHAnsi" w:eastAsiaTheme="majorEastAsia" w:hAnsiTheme="majorHAnsi" w:cstheme="majorBidi"/>
      <w:color w:val="000000" w:themeColor="text1"/>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51725A"/>
    <w:rPr>
      <w:rFonts w:asciiTheme="majorHAnsi" w:eastAsiaTheme="majorEastAsia" w:hAnsiTheme="majorHAnsi" w:cstheme="majorBidi"/>
      <w:color w:val="000000" w:themeColor="text1"/>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51725A"/>
    <w:rPr>
      <w:rFonts w:asciiTheme="majorHAnsi" w:eastAsiaTheme="majorEastAsia" w:hAnsiTheme="majorHAnsi" w:cstheme="majorBidi"/>
      <w:color w:val="000000" w:themeColor="text1"/>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51725A"/>
    <w:rPr>
      <w:rFonts w:asciiTheme="majorHAnsi" w:eastAsiaTheme="majorEastAsia" w:hAnsiTheme="majorHAnsi" w:cstheme="majorBidi"/>
      <w:color w:val="000000" w:themeColor="text1"/>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51725A"/>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51725A"/>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51725A"/>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51725A"/>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51725A"/>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51725A"/>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51725A"/>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51725A"/>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51725A"/>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51725A"/>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51725A"/>
    <w:rPr>
      <w:color w:val="000000" w:themeColor="text1"/>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51725A"/>
    <w:rPr>
      <w:color w:val="000000" w:themeColor="text1"/>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51725A"/>
    <w:rPr>
      <w:color w:val="000000" w:themeColor="text1"/>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51725A"/>
    <w:rPr>
      <w:color w:val="000000" w:themeColor="text1"/>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51725A"/>
    <w:rPr>
      <w:color w:val="000000" w:themeColor="text1"/>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51725A"/>
    <w:rPr>
      <w:color w:val="000000" w:themeColor="text1"/>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51725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1725A"/>
    <w:rPr>
      <w:rFonts w:asciiTheme="majorHAnsi" w:eastAsiaTheme="majorEastAsia" w:hAnsiTheme="majorHAnsi" w:cstheme="majorBidi"/>
      <w:color w:val="000000" w:themeColor="text1"/>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1725A"/>
    <w:rPr>
      <w:rFonts w:asciiTheme="majorHAnsi" w:eastAsiaTheme="majorEastAsia" w:hAnsiTheme="majorHAnsi" w:cstheme="majorBidi"/>
      <w:color w:val="000000" w:themeColor="text1"/>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1725A"/>
    <w:rPr>
      <w:rFonts w:asciiTheme="majorHAnsi" w:eastAsiaTheme="majorEastAsia" w:hAnsiTheme="majorHAnsi" w:cstheme="majorBidi"/>
      <w:color w:val="000000" w:themeColor="text1"/>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1725A"/>
    <w:rPr>
      <w:rFonts w:asciiTheme="majorHAnsi" w:eastAsiaTheme="majorEastAsia" w:hAnsiTheme="majorHAnsi" w:cstheme="majorBidi"/>
      <w:color w:val="000000" w:themeColor="text1"/>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1725A"/>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1725A"/>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51725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1725A"/>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1725A"/>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1725A"/>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1725A"/>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1725A"/>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1725A"/>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1725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1725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1725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1725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1725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1725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1725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51725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51725A"/>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9"/>
    <w:semiHidden/>
    <w:rsid w:val="0051725A"/>
    <w:rPr>
      <w:rFonts w:ascii="Times New Roman" w:hAnsi="Times New Roman" w:cs="Times New Roman"/>
      <w:szCs w:val="24"/>
    </w:rPr>
  </w:style>
  <w:style w:type="paragraph" w:styleId="NormalIndent">
    <w:name w:val="Normal Indent"/>
    <w:basedOn w:val="Normal"/>
    <w:uiPriority w:val="99"/>
    <w:semiHidden/>
    <w:rsid w:val="0051725A"/>
    <w:pPr>
      <w:ind w:left="720"/>
    </w:pPr>
  </w:style>
  <w:style w:type="paragraph" w:styleId="NoteHeading">
    <w:name w:val="Note Heading"/>
    <w:basedOn w:val="Normal"/>
    <w:next w:val="Normal"/>
    <w:link w:val="NoteHeadingChar"/>
    <w:uiPriority w:val="99"/>
    <w:semiHidden/>
    <w:rsid w:val="0051725A"/>
  </w:style>
  <w:style w:type="character" w:customStyle="1" w:styleId="NoteHeadingChar">
    <w:name w:val="Note Heading Char"/>
    <w:basedOn w:val="DefaultParagraphFont"/>
    <w:link w:val="NoteHeading"/>
    <w:uiPriority w:val="99"/>
    <w:semiHidden/>
    <w:rsid w:val="0051725A"/>
    <w:rPr>
      <w:rFonts w:eastAsiaTheme="minorEastAsia"/>
      <w:sz w:val="24"/>
      <w:lang w:val="ro-RO"/>
    </w:rPr>
  </w:style>
  <w:style w:type="character" w:styleId="PlaceholderText">
    <w:name w:val="Placeholder Text"/>
    <w:basedOn w:val="DefaultParagraphFont"/>
    <w:uiPriority w:val="99"/>
    <w:semiHidden/>
    <w:rsid w:val="0051725A"/>
    <w:rPr>
      <w:color w:val="auto"/>
      <w:bdr w:val="none" w:sz="0" w:space="0" w:color="auto"/>
      <w:shd w:val="clear" w:color="auto" w:fill="DFDFDF" w:themeFill="background2" w:themeFillShade="E6"/>
    </w:rPr>
  </w:style>
  <w:style w:type="paragraph" w:styleId="PlainText">
    <w:name w:val="Plain Text"/>
    <w:basedOn w:val="Normal"/>
    <w:link w:val="PlainTextChar"/>
    <w:uiPriority w:val="99"/>
    <w:semiHidden/>
    <w:rsid w:val="0051725A"/>
    <w:rPr>
      <w:rFonts w:ascii="Consolas" w:hAnsi="Consolas" w:cs="Consolas"/>
      <w:sz w:val="21"/>
      <w:szCs w:val="21"/>
    </w:rPr>
  </w:style>
  <w:style w:type="character" w:customStyle="1" w:styleId="PlainTextChar">
    <w:name w:val="Plain Text Char"/>
    <w:basedOn w:val="DefaultParagraphFont"/>
    <w:link w:val="PlainText"/>
    <w:uiPriority w:val="99"/>
    <w:semiHidden/>
    <w:rsid w:val="0051725A"/>
    <w:rPr>
      <w:rFonts w:ascii="Consolas" w:eastAsiaTheme="minorEastAsia" w:hAnsi="Consolas" w:cs="Consolas"/>
      <w:sz w:val="21"/>
      <w:szCs w:val="21"/>
      <w:lang w:val="ro-RO"/>
    </w:rPr>
  </w:style>
  <w:style w:type="paragraph" w:styleId="Salutation">
    <w:name w:val="Salutation"/>
    <w:basedOn w:val="Normal"/>
    <w:next w:val="Normal"/>
    <w:link w:val="SalutationChar"/>
    <w:uiPriority w:val="99"/>
    <w:semiHidden/>
    <w:rsid w:val="0051725A"/>
  </w:style>
  <w:style w:type="character" w:customStyle="1" w:styleId="SalutationChar">
    <w:name w:val="Salutation Char"/>
    <w:basedOn w:val="DefaultParagraphFont"/>
    <w:link w:val="Salutation"/>
    <w:uiPriority w:val="99"/>
    <w:semiHidden/>
    <w:rsid w:val="0051725A"/>
    <w:rPr>
      <w:rFonts w:eastAsiaTheme="minorEastAsia"/>
      <w:sz w:val="24"/>
      <w:lang w:val="ro-RO"/>
    </w:rPr>
  </w:style>
  <w:style w:type="paragraph" w:styleId="Signature">
    <w:name w:val="Signature"/>
    <w:basedOn w:val="Normal"/>
    <w:link w:val="SignatureChar"/>
    <w:uiPriority w:val="99"/>
    <w:semiHidden/>
    <w:rsid w:val="0051725A"/>
    <w:pPr>
      <w:ind w:left="4252"/>
    </w:pPr>
  </w:style>
  <w:style w:type="character" w:customStyle="1" w:styleId="SignatureChar">
    <w:name w:val="Signature Char"/>
    <w:basedOn w:val="DefaultParagraphFont"/>
    <w:link w:val="Signature"/>
    <w:uiPriority w:val="99"/>
    <w:semiHidden/>
    <w:rsid w:val="0051725A"/>
    <w:rPr>
      <w:rFonts w:eastAsiaTheme="minorEastAsia"/>
      <w:sz w:val="24"/>
      <w:lang w:val="ro-RO"/>
    </w:rPr>
  </w:style>
  <w:style w:type="table" w:styleId="Table3Deffects1">
    <w:name w:val="Table 3D effects 1"/>
    <w:basedOn w:val="TableNormal"/>
    <w:uiPriority w:val="99"/>
    <w:semiHidden/>
    <w:unhideWhenUsed/>
    <w:rsid w:val="0051725A"/>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1725A"/>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1725A"/>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1725A"/>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1725A"/>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1725A"/>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1725A"/>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1725A"/>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1725A"/>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1725A"/>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1725A"/>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1725A"/>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1725A"/>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1725A"/>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1725A"/>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1725A"/>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1725A"/>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1725A"/>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1725A"/>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1725A"/>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1725A"/>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1725A"/>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1725A"/>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1725A"/>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1725A"/>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51725A"/>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1725A"/>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1725A"/>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1725A"/>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1725A"/>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1725A"/>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1725A"/>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1725A"/>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51725A"/>
    <w:pPr>
      <w:ind w:left="240" w:hanging="240"/>
    </w:pPr>
  </w:style>
  <w:style w:type="paragraph" w:styleId="TableofFigures">
    <w:name w:val="table of figures"/>
    <w:basedOn w:val="Normal"/>
    <w:next w:val="Normal"/>
    <w:uiPriority w:val="99"/>
    <w:semiHidden/>
    <w:rsid w:val="0051725A"/>
  </w:style>
  <w:style w:type="table" w:styleId="TableProfessional">
    <w:name w:val="Table Professional"/>
    <w:basedOn w:val="TableNormal"/>
    <w:uiPriority w:val="99"/>
    <w:semiHidden/>
    <w:unhideWhenUsed/>
    <w:rsid w:val="0051725A"/>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1725A"/>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1725A"/>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1725A"/>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1725A"/>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1725A"/>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1725A"/>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1725A"/>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1725A"/>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1725A"/>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51725A"/>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9"/>
    <w:semiHidden/>
    <w:rsid w:val="0051725A"/>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9"/>
    <w:semiHidden/>
    <w:rsid w:val="0051725A"/>
    <w:pPr>
      <w:spacing w:after="100"/>
      <w:ind w:left="1680"/>
    </w:pPr>
  </w:style>
  <w:style w:type="paragraph" w:styleId="TOC9">
    <w:name w:val="toc 9"/>
    <w:basedOn w:val="Normal"/>
    <w:next w:val="Normal"/>
    <w:autoRedefine/>
    <w:uiPriority w:val="99"/>
    <w:semiHidden/>
    <w:rsid w:val="0051725A"/>
    <w:pPr>
      <w:spacing w:after="100"/>
      <w:ind w:left="1920"/>
    </w:pPr>
  </w:style>
  <w:style w:type="paragraph" w:customStyle="1" w:styleId="ECHRFooter">
    <w:name w:val="ECHR_Footer"/>
    <w:aliases w:val="Footer_ECHR"/>
    <w:basedOn w:val="Footer0"/>
    <w:uiPriority w:val="57"/>
    <w:semiHidden/>
    <w:rsid w:val="0064393B"/>
    <w:rPr>
      <w:sz w:val="8"/>
    </w:rPr>
  </w:style>
  <w:style w:type="paragraph" w:customStyle="1" w:styleId="FooterLine">
    <w:name w:val="_Footer_Line"/>
    <w:aliases w:val="Footer_Line"/>
    <w:basedOn w:val="Normal"/>
    <w:next w:val="Footer"/>
    <w:uiPriority w:val="57"/>
    <w:semiHidden/>
    <w:rsid w:val="0051725A"/>
    <w:pPr>
      <w:pBdr>
        <w:top w:val="single" w:sz="6" w:space="1" w:color="5F5F5F"/>
      </w:pBdr>
      <w:tabs>
        <w:tab w:val="center" w:pos="4536"/>
        <w:tab w:val="right" w:pos="9696"/>
      </w:tabs>
      <w:ind w:left="-680" w:right="-680"/>
    </w:pPr>
    <w:rPr>
      <w:color w:val="5F5F5F"/>
    </w:rPr>
  </w:style>
  <w:style w:type="paragraph" w:customStyle="1" w:styleId="DecHCase">
    <w:name w:val="Dec_H_Case"/>
    <w:aliases w:val="_Title_3"/>
    <w:basedOn w:val="JuPara"/>
    <w:next w:val="JuPara"/>
    <w:uiPriority w:val="35"/>
    <w:qFormat/>
    <w:rsid w:val="0051725A"/>
    <w:pPr>
      <w:keepNext/>
      <w:keepLines/>
      <w:spacing w:after="280"/>
      <w:ind w:firstLine="0"/>
      <w:jc w:val="center"/>
    </w:pPr>
    <w:rPr>
      <w:rFonts w:asciiTheme="majorHAnsi" w:hAnsiTheme="majorHAnsi"/>
    </w:rPr>
  </w:style>
  <w:style w:type="paragraph" w:customStyle="1" w:styleId="JuHeaderLandscape">
    <w:name w:val="Ju_Header_Landscape"/>
    <w:aliases w:val="_Header_Landscape"/>
    <w:basedOn w:val="JuHeader"/>
    <w:uiPriority w:val="30"/>
    <w:qFormat/>
    <w:rsid w:val="0051725A"/>
    <w:pPr>
      <w:tabs>
        <w:tab w:val="clear" w:pos="3686"/>
        <w:tab w:val="clear" w:pos="7371"/>
        <w:tab w:val="center" w:pos="6146"/>
        <w:tab w:val="right" w:pos="12293"/>
      </w:tabs>
    </w:pPr>
  </w:style>
  <w:style w:type="paragraph" w:customStyle="1" w:styleId="JuTitle">
    <w:name w:val="Ju_Title"/>
    <w:aliases w:val="_Title_2"/>
    <w:basedOn w:val="Normal"/>
    <w:next w:val="JuPara"/>
    <w:uiPriority w:val="35"/>
    <w:qFormat/>
    <w:rsid w:val="0051725A"/>
    <w:pPr>
      <w:keepNext/>
      <w:keepLines/>
      <w:spacing w:before="1320" w:after="280"/>
      <w:contextualSpacing/>
      <w:jc w:val="center"/>
    </w:pPr>
    <w:rPr>
      <w:rFonts w:eastAsiaTheme="minorHAnsi"/>
      <w:b/>
    </w:rPr>
  </w:style>
  <w:style w:type="character" w:customStyle="1" w:styleId="JuParaChar">
    <w:name w:val="Ju_Para Char"/>
    <w:aliases w:val="_Para Char"/>
    <w:link w:val="JuPara"/>
    <w:uiPriority w:val="8"/>
    <w:rsid w:val="00BC7938"/>
    <w:rPr>
      <w:rFonts w:eastAsiaTheme="minorEastAsia"/>
      <w:sz w:val="24"/>
      <w:lang w:val="ro-RO"/>
    </w:rPr>
  </w:style>
  <w:style w:type="paragraph" w:customStyle="1" w:styleId="ECHRHeaderRefIt">
    <w:name w:val="ECHR_Header_Ref_It"/>
    <w:aliases w:val="Ref_Ital"/>
    <w:basedOn w:val="Normal"/>
    <w:next w:val="Normal"/>
    <w:uiPriority w:val="38"/>
    <w:qFormat/>
    <w:rsid w:val="00BC7938"/>
    <w:pPr>
      <w:jc w:val="right"/>
    </w:pPr>
    <w:rPr>
      <w:rFonts w:eastAsiaTheme="minorHAnsi"/>
      <w:i/>
      <w:sz w:val="20"/>
    </w:rPr>
  </w:style>
  <w:style w:type="character" w:customStyle="1" w:styleId="JuNames0">
    <w:name w:val="Ju_Names"/>
    <w:rsid w:val="00BC7938"/>
    <w:rPr>
      <w:smallCaps/>
    </w:rPr>
  </w:style>
  <w:style w:type="paragraph" w:customStyle="1" w:styleId="ECHRParaSpaced">
    <w:name w:val="ECHR_Para_Spaced"/>
    <w:aliases w:val="Para_Spaced"/>
    <w:basedOn w:val="Normal"/>
    <w:uiPriority w:val="3"/>
    <w:qFormat/>
    <w:rsid w:val="00BC7938"/>
    <w:pPr>
      <w:spacing w:before="120" w:after="120"/>
      <w:jc w:val="both"/>
    </w:pPr>
    <w:rPr>
      <w:rFonts w:eastAsiaTheme="minorHAnsi"/>
      <w:sz w:val="22"/>
    </w:rPr>
  </w:style>
  <w:style w:type="paragraph" w:styleId="Revision">
    <w:name w:val="Revision"/>
    <w:hidden/>
    <w:uiPriority w:val="99"/>
    <w:semiHidden/>
    <w:rsid w:val="00BC7938"/>
    <w:rPr>
      <w:rFonts w:eastAsiaTheme="minorEastAsia"/>
      <w:sz w:val="24"/>
    </w:rPr>
  </w:style>
  <w:style w:type="paragraph" w:customStyle="1" w:styleId="ECHRPara">
    <w:name w:val="ECHR_Para"/>
    <w:aliases w:val="Para"/>
    <w:basedOn w:val="Normal"/>
    <w:uiPriority w:val="12"/>
    <w:qFormat/>
    <w:rsid w:val="00BC7938"/>
    <w:pPr>
      <w:jc w:val="both"/>
    </w:pPr>
    <w:rPr>
      <w:rFonts w:eastAsia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ier.gov.ro/"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50551-3967-479F-81CF-1AE0ED081B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1AFA059-56B4-4401-886F-0DE02730B379}">
  <ds:schemaRefs>
    <ds:schemaRef ds:uri="http://schemas.microsoft.com/sharepoint/v3/contenttype/forms"/>
  </ds:schemaRefs>
</ds:datastoreItem>
</file>

<file path=customXml/itemProps3.xml><?xml version="1.0" encoding="utf-8"?>
<ds:datastoreItem xmlns:ds="http://schemas.openxmlformats.org/officeDocument/2006/customXml" ds:itemID="{0C1F626C-C31F-46EB-8693-32CEC0A92DA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1573C84-0915-4591-8182-E2C2EFC40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3372</Words>
  <Characters>19559</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22886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dc:subject>
  <dc:creator/>
  <cp:keywords/>
  <cp:lastModifiedBy/>
  <cp:revision>1</cp:revision>
  <dcterms:created xsi:type="dcterms:W3CDTF">2024-05-22T10:18:00Z</dcterms:created>
  <dcterms:modified xsi:type="dcterms:W3CDTF">2024-07-12T12:50:00Z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RegisteredNo">
    <vt:lpwstr>33809/16</vt:lpwstr>
  </property>
  <property fmtid="{D5CDD505-2E9C-101B-9397-08002B2CF9AE}" pid="4" name="CASEID">
    <vt:lpwstr>1217298</vt:lpwstr>
  </property>
  <property fmtid="{D5CDD505-2E9C-101B-9397-08002B2CF9AE}" pid="5" name="ContentTypeId">
    <vt:lpwstr>0x010100558EB02BDB9E204AB350EDD385B68E10</vt:lpwstr>
  </property>
</Properties>
</file>