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514" w:rsidRDefault="00D76514" w:rsidP="0034349A">
      <w:pPr>
        <w:jc w:val="center"/>
        <w:rPr>
          <w:rFonts w:asciiTheme="majorHAnsi" w:hAnsiTheme="majorHAnsi"/>
          <w:sz w:val="28"/>
        </w:rPr>
      </w:pPr>
    </w:p>
    <w:p w:rsidR="00D76514" w:rsidRDefault="00D76514" w:rsidP="0034349A">
      <w:pPr>
        <w:jc w:val="center"/>
        <w:rPr>
          <w:rFonts w:asciiTheme="majorHAnsi" w:hAnsiTheme="majorHAnsi"/>
          <w:sz w:val="28"/>
        </w:rPr>
      </w:pPr>
    </w:p>
    <w:p w:rsidR="00D76514" w:rsidRDefault="00D76514" w:rsidP="0034349A">
      <w:pPr>
        <w:jc w:val="center"/>
        <w:rPr>
          <w:rFonts w:asciiTheme="majorHAnsi" w:hAnsiTheme="majorHAnsi"/>
          <w:sz w:val="28"/>
        </w:rPr>
      </w:pPr>
    </w:p>
    <w:p w:rsidR="00D76514" w:rsidRDefault="00D76514" w:rsidP="0034349A">
      <w:pPr>
        <w:jc w:val="center"/>
        <w:rPr>
          <w:rFonts w:asciiTheme="majorHAnsi" w:hAnsiTheme="majorHAnsi"/>
          <w:sz w:val="28"/>
        </w:rPr>
      </w:pPr>
    </w:p>
    <w:p w:rsidR="00D76514" w:rsidRDefault="00D76514" w:rsidP="0034349A">
      <w:pPr>
        <w:jc w:val="center"/>
        <w:rPr>
          <w:rFonts w:asciiTheme="majorHAnsi" w:hAnsiTheme="majorHAnsi"/>
          <w:sz w:val="28"/>
        </w:rPr>
      </w:pPr>
    </w:p>
    <w:p w:rsidR="00D76514" w:rsidRDefault="00D76514" w:rsidP="0034349A">
      <w:pPr>
        <w:jc w:val="center"/>
        <w:rPr>
          <w:rFonts w:asciiTheme="majorHAnsi" w:hAnsiTheme="majorHAnsi"/>
          <w:sz w:val="28"/>
        </w:rPr>
      </w:pPr>
    </w:p>
    <w:p w:rsidR="00621BC4" w:rsidRPr="0034349A" w:rsidRDefault="0034349A" w:rsidP="0034349A">
      <w:pPr>
        <w:jc w:val="center"/>
        <w:rPr>
          <w:rFonts w:asciiTheme="majorHAnsi" w:hAnsiTheme="majorHAnsi"/>
          <w:sz w:val="28"/>
        </w:rPr>
      </w:pPr>
      <w:bookmarkStart w:id="0" w:name="_GoBack"/>
      <w:bookmarkEnd w:id="0"/>
      <w:r>
        <w:rPr>
          <w:rFonts w:asciiTheme="majorHAnsi" w:hAnsiTheme="majorHAnsi"/>
          <w:sz w:val="28"/>
        </w:rPr>
        <w:t>CURTEA EUROPEANĂ A DREPTURILOR OMULUI</w:t>
      </w:r>
    </w:p>
    <w:p w:rsidR="0098410D" w:rsidRPr="000B64E9" w:rsidRDefault="0098410D" w:rsidP="000B64E9">
      <w:pPr>
        <w:jc w:val="center"/>
      </w:pPr>
    </w:p>
    <w:p w:rsidR="0098410D" w:rsidRPr="000B64E9" w:rsidRDefault="00CD51B0" w:rsidP="000B64E9">
      <w:pPr>
        <w:pStyle w:val="DecHTitle"/>
      </w:pPr>
      <w:r>
        <w:t>SECȚIA A PATRA</w:t>
      </w:r>
    </w:p>
    <w:p w:rsidR="008E6217" w:rsidRPr="000B64E9" w:rsidRDefault="00CD51B0" w:rsidP="000B64E9">
      <w:pPr>
        <w:pStyle w:val="JuTitle"/>
      </w:pPr>
      <w:r>
        <w:rPr>
          <w:color w:val="000000" w:themeColor="text1"/>
        </w:rPr>
        <w:t xml:space="preserve">CAUZA </w:t>
      </w:r>
      <w:r>
        <w:t>PLASTY PROD S.A. ÎMPOTRIVA ROMÂNIEI</w:t>
      </w:r>
    </w:p>
    <w:p w:rsidR="00D74888" w:rsidRPr="000B64E9" w:rsidRDefault="00CD51B0" w:rsidP="000B64E9">
      <w:pPr>
        <w:pStyle w:val="ECHRCoverTitle4"/>
      </w:pPr>
      <w:r>
        <w:t>(Cererea nr. 8889/18)</w:t>
      </w:r>
    </w:p>
    <w:p w:rsidR="0098410D" w:rsidRPr="000B64E9" w:rsidRDefault="0098410D" w:rsidP="000B64E9">
      <w:pPr>
        <w:pStyle w:val="DecHCase"/>
      </w:pPr>
    </w:p>
    <w:p w:rsidR="0098410D" w:rsidRPr="000B64E9" w:rsidRDefault="0098410D" w:rsidP="000B64E9">
      <w:pPr>
        <w:pStyle w:val="DecHCase"/>
      </w:pPr>
    </w:p>
    <w:p w:rsidR="00AC4CD4" w:rsidRPr="000B64E9" w:rsidRDefault="00AC4CD4" w:rsidP="000B64E9">
      <w:pPr>
        <w:pStyle w:val="DecHCase"/>
      </w:pPr>
    </w:p>
    <w:p w:rsidR="0098410D" w:rsidRPr="000B64E9" w:rsidRDefault="0098410D" w:rsidP="000B64E9">
      <w:pPr>
        <w:pStyle w:val="DecHCase"/>
      </w:pPr>
    </w:p>
    <w:p w:rsidR="000B64E9" w:rsidRPr="000B64E9" w:rsidRDefault="000B64E9" w:rsidP="000B64E9">
      <w:pPr>
        <w:pStyle w:val="DecHCase"/>
      </w:pPr>
    </w:p>
    <w:p w:rsidR="000B64E9" w:rsidRPr="000B64E9" w:rsidRDefault="000B64E9" w:rsidP="000B64E9">
      <w:pPr>
        <w:pStyle w:val="DecHCase"/>
      </w:pPr>
    </w:p>
    <w:p w:rsidR="0098410D" w:rsidRPr="000B64E9" w:rsidRDefault="00CD51B0" w:rsidP="000B64E9">
      <w:pPr>
        <w:pStyle w:val="DecHCase"/>
      </w:pPr>
      <w:r>
        <w:t>HOTĂRÂRE</w:t>
      </w:r>
      <w:r>
        <w:br/>
      </w:r>
    </w:p>
    <w:p w:rsidR="0098410D" w:rsidRPr="000B64E9" w:rsidRDefault="00CD51B0" w:rsidP="000B64E9">
      <w:pPr>
        <w:pStyle w:val="DecHCase"/>
      </w:pPr>
      <w:r>
        <w:t>STRASBOURG</w:t>
      </w:r>
    </w:p>
    <w:p w:rsidR="0098410D" w:rsidRPr="000B64E9" w:rsidRDefault="00CD51B0" w:rsidP="000B64E9">
      <w:pPr>
        <w:pStyle w:val="DecHCase"/>
      </w:pPr>
      <w:r>
        <w:rPr>
          <w:rFonts w:ascii="Times New Roman" w:hAnsi="Times New Roman"/>
        </w:rPr>
        <w:t>16 aprilie 2024</w:t>
      </w:r>
    </w:p>
    <w:p w:rsidR="00547638" w:rsidRPr="000B64E9" w:rsidRDefault="00547638" w:rsidP="000B64E9">
      <w:pPr>
        <w:pStyle w:val="JuPara"/>
      </w:pPr>
    </w:p>
    <w:p w:rsidR="002422B6" w:rsidRPr="000B64E9" w:rsidRDefault="00CD51B0" w:rsidP="000B64E9">
      <w:pPr>
        <w:rPr>
          <w:i/>
          <w:sz w:val="22"/>
        </w:rPr>
      </w:pPr>
      <w:r>
        <w:rPr>
          <w:i/>
          <w:sz w:val="22"/>
        </w:rPr>
        <w:t>Prezenta hotărâre este definitivă, dar poate suferi modificări de formă.</w:t>
      </w:r>
    </w:p>
    <w:p w:rsidR="0098410D" w:rsidRPr="000B64E9" w:rsidRDefault="0098410D" w:rsidP="000B64E9">
      <w:pPr>
        <w:sectPr w:rsidR="0098410D" w:rsidRPr="000B64E9" w:rsidSect="00D66471">
          <w:headerReference w:type="default" r:id="rId8"/>
          <w:footerReference w:type="default" r:id="rId9"/>
          <w:headerReference w:type="first" r:id="rId10"/>
          <w:footerReference w:type="first" r:id="rId11"/>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98410D" w:rsidRPr="000B64E9" w:rsidRDefault="00CD51B0" w:rsidP="000B64E9">
      <w:pPr>
        <w:pStyle w:val="JuCase"/>
      </w:pPr>
      <w:r>
        <w:lastRenderedPageBreak/>
        <w:t xml:space="preserve">În cauza </w:t>
      </w:r>
      <w:proofErr w:type="spellStart"/>
      <w:r>
        <w:t>Plasty</w:t>
      </w:r>
      <w:proofErr w:type="spellEnd"/>
      <w:r>
        <w:t xml:space="preserve"> Prod S.A. împotriva României,</w:t>
      </w:r>
    </w:p>
    <w:p w:rsidR="009F4C8F" w:rsidRPr="000B64E9" w:rsidRDefault="00CD51B0" w:rsidP="000B64E9">
      <w:pPr>
        <w:pStyle w:val="JuPara"/>
      </w:pPr>
      <w:r>
        <w:t>Curtea Europeană a Drepturilor Omului (Secția a patra), reunită într-un comitet compus din:</w:t>
      </w:r>
    </w:p>
    <w:p w:rsidR="00A92625" w:rsidRPr="000B64E9" w:rsidRDefault="00CD51B0" w:rsidP="000B64E9">
      <w:pPr>
        <w:pStyle w:val="JuJudges"/>
      </w:pPr>
      <w:r>
        <w:tab/>
      </w:r>
      <w:proofErr w:type="spellStart"/>
      <w:r>
        <w:t>Branko</w:t>
      </w:r>
      <w:proofErr w:type="spellEnd"/>
      <w:r>
        <w:t xml:space="preserve"> </w:t>
      </w:r>
      <w:proofErr w:type="spellStart"/>
      <w:r>
        <w:t>Lubarda</w:t>
      </w:r>
      <w:proofErr w:type="spellEnd"/>
      <w:r>
        <w:rPr>
          <w:i/>
        </w:rPr>
        <w:t>, președinte</w:t>
      </w:r>
      <w:r>
        <w:t>,</w:t>
      </w:r>
      <w:r>
        <w:br/>
      </w:r>
      <w:r>
        <w:tab/>
        <w:t xml:space="preserve">Anne </w:t>
      </w:r>
      <w:proofErr w:type="spellStart"/>
      <w:r>
        <w:t>Louise</w:t>
      </w:r>
      <w:proofErr w:type="spellEnd"/>
      <w:r>
        <w:t xml:space="preserve"> Bormann,</w:t>
      </w:r>
      <w:r>
        <w:br/>
      </w:r>
      <w:r>
        <w:tab/>
        <w:t>Sebastian Răduleţu</w:t>
      </w:r>
      <w:r>
        <w:rPr>
          <w:i/>
        </w:rPr>
        <w:t>, judecători</w:t>
      </w:r>
      <w:r>
        <w:t>,</w:t>
      </w:r>
      <w:r>
        <w:br/>
        <w:t xml:space="preserve">și Crina </w:t>
      </w:r>
      <w:proofErr w:type="spellStart"/>
      <w:r>
        <w:t>Kaufman</w:t>
      </w:r>
      <w:proofErr w:type="spellEnd"/>
      <w:r>
        <w:t xml:space="preserve">, </w:t>
      </w:r>
      <w:r>
        <w:rPr>
          <w:i/>
          <w:iCs/>
        </w:rPr>
        <w:t>grefier adjunct interimar de secție</w:t>
      </w:r>
      <w:r>
        <w:rPr>
          <w:i/>
        </w:rPr>
        <w:t>,</w:t>
      </w:r>
    </w:p>
    <w:p w:rsidR="00621BC4" w:rsidRPr="000B64E9" w:rsidRDefault="00CD51B0" w:rsidP="000B64E9">
      <w:pPr>
        <w:pStyle w:val="JuPara"/>
      </w:pPr>
      <w:r>
        <w:t>Având în vedere:</w:t>
      </w:r>
    </w:p>
    <w:p w:rsidR="00621BC4" w:rsidRPr="000B64E9" w:rsidRDefault="00CD51B0" w:rsidP="000B64E9">
      <w:pPr>
        <w:pStyle w:val="JuPara"/>
      </w:pPr>
      <w:r>
        <w:t xml:space="preserve">cererea (nr. 8889/18) îndreptată împotriva României, prin care o societate comercială a acestui stat, S.C. </w:t>
      </w:r>
      <w:proofErr w:type="spellStart"/>
      <w:r>
        <w:t>Plasty</w:t>
      </w:r>
      <w:proofErr w:type="spellEnd"/>
      <w:r>
        <w:t xml:space="preserve"> Prod S.A. („societatea reclamantă”), cu sediul în Constanța și reprezentată de doamna S.M. </w:t>
      </w:r>
      <w:proofErr w:type="spellStart"/>
      <w:r>
        <w:t>Muhscina</w:t>
      </w:r>
      <w:proofErr w:type="spellEnd"/>
      <w:r>
        <w:t xml:space="preserve">, avocat în Constanța, a sesizat Curtea, în temeiul art. 34 din Convenția pentru apărarea drepturilor omului și a libertăților fundamentale („Convenția”);  </w:t>
      </w:r>
    </w:p>
    <w:p w:rsidR="00621BC4" w:rsidRPr="000B64E9" w:rsidRDefault="00CD51B0" w:rsidP="000B64E9">
      <w:pPr>
        <w:pStyle w:val="JuPara"/>
      </w:pPr>
      <w:r>
        <w:t>decizia de a comunica prezenta cerere Guvernului României („Guvernul”), reprezentat de agentul guvernamental, doamna O.F. Ezer, din cadrul Ministerului Afacerilor Externe;</w:t>
      </w:r>
    </w:p>
    <w:p w:rsidR="00621BC4" w:rsidRPr="000B64E9" w:rsidRDefault="00CD51B0" w:rsidP="000B64E9">
      <w:pPr>
        <w:pStyle w:val="JuPara"/>
      </w:pPr>
      <w:r>
        <w:t>observațiile părților;</w:t>
      </w:r>
    </w:p>
    <w:p w:rsidR="009E0B2C" w:rsidRPr="000B64E9" w:rsidRDefault="00CD51B0" w:rsidP="000B64E9">
      <w:pPr>
        <w:pStyle w:val="JuPara"/>
      </w:pPr>
      <w:r>
        <w:t>și decizia de a respinge obiecția Guvernului cu privire la examinarea cererii de către un comitet;</w:t>
      </w:r>
    </w:p>
    <w:p w:rsidR="009F4C8F" w:rsidRPr="000B64E9" w:rsidRDefault="00CD51B0" w:rsidP="000B64E9">
      <w:pPr>
        <w:pStyle w:val="JuPara"/>
      </w:pPr>
      <w:r>
        <w:t>după ce a deliberat în camera de consiliu, la 26 martie 2024,</w:t>
      </w:r>
    </w:p>
    <w:p w:rsidR="009F4C8F" w:rsidRPr="000B64E9" w:rsidRDefault="00CD51B0" w:rsidP="000B64E9">
      <w:pPr>
        <w:pStyle w:val="JuPara"/>
      </w:pPr>
      <w:r>
        <w:t>pronunță prezenta hotărâre, adoptată la aceeași dată:</w:t>
      </w:r>
    </w:p>
    <w:p w:rsidR="00621BC4" w:rsidRPr="000B64E9" w:rsidRDefault="00CD51B0" w:rsidP="000B64E9">
      <w:pPr>
        <w:pStyle w:val="JuHHead"/>
        <w:numPr>
          <w:ilvl w:val="0"/>
          <w:numId w:val="0"/>
        </w:numPr>
      </w:pPr>
      <w:r>
        <w:t>OBIECTUL CAUZEI</w:t>
      </w:r>
    </w:p>
    <w:p w:rsidR="00621BC4" w:rsidRPr="000B64E9" w:rsidRDefault="00CD51B0" w:rsidP="000B64E9">
      <w:pPr>
        <w:pStyle w:val="JuPara"/>
      </w:pPr>
      <w:fldSimple w:instr=" SEQ level0 \*arabic ">
        <w:r w:rsidR="000B64E9" w:rsidRPr="000B64E9">
          <w:t>1</w:t>
        </w:r>
      </w:fldSimple>
      <w:r>
        <w:t>.  Cauza privește plângerea societății reclamante</w:t>
      </w:r>
      <w:r>
        <w:rPr>
          <w:color w:val="000000"/>
        </w:rPr>
        <w:t xml:space="preserve"> cu privire la pretinsa încălcare a dreptului său de acces la o instanță în temeiul art. 6 § 1 din Convenție și a dreptului său în temeiul art. 1 din Protocolul nr. 1 la Convenție, </w:t>
      </w:r>
      <w:r>
        <w:t>ca urmare a pretinsei interpretări eronate a normei privind termenul de către instanța națională de recurs.</w:t>
      </w:r>
    </w:p>
    <w:bookmarkStart w:id="1" w:name="doubleinvoicing"/>
    <w:p w:rsidR="00621BC4" w:rsidRPr="000B64E9" w:rsidRDefault="00CD51B0" w:rsidP="000B64E9">
      <w:pPr>
        <w:pStyle w:val="JuPara"/>
      </w:pPr>
      <w:r w:rsidRPr="000B64E9">
        <w:fldChar w:fldCharType="begin"/>
      </w:r>
      <w:r w:rsidRPr="000B64E9">
        <w:instrText xml:space="preserve"> SEQ level0 \*arabic \* MERGEFORMAT </w:instrText>
      </w:r>
      <w:r w:rsidRPr="000B64E9">
        <w:fldChar w:fldCharType="separate"/>
      </w:r>
      <w:r w:rsidR="000B64E9" w:rsidRPr="000B64E9">
        <w:t>2</w:t>
      </w:r>
      <w:r w:rsidRPr="000B64E9">
        <w:fldChar w:fldCharType="end"/>
      </w:r>
      <w:bookmarkEnd w:id="1"/>
      <w:r>
        <w:t>.  La 15 septembrie 2004, societatea reclamantă a semnat un contract cu societatea E pentru furnizarea de energie electrică („furnizorul de energie electrică”). În urma unui control al furnizorului de energie electrică, efectuat la 20 iulie 2012, societatea reclamantă a luat cunoștință de faptul că dispozitivul de măsurare instalat de furnizorul de energie electrică la sediul acesteia măsurase în mod eronat consumul de electricitate încă de la instalarea sa din 2004. Furnizorul de energie electrică și-a admis culpa și a rambursat societății reclamante sumele greșit facturate între 1</w:t>
      </w:r>
      <w:r>
        <w:rPr>
          <w:vertAlign w:val="superscript"/>
        </w:rPr>
        <w:t xml:space="preserve"> </w:t>
      </w:r>
      <w:r>
        <w:t>iulie 2009 și 4 martie 2013 (data la care furnizorul de energie electrică a înlocuit dispozitivul de măsurare).</w:t>
      </w:r>
    </w:p>
    <w:p w:rsidR="00621BC4" w:rsidRPr="000B64E9" w:rsidRDefault="000B64E9" w:rsidP="000B64E9">
      <w:pPr>
        <w:pStyle w:val="JuPara"/>
      </w:pPr>
      <w:r w:rsidRPr="000B64E9">
        <w:fldChar w:fldCharType="begin"/>
      </w:r>
      <w:r w:rsidR="00CD51B0">
        <w:instrText xml:space="preserve"> SEQ level0 \*arabic \* MERGEFORMAT </w:instrText>
      </w:r>
      <w:r w:rsidRPr="000B64E9">
        <w:fldChar w:fldCharType="separate"/>
      </w:r>
      <w:r w:rsidRPr="000B64E9">
        <w:t>3</w:t>
      </w:r>
      <w:r w:rsidRPr="000B64E9">
        <w:fldChar w:fldCharType="end"/>
      </w:r>
      <w:r>
        <w:t>.  La 20 mai 2015 societatea reclamantă a formulat o acțiune civilă împotriva furnizorului de energie electrică cerând calcularea sumelor plătite necuvenit pentru perioada dintre instalarea dispozitivului de măsurare în 2004 și 1 iulie 2009.</w:t>
      </w:r>
    </w:p>
    <w:bookmarkStart w:id="2" w:name="firstinstance"/>
    <w:p w:rsidR="00621BC4" w:rsidRPr="000B64E9" w:rsidRDefault="00CD51B0" w:rsidP="000B64E9">
      <w:pPr>
        <w:pStyle w:val="JuPara"/>
      </w:pPr>
      <w:r w:rsidRPr="000B64E9">
        <w:lastRenderedPageBreak/>
        <w:fldChar w:fldCharType="begin"/>
      </w:r>
      <w:r w:rsidRPr="000B64E9">
        <w:instrText xml:space="preserve"> SEQ level0 \*arabic \* MERGEFORMAT </w:instrText>
      </w:r>
      <w:r w:rsidRPr="000B64E9">
        <w:fldChar w:fldCharType="separate"/>
      </w:r>
      <w:r w:rsidR="000B64E9" w:rsidRPr="000B64E9">
        <w:t>4</w:t>
      </w:r>
      <w:r w:rsidRPr="000B64E9">
        <w:fldChar w:fldCharType="end"/>
      </w:r>
      <w:bookmarkEnd w:id="2"/>
      <w:r>
        <w:t>.  La 3 martie 2016, Judecătoria Constanța („instanța de prim grad”) a admis acțiunea pe baza probelor prezentate de părți că energia electrică înregistrată și facturată a fost dublul celei consumate de fapt de societatea reclamantă din cauza funcționării incorecte a dispozitivului de măsurare instalat de furnizorul de energie electrică la sediul societății reclamante. Instanța a respins obiecția ridicată de furnizorul de energie electrică că acțiunea era prescrisă, reținând că fusese formulată în termenul de trei ani care a început să curgă doar din 20 iulie 2012, când societatea reclamantă a luat cunoștință de proasta instalare a dispozitivului de măsurare.</w:t>
      </w:r>
    </w:p>
    <w:p w:rsidR="00621BC4" w:rsidRPr="000B64E9" w:rsidRDefault="000B64E9" w:rsidP="000B64E9">
      <w:pPr>
        <w:pStyle w:val="JuPara"/>
      </w:pPr>
      <w:r w:rsidRPr="000B64E9">
        <w:fldChar w:fldCharType="begin"/>
      </w:r>
      <w:r w:rsidR="00CD51B0">
        <w:instrText xml:space="preserve"> SEQ level0 \*arabic \* MERGEFORMAT </w:instrText>
      </w:r>
      <w:r w:rsidRPr="000B64E9">
        <w:fldChar w:fldCharType="separate"/>
      </w:r>
      <w:r w:rsidRPr="000B64E9">
        <w:t>5</w:t>
      </w:r>
      <w:r w:rsidRPr="000B64E9">
        <w:fldChar w:fldCharType="end"/>
      </w:r>
      <w:r>
        <w:t>.  Furnizorul de energie electrică a formulat apel, reiterând obiecția că acțiunea societății reclamante era prescrisă.</w:t>
      </w:r>
    </w:p>
    <w:bookmarkStart w:id="3" w:name="courtoflastresort"/>
    <w:p w:rsidR="00621BC4" w:rsidRPr="000B64E9" w:rsidRDefault="00CD51B0" w:rsidP="000B64E9">
      <w:pPr>
        <w:pStyle w:val="JuPara"/>
      </w:pPr>
      <w:r w:rsidRPr="000B64E9">
        <w:fldChar w:fldCharType="begin"/>
      </w:r>
      <w:r w:rsidRPr="000B64E9">
        <w:instrText xml:space="preserve"> SEQ level0 \*arabic \* MERGEFORMAT </w:instrText>
      </w:r>
      <w:r w:rsidRPr="000B64E9">
        <w:fldChar w:fldCharType="separate"/>
      </w:r>
      <w:r w:rsidR="000B64E9" w:rsidRPr="000B64E9">
        <w:t>6</w:t>
      </w:r>
      <w:r w:rsidRPr="000B64E9">
        <w:fldChar w:fldCharType="end"/>
      </w:r>
      <w:bookmarkEnd w:id="3"/>
      <w:r>
        <w:t>.  Prin hotărâre definitivă din 16 iunie 2017, comunicată reclamantului la 8 august 2017, Tribunalul Constanța a admis apelul și a anulat hotărârea instanței de prim grad. A hotărât că dreptul de a obține calcularea plăților necuvenite efectuate de societatea reclamantă, urmate de rambursarea lor, era prescrisă întrucât termenul de trei ani a început să curgă de la data emiterii fiecărei facturi lunare incorecte și nu de la data la care societatea reclamantă luase cunoștință de facturarea eronată.</w:t>
      </w:r>
    </w:p>
    <w:p w:rsidR="00621BC4" w:rsidRPr="000B64E9" w:rsidRDefault="00CD51B0" w:rsidP="000B64E9">
      <w:pPr>
        <w:pStyle w:val="JuHHead"/>
      </w:pPr>
      <w:r>
        <w:t>MOTIVAREA CURȚII</w:t>
      </w:r>
    </w:p>
    <w:p w:rsidR="00621BC4" w:rsidRPr="000B64E9" w:rsidRDefault="00CD51B0" w:rsidP="000B64E9">
      <w:pPr>
        <w:pStyle w:val="JuHIRoman"/>
        <w:ind w:left="397" w:hanging="397"/>
      </w:pPr>
      <w:r>
        <w:t>CU PRIVIRE LA PRETINSA ÎNCĂLCARE A ART. 6 § 1 DIN CONVENȚIE</w:t>
      </w:r>
    </w:p>
    <w:p w:rsidR="00621BC4" w:rsidRPr="000B64E9" w:rsidRDefault="000B64E9" w:rsidP="000B64E9">
      <w:pPr>
        <w:pStyle w:val="JuPara"/>
        <w:rPr>
          <w:color w:val="000000"/>
        </w:rPr>
      </w:pPr>
      <w:r w:rsidRPr="000B64E9">
        <w:fldChar w:fldCharType="begin"/>
      </w:r>
      <w:r w:rsidR="00CD51B0">
        <w:instrText xml:space="preserve"> SEQ level0 \*arabic \* MERGEFORMAT </w:instrText>
      </w:r>
      <w:r w:rsidRPr="000B64E9">
        <w:fldChar w:fldCharType="separate"/>
      </w:r>
      <w:r w:rsidRPr="000B64E9">
        <w:t>7</w:t>
      </w:r>
      <w:r w:rsidRPr="000B64E9">
        <w:fldChar w:fldCharType="end"/>
      </w:r>
      <w:r>
        <w:t>.  Societatea reclamantă s-a plâns că Tribunalul Constanța a interpretat dispozițiile legii naționale referitoare la prescripția extinctivă într-un mod arbitrar, refuzându-i astfel dreptul de acces la o instanță, cu încălcarea art.</w:t>
      </w:r>
      <w:r>
        <w:rPr>
          <w:color w:val="000000"/>
        </w:rPr>
        <w:t xml:space="preserve"> 6 § 1 din Convenție.</w:t>
      </w:r>
    </w:p>
    <w:p w:rsidR="00621BC4" w:rsidRPr="000B64E9" w:rsidRDefault="000B64E9" w:rsidP="000B64E9">
      <w:pPr>
        <w:pStyle w:val="JuPara"/>
      </w:pPr>
      <w:r w:rsidRPr="000B64E9">
        <w:fldChar w:fldCharType="begin"/>
      </w:r>
      <w:r w:rsidR="00CD51B0">
        <w:instrText xml:space="preserve"> SEQ level0 \*arabic \* MERGEFORMAT </w:instrText>
      </w:r>
      <w:r w:rsidRPr="000B64E9">
        <w:fldChar w:fldCharType="separate"/>
      </w:r>
      <w:r w:rsidRPr="000B64E9">
        <w:t>8</w:t>
      </w:r>
      <w:r w:rsidRPr="000B64E9">
        <w:fldChar w:fldCharType="end"/>
      </w:r>
      <w:r>
        <w:t xml:space="preserve">.  Principiile generale cu privire la accesul la o instanță au fost rezumate în </w:t>
      </w:r>
      <w:proofErr w:type="spellStart"/>
      <w:r>
        <w:rPr>
          <w:i/>
        </w:rPr>
        <w:t>Zubac</w:t>
      </w:r>
      <w:proofErr w:type="spellEnd"/>
      <w:r>
        <w:rPr>
          <w:i/>
        </w:rPr>
        <w:t xml:space="preserve"> împotriva Croației</w:t>
      </w:r>
      <w:r>
        <w:t xml:space="preserve"> [(MC) nr. 40160/12, pct. 76-79, 5 aprilie 2018].</w:t>
      </w:r>
    </w:p>
    <w:p w:rsidR="00621BC4" w:rsidRPr="000B64E9" w:rsidRDefault="00CD51B0" w:rsidP="000B64E9">
      <w:pPr>
        <w:pStyle w:val="JuPara"/>
        <w:rPr>
          <w:rFonts w:cstheme="minorHAnsi"/>
          <w:color w:val="000000"/>
        </w:rPr>
      </w:pPr>
      <w:r w:rsidRPr="000B64E9">
        <w:rPr>
          <w:rFonts w:cstheme="minorHAnsi"/>
          <w:color w:val="000000"/>
        </w:rPr>
        <w:fldChar w:fldCharType="begin"/>
      </w:r>
      <w:r w:rsidRPr="000B64E9">
        <w:rPr>
          <w:rFonts w:cstheme="minorHAnsi"/>
          <w:color w:val="000000"/>
        </w:rPr>
        <w:instrText xml:space="preserve"> SEQ level0 \*arabic \* MERGEFORMAT </w:instrText>
      </w:r>
      <w:r w:rsidRPr="000B64E9">
        <w:rPr>
          <w:rFonts w:cstheme="minorHAnsi"/>
          <w:color w:val="000000"/>
        </w:rPr>
        <w:fldChar w:fldCharType="separate"/>
      </w:r>
      <w:r w:rsidR="000B64E9" w:rsidRPr="000B64E9">
        <w:rPr>
          <w:rFonts w:cstheme="minorHAnsi"/>
          <w:color w:val="000000"/>
        </w:rPr>
        <w:t>9</w:t>
      </w:r>
      <w:r w:rsidRPr="000B64E9">
        <w:rPr>
          <w:rFonts w:cstheme="minorHAnsi"/>
          <w:color w:val="000000"/>
        </w:rPr>
        <w:fldChar w:fldCharType="end"/>
      </w:r>
      <w:r>
        <w:rPr>
          <w:color w:val="000000"/>
        </w:rPr>
        <w:t xml:space="preserve">.  Curtea reiterează în primul rând că cerința de a depune o cerere judiciară într-un termen dat nu este în sine incompatibilă cu art. 6 § 1 din Convenție. </w:t>
      </w:r>
      <w:r>
        <w:t>Curtea a hotărât în numeroase rânduri că</w:t>
      </w:r>
      <w:r>
        <w:rPr>
          <w:color w:val="000000"/>
        </w:rPr>
        <w:t xml:space="preserve"> o astfel de cerință urmărește scopul legitim de administrare corectă a justiției și de respectare, în special, a principiului securității juridice (a se vedea, de exemplu,</w:t>
      </w:r>
      <w:bookmarkStart w:id="4" w:name="_cl33970"/>
      <w:r>
        <w:rPr>
          <w:color w:val="000000"/>
        </w:rPr>
        <w:t xml:space="preserve"> </w:t>
      </w:r>
      <w:proofErr w:type="spellStart"/>
      <w:r>
        <w:rPr>
          <w:i/>
          <w:color w:val="000000"/>
        </w:rPr>
        <w:t>Pérez</w:t>
      </w:r>
      <w:proofErr w:type="spellEnd"/>
      <w:r>
        <w:rPr>
          <w:i/>
          <w:color w:val="000000"/>
        </w:rPr>
        <w:t xml:space="preserve"> de Rada </w:t>
      </w:r>
      <w:proofErr w:type="spellStart"/>
      <w:r>
        <w:rPr>
          <w:i/>
          <w:color w:val="000000"/>
        </w:rPr>
        <w:t>Cavanilles</w:t>
      </w:r>
      <w:proofErr w:type="spellEnd"/>
      <w:r>
        <w:rPr>
          <w:i/>
          <w:color w:val="000000"/>
        </w:rPr>
        <w:t xml:space="preserve"> împotriva Spaniei</w:t>
      </w:r>
      <w:bookmarkEnd w:id="4"/>
      <w:r>
        <w:rPr>
          <w:color w:val="000000"/>
        </w:rPr>
        <w:t xml:space="preserve">, 28 octombrie 1998, pct. 45, </w:t>
      </w:r>
      <w:r>
        <w:rPr>
          <w:i/>
          <w:iCs/>
          <w:color w:val="000000"/>
        </w:rPr>
        <w:t>Culegere de hotărâri și decizii</w:t>
      </w:r>
      <w:r>
        <w:rPr>
          <w:color w:val="000000"/>
        </w:rPr>
        <w:t xml:space="preserve"> 1998-VIII, și </w:t>
      </w:r>
      <w:proofErr w:type="spellStart"/>
      <w:r>
        <w:rPr>
          <w:i/>
          <w:color w:val="000000"/>
        </w:rPr>
        <w:t>Miragall</w:t>
      </w:r>
      <w:proofErr w:type="spellEnd"/>
      <w:r>
        <w:rPr>
          <w:i/>
          <w:color w:val="000000"/>
        </w:rPr>
        <w:t xml:space="preserve"> </w:t>
      </w:r>
      <w:proofErr w:type="spellStart"/>
      <w:r>
        <w:rPr>
          <w:i/>
          <w:color w:val="000000"/>
        </w:rPr>
        <w:t>Escolano</w:t>
      </w:r>
      <w:proofErr w:type="spellEnd"/>
      <w:r>
        <w:rPr>
          <w:i/>
          <w:color w:val="000000"/>
        </w:rPr>
        <w:t xml:space="preserve"> și alții împotriva Spaniei</w:t>
      </w:r>
      <w:r>
        <w:rPr>
          <w:color w:val="000000"/>
        </w:rPr>
        <w:t>, nr. 38366/97, pct. 33, CEDO 2000-I).</w:t>
      </w:r>
    </w:p>
    <w:p w:rsidR="00621BC4" w:rsidRPr="000B64E9" w:rsidRDefault="000B64E9" w:rsidP="000B64E9">
      <w:pPr>
        <w:pStyle w:val="JuPara"/>
      </w:pPr>
      <w:r w:rsidRPr="000B64E9">
        <w:fldChar w:fldCharType="begin"/>
      </w:r>
      <w:r w:rsidR="00CD51B0">
        <w:instrText xml:space="preserve"> SEQ level0 \*arabic \* MERGEFORMAT </w:instrText>
      </w:r>
      <w:r w:rsidRPr="000B64E9">
        <w:fldChar w:fldCharType="separate"/>
      </w:r>
      <w:r w:rsidRPr="000B64E9">
        <w:t>10</w:t>
      </w:r>
      <w:r w:rsidRPr="000B64E9">
        <w:fldChar w:fldCharType="end"/>
      </w:r>
      <w:r>
        <w:t xml:space="preserve">.  Revenind la cauza prezentă, Curtea observă că în centrul acesteia se află modul în care Tribunalul Constanța a interpretat și a aplicat </w:t>
      </w:r>
      <w:r>
        <w:rPr>
          <w:snapToGrid w:val="0"/>
        </w:rPr>
        <w:t xml:space="preserve">reglementările privind termenul </w:t>
      </w:r>
      <w:r>
        <w:t>în legătură cu dreptul societății reclamante de a obține calcularea și rambursarea sumelor calculate greșit de furnizorul de energie electrică între 2004 și 2009.</w:t>
      </w:r>
    </w:p>
    <w:p w:rsidR="00621BC4" w:rsidRPr="000B64E9" w:rsidRDefault="00CD51B0" w:rsidP="000B64E9">
      <w:pPr>
        <w:pStyle w:val="JuPara"/>
      </w:pPr>
      <w:r w:rsidRPr="000B64E9">
        <w:rPr>
          <w:rFonts w:cstheme="minorHAnsi"/>
          <w:color w:val="000000"/>
        </w:rPr>
        <w:lastRenderedPageBreak/>
        <w:fldChar w:fldCharType="begin"/>
      </w:r>
      <w:r w:rsidRPr="000B64E9">
        <w:rPr>
          <w:rFonts w:cstheme="minorHAnsi"/>
          <w:color w:val="000000"/>
        </w:rPr>
        <w:instrText xml:space="preserve"> SEQ level0 \*arabic \* MERGEFORMAT </w:instrText>
      </w:r>
      <w:r w:rsidRPr="000B64E9">
        <w:rPr>
          <w:rFonts w:cstheme="minorHAnsi"/>
          <w:color w:val="000000"/>
        </w:rPr>
        <w:fldChar w:fldCharType="separate"/>
      </w:r>
      <w:r w:rsidR="000B64E9" w:rsidRPr="000B64E9">
        <w:rPr>
          <w:rFonts w:cstheme="minorHAnsi"/>
          <w:color w:val="000000"/>
        </w:rPr>
        <w:t>11</w:t>
      </w:r>
      <w:r w:rsidRPr="000B64E9">
        <w:rPr>
          <w:rFonts w:cstheme="minorHAnsi"/>
          <w:color w:val="000000"/>
        </w:rPr>
        <w:fldChar w:fldCharType="end"/>
      </w:r>
      <w:r>
        <w:rPr>
          <w:color w:val="000000"/>
        </w:rPr>
        <w:t>.  </w:t>
      </w:r>
      <w:r>
        <w:t xml:space="preserve">Dispozitivul de măsurare a consumului de energie electrică a fost instalat de furnizorul de energie electrică la sediul societății reclamante în septembrie 2004. Cu toate acestea, societatea reclamantă a aflat despre proasta </w:t>
      </w:r>
      <w:r>
        <w:rPr>
          <w:color w:val="000000"/>
        </w:rPr>
        <w:t xml:space="preserve">instalare și despre faptul că a fost obiectul unei duble facturări doar la 20 iulie 2012 (a se vedea supra, pct. </w:t>
      </w:r>
      <w:r w:rsidRPr="000B64E9">
        <w:rPr>
          <w:rFonts w:cstheme="minorHAnsi"/>
          <w:color w:val="000000"/>
        </w:rPr>
        <w:fldChar w:fldCharType="begin"/>
      </w:r>
      <w:r w:rsidRPr="000B64E9">
        <w:rPr>
          <w:rFonts w:cstheme="minorHAnsi"/>
          <w:color w:val="000000"/>
        </w:rPr>
        <w:instrText xml:space="preserve"> REF doubleinvoicing \h </w:instrText>
      </w:r>
      <w:r w:rsidRPr="000B64E9">
        <w:rPr>
          <w:rFonts w:cstheme="minorHAnsi"/>
          <w:color w:val="000000"/>
        </w:rPr>
      </w:r>
      <w:r w:rsidRPr="000B64E9">
        <w:rPr>
          <w:rFonts w:cstheme="minorHAnsi"/>
          <w:color w:val="000000"/>
        </w:rPr>
        <w:fldChar w:fldCharType="separate"/>
      </w:r>
      <w:r w:rsidR="000B64E9" w:rsidRPr="000B64E9">
        <w:t>2</w:t>
      </w:r>
      <w:r w:rsidRPr="000B64E9">
        <w:rPr>
          <w:rFonts w:cstheme="minorHAnsi"/>
          <w:color w:val="000000"/>
        </w:rPr>
        <w:fldChar w:fldCharType="end"/>
      </w:r>
      <w:r>
        <w:rPr>
          <w:color w:val="000000"/>
        </w:rPr>
        <w:t>).</w:t>
      </w:r>
      <w:r>
        <w:t xml:space="preserve"> </w:t>
      </w:r>
      <w:r>
        <w:rPr>
          <w:color w:val="000000"/>
        </w:rPr>
        <w:t xml:space="preserve">Deși această dată era necontestată între părțile din procesul civil intern, ceea ce se contesta între părți a fost data de la care a început să curgă termenul de trei ani prevăzut de lege. </w:t>
      </w:r>
      <w:r>
        <w:t>Furnizorul de energie electrică</w:t>
      </w:r>
      <w:r>
        <w:rPr>
          <w:color w:val="000000"/>
        </w:rPr>
        <w:t xml:space="preserve"> și-a recunoscut culpa și a rambursat societății reclamante sumele greșit facturate între 1 iulie 2009 și</w:t>
      </w:r>
      <w:r>
        <w:t xml:space="preserve"> 3 septembrie 2013 (a se vedea supra, pct. </w:t>
      </w:r>
      <w:r w:rsidRPr="000B64E9">
        <w:fldChar w:fldCharType="begin"/>
      </w:r>
      <w:r w:rsidRPr="000B64E9">
        <w:instrText xml:space="preserve"> REF doubleinvoicing \h </w:instrText>
      </w:r>
      <w:r w:rsidRPr="000B64E9">
        <w:fldChar w:fldCharType="separate"/>
      </w:r>
      <w:r w:rsidR="000B64E9" w:rsidRPr="000B64E9">
        <w:t>2</w:t>
      </w:r>
      <w:r w:rsidRPr="000B64E9">
        <w:fldChar w:fldCharType="end"/>
      </w:r>
      <w:r>
        <w:t>); totuși, a refuzat să calculeze și să ramburseze sumele pentru perioada dintre instalarea dispozitivului de măsurare și 1 iulie 2009, susținând că s-au prescris.</w:t>
      </w:r>
    </w:p>
    <w:p w:rsidR="00621BC4" w:rsidRPr="000B64E9" w:rsidRDefault="00CD51B0" w:rsidP="000B64E9">
      <w:pPr>
        <w:pStyle w:val="JuPara"/>
        <w:rPr>
          <w:rFonts w:cstheme="minorHAnsi"/>
          <w:color w:val="000000"/>
        </w:rPr>
      </w:pPr>
      <w:r w:rsidRPr="000B64E9">
        <w:rPr>
          <w:rFonts w:cstheme="minorHAnsi"/>
          <w:color w:val="000000"/>
        </w:rPr>
        <w:fldChar w:fldCharType="begin"/>
      </w:r>
      <w:r w:rsidRPr="000B64E9">
        <w:rPr>
          <w:rFonts w:cstheme="minorHAnsi"/>
          <w:color w:val="000000"/>
        </w:rPr>
        <w:instrText xml:space="preserve"> SEQ level0 \*arabic \* MERGEFORMAT </w:instrText>
      </w:r>
      <w:r w:rsidRPr="000B64E9">
        <w:rPr>
          <w:rFonts w:cstheme="minorHAnsi"/>
          <w:color w:val="000000"/>
        </w:rPr>
        <w:fldChar w:fldCharType="separate"/>
      </w:r>
      <w:r w:rsidR="000B64E9" w:rsidRPr="000B64E9">
        <w:rPr>
          <w:rFonts w:cstheme="minorHAnsi"/>
          <w:color w:val="000000"/>
        </w:rPr>
        <w:t>12</w:t>
      </w:r>
      <w:r w:rsidRPr="000B64E9">
        <w:rPr>
          <w:rFonts w:cstheme="minorHAnsi"/>
          <w:color w:val="000000"/>
        </w:rPr>
        <w:fldChar w:fldCharType="end"/>
      </w:r>
      <w:r>
        <w:rPr>
          <w:color w:val="000000"/>
        </w:rPr>
        <w:t xml:space="preserve">.  Curtea reține și faptul că cele două instanțe interne care examinaseră cauza societății reclamante în două grade de jurisdicție aveau interpretări diferite în privința dispozițiilor interne relevante. Astfel, cu toate că instanță de prim grad a acordat importanță datei la care societatea reclamantă a luat cunoștință de proasta instalare a dispozitivului de măsurare și a considerat, prin urmare, că termenul de trei ani a început să curgă din acel moment (a se vedea supra, pct. </w:t>
      </w:r>
      <w:r w:rsidRPr="000B64E9">
        <w:rPr>
          <w:rFonts w:cstheme="minorHAnsi"/>
          <w:color w:val="000000"/>
        </w:rPr>
        <w:fldChar w:fldCharType="begin"/>
      </w:r>
      <w:r w:rsidRPr="000B64E9">
        <w:rPr>
          <w:rFonts w:cstheme="minorHAnsi"/>
          <w:color w:val="000000"/>
        </w:rPr>
        <w:instrText xml:space="preserve"> REF firstinstance \h </w:instrText>
      </w:r>
      <w:r w:rsidRPr="000B64E9">
        <w:rPr>
          <w:rFonts w:cstheme="minorHAnsi"/>
          <w:color w:val="000000"/>
        </w:rPr>
      </w:r>
      <w:r w:rsidRPr="000B64E9">
        <w:rPr>
          <w:rFonts w:cstheme="minorHAnsi"/>
          <w:color w:val="000000"/>
        </w:rPr>
        <w:fldChar w:fldCharType="separate"/>
      </w:r>
      <w:r w:rsidR="000B64E9" w:rsidRPr="000B64E9">
        <w:t>4</w:t>
      </w:r>
      <w:r w:rsidRPr="000B64E9">
        <w:rPr>
          <w:rFonts w:cstheme="minorHAnsi"/>
          <w:color w:val="000000"/>
        </w:rPr>
        <w:fldChar w:fldCharType="end"/>
      </w:r>
      <w:r>
        <w:rPr>
          <w:color w:val="000000"/>
        </w:rPr>
        <w:t xml:space="preserve">), Tribunalul Constanța a considerat că societatea reclamantă ar fi trebuit să formuleze cauza </w:t>
      </w:r>
      <w:r>
        <w:t xml:space="preserve">în termen de trei ani de la data emiterii fiecărei facturi lunare incorecte (a se vedea supra, pct. </w:t>
      </w:r>
      <w:r w:rsidRPr="000B64E9">
        <w:rPr>
          <w:rFonts w:cstheme="minorHAnsi"/>
        </w:rPr>
        <w:fldChar w:fldCharType="begin"/>
      </w:r>
      <w:r w:rsidRPr="000B64E9">
        <w:rPr>
          <w:rFonts w:cstheme="minorHAnsi"/>
        </w:rPr>
        <w:instrText xml:space="preserve"> REF courtoflastresort \h </w:instrText>
      </w:r>
      <w:r w:rsidRPr="000B64E9">
        <w:rPr>
          <w:rFonts w:cstheme="minorHAnsi"/>
        </w:rPr>
      </w:r>
      <w:r w:rsidRPr="000B64E9">
        <w:rPr>
          <w:rFonts w:cstheme="minorHAnsi"/>
        </w:rPr>
        <w:fldChar w:fldCharType="separate"/>
      </w:r>
      <w:r w:rsidR="000B64E9" w:rsidRPr="000B64E9">
        <w:t>6</w:t>
      </w:r>
      <w:r w:rsidRPr="000B64E9">
        <w:rPr>
          <w:rFonts w:cstheme="minorHAnsi"/>
        </w:rPr>
        <w:fldChar w:fldCharType="end"/>
      </w:r>
      <w:r>
        <w:t>).</w:t>
      </w:r>
    </w:p>
    <w:p w:rsidR="00621BC4" w:rsidRPr="000B64E9" w:rsidRDefault="00CD51B0" w:rsidP="000B64E9">
      <w:pPr>
        <w:pStyle w:val="JuPara"/>
        <w:rPr>
          <w:rFonts w:cstheme="minorHAnsi"/>
          <w:color w:val="000000"/>
        </w:rPr>
      </w:pPr>
      <w:r w:rsidRPr="000B64E9">
        <w:rPr>
          <w:rFonts w:cstheme="minorHAnsi"/>
          <w:color w:val="000000"/>
        </w:rPr>
        <w:fldChar w:fldCharType="begin"/>
      </w:r>
      <w:r w:rsidRPr="000B64E9">
        <w:rPr>
          <w:rFonts w:cstheme="minorHAnsi"/>
          <w:color w:val="000000"/>
        </w:rPr>
        <w:instrText xml:space="preserve"> SEQ level0 \*arabic \* MERGEFORMAT </w:instrText>
      </w:r>
      <w:r w:rsidRPr="000B64E9">
        <w:rPr>
          <w:rFonts w:cstheme="minorHAnsi"/>
          <w:color w:val="000000"/>
        </w:rPr>
        <w:fldChar w:fldCharType="separate"/>
      </w:r>
      <w:r w:rsidR="000B64E9" w:rsidRPr="000B64E9">
        <w:rPr>
          <w:rFonts w:cstheme="minorHAnsi"/>
          <w:color w:val="000000"/>
        </w:rPr>
        <w:t>13</w:t>
      </w:r>
      <w:r w:rsidRPr="000B64E9">
        <w:rPr>
          <w:rFonts w:cstheme="minorHAnsi"/>
          <w:color w:val="000000"/>
        </w:rPr>
        <w:fldChar w:fldCharType="end"/>
      </w:r>
      <w:r>
        <w:rPr>
          <w:color w:val="000000"/>
        </w:rPr>
        <w:t>.  În temeiul art. 8 din Decretul-lege nr. 167/1958 privitor la prescripția extinctivă, în vigoare până la 1 octombrie 2011, dar aplicabil în speță în conformitate cu dispozițiile tranzitorii din noul Cod Civil (deoarece termenul de prescripție a început să curgă în timp ce decretul era încă în vigoare), termenul de prescripție pentru formularea unei cereri de despăgubire pentru prejudiciul suferit ca urmare a unei acțiuni ilegale începe să curgă de la data când păgubitul a cunoscut paguba și pe cel care răspunde de ea.  În temeiul art. 3 din același decret, termenul de prescripție este de trei ani pentru a formula o acțiune cu obiect patrimonial.</w:t>
      </w:r>
    </w:p>
    <w:p w:rsidR="00621BC4" w:rsidRPr="000B64E9" w:rsidRDefault="00CD51B0" w:rsidP="000B64E9">
      <w:pPr>
        <w:pStyle w:val="JuPara"/>
      </w:pPr>
      <w:r w:rsidRPr="000B64E9">
        <w:rPr>
          <w:snapToGrid w:val="0"/>
        </w:rPr>
        <w:fldChar w:fldCharType="begin"/>
      </w:r>
      <w:r w:rsidRPr="000B64E9">
        <w:rPr>
          <w:snapToGrid w:val="0"/>
        </w:rPr>
        <w:instrText xml:space="preserve"> SEQ level0 \*arabic \* MERGEFORMAT </w:instrText>
      </w:r>
      <w:r w:rsidRPr="000B64E9">
        <w:rPr>
          <w:snapToGrid w:val="0"/>
        </w:rPr>
        <w:fldChar w:fldCharType="separate"/>
      </w:r>
      <w:r w:rsidR="000B64E9" w:rsidRPr="000B64E9">
        <w:rPr>
          <w:snapToGrid w:val="0"/>
        </w:rPr>
        <w:t>14</w:t>
      </w:r>
      <w:r w:rsidRPr="000B64E9">
        <w:rPr>
          <w:snapToGrid w:val="0"/>
        </w:rPr>
        <w:fldChar w:fldCharType="end"/>
      </w:r>
      <w:r>
        <w:rPr>
          <w:snapToGrid w:val="0"/>
        </w:rPr>
        <w:t xml:space="preserve">.  În lumina celor de mai sus, Curtea consideră că interpretarea și aplicarea regulii relevante privind termenul de către Tribunalul Constanța, conform căruia societatea reclamantă era obligată să introducă acțiunea în momentul în care în mod realist aceasta nu putea avea suficientă cunoștință de prejudiciul suferit sau despre baza faptică pentru a depune o plângere, </w:t>
      </w:r>
      <w:r>
        <w:t xml:space="preserve">erau arbitrare și împiedicau examinarea în întregime </w:t>
      </w:r>
      <w:r>
        <w:rPr>
          <w:color w:val="000000"/>
        </w:rPr>
        <w:t>a fondului cauzei. Mai mult, o astfel de interpretare nu era în conformitate cu doctrina și jurisprudența existente. Prin urmare, prin impunerea unei sarcini disproporționate asupra societății reclamante, Tribunalul Constanța a afectat esența însăși a dreptului societății reclamante de acces la o instanță.</w:t>
      </w:r>
    </w:p>
    <w:bookmarkStart w:id="5" w:name="violation"/>
    <w:p w:rsidR="00621BC4" w:rsidRPr="000B64E9" w:rsidRDefault="00CD51B0" w:rsidP="000B64E9">
      <w:pPr>
        <w:pStyle w:val="JuPara"/>
        <w:rPr>
          <w:rFonts w:cstheme="minorHAnsi"/>
          <w:color w:val="000000"/>
        </w:rPr>
      </w:pPr>
      <w:r w:rsidRPr="000B64E9">
        <w:rPr>
          <w:rFonts w:cstheme="minorHAnsi"/>
          <w:color w:val="000000"/>
        </w:rPr>
        <w:fldChar w:fldCharType="begin"/>
      </w:r>
      <w:r w:rsidRPr="000B64E9">
        <w:rPr>
          <w:rFonts w:cstheme="minorHAnsi"/>
          <w:color w:val="000000"/>
        </w:rPr>
        <w:instrText xml:space="preserve"> SEQ level0 \*arabic \* MERGEFORMAT </w:instrText>
      </w:r>
      <w:r w:rsidRPr="000B64E9">
        <w:rPr>
          <w:rFonts w:cstheme="minorHAnsi"/>
          <w:color w:val="000000"/>
        </w:rPr>
        <w:fldChar w:fldCharType="separate"/>
      </w:r>
      <w:r w:rsidR="000B64E9" w:rsidRPr="000B64E9">
        <w:rPr>
          <w:rFonts w:cstheme="minorHAnsi"/>
          <w:color w:val="000000"/>
        </w:rPr>
        <w:t>15</w:t>
      </w:r>
      <w:r w:rsidRPr="000B64E9">
        <w:rPr>
          <w:rFonts w:cstheme="minorHAnsi"/>
          <w:color w:val="000000"/>
        </w:rPr>
        <w:fldChar w:fldCharType="end"/>
      </w:r>
      <w:bookmarkEnd w:id="5"/>
      <w:r>
        <w:rPr>
          <w:color w:val="000000"/>
        </w:rPr>
        <w:t>.  </w:t>
      </w:r>
      <w:r>
        <w:rPr>
          <w:rStyle w:val="JuParaChar"/>
        </w:rPr>
        <w:t>În circumstanțele cauzei, Curtea consideră că dreptul societății reclamante de acces la o instanță a fost încălcat și că, prin urmare, a existat o încălcare a art. 6 § 1 din Convenție.</w:t>
      </w:r>
    </w:p>
    <w:p w:rsidR="00621BC4" w:rsidRPr="000B64E9" w:rsidRDefault="00CD51B0" w:rsidP="000B64E9">
      <w:pPr>
        <w:pStyle w:val="JuHIRoman"/>
        <w:ind w:left="397" w:hanging="397"/>
      </w:pPr>
      <w:r>
        <w:lastRenderedPageBreak/>
        <w:t>CU PRIVIRE LA PRETINSA ÎNCĂLCARE A ART. 1 DIN PROTOCOLUL NR. 1 LA CONVENȚIE</w:t>
      </w:r>
    </w:p>
    <w:p w:rsidR="00621BC4" w:rsidRPr="000B64E9" w:rsidRDefault="00CD51B0" w:rsidP="000B64E9">
      <w:pPr>
        <w:pStyle w:val="JuPara"/>
      </w:pPr>
      <w:fldSimple w:instr=" SEQ level0 \*arabic ">
        <w:r w:rsidR="000B64E9" w:rsidRPr="000B64E9">
          <w:t>16</w:t>
        </w:r>
      </w:fldSimple>
      <w:r>
        <w:t>.  Întemeindu-se pe art. 1 din Protocolul nr. 1 la Convenție, societatea reclamantă a susținut, de asemenea, că hotărârea Tribunalului Constanța a privat-o de dreptul de a obține rambursarea sumelor facturate greșit între 2004 și 2009.</w:t>
      </w:r>
    </w:p>
    <w:p w:rsidR="00621BC4" w:rsidRPr="000B64E9" w:rsidRDefault="000B64E9" w:rsidP="000B64E9">
      <w:pPr>
        <w:pStyle w:val="JuPara"/>
      </w:pPr>
      <w:r w:rsidRPr="000B64E9">
        <w:fldChar w:fldCharType="begin"/>
      </w:r>
      <w:r w:rsidR="00CD51B0">
        <w:instrText xml:space="preserve"> SEQ level0 \*arabic \* MERGEFORMAT </w:instrText>
      </w:r>
      <w:r w:rsidRPr="000B64E9">
        <w:fldChar w:fldCharType="separate"/>
      </w:r>
      <w:r w:rsidRPr="000B64E9">
        <w:t>17</w:t>
      </w:r>
      <w:r w:rsidRPr="000B64E9">
        <w:fldChar w:fldCharType="end"/>
      </w:r>
      <w:r>
        <w:t xml:space="preserve">.  Curtea consideră că acest capăt de cerere se află în conexiune cu cel examinat anterior. Având în vedere constatarea sa de mai sus (a se vedea supra, pct. </w:t>
      </w:r>
      <w:r w:rsidR="00CD51B0" w:rsidRPr="000B64E9">
        <w:fldChar w:fldCharType="begin"/>
      </w:r>
      <w:r w:rsidR="00CD51B0" w:rsidRPr="000B64E9">
        <w:instrText xml:space="preserve"> REF violation \h </w:instrText>
      </w:r>
      <w:r w:rsidR="00CD51B0" w:rsidRPr="000B64E9">
        <w:fldChar w:fldCharType="separate"/>
      </w:r>
      <w:r w:rsidRPr="000B64E9">
        <w:rPr>
          <w:rFonts w:cstheme="minorHAnsi"/>
          <w:color w:val="000000"/>
        </w:rPr>
        <w:t>15</w:t>
      </w:r>
      <w:r w:rsidR="00CD51B0" w:rsidRPr="000B64E9">
        <w:fldChar w:fldCharType="end"/>
      </w:r>
      <w:r>
        <w:t xml:space="preserve">) și ținând seama de faptul că societatea reclamantă ar putea cere redeschiderea procesului în fața instanțelor interne (a se vedea infra, pct. </w:t>
      </w:r>
      <w:r w:rsidR="00CD51B0" w:rsidRPr="000B64E9">
        <w:fldChar w:fldCharType="begin"/>
      </w:r>
      <w:r w:rsidR="00CD51B0" w:rsidRPr="000B64E9">
        <w:instrText xml:space="preserve"> REF domesticreview \h </w:instrText>
      </w:r>
      <w:r w:rsidR="00CD51B0" w:rsidRPr="000B64E9">
        <w:fldChar w:fldCharType="separate"/>
      </w:r>
      <w:r w:rsidRPr="000B64E9">
        <w:t>20</w:t>
      </w:r>
      <w:r w:rsidR="00CD51B0" w:rsidRPr="000B64E9">
        <w:fldChar w:fldCharType="end"/>
      </w:r>
      <w:r>
        <w:t xml:space="preserve">), Curtea consideră că nu este necesar să examineze în continuare dacă, de asemenea, a fost încălcat art. 1 din Protocolul nr. 1 la Convenție (a se vedea </w:t>
      </w:r>
      <w:bookmarkStart w:id="6" w:name="_cl35397"/>
      <w:r>
        <w:rPr>
          <w:i/>
        </w:rPr>
        <w:t>S.C. IMH Suceava S.R.L. împotriva României</w:t>
      </w:r>
      <w:bookmarkEnd w:id="6"/>
      <w:r>
        <w:t>, nr. 24935/04, pct. 45, 29 octombrie 2013).</w:t>
      </w:r>
    </w:p>
    <w:p w:rsidR="00621BC4" w:rsidRPr="000B64E9" w:rsidRDefault="00CD51B0" w:rsidP="000B64E9">
      <w:pPr>
        <w:pStyle w:val="JuHHead"/>
      </w:pPr>
      <w:r>
        <w:rPr>
          <w:caps w:val="0"/>
        </w:rPr>
        <w:t>CU PRIVIRE LA APLICAREA ART. 41 DIN CONVENȚIE</w:t>
      </w:r>
    </w:p>
    <w:p w:rsidR="00621BC4" w:rsidRPr="000B64E9" w:rsidRDefault="000B64E9" w:rsidP="000B64E9">
      <w:pPr>
        <w:pStyle w:val="JuPara"/>
      </w:pPr>
      <w:r w:rsidRPr="000B64E9">
        <w:fldChar w:fldCharType="begin"/>
      </w:r>
      <w:r w:rsidR="00CD51B0">
        <w:instrText xml:space="preserve"> SEQ level0 \*arabic \* MERGEFORMAT </w:instrText>
      </w:r>
      <w:r w:rsidRPr="000B64E9">
        <w:fldChar w:fldCharType="separate"/>
      </w:r>
      <w:r w:rsidRPr="000B64E9">
        <w:t>18</w:t>
      </w:r>
      <w:r w:rsidRPr="000B64E9">
        <w:fldChar w:fldCharType="end"/>
      </w:r>
      <w:r>
        <w:t>.  Societatea reclamantă a solicitat 697.230,38 lei românești (RON) (echivalentul sumei de aproximativ 140.925 de euro – EUR), împreună cu dobânda legală cu titlu de prejudiciu material, și 2.000 EUR cu titlu de prejudiciu moral. Aceasta a solicitat, de asemenea, 4.000 RON (aproximativ 810 EUR), care reprezintă onorariul avocatului pentru cheltuielile de judecată efectuate în fața instanțelor interne. Societatea reclamantă a prezentat copii ale înscrisurilor dovedind plata onorariile avocatului.</w:t>
      </w:r>
    </w:p>
    <w:p w:rsidR="00621BC4" w:rsidRPr="000B64E9" w:rsidRDefault="00CD51B0" w:rsidP="000B64E9">
      <w:pPr>
        <w:pStyle w:val="JuPara"/>
      </w:pPr>
      <w:fldSimple w:instr=" SEQ level0 \*arabic ">
        <w:r w:rsidR="000B64E9" w:rsidRPr="000B64E9">
          <w:t>19</w:t>
        </w:r>
      </w:fldSimple>
      <w:r>
        <w:t>.  Guvernul</w:t>
      </w:r>
      <w:r>
        <w:rPr>
          <w:color w:val="000000"/>
        </w:rPr>
        <w:t xml:space="preserve"> a considerat pretențiile societății reclamante privind prejudiciul material ca fiind nejustificate și pretențiile privind prejudiciul moral ca fiind excesive. </w:t>
      </w:r>
      <w:r>
        <w:t>A contestat, de asemenea, pretenția societății reclamante pentru toate cheltuielile de judecată</w:t>
      </w:r>
      <w:r>
        <w:rPr>
          <w:color w:val="000000"/>
        </w:rPr>
        <w:t xml:space="preserve"> pe baza faptului că nu era susținută de înscrisuri relevante</w:t>
      </w:r>
      <w:r>
        <w:t>.</w:t>
      </w:r>
    </w:p>
    <w:bookmarkStart w:id="7" w:name="domesticreview"/>
    <w:p w:rsidR="00621BC4" w:rsidRPr="000B64E9" w:rsidRDefault="00CD51B0" w:rsidP="000B64E9">
      <w:pPr>
        <w:pStyle w:val="JuPara"/>
      </w:pPr>
      <w:r w:rsidRPr="000B64E9">
        <w:fldChar w:fldCharType="begin"/>
      </w:r>
      <w:r w:rsidRPr="000B64E9">
        <w:instrText xml:space="preserve"> SEQ level0 \*arabic \* MERGEFORMAT </w:instrText>
      </w:r>
      <w:r w:rsidRPr="000B64E9">
        <w:fldChar w:fldCharType="separate"/>
      </w:r>
      <w:r w:rsidR="000B64E9" w:rsidRPr="000B64E9">
        <w:t>20</w:t>
      </w:r>
      <w:r w:rsidRPr="000B64E9">
        <w:fldChar w:fldCharType="end"/>
      </w:r>
      <w:bookmarkEnd w:id="7"/>
      <w:r>
        <w:t xml:space="preserve">.  Curtea observă că, atunci când se constată încălcarea drepturilor unui reclamant, art. 509 alin. 10 din Codul român de procedură civilă permite revizuirea internă a procedurii în vederea remedierii încălcării Convenției. Acesta pare să fie cazul în circumstanțele speței, deoarece Curtea a constatat o încălcare a art. 6 § 1 din Convenție din cauza încălcării dreptului societății reclamante de acces la o instanță. În aceste circumstanțe, Curtea consideră că cea mai adecvată cale de atac pentru societatea reclamantă ar fi să redeschidă, la cerere, procedura în cauză (a se vedea </w:t>
      </w:r>
      <w:bookmarkStart w:id="8" w:name="_cl36276"/>
      <w:proofErr w:type="spellStart"/>
      <w:r>
        <w:rPr>
          <w:i/>
        </w:rPr>
        <w:t>Sfrijan</w:t>
      </w:r>
      <w:proofErr w:type="spellEnd"/>
      <w:r>
        <w:rPr>
          <w:i/>
        </w:rPr>
        <w:t xml:space="preserve"> împotriva României</w:t>
      </w:r>
      <w:bookmarkEnd w:id="8"/>
      <w:r>
        <w:t xml:space="preserve">, nr. 20366/04, pct. 48 și 49, 22 noiembrie 2007, și </w:t>
      </w:r>
      <w:r>
        <w:rPr>
          <w:i/>
        </w:rPr>
        <w:t>S.C. IMH Suceava S.R.L.</w:t>
      </w:r>
      <w:r>
        <w:t xml:space="preserve">, citată anterior, pct. 56). </w:t>
      </w:r>
      <w:r>
        <w:rPr>
          <w:color w:val="000000"/>
        </w:rPr>
        <w:t>Prin urmare, respinge pretențiile societății reclamante în ceea ce privește prejudiciul material.</w:t>
      </w:r>
    </w:p>
    <w:p w:rsidR="00621BC4" w:rsidRPr="000B64E9" w:rsidRDefault="000B64E9" w:rsidP="000B64E9">
      <w:pPr>
        <w:pStyle w:val="JuPara"/>
        <w:rPr>
          <w:rFonts w:cstheme="minorHAnsi"/>
          <w:color w:val="000000"/>
        </w:rPr>
      </w:pPr>
      <w:r w:rsidRPr="000B64E9">
        <w:fldChar w:fldCharType="begin"/>
      </w:r>
      <w:r w:rsidR="00CD51B0">
        <w:instrText xml:space="preserve"> SEQ level0 \*arabic \* MERGEFORMAT </w:instrText>
      </w:r>
      <w:r w:rsidRPr="000B64E9">
        <w:fldChar w:fldCharType="separate"/>
      </w:r>
      <w:r w:rsidRPr="000B64E9">
        <w:t>21</w:t>
      </w:r>
      <w:r w:rsidRPr="000B64E9">
        <w:fldChar w:fldCharType="end"/>
      </w:r>
      <w:r>
        <w:t>.  Având în vedere natura încălcării constatate</w:t>
      </w:r>
      <w:r>
        <w:rPr>
          <w:color w:val="000000"/>
        </w:rPr>
        <w:t xml:space="preserve"> în temeiul art. 6 </w:t>
      </w:r>
      <w:r>
        <w:t>§ 1 din Convenție</w:t>
      </w:r>
      <w:r>
        <w:rPr>
          <w:color w:val="000000"/>
        </w:rPr>
        <w:t xml:space="preserve">, Curtea consideră potrivit să acorde societății reclamante suma de 2 000 EUR pentru prejudiciul moral, plus orice sumă ce poate fi datorată cu </w:t>
      </w:r>
      <w:r>
        <w:rPr>
          <w:color w:val="000000"/>
        </w:rPr>
        <w:lastRenderedPageBreak/>
        <w:t xml:space="preserve">titlu de impozit [a se vedea </w:t>
      </w:r>
      <w:bookmarkStart w:id="9" w:name="_cl30735"/>
      <w:r>
        <w:rPr>
          <w:i/>
          <w:iCs/>
        </w:rPr>
        <w:t>Parohia greco-catolică Lupeni și alții împotriva României</w:t>
      </w:r>
      <w:bookmarkEnd w:id="9"/>
      <w:r>
        <w:rPr>
          <w:color w:val="000000"/>
        </w:rPr>
        <w:t xml:space="preserve"> (MC), nr. 76943/11, pct. 182, 29 noiembrie 2016 și </w:t>
      </w:r>
      <w:bookmarkStart w:id="10" w:name="_cl40886"/>
      <w:proofErr w:type="spellStart"/>
      <w:r>
        <w:rPr>
          <w:i/>
          <w:color w:val="000000"/>
        </w:rPr>
        <w:t>Bio</w:t>
      </w:r>
      <w:proofErr w:type="spellEnd"/>
      <w:r>
        <w:rPr>
          <w:i/>
          <w:color w:val="000000"/>
        </w:rPr>
        <w:t xml:space="preserve"> </w:t>
      </w:r>
      <w:proofErr w:type="spellStart"/>
      <w:r>
        <w:rPr>
          <w:i/>
          <w:color w:val="000000"/>
        </w:rPr>
        <w:t>Farmland</w:t>
      </w:r>
      <w:proofErr w:type="spellEnd"/>
      <w:r>
        <w:rPr>
          <w:i/>
          <w:color w:val="000000"/>
        </w:rPr>
        <w:t xml:space="preserve"> </w:t>
      </w:r>
      <w:proofErr w:type="spellStart"/>
      <w:r>
        <w:rPr>
          <w:i/>
          <w:color w:val="000000"/>
        </w:rPr>
        <w:t>Betriebs</w:t>
      </w:r>
      <w:proofErr w:type="spellEnd"/>
      <w:r>
        <w:rPr>
          <w:i/>
          <w:color w:val="000000"/>
        </w:rPr>
        <w:t xml:space="preserve"> S.R.L. împotriva României</w:t>
      </w:r>
      <w:bookmarkEnd w:id="10"/>
      <w:r>
        <w:rPr>
          <w:color w:val="000000"/>
        </w:rPr>
        <w:t>, nr. 43639/17, pct. 61, 13 iulie 2021]</w:t>
      </w:r>
      <w:r>
        <w:t>.</w:t>
      </w:r>
    </w:p>
    <w:p w:rsidR="00621BC4" w:rsidRPr="000B64E9" w:rsidRDefault="00CD51B0" w:rsidP="000B64E9">
      <w:pPr>
        <w:pStyle w:val="JuPara"/>
      </w:pPr>
      <w:r w:rsidRPr="000B64E9">
        <w:rPr>
          <w:rFonts w:cstheme="minorHAnsi"/>
        </w:rPr>
        <w:fldChar w:fldCharType="begin"/>
      </w:r>
      <w:r w:rsidRPr="000B64E9">
        <w:rPr>
          <w:rFonts w:cstheme="minorHAnsi"/>
        </w:rPr>
        <w:instrText xml:space="preserve"> SEQ level0 \*arabic </w:instrText>
      </w:r>
      <w:r w:rsidRPr="000B64E9">
        <w:rPr>
          <w:rFonts w:cstheme="minorHAnsi"/>
        </w:rPr>
        <w:fldChar w:fldCharType="separate"/>
      </w:r>
      <w:r w:rsidR="000B64E9" w:rsidRPr="000B64E9">
        <w:rPr>
          <w:rFonts w:cstheme="minorHAnsi"/>
        </w:rPr>
        <w:t>22</w:t>
      </w:r>
      <w:r w:rsidRPr="000B64E9">
        <w:rPr>
          <w:rFonts w:cstheme="minorHAnsi"/>
        </w:rPr>
        <w:fldChar w:fldCharType="end"/>
      </w:r>
      <w:r>
        <w:t>.  Ținând seama de documentele de care dispune, Curtea consideră că este rezonabil să acorde suma cerută de 810 EUR pentru toate cheltuielile de judecată în procedurile interne, plus orice sumă care poate fi datorată de societatea reclamantă cu titlu de impozit.</w:t>
      </w:r>
    </w:p>
    <w:p w:rsidR="00621BC4" w:rsidRPr="000B64E9" w:rsidRDefault="00CD51B0" w:rsidP="000B64E9">
      <w:pPr>
        <w:pStyle w:val="JuHHead"/>
      </w:pPr>
      <w:r>
        <w:t>PENTRU ACESTE MOTIVE, CURTEA, ÎN UNANIMITATE,</w:t>
      </w:r>
    </w:p>
    <w:p w:rsidR="00621BC4" w:rsidRPr="000B64E9" w:rsidRDefault="00CD51B0" w:rsidP="000B64E9">
      <w:pPr>
        <w:pStyle w:val="JuList"/>
      </w:pPr>
      <w:r>
        <w:rPr>
          <w:i/>
          <w:iCs/>
        </w:rPr>
        <w:t>Declară</w:t>
      </w:r>
      <w:r>
        <w:t xml:space="preserve"> cererea admisibilă;</w:t>
      </w:r>
    </w:p>
    <w:p w:rsidR="00621BC4" w:rsidRPr="000B64E9" w:rsidRDefault="00CD51B0" w:rsidP="000B64E9">
      <w:pPr>
        <w:pStyle w:val="JuList"/>
      </w:pPr>
      <w:r>
        <w:rPr>
          <w:i/>
          <w:iCs/>
        </w:rPr>
        <w:t>Hotărăște</w:t>
      </w:r>
      <w:r>
        <w:t xml:space="preserve"> că a fost încălcat art. 6 § 1 din Convenție;</w:t>
      </w:r>
    </w:p>
    <w:p w:rsidR="00621BC4" w:rsidRPr="000B64E9" w:rsidRDefault="00CD51B0" w:rsidP="000B64E9">
      <w:pPr>
        <w:pStyle w:val="JuList"/>
      </w:pPr>
      <w:r>
        <w:rPr>
          <w:i/>
        </w:rPr>
        <w:t>Hotărăște</w:t>
      </w:r>
      <w:r>
        <w:t xml:space="preserve"> că nu este necesar să se examineze dacă a fost încălcat art. 1 din Protocolul nr. 1 la Convenție;</w:t>
      </w:r>
    </w:p>
    <w:p w:rsidR="00621BC4" w:rsidRPr="000B64E9" w:rsidRDefault="00CD51B0" w:rsidP="000B64E9">
      <w:pPr>
        <w:pStyle w:val="JuList"/>
      </w:pPr>
      <w:r>
        <w:rPr>
          <w:i/>
        </w:rPr>
        <w:t>Hotărăște</w:t>
      </w:r>
    </w:p>
    <w:p w:rsidR="00621BC4" w:rsidRPr="000B64E9" w:rsidRDefault="00CD51B0" w:rsidP="000B64E9">
      <w:pPr>
        <w:pStyle w:val="JuLista"/>
        <w:numPr>
          <w:ilvl w:val="1"/>
          <w:numId w:val="5"/>
        </w:numPr>
        <w:rPr>
          <w:rFonts w:cstheme="minorHAnsi"/>
        </w:rPr>
      </w:pPr>
      <w:r>
        <w:t>că statul pârât trebuie să plătească societății reclamante, în termen de trei luni (de la data rămânerii definitive a hotărârii), următoarele sume, care trebuie convertite în moneda națională a statului pârât la rata de schimb aplicabilă la data plății:</w:t>
      </w:r>
    </w:p>
    <w:p w:rsidR="00621BC4" w:rsidRPr="000B64E9" w:rsidRDefault="00CD51B0" w:rsidP="000B64E9">
      <w:pPr>
        <w:pStyle w:val="JuLista"/>
        <w:numPr>
          <w:ilvl w:val="0"/>
          <w:numId w:val="0"/>
        </w:numPr>
        <w:ind w:left="680"/>
        <w:rPr>
          <w:rFonts w:cstheme="minorHAnsi"/>
        </w:rPr>
      </w:pPr>
      <w:r>
        <w:rPr>
          <w:color w:val="000000"/>
        </w:rPr>
        <w:t>i. 2 000 EUR (două mii de euro), plus orice sumă ce poate fi datorată cu titlu de impozit, pentru prejudiciul moral;</w:t>
      </w:r>
    </w:p>
    <w:p w:rsidR="00621BC4" w:rsidRPr="000B64E9" w:rsidRDefault="00CD51B0" w:rsidP="000B64E9">
      <w:pPr>
        <w:pStyle w:val="JuLista"/>
        <w:numPr>
          <w:ilvl w:val="0"/>
          <w:numId w:val="0"/>
        </w:numPr>
        <w:ind w:left="680"/>
      </w:pPr>
      <w:r>
        <w:t>ii. 810 EUR (opt sute zece euro), pentru cheltuielile de judecată, plus orice sumă ce poate fi datorată de societatea reclamantă cu titlu de impozit;</w:t>
      </w:r>
    </w:p>
    <w:p w:rsidR="00621BC4" w:rsidRPr="000B64E9" w:rsidRDefault="00CD51B0" w:rsidP="000B64E9">
      <w:pPr>
        <w:pStyle w:val="JuLista"/>
        <w:numPr>
          <w:ilvl w:val="1"/>
          <w:numId w:val="5"/>
        </w:numPr>
      </w:pPr>
      <w:r>
        <w:t>că, de la împlinirea termenului menționat și până la efectuarea plății, aceste sume trebuie majorată cu o dobândă simplă, la o rată egală cu rata dobânzii facilității de împrumut marginal practicată de Banca Centrală Europeană, aplicabilă pe parcursul acestei perioade și majorată cu trei puncte procentuale;</w:t>
      </w:r>
    </w:p>
    <w:p w:rsidR="004D0EC7" w:rsidRPr="000B64E9" w:rsidRDefault="00CD51B0" w:rsidP="000B64E9">
      <w:pPr>
        <w:pStyle w:val="JuList"/>
      </w:pPr>
      <w:r>
        <w:rPr>
          <w:i/>
        </w:rPr>
        <w:t>Respinge</w:t>
      </w:r>
      <w:r>
        <w:t xml:space="preserve"> cererea de acordare a unei reparații echitabile pentru celelalte capete de cerere.</w:t>
      </w:r>
    </w:p>
    <w:p w:rsidR="008E3A08" w:rsidRPr="000B64E9" w:rsidRDefault="00CD51B0" w:rsidP="000B64E9">
      <w:pPr>
        <w:pStyle w:val="JuParaLast"/>
      </w:pPr>
      <w:r>
        <w:t>Redactată în limba engleză și comunicată în scris la 16 aprilie 2024, în conformitate cu art. 77 § 2 și art. 77 § 3 din Regulamentul Curții.</w:t>
      </w:r>
    </w:p>
    <w:p w:rsidR="007E79A4" w:rsidRPr="000B64E9" w:rsidRDefault="00CD51B0" w:rsidP="000B64E9">
      <w:pPr>
        <w:pStyle w:val="JuSigned"/>
      </w:pPr>
      <w:r>
        <w:tab/>
        <w:t xml:space="preserve">Crina </w:t>
      </w:r>
      <w:proofErr w:type="spellStart"/>
      <w:r>
        <w:t>Kaufman</w:t>
      </w:r>
      <w:proofErr w:type="spellEnd"/>
      <w:r>
        <w:tab/>
      </w:r>
      <w:proofErr w:type="spellStart"/>
      <w:r>
        <w:t>Branko</w:t>
      </w:r>
      <w:proofErr w:type="spellEnd"/>
      <w:r>
        <w:t xml:space="preserve"> </w:t>
      </w:r>
      <w:proofErr w:type="spellStart"/>
      <w:r>
        <w:t>Lubarda</w:t>
      </w:r>
      <w:proofErr w:type="spellEnd"/>
      <w:r>
        <w:br/>
      </w:r>
      <w:r>
        <w:tab/>
        <w:t>Grefier adjunct interimar</w:t>
      </w:r>
      <w:r>
        <w:tab/>
        <w:t>Președinte</w:t>
      </w:r>
    </w:p>
    <w:sectPr w:rsidR="007E79A4" w:rsidRPr="000B64E9" w:rsidSect="007D3701">
      <w:headerReference w:type="even" r:id="rId12"/>
      <w:headerReference w:type="default" r:id="rId13"/>
      <w:footerReference w:type="even" r:id="rId14"/>
      <w:foot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1B0" w:rsidRDefault="00CD51B0">
      <w:r>
        <w:separator/>
      </w:r>
    </w:p>
  </w:endnote>
  <w:endnote w:type="continuationSeparator" w:id="0">
    <w:p w:rsidR="00CD51B0" w:rsidRDefault="00CD5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BC4" w:rsidRPr="00150BFA" w:rsidRDefault="00CD51B0" w:rsidP="0020718E">
    <w:pPr>
      <w:jc w:val="center"/>
    </w:pPr>
    <w:r>
      <w:rPr>
        <w:noProof/>
        <w:lang w:eastAsia="ro-RO"/>
      </w:rPr>
      <w:drawing>
        <wp:inline distT="0" distB="0" distL="0" distR="0">
          <wp:extent cx="771525" cy="619125"/>
          <wp:effectExtent l="0" t="0" r="9525" b="9525"/>
          <wp:docPr id="40" name="Picture 40"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8410D" w:rsidRPr="00621BC4" w:rsidRDefault="0098410D"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BC4" w:rsidRPr="00150BFA" w:rsidRDefault="00CD51B0" w:rsidP="0020718E">
    <w:pPr>
      <w:jc w:val="center"/>
    </w:pPr>
    <w:r>
      <w:rPr>
        <w:noProof/>
        <w:lang w:eastAsia="ro-RO"/>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E7A6F" w:rsidRPr="00621BC4" w:rsidRDefault="009E7A6F"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Default="00CD51B0" w:rsidP="009A115C">
    <w:pPr>
      <w:pStyle w:val="JuHeader"/>
    </w:pPr>
    <w:r>
      <w:fldChar w:fldCharType="begin"/>
    </w:r>
    <w:r>
      <w:instrText xml:space="preserve"> PAGE  \* MERGEFORMAT </w:instrText>
    </w:r>
    <w:r>
      <w:fldChar w:fldCharType="separate"/>
    </w:r>
    <w:r w:rsidR="00D76514">
      <w:rPr>
        <w:noProof/>
      </w:rPr>
      <w:t>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0B7195" w:rsidRDefault="00CD51B0" w:rsidP="007D3701">
    <w:pPr>
      <w:pStyle w:val="JuHeader"/>
    </w:pPr>
    <w:r>
      <w:fldChar w:fldCharType="begin"/>
    </w:r>
    <w:r>
      <w:instrText xml:space="preserve"> PAGE  \* MERGEFORMAT </w:instrText>
    </w:r>
    <w:r>
      <w:fldChar w:fldCharType="separate"/>
    </w:r>
    <w:r w:rsidR="00D76514">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1B0" w:rsidRDefault="00CD51B0">
      <w:r>
        <w:separator/>
      </w:r>
    </w:p>
  </w:footnote>
  <w:footnote w:type="continuationSeparator" w:id="0">
    <w:p w:rsidR="00CD51B0" w:rsidRDefault="00CD5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BC4" w:rsidRPr="00A45145" w:rsidRDefault="00CD51B0" w:rsidP="00A45145">
    <w:pPr>
      <w:jc w:val="center"/>
    </w:pPr>
    <w:r>
      <w:rPr>
        <w:noProof/>
        <w:lang w:eastAsia="ro-RO"/>
      </w:rPr>
      <w:drawing>
        <wp:inline distT="0" distB="0" distL="0" distR="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8410D" w:rsidRPr="00621BC4"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514" w:rsidRDefault="00D76514" w:rsidP="00D76514">
    <w:pPr>
      <w:jc w:val="right"/>
      <w:rPr>
        <w:i/>
      </w:rPr>
    </w:pPr>
    <w:r>
      <w:rPr>
        <w:i/>
      </w:rPr>
      <w:t>Tradus și revizuit de IER (</w:t>
    </w:r>
    <w:hyperlink r:id="rId1" w:history="1">
      <w:r>
        <w:rPr>
          <w:rStyle w:val="Hyperlink"/>
          <w:i/>
        </w:rPr>
        <w:t>http://ier.gov.ro/</w:t>
      </w:r>
    </w:hyperlink>
    <w:r>
      <w:rPr>
        <w:i/>
      </w:rPr>
      <w:t>)</w:t>
    </w:r>
  </w:p>
  <w:p w:rsidR="00D76514" w:rsidRDefault="00D76514" w:rsidP="00A45145">
    <w:pPr>
      <w:jc w:val="center"/>
    </w:pPr>
  </w:p>
  <w:p w:rsidR="00621BC4" w:rsidRPr="00A45145" w:rsidRDefault="00CD51B0" w:rsidP="00A45145">
    <w:pPr>
      <w:jc w:val="center"/>
    </w:pPr>
    <w:r>
      <w:rPr>
        <w:noProof/>
        <w:lang w:eastAsia="ro-RO"/>
      </w:rPr>
      <w:drawing>
        <wp:anchor distT="0" distB="0" distL="114300" distR="114300" simplePos="0" relativeHeight="251658240" behindDoc="1" locked="0" layoutInCell="1" allowOverlap="1">
          <wp:simplePos x="0" y="0"/>
          <wp:positionH relativeFrom="column">
            <wp:posOffset>851535</wp:posOffset>
          </wp:positionH>
          <wp:positionV relativeFrom="paragraph">
            <wp:posOffset>-3810</wp:posOffset>
          </wp:positionV>
          <wp:extent cx="2962275" cy="1219200"/>
          <wp:effectExtent l="0" t="0" r="9525" b="0"/>
          <wp:wrapTight wrapText="bothSides">
            <wp:wrapPolygon edited="0">
              <wp:start x="0" y="0"/>
              <wp:lineTo x="0" y="21263"/>
              <wp:lineTo x="21531" y="21263"/>
              <wp:lineTo x="21531" y="0"/>
              <wp:lineTo x="0" y="0"/>
            </wp:wrapPolygon>
          </wp:wrapTight>
          <wp:docPr id="35" name="Picture 3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anchor>
      </w:drawing>
    </w:r>
  </w:p>
  <w:p w:rsidR="0098410D" w:rsidRPr="00621BC4" w:rsidRDefault="0098410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547638" w:rsidRDefault="00CD51B0" w:rsidP="004D0EC7">
    <w:pPr>
      <w:pStyle w:val="JuHeader"/>
    </w:pPr>
    <w:r>
      <w:t>HOTĂRÂREA PLASTY PROD S.A. ÎMPOTRIVA ROMÂNIEI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547638" w:rsidRDefault="00CD51B0" w:rsidP="007D3701">
    <w:pPr>
      <w:pStyle w:val="JuHeader"/>
    </w:pPr>
    <w:r>
      <w:t>HOTĂRÂREA PLASTY PROD S.A.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A378D200">
      <w:start w:val="1"/>
      <w:numFmt w:val="bullet"/>
      <w:pStyle w:val="ListBullet"/>
      <w:lvlText w:val=""/>
      <w:lvlJc w:val="left"/>
      <w:pPr>
        <w:tabs>
          <w:tab w:val="num" w:pos="851"/>
        </w:tabs>
        <w:ind w:left="568" w:firstLine="0"/>
      </w:pPr>
      <w:rPr>
        <w:rFonts w:ascii="Wingdings" w:hAnsi="Wingdings" w:hint="default"/>
        <w:color w:val="808080"/>
        <w:sz w:val="16"/>
      </w:rPr>
    </w:lvl>
    <w:lvl w:ilvl="1" w:tplc="F57C4B36" w:tentative="1">
      <w:start w:val="1"/>
      <w:numFmt w:val="bullet"/>
      <w:lvlText w:val="o"/>
      <w:lvlJc w:val="left"/>
      <w:pPr>
        <w:tabs>
          <w:tab w:val="num" w:pos="1724"/>
        </w:tabs>
        <w:ind w:left="1724" w:hanging="360"/>
      </w:pPr>
      <w:rPr>
        <w:rFonts w:ascii="Courier New" w:hAnsi="Courier New" w:cs="Courier New" w:hint="default"/>
      </w:rPr>
    </w:lvl>
    <w:lvl w:ilvl="2" w:tplc="E6D878BC" w:tentative="1">
      <w:start w:val="1"/>
      <w:numFmt w:val="bullet"/>
      <w:lvlText w:val=""/>
      <w:lvlJc w:val="left"/>
      <w:pPr>
        <w:tabs>
          <w:tab w:val="num" w:pos="2444"/>
        </w:tabs>
        <w:ind w:left="2444" w:hanging="360"/>
      </w:pPr>
      <w:rPr>
        <w:rFonts w:ascii="Wingdings" w:hAnsi="Wingdings" w:hint="default"/>
      </w:rPr>
    </w:lvl>
    <w:lvl w:ilvl="3" w:tplc="27DC6964" w:tentative="1">
      <w:start w:val="1"/>
      <w:numFmt w:val="bullet"/>
      <w:lvlText w:val=""/>
      <w:lvlJc w:val="left"/>
      <w:pPr>
        <w:tabs>
          <w:tab w:val="num" w:pos="3164"/>
        </w:tabs>
        <w:ind w:left="3164" w:hanging="360"/>
      </w:pPr>
      <w:rPr>
        <w:rFonts w:ascii="Symbol" w:hAnsi="Symbol" w:hint="default"/>
      </w:rPr>
    </w:lvl>
    <w:lvl w:ilvl="4" w:tplc="B1CA01A2" w:tentative="1">
      <w:start w:val="1"/>
      <w:numFmt w:val="bullet"/>
      <w:lvlText w:val="o"/>
      <w:lvlJc w:val="left"/>
      <w:pPr>
        <w:tabs>
          <w:tab w:val="num" w:pos="3884"/>
        </w:tabs>
        <w:ind w:left="3884" w:hanging="360"/>
      </w:pPr>
      <w:rPr>
        <w:rFonts w:ascii="Courier New" w:hAnsi="Courier New" w:cs="Courier New" w:hint="default"/>
      </w:rPr>
    </w:lvl>
    <w:lvl w:ilvl="5" w:tplc="10D645AE" w:tentative="1">
      <w:start w:val="1"/>
      <w:numFmt w:val="bullet"/>
      <w:lvlText w:val=""/>
      <w:lvlJc w:val="left"/>
      <w:pPr>
        <w:tabs>
          <w:tab w:val="num" w:pos="4604"/>
        </w:tabs>
        <w:ind w:left="4604" w:hanging="360"/>
      </w:pPr>
      <w:rPr>
        <w:rFonts w:ascii="Wingdings" w:hAnsi="Wingdings" w:hint="default"/>
      </w:rPr>
    </w:lvl>
    <w:lvl w:ilvl="6" w:tplc="7DF4818E" w:tentative="1">
      <w:start w:val="1"/>
      <w:numFmt w:val="bullet"/>
      <w:lvlText w:val=""/>
      <w:lvlJc w:val="left"/>
      <w:pPr>
        <w:tabs>
          <w:tab w:val="num" w:pos="5324"/>
        </w:tabs>
        <w:ind w:left="5324" w:hanging="360"/>
      </w:pPr>
      <w:rPr>
        <w:rFonts w:ascii="Symbol" w:hAnsi="Symbol" w:hint="default"/>
      </w:rPr>
    </w:lvl>
    <w:lvl w:ilvl="7" w:tplc="9B7431AE" w:tentative="1">
      <w:start w:val="1"/>
      <w:numFmt w:val="bullet"/>
      <w:lvlText w:val="o"/>
      <w:lvlJc w:val="left"/>
      <w:pPr>
        <w:tabs>
          <w:tab w:val="num" w:pos="6044"/>
        </w:tabs>
        <w:ind w:left="6044" w:hanging="360"/>
      </w:pPr>
      <w:rPr>
        <w:rFonts w:ascii="Courier New" w:hAnsi="Courier New" w:cs="Courier New" w:hint="default"/>
      </w:rPr>
    </w:lvl>
    <w:lvl w:ilvl="8" w:tplc="2E420CBE" w:tentative="1">
      <w:start w:val="1"/>
      <w:numFmt w:val="bullet"/>
      <w:lvlText w:val=""/>
      <w:lvlJc w:val="left"/>
      <w:pPr>
        <w:tabs>
          <w:tab w:val="num" w:pos="6764"/>
        </w:tabs>
        <w:ind w:left="6764" w:hanging="360"/>
      </w:pPr>
      <w:rPr>
        <w:rFonts w:ascii="Wingdings" w:hAnsi="Wingdings" w:hint="default"/>
      </w:rPr>
    </w:lvl>
  </w:abstractNum>
  <w:num w:numId="1">
    <w:abstractNumId w:val="14"/>
  </w:num>
  <w:num w:numId="2">
    <w:abstractNumId w:val="12"/>
  </w:num>
  <w:num w:numId="3">
    <w:abstractNumId w:val="11"/>
  </w:num>
  <w:num w:numId="4">
    <w:abstractNumId w:val="15"/>
  </w:num>
  <w:num w:numId="5">
    <w:abstractNumId w:val="13"/>
  </w:num>
  <w:num w:numId="6">
    <w:abstractNumId w:val="16"/>
  </w:num>
  <w:num w:numId="7">
    <w:abstractNumId w:val="15"/>
  </w:num>
  <w:num w:numId="8">
    <w:abstractNumId w:val="16"/>
  </w:num>
  <w:num w:numId="9">
    <w:abstractNumId w:val="10"/>
  </w:num>
  <w:num w:numId="10">
    <w:abstractNumId w:val="9"/>
  </w:num>
  <w:num w:numId="11">
    <w:abstractNumId w:val="17"/>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 w:name="SndCaseNumber" w:val="Error!Nodocumentvariablesupplied."/>
  </w:docVars>
  <w:rsids>
    <w:rsidRoot w:val="00621BC4"/>
    <w:rsid w:val="000041F8"/>
    <w:rsid w:val="000042A8"/>
    <w:rsid w:val="00004308"/>
    <w:rsid w:val="00005BF0"/>
    <w:rsid w:val="0000617D"/>
    <w:rsid w:val="00007154"/>
    <w:rsid w:val="000103AE"/>
    <w:rsid w:val="00011D69"/>
    <w:rsid w:val="00012AD3"/>
    <w:rsid w:val="00015C2D"/>
    <w:rsid w:val="00015F00"/>
    <w:rsid w:val="00022C1D"/>
    <w:rsid w:val="0002592F"/>
    <w:rsid w:val="00031428"/>
    <w:rsid w:val="00034987"/>
    <w:rsid w:val="00041560"/>
    <w:rsid w:val="000602DF"/>
    <w:rsid w:val="00061B05"/>
    <w:rsid w:val="000632D5"/>
    <w:rsid w:val="000644EE"/>
    <w:rsid w:val="000712E3"/>
    <w:rsid w:val="0007780A"/>
    <w:rsid w:val="00085457"/>
    <w:rsid w:val="000925AD"/>
    <w:rsid w:val="00096FE1"/>
    <w:rsid w:val="00097A62"/>
    <w:rsid w:val="000A24EB"/>
    <w:rsid w:val="000B64E9"/>
    <w:rsid w:val="000B686A"/>
    <w:rsid w:val="000B6923"/>
    <w:rsid w:val="000B7195"/>
    <w:rsid w:val="000C5F3C"/>
    <w:rsid w:val="000C6DCC"/>
    <w:rsid w:val="000D47AA"/>
    <w:rsid w:val="000D721F"/>
    <w:rsid w:val="000E069B"/>
    <w:rsid w:val="000E0E82"/>
    <w:rsid w:val="000E1DC5"/>
    <w:rsid w:val="000E223F"/>
    <w:rsid w:val="000E46B8"/>
    <w:rsid w:val="000E7D45"/>
    <w:rsid w:val="000F52F4"/>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50BFA"/>
    <w:rsid w:val="001561B6"/>
    <w:rsid w:val="00162A12"/>
    <w:rsid w:val="00166530"/>
    <w:rsid w:val="00170027"/>
    <w:rsid w:val="00182EBA"/>
    <w:rsid w:val="001832BD"/>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0718E"/>
    <w:rsid w:val="00210338"/>
    <w:rsid w:val="002115FC"/>
    <w:rsid w:val="0021423C"/>
    <w:rsid w:val="00226C89"/>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B3201"/>
    <w:rsid w:val="002B444B"/>
    <w:rsid w:val="002B5887"/>
    <w:rsid w:val="002B5B43"/>
    <w:rsid w:val="002C0E27"/>
    <w:rsid w:val="002C3040"/>
    <w:rsid w:val="002C4433"/>
    <w:rsid w:val="002C5ADD"/>
    <w:rsid w:val="002C7826"/>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75E"/>
    <w:rsid w:val="00312A30"/>
    <w:rsid w:val="003201D8"/>
    <w:rsid w:val="00320F72"/>
    <w:rsid w:val="0032463E"/>
    <w:rsid w:val="00326224"/>
    <w:rsid w:val="00337EE4"/>
    <w:rsid w:val="00340FFD"/>
    <w:rsid w:val="0034349A"/>
    <w:rsid w:val="00345C41"/>
    <w:rsid w:val="003506B1"/>
    <w:rsid w:val="00355877"/>
    <w:rsid w:val="00356AC7"/>
    <w:rsid w:val="003609FA"/>
    <w:rsid w:val="003710C8"/>
    <w:rsid w:val="003750BE"/>
    <w:rsid w:val="00385A36"/>
    <w:rsid w:val="00385F3D"/>
    <w:rsid w:val="0038740C"/>
    <w:rsid w:val="00387B9D"/>
    <w:rsid w:val="00387C70"/>
    <w:rsid w:val="00390294"/>
    <w:rsid w:val="0039364F"/>
    <w:rsid w:val="00396686"/>
    <w:rsid w:val="0039778E"/>
    <w:rsid w:val="003B4941"/>
    <w:rsid w:val="003C5714"/>
    <w:rsid w:val="003C6B9F"/>
    <w:rsid w:val="003C6E2A"/>
    <w:rsid w:val="003D0299"/>
    <w:rsid w:val="003E6D80"/>
    <w:rsid w:val="003E7BCC"/>
    <w:rsid w:val="003F05FA"/>
    <w:rsid w:val="003F244A"/>
    <w:rsid w:val="003F2517"/>
    <w:rsid w:val="003F30B8"/>
    <w:rsid w:val="003F4C45"/>
    <w:rsid w:val="003F5F7B"/>
    <w:rsid w:val="003F7D64"/>
    <w:rsid w:val="0040433A"/>
    <w:rsid w:val="00414300"/>
    <w:rsid w:val="00414F27"/>
    <w:rsid w:val="00420703"/>
    <w:rsid w:val="00425C67"/>
    <w:rsid w:val="00427E7A"/>
    <w:rsid w:val="004355AC"/>
    <w:rsid w:val="00436C49"/>
    <w:rsid w:val="00443D98"/>
    <w:rsid w:val="00445366"/>
    <w:rsid w:val="00447F5B"/>
    <w:rsid w:val="00461DB0"/>
    <w:rsid w:val="00463926"/>
    <w:rsid w:val="00464AB7"/>
    <w:rsid w:val="00464C9A"/>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05F69"/>
    <w:rsid w:val="00511C07"/>
    <w:rsid w:val="005125CB"/>
    <w:rsid w:val="00512EC4"/>
    <w:rsid w:val="0051725A"/>
    <w:rsid w:val="005173A6"/>
    <w:rsid w:val="00517BB8"/>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47638"/>
    <w:rsid w:val="005512A3"/>
    <w:rsid w:val="005578CE"/>
    <w:rsid w:val="00562781"/>
    <w:rsid w:val="00562B6C"/>
    <w:rsid w:val="0057271C"/>
    <w:rsid w:val="00572845"/>
    <w:rsid w:val="005879A2"/>
    <w:rsid w:val="00592772"/>
    <w:rsid w:val="0059574A"/>
    <w:rsid w:val="005A1B9B"/>
    <w:rsid w:val="005A2221"/>
    <w:rsid w:val="005A2E79"/>
    <w:rsid w:val="005A6751"/>
    <w:rsid w:val="005B092E"/>
    <w:rsid w:val="005B152C"/>
    <w:rsid w:val="005B1EE0"/>
    <w:rsid w:val="005B2B24"/>
    <w:rsid w:val="005B4425"/>
    <w:rsid w:val="005B4B94"/>
    <w:rsid w:val="005C2C62"/>
    <w:rsid w:val="005C3EE8"/>
    <w:rsid w:val="005D2F2A"/>
    <w:rsid w:val="005D34F9"/>
    <w:rsid w:val="005D4190"/>
    <w:rsid w:val="005D67A3"/>
    <w:rsid w:val="005E2988"/>
    <w:rsid w:val="005E3085"/>
    <w:rsid w:val="005F0EB3"/>
    <w:rsid w:val="005F51E1"/>
    <w:rsid w:val="00611C80"/>
    <w:rsid w:val="00620692"/>
    <w:rsid w:val="00621BC4"/>
    <w:rsid w:val="006242CA"/>
    <w:rsid w:val="00627507"/>
    <w:rsid w:val="00633717"/>
    <w:rsid w:val="006344E1"/>
    <w:rsid w:val="00643524"/>
    <w:rsid w:val="0064393B"/>
    <w:rsid w:val="00645CF2"/>
    <w:rsid w:val="006545C4"/>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4E97"/>
    <w:rsid w:val="006A5D3A"/>
    <w:rsid w:val="006B1942"/>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41404"/>
    <w:rsid w:val="007449E5"/>
    <w:rsid w:val="0074750E"/>
    <w:rsid w:val="00747FF0"/>
    <w:rsid w:val="00751066"/>
    <w:rsid w:val="0075566E"/>
    <w:rsid w:val="00763602"/>
    <w:rsid w:val="00764D4E"/>
    <w:rsid w:val="00765A1F"/>
    <w:rsid w:val="00775B6D"/>
    <w:rsid w:val="00776D68"/>
    <w:rsid w:val="00781140"/>
    <w:rsid w:val="0078323E"/>
    <w:rsid w:val="007849C2"/>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E79A4"/>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45723"/>
    <w:rsid w:val="008519E7"/>
    <w:rsid w:val="00851EF9"/>
    <w:rsid w:val="008577FD"/>
    <w:rsid w:val="00860B03"/>
    <w:rsid w:val="0086497A"/>
    <w:rsid w:val="0086538E"/>
    <w:rsid w:val="00867066"/>
    <w:rsid w:val="008713A1"/>
    <w:rsid w:val="00872584"/>
    <w:rsid w:val="008754AB"/>
    <w:rsid w:val="0088060C"/>
    <w:rsid w:val="00882CD5"/>
    <w:rsid w:val="00883151"/>
    <w:rsid w:val="00893576"/>
    <w:rsid w:val="00893E73"/>
    <w:rsid w:val="00896D1B"/>
    <w:rsid w:val="008B02DC"/>
    <w:rsid w:val="008B092C"/>
    <w:rsid w:val="008B57CE"/>
    <w:rsid w:val="008C26DE"/>
    <w:rsid w:val="008D1668"/>
    <w:rsid w:val="008D2225"/>
    <w:rsid w:val="008D4752"/>
    <w:rsid w:val="008D5A13"/>
    <w:rsid w:val="008E271C"/>
    <w:rsid w:val="008E3A08"/>
    <w:rsid w:val="008E418E"/>
    <w:rsid w:val="008E5BC6"/>
    <w:rsid w:val="008E6217"/>
    <w:rsid w:val="008E6A25"/>
    <w:rsid w:val="008F246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31C"/>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D57AA"/>
    <w:rsid w:val="009E0B2C"/>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5F59"/>
    <w:rsid w:val="00A27004"/>
    <w:rsid w:val="00A308CE"/>
    <w:rsid w:val="00A30C29"/>
    <w:rsid w:val="00A34DD6"/>
    <w:rsid w:val="00A35683"/>
    <w:rsid w:val="00A36819"/>
    <w:rsid w:val="00A36989"/>
    <w:rsid w:val="00A41D86"/>
    <w:rsid w:val="00A43628"/>
    <w:rsid w:val="00A45145"/>
    <w:rsid w:val="00A51D0F"/>
    <w:rsid w:val="00A54192"/>
    <w:rsid w:val="00A57147"/>
    <w:rsid w:val="00A6035E"/>
    <w:rsid w:val="00A6144C"/>
    <w:rsid w:val="00A66617"/>
    <w:rsid w:val="00A671F8"/>
    <w:rsid w:val="00A673A4"/>
    <w:rsid w:val="00A724AE"/>
    <w:rsid w:val="00A73329"/>
    <w:rsid w:val="00A82359"/>
    <w:rsid w:val="00A865D2"/>
    <w:rsid w:val="00A87C10"/>
    <w:rsid w:val="00A90BCD"/>
    <w:rsid w:val="00A92625"/>
    <w:rsid w:val="00A94C20"/>
    <w:rsid w:val="00A95D81"/>
    <w:rsid w:val="00AA1B09"/>
    <w:rsid w:val="00AA227F"/>
    <w:rsid w:val="00AA3BC7"/>
    <w:rsid w:val="00AA754A"/>
    <w:rsid w:val="00AB099E"/>
    <w:rsid w:val="00AB4328"/>
    <w:rsid w:val="00AC38DE"/>
    <w:rsid w:val="00AC4CD4"/>
    <w:rsid w:val="00AE0A2E"/>
    <w:rsid w:val="00AE354C"/>
    <w:rsid w:val="00AF12C5"/>
    <w:rsid w:val="00AF4B07"/>
    <w:rsid w:val="00AF6186"/>
    <w:rsid w:val="00AF7A3A"/>
    <w:rsid w:val="00B02587"/>
    <w:rsid w:val="00B049D1"/>
    <w:rsid w:val="00B14793"/>
    <w:rsid w:val="00B14870"/>
    <w:rsid w:val="00B153A0"/>
    <w:rsid w:val="00B160DB"/>
    <w:rsid w:val="00B20836"/>
    <w:rsid w:val="00B235BB"/>
    <w:rsid w:val="00B27A44"/>
    <w:rsid w:val="00B30BBF"/>
    <w:rsid w:val="00B33C03"/>
    <w:rsid w:val="00B4421F"/>
    <w:rsid w:val="00B44E56"/>
    <w:rsid w:val="00B45917"/>
    <w:rsid w:val="00B46543"/>
    <w:rsid w:val="00B47D33"/>
    <w:rsid w:val="00B52BE0"/>
    <w:rsid w:val="00B54133"/>
    <w:rsid w:val="00B55A8D"/>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56A7"/>
    <w:rsid w:val="00BC6BBF"/>
    <w:rsid w:val="00BD1572"/>
    <w:rsid w:val="00BE14E3"/>
    <w:rsid w:val="00BE3774"/>
    <w:rsid w:val="00BE41E5"/>
    <w:rsid w:val="00BE4CE2"/>
    <w:rsid w:val="00BF118F"/>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1424"/>
    <w:rsid w:val="00C74810"/>
    <w:rsid w:val="00C90D68"/>
    <w:rsid w:val="00C939FE"/>
    <w:rsid w:val="00CA4BDA"/>
    <w:rsid w:val="00CB13E3"/>
    <w:rsid w:val="00CB1F66"/>
    <w:rsid w:val="00CB232C"/>
    <w:rsid w:val="00CB2951"/>
    <w:rsid w:val="00CB4277"/>
    <w:rsid w:val="00CC5067"/>
    <w:rsid w:val="00CD11D3"/>
    <w:rsid w:val="00CD282B"/>
    <w:rsid w:val="00CD447B"/>
    <w:rsid w:val="00CD4C35"/>
    <w:rsid w:val="00CD51B0"/>
    <w:rsid w:val="00CD7369"/>
    <w:rsid w:val="00CE0B0E"/>
    <w:rsid w:val="00CE3831"/>
    <w:rsid w:val="00CF2397"/>
    <w:rsid w:val="00D00ABB"/>
    <w:rsid w:val="00D02EEC"/>
    <w:rsid w:val="00D03551"/>
    <w:rsid w:val="00D04315"/>
    <w:rsid w:val="00D06A63"/>
    <w:rsid w:val="00D07E0E"/>
    <w:rsid w:val="00D10CD6"/>
    <w:rsid w:val="00D11478"/>
    <w:rsid w:val="00D1261A"/>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669D4"/>
    <w:rsid w:val="00D70641"/>
    <w:rsid w:val="00D74888"/>
    <w:rsid w:val="00D7488B"/>
    <w:rsid w:val="00D75E28"/>
    <w:rsid w:val="00D76514"/>
    <w:rsid w:val="00D772C2"/>
    <w:rsid w:val="00D8008E"/>
    <w:rsid w:val="00D82C45"/>
    <w:rsid w:val="00D908A8"/>
    <w:rsid w:val="00D977B6"/>
    <w:rsid w:val="00DA1223"/>
    <w:rsid w:val="00DA4A31"/>
    <w:rsid w:val="00DA7B04"/>
    <w:rsid w:val="00DB36C2"/>
    <w:rsid w:val="00DC00A8"/>
    <w:rsid w:val="00DC169B"/>
    <w:rsid w:val="00DC2AB9"/>
    <w:rsid w:val="00DC63F0"/>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557AA"/>
    <w:rsid w:val="00E63EC7"/>
    <w:rsid w:val="00E64915"/>
    <w:rsid w:val="00E64D3A"/>
    <w:rsid w:val="00E661D4"/>
    <w:rsid w:val="00E66AB3"/>
    <w:rsid w:val="00E67565"/>
    <w:rsid w:val="00E70091"/>
    <w:rsid w:val="00E70D2E"/>
    <w:rsid w:val="00E720F5"/>
    <w:rsid w:val="00E744E0"/>
    <w:rsid w:val="00E76D47"/>
    <w:rsid w:val="00E827BC"/>
    <w:rsid w:val="00E849F7"/>
    <w:rsid w:val="00E90302"/>
    <w:rsid w:val="00E91D05"/>
    <w:rsid w:val="00E9262D"/>
    <w:rsid w:val="00E94245"/>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6A6F"/>
    <w:rsid w:val="00F5709C"/>
    <w:rsid w:val="00F60B85"/>
    <w:rsid w:val="00F64EF1"/>
    <w:rsid w:val="00F72498"/>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B45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2B5B43"/>
    <w:rPr>
      <w:sz w:val="24"/>
      <w:szCs w:val="24"/>
    </w:rPr>
  </w:style>
  <w:style w:type="paragraph" w:styleId="Heading1">
    <w:name w:val="heading 1"/>
    <w:basedOn w:val="Normal"/>
    <w:next w:val="Normal"/>
    <w:link w:val="Heading1Char"/>
    <w:uiPriority w:val="98"/>
    <w:semiHidden/>
    <w:rsid w:val="002B5B43"/>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2B5B43"/>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2B5B43"/>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2B5B43"/>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2B5B43"/>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2B5B43"/>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2B5B43"/>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2B5B43"/>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2B5B43"/>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2B5B43"/>
    <w:rPr>
      <w:rFonts w:ascii="Tahoma" w:hAnsi="Tahoma" w:cs="Tahoma"/>
      <w:sz w:val="16"/>
      <w:szCs w:val="16"/>
    </w:rPr>
  </w:style>
  <w:style w:type="character" w:customStyle="1" w:styleId="BalloonTextChar">
    <w:name w:val="Balloon Text Char"/>
    <w:basedOn w:val="DefaultParagraphFont"/>
    <w:link w:val="BalloonText"/>
    <w:uiPriority w:val="98"/>
    <w:semiHidden/>
    <w:rsid w:val="002B5B43"/>
    <w:rPr>
      <w:rFonts w:ascii="Tahoma" w:hAnsi="Tahoma" w:cs="Tahoma"/>
      <w:sz w:val="16"/>
      <w:szCs w:val="16"/>
      <w:lang w:val="ro-RO"/>
    </w:rPr>
  </w:style>
  <w:style w:type="character" w:styleId="BookTitle">
    <w:name w:val="Book Title"/>
    <w:uiPriority w:val="98"/>
    <w:semiHidden/>
    <w:qFormat/>
    <w:rsid w:val="002B5B43"/>
    <w:rPr>
      <w:i/>
      <w:iCs/>
      <w:smallCaps/>
      <w:spacing w:val="5"/>
    </w:rPr>
  </w:style>
  <w:style w:type="paragraph" w:customStyle="1" w:styleId="JuHeader">
    <w:name w:val="Ju_Header"/>
    <w:aliases w:val="_Header"/>
    <w:basedOn w:val="Header"/>
    <w:uiPriority w:val="29"/>
    <w:qFormat/>
    <w:rsid w:val="002B5B43"/>
    <w:pPr>
      <w:tabs>
        <w:tab w:val="clear" w:pos="4536"/>
        <w:tab w:val="clear" w:pos="9072"/>
      </w:tabs>
      <w:jc w:val="center"/>
    </w:pPr>
    <w:rPr>
      <w:sz w:val="18"/>
    </w:rPr>
  </w:style>
  <w:style w:type="paragraph" w:customStyle="1" w:styleId="NormalJustified">
    <w:name w:val="Normal_Justified"/>
    <w:basedOn w:val="Normal"/>
    <w:semiHidden/>
    <w:rsid w:val="002B5B43"/>
    <w:pPr>
      <w:jc w:val="both"/>
    </w:pPr>
  </w:style>
  <w:style w:type="character" w:styleId="Strong">
    <w:name w:val="Strong"/>
    <w:uiPriority w:val="98"/>
    <w:semiHidden/>
    <w:qFormat/>
    <w:rsid w:val="002B5B43"/>
    <w:rPr>
      <w:b/>
      <w:bCs/>
    </w:rPr>
  </w:style>
  <w:style w:type="paragraph" w:styleId="NoSpacing">
    <w:name w:val="No Spacing"/>
    <w:basedOn w:val="Normal"/>
    <w:link w:val="NoSpacingChar"/>
    <w:uiPriority w:val="98"/>
    <w:semiHidden/>
    <w:qFormat/>
    <w:rsid w:val="002B5B43"/>
  </w:style>
  <w:style w:type="character" w:customStyle="1" w:styleId="NoSpacingChar">
    <w:name w:val="No Spacing Char"/>
    <w:basedOn w:val="DefaultParagraphFont"/>
    <w:link w:val="NoSpacing"/>
    <w:uiPriority w:val="98"/>
    <w:semiHidden/>
    <w:rsid w:val="002B5B43"/>
    <w:rPr>
      <w:sz w:val="24"/>
      <w:szCs w:val="24"/>
      <w:lang w:val="ro-RO"/>
    </w:rPr>
  </w:style>
  <w:style w:type="paragraph" w:customStyle="1" w:styleId="JuQuot">
    <w:name w:val="Ju_Quot"/>
    <w:aliases w:val="_Quote"/>
    <w:basedOn w:val="NormalJustified"/>
    <w:uiPriority w:val="20"/>
    <w:qFormat/>
    <w:rsid w:val="002B5B43"/>
    <w:pPr>
      <w:spacing w:before="120" w:after="120"/>
      <w:ind w:left="425" w:firstLine="142"/>
    </w:pPr>
    <w:rPr>
      <w:sz w:val="20"/>
    </w:rPr>
  </w:style>
  <w:style w:type="paragraph" w:customStyle="1" w:styleId="DummyStyle">
    <w:name w:val="Dummy_Style"/>
    <w:aliases w:val="_Dummy"/>
    <w:basedOn w:val="Normal"/>
    <w:semiHidden/>
    <w:qFormat/>
    <w:rsid w:val="002B5B43"/>
    <w:rPr>
      <w:color w:val="00B050"/>
      <w:sz w:val="22"/>
    </w:rPr>
  </w:style>
  <w:style w:type="paragraph" w:customStyle="1" w:styleId="JuList">
    <w:name w:val="Ju_List"/>
    <w:aliases w:val="_List_1"/>
    <w:basedOn w:val="NormalJustified"/>
    <w:uiPriority w:val="23"/>
    <w:qFormat/>
    <w:rsid w:val="002B5B43"/>
    <w:pPr>
      <w:numPr>
        <w:numId w:val="10"/>
      </w:numPr>
      <w:spacing w:before="280" w:after="60"/>
    </w:pPr>
  </w:style>
  <w:style w:type="paragraph" w:customStyle="1" w:styleId="JuLista">
    <w:name w:val="Ju_List_a"/>
    <w:aliases w:val="_List_2"/>
    <w:basedOn w:val="NormalJustified"/>
    <w:uiPriority w:val="23"/>
    <w:rsid w:val="002B5B43"/>
    <w:pPr>
      <w:numPr>
        <w:ilvl w:val="1"/>
        <w:numId w:val="10"/>
      </w:numPr>
    </w:pPr>
  </w:style>
  <w:style w:type="paragraph" w:customStyle="1" w:styleId="JuListi">
    <w:name w:val="Ju_List_i"/>
    <w:aliases w:val="_List_3"/>
    <w:basedOn w:val="NormalJustified"/>
    <w:uiPriority w:val="23"/>
    <w:rsid w:val="002B5B43"/>
    <w:pPr>
      <w:numPr>
        <w:ilvl w:val="2"/>
        <w:numId w:val="10"/>
      </w:numPr>
    </w:pPr>
  </w:style>
  <w:style w:type="paragraph" w:customStyle="1" w:styleId="JuHArticle">
    <w:name w:val="Ju_H_Article"/>
    <w:aliases w:val="_Title_Quote"/>
    <w:basedOn w:val="Normal"/>
    <w:next w:val="JuQuot"/>
    <w:uiPriority w:val="19"/>
    <w:qFormat/>
    <w:rsid w:val="002B5B43"/>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2B5B43"/>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2B5B43"/>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2B5B43"/>
    <w:pPr>
      <w:keepNext/>
      <w:keepLines/>
      <w:numPr>
        <w:numId w:val="9"/>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2B5B43"/>
    <w:pPr>
      <w:numPr>
        <w:numId w:val="4"/>
      </w:numPr>
    </w:pPr>
  </w:style>
  <w:style w:type="paragraph" w:customStyle="1" w:styleId="JuSigned">
    <w:name w:val="Ju_Signed"/>
    <w:aliases w:val="_Signature"/>
    <w:basedOn w:val="Normal"/>
    <w:next w:val="JuPara"/>
    <w:uiPriority w:val="31"/>
    <w:qFormat/>
    <w:rsid w:val="002B5B43"/>
    <w:pPr>
      <w:tabs>
        <w:tab w:val="center" w:pos="1418"/>
        <w:tab w:val="center" w:pos="5954"/>
      </w:tabs>
      <w:spacing w:before="720"/>
    </w:pPr>
  </w:style>
  <w:style w:type="paragraph" w:styleId="Title">
    <w:name w:val="Title"/>
    <w:basedOn w:val="Normal"/>
    <w:next w:val="Normal"/>
    <w:link w:val="TitleChar"/>
    <w:uiPriority w:val="98"/>
    <w:semiHidden/>
    <w:qFormat/>
    <w:rsid w:val="002B5B43"/>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2B5B43"/>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2B5B43"/>
    <w:pPr>
      <w:numPr>
        <w:numId w:val="5"/>
      </w:numPr>
    </w:pPr>
  </w:style>
  <w:style w:type="numbering" w:customStyle="1" w:styleId="ECHRA1StyleNumberedList">
    <w:name w:val="ECHR_A1_Style_Numbered_List"/>
    <w:basedOn w:val="NoList"/>
    <w:rsid w:val="002B5B43"/>
    <w:pPr>
      <w:numPr>
        <w:numId w:val="6"/>
      </w:numPr>
    </w:pPr>
  </w:style>
  <w:style w:type="table" w:customStyle="1" w:styleId="ECHRTable2019">
    <w:name w:val="ECHR_Table_2019"/>
    <w:basedOn w:val="TableNormal"/>
    <w:uiPriority w:val="99"/>
    <w:rsid w:val="002B5B4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2B5B43"/>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2B5B43"/>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2B5B43"/>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2B5B43"/>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98"/>
    <w:semiHidden/>
    <w:rsid w:val="002B5B43"/>
    <w:pPr>
      <w:tabs>
        <w:tab w:val="center" w:pos="4536"/>
        <w:tab w:val="right" w:pos="9072"/>
      </w:tabs>
    </w:pPr>
  </w:style>
  <w:style w:type="character" w:customStyle="1" w:styleId="HeaderChar">
    <w:name w:val="Header Char"/>
    <w:basedOn w:val="DefaultParagraphFont"/>
    <w:link w:val="Header"/>
    <w:uiPriority w:val="98"/>
    <w:semiHidden/>
    <w:rsid w:val="002B5B43"/>
    <w:rPr>
      <w:sz w:val="24"/>
      <w:szCs w:val="24"/>
      <w:lang w:val="ro-RO"/>
    </w:rPr>
  </w:style>
  <w:style w:type="character" w:customStyle="1" w:styleId="Heading1Char">
    <w:name w:val="Heading 1 Char"/>
    <w:basedOn w:val="DefaultParagraphFont"/>
    <w:link w:val="Heading1"/>
    <w:uiPriority w:val="98"/>
    <w:semiHidden/>
    <w:rsid w:val="002B5B43"/>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2B5B43"/>
    <w:pPr>
      <w:keepNext/>
      <w:keepLines/>
      <w:numPr>
        <w:ilvl w:val="4"/>
        <w:numId w:val="9"/>
      </w:numPr>
      <w:spacing w:before="100" w:beforeAutospacing="1" w:after="120"/>
      <w:jc w:val="both"/>
    </w:pPr>
    <w:rPr>
      <w:color w:val="auto"/>
      <w:sz w:val="20"/>
    </w:rPr>
  </w:style>
  <w:style w:type="paragraph" w:customStyle="1" w:styleId="JuHi">
    <w:name w:val="Ju_H_i"/>
    <w:aliases w:val="_Head_6"/>
    <w:basedOn w:val="Heading6"/>
    <w:next w:val="JuPara"/>
    <w:uiPriority w:val="17"/>
    <w:rsid w:val="002B5B43"/>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2B5B43"/>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2B5B43"/>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2B5B43"/>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8"/>
    <w:semiHidden/>
    <w:rsid w:val="002B5B43"/>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2B5B43"/>
    <w:pPr>
      <w:keepNext/>
      <w:keepLines/>
      <w:spacing w:before="240" w:after="240"/>
      <w:ind w:firstLine="284"/>
    </w:pPr>
  </w:style>
  <w:style w:type="paragraph" w:customStyle="1" w:styleId="JuJudges">
    <w:name w:val="Ju_Judges"/>
    <w:aliases w:val="_Judges"/>
    <w:basedOn w:val="Normal"/>
    <w:uiPriority w:val="32"/>
    <w:qFormat/>
    <w:rsid w:val="002B5B43"/>
    <w:pPr>
      <w:tabs>
        <w:tab w:val="left" w:pos="567"/>
        <w:tab w:val="left" w:pos="1134"/>
      </w:tabs>
    </w:pPr>
  </w:style>
  <w:style w:type="character" w:customStyle="1" w:styleId="Heading4Char">
    <w:name w:val="Heading 4 Char"/>
    <w:basedOn w:val="DefaultParagraphFont"/>
    <w:link w:val="Heading4"/>
    <w:uiPriority w:val="98"/>
    <w:semiHidden/>
    <w:rsid w:val="002B5B43"/>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2B5B43"/>
    <w:pPr>
      <w:tabs>
        <w:tab w:val="center" w:pos="6407"/>
      </w:tabs>
      <w:spacing w:before="720"/>
      <w:jc w:val="right"/>
    </w:pPr>
  </w:style>
  <w:style w:type="character" w:customStyle="1" w:styleId="Heading5Char">
    <w:name w:val="Heading 5 Char"/>
    <w:basedOn w:val="DefaultParagraphFont"/>
    <w:link w:val="Heading5"/>
    <w:uiPriority w:val="98"/>
    <w:semiHidden/>
    <w:rsid w:val="002B5B43"/>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2B5B43"/>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2B5B43"/>
    <w:rPr>
      <w:caps w:val="0"/>
      <w:smallCaps/>
    </w:rPr>
  </w:style>
  <w:style w:type="character" w:styleId="SubtleEmphasis">
    <w:name w:val="Subtle Emphasis"/>
    <w:uiPriority w:val="98"/>
    <w:semiHidden/>
    <w:qFormat/>
    <w:rsid w:val="002B5B43"/>
    <w:rPr>
      <w:i/>
      <w:iCs/>
    </w:rPr>
  </w:style>
  <w:style w:type="table" w:customStyle="1" w:styleId="ECHRTable">
    <w:name w:val="ECHR_Table"/>
    <w:basedOn w:val="TableNormal"/>
    <w:rsid w:val="002B5B4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2B5B43"/>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2B5B43"/>
    <w:rPr>
      <w:b/>
      <w:bCs/>
      <w:i/>
      <w:iCs/>
      <w:spacing w:val="10"/>
      <w:bdr w:val="none" w:sz="0" w:space="0" w:color="auto"/>
      <w:shd w:val="clear" w:color="auto" w:fill="auto"/>
    </w:rPr>
  </w:style>
  <w:style w:type="paragraph" w:styleId="Footer0">
    <w:name w:val="footer"/>
    <w:basedOn w:val="Normal"/>
    <w:link w:val="FooterChar"/>
    <w:uiPriority w:val="98"/>
    <w:semiHidden/>
    <w:rsid w:val="002B5B43"/>
    <w:pPr>
      <w:tabs>
        <w:tab w:val="center" w:pos="3686"/>
        <w:tab w:val="right" w:pos="7371"/>
      </w:tabs>
    </w:pPr>
  </w:style>
  <w:style w:type="character" w:customStyle="1" w:styleId="FooterChar">
    <w:name w:val="Footer Char"/>
    <w:basedOn w:val="DefaultParagraphFont"/>
    <w:link w:val="Footer0"/>
    <w:uiPriority w:val="98"/>
    <w:semiHidden/>
    <w:rsid w:val="002B5B43"/>
    <w:rPr>
      <w:sz w:val="24"/>
      <w:szCs w:val="24"/>
      <w:lang w:val="ro-RO"/>
    </w:rPr>
  </w:style>
  <w:style w:type="character" w:styleId="FootnoteReference">
    <w:name w:val="footnote reference"/>
    <w:basedOn w:val="DefaultParagraphFont"/>
    <w:uiPriority w:val="98"/>
    <w:semiHidden/>
    <w:rsid w:val="002B5B43"/>
    <w:rPr>
      <w:vertAlign w:val="superscript"/>
    </w:rPr>
  </w:style>
  <w:style w:type="paragraph" w:styleId="FootnoteText">
    <w:name w:val="footnote text"/>
    <w:basedOn w:val="NormalJustified"/>
    <w:link w:val="FootnoteTextChar"/>
    <w:uiPriority w:val="98"/>
    <w:semiHidden/>
    <w:rsid w:val="002B5B43"/>
    <w:rPr>
      <w:sz w:val="20"/>
      <w:szCs w:val="20"/>
    </w:rPr>
  </w:style>
  <w:style w:type="character" w:customStyle="1" w:styleId="FootnoteTextChar">
    <w:name w:val="Footnote Text Char"/>
    <w:basedOn w:val="DefaultParagraphFont"/>
    <w:link w:val="FootnoteText"/>
    <w:uiPriority w:val="98"/>
    <w:semiHidden/>
    <w:rsid w:val="002B5B43"/>
    <w:rPr>
      <w:sz w:val="20"/>
      <w:szCs w:val="20"/>
      <w:lang w:val="ro-RO"/>
    </w:rPr>
  </w:style>
  <w:style w:type="character" w:customStyle="1" w:styleId="Heading6Char">
    <w:name w:val="Heading 6 Char"/>
    <w:basedOn w:val="DefaultParagraphFont"/>
    <w:link w:val="Heading6"/>
    <w:uiPriority w:val="98"/>
    <w:semiHidden/>
    <w:rsid w:val="002B5B43"/>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2B5B43"/>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2B5B43"/>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2B5B43"/>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2B5B43"/>
    <w:rPr>
      <w:color w:val="0072BC" w:themeColor="hyperlink"/>
      <w:u w:val="single"/>
    </w:rPr>
  </w:style>
  <w:style w:type="character" w:styleId="IntenseEmphasis">
    <w:name w:val="Intense Emphasis"/>
    <w:uiPriority w:val="98"/>
    <w:semiHidden/>
    <w:qFormat/>
    <w:rsid w:val="002B5B43"/>
    <w:rPr>
      <w:b/>
      <w:bCs/>
    </w:rPr>
  </w:style>
  <w:style w:type="paragraph" w:styleId="IntenseQuote">
    <w:name w:val="Intense Quote"/>
    <w:basedOn w:val="Normal"/>
    <w:next w:val="Normal"/>
    <w:link w:val="IntenseQuoteChar"/>
    <w:uiPriority w:val="98"/>
    <w:semiHidden/>
    <w:qFormat/>
    <w:rsid w:val="002B5B43"/>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2B5B43"/>
    <w:rPr>
      <w:b/>
      <w:bCs/>
      <w:i/>
      <w:iCs/>
      <w:sz w:val="24"/>
      <w:szCs w:val="24"/>
      <w:lang w:val="ro-RO" w:bidi="en-US"/>
    </w:rPr>
  </w:style>
  <w:style w:type="character" w:styleId="IntenseReference">
    <w:name w:val="Intense Reference"/>
    <w:uiPriority w:val="98"/>
    <w:semiHidden/>
    <w:qFormat/>
    <w:rsid w:val="002B5B43"/>
    <w:rPr>
      <w:smallCaps/>
      <w:spacing w:val="5"/>
      <w:u w:val="single"/>
    </w:rPr>
  </w:style>
  <w:style w:type="paragraph" w:styleId="ListParagraph">
    <w:name w:val="List Paragraph"/>
    <w:basedOn w:val="Normal"/>
    <w:uiPriority w:val="98"/>
    <w:semiHidden/>
    <w:qFormat/>
    <w:rsid w:val="002B5B43"/>
    <w:pPr>
      <w:ind w:left="720"/>
      <w:contextualSpacing/>
    </w:pPr>
  </w:style>
  <w:style w:type="table" w:customStyle="1" w:styleId="LtrTableAddress">
    <w:name w:val="Ltr_Table_Address"/>
    <w:aliases w:val="ECHR_Ltr_Table_Address"/>
    <w:basedOn w:val="TableNormal"/>
    <w:uiPriority w:val="99"/>
    <w:rsid w:val="002B5B43"/>
    <w:rPr>
      <w:sz w:val="24"/>
      <w:szCs w:val="24"/>
    </w:rPr>
    <w:tblPr>
      <w:tblInd w:w="5103" w:type="dxa"/>
    </w:tblPr>
  </w:style>
  <w:style w:type="paragraph" w:styleId="Quote">
    <w:name w:val="Quote"/>
    <w:basedOn w:val="Normal"/>
    <w:next w:val="Normal"/>
    <w:link w:val="QuoteChar"/>
    <w:uiPriority w:val="98"/>
    <w:semiHidden/>
    <w:qFormat/>
    <w:rsid w:val="002B5B43"/>
    <w:pPr>
      <w:spacing w:before="200"/>
      <w:ind w:left="360" w:right="360"/>
    </w:pPr>
    <w:rPr>
      <w:i/>
      <w:iCs/>
      <w:lang w:bidi="en-US"/>
    </w:rPr>
  </w:style>
  <w:style w:type="character" w:customStyle="1" w:styleId="QuoteChar">
    <w:name w:val="Quote Char"/>
    <w:basedOn w:val="DefaultParagraphFont"/>
    <w:link w:val="Quote"/>
    <w:uiPriority w:val="98"/>
    <w:semiHidden/>
    <w:rsid w:val="002B5B43"/>
    <w:rPr>
      <w:i/>
      <w:iCs/>
      <w:sz w:val="24"/>
      <w:szCs w:val="24"/>
      <w:lang w:val="ro-RO" w:bidi="en-US"/>
    </w:rPr>
  </w:style>
  <w:style w:type="character" w:styleId="SubtleReference">
    <w:name w:val="Subtle Reference"/>
    <w:uiPriority w:val="98"/>
    <w:semiHidden/>
    <w:qFormat/>
    <w:rsid w:val="002B5B43"/>
    <w:rPr>
      <w:smallCaps/>
    </w:rPr>
  </w:style>
  <w:style w:type="table" w:styleId="TableGrid">
    <w:name w:val="Table Grid"/>
    <w:basedOn w:val="TableNormal"/>
    <w:uiPriority w:val="59"/>
    <w:semiHidden/>
    <w:rsid w:val="002B5B43"/>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2B5B43"/>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2B5B43"/>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2B5B43"/>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2B5B43"/>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2B5B43"/>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2B5B43"/>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2B5B43"/>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2B5B43"/>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2B5B43"/>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2B5B43"/>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B5B43"/>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2B5B43"/>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2B5B43"/>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2B5B43"/>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2B5B43"/>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2B5B43"/>
    <w:pPr>
      <w:numPr>
        <w:numId w:val="1"/>
      </w:numPr>
    </w:pPr>
  </w:style>
  <w:style w:type="paragraph" w:customStyle="1" w:styleId="JuPara">
    <w:name w:val="Ju_Para"/>
    <w:aliases w:val="_Para"/>
    <w:basedOn w:val="NormalJustified"/>
    <w:link w:val="JuParaChar"/>
    <w:uiPriority w:val="4"/>
    <w:qFormat/>
    <w:rsid w:val="002B5B43"/>
    <w:pPr>
      <w:ind w:firstLine="284"/>
    </w:pPr>
  </w:style>
  <w:style w:type="numbering" w:styleId="1ai">
    <w:name w:val="Outline List 1"/>
    <w:basedOn w:val="NoList"/>
    <w:uiPriority w:val="99"/>
    <w:semiHidden/>
    <w:unhideWhenUsed/>
    <w:rsid w:val="002B5B43"/>
    <w:pPr>
      <w:numPr>
        <w:numId w:val="2"/>
      </w:numPr>
    </w:pPr>
  </w:style>
  <w:style w:type="table" w:customStyle="1" w:styleId="ECHRTableSimpleBox">
    <w:name w:val="ECHR_Table_Simple_Box"/>
    <w:basedOn w:val="TableNormal"/>
    <w:uiPriority w:val="99"/>
    <w:rsid w:val="002B5B43"/>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2B5B43"/>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2B5B43"/>
    <w:pPr>
      <w:numPr>
        <w:numId w:val="3"/>
      </w:numPr>
    </w:pPr>
  </w:style>
  <w:style w:type="table" w:customStyle="1" w:styleId="ECHRTableForInternalUse">
    <w:name w:val="ECHR_Table_For_Internal_Use"/>
    <w:basedOn w:val="TableNormal"/>
    <w:uiPriority w:val="99"/>
    <w:rsid w:val="002B5B43"/>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2B5B43"/>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2B5B43"/>
  </w:style>
  <w:style w:type="paragraph" w:styleId="BlockText">
    <w:name w:val="Block Text"/>
    <w:basedOn w:val="Normal"/>
    <w:uiPriority w:val="98"/>
    <w:semiHidden/>
    <w:rsid w:val="002B5B43"/>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2B5B43"/>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2B5B43"/>
    <w:pPr>
      <w:spacing w:after="120"/>
    </w:pPr>
  </w:style>
  <w:style w:type="character" w:customStyle="1" w:styleId="BodyTextChar">
    <w:name w:val="Body Text Char"/>
    <w:basedOn w:val="DefaultParagraphFont"/>
    <w:link w:val="BodyText"/>
    <w:uiPriority w:val="98"/>
    <w:semiHidden/>
    <w:rsid w:val="002B5B43"/>
    <w:rPr>
      <w:sz w:val="24"/>
      <w:szCs w:val="24"/>
      <w:lang w:val="ro-RO"/>
    </w:rPr>
  </w:style>
  <w:style w:type="table" w:customStyle="1" w:styleId="ECHRTableOddBanded">
    <w:name w:val="ECHR_Table_Odd_Banded"/>
    <w:basedOn w:val="TableNormal"/>
    <w:uiPriority w:val="99"/>
    <w:rsid w:val="002B5B4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2B5B43"/>
    <w:pPr>
      <w:spacing w:after="120" w:line="480" w:lineRule="auto"/>
    </w:pPr>
  </w:style>
  <w:style w:type="table" w:customStyle="1" w:styleId="ECHRHeaderTableReduced">
    <w:name w:val="ECHR_Header_Table_Reduced"/>
    <w:basedOn w:val="TableNormal"/>
    <w:uiPriority w:val="99"/>
    <w:rsid w:val="002B5B43"/>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2B5B43"/>
    <w:pPr>
      <w:ind w:firstLine="284"/>
    </w:pPr>
    <w:rPr>
      <w:b/>
    </w:rPr>
  </w:style>
  <w:style w:type="character" w:styleId="PageNumber">
    <w:name w:val="page number"/>
    <w:uiPriority w:val="98"/>
    <w:semiHidden/>
    <w:rsid w:val="002B5B43"/>
    <w:rPr>
      <w:sz w:val="18"/>
    </w:rPr>
  </w:style>
  <w:style w:type="paragraph" w:styleId="ListBullet">
    <w:name w:val="List Bullet"/>
    <w:basedOn w:val="Normal"/>
    <w:uiPriority w:val="98"/>
    <w:semiHidden/>
    <w:rsid w:val="002B5B43"/>
    <w:pPr>
      <w:numPr>
        <w:numId w:val="11"/>
      </w:numPr>
    </w:pPr>
  </w:style>
  <w:style w:type="paragraph" w:styleId="ListBullet3">
    <w:name w:val="List Bullet 3"/>
    <w:basedOn w:val="Normal"/>
    <w:uiPriority w:val="98"/>
    <w:semiHidden/>
    <w:rsid w:val="002B5B43"/>
    <w:pPr>
      <w:numPr>
        <w:numId w:val="13"/>
      </w:numPr>
      <w:contextualSpacing/>
    </w:pPr>
  </w:style>
  <w:style w:type="character" w:customStyle="1" w:styleId="BodyText2Char">
    <w:name w:val="Body Text 2 Char"/>
    <w:basedOn w:val="DefaultParagraphFont"/>
    <w:link w:val="BodyText2"/>
    <w:uiPriority w:val="98"/>
    <w:semiHidden/>
    <w:rsid w:val="002B5B43"/>
    <w:rPr>
      <w:sz w:val="24"/>
      <w:szCs w:val="24"/>
      <w:lang w:val="ro-RO"/>
    </w:rPr>
  </w:style>
  <w:style w:type="paragraph" w:styleId="BodyText3">
    <w:name w:val="Body Text 3"/>
    <w:basedOn w:val="Normal"/>
    <w:link w:val="BodyText3Char"/>
    <w:uiPriority w:val="98"/>
    <w:semiHidden/>
    <w:rsid w:val="002B5B43"/>
    <w:pPr>
      <w:spacing w:after="120"/>
    </w:pPr>
    <w:rPr>
      <w:sz w:val="16"/>
      <w:szCs w:val="16"/>
    </w:rPr>
  </w:style>
  <w:style w:type="character" w:customStyle="1" w:styleId="BodyText3Char">
    <w:name w:val="Body Text 3 Char"/>
    <w:basedOn w:val="DefaultParagraphFont"/>
    <w:link w:val="BodyText3"/>
    <w:uiPriority w:val="98"/>
    <w:semiHidden/>
    <w:rsid w:val="002B5B43"/>
    <w:rPr>
      <w:sz w:val="16"/>
      <w:szCs w:val="16"/>
      <w:lang w:val="ro-RO"/>
    </w:rPr>
  </w:style>
  <w:style w:type="paragraph" w:styleId="BodyTextFirstIndent">
    <w:name w:val="Body Text First Indent"/>
    <w:basedOn w:val="BodyText"/>
    <w:link w:val="BodyTextFirstIndentChar"/>
    <w:uiPriority w:val="98"/>
    <w:semiHidden/>
    <w:rsid w:val="002B5B43"/>
    <w:pPr>
      <w:spacing w:after="0"/>
      <w:ind w:firstLine="360"/>
    </w:pPr>
  </w:style>
  <w:style w:type="character" w:customStyle="1" w:styleId="BodyTextFirstIndentChar">
    <w:name w:val="Body Text First Indent Char"/>
    <w:basedOn w:val="BodyTextChar"/>
    <w:link w:val="BodyTextFirstIndent"/>
    <w:uiPriority w:val="98"/>
    <w:semiHidden/>
    <w:rsid w:val="002B5B43"/>
    <w:rPr>
      <w:sz w:val="24"/>
      <w:szCs w:val="24"/>
      <w:lang w:val="ro-RO"/>
    </w:rPr>
  </w:style>
  <w:style w:type="paragraph" w:styleId="BodyTextIndent">
    <w:name w:val="Body Text Indent"/>
    <w:basedOn w:val="Normal"/>
    <w:link w:val="BodyTextIndentChar"/>
    <w:uiPriority w:val="98"/>
    <w:semiHidden/>
    <w:rsid w:val="002B5B43"/>
    <w:pPr>
      <w:spacing w:after="120"/>
      <w:ind w:left="283"/>
    </w:pPr>
  </w:style>
  <w:style w:type="character" w:customStyle="1" w:styleId="BodyTextIndentChar">
    <w:name w:val="Body Text Indent Char"/>
    <w:basedOn w:val="DefaultParagraphFont"/>
    <w:link w:val="BodyTextIndent"/>
    <w:uiPriority w:val="98"/>
    <w:semiHidden/>
    <w:rsid w:val="002B5B43"/>
    <w:rPr>
      <w:sz w:val="24"/>
      <w:szCs w:val="24"/>
      <w:lang w:val="ro-RO"/>
    </w:rPr>
  </w:style>
  <w:style w:type="paragraph" w:styleId="BodyTextFirstIndent2">
    <w:name w:val="Body Text First Indent 2"/>
    <w:basedOn w:val="BodyTextIndent"/>
    <w:link w:val="BodyTextFirstIndent2Char"/>
    <w:uiPriority w:val="98"/>
    <w:semiHidden/>
    <w:rsid w:val="002B5B43"/>
    <w:pPr>
      <w:spacing w:after="0"/>
      <w:ind w:left="360" w:firstLine="360"/>
    </w:pPr>
  </w:style>
  <w:style w:type="character" w:customStyle="1" w:styleId="BodyTextFirstIndent2Char">
    <w:name w:val="Body Text First Indent 2 Char"/>
    <w:basedOn w:val="BodyTextIndentChar"/>
    <w:link w:val="BodyTextFirstIndent2"/>
    <w:uiPriority w:val="98"/>
    <w:semiHidden/>
    <w:rsid w:val="002B5B43"/>
    <w:rPr>
      <w:sz w:val="24"/>
      <w:szCs w:val="24"/>
      <w:lang w:val="ro-RO"/>
    </w:rPr>
  </w:style>
  <w:style w:type="paragraph" w:styleId="BodyTextIndent2">
    <w:name w:val="Body Text Indent 2"/>
    <w:basedOn w:val="Normal"/>
    <w:link w:val="BodyTextIndent2Char"/>
    <w:uiPriority w:val="98"/>
    <w:semiHidden/>
    <w:rsid w:val="002B5B43"/>
    <w:pPr>
      <w:spacing w:after="120" w:line="480" w:lineRule="auto"/>
      <w:ind w:left="283"/>
    </w:pPr>
  </w:style>
  <w:style w:type="character" w:customStyle="1" w:styleId="BodyTextIndent2Char">
    <w:name w:val="Body Text Indent 2 Char"/>
    <w:basedOn w:val="DefaultParagraphFont"/>
    <w:link w:val="BodyTextIndent2"/>
    <w:uiPriority w:val="98"/>
    <w:semiHidden/>
    <w:rsid w:val="002B5B43"/>
    <w:rPr>
      <w:sz w:val="24"/>
      <w:szCs w:val="24"/>
      <w:lang w:val="ro-RO"/>
    </w:rPr>
  </w:style>
  <w:style w:type="paragraph" w:styleId="BodyTextIndent3">
    <w:name w:val="Body Text Indent 3"/>
    <w:basedOn w:val="Normal"/>
    <w:link w:val="BodyTextIndent3Char"/>
    <w:uiPriority w:val="98"/>
    <w:semiHidden/>
    <w:rsid w:val="002B5B43"/>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2B5B43"/>
    <w:rPr>
      <w:sz w:val="16"/>
      <w:szCs w:val="16"/>
      <w:lang w:val="ro-RO"/>
    </w:rPr>
  </w:style>
  <w:style w:type="paragraph" w:styleId="Caption">
    <w:name w:val="caption"/>
    <w:basedOn w:val="Normal"/>
    <w:next w:val="Normal"/>
    <w:uiPriority w:val="98"/>
    <w:semiHidden/>
    <w:qFormat/>
    <w:rsid w:val="002B5B43"/>
    <w:pPr>
      <w:spacing w:after="200"/>
    </w:pPr>
    <w:rPr>
      <w:b/>
      <w:bCs/>
      <w:color w:val="0072BC" w:themeColor="accent1"/>
      <w:sz w:val="18"/>
      <w:szCs w:val="18"/>
    </w:rPr>
  </w:style>
  <w:style w:type="paragraph" w:styleId="Closing">
    <w:name w:val="Closing"/>
    <w:basedOn w:val="Normal"/>
    <w:link w:val="ClosingChar"/>
    <w:uiPriority w:val="98"/>
    <w:semiHidden/>
    <w:rsid w:val="002B5B43"/>
    <w:pPr>
      <w:ind w:left="4252"/>
    </w:pPr>
  </w:style>
  <w:style w:type="character" w:customStyle="1" w:styleId="ClosingChar">
    <w:name w:val="Closing Char"/>
    <w:basedOn w:val="DefaultParagraphFont"/>
    <w:link w:val="Closing"/>
    <w:uiPriority w:val="98"/>
    <w:semiHidden/>
    <w:rsid w:val="002B5B43"/>
    <w:rPr>
      <w:sz w:val="24"/>
      <w:szCs w:val="24"/>
      <w:lang w:val="ro-RO"/>
    </w:rPr>
  </w:style>
  <w:style w:type="table" w:styleId="ColorfulGrid">
    <w:name w:val="Colorful Grid"/>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2B5B43"/>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2B5B43"/>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2B5B43"/>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2B5B43"/>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2B5B43"/>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2B5B43"/>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2B5B43"/>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2B5B43"/>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2B5B43"/>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2B5B43"/>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2B5B43"/>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2B5B43"/>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2B5B43"/>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2B5B43"/>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2B5B43"/>
    <w:rPr>
      <w:sz w:val="16"/>
      <w:szCs w:val="16"/>
    </w:rPr>
  </w:style>
  <w:style w:type="paragraph" w:styleId="CommentText">
    <w:name w:val="annotation text"/>
    <w:basedOn w:val="Normal"/>
    <w:link w:val="CommentTextChar"/>
    <w:uiPriority w:val="98"/>
    <w:semiHidden/>
    <w:rsid w:val="002B5B43"/>
    <w:rPr>
      <w:sz w:val="20"/>
      <w:szCs w:val="20"/>
    </w:rPr>
  </w:style>
  <w:style w:type="character" w:customStyle="1" w:styleId="CommentTextChar">
    <w:name w:val="Comment Text Char"/>
    <w:basedOn w:val="DefaultParagraphFont"/>
    <w:link w:val="CommentText"/>
    <w:uiPriority w:val="98"/>
    <w:semiHidden/>
    <w:rsid w:val="002B5B43"/>
    <w:rPr>
      <w:sz w:val="20"/>
      <w:szCs w:val="20"/>
      <w:lang w:val="ro-RO"/>
    </w:rPr>
  </w:style>
  <w:style w:type="paragraph" w:styleId="CommentSubject">
    <w:name w:val="annotation subject"/>
    <w:basedOn w:val="CommentText"/>
    <w:next w:val="CommentText"/>
    <w:link w:val="CommentSubjectChar"/>
    <w:uiPriority w:val="98"/>
    <w:semiHidden/>
    <w:rsid w:val="002B5B43"/>
    <w:rPr>
      <w:b/>
      <w:bCs/>
    </w:rPr>
  </w:style>
  <w:style w:type="character" w:customStyle="1" w:styleId="CommentSubjectChar">
    <w:name w:val="Comment Subject Char"/>
    <w:basedOn w:val="CommentTextChar"/>
    <w:link w:val="CommentSubject"/>
    <w:uiPriority w:val="98"/>
    <w:semiHidden/>
    <w:rsid w:val="002B5B43"/>
    <w:rPr>
      <w:b/>
      <w:bCs/>
      <w:sz w:val="20"/>
      <w:szCs w:val="20"/>
      <w:lang w:val="ro-RO"/>
    </w:rPr>
  </w:style>
  <w:style w:type="table" w:styleId="DarkList">
    <w:name w:val="Dark List"/>
    <w:basedOn w:val="TableNormal"/>
    <w:uiPriority w:val="70"/>
    <w:semiHidden/>
    <w:rsid w:val="002B5B43"/>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2B5B43"/>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2B5B43"/>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2B5B43"/>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2B5B43"/>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2B5B43"/>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2B5B43"/>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2B5B43"/>
  </w:style>
  <w:style w:type="character" w:customStyle="1" w:styleId="DateChar">
    <w:name w:val="Date Char"/>
    <w:basedOn w:val="DefaultParagraphFont"/>
    <w:link w:val="Date"/>
    <w:uiPriority w:val="98"/>
    <w:semiHidden/>
    <w:rsid w:val="002B5B43"/>
    <w:rPr>
      <w:sz w:val="24"/>
      <w:szCs w:val="24"/>
      <w:lang w:val="ro-RO"/>
    </w:rPr>
  </w:style>
  <w:style w:type="paragraph" w:styleId="DocumentMap">
    <w:name w:val="Document Map"/>
    <w:basedOn w:val="Normal"/>
    <w:link w:val="DocumentMapChar"/>
    <w:uiPriority w:val="98"/>
    <w:semiHidden/>
    <w:rsid w:val="002B5B43"/>
    <w:rPr>
      <w:rFonts w:ascii="Tahoma" w:hAnsi="Tahoma" w:cs="Tahoma"/>
      <w:sz w:val="16"/>
      <w:szCs w:val="16"/>
    </w:rPr>
  </w:style>
  <w:style w:type="character" w:customStyle="1" w:styleId="DocumentMapChar">
    <w:name w:val="Document Map Char"/>
    <w:basedOn w:val="DefaultParagraphFont"/>
    <w:link w:val="DocumentMap"/>
    <w:uiPriority w:val="98"/>
    <w:semiHidden/>
    <w:rsid w:val="002B5B43"/>
    <w:rPr>
      <w:rFonts w:ascii="Tahoma" w:hAnsi="Tahoma" w:cs="Tahoma"/>
      <w:sz w:val="16"/>
      <w:szCs w:val="16"/>
      <w:lang w:val="ro-RO"/>
    </w:rPr>
  </w:style>
  <w:style w:type="paragraph" w:styleId="E-mailSignature">
    <w:name w:val="E-mail Signature"/>
    <w:basedOn w:val="Normal"/>
    <w:link w:val="E-mailSignatureChar"/>
    <w:uiPriority w:val="98"/>
    <w:semiHidden/>
    <w:rsid w:val="002B5B43"/>
  </w:style>
  <w:style w:type="character" w:customStyle="1" w:styleId="E-mailSignatureChar">
    <w:name w:val="E-mail Signature Char"/>
    <w:basedOn w:val="DefaultParagraphFont"/>
    <w:link w:val="E-mailSignature"/>
    <w:uiPriority w:val="98"/>
    <w:semiHidden/>
    <w:rsid w:val="002B5B43"/>
    <w:rPr>
      <w:sz w:val="24"/>
      <w:szCs w:val="24"/>
      <w:lang w:val="ro-RO"/>
    </w:rPr>
  </w:style>
  <w:style w:type="character" w:styleId="EndnoteReference">
    <w:name w:val="endnote reference"/>
    <w:basedOn w:val="DefaultParagraphFont"/>
    <w:uiPriority w:val="98"/>
    <w:semiHidden/>
    <w:rsid w:val="002B5B43"/>
    <w:rPr>
      <w:vertAlign w:val="superscript"/>
    </w:rPr>
  </w:style>
  <w:style w:type="paragraph" w:styleId="EndnoteText">
    <w:name w:val="endnote text"/>
    <w:basedOn w:val="Normal"/>
    <w:link w:val="EndnoteTextChar"/>
    <w:uiPriority w:val="98"/>
    <w:semiHidden/>
    <w:rsid w:val="002B5B43"/>
    <w:rPr>
      <w:sz w:val="20"/>
      <w:szCs w:val="20"/>
    </w:rPr>
  </w:style>
  <w:style w:type="character" w:customStyle="1" w:styleId="EndnoteTextChar">
    <w:name w:val="Endnote Text Char"/>
    <w:basedOn w:val="DefaultParagraphFont"/>
    <w:link w:val="EndnoteText"/>
    <w:uiPriority w:val="98"/>
    <w:semiHidden/>
    <w:rsid w:val="002B5B43"/>
    <w:rPr>
      <w:sz w:val="20"/>
      <w:szCs w:val="20"/>
      <w:lang w:val="ro-RO"/>
    </w:rPr>
  </w:style>
  <w:style w:type="paragraph" w:styleId="EnvelopeAddress">
    <w:name w:val="envelope address"/>
    <w:basedOn w:val="Normal"/>
    <w:uiPriority w:val="98"/>
    <w:semiHidden/>
    <w:rsid w:val="002B5B43"/>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2B5B43"/>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2B5B43"/>
    <w:rPr>
      <w:color w:val="7030A0" w:themeColor="followedHyperlink"/>
      <w:u w:val="single"/>
    </w:rPr>
  </w:style>
  <w:style w:type="character" w:styleId="HTMLAcronym">
    <w:name w:val="HTML Acronym"/>
    <w:basedOn w:val="DefaultParagraphFont"/>
    <w:uiPriority w:val="98"/>
    <w:semiHidden/>
    <w:rsid w:val="002B5B43"/>
  </w:style>
  <w:style w:type="paragraph" w:styleId="HTMLAddress">
    <w:name w:val="HTML Address"/>
    <w:basedOn w:val="Normal"/>
    <w:link w:val="HTMLAddressChar"/>
    <w:uiPriority w:val="98"/>
    <w:semiHidden/>
    <w:rsid w:val="002B5B43"/>
    <w:rPr>
      <w:i/>
      <w:iCs/>
    </w:rPr>
  </w:style>
  <w:style w:type="character" w:customStyle="1" w:styleId="HTMLAddressChar">
    <w:name w:val="HTML Address Char"/>
    <w:basedOn w:val="DefaultParagraphFont"/>
    <w:link w:val="HTMLAddress"/>
    <w:uiPriority w:val="98"/>
    <w:semiHidden/>
    <w:rsid w:val="002B5B43"/>
    <w:rPr>
      <w:i/>
      <w:iCs/>
      <w:sz w:val="24"/>
      <w:szCs w:val="24"/>
      <w:lang w:val="ro-RO"/>
    </w:rPr>
  </w:style>
  <w:style w:type="character" w:styleId="HTMLCite">
    <w:name w:val="HTML Cite"/>
    <w:basedOn w:val="DefaultParagraphFont"/>
    <w:uiPriority w:val="98"/>
    <w:semiHidden/>
    <w:rsid w:val="002B5B43"/>
    <w:rPr>
      <w:i/>
      <w:iCs/>
    </w:rPr>
  </w:style>
  <w:style w:type="character" w:styleId="HTMLCode">
    <w:name w:val="HTML Code"/>
    <w:basedOn w:val="DefaultParagraphFont"/>
    <w:uiPriority w:val="98"/>
    <w:semiHidden/>
    <w:rsid w:val="002B5B43"/>
    <w:rPr>
      <w:rFonts w:ascii="Consolas" w:hAnsi="Consolas" w:cs="Consolas"/>
      <w:sz w:val="20"/>
      <w:szCs w:val="20"/>
    </w:rPr>
  </w:style>
  <w:style w:type="character" w:styleId="HTMLDefinition">
    <w:name w:val="HTML Definition"/>
    <w:basedOn w:val="DefaultParagraphFont"/>
    <w:uiPriority w:val="98"/>
    <w:semiHidden/>
    <w:rsid w:val="002B5B43"/>
    <w:rPr>
      <w:i/>
      <w:iCs/>
    </w:rPr>
  </w:style>
  <w:style w:type="character" w:styleId="HTMLKeyboard">
    <w:name w:val="HTML Keyboard"/>
    <w:basedOn w:val="DefaultParagraphFont"/>
    <w:uiPriority w:val="98"/>
    <w:semiHidden/>
    <w:rsid w:val="002B5B43"/>
    <w:rPr>
      <w:rFonts w:ascii="Consolas" w:hAnsi="Consolas" w:cs="Consolas"/>
      <w:sz w:val="20"/>
      <w:szCs w:val="20"/>
    </w:rPr>
  </w:style>
  <w:style w:type="paragraph" w:styleId="HTMLPreformatted">
    <w:name w:val="HTML Preformatted"/>
    <w:basedOn w:val="Normal"/>
    <w:link w:val="HTMLPreformattedChar"/>
    <w:uiPriority w:val="98"/>
    <w:semiHidden/>
    <w:rsid w:val="002B5B43"/>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2B5B43"/>
    <w:rPr>
      <w:rFonts w:ascii="Consolas" w:hAnsi="Consolas" w:cs="Consolas"/>
      <w:sz w:val="20"/>
      <w:szCs w:val="20"/>
      <w:lang w:val="ro-RO"/>
    </w:rPr>
  </w:style>
  <w:style w:type="character" w:styleId="HTMLSample">
    <w:name w:val="HTML Sample"/>
    <w:basedOn w:val="DefaultParagraphFont"/>
    <w:uiPriority w:val="98"/>
    <w:semiHidden/>
    <w:rsid w:val="002B5B43"/>
    <w:rPr>
      <w:rFonts w:ascii="Consolas" w:hAnsi="Consolas" w:cs="Consolas"/>
      <w:sz w:val="24"/>
      <w:szCs w:val="24"/>
    </w:rPr>
  </w:style>
  <w:style w:type="character" w:styleId="HTMLTypewriter">
    <w:name w:val="HTML Typewriter"/>
    <w:basedOn w:val="DefaultParagraphFont"/>
    <w:uiPriority w:val="98"/>
    <w:semiHidden/>
    <w:rsid w:val="002B5B43"/>
    <w:rPr>
      <w:rFonts w:ascii="Consolas" w:hAnsi="Consolas" w:cs="Consolas"/>
      <w:sz w:val="20"/>
      <w:szCs w:val="20"/>
    </w:rPr>
  </w:style>
  <w:style w:type="character" w:styleId="HTMLVariable">
    <w:name w:val="HTML Variable"/>
    <w:basedOn w:val="DefaultParagraphFont"/>
    <w:uiPriority w:val="98"/>
    <w:semiHidden/>
    <w:rsid w:val="002B5B43"/>
    <w:rPr>
      <w:i/>
      <w:iCs/>
    </w:rPr>
  </w:style>
  <w:style w:type="paragraph" w:styleId="Index1">
    <w:name w:val="index 1"/>
    <w:basedOn w:val="Normal"/>
    <w:next w:val="Normal"/>
    <w:autoRedefine/>
    <w:uiPriority w:val="98"/>
    <w:semiHidden/>
    <w:rsid w:val="002B5B43"/>
    <w:pPr>
      <w:ind w:left="240" w:hanging="240"/>
    </w:pPr>
  </w:style>
  <w:style w:type="paragraph" w:styleId="Index2">
    <w:name w:val="index 2"/>
    <w:basedOn w:val="Normal"/>
    <w:next w:val="Normal"/>
    <w:autoRedefine/>
    <w:uiPriority w:val="98"/>
    <w:semiHidden/>
    <w:rsid w:val="002B5B43"/>
    <w:pPr>
      <w:ind w:left="480" w:hanging="240"/>
    </w:pPr>
  </w:style>
  <w:style w:type="paragraph" w:styleId="Index3">
    <w:name w:val="index 3"/>
    <w:basedOn w:val="Normal"/>
    <w:next w:val="Normal"/>
    <w:autoRedefine/>
    <w:uiPriority w:val="98"/>
    <w:semiHidden/>
    <w:rsid w:val="002B5B43"/>
    <w:pPr>
      <w:ind w:left="720" w:hanging="240"/>
    </w:pPr>
  </w:style>
  <w:style w:type="paragraph" w:styleId="Index4">
    <w:name w:val="index 4"/>
    <w:basedOn w:val="Normal"/>
    <w:next w:val="Normal"/>
    <w:autoRedefine/>
    <w:uiPriority w:val="98"/>
    <w:semiHidden/>
    <w:rsid w:val="002B5B43"/>
    <w:pPr>
      <w:ind w:left="960" w:hanging="240"/>
    </w:pPr>
  </w:style>
  <w:style w:type="paragraph" w:styleId="Index5">
    <w:name w:val="index 5"/>
    <w:basedOn w:val="Normal"/>
    <w:next w:val="Normal"/>
    <w:autoRedefine/>
    <w:uiPriority w:val="98"/>
    <w:semiHidden/>
    <w:rsid w:val="002B5B43"/>
    <w:pPr>
      <w:ind w:left="1200" w:hanging="240"/>
    </w:pPr>
  </w:style>
  <w:style w:type="paragraph" w:styleId="Index6">
    <w:name w:val="index 6"/>
    <w:basedOn w:val="Normal"/>
    <w:next w:val="Normal"/>
    <w:autoRedefine/>
    <w:uiPriority w:val="98"/>
    <w:semiHidden/>
    <w:rsid w:val="002B5B43"/>
    <w:pPr>
      <w:ind w:left="1440" w:hanging="240"/>
    </w:pPr>
  </w:style>
  <w:style w:type="paragraph" w:styleId="Index7">
    <w:name w:val="index 7"/>
    <w:basedOn w:val="Normal"/>
    <w:next w:val="Normal"/>
    <w:autoRedefine/>
    <w:uiPriority w:val="98"/>
    <w:semiHidden/>
    <w:rsid w:val="002B5B43"/>
    <w:pPr>
      <w:ind w:left="1680" w:hanging="240"/>
    </w:pPr>
  </w:style>
  <w:style w:type="paragraph" w:styleId="Index8">
    <w:name w:val="index 8"/>
    <w:basedOn w:val="Normal"/>
    <w:next w:val="Normal"/>
    <w:autoRedefine/>
    <w:uiPriority w:val="98"/>
    <w:semiHidden/>
    <w:rsid w:val="002B5B43"/>
    <w:pPr>
      <w:ind w:left="1920" w:hanging="240"/>
    </w:pPr>
  </w:style>
  <w:style w:type="paragraph" w:styleId="Index9">
    <w:name w:val="index 9"/>
    <w:basedOn w:val="Normal"/>
    <w:next w:val="Normal"/>
    <w:autoRedefine/>
    <w:uiPriority w:val="98"/>
    <w:semiHidden/>
    <w:rsid w:val="002B5B43"/>
    <w:pPr>
      <w:ind w:left="2160" w:hanging="240"/>
    </w:pPr>
  </w:style>
  <w:style w:type="paragraph" w:styleId="IndexHeading">
    <w:name w:val="index heading"/>
    <w:basedOn w:val="Normal"/>
    <w:next w:val="Index1"/>
    <w:uiPriority w:val="98"/>
    <w:semiHidden/>
    <w:rsid w:val="002B5B43"/>
    <w:rPr>
      <w:rFonts w:asciiTheme="majorHAnsi" w:eastAsiaTheme="majorEastAsia" w:hAnsiTheme="majorHAnsi" w:cstheme="majorBidi"/>
      <w:b/>
      <w:bCs/>
    </w:rPr>
  </w:style>
  <w:style w:type="table" w:styleId="LightGrid">
    <w:name w:val="Light Grid"/>
    <w:basedOn w:val="TableNormal"/>
    <w:uiPriority w:val="62"/>
    <w:semiHidden/>
    <w:rsid w:val="002B5B4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2B5B4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2B5B4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2B5B4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2B5B4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2B5B4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2B5B4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2B5B4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2B5B4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2B5B4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2B5B4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2B5B4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2B5B4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2B5B4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2B5B43"/>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2B5B43"/>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2B5B43"/>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2B5B43"/>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2B5B43"/>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2B5B43"/>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2B5B43"/>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2B5B43"/>
  </w:style>
  <w:style w:type="paragraph" w:styleId="List">
    <w:name w:val="List"/>
    <w:basedOn w:val="Normal"/>
    <w:uiPriority w:val="98"/>
    <w:semiHidden/>
    <w:rsid w:val="002B5B43"/>
    <w:pPr>
      <w:ind w:left="283" w:hanging="283"/>
      <w:contextualSpacing/>
    </w:pPr>
  </w:style>
  <w:style w:type="paragraph" w:styleId="List2">
    <w:name w:val="List 2"/>
    <w:basedOn w:val="Normal"/>
    <w:uiPriority w:val="98"/>
    <w:semiHidden/>
    <w:rsid w:val="002B5B43"/>
    <w:pPr>
      <w:ind w:left="566" w:hanging="283"/>
      <w:contextualSpacing/>
    </w:pPr>
  </w:style>
  <w:style w:type="paragraph" w:styleId="List3">
    <w:name w:val="List 3"/>
    <w:basedOn w:val="Normal"/>
    <w:uiPriority w:val="98"/>
    <w:semiHidden/>
    <w:rsid w:val="002B5B43"/>
    <w:pPr>
      <w:ind w:left="849" w:hanging="283"/>
      <w:contextualSpacing/>
    </w:pPr>
  </w:style>
  <w:style w:type="paragraph" w:styleId="List4">
    <w:name w:val="List 4"/>
    <w:basedOn w:val="Normal"/>
    <w:uiPriority w:val="98"/>
    <w:semiHidden/>
    <w:rsid w:val="002B5B43"/>
    <w:pPr>
      <w:ind w:left="1132" w:hanging="283"/>
      <w:contextualSpacing/>
    </w:pPr>
  </w:style>
  <w:style w:type="paragraph" w:styleId="List5">
    <w:name w:val="List 5"/>
    <w:basedOn w:val="Normal"/>
    <w:uiPriority w:val="98"/>
    <w:semiHidden/>
    <w:rsid w:val="002B5B43"/>
    <w:pPr>
      <w:ind w:left="1415" w:hanging="283"/>
      <w:contextualSpacing/>
    </w:pPr>
  </w:style>
  <w:style w:type="paragraph" w:styleId="ListBullet2">
    <w:name w:val="List Bullet 2"/>
    <w:basedOn w:val="Normal"/>
    <w:uiPriority w:val="98"/>
    <w:semiHidden/>
    <w:rsid w:val="002B5B43"/>
    <w:pPr>
      <w:numPr>
        <w:numId w:val="12"/>
      </w:numPr>
      <w:contextualSpacing/>
    </w:pPr>
  </w:style>
  <w:style w:type="paragraph" w:styleId="ListBullet4">
    <w:name w:val="List Bullet 4"/>
    <w:basedOn w:val="Normal"/>
    <w:uiPriority w:val="98"/>
    <w:semiHidden/>
    <w:rsid w:val="002B5B43"/>
    <w:pPr>
      <w:numPr>
        <w:numId w:val="14"/>
      </w:numPr>
      <w:contextualSpacing/>
    </w:pPr>
  </w:style>
  <w:style w:type="paragraph" w:styleId="ListBullet5">
    <w:name w:val="List Bullet 5"/>
    <w:basedOn w:val="Normal"/>
    <w:uiPriority w:val="98"/>
    <w:semiHidden/>
    <w:rsid w:val="002B5B43"/>
    <w:pPr>
      <w:numPr>
        <w:numId w:val="15"/>
      </w:numPr>
      <w:contextualSpacing/>
    </w:pPr>
  </w:style>
  <w:style w:type="paragraph" w:styleId="ListContinue">
    <w:name w:val="List Continue"/>
    <w:basedOn w:val="Normal"/>
    <w:uiPriority w:val="98"/>
    <w:semiHidden/>
    <w:rsid w:val="002B5B43"/>
    <w:pPr>
      <w:spacing w:after="120"/>
      <w:ind w:left="283"/>
      <w:contextualSpacing/>
    </w:pPr>
  </w:style>
  <w:style w:type="paragraph" w:styleId="ListContinue2">
    <w:name w:val="List Continue 2"/>
    <w:basedOn w:val="Normal"/>
    <w:uiPriority w:val="98"/>
    <w:semiHidden/>
    <w:rsid w:val="002B5B43"/>
    <w:pPr>
      <w:spacing w:after="120"/>
      <w:ind w:left="566"/>
      <w:contextualSpacing/>
    </w:pPr>
  </w:style>
  <w:style w:type="paragraph" w:styleId="ListContinue3">
    <w:name w:val="List Continue 3"/>
    <w:basedOn w:val="Normal"/>
    <w:uiPriority w:val="98"/>
    <w:semiHidden/>
    <w:rsid w:val="002B5B43"/>
    <w:pPr>
      <w:spacing w:after="120"/>
      <w:ind w:left="849"/>
      <w:contextualSpacing/>
    </w:pPr>
  </w:style>
  <w:style w:type="paragraph" w:styleId="ListContinue4">
    <w:name w:val="List Continue 4"/>
    <w:basedOn w:val="Normal"/>
    <w:uiPriority w:val="98"/>
    <w:semiHidden/>
    <w:rsid w:val="002B5B43"/>
    <w:pPr>
      <w:spacing w:after="120"/>
      <w:ind w:left="1132"/>
      <w:contextualSpacing/>
    </w:pPr>
  </w:style>
  <w:style w:type="paragraph" w:styleId="ListContinue5">
    <w:name w:val="List Continue 5"/>
    <w:basedOn w:val="Normal"/>
    <w:uiPriority w:val="98"/>
    <w:semiHidden/>
    <w:rsid w:val="002B5B43"/>
    <w:pPr>
      <w:spacing w:after="120"/>
      <w:ind w:left="1415"/>
      <w:contextualSpacing/>
    </w:pPr>
  </w:style>
  <w:style w:type="paragraph" w:styleId="ListNumber">
    <w:name w:val="List Number"/>
    <w:basedOn w:val="Normal"/>
    <w:uiPriority w:val="98"/>
    <w:semiHidden/>
    <w:rsid w:val="002B5B43"/>
    <w:pPr>
      <w:numPr>
        <w:numId w:val="16"/>
      </w:numPr>
      <w:contextualSpacing/>
    </w:pPr>
  </w:style>
  <w:style w:type="paragraph" w:styleId="ListNumber2">
    <w:name w:val="List Number 2"/>
    <w:basedOn w:val="Normal"/>
    <w:uiPriority w:val="98"/>
    <w:semiHidden/>
    <w:rsid w:val="002B5B43"/>
    <w:pPr>
      <w:numPr>
        <w:numId w:val="17"/>
      </w:numPr>
      <w:contextualSpacing/>
    </w:pPr>
  </w:style>
  <w:style w:type="paragraph" w:styleId="ListNumber3">
    <w:name w:val="List Number 3"/>
    <w:basedOn w:val="Normal"/>
    <w:uiPriority w:val="98"/>
    <w:semiHidden/>
    <w:rsid w:val="002B5B43"/>
    <w:pPr>
      <w:numPr>
        <w:numId w:val="18"/>
      </w:numPr>
      <w:contextualSpacing/>
    </w:pPr>
  </w:style>
  <w:style w:type="paragraph" w:styleId="ListNumber4">
    <w:name w:val="List Number 4"/>
    <w:basedOn w:val="Normal"/>
    <w:uiPriority w:val="98"/>
    <w:semiHidden/>
    <w:rsid w:val="002B5B43"/>
    <w:pPr>
      <w:numPr>
        <w:numId w:val="19"/>
      </w:numPr>
      <w:contextualSpacing/>
    </w:pPr>
  </w:style>
  <w:style w:type="paragraph" w:styleId="ListNumber5">
    <w:name w:val="List Number 5"/>
    <w:basedOn w:val="Normal"/>
    <w:uiPriority w:val="98"/>
    <w:semiHidden/>
    <w:rsid w:val="002B5B43"/>
    <w:pPr>
      <w:numPr>
        <w:numId w:val="20"/>
      </w:numPr>
      <w:contextualSpacing/>
    </w:pPr>
  </w:style>
  <w:style w:type="paragraph" w:styleId="MacroText">
    <w:name w:val="macro"/>
    <w:link w:val="MacroTextChar"/>
    <w:uiPriority w:val="98"/>
    <w:semiHidden/>
    <w:rsid w:val="002B5B4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2B5B43"/>
    <w:rPr>
      <w:rFonts w:ascii="Consolas" w:eastAsiaTheme="minorEastAsia" w:hAnsi="Consolas" w:cs="Consolas"/>
      <w:sz w:val="20"/>
      <w:szCs w:val="20"/>
    </w:rPr>
  </w:style>
  <w:style w:type="table" w:styleId="MediumGrid1">
    <w:name w:val="Medium Grid 1"/>
    <w:basedOn w:val="TableNormal"/>
    <w:uiPriority w:val="67"/>
    <w:semiHidden/>
    <w:rsid w:val="002B5B4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2B5B4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2B5B4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2B5B4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2B5B4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2B5B4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2B5B4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2B5B43"/>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2B5B43"/>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2B5B43"/>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2B5B43"/>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2B5B43"/>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2B5B43"/>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2B5B43"/>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2B5B4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B5B4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B5B4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B5B4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B5B4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B5B4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B5B4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2B5B4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2B5B43"/>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2B5B43"/>
    <w:rPr>
      <w:rFonts w:ascii="Times New Roman" w:hAnsi="Times New Roman" w:cs="Times New Roman"/>
    </w:rPr>
  </w:style>
  <w:style w:type="paragraph" w:styleId="NormalIndent">
    <w:name w:val="Normal Indent"/>
    <w:basedOn w:val="Normal"/>
    <w:uiPriority w:val="98"/>
    <w:semiHidden/>
    <w:rsid w:val="002B5B43"/>
    <w:pPr>
      <w:ind w:left="720"/>
    </w:pPr>
  </w:style>
  <w:style w:type="paragraph" w:styleId="NoteHeading">
    <w:name w:val="Note Heading"/>
    <w:basedOn w:val="Normal"/>
    <w:next w:val="Normal"/>
    <w:link w:val="NoteHeadingChar"/>
    <w:uiPriority w:val="98"/>
    <w:semiHidden/>
    <w:rsid w:val="002B5B43"/>
  </w:style>
  <w:style w:type="character" w:customStyle="1" w:styleId="NoteHeadingChar">
    <w:name w:val="Note Heading Char"/>
    <w:basedOn w:val="DefaultParagraphFont"/>
    <w:link w:val="NoteHeading"/>
    <w:uiPriority w:val="98"/>
    <w:semiHidden/>
    <w:rsid w:val="002B5B43"/>
    <w:rPr>
      <w:sz w:val="24"/>
      <w:szCs w:val="24"/>
      <w:lang w:val="ro-RO"/>
    </w:rPr>
  </w:style>
  <w:style w:type="character" w:styleId="PlaceholderText">
    <w:name w:val="Placeholder Text"/>
    <w:basedOn w:val="DefaultParagraphFont"/>
    <w:uiPriority w:val="98"/>
    <w:semiHidden/>
    <w:rsid w:val="002B5B43"/>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2B5B43"/>
    <w:rPr>
      <w:rFonts w:ascii="Consolas" w:hAnsi="Consolas" w:cs="Consolas"/>
      <w:sz w:val="21"/>
      <w:szCs w:val="21"/>
    </w:rPr>
  </w:style>
  <w:style w:type="character" w:customStyle="1" w:styleId="PlainTextChar">
    <w:name w:val="Plain Text Char"/>
    <w:basedOn w:val="DefaultParagraphFont"/>
    <w:link w:val="PlainText"/>
    <w:uiPriority w:val="98"/>
    <w:semiHidden/>
    <w:rsid w:val="002B5B43"/>
    <w:rPr>
      <w:rFonts w:ascii="Consolas" w:hAnsi="Consolas" w:cs="Consolas"/>
      <w:sz w:val="21"/>
      <w:szCs w:val="21"/>
      <w:lang w:val="ro-RO"/>
    </w:rPr>
  </w:style>
  <w:style w:type="paragraph" w:styleId="Salutation">
    <w:name w:val="Salutation"/>
    <w:basedOn w:val="Normal"/>
    <w:next w:val="Normal"/>
    <w:link w:val="SalutationChar"/>
    <w:uiPriority w:val="98"/>
    <w:semiHidden/>
    <w:rsid w:val="002B5B43"/>
  </w:style>
  <w:style w:type="character" w:customStyle="1" w:styleId="SalutationChar">
    <w:name w:val="Salutation Char"/>
    <w:basedOn w:val="DefaultParagraphFont"/>
    <w:link w:val="Salutation"/>
    <w:uiPriority w:val="98"/>
    <w:semiHidden/>
    <w:rsid w:val="002B5B43"/>
    <w:rPr>
      <w:sz w:val="24"/>
      <w:szCs w:val="24"/>
      <w:lang w:val="ro-RO"/>
    </w:rPr>
  </w:style>
  <w:style w:type="paragraph" w:styleId="Signature">
    <w:name w:val="Signature"/>
    <w:basedOn w:val="Normal"/>
    <w:link w:val="SignatureChar"/>
    <w:uiPriority w:val="98"/>
    <w:semiHidden/>
    <w:rsid w:val="002B5B43"/>
    <w:pPr>
      <w:ind w:left="4252"/>
    </w:pPr>
  </w:style>
  <w:style w:type="character" w:customStyle="1" w:styleId="SignatureChar">
    <w:name w:val="Signature Char"/>
    <w:basedOn w:val="DefaultParagraphFont"/>
    <w:link w:val="Signature"/>
    <w:uiPriority w:val="98"/>
    <w:semiHidden/>
    <w:rsid w:val="002B5B43"/>
    <w:rPr>
      <w:sz w:val="24"/>
      <w:szCs w:val="24"/>
      <w:lang w:val="ro-RO"/>
    </w:rPr>
  </w:style>
  <w:style w:type="table" w:styleId="Table3Deffects1">
    <w:name w:val="Table 3D effects 1"/>
    <w:basedOn w:val="TableNormal"/>
    <w:uiPriority w:val="99"/>
    <w:semiHidden/>
    <w:unhideWhenUsed/>
    <w:rsid w:val="002B5B43"/>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B5B43"/>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B5B43"/>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B5B43"/>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B5B43"/>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B5B43"/>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B5B43"/>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B5B43"/>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B5B43"/>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B5B43"/>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B5B43"/>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B5B43"/>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B5B43"/>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B5B43"/>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B5B43"/>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B5B43"/>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B5B43"/>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B5B4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B5B43"/>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B5B43"/>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B5B43"/>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B5B43"/>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B5B43"/>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B5B43"/>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B5B43"/>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B5B43"/>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B5B4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B5B4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B5B43"/>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B5B4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2B5B43"/>
    <w:pPr>
      <w:ind w:left="240" w:hanging="240"/>
    </w:pPr>
  </w:style>
  <w:style w:type="paragraph" w:styleId="TableofFigures">
    <w:name w:val="table of figures"/>
    <w:basedOn w:val="Normal"/>
    <w:next w:val="Normal"/>
    <w:uiPriority w:val="98"/>
    <w:semiHidden/>
    <w:rsid w:val="002B5B43"/>
  </w:style>
  <w:style w:type="table" w:styleId="TableProfessional">
    <w:name w:val="Table Professional"/>
    <w:basedOn w:val="TableNormal"/>
    <w:uiPriority w:val="99"/>
    <w:semiHidden/>
    <w:unhideWhenUsed/>
    <w:rsid w:val="002B5B4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B5B43"/>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B5B43"/>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B5B43"/>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B5B43"/>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B5B43"/>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B5B43"/>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B5B43"/>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B5B43"/>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2B5B43"/>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2B5B43"/>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2B5B43"/>
    <w:pPr>
      <w:spacing w:after="100"/>
      <w:ind w:left="1680"/>
    </w:pPr>
  </w:style>
  <w:style w:type="paragraph" w:styleId="TOC9">
    <w:name w:val="toc 9"/>
    <w:basedOn w:val="Normal"/>
    <w:next w:val="Normal"/>
    <w:autoRedefine/>
    <w:uiPriority w:val="98"/>
    <w:semiHidden/>
    <w:rsid w:val="002B5B43"/>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2B5B43"/>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2B5B43"/>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2B5B43"/>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2B5B43"/>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2B5B43"/>
    <w:pPr>
      <w:numPr>
        <w:numId w:val="7"/>
      </w:numPr>
      <w:spacing w:before="60" w:after="60"/>
    </w:pPr>
  </w:style>
  <w:style w:type="paragraph" w:customStyle="1" w:styleId="ECHRBullet2">
    <w:name w:val="ECHR_Bullet_2"/>
    <w:aliases w:val="_Bul_2"/>
    <w:basedOn w:val="ECHRBullet1"/>
    <w:uiPriority w:val="23"/>
    <w:semiHidden/>
    <w:rsid w:val="002B5B43"/>
    <w:pPr>
      <w:numPr>
        <w:ilvl w:val="1"/>
      </w:numPr>
    </w:pPr>
  </w:style>
  <w:style w:type="paragraph" w:customStyle="1" w:styleId="ECHRBullet3">
    <w:name w:val="ECHR_Bullet_3"/>
    <w:aliases w:val="_Bul_3"/>
    <w:basedOn w:val="ECHRBullet2"/>
    <w:uiPriority w:val="23"/>
    <w:semiHidden/>
    <w:rsid w:val="002B5B43"/>
    <w:pPr>
      <w:numPr>
        <w:ilvl w:val="2"/>
      </w:numPr>
    </w:pPr>
  </w:style>
  <w:style w:type="paragraph" w:customStyle="1" w:styleId="ECHRBullet4">
    <w:name w:val="ECHR_Bullet_4"/>
    <w:aliases w:val="_Bul_4"/>
    <w:basedOn w:val="ECHRBullet3"/>
    <w:uiPriority w:val="23"/>
    <w:semiHidden/>
    <w:rsid w:val="002B5B43"/>
    <w:pPr>
      <w:numPr>
        <w:ilvl w:val="3"/>
      </w:numPr>
    </w:pPr>
  </w:style>
  <w:style w:type="paragraph" w:customStyle="1" w:styleId="ECHRConfidential">
    <w:name w:val="ECHR_Confidential"/>
    <w:aliases w:val="_Confidential"/>
    <w:basedOn w:val="Normal"/>
    <w:next w:val="Normal"/>
    <w:uiPriority w:val="42"/>
    <w:semiHidden/>
    <w:qFormat/>
    <w:rsid w:val="002B5B43"/>
    <w:pPr>
      <w:jc w:val="right"/>
    </w:pPr>
    <w:rPr>
      <w:color w:val="C00000"/>
      <w:sz w:val="20"/>
    </w:rPr>
  </w:style>
  <w:style w:type="paragraph" w:customStyle="1" w:styleId="ECHRDecisionBody">
    <w:name w:val="ECHR_Decision_Body"/>
    <w:aliases w:val="_Decision_Body"/>
    <w:basedOn w:val="NormalJustified"/>
    <w:uiPriority w:val="54"/>
    <w:semiHidden/>
    <w:rsid w:val="002B5B43"/>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2B5B43"/>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2B5B43"/>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2B5B43"/>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2B5B43"/>
    <w:pPr>
      <w:jc w:val="right"/>
    </w:pPr>
    <w:rPr>
      <w:sz w:val="20"/>
    </w:rPr>
  </w:style>
  <w:style w:type="paragraph" w:customStyle="1" w:styleId="ECHRHeaderRefIt">
    <w:name w:val="ECHR_Header_Ref_It"/>
    <w:aliases w:val="_Ref_Ital"/>
    <w:basedOn w:val="Normal"/>
    <w:next w:val="ECHRHeaderDate"/>
    <w:uiPriority w:val="43"/>
    <w:semiHidden/>
    <w:qFormat/>
    <w:rsid w:val="002B5B43"/>
    <w:pPr>
      <w:jc w:val="right"/>
    </w:pPr>
    <w:rPr>
      <w:i/>
      <w:sz w:val="20"/>
    </w:rPr>
  </w:style>
  <w:style w:type="paragraph" w:customStyle="1" w:styleId="ECHRHeading9">
    <w:name w:val="ECHR_Heading_9"/>
    <w:aliases w:val="_Head_9"/>
    <w:basedOn w:val="Heading9"/>
    <w:uiPriority w:val="17"/>
    <w:semiHidden/>
    <w:rsid w:val="002B5B43"/>
    <w:pPr>
      <w:keepNext/>
      <w:keepLines/>
      <w:numPr>
        <w:ilvl w:val="8"/>
        <w:numId w:val="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2B5B43"/>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2B5B43"/>
    <w:pPr>
      <w:numPr>
        <w:numId w:val="8"/>
      </w:numPr>
      <w:spacing w:before="60" w:after="60"/>
    </w:pPr>
  </w:style>
  <w:style w:type="paragraph" w:customStyle="1" w:styleId="ECHRNumberedList2">
    <w:name w:val="ECHR_Numbered_List_2"/>
    <w:aliases w:val="_Num_2"/>
    <w:basedOn w:val="ECHRNumberedList1"/>
    <w:uiPriority w:val="23"/>
    <w:semiHidden/>
    <w:rsid w:val="002B5B43"/>
    <w:pPr>
      <w:numPr>
        <w:ilvl w:val="1"/>
      </w:numPr>
    </w:pPr>
  </w:style>
  <w:style w:type="paragraph" w:customStyle="1" w:styleId="ECHRNumberedList3">
    <w:name w:val="ECHR_Numbered_List_3"/>
    <w:aliases w:val="_Num_3"/>
    <w:basedOn w:val="ECHRNumberedList2"/>
    <w:uiPriority w:val="23"/>
    <w:semiHidden/>
    <w:rsid w:val="002B5B43"/>
    <w:pPr>
      <w:numPr>
        <w:ilvl w:val="2"/>
      </w:numPr>
    </w:pPr>
  </w:style>
  <w:style w:type="paragraph" w:customStyle="1" w:styleId="ECHRParaHanging">
    <w:name w:val="ECHR_Para_Hanging"/>
    <w:aliases w:val="_Hanging"/>
    <w:basedOn w:val="NormalJustified"/>
    <w:uiPriority w:val="8"/>
    <w:semiHidden/>
    <w:qFormat/>
    <w:rsid w:val="002B5B43"/>
    <w:pPr>
      <w:ind w:left="567" w:hanging="567"/>
    </w:pPr>
  </w:style>
  <w:style w:type="paragraph" w:customStyle="1" w:styleId="ECHRParaIndent">
    <w:name w:val="ECHR_Para_Indent"/>
    <w:aliases w:val="_Indent"/>
    <w:basedOn w:val="NormalJustified"/>
    <w:uiPriority w:val="7"/>
    <w:semiHidden/>
    <w:qFormat/>
    <w:rsid w:val="002B5B43"/>
    <w:pPr>
      <w:spacing w:before="120" w:after="120"/>
      <w:ind w:left="284"/>
    </w:pPr>
  </w:style>
  <w:style w:type="character" w:customStyle="1" w:styleId="ECHRRed">
    <w:name w:val="ECHR_Red"/>
    <w:aliases w:val="_Red"/>
    <w:basedOn w:val="DefaultParagraphFont"/>
    <w:uiPriority w:val="15"/>
    <w:semiHidden/>
    <w:qFormat/>
    <w:rsid w:val="002B5B43"/>
    <w:rPr>
      <w:color w:val="C00000" w:themeColor="accent2"/>
    </w:rPr>
  </w:style>
  <w:style w:type="paragraph" w:customStyle="1" w:styleId="DecList">
    <w:name w:val="Dec_List"/>
    <w:aliases w:val="_List"/>
    <w:basedOn w:val="JuList"/>
    <w:uiPriority w:val="22"/>
    <w:rsid w:val="002B5B43"/>
    <w:pPr>
      <w:numPr>
        <w:numId w:val="0"/>
      </w:numPr>
      <w:ind w:left="284"/>
    </w:pPr>
  </w:style>
  <w:style w:type="table" w:customStyle="1" w:styleId="ECHRTable2">
    <w:name w:val="ECHR_Table_2"/>
    <w:basedOn w:val="TableNormal"/>
    <w:uiPriority w:val="99"/>
    <w:rsid w:val="002B5B43"/>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2B5B4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2B5B43"/>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2B5B43"/>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2B5B43"/>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2B5B43"/>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2B5B43"/>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2B5B43"/>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2B5B43"/>
    <w:pPr>
      <w:outlineLvl w:val="0"/>
    </w:pPr>
  </w:style>
  <w:style w:type="paragraph" w:customStyle="1" w:styleId="ECHRTitleTOC1">
    <w:name w:val="ECHR_Title_TOC_1"/>
    <w:aliases w:val="_Title_L_TOC"/>
    <w:basedOn w:val="ECHRTitle1"/>
    <w:next w:val="Normal"/>
    <w:uiPriority w:val="27"/>
    <w:semiHidden/>
    <w:qFormat/>
    <w:rsid w:val="002B5B43"/>
    <w:pPr>
      <w:outlineLvl w:val="0"/>
    </w:pPr>
  </w:style>
  <w:style w:type="paragraph" w:customStyle="1" w:styleId="ECHRPlaceholder">
    <w:name w:val="ECHR_Placeholder"/>
    <w:aliases w:val="_Placeholder"/>
    <w:basedOn w:val="JuSigned"/>
    <w:uiPriority w:val="31"/>
    <w:rsid w:val="002B5B43"/>
    <w:rPr>
      <w:color w:val="FFFFFF"/>
    </w:rPr>
  </w:style>
  <w:style w:type="paragraph" w:customStyle="1" w:styleId="ECHRSpacer">
    <w:name w:val="ECHR_Spacer"/>
    <w:aliases w:val="_Spacer"/>
    <w:basedOn w:val="Normal"/>
    <w:uiPriority w:val="45"/>
    <w:semiHidden/>
    <w:rsid w:val="002B5B43"/>
    <w:rPr>
      <w:sz w:val="4"/>
    </w:rPr>
  </w:style>
  <w:style w:type="table" w:customStyle="1" w:styleId="ECHRTableGrey">
    <w:name w:val="ECHR_Table_Grey"/>
    <w:basedOn w:val="TableNormal"/>
    <w:uiPriority w:val="99"/>
    <w:rsid w:val="002B5B43"/>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2B5B43"/>
    <w:rPr>
      <w:color w:val="605E5C"/>
      <w:shd w:val="clear" w:color="auto" w:fill="E1DFDD"/>
    </w:rPr>
  </w:style>
  <w:style w:type="character" w:customStyle="1" w:styleId="JuParaChar">
    <w:name w:val="Ju_Para Char"/>
    <w:aliases w:val="_Para Char"/>
    <w:link w:val="JuPara"/>
    <w:uiPriority w:val="4"/>
    <w:rsid w:val="00621BC4"/>
    <w:rPr>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3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817AC-5E6E-4B20-AC6B-826F95423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2068</Words>
  <Characters>11999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dcterms:created xsi:type="dcterms:W3CDTF">2024-04-24T13:14:00Z</dcterms:created>
  <dcterms:modified xsi:type="dcterms:W3CDTF">2024-06-25T08:57:00Z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1366920</vt:lpwstr>
  </property>
  <property fmtid="{D5CDD505-2E9C-101B-9397-08002B2CF9AE}" pid="3" name="cstLanguage">
    <vt:i4>2057</vt:i4>
  </property>
  <property fmtid="{D5CDD505-2E9C-101B-9397-08002B2CF9AE}" pid="4" name="RegisteredNo">
    <vt:lpwstr>8889/18</vt:lpwstr>
  </property>
</Properties>
</file>