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DF1" w:rsidRPr="00AD0B47" w:rsidRDefault="00AD0B47" w:rsidP="00AD0B47">
      <w:pPr>
        <w:pStyle w:val="JuPara"/>
        <w:jc w:val="center"/>
        <w:rPr>
          <w:rFonts w:asciiTheme="majorHAnsi" w:hAnsiTheme="majorHAnsi"/>
          <w:sz w:val="28"/>
        </w:rPr>
      </w:pPr>
      <w:r>
        <w:rPr>
          <w:rFonts w:asciiTheme="majorHAnsi" w:hAnsiTheme="majorHAnsi"/>
          <w:sz w:val="28"/>
        </w:rPr>
        <w:t>CURTEA EUROPEANĂ A DREPTURILOR OMULUI</w:t>
      </w:r>
    </w:p>
    <w:p w:rsidR="003A6DF1" w:rsidRPr="005F1637" w:rsidRDefault="00AD0B47" w:rsidP="005F1637">
      <w:pPr>
        <w:pStyle w:val="DecHTitle"/>
      </w:pPr>
      <w:bookmarkStart w:id="0" w:name="_Toc159922046"/>
      <w:bookmarkStart w:id="1" w:name="_Toc159922431"/>
      <w:bookmarkStart w:id="2" w:name="_Toc160099831"/>
      <w:bookmarkStart w:id="3" w:name="_Toc171171588"/>
      <w:r>
        <w:t>MAREA CAMERĂ</w:t>
      </w:r>
      <w:bookmarkEnd w:id="0"/>
      <w:bookmarkEnd w:id="1"/>
      <w:bookmarkEnd w:id="2"/>
      <w:bookmarkEnd w:id="3"/>
    </w:p>
    <w:p w:rsidR="003A6DF1" w:rsidRPr="005F1637" w:rsidRDefault="00AD0B47" w:rsidP="005F1637">
      <w:pPr>
        <w:pStyle w:val="JuTitle"/>
      </w:pPr>
      <w:r>
        <w:t>CAUZA CARÊME ÎMPOTRIVA FRANȚEI</w:t>
      </w:r>
    </w:p>
    <w:p w:rsidR="003A6DF1" w:rsidRPr="005F1637" w:rsidRDefault="00AD0B47" w:rsidP="005F1637">
      <w:pPr>
        <w:jc w:val="center"/>
        <w:rPr>
          <w:rFonts w:ascii="Times New Roman" w:hAnsi="Times New Roman" w:cs="Times New Roman"/>
          <w:i/>
        </w:rPr>
      </w:pPr>
      <w:r>
        <w:t>(cererea nr. 7189/21</w:t>
      </w:r>
      <w:r>
        <w:rPr>
          <w:rFonts w:ascii="Times New Roman" w:hAnsi="Times New Roman"/>
          <w:i/>
        </w:rPr>
        <w:t>)</w:t>
      </w:r>
    </w:p>
    <w:p w:rsidR="003A6DF1" w:rsidRPr="005F1637" w:rsidRDefault="003A6DF1" w:rsidP="005F1637">
      <w:pPr>
        <w:pStyle w:val="DecHCase"/>
      </w:pPr>
    </w:p>
    <w:p w:rsidR="003A6DF1" w:rsidRPr="005F1637" w:rsidRDefault="003A6DF1" w:rsidP="005F1637">
      <w:pPr>
        <w:pStyle w:val="DecHCase"/>
      </w:pPr>
    </w:p>
    <w:p w:rsidR="003A6DF1" w:rsidRPr="005F1637" w:rsidRDefault="003A6DF1" w:rsidP="005F1637">
      <w:pPr>
        <w:pStyle w:val="DecHCase"/>
      </w:pPr>
    </w:p>
    <w:p w:rsidR="003A6DF1" w:rsidRPr="005F1637" w:rsidRDefault="003A6DF1" w:rsidP="005F1637">
      <w:pPr>
        <w:pStyle w:val="DecHCase"/>
      </w:pPr>
    </w:p>
    <w:p w:rsidR="003A6DF1" w:rsidRPr="005F1637" w:rsidRDefault="003A6DF1" w:rsidP="005F1637">
      <w:pPr>
        <w:pStyle w:val="DecHCase"/>
      </w:pPr>
    </w:p>
    <w:p w:rsidR="003A6DF1" w:rsidRPr="005F1637" w:rsidRDefault="003A6DF1" w:rsidP="005F1637">
      <w:pPr>
        <w:pStyle w:val="DecHCase"/>
      </w:pPr>
    </w:p>
    <w:p w:rsidR="003A6DF1" w:rsidRPr="005F1637" w:rsidRDefault="003A6DF1" w:rsidP="005F1637">
      <w:pPr>
        <w:pStyle w:val="JuPara"/>
        <w:jc w:val="center"/>
      </w:pPr>
    </w:p>
    <w:p w:rsidR="003A6DF1" w:rsidRPr="005F1637" w:rsidRDefault="00AD0B47" w:rsidP="005F1637">
      <w:pPr>
        <w:pStyle w:val="DecHCase"/>
      </w:pPr>
      <w:r>
        <w:t>DECIZIE</w:t>
      </w:r>
      <w:r>
        <w:br/>
      </w:r>
    </w:p>
    <w:p w:rsidR="003A6DF1" w:rsidRPr="005F1637" w:rsidRDefault="00AD0B47" w:rsidP="005F1637">
      <w:pPr>
        <w:pStyle w:val="DecHCase"/>
      </w:pPr>
      <w:r>
        <w:t>STRASBOURG</w:t>
      </w:r>
    </w:p>
    <w:p w:rsidR="003A6DF1" w:rsidRPr="005F1637" w:rsidRDefault="00AD0B47" w:rsidP="005F1637">
      <w:pPr>
        <w:pStyle w:val="DecHCase"/>
      </w:pPr>
      <w:r>
        <w:t>9 aprilie 2024</w:t>
      </w:r>
    </w:p>
    <w:p w:rsidR="003A6DF1" w:rsidRPr="005F1637" w:rsidRDefault="003A6DF1" w:rsidP="005F1637">
      <w:pPr>
        <w:pStyle w:val="DecHCase"/>
      </w:pPr>
    </w:p>
    <w:p w:rsidR="003A6DF1" w:rsidRPr="005F1637" w:rsidRDefault="003A6DF1" w:rsidP="005F1637">
      <w:pPr>
        <w:rPr>
          <w:rFonts w:ascii="Times New Roman" w:hAnsi="Times New Roman" w:cs="Times New Roman"/>
          <w:i/>
          <w:sz w:val="22"/>
        </w:rPr>
      </w:pPr>
    </w:p>
    <w:p w:rsidR="003A6DF1" w:rsidRPr="005F1637" w:rsidRDefault="003A6DF1" w:rsidP="005F1637">
      <w:pPr>
        <w:ind w:left="720"/>
        <w:rPr>
          <w:rFonts w:ascii="Times New Roman" w:hAnsi="Times New Roman" w:cs="Times New Roman"/>
          <w:sz w:val="22"/>
        </w:rPr>
        <w:sectPr w:rsidR="003A6DF1" w:rsidRPr="005F1637">
          <w:headerReference w:type="default" r:id="rId8"/>
          <w:footerReference w:type="even" r:id="rId9"/>
          <w:footerReference w:type="default" r:id="rId10"/>
          <w:footnotePr>
            <w:numRestart w:val="eachSect"/>
          </w:footnotePr>
          <w:pgSz w:w="11906" w:h="16838" w:code="9"/>
          <w:pgMar w:top="2274" w:right="2274" w:bottom="2274" w:left="2274" w:header="1701" w:footer="720" w:gutter="0"/>
          <w:pgNumType w:start="1"/>
          <w:cols w:space="720"/>
          <w:noEndnote/>
        </w:sectPr>
      </w:pPr>
    </w:p>
    <w:p w:rsidR="001E777E" w:rsidRDefault="00AD0B47">
      <w:pPr>
        <w:pStyle w:val="TOC1"/>
        <w:rPr>
          <w:rFonts w:eastAsiaTheme="minorEastAsia"/>
          <w:b w:val="0"/>
          <w:sz w:val="22"/>
          <w:szCs w:val="22"/>
          <w:lang w:eastAsia="ro-RO"/>
        </w:rPr>
      </w:pPr>
      <w:r w:rsidRPr="005F1637">
        <w:rPr>
          <w:rFonts w:asciiTheme="majorHAnsi" w:hAnsiTheme="majorHAnsi"/>
          <w:color w:val="474747" w:themeColor="accent3" w:themeShade="BF"/>
          <w:sz w:val="22"/>
          <w:u w:val="single"/>
        </w:rPr>
        <w:lastRenderedPageBreak/>
        <w:fldChar w:fldCharType="begin"/>
      </w:r>
      <w:r w:rsidRPr="005F1637">
        <w:instrText xml:space="preserve"> TOC \o "1-4" \p " " \h \z \u </w:instrText>
      </w:r>
      <w:r w:rsidRPr="005F1637">
        <w:rPr>
          <w:rFonts w:asciiTheme="majorHAnsi" w:hAnsiTheme="majorHAnsi"/>
          <w:color w:val="474747" w:themeColor="accent3" w:themeShade="BF"/>
          <w:sz w:val="22"/>
          <w:u w:val="single"/>
        </w:rPr>
        <w:fldChar w:fldCharType="separate"/>
      </w:r>
      <w:hyperlink w:anchor="_Toc171171588" w:history="1">
        <w:r w:rsidR="001E777E" w:rsidRPr="00943C0D">
          <w:rPr>
            <w:rStyle w:val="Hyperlink"/>
          </w:rPr>
          <w:t>MAREA CAMERĂ</w:t>
        </w:r>
        <w:r w:rsidR="001E777E">
          <w:rPr>
            <w:webHidden/>
          </w:rPr>
          <w:t xml:space="preserve"> </w:t>
        </w:r>
        <w:r w:rsidR="001E777E">
          <w:rPr>
            <w:webHidden/>
          </w:rPr>
          <w:tab/>
        </w:r>
        <w:r w:rsidR="001E777E">
          <w:rPr>
            <w:webHidden/>
          </w:rPr>
          <w:fldChar w:fldCharType="begin"/>
        </w:r>
        <w:r w:rsidR="001E777E">
          <w:rPr>
            <w:webHidden/>
          </w:rPr>
          <w:instrText xml:space="preserve"> PAGEREF _Toc171171588 \h </w:instrText>
        </w:r>
        <w:r w:rsidR="001E777E">
          <w:rPr>
            <w:webHidden/>
          </w:rPr>
        </w:r>
        <w:r w:rsidR="001E777E">
          <w:rPr>
            <w:webHidden/>
          </w:rPr>
          <w:fldChar w:fldCharType="separate"/>
        </w:r>
        <w:r w:rsidR="001E777E">
          <w:rPr>
            <w:webHidden/>
          </w:rPr>
          <w:t>1</w:t>
        </w:r>
        <w:r w:rsidR="001E777E">
          <w:rPr>
            <w:webHidden/>
          </w:rPr>
          <w:fldChar w:fldCharType="end"/>
        </w:r>
      </w:hyperlink>
    </w:p>
    <w:p w:rsidR="001E777E" w:rsidRDefault="00586FD6">
      <w:pPr>
        <w:pStyle w:val="TOC1"/>
        <w:rPr>
          <w:rFonts w:eastAsiaTheme="minorEastAsia"/>
          <w:b w:val="0"/>
          <w:sz w:val="22"/>
          <w:szCs w:val="22"/>
          <w:lang w:eastAsia="ro-RO"/>
        </w:rPr>
      </w:pPr>
      <w:hyperlink w:anchor="_Toc171171589" w:history="1">
        <w:r w:rsidR="001E777E" w:rsidRPr="00943C0D">
          <w:rPr>
            <w:rStyle w:val="Hyperlink"/>
          </w:rPr>
          <w:t>PROCEDURA</w:t>
        </w:r>
        <w:r w:rsidR="001E777E">
          <w:rPr>
            <w:webHidden/>
          </w:rPr>
          <w:t xml:space="preserve"> </w:t>
        </w:r>
        <w:r w:rsidR="001E777E">
          <w:rPr>
            <w:webHidden/>
          </w:rPr>
          <w:tab/>
        </w:r>
        <w:r w:rsidR="001E777E">
          <w:rPr>
            <w:webHidden/>
          </w:rPr>
          <w:fldChar w:fldCharType="begin"/>
        </w:r>
        <w:r w:rsidR="001E777E">
          <w:rPr>
            <w:webHidden/>
          </w:rPr>
          <w:instrText xml:space="preserve"> PAGEREF _Toc171171589 \h </w:instrText>
        </w:r>
        <w:r w:rsidR="001E777E">
          <w:rPr>
            <w:webHidden/>
          </w:rPr>
        </w:r>
        <w:r w:rsidR="001E777E">
          <w:rPr>
            <w:webHidden/>
          </w:rPr>
          <w:fldChar w:fldCharType="separate"/>
        </w:r>
        <w:r w:rsidR="001E777E">
          <w:rPr>
            <w:webHidden/>
          </w:rPr>
          <w:t>2</w:t>
        </w:r>
        <w:r w:rsidR="001E777E">
          <w:rPr>
            <w:webHidden/>
          </w:rPr>
          <w:fldChar w:fldCharType="end"/>
        </w:r>
      </w:hyperlink>
    </w:p>
    <w:p w:rsidR="001E777E" w:rsidRDefault="00586FD6">
      <w:pPr>
        <w:pStyle w:val="TOC1"/>
        <w:rPr>
          <w:rFonts w:eastAsiaTheme="minorEastAsia"/>
          <w:b w:val="0"/>
          <w:sz w:val="22"/>
          <w:szCs w:val="22"/>
          <w:lang w:eastAsia="ro-RO"/>
        </w:rPr>
      </w:pPr>
      <w:hyperlink w:anchor="_Toc171171590" w:history="1">
        <w:r w:rsidR="001E777E" w:rsidRPr="00943C0D">
          <w:rPr>
            <w:rStyle w:val="Hyperlink"/>
          </w:rPr>
          <w:t>ÎN FAPT</w:t>
        </w:r>
        <w:r w:rsidR="001E777E">
          <w:rPr>
            <w:webHidden/>
          </w:rPr>
          <w:t xml:space="preserve"> </w:t>
        </w:r>
        <w:r w:rsidR="001E777E">
          <w:rPr>
            <w:webHidden/>
          </w:rPr>
          <w:tab/>
        </w:r>
        <w:r w:rsidR="001E777E">
          <w:rPr>
            <w:webHidden/>
          </w:rPr>
          <w:fldChar w:fldCharType="begin"/>
        </w:r>
        <w:r w:rsidR="001E777E">
          <w:rPr>
            <w:webHidden/>
          </w:rPr>
          <w:instrText xml:space="preserve"> PAGEREF _Toc171171590 \h </w:instrText>
        </w:r>
        <w:r w:rsidR="001E777E">
          <w:rPr>
            <w:webHidden/>
          </w:rPr>
        </w:r>
        <w:r w:rsidR="001E777E">
          <w:rPr>
            <w:webHidden/>
          </w:rPr>
          <w:fldChar w:fldCharType="separate"/>
        </w:r>
        <w:r w:rsidR="001E777E">
          <w:rPr>
            <w:webHidden/>
          </w:rPr>
          <w:t>4</w:t>
        </w:r>
        <w:r w:rsidR="001E777E">
          <w:rPr>
            <w:webHidden/>
          </w:rPr>
          <w:fldChar w:fldCharType="end"/>
        </w:r>
      </w:hyperlink>
    </w:p>
    <w:p w:rsidR="001E777E" w:rsidRDefault="00586FD6">
      <w:pPr>
        <w:pStyle w:val="TOC2"/>
        <w:tabs>
          <w:tab w:val="left" w:pos="680"/>
        </w:tabs>
        <w:rPr>
          <w:rFonts w:eastAsiaTheme="minorEastAsia"/>
          <w:noProof/>
          <w:szCs w:val="22"/>
          <w:lang w:eastAsia="ro-RO"/>
        </w:rPr>
      </w:pPr>
      <w:hyperlink w:anchor="_Toc171171591" w:history="1">
        <w:r w:rsidR="001E777E" w:rsidRPr="00943C0D">
          <w:rPr>
            <w:rStyle w:val="Hyperlink"/>
            <w:noProof/>
          </w:rPr>
          <w:t>I.</w:t>
        </w:r>
        <w:r w:rsidR="001E777E">
          <w:rPr>
            <w:rFonts w:eastAsiaTheme="minorEastAsia"/>
            <w:noProof/>
            <w:szCs w:val="22"/>
            <w:lang w:eastAsia="ro-RO"/>
          </w:rPr>
          <w:tab/>
        </w:r>
        <w:r w:rsidR="001E777E" w:rsidRPr="00943C0D">
          <w:rPr>
            <w:rStyle w:val="Hyperlink"/>
            <w:noProof/>
          </w:rPr>
          <w:t>SITUAȚIA RECLAMANTULUI</w:t>
        </w:r>
        <w:r w:rsidR="001E777E">
          <w:rPr>
            <w:rStyle w:val="Hyperlink"/>
            <w:noProof/>
          </w:rPr>
          <w:tab/>
        </w:r>
        <w:r w:rsidR="001E777E">
          <w:rPr>
            <w:noProof/>
            <w:webHidden/>
          </w:rPr>
          <w:t xml:space="preserve"> </w:t>
        </w:r>
        <w:r w:rsidR="001E777E">
          <w:rPr>
            <w:noProof/>
            <w:webHidden/>
          </w:rPr>
          <w:fldChar w:fldCharType="begin"/>
        </w:r>
        <w:r w:rsidR="001E777E">
          <w:rPr>
            <w:noProof/>
            <w:webHidden/>
          </w:rPr>
          <w:instrText xml:space="preserve"> PAGEREF _Toc171171591 \h </w:instrText>
        </w:r>
        <w:r w:rsidR="001E777E">
          <w:rPr>
            <w:noProof/>
            <w:webHidden/>
          </w:rPr>
        </w:r>
        <w:r w:rsidR="001E777E">
          <w:rPr>
            <w:noProof/>
            <w:webHidden/>
          </w:rPr>
          <w:fldChar w:fldCharType="separate"/>
        </w:r>
        <w:r w:rsidR="001E777E">
          <w:rPr>
            <w:noProof/>
            <w:webHidden/>
          </w:rPr>
          <w:t>4</w:t>
        </w:r>
        <w:r w:rsidR="001E777E">
          <w:rPr>
            <w:noProof/>
            <w:webHidden/>
          </w:rPr>
          <w:fldChar w:fldCharType="end"/>
        </w:r>
      </w:hyperlink>
    </w:p>
    <w:p w:rsidR="001E777E" w:rsidRDefault="00586FD6">
      <w:pPr>
        <w:pStyle w:val="TOC2"/>
        <w:tabs>
          <w:tab w:val="left" w:pos="1020"/>
        </w:tabs>
        <w:rPr>
          <w:rFonts w:eastAsiaTheme="minorEastAsia"/>
          <w:noProof/>
          <w:szCs w:val="22"/>
          <w:lang w:eastAsia="ro-RO"/>
        </w:rPr>
      </w:pPr>
      <w:hyperlink w:anchor="_Toc171171592" w:history="1">
        <w:r w:rsidR="001E777E" w:rsidRPr="00943C0D">
          <w:rPr>
            <w:rStyle w:val="Hyperlink"/>
            <w:noProof/>
          </w:rPr>
          <w:t>II.</w:t>
        </w:r>
        <w:r w:rsidR="001E777E">
          <w:rPr>
            <w:rFonts w:eastAsiaTheme="minorEastAsia"/>
            <w:noProof/>
            <w:szCs w:val="22"/>
            <w:lang w:eastAsia="ro-RO"/>
          </w:rPr>
          <w:tab/>
        </w:r>
        <w:r w:rsidR="001E777E" w:rsidRPr="00943C0D">
          <w:rPr>
            <w:rStyle w:val="Hyperlink"/>
            <w:noProof/>
          </w:rPr>
          <w:t>PROCEDURA INIȚIATĂ DE RECLAMANT</w:t>
        </w:r>
        <w:r w:rsidR="001E777E">
          <w:rPr>
            <w:rStyle w:val="Hyperlink"/>
            <w:noProof/>
          </w:rPr>
          <w:tab/>
        </w:r>
        <w:r w:rsidR="001E777E">
          <w:rPr>
            <w:noProof/>
            <w:webHidden/>
          </w:rPr>
          <w:t xml:space="preserve"> </w:t>
        </w:r>
        <w:r w:rsidR="001E777E">
          <w:rPr>
            <w:noProof/>
            <w:webHidden/>
          </w:rPr>
          <w:fldChar w:fldCharType="begin"/>
        </w:r>
        <w:r w:rsidR="001E777E">
          <w:rPr>
            <w:noProof/>
            <w:webHidden/>
          </w:rPr>
          <w:instrText xml:space="preserve"> PAGEREF _Toc171171592 \h </w:instrText>
        </w:r>
        <w:r w:rsidR="001E777E">
          <w:rPr>
            <w:noProof/>
            <w:webHidden/>
          </w:rPr>
        </w:r>
        <w:r w:rsidR="001E777E">
          <w:rPr>
            <w:noProof/>
            <w:webHidden/>
          </w:rPr>
          <w:fldChar w:fldCharType="separate"/>
        </w:r>
        <w:r w:rsidR="001E777E">
          <w:rPr>
            <w:noProof/>
            <w:webHidden/>
          </w:rPr>
          <w:t>4</w:t>
        </w:r>
        <w:r w:rsidR="001E777E">
          <w:rPr>
            <w:noProof/>
            <w:webHidden/>
          </w:rPr>
          <w:fldChar w:fldCharType="end"/>
        </w:r>
      </w:hyperlink>
    </w:p>
    <w:p w:rsidR="001E777E" w:rsidRDefault="00586FD6">
      <w:pPr>
        <w:pStyle w:val="TOC3"/>
        <w:tabs>
          <w:tab w:val="left" w:pos="1361"/>
        </w:tabs>
        <w:rPr>
          <w:rFonts w:eastAsiaTheme="minorEastAsia"/>
          <w:noProof/>
          <w:sz w:val="22"/>
          <w:szCs w:val="22"/>
          <w:lang w:eastAsia="ro-RO"/>
        </w:rPr>
      </w:pPr>
      <w:hyperlink w:anchor="_Toc171171593" w:history="1">
        <w:r w:rsidR="001E777E" w:rsidRPr="00943C0D">
          <w:rPr>
            <w:rStyle w:val="Hyperlink"/>
            <w:noProof/>
          </w:rPr>
          <w:t>A.</w:t>
        </w:r>
        <w:r w:rsidR="001E777E">
          <w:rPr>
            <w:rFonts w:eastAsiaTheme="minorEastAsia"/>
            <w:noProof/>
            <w:sz w:val="22"/>
            <w:szCs w:val="22"/>
            <w:lang w:eastAsia="ro-RO"/>
          </w:rPr>
          <w:tab/>
        </w:r>
        <w:r w:rsidR="001E777E" w:rsidRPr="00943C0D">
          <w:rPr>
            <w:rStyle w:val="Hyperlink"/>
            <w:noProof/>
          </w:rPr>
          <w:t>Cererile adresate autorităților de reclamant</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_Toc171171593 \h </w:instrText>
        </w:r>
        <w:r w:rsidR="001E777E">
          <w:rPr>
            <w:noProof/>
            <w:webHidden/>
          </w:rPr>
        </w:r>
        <w:r w:rsidR="001E777E">
          <w:rPr>
            <w:noProof/>
            <w:webHidden/>
          </w:rPr>
          <w:fldChar w:fldCharType="separate"/>
        </w:r>
        <w:r w:rsidR="001E777E">
          <w:rPr>
            <w:noProof/>
            <w:webHidden/>
          </w:rPr>
          <w:t>4</w:t>
        </w:r>
        <w:r w:rsidR="001E777E">
          <w:rPr>
            <w:noProof/>
            <w:webHidden/>
          </w:rPr>
          <w:fldChar w:fldCharType="end"/>
        </w:r>
      </w:hyperlink>
    </w:p>
    <w:p w:rsidR="001E777E" w:rsidRDefault="00586FD6">
      <w:pPr>
        <w:pStyle w:val="TOC3"/>
        <w:tabs>
          <w:tab w:val="left" w:pos="1361"/>
        </w:tabs>
        <w:rPr>
          <w:rFonts w:eastAsiaTheme="minorEastAsia"/>
          <w:noProof/>
          <w:sz w:val="22"/>
          <w:szCs w:val="22"/>
          <w:lang w:eastAsia="ro-RO"/>
        </w:rPr>
      </w:pPr>
      <w:hyperlink w:anchor="_Toc171171594" w:history="1">
        <w:r w:rsidR="001E777E" w:rsidRPr="00943C0D">
          <w:rPr>
            <w:rStyle w:val="Hyperlink"/>
            <w:noProof/>
          </w:rPr>
          <w:t>B.</w:t>
        </w:r>
        <w:r w:rsidR="001E777E">
          <w:rPr>
            <w:rFonts w:eastAsiaTheme="minorEastAsia"/>
            <w:noProof/>
            <w:sz w:val="22"/>
            <w:szCs w:val="22"/>
            <w:lang w:eastAsia="ro-RO"/>
          </w:rPr>
          <w:tab/>
        </w:r>
        <w:r w:rsidR="001E777E" w:rsidRPr="00943C0D">
          <w:rPr>
            <w:rStyle w:val="Hyperlink"/>
            <w:noProof/>
          </w:rPr>
          <w:t>Procedura în fața Consiliului de Stat</w:t>
        </w:r>
        <w:r w:rsidR="001E777E">
          <w:rPr>
            <w:rStyle w:val="Hyperlink"/>
            <w:noProof/>
          </w:rPr>
          <w:tab/>
        </w:r>
        <w:r w:rsidR="001E777E">
          <w:rPr>
            <w:noProof/>
            <w:webHidden/>
          </w:rPr>
          <w:t xml:space="preserve"> </w:t>
        </w:r>
        <w:r w:rsidR="001E777E">
          <w:rPr>
            <w:noProof/>
            <w:webHidden/>
          </w:rPr>
          <w:fldChar w:fldCharType="begin"/>
        </w:r>
        <w:r w:rsidR="001E777E">
          <w:rPr>
            <w:noProof/>
            <w:webHidden/>
          </w:rPr>
          <w:instrText xml:space="preserve"> PAGEREF _Toc171171594 \h </w:instrText>
        </w:r>
        <w:r w:rsidR="001E777E">
          <w:rPr>
            <w:noProof/>
            <w:webHidden/>
          </w:rPr>
        </w:r>
        <w:r w:rsidR="001E777E">
          <w:rPr>
            <w:noProof/>
            <w:webHidden/>
          </w:rPr>
          <w:fldChar w:fldCharType="separate"/>
        </w:r>
        <w:r w:rsidR="001E777E">
          <w:rPr>
            <w:noProof/>
            <w:webHidden/>
          </w:rPr>
          <w:t>5</w:t>
        </w:r>
        <w:r w:rsidR="001E777E">
          <w:rPr>
            <w:noProof/>
            <w:webHidden/>
          </w:rPr>
          <w:fldChar w:fldCharType="end"/>
        </w:r>
      </w:hyperlink>
    </w:p>
    <w:p w:rsidR="001E777E" w:rsidRDefault="00586FD6">
      <w:pPr>
        <w:pStyle w:val="TOC4"/>
        <w:tabs>
          <w:tab w:val="left" w:pos="1701"/>
        </w:tabs>
        <w:rPr>
          <w:rFonts w:eastAsiaTheme="minorEastAsia"/>
          <w:noProof/>
          <w:sz w:val="22"/>
          <w:szCs w:val="22"/>
          <w:lang w:eastAsia="ro-RO"/>
        </w:rPr>
      </w:pPr>
      <w:hyperlink w:anchor="_Toc171171595" w:history="1">
        <w:r w:rsidR="001E777E" w:rsidRPr="00943C0D">
          <w:rPr>
            <w:rStyle w:val="Hyperlink"/>
            <w:noProof/>
          </w:rPr>
          <w:t>1.</w:t>
        </w:r>
        <w:r w:rsidR="001E777E">
          <w:rPr>
            <w:rFonts w:eastAsiaTheme="minorEastAsia"/>
            <w:noProof/>
            <w:sz w:val="22"/>
            <w:szCs w:val="22"/>
            <w:lang w:eastAsia="ro-RO"/>
          </w:rPr>
          <w:tab/>
        </w:r>
        <w:r w:rsidR="001E777E" w:rsidRPr="00943C0D">
          <w:rPr>
            <w:rStyle w:val="Hyperlink"/>
            <w:noProof/>
          </w:rPr>
          <w:t>Acțiunea introdusă de reclamant</w:t>
        </w:r>
        <w:r w:rsidR="001E777E">
          <w:rPr>
            <w:rStyle w:val="Hyperlink"/>
            <w:noProof/>
          </w:rPr>
          <w:tab/>
        </w:r>
        <w:r w:rsidR="001E777E">
          <w:rPr>
            <w:noProof/>
            <w:webHidden/>
          </w:rPr>
          <w:t xml:space="preserve"> </w:t>
        </w:r>
        <w:r w:rsidR="001E777E">
          <w:rPr>
            <w:noProof/>
            <w:webHidden/>
          </w:rPr>
          <w:fldChar w:fldCharType="begin"/>
        </w:r>
        <w:r w:rsidR="001E777E">
          <w:rPr>
            <w:noProof/>
            <w:webHidden/>
          </w:rPr>
          <w:instrText xml:space="preserve"> PAGEREF _Toc171171595 \h </w:instrText>
        </w:r>
        <w:r w:rsidR="001E777E">
          <w:rPr>
            <w:noProof/>
            <w:webHidden/>
          </w:rPr>
        </w:r>
        <w:r w:rsidR="001E777E">
          <w:rPr>
            <w:noProof/>
            <w:webHidden/>
          </w:rPr>
          <w:fldChar w:fldCharType="separate"/>
        </w:r>
        <w:r w:rsidR="001E777E">
          <w:rPr>
            <w:noProof/>
            <w:webHidden/>
          </w:rPr>
          <w:t>5</w:t>
        </w:r>
        <w:r w:rsidR="001E777E">
          <w:rPr>
            <w:noProof/>
            <w:webHidden/>
          </w:rPr>
          <w:fldChar w:fldCharType="end"/>
        </w:r>
      </w:hyperlink>
    </w:p>
    <w:p w:rsidR="001E777E" w:rsidRDefault="00586FD6">
      <w:pPr>
        <w:pStyle w:val="TOC4"/>
        <w:tabs>
          <w:tab w:val="left" w:pos="1701"/>
        </w:tabs>
        <w:rPr>
          <w:rFonts w:eastAsiaTheme="minorEastAsia"/>
          <w:noProof/>
          <w:sz w:val="22"/>
          <w:szCs w:val="22"/>
          <w:lang w:eastAsia="ro-RO"/>
        </w:rPr>
      </w:pPr>
      <w:hyperlink w:anchor="_Toc171171596" w:history="1">
        <w:r w:rsidR="001E777E" w:rsidRPr="00943C0D">
          <w:rPr>
            <w:rStyle w:val="Hyperlink"/>
            <w:noProof/>
          </w:rPr>
          <w:t>2.</w:t>
        </w:r>
        <w:r w:rsidR="001E777E">
          <w:rPr>
            <w:rFonts w:eastAsiaTheme="minorEastAsia"/>
            <w:noProof/>
            <w:sz w:val="22"/>
            <w:szCs w:val="22"/>
            <w:lang w:eastAsia="ro-RO"/>
          </w:rPr>
          <w:tab/>
        </w:r>
        <w:r w:rsidR="001E777E" w:rsidRPr="00943C0D">
          <w:rPr>
            <w:rStyle w:val="Hyperlink"/>
            <w:noProof/>
          </w:rPr>
          <w:t>Argumentele părților în fața Consiliului de Stat</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_Toc171171596 \h </w:instrText>
        </w:r>
        <w:r w:rsidR="001E777E">
          <w:rPr>
            <w:noProof/>
            <w:webHidden/>
          </w:rPr>
        </w:r>
        <w:r w:rsidR="001E777E">
          <w:rPr>
            <w:noProof/>
            <w:webHidden/>
          </w:rPr>
          <w:fldChar w:fldCharType="separate"/>
        </w:r>
        <w:r w:rsidR="001E777E">
          <w:rPr>
            <w:noProof/>
            <w:webHidden/>
          </w:rPr>
          <w:t>7</w:t>
        </w:r>
        <w:r w:rsidR="001E777E">
          <w:rPr>
            <w:noProof/>
            <w:webHidden/>
          </w:rPr>
          <w:fldChar w:fldCharType="end"/>
        </w:r>
      </w:hyperlink>
    </w:p>
    <w:p w:rsidR="001E777E" w:rsidRDefault="00586FD6">
      <w:pPr>
        <w:pStyle w:val="TOC4"/>
        <w:tabs>
          <w:tab w:val="left" w:pos="1701"/>
        </w:tabs>
        <w:rPr>
          <w:rFonts w:eastAsiaTheme="minorEastAsia"/>
          <w:noProof/>
          <w:sz w:val="22"/>
          <w:szCs w:val="22"/>
          <w:lang w:eastAsia="ro-RO"/>
        </w:rPr>
      </w:pPr>
      <w:hyperlink w:anchor="_Toc171171597" w:history="1">
        <w:r w:rsidR="001E777E" w:rsidRPr="00943C0D">
          <w:rPr>
            <w:rStyle w:val="Hyperlink"/>
            <w:noProof/>
          </w:rPr>
          <w:t>3.</w:t>
        </w:r>
        <w:r w:rsidR="001E777E">
          <w:rPr>
            <w:rFonts w:eastAsiaTheme="minorEastAsia"/>
            <w:noProof/>
            <w:sz w:val="22"/>
            <w:szCs w:val="22"/>
            <w:lang w:eastAsia="ro-RO"/>
          </w:rPr>
          <w:tab/>
        </w:r>
        <w:r w:rsidR="001E777E" w:rsidRPr="00943C0D">
          <w:rPr>
            <w:rStyle w:val="Hyperlink"/>
            <w:noProof/>
          </w:rPr>
          <w:t>Decizia Consiliului de Stat</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_Toc171171597 \h </w:instrText>
        </w:r>
        <w:r w:rsidR="001E777E">
          <w:rPr>
            <w:noProof/>
            <w:webHidden/>
          </w:rPr>
        </w:r>
        <w:r w:rsidR="001E777E">
          <w:rPr>
            <w:noProof/>
            <w:webHidden/>
          </w:rPr>
          <w:fldChar w:fldCharType="separate"/>
        </w:r>
        <w:r w:rsidR="001E777E">
          <w:rPr>
            <w:noProof/>
            <w:webHidden/>
          </w:rPr>
          <w:t>9</w:t>
        </w:r>
        <w:r w:rsidR="001E777E">
          <w:rPr>
            <w:noProof/>
            <w:webHidden/>
          </w:rPr>
          <w:fldChar w:fldCharType="end"/>
        </w:r>
      </w:hyperlink>
    </w:p>
    <w:p w:rsidR="001E777E" w:rsidRDefault="00586FD6">
      <w:pPr>
        <w:pStyle w:val="TOC3"/>
        <w:tabs>
          <w:tab w:val="left" w:pos="1361"/>
        </w:tabs>
        <w:rPr>
          <w:rFonts w:eastAsiaTheme="minorEastAsia"/>
          <w:noProof/>
          <w:sz w:val="22"/>
          <w:szCs w:val="22"/>
          <w:lang w:eastAsia="ro-RO"/>
        </w:rPr>
      </w:pPr>
      <w:hyperlink w:anchor="_Toc171171598" w:history="1">
        <w:r w:rsidR="001E777E" w:rsidRPr="00943C0D">
          <w:rPr>
            <w:rStyle w:val="Hyperlink"/>
            <w:noProof/>
          </w:rPr>
          <w:t>C.</w:t>
        </w:r>
        <w:r w:rsidR="001E777E">
          <w:rPr>
            <w:rFonts w:eastAsiaTheme="minorEastAsia"/>
            <w:noProof/>
            <w:sz w:val="22"/>
            <w:szCs w:val="22"/>
            <w:lang w:eastAsia="ro-RO"/>
          </w:rPr>
          <w:tab/>
        </w:r>
        <w:r w:rsidR="001E777E" w:rsidRPr="00943C0D">
          <w:rPr>
            <w:rStyle w:val="Hyperlink"/>
            <w:noProof/>
          </w:rPr>
          <w:t>Procedura ulterioară în fața Consiliului de Stat</w:t>
        </w:r>
        <w:r w:rsidR="001E777E">
          <w:rPr>
            <w:rStyle w:val="Hyperlink"/>
            <w:noProof/>
          </w:rPr>
          <w:tab/>
        </w:r>
        <w:r w:rsidR="001E777E">
          <w:rPr>
            <w:noProof/>
            <w:webHidden/>
          </w:rPr>
          <w:t xml:space="preserve"> </w:t>
        </w:r>
        <w:r w:rsidR="001E777E">
          <w:rPr>
            <w:noProof/>
            <w:webHidden/>
          </w:rPr>
          <w:fldChar w:fldCharType="begin"/>
        </w:r>
        <w:r w:rsidR="001E777E">
          <w:rPr>
            <w:noProof/>
            <w:webHidden/>
          </w:rPr>
          <w:instrText xml:space="preserve"> PAGEREF _Toc171171598 \h </w:instrText>
        </w:r>
        <w:r w:rsidR="001E777E">
          <w:rPr>
            <w:noProof/>
            <w:webHidden/>
          </w:rPr>
        </w:r>
        <w:r w:rsidR="001E777E">
          <w:rPr>
            <w:noProof/>
            <w:webHidden/>
          </w:rPr>
          <w:fldChar w:fldCharType="separate"/>
        </w:r>
        <w:r w:rsidR="001E777E">
          <w:rPr>
            <w:noProof/>
            <w:webHidden/>
          </w:rPr>
          <w:t>13</w:t>
        </w:r>
        <w:r w:rsidR="001E777E">
          <w:rPr>
            <w:noProof/>
            <w:webHidden/>
          </w:rPr>
          <w:fldChar w:fldCharType="end"/>
        </w:r>
      </w:hyperlink>
    </w:p>
    <w:p w:rsidR="001E777E" w:rsidRDefault="00586FD6">
      <w:pPr>
        <w:pStyle w:val="TOC1"/>
        <w:rPr>
          <w:rFonts w:eastAsiaTheme="minorEastAsia"/>
          <w:b w:val="0"/>
          <w:sz w:val="22"/>
          <w:szCs w:val="22"/>
          <w:lang w:eastAsia="ro-RO"/>
        </w:rPr>
      </w:pPr>
      <w:hyperlink w:anchor="_Toc171171599" w:history="1">
        <w:r w:rsidR="001E777E" w:rsidRPr="00943C0D">
          <w:rPr>
            <w:rStyle w:val="Hyperlink"/>
          </w:rPr>
          <w:t>CADRUL JURIDIC ȘI PRACTICA RELEVANTE</w:t>
        </w:r>
        <w:r w:rsidR="001E777E">
          <w:rPr>
            <w:webHidden/>
          </w:rPr>
          <w:t xml:space="preserve"> </w:t>
        </w:r>
        <w:r w:rsidR="001E777E">
          <w:rPr>
            <w:webHidden/>
          </w:rPr>
          <w:tab/>
        </w:r>
        <w:r w:rsidR="001E777E">
          <w:rPr>
            <w:webHidden/>
          </w:rPr>
          <w:fldChar w:fldCharType="begin"/>
        </w:r>
        <w:r w:rsidR="001E777E">
          <w:rPr>
            <w:webHidden/>
          </w:rPr>
          <w:instrText xml:space="preserve"> PAGEREF _Toc171171599 \h </w:instrText>
        </w:r>
        <w:r w:rsidR="001E777E">
          <w:rPr>
            <w:webHidden/>
          </w:rPr>
        </w:r>
        <w:r w:rsidR="001E777E">
          <w:rPr>
            <w:webHidden/>
          </w:rPr>
          <w:fldChar w:fldCharType="separate"/>
        </w:r>
        <w:r w:rsidR="001E777E">
          <w:rPr>
            <w:webHidden/>
          </w:rPr>
          <w:t>13</w:t>
        </w:r>
        <w:r w:rsidR="001E777E">
          <w:rPr>
            <w:webHidden/>
          </w:rPr>
          <w:fldChar w:fldCharType="end"/>
        </w:r>
      </w:hyperlink>
    </w:p>
    <w:p w:rsidR="001E777E" w:rsidRDefault="00586FD6">
      <w:pPr>
        <w:pStyle w:val="TOC2"/>
        <w:tabs>
          <w:tab w:val="left" w:pos="680"/>
        </w:tabs>
        <w:rPr>
          <w:rFonts w:eastAsiaTheme="minorEastAsia"/>
          <w:noProof/>
          <w:szCs w:val="22"/>
          <w:lang w:eastAsia="ro-RO"/>
        </w:rPr>
      </w:pPr>
      <w:hyperlink w:anchor="_Toc171171600" w:history="1">
        <w:r w:rsidR="001E777E" w:rsidRPr="00943C0D">
          <w:rPr>
            <w:rStyle w:val="Hyperlink"/>
            <w:noProof/>
          </w:rPr>
          <w:t>I.</w:t>
        </w:r>
        <w:r w:rsidR="001E777E">
          <w:rPr>
            <w:rFonts w:eastAsiaTheme="minorEastAsia"/>
            <w:noProof/>
            <w:szCs w:val="22"/>
            <w:lang w:eastAsia="ro-RO"/>
          </w:rPr>
          <w:tab/>
        </w:r>
        <w:r w:rsidR="001E777E" w:rsidRPr="00943C0D">
          <w:rPr>
            <w:rStyle w:val="Hyperlink"/>
            <w:noProof/>
          </w:rPr>
          <w:t>CADRUL JURIDIC INTERN</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_Toc171171600 \h </w:instrText>
        </w:r>
        <w:r w:rsidR="001E777E">
          <w:rPr>
            <w:noProof/>
            <w:webHidden/>
          </w:rPr>
        </w:r>
        <w:r w:rsidR="001E777E">
          <w:rPr>
            <w:noProof/>
            <w:webHidden/>
          </w:rPr>
          <w:fldChar w:fldCharType="separate"/>
        </w:r>
        <w:r w:rsidR="001E777E">
          <w:rPr>
            <w:noProof/>
            <w:webHidden/>
          </w:rPr>
          <w:t>13</w:t>
        </w:r>
        <w:r w:rsidR="001E777E">
          <w:rPr>
            <w:noProof/>
            <w:webHidden/>
          </w:rPr>
          <w:fldChar w:fldCharType="end"/>
        </w:r>
      </w:hyperlink>
    </w:p>
    <w:p w:rsidR="001E777E" w:rsidRDefault="00586FD6">
      <w:pPr>
        <w:pStyle w:val="TOC3"/>
        <w:tabs>
          <w:tab w:val="left" w:pos="1361"/>
        </w:tabs>
        <w:rPr>
          <w:rFonts w:eastAsiaTheme="minorEastAsia"/>
          <w:noProof/>
          <w:sz w:val="22"/>
          <w:szCs w:val="22"/>
          <w:lang w:eastAsia="ro-RO"/>
        </w:rPr>
      </w:pPr>
      <w:hyperlink w:anchor="_Toc171171601" w:history="1">
        <w:r w:rsidR="001E777E" w:rsidRPr="00943C0D">
          <w:rPr>
            <w:rStyle w:val="Hyperlink"/>
            <w:noProof/>
          </w:rPr>
          <w:t>A.</w:t>
        </w:r>
        <w:r w:rsidR="001E777E">
          <w:rPr>
            <w:rFonts w:eastAsiaTheme="minorEastAsia"/>
            <w:noProof/>
            <w:sz w:val="22"/>
            <w:szCs w:val="22"/>
            <w:lang w:eastAsia="ro-RO"/>
          </w:rPr>
          <w:tab/>
        </w:r>
        <w:r w:rsidR="001E777E" w:rsidRPr="00943C0D">
          <w:rPr>
            <w:rStyle w:val="Hyperlink"/>
            <w:noProof/>
          </w:rPr>
          <w:t>Carta mediului</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_Toc171171601 \h </w:instrText>
        </w:r>
        <w:r w:rsidR="001E777E">
          <w:rPr>
            <w:noProof/>
            <w:webHidden/>
          </w:rPr>
        </w:r>
        <w:r w:rsidR="001E777E">
          <w:rPr>
            <w:noProof/>
            <w:webHidden/>
          </w:rPr>
          <w:fldChar w:fldCharType="separate"/>
        </w:r>
        <w:r w:rsidR="001E777E">
          <w:rPr>
            <w:noProof/>
            <w:webHidden/>
          </w:rPr>
          <w:t>13</w:t>
        </w:r>
        <w:r w:rsidR="001E777E">
          <w:rPr>
            <w:noProof/>
            <w:webHidden/>
          </w:rPr>
          <w:fldChar w:fldCharType="end"/>
        </w:r>
      </w:hyperlink>
    </w:p>
    <w:p w:rsidR="001E777E" w:rsidRDefault="00586FD6">
      <w:pPr>
        <w:pStyle w:val="TOC3"/>
        <w:tabs>
          <w:tab w:val="left" w:pos="1361"/>
        </w:tabs>
        <w:rPr>
          <w:rFonts w:eastAsiaTheme="minorEastAsia"/>
          <w:noProof/>
          <w:sz w:val="22"/>
          <w:szCs w:val="22"/>
          <w:lang w:eastAsia="ro-RO"/>
        </w:rPr>
      </w:pPr>
      <w:hyperlink w:anchor="_Toc171171602" w:history="1">
        <w:r w:rsidR="001E777E" w:rsidRPr="00943C0D">
          <w:rPr>
            <w:rStyle w:val="Hyperlink"/>
            <w:noProof/>
          </w:rPr>
          <w:t>B.</w:t>
        </w:r>
        <w:r w:rsidR="001E777E">
          <w:rPr>
            <w:rFonts w:eastAsiaTheme="minorEastAsia"/>
            <w:noProof/>
            <w:sz w:val="22"/>
            <w:szCs w:val="22"/>
            <w:lang w:eastAsia="ro-RO"/>
          </w:rPr>
          <w:tab/>
        </w:r>
        <w:r w:rsidR="001E777E" w:rsidRPr="00943C0D">
          <w:rPr>
            <w:rStyle w:val="Hyperlink"/>
            <w:noProof/>
          </w:rPr>
          <w:t>Codul energiei</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_Toc171171602 \h </w:instrText>
        </w:r>
        <w:r w:rsidR="001E777E">
          <w:rPr>
            <w:noProof/>
            <w:webHidden/>
          </w:rPr>
        </w:r>
        <w:r w:rsidR="001E777E">
          <w:rPr>
            <w:noProof/>
            <w:webHidden/>
          </w:rPr>
          <w:fldChar w:fldCharType="separate"/>
        </w:r>
        <w:r w:rsidR="001E777E">
          <w:rPr>
            <w:noProof/>
            <w:webHidden/>
          </w:rPr>
          <w:t>14</w:t>
        </w:r>
        <w:r w:rsidR="001E777E">
          <w:rPr>
            <w:noProof/>
            <w:webHidden/>
          </w:rPr>
          <w:fldChar w:fldCharType="end"/>
        </w:r>
      </w:hyperlink>
    </w:p>
    <w:p w:rsidR="001E777E" w:rsidRDefault="00586FD6">
      <w:pPr>
        <w:pStyle w:val="TOC3"/>
        <w:tabs>
          <w:tab w:val="left" w:pos="1361"/>
        </w:tabs>
        <w:rPr>
          <w:rFonts w:eastAsiaTheme="minorEastAsia"/>
          <w:noProof/>
          <w:sz w:val="22"/>
          <w:szCs w:val="22"/>
          <w:lang w:eastAsia="ro-RO"/>
        </w:rPr>
      </w:pPr>
      <w:hyperlink w:anchor="_Toc171171603" w:history="1">
        <w:r w:rsidR="001E777E" w:rsidRPr="00943C0D">
          <w:rPr>
            <w:rStyle w:val="Hyperlink"/>
            <w:noProof/>
          </w:rPr>
          <w:t>C.</w:t>
        </w:r>
        <w:r w:rsidR="001E777E">
          <w:rPr>
            <w:rFonts w:eastAsiaTheme="minorEastAsia"/>
            <w:noProof/>
            <w:sz w:val="22"/>
            <w:szCs w:val="22"/>
            <w:lang w:eastAsia="ro-RO"/>
          </w:rPr>
          <w:tab/>
        </w:r>
        <w:r w:rsidR="001E777E" w:rsidRPr="00943C0D">
          <w:rPr>
            <w:rStyle w:val="Hyperlink"/>
            <w:noProof/>
          </w:rPr>
          <w:t>Codul mediului</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_Toc171171603 \h </w:instrText>
        </w:r>
        <w:r w:rsidR="001E777E">
          <w:rPr>
            <w:noProof/>
            <w:webHidden/>
          </w:rPr>
        </w:r>
        <w:r w:rsidR="001E777E">
          <w:rPr>
            <w:noProof/>
            <w:webHidden/>
          </w:rPr>
          <w:fldChar w:fldCharType="separate"/>
        </w:r>
        <w:r w:rsidR="001E777E">
          <w:rPr>
            <w:noProof/>
            <w:webHidden/>
          </w:rPr>
          <w:t>14</w:t>
        </w:r>
        <w:r w:rsidR="001E777E">
          <w:rPr>
            <w:noProof/>
            <w:webHidden/>
          </w:rPr>
          <w:fldChar w:fldCharType="end"/>
        </w:r>
      </w:hyperlink>
    </w:p>
    <w:p w:rsidR="001E777E" w:rsidRDefault="00586FD6">
      <w:pPr>
        <w:pStyle w:val="TOC3"/>
        <w:tabs>
          <w:tab w:val="left" w:pos="1361"/>
        </w:tabs>
        <w:rPr>
          <w:rFonts w:eastAsiaTheme="minorEastAsia"/>
          <w:noProof/>
          <w:sz w:val="22"/>
          <w:szCs w:val="22"/>
          <w:lang w:eastAsia="ro-RO"/>
        </w:rPr>
      </w:pPr>
      <w:hyperlink w:anchor="_Toc171171604" w:history="1">
        <w:r w:rsidR="001E777E" w:rsidRPr="00943C0D">
          <w:rPr>
            <w:rStyle w:val="Hyperlink"/>
            <w:noProof/>
          </w:rPr>
          <w:t>D.</w:t>
        </w:r>
        <w:r w:rsidR="001E777E">
          <w:rPr>
            <w:rFonts w:eastAsiaTheme="minorEastAsia"/>
            <w:noProof/>
            <w:sz w:val="22"/>
            <w:szCs w:val="22"/>
            <w:lang w:eastAsia="ro-RO"/>
          </w:rPr>
          <w:tab/>
        </w:r>
        <w:r w:rsidR="001E777E" w:rsidRPr="00943C0D">
          <w:rPr>
            <w:rStyle w:val="Hyperlink"/>
            <w:noProof/>
          </w:rPr>
          <w:t>Cele două decrete care definesc strategia națională de reducere a carbonului</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_Toc171171604 \h </w:instrText>
        </w:r>
        <w:r w:rsidR="001E777E">
          <w:rPr>
            <w:noProof/>
            <w:webHidden/>
          </w:rPr>
        </w:r>
        <w:r w:rsidR="001E777E">
          <w:rPr>
            <w:noProof/>
            <w:webHidden/>
          </w:rPr>
          <w:fldChar w:fldCharType="separate"/>
        </w:r>
        <w:r w:rsidR="001E777E">
          <w:rPr>
            <w:noProof/>
            <w:webHidden/>
          </w:rPr>
          <w:t>14</w:t>
        </w:r>
        <w:r w:rsidR="001E777E">
          <w:rPr>
            <w:noProof/>
            <w:webHidden/>
          </w:rPr>
          <w:fldChar w:fldCharType="end"/>
        </w:r>
      </w:hyperlink>
    </w:p>
    <w:p w:rsidR="001E777E" w:rsidRDefault="00586FD6">
      <w:pPr>
        <w:pStyle w:val="TOC3"/>
        <w:tabs>
          <w:tab w:val="left" w:pos="1361"/>
        </w:tabs>
        <w:rPr>
          <w:rFonts w:eastAsiaTheme="minorEastAsia"/>
          <w:noProof/>
          <w:sz w:val="22"/>
          <w:szCs w:val="22"/>
          <w:lang w:eastAsia="ro-RO"/>
        </w:rPr>
      </w:pPr>
      <w:hyperlink w:anchor="_Toc171171605" w:history="1">
        <w:r w:rsidR="001E777E" w:rsidRPr="00943C0D">
          <w:rPr>
            <w:rStyle w:val="Hyperlink"/>
            <w:noProof/>
          </w:rPr>
          <w:t>E.</w:t>
        </w:r>
        <w:r w:rsidR="001E777E">
          <w:rPr>
            <w:rFonts w:eastAsiaTheme="minorEastAsia"/>
            <w:noProof/>
            <w:sz w:val="22"/>
            <w:szCs w:val="22"/>
            <w:lang w:eastAsia="ro-RO"/>
          </w:rPr>
          <w:tab/>
        </w:r>
        <w:r w:rsidR="001E777E" w:rsidRPr="00943C0D">
          <w:rPr>
            <w:rStyle w:val="Hyperlink"/>
            <w:noProof/>
          </w:rPr>
          <w:t>Legea nr. 2021-1104 din 22 august 2021 privind combaterea schimbărilor climatice și consolidarea rezilienței la efectele acestora</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_Toc171171605 \h </w:instrText>
        </w:r>
        <w:r w:rsidR="001E777E">
          <w:rPr>
            <w:noProof/>
            <w:webHidden/>
          </w:rPr>
        </w:r>
        <w:r w:rsidR="001E777E">
          <w:rPr>
            <w:noProof/>
            <w:webHidden/>
          </w:rPr>
          <w:fldChar w:fldCharType="separate"/>
        </w:r>
        <w:r w:rsidR="001E777E">
          <w:rPr>
            <w:noProof/>
            <w:webHidden/>
          </w:rPr>
          <w:t>15</w:t>
        </w:r>
        <w:r w:rsidR="001E777E">
          <w:rPr>
            <w:noProof/>
            <w:webHidden/>
          </w:rPr>
          <w:fldChar w:fldCharType="end"/>
        </w:r>
      </w:hyperlink>
    </w:p>
    <w:p w:rsidR="001E777E" w:rsidRDefault="00586FD6">
      <w:pPr>
        <w:pStyle w:val="TOC3"/>
        <w:tabs>
          <w:tab w:val="left" w:pos="1361"/>
        </w:tabs>
        <w:rPr>
          <w:rFonts w:eastAsiaTheme="minorEastAsia"/>
          <w:noProof/>
          <w:sz w:val="22"/>
          <w:szCs w:val="22"/>
          <w:lang w:eastAsia="ro-RO"/>
        </w:rPr>
      </w:pPr>
      <w:hyperlink w:anchor="_Toc171171606" w:history="1">
        <w:r w:rsidR="001E777E" w:rsidRPr="00943C0D">
          <w:rPr>
            <w:rStyle w:val="Hyperlink"/>
            <w:noProof/>
          </w:rPr>
          <w:t>F.</w:t>
        </w:r>
        <w:r w:rsidR="001E777E">
          <w:rPr>
            <w:rFonts w:eastAsiaTheme="minorEastAsia"/>
            <w:noProof/>
            <w:sz w:val="22"/>
            <w:szCs w:val="22"/>
            <w:lang w:eastAsia="ro-RO"/>
          </w:rPr>
          <w:tab/>
        </w:r>
        <w:r w:rsidR="001E777E" w:rsidRPr="00943C0D">
          <w:rPr>
            <w:rStyle w:val="Hyperlink"/>
            <w:noProof/>
          </w:rPr>
          <w:t>Codul general al colectivităților teritoriale</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_Toc171171606 \h </w:instrText>
        </w:r>
        <w:r w:rsidR="001E777E">
          <w:rPr>
            <w:noProof/>
            <w:webHidden/>
          </w:rPr>
        </w:r>
        <w:r w:rsidR="001E777E">
          <w:rPr>
            <w:noProof/>
            <w:webHidden/>
          </w:rPr>
          <w:fldChar w:fldCharType="separate"/>
        </w:r>
        <w:r w:rsidR="001E777E">
          <w:rPr>
            <w:noProof/>
            <w:webHidden/>
          </w:rPr>
          <w:t>15</w:t>
        </w:r>
        <w:r w:rsidR="001E777E">
          <w:rPr>
            <w:noProof/>
            <w:webHidden/>
          </w:rPr>
          <w:fldChar w:fldCharType="end"/>
        </w:r>
      </w:hyperlink>
    </w:p>
    <w:p w:rsidR="001E777E" w:rsidRDefault="00586FD6">
      <w:pPr>
        <w:pStyle w:val="TOC3"/>
        <w:tabs>
          <w:tab w:val="left" w:pos="1361"/>
        </w:tabs>
        <w:rPr>
          <w:rFonts w:eastAsiaTheme="minorEastAsia"/>
          <w:noProof/>
          <w:sz w:val="22"/>
          <w:szCs w:val="22"/>
          <w:lang w:eastAsia="ro-RO"/>
        </w:rPr>
      </w:pPr>
      <w:hyperlink w:anchor="_Toc171171607" w:history="1">
        <w:r w:rsidR="001E777E" w:rsidRPr="00943C0D">
          <w:rPr>
            <w:rStyle w:val="Hyperlink"/>
            <w:noProof/>
          </w:rPr>
          <w:t>G.</w:t>
        </w:r>
        <w:r w:rsidR="001E777E">
          <w:rPr>
            <w:rFonts w:eastAsiaTheme="minorEastAsia"/>
            <w:noProof/>
            <w:sz w:val="22"/>
            <w:szCs w:val="22"/>
            <w:lang w:eastAsia="ro-RO"/>
          </w:rPr>
          <w:tab/>
        </w:r>
        <w:r w:rsidR="001E777E" w:rsidRPr="00943C0D">
          <w:rPr>
            <w:rStyle w:val="Hyperlink"/>
            <w:noProof/>
          </w:rPr>
          <w:t>Jurisprudența privind interesul de a acționa</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_Toc171171607 \h </w:instrText>
        </w:r>
        <w:r w:rsidR="001E777E">
          <w:rPr>
            <w:noProof/>
            <w:webHidden/>
          </w:rPr>
        </w:r>
        <w:r w:rsidR="001E777E">
          <w:rPr>
            <w:noProof/>
            <w:webHidden/>
          </w:rPr>
          <w:fldChar w:fldCharType="separate"/>
        </w:r>
        <w:r w:rsidR="001E777E">
          <w:rPr>
            <w:noProof/>
            <w:webHidden/>
          </w:rPr>
          <w:t>16</w:t>
        </w:r>
        <w:r w:rsidR="001E777E">
          <w:rPr>
            <w:noProof/>
            <w:webHidden/>
          </w:rPr>
          <w:fldChar w:fldCharType="end"/>
        </w:r>
      </w:hyperlink>
    </w:p>
    <w:p w:rsidR="001E777E" w:rsidRDefault="00586FD6">
      <w:pPr>
        <w:pStyle w:val="TOC2"/>
        <w:tabs>
          <w:tab w:val="left" w:pos="1020"/>
        </w:tabs>
        <w:rPr>
          <w:rFonts w:eastAsiaTheme="minorEastAsia"/>
          <w:noProof/>
          <w:szCs w:val="22"/>
          <w:lang w:eastAsia="ro-RO"/>
        </w:rPr>
      </w:pPr>
      <w:hyperlink w:anchor="_Toc171171608" w:history="1">
        <w:r w:rsidR="001E777E" w:rsidRPr="00943C0D">
          <w:rPr>
            <w:rStyle w:val="Hyperlink"/>
            <w:noProof/>
          </w:rPr>
          <w:t>II.</w:t>
        </w:r>
        <w:r w:rsidR="001E777E">
          <w:rPr>
            <w:rFonts w:eastAsiaTheme="minorEastAsia"/>
            <w:noProof/>
            <w:szCs w:val="22"/>
            <w:lang w:eastAsia="ro-RO"/>
          </w:rPr>
          <w:tab/>
        </w:r>
        <w:r w:rsidR="001E777E" w:rsidRPr="00943C0D">
          <w:rPr>
            <w:rStyle w:val="Hyperlink"/>
            <w:noProof/>
          </w:rPr>
          <w:t>TEXTE INTERNAȚIONALE RELEVANTE</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_Toc171171608 \h </w:instrText>
        </w:r>
        <w:r w:rsidR="001E777E">
          <w:rPr>
            <w:noProof/>
            <w:webHidden/>
          </w:rPr>
        </w:r>
        <w:r w:rsidR="001E777E">
          <w:rPr>
            <w:noProof/>
            <w:webHidden/>
          </w:rPr>
          <w:fldChar w:fldCharType="separate"/>
        </w:r>
        <w:r w:rsidR="001E777E">
          <w:rPr>
            <w:noProof/>
            <w:webHidden/>
          </w:rPr>
          <w:t>17</w:t>
        </w:r>
        <w:r w:rsidR="001E777E">
          <w:rPr>
            <w:noProof/>
            <w:webHidden/>
          </w:rPr>
          <w:fldChar w:fldCharType="end"/>
        </w:r>
      </w:hyperlink>
    </w:p>
    <w:p w:rsidR="001E777E" w:rsidRDefault="00586FD6">
      <w:pPr>
        <w:pStyle w:val="TOC1"/>
        <w:rPr>
          <w:rFonts w:eastAsiaTheme="minorEastAsia"/>
          <w:b w:val="0"/>
          <w:sz w:val="22"/>
          <w:szCs w:val="22"/>
          <w:lang w:eastAsia="ro-RO"/>
        </w:rPr>
      </w:pPr>
      <w:hyperlink w:anchor="_Toc171171609" w:history="1">
        <w:r w:rsidR="001E777E" w:rsidRPr="00943C0D">
          <w:rPr>
            <w:rStyle w:val="Hyperlink"/>
          </w:rPr>
          <w:t>CAPĂTUL DE CERERE</w:t>
        </w:r>
        <w:r w:rsidR="001E777E">
          <w:rPr>
            <w:webHidden/>
          </w:rPr>
          <w:t xml:space="preserve"> </w:t>
        </w:r>
        <w:r w:rsidR="001E777E">
          <w:rPr>
            <w:webHidden/>
          </w:rPr>
          <w:tab/>
        </w:r>
        <w:r w:rsidR="001E777E">
          <w:rPr>
            <w:webHidden/>
          </w:rPr>
          <w:fldChar w:fldCharType="begin"/>
        </w:r>
        <w:r w:rsidR="001E777E">
          <w:rPr>
            <w:webHidden/>
          </w:rPr>
          <w:instrText xml:space="preserve"> PAGEREF _Toc171171609 \h </w:instrText>
        </w:r>
        <w:r w:rsidR="001E777E">
          <w:rPr>
            <w:webHidden/>
          </w:rPr>
        </w:r>
        <w:r w:rsidR="001E777E">
          <w:rPr>
            <w:webHidden/>
          </w:rPr>
          <w:fldChar w:fldCharType="separate"/>
        </w:r>
        <w:r w:rsidR="001E777E">
          <w:rPr>
            <w:webHidden/>
          </w:rPr>
          <w:t>17</w:t>
        </w:r>
        <w:r w:rsidR="001E777E">
          <w:rPr>
            <w:webHidden/>
          </w:rPr>
          <w:fldChar w:fldCharType="end"/>
        </w:r>
      </w:hyperlink>
    </w:p>
    <w:p w:rsidR="001E777E" w:rsidRDefault="00586FD6">
      <w:pPr>
        <w:pStyle w:val="TOC1"/>
        <w:rPr>
          <w:rFonts w:eastAsiaTheme="minorEastAsia"/>
          <w:b w:val="0"/>
          <w:sz w:val="22"/>
          <w:szCs w:val="22"/>
          <w:lang w:eastAsia="ro-RO"/>
        </w:rPr>
      </w:pPr>
      <w:hyperlink w:anchor="_Toc171171610" w:history="1">
        <w:r w:rsidR="001E777E" w:rsidRPr="00943C0D">
          <w:rPr>
            <w:rStyle w:val="Hyperlink"/>
          </w:rPr>
          <w:t>ÎN DREPT</w:t>
        </w:r>
        <w:r w:rsidR="001E777E">
          <w:rPr>
            <w:webHidden/>
          </w:rPr>
          <w:t xml:space="preserve"> </w:t>
        </w:r>
        <w:r w:rsidR="001E777E">
          <w:rPr>
            <w:webHidden/>
          </w:rPr>
          <w:tab/>
        </w:r>
        <w:r w:rsidR="001E777E">
          <w:rPr>
            <w:webHidden/>
          </w:rPr>
          <w:fldChar w:fldCharType="begin"/>
        </w:r>
        <w:r w:rsidR="001E777E">
          <w:rPr>
            <w:webHidden/>
          </w:rPr>
          <w:instrText xml:space="preserve"> PAGEREF _Toc171171610 \h </w:instrText>
        </w:r>
        <w:r w:rsidR="001E777E">
          <w:rPr>
            <w:webHidden/>
          </w:rPr>
        </w:r>
        <w:r w:rsidR="001E777E">
          <w:rPr>
            <w:webHidden/>
          </w:rPr>
          <w:fldChar w:fldCharType="separate"/>
        </w:r>
        <w:r w:rsidR="001E777E">
          <w:rPr>
            <w:webHidden/>
          </w:rPr>
          <w:t>17</w:t>
        </w:r>
        <w:r w:rsidR="001E777E">
          <w:rPr>
            <w:webHidden/>
          </w:rPr>
          <w:fldChar w:fldCharType="end"/>
        </w:r>
      </w:hyperlink>
    </w:p>
    <w:p w:rsidR="001E777E" w:rsidRDefault="00586FD6">
      <w:pPr>
        <w:pStyle w:val="TOC2"/>
        <w:tabs>
          <w:tab w:val="left" w:pos="680"/>
        </w:tabs>
        <w:rPr>
          <w:rFonts w:eastAsiaTheme="minorEastAsia"/>
          <w:noProof/>
          <w:szCs w:val="22"/>
          <w:lang w:eastAsia="ro-RO"/>
        </w:rPr>
      </w:pPr>
      <w:hyperlink w:anchor="_Toc171171611" w:history="1">
        <w:r w:rsidR="001E777E" w:rsidRPr="00943C0D">
          <w:rPr>
            <w:rStyle w:val="Hyperlink"/>
            <w:noProof/>
          </w:rPr>
          <w:t>I.</w:t>
        </w:r>
        <w:r w:rsidR="001E777E">
          <w:rPr>
            <w:rFonts w:eastAsiaTheme="minorEastAsia"/>
            <w:noProof/>
            <w:szCs w:val="22"/>
            <w:lang w:eastAsia="ro-RO"/>
          </w:rPr>
          <w:tab/>
        </w:r>
        <w:r w:rsidR="001E777E" w:rsidRPr="00943C0D">
          <w:rPr>
            <w:rStyle w:val="Hyperlink"/>
            <w:noProof/>
          </w:rPr>
          <w:t>ARGUMENTELE PĂRȚILOR</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_Toc171171611 \h </w:instrText>
        </w:r>
        <w:r w:rsidR="001E777E">
          <w:rPr>
            <w:noProof/>
            <w:webHidden/>
          </w:rPr>
        </w:r>
        <w:r w:rsidR="001E777E">
          <w:rPr>
            <w:noProof/>
            <w:webHidden/>
          </w:rPr>
          <w:fldChar w:fldCharType="separate"/>
        </w:r>
        <w:r w:rsidR="001E777E">
          <w:rPr>
            <w:noProof/>
            <w:webHidden/>
          </w:rPr>
          <w:t>17</w:t>
        </w:r>
        <w:r w:rsidR="001E777E">
          <w:rPr>
            <w:noProof/>
            <w:webHidden/>
          </w:rPr>
          <w:fldChar w:fldCharType="end"/>
        </w:r>
      </w:hyperlink>
    </w:p>
    <w:p w:rsidR="001E777E" w:rsidRDefault="00586FD6">
      <w:pPr>
        <w:pStyle w:val="TOC3"/>
        <w:tabs>
          <w:tab w:val="left" w:pos="1361"/>
        </w:tabs>
        <w:rPr>
          <w:rFonts w:eastAsiaTheme="minorEastAsia"/>
          <w:noProof/>
          <w:sz w:val="22"/>
          <w:szCs w:val="22"/>
          <w:lang w:eastAsia="ro-RO"/>
        </w:rPr>
      </w:pPr>
      <w:hyperlink w:anchor="_Toc171171612" w:history="1">
        <w:r w:rsidR="001E777E" w:rsidRPr="00943C0D">
          <w:rPr>
            <w:rStyle w:val="Hyperlink"/>
            <w:noProof/>
          </w:rPr>
          <w:t>A.</w:t>
        </w:r>
        <w:r w:rsidR="001E777E">
          <w:rPr>
            <w:rFonts w:eastAsiaTheme="minorEastAsia"/>
            <w:noProof/>
            <w:sz w:val="22"/>
            <w:szCs w:val="22"/>
            <w:lang w:eastAsia="ro-RO"/>
          </w:rPr>
          <w:tab/>
        </w:r>
        <w:r w:rsidR="001E777E" w:rsidRPr="00943C0D">
          <w:rPr>
            <w:rStyle w:val="Hyperlink"/>
            <w:noProof/>
          </w:rPr>
          <w:t>Guvernul</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_Toc171171612 \h </w:instrText>
        </w:r>
        <w:r w:rsidR="001E777E">
          <w:rPr>
            <w:noProof/>
            <w:webHidden/>
          </w:rPr>
        </w:r>
        <w:r w:rsidR="001E777E">
          <w:rPr>
            <w:noProof/>
            <w:webHidden/>
          </w:rPr>
          <w:fldChar w:fldCharType="separate"/>
        </w:r>
        <w:r w:rsidR="001E777E">
          <w:rPr>
            <w:noProof/>
            <w:webHidden/>
          </w:rPr>
          <w:t>17</w:t>
        </w:r>
        <w:r w:rsidR="001E777E">
          <w:rPr>
            <w:noProof/>
            <w:webHidden/>
          </w:rPr>
          <w:fldChar w:fldCharType="end"/>
        </w:r>
      </w:hyperlink>
    </w:p>
    <w:p w:rsidR="001E777E" w:rsidRDefault="00586FD6">
      <w:pPr>
        <w:pStyle w:val="TOC3"/>
        <w:tabs>
          <w:tab w:val="left" w:pos="1361"/>
        </w:tabs>
        <w:rPr>
          <w:rFonts w:eastAsiaTheme="minorEastAsia"/>
          <w:noProof/>
          <w:sz w:val="22"/>
          <w:szCs w:val="22"/>
          <w:lang w:eastAsia="ro-RO"/>
        </w:rPr>
      </w:pPr>
      <w:hyperlink w:anchor="_Toc171171613" w:history="1">
        <w:r w:rsidR="001E777E" w:rsidRPr="00943C0D">
          <w:rPr>
            <w:rStyle w:val="Hyperlink"/>
            <w:noProof/>
          </w:rPr>
          <w:t>B.</w:t>
        </w:r>
        <w:r w:rsidR="001E777E">
          <w:rPr>
            <w:rFonts w:eastAsiaTheme="minorEastAsia"/>
            <w:noProof/>
            <w:sz w:val="22"/>
            <w:szCs w:val="22"/>
            <w:lang w:eastAsia="ro-RO"/>
          </w:rPr>
          <w:tab/>
        </w:r>
        <w:r w:rsidR="001E777E" w:rsidRPr="00943C0D">
          <w:rPr>
            <w:rStyle w:val="Hyperlink"/>
            <w:noProof/>
          </w:rPr>
          <w:t>Reclamantul</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_Toc171171613 \h </w:instrText>
        </w:r>
        <w:r w:rsidR="001E777E">
          <w:rPr>
            <w:noProof/>
            <w:webHidden/>
          </w:rPr>
        </w:r>
        <w:r w:rsidR="001E777E">
          <w:rPr>
            <w:noProof/>
            <w:webHidden/>
          </w:rPr>
          <w:fldChar w:fldCharType="separate"/>
        </w:r>
        <w:r w:rsidR="001E777E">
          <w:rPr>
            <w:noProof/>
            <w:webHidden/>
          </w:rPr>
          <w:t>19</w:t>
        </w:r>
        <w:r w:rsidR="001E777E">
          <w:rPr>
            <w:noProof/>
            <w:webHidden/>
          </w:rPr>
          <w:fldChar w:fldCharType="end"/>
        </w:r>
      </w:hyperlink>
    </w:p>
    <w:p w:rsidR="001E777E" w:rsidRDefault="00586FD6">
      <w:pPr>
        <w:pStyle w:val="TOC3"/>
        <w:tabs>
          <w:tab w:val="left" w:pos="1361"/>
        </w:tabs>
        <w:rPr>
          <w:rFonts w:eastAsiaTheme="minorEastAsia"/>
          <w:noProof/>
          <w:sz w:val="22"/>
          <w:szCs w:val="22"/>
          <w:lang w:eastAsia="ro-RO"/>
        </w:rPr>
      </w:pPr>
      <w:hyperlink w:anchor="_Toc171171614" w:history="1">
        <w:r w:rsidR="001E777E" w:rsidRPr="00943C0D">
          <w:rPr>
            <w:rStyle w:val="Hyperlink"/>
            <w:noProof/>
          </w:rPr>
          <w:t>C.</w:t>
        </w:r>
        <w:r w:rsidR="001E777E">
          <w:rPr>
            <w:rFonts w:eastAsiaTheme="minorEastAsia"/>
            <w:noProof/>
            <w:sz w:val="22"/>
            <w:szCs w:val="22"/>
            <w:lang w:eastAsia="ro-RO"/>
          </w:rPr>
          <w:tab/>
        </w:r>
        <w:r w:rsidR="001E777E" w:rsidRPr="00943C0D">
          <w:rPr>
            <w:rStyle w:val="Hyperlink"/>
            <w:noProof/>
          </w:rPr>
          <w:t>Terții intervenienți</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_Toc171171614 \h </w:instrText>
        </w:r>
        <w:r w:rsidR="001E777E">
          <w:rPr>
            <w:noProof/>
            <w:webHidden/>
          </w:rPr>
        </w:r>
        <w:r w:rsidR="001E777E">
          <w:rPr>
            <w:noProof/>
            <w:webHidden/>
          </w:rPr>
          <w:fldChar w:fldCharType="separate"/>
        </w:r>
        <w:r w:rsidR="001E777E">
          <w:rPr>
            <w:noProof/>
            <w:webHidden/>
          </w:rPr>
          <w:t>21</w:t>
        </w:r>
        <w:r w:rsidR="001E777E">
          <w:rPr>
            <w:noProof/>
            <w:webHidden/>
          </w:rPr>
          <w:fldChar w:fldCharType="end"/>
        </w:r>
      </w:hyperlink>
    </w:p>
    <w:p w:rsidR="001E777E" w:rsidRDefault="00586FD6">
      <w:pPr>
        <w:pStyle w:val="TOC4"/>
        <w:tabs>
          <w:tab w:val="left" w:pos="1701"/>
        </w:tabs>
        <w:rPr>
          <w:rFonts w:eastAsiaTheme="minorEastAsia"/>
          <w:noProof/>
          <w:sz w:val="22"/>
          <w:szCs w:val="22"/>
          <w:lang w:eastAsia="ro-RO"/>
        </w:rPr>
      </w:pPr>
      <w:hyperlink w:anchor="_Toc171171615" w:history="1">
        <w:r w:rsidR="001E777E" w:rsidRPr="00943C0D">
          <w:rPr>
            <w:rStyle w:val="Hyperlink"/>
            <w:noProof/>
          </w:rPr>
          <w:t>1.</w:t>
        </w:r>
        <w:r w:rsidR="001E777E">
          <w:rPr>
            <w:rFonts w:eastAsiaTheme="minorEastAsia"/>
            <w:noProof/>
            <w:sz w:val="22"/>
            <w:szCs w:val="22"/>
            <w:lang w:eastAsia="ro-RO"/>
          </w:rPr>
          <w:tab/>
        </w:r>
        <w:r w:rsidR="001E777E" w:rsidRPr="00943C0D">
          <w:rPr>
            <w:rStyle w:val="Hyperlink"/>
            <w:noProof/>
          </w:rPr>
          <w:t>ENNHRI</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_Toc171171615 \h </w:instrText>
        </w:r>
        <w:r w:rsidR="001E777E">
          <w:rPr>
            <w:noProof/>
            <w:webHidden/>
          </w:rPr>
        </w:r>
        <w:r w:rsidR="001E777E">
          <w:rPr>
            <w:noProof/>
            <w:webHidden/>
          </w:rPr>
          <w:fldChar w:fldCharType="separate"/>
        </w:r>
        <w:r w:rsidR="001E777E">
          <w:rPr>
            <w:noProof/>
            <w:webHidden/>
          </w:rPr>
          <w:t>21</w:t>
        </w:r>
        <w:r w:rsidR="001E777E">
          <w:rPr>
            <w:noProof/>
            <w:webHidden/>
          </w:rPr>
          <w:fldChar w:fldCharType="end"/>
        </w:r>
      </w:hyperlink>
    </w:p>
    <w:p w:rsidR="001E777E" w:rsidRDefault="00586FD6">
      <w:pPr>
        <w:pStyle w:val="TOC4"/>
        <w:tabs>
          <w:tab w:val="left" w:pos="1701"/>
        </w:tabs>
        <w:rPr>
          <w:rFonts w:eastAsiaTheme="minorEastAsia"/>
          <w:noProof/>
          <w:sz w:val="22"/>
          <w:szCs w:val="22"/>
          <w:lang w:eastAsia="ro-RO"/>
        </w:rPr>
      </w:pPr>
      <w:hyperlink w:anchor="_Toc171171616" w:history="1">
        <w:r w:rsidR="001E777E" w:rsidRPr="00943C0D">
          <w:rPr>
            <w:rStyle w:val="Hyperlink"/>
            <w:noProof/>
          </w:rPr>
          <w:t>2.</w:t>
        </w:r>
        <w:r w:rsidR="001E777E">
          <w:rPr>
            <w:rFonts w:eastAsiaTheme="minorEastAsia"/>
            <w:noProof/>
            <w:sz w:val="22"/>
            <w:szCs w:val="22"/>
            <w:lang w:eastAsia="ro-RO"/>
          </w:rPr>
          <w:tab/>
        </w:r>
        <w:r w:rsidR="001E777E" w:rsidRPr="00943C0D">
          <w:rPr>
            <w:rStyle w:val="Hyperlink"/>
            <w:noProof/>
          </w:rPr>
          <w:t>OCT și Oxfam</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_Toc171171616 \h </w:instrText>
        </w:r>
        <w:r w:rsidR="001E777E">
          <w:rPr>
            <w:noProof/>
            <w:webHidden/>
          </w:rPr>
        </w:r>
        <w:r w:rsidR="001E777E">
          <w:rPr>
            <w:noProof/>
            <w:webHidden/>
          </w:rPr>
          <w:fldChar w:fldCharType="separate"/>
        </w:r>
        <w:r w:rsidR="001E777E">
          <w:rPr>
            <w:noProof/>
            <w:webHidden/>
          </w:rPr>
          <w:t>21</w:t>
        </w:r>
        <w:r w:rsidR="001E777E">
          <w:rPr>
            <w:noProof/>
            <w:webHidden/>
          </w:rPr>
          <w:fldChar w:fldCharType="end"/>
        </w:r>
      </w:hyperlink>
    </w:p>
    <w:p w:rsidR="001E777E" w:rsidRDefault="00586FD6">
      <w:pPr>
        <w:pStyle w:val="TOC2"/>
        <w:tabs>
          <w:tab w:val="left" w:pos="1020"/>
        </w:tabs>
        <w:rPr>
          <w:rFonts w:eastAsiaTheme="minorEastAsia"/>
          <w:noProof/>
          <w:szCs w:val="22"/>
          <w:lang w:eastAsia="ro-RO"/>
        </w:rPr>
      </w:pPr>
      <w:hyperlink w:anchor="_Toc171171617" w:history="1">
        <w:r w:rsidR="001E777E" w:rsidRPr="00943C0D">
          <w:rPr>
            <w:rStyle w:val="Hyperlink"/>
            <w:noProof/>
          </w:rPr>
          <w:t>II.</w:t>
        </w:r>
        <w:r w:rsidR="001E777E">
          <w:rPr>
            <w:rFonts w:eastAsiaTheme="minorEastAsia"/>
            <w:noProof/>
            <w:szCs w:val="22"/>
            <w:lang w:eastAsia="ro-RO"/>
          </w:rPr>
          <w:tab/>
        </w:r>
        <w:r w:rsidR="001E777E" w:rsidRPr="00943C0D">
          <w:rPr>
            <w:rStyle w:val="Hyperlink"/>
            <w:noProof/>
          </w:rPr>
          <w:t>MOTIVAREA CURȚII</w:t>
        </w:r>
        <w:r w:rsidR="001E777E">
          <w:rPr>
            <w:noProof/>
            <w:webHidden/>
          </w:rPr>
          <w:t xml:space="preserve"> </w:t>
        </w:r>
        <w:r w:rsidR="001E777E">
          <w:rPr>
            <w:noProof/>
            <w:webHidden/>
          </w:rPr>
          <w:tab/>
        </w:r>
        <w:r w:rsidR="001E777E">
          <w:rPr>
            <w:noProof/>
            <w:webHidden/>
          </w:rPr>
          <w:fldChar w:fldCharType="begin"/>
        </w:r>
        <w:r w:rsidR="001E777E">
          <w:rPr>
            <w:noProof/>
            <w:webHidden/>
          </w:rPr>
          <w:instrText xml:space="preserve"> PAGEREF _Toc171171617 \h </w:instrText>
        </w:r>
        <w:r w:rsidR="001E777E">
          <w:rPr>
            <w:noProof/>
            <w:webHidden/>
          </w:rPr>
        </w:r>
        <w:r w:rsidR="001E777E">
          <w:rPr>
            <w:noProof/>
            <w:webHidden/>
          </w:rPr>
          <w:fldChar w:fldCharType="separate"/>
        </w:r>
        <w:r w:rsidR="001E777E">
          <w:rPr>
            <w:noProof/>
            <w:webHidden/>
          </w:rPr>
          <w:t>21</w:t>
        </w:r>
        <w:r w:rsidR="001E777E">
          <w:rPr>
            <w:noProof/>
            <w:webHidden/>
          </w:rPr>
          <w:fldChar w:fldCharType="end"/>
        </w:r>
      </w:hyperlink>
    </w:p>
    <w:p w:rsidR="003A6DF1" w:rsidRPr="005F1637" w:rsidRDefault="00AD0B47" w:rsidP="005F1637">
      <w:pPr>
        <w:jc w:val="both"/>
      </w:pPr>
      <w:r w:rsidRPr="005F1637">
        <w:fldChar w:fldCharType="end"/>
      </w:r>
      <w:r>
        <w:br w:type="page"/>
      </w:r>
    </w:p>
    <w:p w:rsidR="003A6DF1" w:rsidRPr="005F1637" w:rsidRDefault="00AD0B47" w:rsidP="005F1637">
      <w:pPr>
        <w:pStyle w:val="JuPara"/>
      </w:pPr>
      <w:r>
        <w:lastRenderedPageBreak/>
        <w:t>Curtea Europeană a Drepturilor Omului, reunită în Marea Cameră compusă din:</w:t>
      </w:r>
    </w:p>
    <w:p w:rsidR="003A6DF1" w:rsidRPr="005F1637" w:rsidRDefault="00AD0B47" w:rsidP="005F1637">
      <w:pPr>
        <w:pStyle w:val="JuJudges"/>
      </w:pPr>
      <w:r>
        <w:tab/>
        <w:t>Síofra O’Leary,</w:t>
      </w:r>
      <w:r>
        <w:br/>
      </w:r>
      <w:r>
        <w:tab/>
        <w:t>Georges Ravarani,</w:t>
      </w:r>
      <w:r>
        <w:br/>
      </w:r>
      <w:r>
        <w:tab/>
        <w:t>Marko Bošnjak,</w:t>
      </w:r>
      <w:r>
        <w:br/>
      </w:r>
      <w:r>
        <w:tab/>
        <w:t>Gabriele Kucsko-Stadlmayer,</w:t>
      </w:r>
      <w:r>
        <w:br/>
      </w:r>
      <w:r>
        <w:tab/>
        <w:t>Pere Pastor Vilanova,</w:t>
      </w:r>
      <w:r>
        <w:br/>
      </w:r>
      <w:r>
        <w:tab/>
        <w:t>Arnfinn Bårdsen,</w:t>
      </w:r>
      <w:r>
        <w:br/>
      </w:r>
      <w:r>
        <w:tab/>
        <w:t>Armen Harutyunyan,</w:t>
      </w:r>
      <w:r>
        <w:br/>
      </w:r>
      <w:r>
        <w:tab/>
        <w:t>Pauliine Koskelo,</w:t>
      </w:r>
      <w:r>
        <w:br/>
      </w:r>
      <w:r>
        <w:tab/>
        <w:t>Tim Eicke,</w:t>
      </w:r>
      <w:r>
        <w:br/>
      </w:r>
      <w:r>
        <w:tab/>
        <w:t>Darian Pavli,</w:t>
      </w:r>
      <w:r>
        <w:br/>
      </w:r>
      <w:r>
        <w:tab/>
        <w:t>Raffaele Sabato,</w:t>
      </w:r>
      <w:r>
        <w:br/>
      </w:r>
      <w:r>
        <w:tab/>
        <w:t>Lorraine Schembri Orland,</w:t>
      </w:r>
      <w:r>
        <w:br/>
      </w:r>
      <w:r>
        <w:tab/>
        <w:t>Anja Seibert-Fohr,</w:t>
      </w:r>
      <w:r>
        <w:br/>
      </w:r>
      <w:r>
        <w:tab/>
        <w:t>Peeter Roosma,</w:t>
      </w:r>
      <w:r>
        <w:br/>
      </w:r>
      <w:r>
        <w:tab/>
        <w:t>Ana Maria Guerra Martins,</w:t>
      </w:r>
      <w:r>
        <w:br/>
      </w:r>
      <w:r>
        <w:tab/>
        <w:t>Mattias Guyomar,</w:t>
      </w:r>
      <w:r>
        <w:br/>
      </w:r>
      <w:r>
        <w:tab/>
        <w:t>Andreas Zünd</w:t>
      </w:r>
      <w:r>
        <w:rPr>
          <w:i/>
        </w:rPr>
        <w:t>, judecători</w:t>
      </w:r>
      <w:r>
        <w:t>,</w:t>
      </w:r>
      <w:r>
        <w:br/>
        <w:t xml:space="preserve">și Søren Prebensen, </w:t>
      </w:r>
      <w:r>
        <w:rPr>
          <w:i/>
          <w:iCs/>
        </w:rPr>
        <w:t>grefier adjunct al Marii Camere</w:t>
      </w:r>
      <w:r>
        <w:t>,</w:t>
      </w:r>
    </w:p>
    <w:p w:rsidR="003A6DF1" w:rsidRPr="005F1637" w:rsidRDefault="00AD0B47" w:rsidP="005F1637">
      <w:pPr>
        <w:pStyle w:val="JuPara"/>
      </w:pPr>
      <w:r>
        <w:t>Având în vedere cererea menționată anterior, introdusă la 28 ianuarie 2021,</w:t>
      </w:r>
    </w:p>
    <w:p w:rsidR="003A6DF1" w:rsidRPr="005F1637" w:rsidRDefault="00AD0B47" w:rsidP="005F1637">
      <w:pPr>
        <w:pStyle w:val="JuPara"/>
      </w:pPr>
      <w:r>
        <w:t>după ce a deliberat în camera de consiliu, la 31 martie 2023 și la 11 ianuarie 2024, pronunță următoarea decizie:</w:t>
      </w:r>
    </w:p>
    <w:p w:rsidR="003A6DF1" w:rsidRPr="005F1637" w:rsidRDefault="00AD0B47" w:rsidP="005F1637">
      <w:pPr>
        <w:pStyle w:val="JuHHead"/>
      </w:pPr>
      <w:bookmarkStart w:id="4" w:name="_Ref147396094"/>
      <w:bookmarkStart w:id="5" w:name="_Toc158038975"/>
      <w:bookmarkStart w:id="6" w:name="_Toc160099832"/>
      <w:bookmarkStart w:id="7" w:name="_Toc171171589"/>
      <w:r>
        <w:t>PROCEDURA</w:t>
      </w:r>
      <w:bookmarkEnd w:id="4"/>
      <w:bookmarkEnd w:id="5"/>
      <w:bookmarkEnd w:id="6"/>
      <w:bookmarkEnd w:id="7"/>
    </w:p>
    <w:bookmarkStart w:id="8" w:name="paragraph0001"/>
    <w:p w:rsidR="003A6DF1" w:rsidRPr="005F1637" w:rsidRDefault="00AD0B47" w:rsidP="005F1637">
      <w:pPr>
        <w:pStyle w:val="JuPara"/>
      </w:pPr>
      <w:r w:rsidRPr="005F1637">
        <w:fldChar w:fldCharType="begin"/>
      </w:r>
      <w:r w:rsidRPr="005F1637">
        <w:instrText xml:space="preserve"> SEQ level0 \*arabic </w:instrText>
      </w:r>
      <w:r w:rsidRPr="005F1637">
        <w:fldChar w:fldCharType="separate"/>
      </w:r>
      <w:r w:rsidR="005F1637" w:rsidRPr="005F1637">
        <w:t>1</w:t>
      </w:r>
      <w:r w:rsidRPr="005F1637">
        <w:fldChar w:fldCharType="end"/>
      </w:r>
      <w:bookmarkEnd w:id="8"/>
      <w:r>
        <w:t>.  La originea cauzei se află o cerere (nr. 7189/21) îndreptată împotriva Republicii Franceze, prin care un resortisant al acestui stat, domnul Damien Carême („reclamantul”), a sesizat Curtea la 28 ianuarie 2021, în temeiul art. 34 din Convenția pentru apărarea drepturilor omului și a libertăților fundamentale („Convenția”).</w:t>
      </w:r>
    </w:p>
    <w:p w:rsidR="003A6DF1" w:rsidRPr="005F1637" w:rsidRDefault="00586FD6" w:rsidP="005F1637">
      <w:pPr>
        <w:pStyle w:val="JuPara"/>
      </w:pPr>
      <w:r>
        <w:fldChar w:fldCharType="begin"/>
      </w:r>
      <w:r>
        <w:instrText xml:space="preserve"> SEQ level0 \*arabic </w:instrText>
      </w:r>
      <w:r>
        <w:fldChar w:fldCharType="separate"/>
      </w:r>
      <w:r w:rsidR="005F1637" w:rsidRPr="005F1637">
        <w:t>2</w:t>
      </w:r>
      <w:r>
        <w:fldChar w:fldCharType="end"/>
      </w:r>
      <w:r w:rsidR="00AD0B47">
        <w:t>.  Reclamantul a fost reprezentat de C. Lepage, avocată în Paris. Guvernul francez („Guvernul”) a fost reprezentat de agentul său, domnul D. Colas, director pentru afaceri juridice din cadrul Ministerului Europei și Afacerilor Externe (Ministère de l’Europe et des Affaires étrangères).</w:t>
      </w:r>
    </w:p>
    <w:p w:rsidR="003A6DF1" w:rsidRPr="005F1637" w:rsidRDefault="00586FD6" w:rsidP="005F1637">
      <w:pPr>
        <w:pStyle w:val="JuPara"/>
      </w:pPr>
      <w:r>
        <w:fldChar w:fldCharType="begin"/>
      </w:r>
      <w:r>
        <w:instrText xml:space="preserve"> SEQ level0 \*arabic </w:instrText>
      </w:r>
      <w:r>
        <w:fldChar w:fldCharType="separate"/>
      </w:r>
      <w:r w:rsidR="005F1637" w:rsidRPr="005F1637">
        <w:t>3</w:t>
      </w:r>
      <w:r>
        <w:fldChar w:fldCharType="end"/>
      </w:r>
      <w:r w:rsidR="00AD0B47">
        <w:t>.  Reclamantul pretinde, în special, că măsurile luate de Franța pentru a combate schimbările climatice sunt insuficiente și că această insuficiență implică încălcarea dreptului său la viață și a dreptului său la respectarea vieții sale private și de familie și a domiciliului. El invocă art. 2 și 8 din Convenție.</w:t>
      </w:r>
    </w:p>
    <w:p w:rsidR="003A6DF1"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4</w:t>
      </w:r>
      <w:r w:rsidRPr="005F1637">
        <w:fldChar w:fldCharType="end"/>
      </w:r>
      <w:r>
        <w:t>.  Cererea a fost repartizată Secției a cincea a Curții (art. 52 § 1 din Regulamentul Curții, „Regulame</w:t>
      </w:r>
      <w:r w:rsidR="00CE6826">
        <w:t>ntul”). La 31 mai 2022, camera î</w:t>
      </w:r>
      <w:r>
        <w:t>nvestită cu cauza și-a declinat competența în favoarea Marii Camere (art. 30 din Convenție și art. 72 din Regulament).</w:t>
      </w:r>
    </w:p>
    <w:p w:rsidR="00CE6826" w:rsidRPr="00CE6826" w:rsidRDefault="00CE6826" w:rsidP="005F1637">
      <w:pPr>
        <w:pStyle w:val="JuPara"/>
        <w:rPr>
          <w:vanish/>
          <w:specVanish/>
        </w:rPr>
      </w:pPr>
    </w:p>
    <w:p w:rsidR="003A6DF1" w:rsidRPr="005F1637" w:rsidRDefault="005F1637" w:rsidP="00CE6826">
      <w:pPr>
        <w:pStyle w:val="JuPara"/>
        <w:ind w:firstLine="0"/>
      </w:pPr>
      <w:r w:rsidRPr="005F1637">
        <w:fldChar w:fldCharType="begin"/>
      </w:r>
      <w:r w:rsidR="00AD0B47">
        <w:instrText xml:space="preserve"> SEQ level0 \*arabic \* MERGEFORMAT </w:instrText>
      </w:r>
      <w:r w:rsidRPr="005F1637">
        <w:fldChar w:fldCharType="separate"/>
      </w:r>
      <w:r w:rsidRPr="005F1637">
        <w:t>5</w:t>
      </w:r>
      <w:r w:rsidRPr="005F1637">
        <w:fldChar w:fldCharType="end"/>
      </w:r>
      <w:r>
        <w:t xml:space="preserve">.  Compunerea Marii Camere a fost stabilită în conformitate cu dispozițiile art. 26 § 4 și 5 din Convenție și ale art. 24 din Regulament. Președintele Curții a decis că, în interesul unei bune administrări a justiției, cauza trebuie repartizată aceluiași </w:t>
      </w:r>
      <w:r w:rsidR="00CE6826">
        <w:t>complet al Marii Camere ca cel î</w:t>
      </w:r>
      <w:r>
        <w:t xml:space="preserve">nvestit cu cauzele </w:t>
      </w:r>
      <w:r>
        <w:rPr>
          <w:i/>
        </w:rPr>
        <w:t xml:space="preserve">Verein KlimaSeniorinnen Schweiz și alții împotriva Elveției </w:t>
      </w:r>
      <w:r>
        <w:t xml:space="preserve">(cererea nr. 53600/20), și </w:t>
      </w:r>
      <w:r>
        <w:rPr>
          <w:i/>
        </w:rPr>
        <w:t>Duarte și alții împotriva Portugaliei și alte treizeci și două de cereri</w:t>
      </w:r>
      <w:r>
        <w:t xml:space="preserve"> (cererea nr. 39371/20) (art. 24, 42 § 2 și 71 din Regulament), care, de asemenea, au făcut obiectul unei desesizări, respectiv de către o cameră a Secției a treia și de o cameră a Secției a patra.</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6</w:t>
      </w:r>
      <w:r w:rsidRPr="005F1637">
        <w:fldChar w:fldCharType="end"/>
      </w:r>
      <w:r>
        <w:t>.  Atât reclamantul, cât și Guvernul au depus observații scrise cu privire la admisibilitatea și fondul cauzei. În plus, Rețeaua europeană a instituțiilor naționale din domeniul drepturilor omului („ENNHRI”) și organizațiile Our Children’s Trust („OCT”) și Oxfam Franța, Oxfam Internațional și afiliații săi („Oxfam”), care au primit autorizarea președintelui să intervină în cadrul procedurii scrise (art. 36 § 2 din Convenție și art. 44 § 3 din Regulament), au prezentat observații în calitate de terți intervenienți.</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7</w:t>
      </w:r>
      <w:r w:rsidRPr="005F1637">
        <w:fldChar w:fldCharType="end"/>
      </w:r>
      <w:r>
        <w:t xml:space="preserve">.  La 11 ianuarie 2023, Marea Cameră a decis că, în interesul unei bune administrări a justiției, era necesar, odată încheiată procedura scrisă din cele trei cauze, să se eșaloneze procedurile orale astfel încât un termen să fie la 29 martie 2023 în prezenta cauză și în cauza </w:t>
      </w:r>
      <w:r>
        <w:rPr>
          <w:i/>
        </w:rPr>
        <w:t>Verein KlimaSeniorinnen Schweiz și alții împotriva Elveției</w:t>
      </w:r>
      <w:r>
        <w:t xml:space="preserve">, apoi ca o altă ședință să fie ținută, în fața aceluiași complet al Marii Camere, în cauza </w:t>
      </w:r>
      <w:r>
        <w:rPr>
          <w:i/>
        </w:rPr>
        <w:t>Duarte Agostinho și alții împotriva Portugaliei și alte treizeci și două de cereri</w:t>
      </w:r>
      <w:r>
        <w:t xml:space="preserve"> (ședința din 27 septembrie 2023).</w:t>
      </w:r>
    </w:p>
    <w:p w:rsidR="003A6DF1" w:rsidRPr="005F1637" w:rsidRDefault="00586FD6" w:rsidP="005F1637">
      <w:pPr>
        <w:pStyle w:val="JuPara"/>
      </w:pPr>
      <w:r>
        <w:fldChar w:fldCharType="begin"/>
      </w:r>
      <w:r>
        <w:instrText xml:space="preserve"> SEQ level0 \*arabic </w:instrText>
      </w:r>
      <w:r>
        <w:fldChar w:fldCharType="separate"/>
      </w:r>
      <w:r w:rsidR="005F1637" w:rsidRPr="005F1637">
        <w:t>8</w:t>
      </w:r>
      <w:r>
        <w:fldChar w:fldCharType="end"/>
      </w:r>
      <w:r w:rsidR="00AD0B47">
        <w:t>.  La 29 martie 2023, a avut loc o ședință publică la Palatul Drepturilor Omului din Strasbourg (art. 59 § 3 din Regulament).</w:t>
      </w:r>
    </w:p>
    <w:p w:rsidR="003A6DF1" w:rsidRPr="005F1637" w:rsidRDefault="00AD0B47" w:rsidP="005F1637">
      <w:pPr>
        <w:pStyle w:val="JuPara"/>
      </w:pPr>
      <w:r>
        <w:t>S-au înfățișat:</w:t>
      </w:r>
    </w:p>
    <w:p w:rsidR="003A6DF1" w:rsidRPr="005F1637" w:rsidRDefault="003A6DF1" w:rsidP="005F1637">
      <w:pPr>
        <w:pStyle w:val="JuPara"/>
      </w:pPr>
    </w:p>
    <w:p w:rsidR="003A6DF1" w:rsidRPr="005F1637" w:rsidRDefault="00AD0B47" w:rsidP="005F1637">
      <w:pPr>
        <w:pStyle w:val="JuPara"/>
        <w:tabs>
          <w:tab w:val="left" w:pos="6379"/>
        </w:tabs>
        <w:ind w:left="397" w:firstLine="0"/>
        <w:jc w:val="left"/>
      </w:pPr>
      <w:r>
        <w:t>–  </w:t>
      </w:r>
      <w:r>
        <w:rPr>
          <w:i/>
        </w:rPr>
        <w:t>pentru Guvern</w:t>
      </w:r>
    </w:p>
    <w:p w:rsidR="003A6DF1" w:rsidRPr="005F1637" w:rsidRDefault="00BE2B72" w:rsidP="005F1637">
      <w:pPr>
        <w:pStyle w:val="JuCourt"/>
        <w:tabs>
          <w:tab w:val="clear" w:pos="907"/>
          <w:tab w:val="clear" w:pos="1701"/>
          <w:tab w:val="left" w:pos="1276"/>
        </w:tabs>
        <w:spacing w:before="0"/>
        <w:ind w:left="1117"/>
      </w:pPr>
      <w:r>
        <w:t xml:space="preserve">Domnul </w:t>
      </w:r>
      <w:r w:rsidR="00AD0B47">
        <w:t xml:space="preserve">M. </w:t>
      </w:r>
      <w:r w:rsidR="00AD0B47">
        <w:rPr>
          <w:rStyle w:val="JuNames0"/>
        </w:rPr>
        <w:t>Colas</w:t>
      </w:r>
      <w:r w:rsidR="00AD0B47">
        <w:t>,</w:t>
      </w:r>
      <w:r w:rsidR="00AD0B47">
        <w:tab/>
      </w:r>
      <w:r w:rsidR="00AD0B47">
        <w:rPr>
          <w:i/>
        </w:rPr>
        <w:t>agent</w:t>
      </w:r>
      <w:r w:rsidR="00AD0B47">
        <w:t>,</w:t>
      </w:r>
    </w:p>
    <w:p w:rsidR="003A6DF1" w:rsidRPr="005F1637" w:rsidRDefault="00AD0B47" w:rsidP="005F1637">
      <w:pPr>
        <w:pStyle w:val="JuCourt"/>
        <w:tabs>
          <w:tab w:val="clear" w:pos="907"/>
          <w:tab w:val="left" w:pos="1134"/>
          <w:tab w:val="left" w:pos="1276"/>
        </w:tabs>
        <w:spacing w:before="0"/>
        <w:ind w:left="1117"/>
      </w:pPr>
      <w:r>
        <w:t>doamna </w:t>
      </w:r>
      <w:r>
        <w:rPr>
          <w:rStyle w:val="JuNames0"/>
        </w:rPr>
        <w:t>P. Reparaz</w:t>
      </w:r>
      <w:r>
        <w:t>,</w:t>
      </w:r>
    </w:p>
    <w:p w:rsidR="003A6DF1" w:rsidRPr="005F1637" w:rsidRDefault="00AD0B47" w:rsidP="005F1637">
      <w:pPr>
        <w:pStyle w:val="JuCourt"/>
        <w:tabs>
          <w:tab w:val="left" w:pos="1134"/>
        </w:tabs>
        <w:spacing w:before="0"/>
        <w:ind w:left="1117"/>
      </w:pPr>
      <w:r>
        <w:t>doamna M. </w:t>
      </w:r>
      <w:r>
        <w:rPr>
          <w:rStyle w:val="JuNames0"/>
        </w:rPr>
        <w:t>Blanchard</w:t>
      </w:r>
      <w:r>
        <w:t>,</w:t>
      </w:r>
    </w:p>
    <w:p w:rsidR="003A6DF1" w:rsidRPr="005F1637" w:rsidRDefault="00AD0B47" w:rsidP="005F1637">
      <w:pPr>
        <w:pStyle w:val="JuCourt"/>
        <w:tabs>
          <w:tab w:val="left" w:pos="1134"/>
        </w:tabs>
        <w:spacing w:before="0"/>
        <w:ind w:left="1117"/>
      </w:pPr>
      <w:r>
        <w:t xml:space="preserve">doamna C. </w:t>
      </w:r>
      <w:r>
        <w:rPr>
          <w:rStyle w:val="JuNames0"/>
        </w:rPr>
        <w:t>Blonde</w:t>
      </w:r>
      <w:r>
        <w:rPr>
          <w:smallCaps/>
        </w:rPr>
        <w:t>l</w:t>
      </w:r>
      <w:r>
        <w:t>,</w:t>
      </w:r>
    </w:p>
    <w:p w:rsidR="003A6DF1" w:rsidRPr="005F1637" w:rsidRDefault="00AD0B47" w:rsidP="005F1637">
      <w:pPr>
        <w:pStyle w:val="JuCourt"/>
        <w:tabs>
          <w:tab w:val="left" w:pos="1134"/>
        </w:tabs>
        <w:spacing w:before="0"/>
        <w:ind w:left="1117"/>
      </w:pPr>
      <w:r>
        <w:t>doamna A. </w:t>
      </w:r>
      <w:r>
        <w:rPr>
          <w:rStyle w:val="JuNames0"/>
        </w:rPr>
        <w:t>Aubert</w:t>
      </w:r>
      <w:r>
        <w:t>,</w:t>
      </w:r>
      <w:r>
        <w:tab/>
      </w:r>
    </w:p>
    <w:p w:rsidR="003A6DF1" w:rsidRPr="005F1637" w:rsidRDefault="00BE2B72" w:rsidP="005F1637">
      <w:pPr>
        <w:pStyle w:val="JuCourt"/>
        <w:tabs>
          <w:tab w:val="left" w:pos="1134"/>
        </w:tabs>
        <w:spacing w:before="0"/>
        <w:ind w:left="1117"/>
      </w:pPr>
      <w:r>
        <w:t xml:space="preserve">domnul </w:t>
      </w:r>
      <w:r w:rsidR="00AD0B47">
        <w:t xml:space="preserve">J. </w:t>
      </w:r>
      <w:r w:rsidR="00AD0B47">
        <w:rPr>
          <w:rStyle w:val="JuNames0"/>
        </w:rPr>
        <w:t>Sevestre-Giraud</w:t>
      </w:r>
      <w:r w:rsidR="00AD0B47">
        <w:t>,</w:t>
      </w:r>
    </w:p>
    <w:p w:rsidR="003A6DF1" w:rsidRPr="005F1637" w:rsidRDefault="00AD0B47" w:rsidP="005F1637">
      <w:pPr>
        <w:pStyle w:val="JuCourt"/>
        <w:tabs>
          <w:tab w:val="left" w:pos="1134"/>
        </w:tabs>
        <w:spacing w:before="0"/>
        <w:ind w:left="1117"/>
      </w:pPr>
      <w:r>
        <w:t>domnul A. </w:t>
      </w:r>
      <w:r>
        <w:rPr>
          <w:rStyle w:val="JuNames0"/>
        </w:rPr>
        <w:t>Amadori</w:t>
      </w:r>
      <w:r>
        <w:t>,</w:t>
      </w:r>
    </w:p>
    <w:p w:rsidR="003A6DF1" w:rsidRPr="005F1637" w:rsidRDefault="00AD0B47" w:rsidP="005F1637">
      <w:pPr>
        <w:pStyle w:val="JuCourt"/>
        <w:tabs>
          <w:tab w:val="left" w:pos="1134"/>
        </w:tabs>
        <w:spacing w:before="0"/>
        <w:ind w:left="1117"/>
      </w:pPr>
      <w:r>
        <w:t>doamna</w:t>
      </w:r>
      <w:r>
        <w:rPr>
          <w:vertAlign w:val="superscript"/>
        </w:rPr>
        <w:t xml:space="preserve"> </w:t>
      </w:r>
      <w:r>
        <w:t xml:space="preserve">D. </w:t>
      </w:r>
      <w:r>
        <w:rPr>
          <w:rStyle w:val="JuNames0"/>
        </w:rPr>
        <w:t>Barrere</w:t>
      </w:r>
      <w:r>
        <w:t>,</w:t>
      </w:r>
      <w:r>
        <w:tab/>
      </w:r>
      <w:r>
        <w:rPr>
          <w:i/>
        </w:rPr>
        <w:t>consilieri</w:t>
      </w:r>
      <w:r>
        <w:t>;</w:t>
      </w:r>
    </w:p>
    <w:p w:rsidR="003A6DF1" w:rsidRPr="005F1637" w:rsidRDefault="003A6DF1" w:rsidP="005F1637">
      <w:pPr>
        <w:rPr>
          <w:lang w:bidi="en-US"/>
        </w:rPr>
      </w:pPr>
    </w:p>
    <w:p w:rsidR="003A6DF1" w:rsidRPr="005F1637" w:rsidRDefault="00AD0B47" w:rsidP="005F1637">
      <w:pPr>
        <w:pStyle w:val="JuPara"/>
        <w:tabs>
          <w:tab w:val="left" w:pos="1134"/>
        </w:tabs>
        <w:ind w:left="284" w:firstLine="0"/>
        <w:jc w:val="left"/>
      </w:pPr>
      <w:r>
        <w:br w:type="page"/>
      </w:r>
    </w:p>
    <w:p w:rsidR="003A6DF1" w:rsidRPr="005F1637" w:rsidRDefault="00AD0B47" w:rsidP="005F1637">
      <w:pPr>
        <w:pStyle w:val="JuPara"/>
        <w:tabs>
          <w:tab w:val="left" w:pos="1134"/>
        </w:tabs>
        <w:ind w:left="284" w:firstLine="0"/>
        <w:jc w:val="left"/>
      </w:pPr>
      <w:r>
        <w:lastRenderedPageBreak/>
        <w:t xml:space="preserve">– </w:t>
      </w:r>
      <w:r>
        <w:rPr>
          <w:i/>
        </w:rPr>
        <w:t>pentru reclamant</w:t>
      </w:r>
    </w:p>
    <w:p w:rsidR="003A6DF1" w:rsidRPr="005F1637" w:rsidRDefault="00AD0B47" w:rsidP="005F1637">
      <w:pPr>
        <w:pStyle w:val="JuCourt"/>
        <w:tabs>
          <w:tab w:val="left" w:pos="1134"/>
        </w:tabs>
        <w:spacing w:before="0"/>
        <w:ind w:left="1117"/>
      </w:pPr>
      <w:r>
        <w:t xml:space="preserve">C. </w:t>
      </w:r>
      <w:r>
        <w:rPr>
          <w:rStyle w:val="JuNames0"/>
        </w:rPr>
        <w:t>Lepage</w:t>
      </w:r>
      <w:r>
        <w:t>,</w:t>
      </w:r>
      <w:r>
        <w:tab/>
      </w:r>
      <w:r w:rsidR="00BE2B72" w:rsidRPr="00BE2B72">
        <w:rPr>
          <w:i/>
        </w:rPr>
        <w:t>avocată</w:t>
      </w:r>
      <w:r>
        <w:t>,</w:t>
      </w:r>
    </w:p>
    <w:p w:rsidR="003A6DF1" w:rsidRPr="005F1637" w:rsidRDefault="00AD0B47" w:rsidP="005F1637">
      <w:pPr>
        <w:pStyle w:val="JuCourt"/>
        <w:tabs>
          <w:tab w:val="left" w:pos="1134"/>
        </w:tabs>
        <w:spacing w:before="0"/>
        <w:ind w:left="1117"/>
        <w:rPr>
          <w:rStyle w:val="JuNames0"/>
          <w:rFonts w:asciiTheme="minorHAnsi" w:hAnsiTheme="minorHAnsi" w:cstheme="minorBidi"/>
          <w:smallCaps w:val="0"/>
        </w:rPr>
      </w:pPr>
      <w:r>
        <w:t>domnul</w:t>
      </w:r>
      <w:r>
        <w:tab/>
        <w:t xml:space="preserve"> C. </w:t>
      </w:r>
      <w:r>
        <w:rPr>
          <w:rStyle w:val="JuNames0"/>
        </w:rPr>
        <w:t>Huglo,</w:t>
      </w:r>
    </w:p>
    <w:p w:rsidR="003A6DF1" w:rsidRPr="005F1637" w:rsidRDefault="00AD0B47" w:rsidP="005F1637">
      <w:pPr>
        <w:pStyle w:val="JuCourt"/>
        <w:tabs>
          <w:tab w:val="left" w:pos="1134"/>
        </w:tabs>
        <w:spacing w:before="0"/>
        <w:ind w:left="1117"/>
        <w:rPr>
          <w:i/>
        </w:rPr>
      </w:pPr>
      <w:r>
        <w:t>domnul</w:t>
      </w:r>
      <w:r>
        <w:tab/>
        <w:t xml:space="preserve"> T. </w:t>
      </w:r>
      <w:r>
        <w:rPr>
          <w:rStyle w:val="JuNames0"/>
        </w:rPr>
        <w:t>Begel</w:t>
      </w:r>
      <w:r>
        <w:t>,</w:t>
      </w:r>
      <w:r>
        <w:tab/>
      </w:r>
      <w:r>
        <w:rPr>
          <w:i/>
        </w:rPr>
        <w:t>consilieri,</w:t>
      </w:r>
    </w:p>
    <w:p w:rsidR="003A6DF1" w:rsidRPr="005F1637" w:rsidRDefault="00AD0B47" w:rsidP="005F1637">
      <w:pPr>
        <w:pStyle w:val="JuCourt"/>
        <w:keepNext/>
        <w:keepLines/>
        <w:tabs>
          <w:tab w:val="left" w:pos="1134"/>
        </w:tabs>
        <w:spacing w:before="0"/>
        <w:ind w:left="1117"/>
        <w:rPr>
          <w:i/>
        </w:rPr>
      </w:pPr>
      <w:r>
        <w:t>domnul</w:t>
      </w:r>
      <w:r>
        <w:tab/>
        <w:t xml:space="preserve"> D. </w:t>
      </w:r>
      <w:r>
        <w:rPr>
          <w:rStyle w:val="JuNames0"/>
        </w:rPr>
        <w:t>Carême</w:t>
      </w:r>
      <w:r>
        <w:t>,</w:t>
      </w:r>
      <w:r>
        <w:tab/>
      </w:r>
      <w:r>
        <w:rPr>
          <w:i/>
        </w:rPr>
        <w:t>reclamant</w:t>
      </w:r>
      <w:r>
        <w:t>.</w:t>
      </w:r>
    </w:p>
    <w:p w:rsidR="003A6DF1" w:rsidRPr="005F1637" w:rsidRDefault="003A6DF1" w:rsidP="005F1637">
      <w:pPr>
        <w:pStyle w:val="JuPara"/>
      </w:pPr>
    </w:p>
    <w:p w:rsidR="003A6DF1" w:rsidRPr="005F1637" w:rsidRDefault="00AD0B47" w:rsidP="005F1637">
      <w:pPr>
        <w:pStyle w:val="JuPara"/>
      </w:pPr>
      <w:r>
        <w:t xml:space="preserve">Curtea a ascultat declarațiile și răspunsurile domnului Colas și ale </w:t>
      </w:r>
      <w:r w:rsidR="00C57E68">
        <w:t>doamnei</w:t>
      </w:r>
      <w:r>
        <w:t xml:space="preserve"> Lepage la întrebările adresate de judecători.</w:t>
      </w:r>
    </w:p>
    <w:p w:rsidR="003A6DF1" w:rsidRPr="005F1637" w:rsidRDefault="00AD0B47" w:rsidP="005F1637">
      <w:pPr>
        <w:pStyle w:val="JuHHead"/>
        <w:tabs>
          <w:tab w:val="left" w:pos="5387"/>
        </w:tabs>
      </w:pPr>
      <w:bookmarkStart w:id="9" w:name="_Toc158038976"/>
      <w:bookmarkStart w:id="10" w:name="_Toc171171590"/>
      <w:r>
        <w:t>ÎN FAPT</w:t>
      </w:r>
      <w:bookmarkEnd w:id="9"/>
      <w:bookmarkEnd w:id="10"/>
    </w:p>
    <w:p w:rsidR="003A6DF1" w:rsidRPr="005F1637" w:rsidRDefault="00AD0B47" w:rsidP="005F1637">
      <w:pPr>
        <w:pStyle w:val="JuHIRoman"/>
        <w:tabs>
          <w:tab w:val="clear" w:pos="539"/>
          <w:tab w:val="clear" w:pos="624"/>
          <w:tab w:val="clear" w:pos="709"/>
          <w:tab w:val="clear" w:pos="794"/>
          <w:tab w:val="left" w:pos="567"/>
          <w:tab w:val="left" w:pos="680"/>
        </w:tabs>
        <w:ind w:left="397" w:hanging="397"/>
      </w:pPr>
      <w:bookmarkStart w:id="11" w:name="_Toc158038977"/>
      <w:bookmarkStart w:id="12" w:name="_Toc171171591"/>
      <w:r>
        <w:t>SITUAȚIA RECLAMANTULUI</w:t>
      </w:r>
      <w:bookmarkEnd w:id="11"/>
      <w:bookmarkEnd w:id="12"/>
    </w:p>
    <w:bookmarkStart w:id="13" w:name="paragraph0009"/>
    <w:p w:rsidR="003A6DF1" w:rsidRPr="005F1637" w:rsidRDefault="00AD0B47" w:rsidP="005F1637">
      <w:pPr>
        <w:pStyle w:val="JuPara"/>
      </w:pPr>
      <w:r w:rsidRPr="005F1637">
        <w:fldChar w:fldCharType="begin"/>
      </w:r>
      <w:r w:rsidRPr="005F1637">
        <w:instrText xml:space="preserve"> SEQ level0 \*arabic </w:instrText>
      </w:r>
      <w:r w:rsidRPr="005F1637">
        <w:fldChar w:fldCharType="separate"/>
      </w:r>
      <w:r w:rsidR="005F1637" w:rsidRPr="005F1637">
        <w:t>9</w:t>
      </w:r>
      <w:r w:rsidRPr="005F1637">
        <w:fldChar w:fldCharType="end"/>
      </w:r>
      <w:bookmarkEnd w:id="13"/>
      <w:r>
        <w:t xml:space="preserve">.  Reclamantul, născut în 1960, este un om politic care a fost primarul comunei Grande-Synthe de la 23 martie 2001 până la 3 iulie 2019. De la 26 mai 2019, este membru al Parlamentului European. În urma alegerii sale în Parlamentul European, reclamantul a părăsit Grande-Synthe și s-a stabilit în Bruxelles (infra, pct. </w:t>
      </w:r>
      <w:r w:rsidRPr="005F1637">
        <w:fldChar w:fldCharType="begin"/>
      </w:r>
      <w:r w:rsidRPr="005F1637">
        <w:instrText xml:space="preserve"> REF paragraph00053 \h  \* CharFormat </w:instrText>
      </w:r>
      <w:r w:rsidRPr="005F1637">
        <w:fldChar w:fldCharType="separate"/>
      </w:r>
      <w:r w:rsidR="005F1637" w:rsidRPr="005F1637">
        <w:t>68</w:t>
      </w:r>
      <w:r w:rsidRPr="005F1637">
        <w:fldChar w:fldCharType="end"/>
      </w:r>
      <w:r>
        <w:t>).</w:t>
      </w:r>
    </w:p>
    <w:p w:rsidR="003A6DF1" w:rsidRPr="005F1637" w:rsidRDefault="00586FD6" w:rsidP="005F1637">
      <w:pPr>
        <w:pStyle w:val="JuPara"/>
      </w:pPr>
      <w:r>
        <w:fldChar w:fldCharType="begin"/>
      </w:r>
      <w:r>
        <w:instrText xml:space="preserve"> SEQ level0 \*arabic </w:instrText>
      </w:r>
      <w:r>
        <w:fldChar w:fldCharType="separate"/>
      </w:r>
      <w:r w:rsidR="005F1637" w:rsidRPr="005F1637">
        <w:t>10</w:t>
      </w:r>
      <w:r>
        <w:fldChar w:fldCharType="end"/>
      </w:r>
      <w:r w:rsidR="00AD0B47">
        <w:t xml:space="preserve">.  Grande-Synthe este o comună de aproximativ 23 000 de locuitori situată pe coasta Canalului Mânecii, în zona Dunkerque. După cum a constatat Consiliul de Stat, Grande-Synthe este expusă în special riscurilor legate de schimbările climatice și, mai ales, riscului de inundații (infra, pct. </w:t>
      </w:r>
      <w:r w:rsidR="00AD0B47" w:rsidRPr="005F1637">
        <w:fldChar w:fldCharType="begin"/>
      </w:r>
      <w:r w:rsidR="00AD0B47" w:rsidRPr="005F1637">
        <w:instrText xml:space="preserve"> REF paragraph00129 \h  \* CharFormat </w:instrText>
      </w:r>
      <w:r w:rsidR="00AD0B47" w:rsidRPr="005F1637">
        <w:fldChar w:fldCharType="separate"/>
      </w:r>
      <w:r w:rsidR="005F1637" w:rsidRPr="005F1637">
        <w:t>28</w:t>
      </w:r>
      <w:r w:rsidR="00AD0B47" w:rsidRPr="005F1637">
        <w:fldChar w:fldCharType="end"/>
      </w:r>
      <w:r w:rsidR="00AD0B47">
        <w:t>).</w:t>
      </w:r>
    </w:p>
    <w:p w:rsidR="003A6DF1" w:rsidRPr="005F1637" w:rsidRDefault="00AD0B47" w:rsidP="005F1637">
      <w:pPr>
        <w:pStyle w:val="JuHIRoman"/>
      </w:pPr>
      <w:bookmarkStart w:id="14" w:name="_Toc158038978"/>
      <w:bookmarkStart w:id="15" w:name="_Toc171171592"/>
      <w:r>
        <w:t>PROCEDURA INIȚIATĂ DE RECLAMANT</w:t>
      </w:r>
      <w:bookmarkEnd w:id="14"/>
      <w:bookmarkEnd w:id="15"/>
    </w:p>
    <w:p w:rsidR="003A6DF1" w:rsidRPr="005F1637" w:rsidRDefault="00AD0B47" w:rsidP="005F1637">
      <w:pPr>
        <w:pStyle w:val="JuHA"/>
      </w:pPr>
      <w:bookmarkStart w:id="16" w:name="_Toc171171593"/>
      <w:bookmarkStart w:id="17" w:name="_Toc158038979"/>
      <w:r>
        <w:t>Cererile adresate autorităților de reclamant</w:t>
      </w:r>
      <w:bookmarkEnd w:id="16"/>
      <w:r>
        <w:t xml:space="preserve"> </w:t>
      </w:r>
      <w:bookmarkEnd w:id="17"/>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11</w:t>
      </w:r>
      <w:r w:rsidRPr="005F1637">
        <w:fldChar w:fldCharType="end"/>
      </w:r>
      <w:r>
        <w:t>.  La 19 noiembrie 2018, acționând în nume propriu și în calitate de primar al comunei Grande-Synthe, în numele și pe seama acesteia, reclamantul a cerut președintelui Republicii, prim-ministrului și ministr</w:t>
      </w:r>
      <w:r w:rsidR="002010F2">
        <w:t>ei</w:t>
      </w:r>
      <w:r>
        <w:t xml:space="preserve"> Tranziției ecologice și solidare: a) să ia toate măsurile utile pentru reducerea emisiilor de gaze cu efect de seră („GES”) produse pe teritoriul național într</w:t>
      </w:r>
      <w:r w:rsidR="00C57E68">
        <w:noBreakHyphen/>
      </w:r>
      <w:r>
        <w:t>o manieră care să respecte obligațiile la care Franța a consimțit în materie, b) să ia toate inițiativele legislative și de reglementare pentru „a face din chestiunea schimbărilor climatice o prioritate obligatorie” și a interzice măsurile care pot crește emisiile de GES, și c) să pună în aplicare măsuri imediate de adaptare la schimbările climatice în Franța.</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12</w:t>
      </w:r>
      <w:r w:rsidRPr="005F1637">
        <w:fldChar w:fldCharType="end"/>
      </w:r>
      <w:r>
        <w:t>.  Autoritățile menționate mai sus nu au răspuns la aceste cereri formulate de domnul Carême și de comuna Grande-Synthe.</w:t>
      </w:r>
    </w:p>
    <w:p w:rsidR="003A6DF1" w:rsidRPr="005F1637" w:rsidRDefault="00AD0B47" w:rsidP="005F1637">
      <w:pPr>
        <w:pStyle w:val="JuHA"/>
      </w:pPr>
      <w:bookmarkStart w:id="18" w:name="_Toc158038980"/>
      <w:bookmarkStart w:id="19" w:name="_Toc171171594"/>
      <w:r>
        <w:lastRenderedPageBreak/>
        <w:t>Procedura în fața Consiliului de Stat</w:t>
      </w:r>
      <w:bookmarkEnd w:id="18"/>
      <w:bookmarkEnd w:id="19"/>
    </w:p>
    <w:p w:rsidR="003A6DF1" w:rsidRPr="005F1637" w:rsidRDefault="00AD0B47" w:rsidP="005F1637">
      <w:pPr>
        <w:pStyle w:val="JuH1"/>
      </w:pPr>
      <w:bookmarkStart w:id="20" w:name="_Toc171171595"/>
      <w:r>
        <w:t>Acțiunea introdusă de reclamant</w:t>
      </w:r>
      <w:bookmarkEnd w:id="20"/>
    </w:p>
    <w:p w:rsidR="003A6DF1" w:rsidRPr="005F1637" w:rsidRDefault="00586FD6" w:rsidP="005F1637">
      <w:pPr>
        <w:pStyle w:val="JuPara"/>
      </w:pPr>
      <w:r>
        <w:fldChar w:fldCharType="begin"/>
      </w:r>
      <w:r>
        <w:instrText xml:space="preserve"> SEQ level0 \*arabic \* MERGEFORMAT </w:instrText>
      </w:r>
      <w:r>
        <w:fldChar w:fldCharType="separate"/>
      </w:r>
      <w:bookmarkStart w:id="21" w:name="paragraph00014"/>
      <w:r w:rsidR="005F1637" w:rsidRPr="005F1637">
        <w:rPr>
          <w:noProof/>
        </w:rPr>
        <w:t>13</w:t>
      </w:r>
      <w:bookmarkEnd w:id="21"/>
      <w:r>
        <w:rPr>
          <w:noProof/>
        </w:rPr>
        <w:fldChar w:fldCharType="end"/>
      </w:r>
      <w:r w:rsidR="00AD0B47">
        <w:t>.  La 23 ianuarie 2019, în lipsa răspunsului autorităților, acționând în nume propriu și în calitate de primar al comunei Grande-Synthe, în numele și pe seama acesteia, reclamantul a sesizat Consiliul de Stat cu o acțiune pentru exces de putere având ca obiect anularea dec</w:t>
      </w:r>
      <w:r w:rsidR="00831F99">
        <w:t>iziilor implicite de respingere</w:t>
      </w:r>
      <w:r w:rsidR="00AD0B47">
        <w:t xml:space="preserve"> care rezultă din tăcerea autorităților în legătură cu cererilor lor.</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14</w:t>
      </w:r>
      <w:r w:rsidRPr="005F1637">
        <w:fldChar w:fldCharType="end"/>
      </w:r>
      <w:r>
        <w:t>.  În cadrul acestei acțiuni, comuna Grande-Synthe și domnul Carême au subliniat efectele nocive ale schimbărilor climatice care afectau deja diferite state din lume la nivelul mediului, sanitar și economic. Întemeindu</w:t>
      </w:r>
      <w:r w:rsidR="00831F99">
        <w:noBreakHyphen/>
      </w:r>
      <w:r>
        <w:t xml:space="preserve">se și pe raportul special „Încălzirea globală cu 1,5 </w:t>
      </w:r>
      <w:r>
        <w:rPr>
          <w:vertAlign w:val="superscript"/>
        </w:rPr>
        <w:t>o</w:t>
      </w:r>
      <w:r>
        <w:t>C”, publicat în 2018 de Grupul interguvernamental privind schimbările climatice („IPCC”), au evidențiat riscurile viitoare legate de schimbările climatice și, astfel, necesitatea adoptării unor măsuri imediate și ambițioase care să permită limitarea progresivă a emisiilor de GES în scopul îndeplinirii obiectivului de a limita creșterea temperaturii globale la 1,5°C peste nivelurile preindustriale. În acest context, au susținut că Franța este una dintre cele mai afectate țări din lume de schimbări climatice, care aveau în opinia lor efecte nefaste asupra sănătății locuitorilor și a mediului, mai ales din cauza eroziunii costiere și a riscului de inundații pentru 2030. Au subliniat că Franța, în pofida acestui lucru, în loc să mențină emisiile de GES sub limita stabilită prin decretul nr. 2015-1491 din 18 noiembrie 2015, în practică și-a depășit bugetul de carbon de 6,7 % în 2017, și că nu va fi în măsură să atingă obiectivele stabilite pentru perioada 2015-2018.</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15</w:t>
      </w:r>
      <w:r w:rsidRPr="005F1637">
        <w:fldChar w:fldCharType="end"/>
      </w:r>
      <w:r>
        <w:t>.  Cu privire la Grande-Synthe, au susținut că situarea geografică a acestei comune o expunea în mod deosebit riscurilor legate de schimbările climatice, și anume frecvența ridicată a precipitațiilor abundente și creșterea nivelului mării, ducând la sporirea riscurilor de înaintare a apelor maritime și de inundații. Au adăugat că episoadele de caniculă slăbeau solul și agravau poluarea în regiune. Aceștia au menționat, printre altele, riscul ca importante costuri socio-economice să rezulte din dezastrele naturale. Cu titlu de exemplu, aceștia au precizat că urmările schimbărilor climatice produse deja pe teritoriul comunei reprezentau un cost evaluat între 100 000 și 500 000 euro (EUR) pentru perioada 1995-2010. În opinia lor, deși comuna Grande</w:t>
      </w:r>
      <w:r w:rsidR="000F2E95">
        <w:noBreakHyphen/>
      </w:r>
      <w:r>
        <w:t>Synthe depune toate eforturile posibile pentru a face față efectelor schimbărilor climatice, aceste eforturi nu sunt suficiente în absența unor măsuri eficiente aplicate la scară națională. În acest context, au susținut că Grande-Synthe are interesul de a acționa în fața Consiliului de Stat împotriva deciziilor cu privire la riscurile induse de schimbările climatice pentru teritoriul său.</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16</w:t>
      </w:r>
      <w:r w:rsidRPr="005F1637">
        <w:fldChar w:fldCharType="end"/>
      </w:r>
      <w:r>
        <w:t xml:space="preserve">.  Cu privire la domnul Carême, au observat că, ținând seama de competențele și responsabilitățile sale de primar al comunei Grande-Synthe, astfel cum sunt definite în art. L. 2212-2 din code général des collectivités </w:t>
      </w:r>
      <w:r>
        <w:lastRenderedPageBreak/>
        <w:t xml:space="preserve">territoriales (Codul general al colectivităților teritoriale) (infra, pct. </w:t>
      </w:r>
      <w:r w:rsidR="00AD0B47" w:rsidRPr="005F1637">
        <w:fldChar w:fldCharType="begin"/>
      </w:r>
      <w:r w:rsidR="00AD0B47" w:rsidRPr="005F1637">
        <w:instrText xml:space="preserve"> REF paragraph00050 \h </w:instrText>
      </w:r>
      <w:r w:rsidR="00AD0B47" w:rsidRPr="005F1637">
        <w:fldChar w:fldCharType="separate"/>
      </w:r>
      <w:r w:rsidRPr="005F1637">
        <w:t>50</w:t>
      </w:r>
      <w:r w:rsidR="00AD0B47" w:rsidRPr="005F1637">
        <w:fldChar w:fldCharType="end"/>
      </w:r>
      <w:r>
        <w:t>), precum și de delegarea sa de către consiliul municipal pentru a intenta acțiuni în justiție în numele comunei, era îndreptățit să formuleze această acțiune privind efectele schimbărilor climatice asupra Grande-Synthe. În plus, au susținut că acțiunea formulată de domnul Carême în nume personal, în calitate de cetățean, este admisibilă în ceea ce privește art. 2 și 8 din Convenție.</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17</w:t>
      </w:r>
      <w:r w:rsidRPr="005F1637">
        <w:fldChar w:fldCharType="end"/>
      </w:r>
      <w:r>
        <w:t>.  Cu privire la temeinicia acțiunii lor, invocând dreptul intern și dreptul Uniunii Europene, precum și Acordul de la Paris</w:t>
      </w:r>
      <w:r w:rsidR="00AD0B47">
        <w:rPr>
          <w:rStyle w:val="FootnoteReference"/>
        </w:rPr>
        <w:footnoteReference w:id="1"/>
      </w:r>
      <w:r>
        <w:t xml:space="preserve">, comuna Grande-Synthe și domnul Carême au susținut că Guvernul avea obligația pozitivă de a lua măsuri efective de combatere a schimbărilor climatice, inclusiv măsurile necesare de adaptare, ceea ce acesta nu făcuse, în opinia lor. Bazându-se în plus pe hotărârile pronunțate de Curte în cauzele </w:t>
      </w:r>
      <w:r>
        <w:rPr>
          <w:i/>
        </w:rPr>
        <w:t>L.C.B. împotriva Regatului Unit</w:t>
      </w:r>
      <w:r>
        <w:t xml:space="preserve"> (9 iunie 1998, </w:t>
      </w:r>
      <w:r>
        <w:rPr>
          <w:i/>
          <w:iCs/>
        </w:rPr>
        <w:t>Culegere de hotărâri și decizii</w:t>
      </w:r>
      <w:r>
        <w:rPr>
          <w:i/>
        </w:rPr>
        <w:t xml:space="preserve"> </w:t>
      </w:r>
      <w:r>
        <w:t xml:space="preserve">1998-III), </w:t>
      </w:r>
      <w:r>
        <w:rPr>
          <w:i/>
        </w:rPr>
        <w:t>Öneryıldız împotriva Turciei</w:t>
      </w:r>
      <w:r>
        <w:t xml:space="preserve"> [(MC), nr. 48939/99, CEDO 2004-XII], </w:t>
      </w:r>
      <w:r>
        <w:rPr>
          <w:i/>
        </w:rPr>
        <w:t>López Ostra împotriva Spaniei</w:t>
      </w:r>
      <w:r>
        <w:t xml:space="preserve"> (9 decembrie 1994, seria A nr. 303</w:t>
      </w:r>
      <w:r>
        <w:noBreakHyphen/>
        <w:t xml:space="preserve">C), și </w:t>
      </w:r>
      <w:r>
        <w:rPr>
          <w:i/>
        </w:rPr>
        <w:t>Tătar împotriva României</w:t>
      </w:r>
      <w:r>
        <w:t xml:space="preserve"> (nr. 67021/01, 27 ianuarie 2009), aceștia au susținut că art. 2 și 8 din Convenție impuneau statelor părți obligația pozitivă de a adopta măsurile adecvate care să garanteze o protejare efectivă a mediului și a sănătății umane, în special prin instituirea unui cadru juridic adaptat și eficace. În această privință, au invitat Consiliul de Stat să se inspire din concluziile formulate de Curtea de Casație a Țărilor de Jos în cauza </w:t>
      </w:r>
      <w:r>
        <w:rPr>
          <w:i/>
        </w:rPr>
        <w:t>Urgenda</w:t>
      </w:r>
      <w:r w:rsidR="00AD0B47">
        <w:rPr>
          <w:rStyle w:val="FootnoteReference"/>
        </w:rPr>
        <w:footnoteReference w:id="2"/>
      </w:r>
      <w:r>
        <w:t>.</w:t>
      </w:r>
    </w:p>
    <w:p w:rsidR="003A6DF1" w:rsidRPr="005F1637" w:rsidRDefault="00586FD6" w:rsidP="005F1637">
      <w:pPr>
        <w:pStyle w:val="JuPara"/>
      </w:pPr>
      <w:r>
        <w:fldChar w:fldCharType="begin"/>
      </w:r>
      <w:r>
        <w:instrText xml:space="preserve"> SEQ level0 \*arabic \* MERGEFORMAT </w:instrText>
      </w:r>
      <w:r>
        <w:fldChar w:fldCharType="separate"/>
      </w:r>
      <w:bookmarkStart w:id="22" w:name="paragraph00019"/>
      <w:r w:rsidR="005F1637" w:rsidRPr="005F1637">
        <w:rPr>
          <w:noProof/>
        </w:rPr>
        <w:t>18</w:t>
      </w:r>
      <w:bookmarkEnd w:id="22"/>
      <w:r>
        <w:rPr>
          <w:noProof/>
        </w:rPr>
        <w:fldChar w:fldCharType="end"/>
      </w:r>
      <w:r w:rsidR="00AD0B47">
        <w:t>.  În cele din urmă, comuna Grande-Synthe și domnul Carême au solicitat Consiliului de Stat:</w:t>
      </w:r>
    </w:p>
    <w:p w:rsidR="003A6DF1" w:rsidRPr="005F1637" w:rsidRDefault="00AD0B47" w:rsidP="005F1637">
      <w:pPr>
        <w:pStyle w:val="JuQuot"/>
        <w:keepNext/>
      </w:pPr>
      <w:r>
        <w:t>„SĂ ANULEZE pentru exces de putere deciziile implicite de respingere care rezultă din tăcerea păstrată de Președintele Republicii, de prim-ministru și de ministr</w:t>
      </w:r>
      <w:r w:rsidR="002010F2">
        <w:t>a</w:t>
      </w:r>
      <w:r>
        <w:t xml:space="preserve"> Tranziției ecologice și solidare asupra cererilor lor având ca obiect, pe de o parte, luarea tuturor măsurilor utile care să permită reducerea emisiilor de gaze cu efect de seră produse pe teritoriul național într-o manieră care să respecte </w:t>
      </w:r>
      <w:r>
        <w:rPr>
          <w:i/>
        </w:rPr>
        <w:t>a minima</w:t>
      </w:r>
      <w:r>
        <w:t xml:space="preserve"> angajamentele cu care Franța a fost de acord, iar pe de altă parte, adoptarea măsurilor imediate de adaptare la schimbările climatice din Franța [în această privință], și, în cele din urmă, recurgerea la toate inițiativele legislative și de reglementare adecvate pentru a face din chestiunea schimbărilor climatice o prioritate obligatorie și pentru a interzice măsurile care pot crește emisiile de gaze cu efect de seră;</w:t>
      </w:r>
    </w:p>
    <w:p w:rsidR="003A6DF1" w:rsidRPr="005F1637" w:rsidRDefault="00AD0B47" w:rsidP="005F1637">
      <w:pPr>
        <w:pStyle w:val="JuQuot"/>
        <w:keepNext/>
      </w:pPr>
      <w:r>
        <w:t>SĂ DISPU</w:t>
      </w:r>
      <w:r w:rsidR="002010F2">
        <w:t>NĂ ca prim-ministrul și ministra</w:t>
      </w:r>
      <w:r>
        <w:t xml:space="preserve"> Tranziției ecologice și solidare să ia toate măsurile adecvate care să permită reducerea emisiilor de gaze cu efect de seră produse </w:t>
      </w:r>
      <w:r>
        <w:lastRenderedPageBreak/>
        <w:t xml:space="preserve">pe teritoriul național pentru a se respecta, </w:t>
      </w:r>
      <w:r>
        <w:rPr>
          <w:i/>
        </w:rPr>
        <w:t>a minima</w:t>
      </w:r>
      <w:r>
        <w:t>, angajamentele naționale și internaționale la care Franța este obligată [în materie], și aceasta în cel mult șase luni;</w:t>
      </w:r>
    </w:p>
    <w:p w:rsidR="003A6DF1" w:rsidRPr="005F1637" w:rsidRDefault="00AD0B47" w:rsidP="005F1637">
      <w:pPr>
        <w:pStyle w:val="JuQuot"/>
        <w:keepNext/>
      </w:pPr>
      <w:r>
        <w:t>SĂ DISPUNĂ</w:t>
      </w:r>
      <w:r w:rsidR="002010F2">
        <w:t xml:space="preserve"> [ca prim-ministrul și ministra</w:t>
      </w:r>
      <w:r>
        <w:t xml:space="preserve"> Tranziției ecologice și solidare] să adopte măsuri imediate de adaptare la schimbările climatice, și aceasta în cel mult șase luni;</w:t>
      </w:r>
    </w:p>
    <w:p w:rsidR="003A6DF1" w:rsidRPr="005F1637" w:rsidRDefault="00AD0B47" w:rsidP="005F1637">
      <w:pPr>
        <w:pStyle w:val="JuQuot"/>
        <w:keepNext/>
      </w:pPr>
      <w:r>
        <w:t>SĂ DISPUNĂ</w:t>
      </w:r>
      <w:r w:rsidR="002010F2">
        <w:t xml:space="preserve"> [ca prim-ministrul și ministra</w:t>
      </w:r>
      <w:r>
        <w:t xml:space="preserve"> Tranziției ecologice și solidare] să recurgă la toate inițiativele legislative și de reglementare adecvate care vizează să facă din chestiunea schimbărilor climatice o prioritate obligatorie și să interzică măsurile care pot crește emisiile de gaze cu efect de seră, și aceasta în cel mult șase luni;</w:t>
      </w:r>
    </w:p>
    <w:p w:rsidR="003A6DF1" w:rsidRPr="005F1637" w:rsidRDefault="00AD0B47" w:rsidP="005F1637">
      <w:pPr>
        <w:pStyle w:val="JuQuot"/>
        <w:keepNext/>
      </w:pPr>
      <w:r>
        <w:t>[...] ”</w:t>
      </w:r>
    </w:p>
    <w:p w:rsidR="003A6DF1" w:rsidRPr="005F1637" w:rsidRDefault="00AD0B47" w:rsidP="005F1637">
      <w:pPr>
        <w:pStyle w:val="JuH1"/>
      </w:pPr>
      <w:bookmarkStart w:id="23" w:name="_Toc171171596"/>
      <w:r>
        <w:t>Argumentele părților în fața Consiliului de Stat</w:t>
      </w:r>
      <w:bookmarkEnd w:id="23"/>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19</w:t>
      </w:r>
      <w:r w:rsidRPr="005F1637">
        <w:fldChar w:fldCharType="end"/>
      </w:r>
      <w:r>
        <w:t xml:space="preserve">.  În apărarea sa în fața Consiliului de Stat, ministra Tranziției ecologice și solidare („ministra”) a susținut că cererea reclamanților ca autoritățile să fie obligate să recurgă la toate inițiativele legislative adecvate pentru a face față schimbărilor climatice nu intra în competența judiciară a Consiliului de Stat. Ministra a declarat, de asemenea, că primarul și comuna Grande-Synthe nu aveau interesul de a acționa în fața Consiliului de Stat, având în vedere că, susținea aceasta, problemele referitoare la legislația privind schimbările climatice nu afectau comuna în mod specific. Potrivit ministrei, deși comuna Grande-Synthe este situată în perimetrul unui teritoriu cu risc important de inundații (TRI), nu are acces direct la mare și simulările efectuate pentru TRI în ceea ce privește riscul de înaintare a apelor maritime asociat schimbărilor climatice nu sugerau că acest pericol ar afecta comuna menționată. În plus, potrivit ministrei, comunitatea științifică nu a atribuit schimbărilor climatice actuala eroziune a litoralului francez și, în orice caz, era de datoria comunei Grande-Synthe să demonstreze existența unei legături directe între schimbările climatice și transformările de pe teritoriul său. Ministra a adăugat totuși că, și în ipoteza în care comuna de Grande-Synthe ar putea demonstra în mod sigur că suporta consecințele schimbărilor climatice, comuna nu indica precis deciziile pe care le contesta, și că dispozițiile art. L. 2212-2 din Codul general al colectivităților teritoriale nu îi confereau interesul de a formula respectiva acțiune (infra, pct. </w:t>
      </w:r>
      <w:r w:rsidR="00AD0B47" w:rsidRPr="005F1637">
        <w:fldChar w:fldCharType="begin"/>
      </w:r>
      <w:r w:rsidR="00AD0B47" w:rsidRPr="005F1637">
        <w:instrText xml:space="preserve"> REF paragraph00050 \h </w:instrText>
      </w:r>
      <w:r w:rsidR="00AD0B47" w:rsidRPr="005F1637">
        <w:fldChar w:fldCharType="separate"/>
      </w:r>
      <w:r w:rsidRPr="005F1637">
        <w:t>50</w:t>
      </w:r>
      <w:r w:rsidR="00AD0B47" w:rsidRPr="005F1637">
        <w:fldChar w:fldCharType="end"/>
      </w:r>
      <w:r>
        <w:t>).</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20</w:t>
      </w:r>
      <w:r w:rsidRPr="005F1637">
        <w:fldChar w:fldCharType="end"/>
      </w:r>
      <w:r>
        <w:t>.  Cu privire la dreptul reclamantului de a introduce, în nume personal, acțiunea respectivă, ministra a considerat că simplul fapt că acesta era o persoană fizică ale cărei drepturi erau recunoscute de Convenție nu era suficient să îi confere interesul de a acționa în fața Consiliului de Stat în legătură cu dificultățile ridicate de schimbările climatice.</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21</w:t>
      </w:r>
      <w:r w:rsidRPr="005F1637">
        <w:fldChar w:fldCharType="end"/>
      </w:r>
      <w:r>
        <w:t xml:space="preserve">.  Cu privire la fondul cauzei, ministra a susținut că reclamanții nu se puteau prevala de Acordul de la Paris, întrucât acesta nu avea scopul să confere drepturi persoanelor particulare și că, în orice caz, angajamentul Franței în baza acestui acord trebuie privit în contextul angajamentului colectiv al statelor membre ale Uniunii Europene. În acest sens, ministra a considerat că Franța respectă cerințele și obiectivele stabilite la nivelul </w:t>
      </w:r>
      <w:r>
        <w:lastRenderedPageBreak/>
        <w:t xml:space="preserve">Uniunii Europene. De asemenea, făcând trimitere la hotărârea </w:t>
      </w:r>
      <w:r>
        <w:rPr>
          <w:i/>
        </w:rPr>
        <w:t xml:space="preserve">Guerra și alții împotriva Italiei </w:t>
      </w:r>
      <w:r w:rsidR="002010F2">
        <w:t xml:space="preserve">(19 </w:t>
      </w:r>
      <w:r>
        <w:t xml:space="preserve">februarie 1998, </w:t>
      </w:r>
      <w:r>
        <w:rPr>
          <w:i/>
          <w:iCs/>
        </w:rPr>
        <w:t>Culegere de hotărâri și decizii</w:t>
      </w:r>
      <w:r>
        <w:rPr>
          <w:i/>
        </w:rPr>
        <w:t xml:space="preserve"> </w:t>
      </w:r>
      <w:r>
        <w:t>1998-I), ministra a afirmat că, prin asigurarea unui cadru legislativ și de reglementare complet, Franța își respectă obligațiile care îi revin în temeiul Convenției. În cele din urmă, a susținut că reclamanții nu au reușit să demonstreze existența unei încălcări a dreptului intern relevant cu privire la schimbările climatice. Prin urmare, ministra a considerat că acțiunea reclamanților trebuie respinsă în totalitate.</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22</w:t>
      </w:r>
      <w:r w:rsidRPr="005F1637">
        <w:fldChar w:fldCharType="end"/>
      </w:r>
      <w:r>
        <w:t>.  În replica lor la memoriul ministrei, reclamanții au susținut că Grande</w:t>
      </w:r>
      <w:r w:rsidR="005F4A6A">
        <w:noBreakHyphen/>
      </w:r>
      <w:r>
        <w:t>Synthe era într-adevăr direct afectată de riscul înaintării apelor. Aceștia au susținut că ministra se baza pe o cartografiere TRI care era depășită și nu corespundea previziunilor și studiilor relevante ale IPCC și ale autorităților interne care, în opinia lor, arătau expunerea comunei la un risc de inundații de coastă până în 2040. Cu privire la acest aspect, au explicat că actuala structură de protecție împotriva riscului respectiv nu a fost concepută pentru a face față efectelor contemporane ale schimbărilor climatice. De asemenea, s-au poziționat ferm împotriva tezei ministrei potrivit căreia eroziunea costieră actuală a litoralului nu putea fi atribuită schimbărilor climatice. Au afirmat că această legătură a fost stabilită clar de IPCC și de anumite studii interne și că riscul de eroziune era real pentru comuna Grande</w:t>
      </w:r>
      <w:r w:rsidR="005F4A6A">
        <w:noBreakHyphen/>
      </w:r>
      <w:r>
        <w:t>Synthe, pe care au descris-o ca fiind un teritoriu de coastă, extrem de plat și în parte aflat sub nivelul mării, străbătut de o rețea de canale de drenare (wateringues) și cu soluri argiloase. Au considerat, de asemenea, că potențialele efecte negative directe și indirecte ale schimbărilor climatice asupra intereselor pe care comuna era obligată să le protejeze îi confereau acesteia interesul de a acționa în fața Consiliului de Stat.</w:t>
      </w:r>
    </w:p>
    <w:p w:rsidR="003A6DF1" w:rsidRPr="005F1637" w:rsidRDefault="00586FD6" w:rsidP="005F1637">
      <w:pPr>
        <w:pStyle w:val="JuPara"/>
      </w:pPr>
      <w:r>
        <w:fldChar w:fldCharType="begin"/>
      </w:r>
      <w:r>
        <w:instrText xml:space="preserve"> SEQ level0 \*arabic \* MERGEFORMAT </w:instrText>
      </w:r>
      <w:r>
        <w:fldChar w:fldCharType="separate"/>
      </w:r>
      <w:bookmarkStart w:id="24" w:name="paragraph00024"/>
      <w:r w:rsidR="005F1637" w:rsidRPr="005F1637">
        <w:rPr>
          <w:noProof/>
        </w:rPr>
        <w:t>23</w:t>
      </w:r>
      <w:bookmarkEnd w:id="24"/>
      <w:r>
        <w:rPr>
          <w:noProof/>
        </w:rPr>
        <w:fldChar w:fldCharType="end"/>
      </w:r>
      <w:r w:rsidR="00AD0B47">
        <w:t>.  Cu privire la argumentele ministrei privind admisibilitatea acțiunii formulate de domnul M. Carême în nume personal, reclamanții au semnalat că reședința reclamantului se afla la mai puțin de patru kilometri de litoral și că, potrivit anumitor proiecții (</w:t>
      </w:r>
      <w:r w:rsidR="00AD0B47">
        <w:rPr>
          <w:i/>
        </w:rPr>
        <w:t>Coastal Risk Screening Tool</w:t>
      </w:r>
      <w:r w:rsidR="00AD0B47">
        <w:rPr>
          <w:rStyle w:val="FootnoteReference"/>
        </w:rPr>
        <w:footnoteReference w:id="3"/>
      </w:r>
      <w:r w:rsidR="00AD0B47">
        <w:t>),</w:t>
      </w:r>
      <w:r w:rsidR="00AD0B47">
        <w:rPr>
          <w:i/>
        </w:rPr>
        <w:t xml:space="preserve"> </w:t>
      </w:r>
      <w:r w:rsidR="00AD0B47">
        <w:t xml:space="preserve">risca să fie inundată până în 2040 din cauza efectelor schimbărilor climatice. Au declarat că domnul Carême nu a introdus acțiunea în calitate de simplu cetățean, ci în calitate de persoană particulară care avea interesul determinat de a acționa, întrucât, au afirmat aceștia, locuința sa era expusă, în viitorul previzibil, unui risc real de inundații legate de schimbările climatice, ceea ce ar avea repercusiuni asupra bunurilor sale și a cadrului său de viață. Au adăugat că, pentru a examina interesul reclamantului de a acționa în fața Consiliului de Stat, trebuia să se țină seama de </w:t>
      </w:r>
      <w:r w:rsidR="00CB3565" w:rsidRPr="00CB3565">
        <w:t>natura litigiului privind clima</w:t>
      </w:r>
      <w:r w:rsidR="00AD0B47">
        <w:t xml:space="preserve">, </w:t>
      </w:r>
      <w:r w:rsidR="00CB3565" w:rsidRPr="00CB3565">
        <w:t>care vizează apărarea nu numai a intereselor prezente, ci și a intereselor generațiilor viitoare</w:t>
      </w:r>
      <w:r w:rsidR="00AD0B47">
        <w:t>.</w:t>
      </w:r>
    </w:p>
    <w:p w:rsidR="003A6DF1" w:rsidRPr="005F1637" w:rsidRDefault="00586FD6" w:rsidP="005F1637">
      <w:pPr>
        <w:pStyle w:val="JuPara"/>
      </w:pPr>
      <w:r>
        <w:fldChar w:fldCharType="begin"/>
      </w:r>
      <w:r>
        <w:instrText xml:space="preserve"> SEQ level0 \*arabic \* MERGEFORMAT </w:instrText>
      </w:r>
      <w:r>
        <w:fldChar w:fldCharType="separate"/>
      </w:r>
      <w:bookmarkStart w:id="25" w:name="paragraph00025"/>
      <w:r w:rsidR="005F1637" w:rsidRPr="005F1637">
        <w:rPr>
          <w:noProof/>
        </w:rPr>
        <w:t>24</w:t>
      </w:r>
      <w:bookmarkEnd w:id="25"/>
      <w:r>
        <w:rPr>
          <w:noProof/>
        </w:rPr>
        <w:fldChar w:fldCharType="end"/>
      </w:r>
      <w:r w:rsidR="00AD0B47">
        <w:t xml:space="preserve">.   În ceea ce privește temeinicia acțiunii lor, reclamanții și-au reiterat argumentele anterioare și și-au exprimat dezacordul față de opinia ministrei </w:t>
      </w:r>
      <w:r w:rsidR="00AD0B47">
        <w:lastRenderedPageBreak/>
        <w:t xml:space="preserve">despre respectarea de către Franța a obligațiilor care îi revin în temeiul Acordului de la Paris, al dreptului Uniunii Europene și al dreptului național, privind măsurile ce trebuie luate pentru a face față efectelor negative ale schimbărilor climatice. Cu privire în special la argumentele formulate în temeiul art. 2 și 8 din Convenție, reclamanții au reamintit că, în conformitate cu jurisprudența Curții, în plus față de obligația de a institui un cadru normativ, statele aveau obligația de a lua măsuri de prevenire pentru a proteja dreptul la viață (au făcut trimitere la hotărârea </w:t>
      </w:r>
      <w:r w:rsidR="00AD0B47">
        <w:rPr>
          <w:i/>
        </w:rPr>
        <w:t>Öneryıldız</w:t>
      </w:r>
      <w:r w:rsidR="00AD0B47">
        <w:t xml:space="preserve">, citată anterior, pct. 101 și 109, și la hotărârea </w:t>
      </w:r>
      <w:r w:rsidR="00AD0B47">
        <w:rPr>
          <w:i/>
        </w:rPr>
        <w:t>Brincat și alții împotriva Maltei</w:t>
      </w:r>
      <w:r w:rsidR="00AD0B47">
        <w:t>, nr. 60908/11 și alte 4 hotărâri, 24 iulie 2014). Potrivit reclamanților, prin neîndeplinirea obligației de a reduce emisiile de GES, statul nu și-a respectat obligația de protecție care rezultă din Convenție. Reclamanții au adăugat că, deși în Planul său climatic din 2017 Franța și-a asumat angajamentul ambițios de a atinge un nivel al emisiilor nete de CO</w:t>
      </w:r>
      <w:r w:rsidR="00AD0B47">
        <w:rPr>
          <w:vertAlign w:val="subscript"/>
        </w:rPr>
        <w:t>2</w:t>
      </w:r>
      <w:r w:rsidR="00AD0B47">
        <w:t xml:space="preserve"> egal cu zero până în 2050, cadrul legislativ și de reglementare existent era insuficient pentru îndeplinirea acestui obiectiv (au făcut trimitere la concluziile raportului anual din 2019 al Înaltului Consiliu pentru climă</w:t>
      </w:r>
      <w:r w:rsidR="00AD0B47">
        <w:rPr>
          <w:rStyle w:val="FootnoteReference"/>
        </w:rPr>
        <w:footnoteReference w:id="4"/>
      </w:r>
      <w:r w:rsidR="00AD0B47">
        <w:t>). Astfel, aceștia au dedus, de asemenea, că în Franța, în 2018, emisiile de GES rămăseseră superioare obiectivelor stabilite (au făcut trimitere la un raport al Observatorului climă-energie). În opinia reclamanților, această deficiență a cadrului respectiv ducea la încălcarea obligațiilor statului de a garanta exercitarea dreptului la viață (art. 2) și a dreptului la viața privată și de familie (art. 8) care decurg din Convenție.</w:t>
      </w:r>
    </w:p>
    <w:p w:rsidR="003A6DF1" w:rsidRPr="005F1637" w:rsidRDefault="00586FD6" w:rsidP="005F1637">
      <w:pPr>
        <w:pStyle w:val="JuPara"/>
      </w:pPr>
      <w:r>
        <w:fldChar w:fldCharType="begin"/>
      </w:r>
      <w:r>
        <w:instrText xml:space="preserve"> SEQ level0 \*arabic \* MERGEFORMAT </w:instrText>
      </w:r>
      <w:r>
        <w:fldChar w:fldCharType="separate"/>
      </w:r>
      <w:bookmarkStart w:id="26" w:name="paragraph00127"/>
      <w:r w:rsidR="005F1637" w:rsidRPr="005F1637">
        <w:rPr>
          <w:noProof/>
        </w:rPr>
        <w:t>25</w:t>
      </w:r>
      <w:bookmarkEnd w:id="26"/>
      <w:r>
        <w:rPr>
          <w:noProof/>
        </w:rPr>
        <w:fldChar w:fldCharType="end"/>
      </w:r>
      <w:r w:rsidR="00AD0B47">
        <w:t>.  În fața Consiliului de Stat au intervenit: orașul Paris, orașul Grenoble, cât și organizațiile neguvernamentale Oxfam France, Greenpeace France și Notre Affaire à Tous, și Fondation pour la Nature et l’Homme.</w:t>
      </w:r>
    </w:p>
    <w:p w:rsidR="003A6DF1" w:rsidRPr="005F1637" w:rsidRDefault="00AD0B47" w:rsidP="005F1637">
      <w:pPr>
        <w:pStyle w:val="JuH1"/>
      </w:pPr>
      <w:bookmarkStart w:id="27" w:name="_Toc171171597"/>
      <w:r>
        <w:t>Decizia Consiliului de Stat</w:t>
      </w:r>
      <w:bookmarkEnd w:id="27"/>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26</w:t>
      </w:r>
      <w:r w:rsidRPr="005F1637">
        <w:fldChar w:fldCharType="end"/>
      </w:r>
      <w:r>
        <w:t>.  În decizia din 19 noiembrie 2020, Consiliul de Stat a constatat că cererea reclamanților de a se dispune ca autoritățile să recurgă la toate inițiativele legislative necesare pentru a face față schimbărilor climatice viza problema separației puterilor în cadrul procesului legislativ și că aceasta se situează în afara oricărei posibilități de control jurisdicțional. Acesta a expus, în special, următorul raționament:</w:t>
      </w:r>
    </w:p>
    <w:p w:rsidR="003A6DF1" w:rsidRPr="005F1637" w:rsidRDefault="00AD0B47" w:rsidP="005F1637">
      <w:pPr>
        <w:pStyle w:val="JuQuot"/>
      </w:pPr>
      <w:r>
        <w:t>„[...] [F]aptul că puterea executivă se abține să depună un proiect de lege în Parlament, ține de raporturile dintre puterile publice constituționale și nu este, astfel, de competența instanțelor administrative. Prin urmare, concluziile cererii, în măsura în care se îndreaptă împotriva refuzului implicit al cererilor lor de adoptare a unor dispoziții legislative, trebuie respinse. ”</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27</w:t>
      </w:r>
      <w:r w:rsidRPr="005F1637">
        <w:fldChar w:fldCharType="end"/>
      </w:r>
      <w:r>
        <w:t xml:space="preserve">.  În schimb, Consiliul de Stat a considerat că cererile de anulare a deciziilor implicite de respingere referitoare la măsurile necesare pentru reducerea emisiilor de GES produse pe teritoriul național, precum și la măsurile de reglementare care vizează să facă din chestiunea schimbărilor </w:t>
      </w:r>
      <w:r>
        <w:lastRenderedPageBreak/>
        <w:t>climatice o prioritate obligatorie și la măsurile de adaptare la schimbările climatice, sunt supuse unui control judecătoresc.</w:t>
      </w:r>
    </w:p>
    <w:p w:rsidR="003A6DF1" w:rsidRPr="005F1637" w:rsidRDefault="00586FD6" w:rsidP="005F1637">
      <w:pPr>
        <w:pStyle w:val="JuPara"/>
      </w:pPr>
      <w:r>
        <w:fldChar w:fldCharType="begin"/>
      </w:r>
      <w:r>
        <w:instrText xml:space="preserve"> SEQ level0 \*arabic \* MERGEFORMAT </w:instrText>
      </w:r>
      <w:r>
        <w:fldChar w:fldCharType="separate"/>
      </w:r>
      <w:bookmarkStart w:id="28" w:name="paragraph00129"/>
      <w:r w:rsidR="005F1637" w:rsidRPr="005F1637">
        <w:rPr>
          <w:noProof/>
        </w:rPr>
        <w:t>28</w:t>
      </w:r>
      <w:bookmarkEnd w:id="28"/>
      <w:r>
        <w:rPr>
          <w:noProof/>
        </w:rPr>
        <w:fldChar w:fldCharType="end"/>
      </w:r>
      <w:r w:rsidR="00AD0B47">
        <w:t>.  Cu privire la interesul reclamanților de a prezenta cererile în cauză, Consiliul de Stat, făcând distincția între cazul comunei și cel al domnului Carême, s-a pronunțat astfel:</w:t>
      </w:r>
    </w:p>
    <w:p w:rsidR="003A6DF1" w:rsidRPr="005F1637" w:rsidRDefault="00AD0B47" w:rsidP="005F1637">
      <w:pPr>
        <w:pStyle w:val="JuQuot"/>
      </w:pPr>
      <w:r>
        <w:t>„Din probele de la dosar reiese, și mai cu seamă din datele publicate de Observatoire national sur les effets du réchauffement climatique [Observatorul național asupra efectelor încălzirii globale], că zona Dunkerque se identifică printr-un indice foarte ridicat de expunere la riscuri climatice. Astfel, comuna Grande-Synthe argumentează fără a fi serios contestată asupra acestui aspect, că, având în vedere proximitatea imediată cu litoralul și caracteristicile fizice ale teritoriului său, este expusă pe termen mediu unor riscuri crescute și ridicate de inundații, unei amplificări a episoadelor de secetă puternică având ca incidență nu doar scăderea și degradarea resursei de apă dulce, ci și pagube importante pe spațiile construite, ținând seama de caracteristicile geologice ale teritoriului. Deși aceste consecințe concrete ale schimbărilor climatice nu își pot manifesta toate efectele pe teritoriul comunei decât în 2030 sau 2040, caracterul lor ineluctabil, în absența unor măsuri eficiente aplicate rapid pentru a preveni cauzele acestora și pe baza perspectivei politicilor publice în materie, este de natură să justifice necesitatea de a acționa de îndată în acest scop. În continuare, comuna Grande-Synthe, ținând seama de nivelul său de expunere la riscurile ce decurg din schimbările climatice și de efectul lor direct și sigur asupra situației sale și a intereselor proprii cu care este însărcinată, justifică un interes care îi conferă calitatea de a cere anularea deciziilor implicite atacate, circumstanța invocată de ministră în sprijinul excepției sale de inadmisibilitate, că aceste efecte ale schimbărilor climatice pot afecta interesele unui număr semnificativ de comune, nefiind de natură a pune în discuție acest interes.</w:t>
      </w:r>
    </w:p>
    <w:p w:rsidR="003A6DF1" w:rsidRPr="005F1637" w:rsidRDefault="00AD0B47" w:rsidP="005F1637">
      <w:pPr>
        <w:pStyle w:val="JuQuot"/>
        <w:rPr>
          <w:b/>
          <w:bCs/>
        </w:rPr>
      </w:pPr>
      <w:r>
        <w:t>În schimb, domnul Carême, care se mărginește, pe de o parte, să susțină că domiciliul său actual se află într-o zonă posibil supusă unor inundații în 2040, și pe de altă parte, să se prevaleze de calitatea sa de cetățean, nu justifică un astfel de interes. ”</w:t>
      </w:r>
    </w:p>
    <w:p w:rsidR="003A6DF1" w:rsidRPr="005F1637" w:rsidRDefault="00586FD6" w:rsidP="005F1637">
      <w:pPr>
        <w:pStyle w:val="JuPara"/>
      </w:pPr>
      <w:r>
        <w:fldChar w:fldCharType="begin"/>
      </w:r>
      <w:r>
        <w:instrText xml:space="preserve"> SEQ level0 \*arabic \* MERGEFORMAT </w:instrText>
      </w:r>
      <w:r>
        <w:fldChar w:fldCharType="separate"/>
      </w:r>
      <w:bookmarkStart w:id="29" w:name="paragraph00029"/>
      <w:r w:rsidR="005F1637" w:rsidRPr="005F1637">
        <w:rPr>
          <w:noProof/>
        </w:rPr>
        <w:t>29</w:t>
      </w:r>
      <w:bookmarkEnd w:id="29"/>
      <w:r>
        <w:rPr>
          <w:noProof/>
        </w:rPr>
        <w:fldChar w:fldCharType="end"/>
      </w:r>
      <w:r w:rsidR="00AD0B47">
        <w:t>.  În acest sens, în concluziile sale privind speța, raportorul public a formulat asupra chestiunii lipsei interesului de a acționa al reclamantului următoarele comentarii:</w:t>
      </w:r>
    </w:p>
    <w:p w:rsidR="003A6DF1" w:rsidRPr="005F1637" w:rsidRDefault="00AD0B47" w:rsidP="005F1637">
      <w:pPr>
        <w:pStyle w:val="JuQuot"/>
      </w:pPr>
      <w:r>
        <w:t>„[Statutul său de primar] nu este suficient pentru a-i conferi interesul de a acționa și nici faptul că actuala sa locuință este situată într-o zonă care va fi probabil inundată anual în 2040: nu există niciun indiciu cu privire la locuința reclamantului în viitori ani, cu atât mai mult în sau peste 20 de ani, astfel încât interesul său pare afectat într-un mod prea nesigur la acest punct. Vă propunem să respingeți cererea, astfel cum a fost formulată de acesta, pentru lipsa interesului de a acționa. ”</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30</w:t>
      </w:r>
      <w:r w:rsidRPr="005F1637">
        <w:fldChar w:fldCharType="end"/>
      </w:r>
      <w:r>
        <w:t xml:space="preserve">.  În plus, Consiliul de Stat a admis intervențiile orașului Paris și ale orașului Grenoble și a remarcat, în special, că interesul acestora de a interveni se baza pe faptul că aceste aglomerări erau identificate de Observatorul național asupra efectelor încălzirii globale ca având un indice foarte puternic de expunere la riscurile climatice. Mai mult, Consiliul de Stat a admis intervențiile  organizațiilor neguvernamentale mai sus menționate (supra, pct. </w:t>
      </w:r>
      <w:r w:rsidR="00AD0B47" w:rsidRPr="005F1637">
        <w:fldChar w:fldCharType="begin"/>
      </w:r>
      <w:r w:rsidR="00AD0B47" w:rsidRPr="005F1637">
        <w:instrText xml:space="preserve"> REF paragraph00127 \h  \* CharFormat  \* MERGEFORMAT </w:instrText>
      </w:r>
      <w:r w:rsidR="00AD0B47" w:rsidRPr="005F1637">
        <w:fldChar w:fldCharType="separate"/>
      </w:r>
      <w:r w:rsidRPr="005F1637">
        <w:t>25</w:t>
      </w:r>
      <w:r w:rsidR="00AD0B47" w:rsidRPr="005F1637">
        <w:fldChar w:fldCharType="end"/>
      </w:r>
      <w:r>
        <w:t>) ținând seama de angajamentul lor în combaterea efectelor antropice nefaste ale schimbărilor climatice. Intervențiile terților au fost admise în limita admisibilității cererii comunei Grande-Synthe.</w:t>
      </w:r>
    </w:p>
    <w:p w:rsidR="003A6DF1" w:rsidRPr="005F1637" w:rsidRDefault="005F1637" w:rsidP="005F1637">
      <w:pPr>
        <w:pStyle w:val="JuPara"/>
      </w:pPr>
      <w:r w:rsidRPr="005F1637">
        <w:lastRenderedPageBreak/>
        <w:fldChar w:fldCharType="begin"/>
      </w:r>
      <w:r w:rsidR="00AD0B47">
        <w:instrText xml:space="preserve"> SEQ level0 \*arabic \* MERGEFORMAT </w:instrText>
      </w:r>
      <w:r w:rsidRPr="005F1637">
        <w:fldChar w:fldCharType="separate"/>
      </w:r>
      <w:r w:rsidRPr="005F1637">
        <w:t>31</w:t>
      </w:r>
      <w:r w:rsidRPr="005F1637">
        <w:fldChar w:fldCharType="end"/>
      </w:r>
      <w:r>
        <w:t>.  În plus, întemeindu-se pe Convenția-cadru a Organizației Națiunilor Unite asupra Schimbărilor Climatice („UNFCC”</w:t>
      </w:r>
      <w:r>
        <w:rPr>
          <w:rStyle w:val="FootnoteReference"/>
        </w:rPr>
        <w:t xml:space="preserve"> </w:t>
      </w:r>
      <w:r w:rsidR="00AD0B47">
        <w:rPr>
          <w:rStyle w:val="FootnoteReference"/>
        </w:rPr>
        <w:footnoteReference w:id="5"/>
      </w:r>
      <w:r>
        <w:t>), pe Acordul de la Paris și pe dreptul Uniunii Europene (Pachetul energie/climă 2020</w:t>
      </w:r>
      <w:r w:rsidR="00AD0B47">
        <w:rPr>
          <w:rStyle w:val="FootnoteReference"/>
        </w:rPr>
        <w:footnoteReference w:id="6"/>
      </w:r>
      <w:r>
        <w:t xml:space="preserve">), Consiliul de Stat a subliniat că statele aveau responsabilități, comune dar diferențiate, care le impuneau să ia măsurile necesare pentru a face față schimbărilor climatice prin reducerea emisiilor de GES. Mai mult, Consiliul de Stat a reținut că, deși UNFCC și Acordul de la Paris nu aveau un efect direct în privința persoanelor de drept privat și cereau intervenția unor acte complementare pentru a produce astfel de efecte, trebuia totuși să fie luate în considerare în interpretarea dreptului național, mai cu seamă cu privire la obiectivele de mediu stabilite de state. Potrivit Consiliului de Stat, prin faptul de a atribui Franței obiectivul de a-și reduce emisiile de GES cu 40 % până în 2030 comparativ cu nivelul din 1990, art. L. 100-4 din Codul energiei (infra, pct. </w:t>
      </w:r>
      <w:r w:rsidR="00AD0B47" w:rsidRPr="005F1637">
        <w:fldChar w:fldCharType="begin"/>
      </w:r>
      <w:r w:rsidR="00AD0B47" w:rsidRPr="005F1637">
        <w:instrText xml:space="preserve"> REF paragraph00040 \h </w:instrText>
      </w:r>
      <w:r w:rsidR="00AD0B47" w:rsidRPr="005F1637">
        <w:fldChar w:fldCharType="separate"/>
      </w:r>
      <w:r w:rsidRPr="005F1637">
        <w:t>40</w:t>
      </w:r>
      <w:r w:rsidR="00AD0B47" w:rsidRPr="005F1637">
        <w:fldChar w:fldCharType="end"/>
      </w:r>
      <w:r>
        <w:t xml:space="preserve">) făcea trimitere la UNFCC și la Acordul de la Paris. A adăugat că art. L. 222-1 A din Codul mediului (infra, pct. </w:t>
      </w:r>
      <w:r w:rsidR="00AD0B47" w:rsidRPr="005F1637">
        <w:fldChar w:fldCharType="begin"/>
      </w:r>
      <w:r w:rsidR="00AD0B47" w:rsidRPr="005F1637">
        <w:instrText xml:space="preserve"> REF paragraph00042 \h </w:instrText>
      </w:r>
      <w:r w:rsidR="00AD0B47" w:rsidRPr="005F1637">
        <w:fldChar w:fldCharType="separate"/>
      </w:r>
      <w:r w:rsidRPr="005F1637">
        <w:t>42</w:t>
      </w:r>
      <w:r w:rsidR="00AD0B47" w:rsidRPr="005F1637">
        <w:fldChar w:fldCharType="end"/>
      </w:r>
      <w:r>
        <w:t>) prevedea că plafonul național al emisiilor de GES era stabilit pentru perioada 2015-2018, iar ulterior pentru fiecare perioadă consecutivă de cinci ani. A precizat că, în cadrul definit astfel, un decret din 18 noiembrie 2015 a stabilit pentru bugetul de carbon al primei perioade valoarea limită de 442 milioane de tone echivalent CO</w:t>
      </w:r>
      <w:r>
        <w:rPr>
          <w:vertAlign w:val="subscript"/>
        </w:rPr>
        <w:t>2</w:t>
      </w:r>
      <w:r>
        <w:t xml:space="preserve"> pe an.</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32</w:t>
      </w:r>
      <w:r w:rsidRPr="005F1637">
        <w:fldChar w:fldCharType="end"/>
      </w:r>
      <w:r>
        <w:t>.  Totuși, pornind de la informațiile de la dosar, Consiliul de Stat a constatat că, pentru perioada 2015-2018, Franța depășise primul său buget de carbon cu 62 Mt echivalent CO</w:t>
      </w:r>
      <w:r>
        <w:rPr>
          <w:vertAlign w:val="subscript"/>
        </w:rPr>
        <w:t>2</w:t>
      </w:r>
      <w:r>
        <w:t xml:space="preserve"> pe an și astfel nu își redusese emisiile de GES decât cu 1% pe an, în loc de 2,2% pe an cum era prevăzut. Consiliul de Stat a reținut astfel că, în rapoartele anuale din 2019 și 2020, Înaltul Consiliu pentru climă constatase neajunsuri în politicile aplicate pentru a se atinge obiectivele stabilite în materie de reducerea a emisiilor de GES.</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33</w:t>
      </w:r>
      <w:r w:rsidRPr="005F1637">
        <w:fldChar w:fldCharType="end"/>
      </w:r>
      <w:r>
        <w:t>.  Consiliul de Stat a constatat de altfel că un decret din 21 aprilie 2020 a modificat sensibil cel de al doilea buget de carbon (perioada 2019-2023), inițial stabilit prin decretul din 18 noiembrie 2015, mărind de la 399 Mt echivalent CO</w:t>
      </w:r>
      <w:r>
        <w:rPr>
          <w:vertAlign w:val="subscript"/>
        </w:rPr>
        <w:t>2</w:t>
      </w:r>
      <w:r>
        <w:t xml:space="preserve"> pe an la 422 Mt echivalent CO</w:t>
      </w:r>
      <w:r>
        <w:rPr>
          <w:vertAlign w:val="subscript"/>
        </w:rPr>
        <w:t>2</w:t>
      </w:r>
      <w:r>
        <w:t xml:space="preserve"> pe an plafonul emisiilor de GES. A subliniat că, cu privire la cel de al treilea buget de carbon (perioada 2024</w:t>
      </w:r>
      <w:r>
        <w:noBreakHyphen/>
        <w:t>2028), un decret din 21 aprilie 2020 a modificat ușor plafonul inițial stabilit prin decretul din 18 noiembrie 2015, mărindu-l de la 358 Mt echivalent CO</w:t>
      </w:r>
      <w:r>
        <w:rPr>
          <w:vertAlign w:val="subscript"/>
        </w:rPr>
        <w:t>2</w:t>
      </w:r>
      <w:r>
        <w:t xml:space="preserve"> pe an la 359 Mt echivalent CO</w:t>
      </w:r>
      <w:r>
        <w:rPr>
          <w:vertAlign w:val="subscript"/>
        </w:rPr>
        <w:t>2</w:t>
      </w:r>
      <w:r>
        <w:t xml:space="preserve"> pe an. În sfârșit, a precizat că decretul din 21 aprilie 2020 a stabilit cel de al patrulea buget de carbon (perioada 2029-2030) la 300 Mt echivalent CO</w:t>
      </w:r>
      <w:r>
        <w:rPr>
          <w:vertAlign w:val="subscript"/>
        </w:rPr>
        <w:t>2</w:t>
      </w:r>
      <w:r>
        <w:t xml:space="preserve"> pe an. Potrivit Consiliului de Stat, al patrulea buget de carbon era de natură să permită Franței să-și atingă obiectivul final de reducere a emisiilor de GES cu 40% în 2030 comparativ cu nivelul din 1990, după cum prevedea art. L. 100-4 din </w:t>
      </w:r>
      <w:r>
        <w:lastRenderedPageBreak/>
        <w:t>Codul energiei, și cu 37% comparativ cu nivelul din 2005, după cum prevedea Regulamentul (UE) 2018/842</w:t>
      </w:r>
      <w:r w:rsidR="00AD0B47">
        <w:rPr>
          <w:rStyle w:val="FootnoteReference"/>
        </w:rPr>
        <w:footnoteReference w:id="7"/>
      </w:r>
      <w:r>
        <w:t>. Consiliul de Stat a adăugat, cu toate acestea, că în total, modificările aduse de decretul din 21 aprilie 2020 au dus la amânarea esenței efortului după 2020, conform unei traiectorii care nu fusese niciodată atinsă anterior. A precizat că, în același timp, cele mai recente date științifice, mai cu seamă rapoartele publicate de IPCC, evidențiau o agravare a riscurilor climatice cu o creștere constantă a temperaturii, astfel încât Comisia Europeană avea în vedere să propună mărirea obiectivului Uniunii Europene de reducere a emisiilor de GES pentru 2030 prin stabilirea la -55% în raport cu nivelul de emisii din 1990.</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34</w:t>
      </w:r>
      <w:r w:rsidRPr="005F1637">
        <w:fldChar w:fldCharType="end"/>
      </w:r>
      <w:r>
        <w:t>.  Pe baza acestor considerații, Consiliul de Stat a concluzionat că este necesară o examinare mai aprofundată a concluziilor cererii comunei Grande</w:t>
      </w:r>
      <w:r w:rsidR="00B736B4">
        <w:noBreakHyphen/>
      </w:r>
      <w:r>
        <w:t>Synthe referitoare la refuzul implicit de a lua toate măsurile utile pentru a reducerea emisiilor de GES produse pe teritoriul național. De asemenea, a hotărât, fiind vorba de inițiative de reglementare care să facă din chestiunea schimbărilor climatice o prioritate obligatorie, că respectiva acțiune era lipsită de precizări suficiente care să permită aprecierea temeiniciei acesteia. În sfârșit, a considerat că, fiind vorba de necesitatea de a se adopta măsuri de adaptare la schimbările climatice, motivul invocat nu era eficace.</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35</w:t>
      </w:r>
      <w:r w:rsidRPr="005F1637">
        <w:fldChar w:fldCharType="end"/>
      </w:r>
      <w:r>
        <w:t>.  La 1 iulie 2021, la finalizarea unei examinări mai aprofundate cu privire la măsurile luate de autorități pentru reducerea emisiilor de GES, Consiliul de Stat a anulat</w:t>
      </w:r>
      <w:r>
        <w:rPr>
          <w:b/>
        </w:rPr>
        <w:t xml:space="preserve"> </w:t>
      </w:r>
      <w:r>
        <w:t>refuzul implicit opus de autorități cererii comunei Grande-Synthe în materie. A declarat, în special, că reducerea emisiilor de GES fusese slabă în 2019 și insuficientă în 2020, luând în considerare faptul că criza sanitară a dus la o scădere a activității economice din anul respectiv. De asemenea, a apreciat că respectarea traiectoriei stabilite pentru atingerea obiectivelor de reducere a emisiilor, constând în realizarea până în 2030 a unei scăderi cu 40%</w:t>
      </w:r>
      <w:r>
        <w:rPr>
          <w:b/>
        </w:rPr>
        <w:t xml:space="preserve"> </w:t>
      </w:r>
      <w:r>
        <w:t>prin comparație cu nivelul din 1990,</w:t>
      </w:r>
      <w:r>
        <w:rPr>
          <w:b/>
        </w:rPr>
        <w:t xml:space="preserve"> </w:t>
      </w:r>
      <w:r>
        <w:t>cum prevedea art. L. 100</w:t>
      </w:r>
      <w:r>
        <w:noBreakHyphen/>
        <w:t>4 din Codul energiei, și a unei scăderi cu 37% prin comparație cu nivelul din 2005, cum prevedea</w:t>
      </w:r>
      <w:r>
        <w:rPr>
          <w:b/>
        </w:rPr>
        <w:t xml:space="preserve"> </w:t>
      </w:r>
      <w:r>
        <w:t>Regulamentul (UE) 2018/842 – care dispunea o reducere a emisiilor cu 12% în perioada 2024</w:t>
      </w:r>
      <w:r>
        <w:noBreakHyphen/>
        <w:t>2028, prin aplicarea decretului din 21 aprilie 2020 –, nu părea posibilă dacă nu se adoptau rapid noi măsuri.</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36</w:t>
      </w:r>
      <w:r w:rsidRPr="005F1637">
        <w:fldChar w:fldCharType="end"/>
      </w:r>
      <w:r>
        <w:t>.  În lumina acestor motive, Consiliului de Stat a impus autorităților să ia măsuri suplimentare înainte de 31 martie 2022 pentru atingerea obiectivelor de reducere a emisiilor de GES stabilite la art. L. 100-4 din Codul energiei și în Anexa I la Regulamentul (UE) 2018/842.</w:t>
      </w:r>
    </w:p>
    <w:p w:rsidR="003A6DF1" w:rsidRPr="005F1637" w:rsidRDefault="00AD0B47" w:rsidP="005F1637">
      <w:pPr>
        <w:pStyle w:val="JuHA"/>
      </w:pPr>
      <w:bookmarkStart w:id="30" w:name="_Toc158038981"/>
      <w:bookmarkStart w:id="31" w:name="_Toc171171598"/>
      <w:r>
        <w:lastRenderedPageBreak/>
        <w:t>Procedura ulterioară în fața Consiliului de Stat</w:t>
      </w:r>
      <w:bookmarkEnd w:id="30"/>
      <w:bookmarkEnd w:id="31"/>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37</w:t>
      </w:r>
      <w:r w:rsidRPr="005F1637">
        <w:fldChar w:fldCharType="end"/>
      </w:r>
      <w:r>
        <w:t>.  La 1 aprilie 2022, comuna Grande-Synthe a sesizat Consiliul de Stat cu o acțiune în care cerea pronunțarea unei penalități cu titlu cominatoriu împotriva statului pentru neexecutarea Deciziei Consiliului de Stat din 1</w:t>
      </w:r>
      <w:r>
        <w:rPr>
          <w:vertAlign w:val="superscript"/>
        </w:rPr>
        <w:t> </w:t>
      </w:r>
      <w:r>
        <w:t>iulie 2021.</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38</w:t>
      </w:r>
      <w:r w:rsidRPr="005F1637">
        <w:fldChar w:fldCharType="end"/>
      </w:r>
      <w:r>
        <w:t>.  La 10 mai 2023, Consiliul de Stat a hotărât că, deși Guvernul a adoptat măsuri suplimentare pentru a face față schimbărilor climatice, demonstrându</w:t>
      </w:r>
      <w:r w:rsidR="00B736B4">
        <w:noBreakHyphen/>
      </w:r>
      <w:r>
        <w:t>și astfel hotărârea de a executa decizia din 1 iulie 2021, probele disponibile nu garantau în mod suficient de credibil că traiectoria de reducere a emisiilor de GES urma a fi atinsă. Prin urmare, Consiliul de Stat a impus guvernului să ia măsuri suplimentare înainte de 30 iunie 2024 și să prezinte, cu termen la 31 decembrie 2023, un raport de progres care să detalieze aceste măsuri și caracterul lor efectiv.</w:t>
      </w:r>
    </w:p>
    <w:p w:rsidR="003A6DF1" w:rsidRPr="005F1637" w:rsidRDefault="00AD0B47" w:rsidP="005F1637">
      <w:pPr>
        <w:pStyle w:val="JuHHead"/>
      </w:pPr>
      <w:bookmarkStart w:id="32" w:name="_Toc158038982"/>
      <w:bookmarkStart w:id="33" w:name="_Toc171171599"/>
      <w:r>
        <w:t>CADRUL JURIDIC ȘI PRACTICA RELEVANTE</w:t>
      </w:r>
      <w:bookmarkEnd w:id="32"/>
      <w:bookmarkEnd w:id="33"/>
    </w:p>
    <w:p w:rsidR="003A6DF1" w:rsidRPr="005F1637" w:rsidRDefault="00AD0B47" w:rsidP="005F1637">
      <w:pPr>
        <w:pStyle w:val="JuHIRoman"/>
      </w:pPr>
      <w:bookmarkStart w:id="34" w:name="_Toc158038983"/>
      <w:bookmarkStart w:id="35" w:name="_Toc171171600"/>
      <w:r>
        <w:t>CADRUL JURIDIC INTERN</w:t>
      </w:r>
      <w:bookmarkEnd w:id="34"/>
      <w:bookmarkEnd w:id="35"/>
    </w:p>
    <w:p w:rsidR="003A6DF1" w:rsidRPr="005F1637" w:rsidRDefault="00AD0B47" w:rsidP="005F1637">
      <w:pPr>
        <w:pStyle w:val="JuHA"/>
      </w:pPr>
      <w:bookmarkStart w:id="36" w:name="_Toc158038984"/>
      <w:bookmarkStart w:id="37" w:name="_Toc171171601"/>
      <w:r>
        <w:t>Carta mediului</w:t>
      </w:r>
      <w:bookmarkEnd w:id="36"/>
      <w:bookmarkEnd w:id="37"/>
    </w:p>
    <w:p w:rsidR="003A6DF1" w:rsidRPr="005F1637" w:rsidRDefault="00586FD6" w:rsidP="005F1637">
      <w:pPr>
        <w:pStyle w:val="JuPara"/>
      </w:pPr>
      <w:r>
        <w:fldChar w:fldCharType="begin"/>
      </w:r>
      <w:r>
        <w:instrText xml:space="preserve"> SEQ level0 \*a</w:instrText>
      </w:r>
      <w:r>
        <w:instrText xml:space="preserve">rabic \* MERGEFORMAT </w:instrText>
      </w:r>
      <w:r>
        <w:fldChar w:fldCharType="separate"/>
      </w:r>
      <w:r w:rsidR="005F1637" w:rsidRPr="005F1637">
        <w:t>39</w:t>
      </w:r>
      <w:r>
        <w:fldChar w:fldCharType="end"/>
      </w:r>
      <w:r w:rsidR="00AD0B47">
        <w:t>.  Carta mediului din 2004 prevede următoarele:</w:t>
      </w:r>
    </w:p>
    <w:p w:rsidR="003A6DF1" w:rsidRPr="005F1637" w:rsidRDefault="00AD0B47" w:rsidP="005F1637">
      <w:pPr>
        <w:pStyle w:val="JuQuot"/>
      </w:pPr>
      <w:r>
        <w:t>„Articolul 1: Fiecare persoană are dreptul să trăiască într-un mediu echilibrat și care să nu afecteze sănătatea.</w:t>
      </w:r>
    </w:p>
    <w:p w:rsidR="003A6DF1" w:rsidRPr="005F1637" w:rsidRDefault="00AD0B47" w:rsidP="005F1637">
      <w:pPr>
        <w:pStyle w:val="JuQuot"/>
      </w:pPr>
      <w:r>
        <w:t>Articolul 2: Fiecare persoană are datoria să participe la păstrarea și îmbunătățirea mediului.</w:t>
      </w:r>
    </w:p>
    <w:p w:rsidR="003A6DF1" w:rsidRPr="005F1637" w:rsidRDefault="00AD0B47" w:rsidP="005F1637">
      <w:pPr>
        <w:pStyle w:val="JuQuot"/>
      </w:pPr>
      <w:r>
        <w:t>Articolul 3: Fiecare persoană trebuie, în condițiile definite de lege, să prevină atingerile susceptibile de a fi aduse mediului sau, în caz contrar, să limiteze urmările.</w:t>
      </w:r>
    </w:p>
    <w:p w:rsidR="003A6DF1" w:rsidRPr="005F1637" w:rsidRDefault="00AD0B47" w:rsidP="005F1637">
      <w:pPr>
        <w:pStyle w:val="JuQuot"/>
      </w:pPr>
      <w:r>
        <w:t>Articolul 4: Fiecare persoană trebuie să contribuie la repararea prejudiciului pe care îl produce mediului, în condițiile definite de lege.</w:t>
      </w:r>
    </w:p>
    <w:p w:rsidR="003A6DF1" w:rsidRPr="005F1637" w:rsidRDefault="00AD0B47" w:rsidP="005F1637">
      <w:pPr>
        <w:pStyle w:val="JuQuot"/>
      </w:pPr>
      <w:r>
        <w:t>Articolul 5: Atunci când producerea unui prejudiciu, deși incertă în lumina cunoștințelor științifice, ar putea afecta mediul în mod grav și iremediabil, autoritățile publice veghează, aplicând principiul precauției și în domeniile lor de atribuții, la executarea procedurilor de evaluare a riscului și la adoptarea de măsuri provizorii și proporționale pentru a preveni producerea prejudiciului.</w:t>
      </w:r>
    </w:p>
    <w:p w:rsidR="003A6DF1" w:rsidRPr="005F1637" w:rsidRDefault="00AD0B47" w:rsidP="005F1637">
      <w:pPr>
        <w:pStyle w:val="JuQuot"/>
      </w:pPr>
      <w:r>
        <w:t>Articolul 6: Politicile publice trebuie să promoveze dezvoltarea durabilă. Astfel, acestea conciliază protejarea și punerea în valoare a mediului, dezvoltarea economică și progresul social.</w:t>
      </w:r>
    </w:p>
    <w:p w:rsidR="003A6DF1" w:rsidRPr="005F1637" w:rsidRDefault="00AD0B47" w:rsidP="005F1637">
      <w:pPr>
        <w:pStyle w:val="JuQuot"/>
      </w:pPr>
      <w:r>
        <w:t>Articolul 7: Fiecare persoană are dreptul, în condițiile și limitele definite de lege, de acces la informațiile privind mediul deținute de autoritățile publice și de participare la elaborarea deciziilor publice cu incidență asupra mediului.</w:t>
      </w:r>
    </w:p>
    <w:p w:rsidR="003A6DF1" w:rsidRPr="005F1637" w:rsidRDefault="00AD0B47" w:rsidP="005F1637">
      <w:pPr>
        <w:pStyle w:val="JuQuot"/>
      </w:pPr>
      <w:r>
        <w:t>Articolul 8: Educarea și formarea cu privire la mediu trebuie să contribuie la exercitarea drepturilor și a îndatoririlor definite în prezenta Cartă.</w:t>
      </w:r>
    </w:p>
    <w:p w:rsidR="003A6DF1" w:rsidRPr="005F1637" w:rsidRDefault="00AD0B47" w:rsidP="005F1637">
      <w:pPr>
        <w:pStyle w:val="JuQuot"/>
      </w:pPr>
      <w:r>
        <w:lastRenderedPageBreak/>
        <w:t>Articolul 9: Cercetarea și inovarea trebuie să-și dea concursul la protecția și punerea în valoare a mediului.</w:t>
      </w:r>
    </w:p>
    <w:p w:rsidR="003A6DF1" w:rsidRPr="005F1637" w:rsidRDefault="00AD0B47" w:rsidP="005F1637">
      <w:pPr>
        <w:pStyle w:val="JuQuot"/>
      </w:pPr>
      <w:r>
        <w:t>Articolul 10: Prezenta Cartă inspiră acțiunea europeană și internațională a Franței. ”</w:t>
      </w:r>
    </w:p>
    <w:p w:rsidR="003A6DF1" w:rsidRPr="005F1637" w:rsidRDefault="00AD0B47" w:rsidP="005F1637">
      <w:pPr>
        <w:pStyle w:val="JuHA"/>
      </w:pPr>
      <w:bookmarkStart w:id="38" w:name="_Toc158038985"/>
      <w:bookmarkStart w:id="39" w:name="_Toc171171602"/>
      <w:r>
        <w:t>Codul energiei</w:t>
      </w:r>
      <w:bookmarkEnd w:id="38"/>
      <w:bookmarkEnd w:id="39"/>
    </w:p>
    <w:bookmarkStart w:id="40" w:name="paragraph00040"/>
    <w:p w:rsidR="003A6DF1" w:rsidRPr="005F1637" w:rsidRDefault="00AD0B47" w:rsidP="005F1637">
      <w:pPr>
        <w:pStyle w:val="JuPara"/>
      </w:pPr>
      <w:r w:rsidRPr="005F1637">
        <w:fldChar w:fldCharType="begin"/>
      </w:r>
      <w:r w:rsidRPr="005F1637">
        <w:instrText xml:space="preserve"> SEQ level0 \*arabic </w:instrText>
      </w:r>
      <w:r w:rsidRPr="005F1637">
        <w:fldChar w:fldCharType="separate"/>
      </w:r>
      <w:r w:rsidR="005F1637" w:rsidRPr="005F1637">
        <w:t>40</w:t>
      </w:r>
      <w:r w:rsidRPr="005F1637">
        <w:fldChar w:fldCharType="end"/>
      </w:r>
      <w:bookmarkEnd w:id="40"/>
      <w:r w:rsidR="00B736B4">
        <w:t xml:space="preserve">.  Art. L. 100-4 din </w:t>
      </w:r>
      <w:r>
        <w:t>Codul energiei, astfel cum a fost modificat prin Legea nr.  2019-1147 din 8 noiembrie 2019, reamintește obiectivul de reducere a emisiilor de gaze cu efect de seră, stabilit pentru Franța la 40% între 1990 și 2030, în conformitate cu Anexa I la Regulamentul (UE) nr. 2018/842 al Parlamentului European și al Consiliului, și dispune că „pentru a răspunde urgenței ecologice și climatice, politica națională în domeniul energiei” are drept obiectiv „1. [să] reducă emisiile de gaze cu efect de seră cu 40% între 1990 și 2030 și să atingă neutralitatea emisiilor de dioxid de carbon  până în 2050 [...] ”. Adaugă că „traiectoria este specificată în bugetele de carbon menționate în art. L. 222-1 A din Codul mediului”.</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41</w:t>
      </w:r>
      <w:r w:rsidRPr="005F1637">
        <w:fldChar w:fldCharType="end"/>
      </w:r>
      <w:r>
        <w:t>.  Acest articol mai prevede că „[...] neutralitatea emisiilor de dioxid de carbon este înțeleasă ca un echilibru, pe teritoriul național, între emisiile antropice ale surselor și absorbțiile antropice ale puțurilor de gaze cu efect de seră, așa cum se menționează la art. 4 din Acordul de la Paris ratificat la 5 octombrie 2016” și că „evidența acestor emisii și absorbții se realizează în aceleași modalități ca acelea aplicabile stocurilor naționale de gaze cu efect de seră notificate Comisiei Europene și în cadrul Convenției-cadru a Organizației Națiunilor Unite asupra schimbărilor climatice, fără a ține seama de creditele internaționale de compensare a carbonului [...] ”.</w:t>
      </w:r>
    </w:p>
    <w:p w:rsidR="003A6DF1" w:rsidRPr="005F1637" w:rsidRDefault="00AD0B47" w:rsidP="005F1637">
      <w:pPr>
        <w:pStyle w:val="JuHA"/>
      </w:pPr>
      <w:bookmarkStart w:id="41" w:name="_Toc158038986"/>
      <w:bookmarkStart w:id="42" w:name="_Toc171171603"/>
      <w:r>
        <w:t>Codul mediului</w:t>
      </w:r>
      <w:bookmarkEnd w:id="41"/>
      <w:bookmarkEnd w:id="42"/>
    </w:p>
    <w:bookmarkStart w:id="43" w:name="paragraph00042"/>
    <w:p w:rsidR="003A6DF1" w:rsidRPr="005F1637" w:rsidRDefault="00AD0B47" w:rsidP="005F1637">
      <w:pPr>
        <w:pStyle w:val="JuPara"/>
      </w:pPr>
      <w:r w:rsidRPr="005F1637">
        <w:fldChar w:fldCharType="begin"/>
      </w:r>
      <w:r w:rsidRPr="005F1637">
        <w:instrText xml:space="preserve"> SEQ level0 \*arabic \* MERGEFORMAT </w:instrText>
      </w:r>
      <w:r w:rsidRPr="005F1637">
        <w:fldChar w:fldCharType="separate"/>
      </w:r>
      <w:r w:rsidR="005F1637" w:rsidRPr="005F1637">
        <w:t>42</w:t>
      </w:r>
      <w:r w:rsidRPr="005F1637">
        <w:fldChar w:fldCharType="end"/>
      </w:r>
      <w:bookmarkEnd w:id="43"/>
      <w:r>
        <w:t>.  Art. L. 222-1 A din Codul mediului prevede că „pentru perioada 2015-2018, ulterior pentru fiecare perioadă consecutivă de cinci ani, un plafon național al emisiilor de gaze cu efect de seră denumit «buget de carbon» se stabilește prin decret”.</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43</w:t>
      </w:r>
      <w:r w:rsidRPr="005F1637">
        <w:fldChar w:fldCharType="end"/>
      </w:r>
      <w:r>
        <w:t>.  </w:t>
      </w:r>
      <w:r>
        <w:rPr>
          <w:rFonts w:ascii="Times New Roman" w:hAnsi="Times New Roman"/>
        </w:rPr>
        <w:t>Art. L. 222-1 B din același cod adaugă că „decretul prin care se stabilește strategia de reducere a carbonului repartizează bugetul de carbon al fiecărei perioade menționate la art. L. 222-1 A pe sectoare mari [...]. De asemenea, repartizează bugetele de carbon în tranșe orientative de emisii anuale”.</w:t>
      </w:r>
    </w:p>
    <w:p w:rsidR="003A6DF1" w:rsidRPr="005F1637" w:rsidRDefault="00AD0B47" w:rsidP="005F1637">
      <w:pPr>
        <w:pStyle w:val="JuHA"/>
      </w:pPr>
      <w:bookmarkStart w:id="44" w:name="_Toc158038987"/>
      <w:bookmarkStart w:id="45" w:name="_Toc171171604"/>
      <w:r>
        <w:t>Cele două decrete care definesc strategia națională de reducere a carbonului</w:t>
      </w:r>
      <w:bookmarkEnd w:id="44"/>
      <w:bookmarkEnd w:id="45"/>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44</w:t>
      </w:r>
      <w:r w:rsidRPr="005F1637">
        <w:fldChar w:fldCharType="end"/>
      </w:r>
      <w:r>
        <w:t>.  Primul decret din 18 noiembrie 2015 stabilește „bugetele de carbon pentru perioadele 2015-2018, 2019-2023 și 2024-2028 [...] respectiv de 442, 399 și 358 Mt [echivalent CO</w:t>
      </w:r>
      <w:r>
        <w:rPr>
          <w:vertAlign w:val="subscript"/>
        </w:rPr>
        <w:t>2</w:t>
      </w:r>
      <w:r>
        <w:t xml:space="preserve">] pe an [...]” (art. 2 din Decretul nr. 2015-1491 </w:t>
      </w:r>
      <w:r>
        <w:lastRenderedPageBreak/>
        <w:t>din 18 noiembrie 2015 privind bugetele de carbon naționale și strategia națională de reducere a carbonului).</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45</w:t>
      </w:r>
      <w:r w:rsidRPr="005F1637">
        <w:fldChar w:fldCharType="end"/>
      </w:r>
      <w:r>
        <w:t>.  </w:t>
      </w:r>
      <w:r>
        <w:rPr>
          <w:rFonts w:ascii="Times New Roman" w:hAnsi="Times New Roman"/>
        </w:rPr>
        <w:t xml:space="preserve">Obiectivele inițial stabilite pentru perioada 2015-2018 fiind depășite cu 62 Mt </w:t>
      </w:r>
      <w:r>
        <w:t>echivalent CO</w:t>
      </w:r>
      <w:r>
        <w:rPr>
          <w:vertAlign w:val="subscript"/>
        </w:rPr>
        <w:t>2</w:t>
      </w:r>
      <w:r>
        <w:rPr>
          <w:rFonts w:ascii="Times New Roman" w:hAnsi="Times New Roman"/>
        </w:rPr>
        <w:t xml:space="preserve"> pe an, un al doilea decret, cu data de 21 aprilie 2020 (Decretul nr. 2020-457 </w:t>
      </w:r>
      <w:r>
        <w:t>privind bugetele de carbon naționale și strategia națională de reducere a carbonului)</w:t>
      </w:r>
      <w:r>
        <w:rPr>
          <w:rFonts w:ascii="Times New Roman" w:hAnsi="Times New Roman"/>
        </w:rPr>
        <w:t>, prevede o restabilire a acestor plafoane.</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46</w:t>
      </w:r>
      <w:r w:rsidRPr="005F1637">
        <w:fldChar w:fldCharType="end"/>
      </w:r>
      <w:r>
        <w:t>.  </w:t>
      </w:r>
      <w:r>
        <w:rPr>
          <w:rFonts w:ascii="Times New Roman" w:hAnsi="Times New Roman"/>
        </w:rPr>
        <w:t xml:space="preserve">Pentru perioada 2019-2023 (cel de al doilea buget de carbon), noul plafon se stabilește la 422 în loc de 399 Mt echivalent </w:t>
      </w:r>
      <w:r>
        <w:t>CO</w:t>
      </w:r>
      <w:r>
        <w:rPr>
          <w:vertAlign w:val="subscript"/>
        </w:rPr>
        <w:t>2</w:t>
      </w:r>
      <w:r>
        <w:rPr>
          <w:rFonts w:ascii="Times New Roman" w:hAnsi="Times New Roman"/>
        </w:rPr>
        <w:t xml:space="preserve"> pe an, adică o creștere de 23 Mt echivalent </w:t>
      </w:r>
      <w:r>
        <w:t>CO</w:t>
      </w:r>
      <w:r>
        <w:rPr>
          <w:vertAlign w:val="subscript"/>
        </w:rPr>
        <w:t>2</w:t>
      </w:r>
      <w:r>
        <w:rPr>
          <w:rFonts w:ascii="Times New Roman" w:hAnsi="Times New Roman"/>
        </w:rPr>
        <w:t xml:space="preserve"> și, pentru perioada 2024-2028 (cel de al treilea buget de carbon), la 359 în loc de 358. </w:t>
      </w:r>
      <w:r>
        <w:t xml:space="preserve">În sfârșit, pentru perioada </w:t>
      </w:r>
      <w:r>
        <w:rPr>
          <w:rFonts w:ascii="Times New Roman" w:hAnsi="Times New Roman"/>
        </w:rPr>
        <w:t xml:space="preserve">2029-2033  (cel de al patrulea buget de carbon), se prevede un plafon de 300 Mt </w:t>
      </w:r>
      <w:r>
        <w:t>echivalent CO</w:t>
      </w:r>
      <w:r>
        <w:rPr>
          <w:vertAlign w:val="subscript"/>
        </w:rPr>
        <w:t>2</w:t>
      </w:r>
      <w:r>
        <w:rPr>
          <w:rFonts w:ascii="Times New Roman" w:hAnsi="Times New Roman"/>
        </w:rPr>
        <w:t xml:space="preserve"> pe an.</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47</w:t>
      </w:r>
      <w:r w:rsidRPr="005F1637">
        <w:fldChar w:fldCharType="end"/>
      </w:r>
      <w:r>
        <w:t>.  Ridicarea acestor plafoane are ca efect creșterea efortului de la o reducere medie anuală de aproximativ patruzeci</w:t>
      </w:r>
      <w:r>
        <w:rPr>
          <w:rFonts w:ascii="Times New Roman" w:hAnsi="Times New Roman"/>
        </w:rPr>
        <w:t xml:space="preserve"> Mt echivalent </w:t>
      </w:r>
      <w:r>
        <w:t>CO</w:t>
      </w:r>
      <w:r>
        <w:rPr>
          <w:vertAlign w:val="subscript"/>
        </w:rPr>
        <w:t>2</w:t>
      </w:r>
      <w:r>
        <w:rPr>
          <w:rFonts w:ascii="Times New Roman" w:hAnsi="Times New Roman"/>
        </w:rPr>
        <w:t xml:space="preserve"> la o reducere medie anuală de aproximativ șaizeci de Mt </w:t>
      </w:r>
      <w:r>
        <w:t>echivalent CO</w:t>
      </w:r>
      <w:r>
        <w:rPr>
          <w:vertAlign w:val="subscript"/>
        </w:rPr>
        <w:t>2</w:t>
      </w:r>
      <w:r>
        <w:rPr>
          <w:rFonts w:ascii="Times New Roman" w:hAnsi="Times New Roman"/>
        </w:rPr>
        <w:t>.</w:t>
      </w:r>
    </w:p>
    <w:p w:rsidR="003A6DF1" w:rsidRPr="005F1637" w:rsidRDefault="00AD0B47" w:rsidP="005F1637">
      <w:pPr>
        <w:pStyle w:val="JuHA"/>
      </w:pPr>
      <w:bookmarkStart w:id="46" w:name="_Toc158038988"/>
      <w:bookmarkStart w:id="47" w:name="_Toc171171605"/>
      <w:r>
        <w:t>Legea nr. 2021-1104 din 22 august 2021 privind combaterea schimbărilor climatice și consolidarea rezilienței la efectele acestora</w:t>
      </w:r>
      <w:bookmarkEnd w:id="46"/>
      <w:bookmarkEnd w:id="47"/>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48</w:t>
      </w:r>
      <w:r w:rsidRPr="005F1637">
        <w:fldChar w:fldCharType="end"/>
      </w:r>
      <w:r>
        <w:t>.  Legea nr. 2021-1104 enumeră, pe sectoare de activitate și, mai cu seamă, pentru cele care produc cele mai multe emisii de GES, obligațiile impuse unor actori diferiți de art. L. 100-4 din Codul energiei pentru a atinge obiectivul de reducere a emisiilor, inițial stabilit la 40% până în 2030 comparativ cu nivelul din 1990. Această lege este structurată în jurul celor cinci teme pe care Convenția cetățenilor pentru climă le-a dezbătut și pentru care a prezentat propuneri.</w:t>
      </w:r>
    </w:p>
    <w:p w:rsidR="003A6DF1" w:rsidRPr="005F1637" w:rsidRDefault="00586FD6" w:rsidP="005F1637">
      <w:pPr>
        <w:pStyle w:val="JuPara"/>
      </w:pPr>
      <w:r>
        <w:fldChar w:fldCharType="begin"/>
      </w:r>
      <w:r>
        <w:instrText xml:space="preserve"> SEQ level0 \*arabic \* MERGEFORMAT </w:instrText>
      </w:r>
      <w:r>
        <w:fldChar w:fldCharType="separate"/>
      </w:r>
      <w:r w:rsidR="005F1637" w:rsidRPr="005F1637">
        <w:t>49</w:t>
      </w:r>
      <w:r>
        <w:fldChar w:fldCharType="end"/>
      </w:r>
      <w:r w:rsidR="00AD0B47">
        <w:t>.  La art. 1, această lege reamintește angajamentul Franței de a respecta noile obiective ce vor rezulta din revizuirea regulamentului european din 30 mai 2018 „privind repartizarea efortului” și care stabilește, pentru fiecare stat membru, obiective de reducere a emisiilor de GES în concordanță cu noul obiectiv european de reducere a emisiilor de GES cu cel puțin 55% până în 2030.</w:t>
      </w:r>
    </w:p>
    <w:p w:rsidR="003A6DF1" w:rsidRPr="005F1637" w:rsidRDefault="00AD0B47" w:rsidP="005F1637">
      <w:pPr>
        <w:pStyle w:val="JuHA"/>
      </w:pPr>
      <w:bookmarkStart w:id="48" w:name="_Toc158038989"/>
      <w:bookmarkStart w:id="49" w:name="_Toc171171606"/>
      <w:r>
        <w:t>Codul general al colectivităților teritoriale</w:t>
      </w:r>
      <w:bookmarkEnd w:id="48"/>
      <w:bookmarkEnd w:id="49"/>
    </w:p>
    <w:bookmarkStart w:id="50" w:name="paragraph00050"/>
    <w:p w:rsidR="003A6DF1" w:rsidRPr="005F1637" w:rsidRDefault="00AD0B47" w:rsidP="005F1637">
      <w:pPr>
        <w:pStyle w:val="JuPara"/>
      </w:pPr>
      <w:r w:rsidRPr="005F1637">
        <w:fldChar w:fldCharType="begin"/>
      </w:r>
      <w:r w:rsidRPr="005F1637">
        <w:instrText xml:space="preserve"> SEQ level0 \*arabic \* MERGEFORMAT </w:instrText>
      </w:r>
      <w:r w:rsidRPr="005F1637">
        <w:fldChar w:fldCharType="separate"/>
      </w:r>
      <w:r w:rsidR="005F1637" w:rsidRPr="005F1637">
        <w:t>50</w:t>
      </w:r>
      <w:r w:rsidRPr="005F1637">
        <w:fldChar w:fldCharType="end"/>
      </w:r>
      <w:bookmarkEnd w:id="50"/>
      <w:r>
        <w:t>.  Art. L. 2212-2 din Codul general al colectivităților teritoriale, coroborat cu art. L. 2122-24 din același cod, definește puterile de poliție pe care le exercită primarul în numele comunei. Articolul nu privește nici problema interesului de a acționa, nici pe cea a calității procesuale în fața instanțelor, reglementată de alin. 16 de la art. L. 2122</w:t>
      </w:r>
      <w:r>
        <w:noBreakHyphen/>
        <w:t>22  din același cod, unde se prevede că primarul poate fi însărcinat să intenteze acțiuni în justiție în numele comunei sau să apere comuna în acțiuni introduse împotriva acesteia.</w:t>
      </w:r>
    </w:p>
    <w:p w:rsidR="003A6DF1" w:rsidRPr="005F1637" w:rsidRDefault="00AD0B47" w:rsidP="005F1637">
      <w:pPr>
        <w:pStyle w:val="JuHA"/>
      </w:pPr>
      <w:bookmarkStart w:id="51" w:name="_Toc158038990"/>
      <w:bookmarkStart w:id="52" w:name="_Toc171171607"/>
      <w:r>
        <w:lastRenderedPageBreak/>
        <w:t>Jurisprudența privind interesul de a acționa</w:t>
      </w:r>
      <w:bookmarkEnd w:id="51"/>
      <w:bookmarkEnd w:id="52"/>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51</w:t>
      </w:r>
      <w:r w:rsidRPr="005F1637">
        <w:fldChar w:fldCharType="end"/>
      </w:r>
      <w:r>
        <w:t xml:space="preserve">.  Interesul de a acționa al reclamantului este una dintre condițiile admisibilității unei acțiuni pentru exces de putere. Reiese din jurisprudență că instanța administrativă adoptă o viziune liberală asupra interesului de a acționa, refuzând totodată în mod constant să admită acțiunea populară. Autorul acțiunii pentru exces de putere trebuie să stabilească existența unui interes personal de a solicita anularea actului pe care îl atacă. Pentru aceasta, interesul invocat trebuie să fie în mod suficient direct. Cu toate acestea, jurisprudența administrativă nu impune ca acesta să fie specific reclamantului. „Cu alte cuvinte, nu este necesar ca interesul invocat să fie propriu și special pentru reclamant, dar trebuie să se înscrie într-un cerc în care jurisprudența a admis comunități tot mai mari de părți interesate fără, totuși, a-l extinde la dimensiunile comunității naționale” (concluziile Chenot asupra deciziei Consiliului de Stat, </w:t>
      </w:r>
      <w:r>
        <w:rPr>
          <w:i/>
        </w:rPr>
        <w:t>Sieur Gicquel</w:t>
      </w:r>
      <w:r>
        <w:t>,10 februarie 1950, nr. 1743).</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52</w:t>
      </w:r>
      <w:r w:rsidRPr="005F1637">
        <w:fldChar w:fldCharType="end"/>
      </w:r>
      <w:r>
        <w:t>.  Potrivit jurisprudenței, a invoca doar calitatea de cetățean nu este suficient pentru a justifica conferirea interesului de a acționa în contenciosul excesului de putere (a se vedea, de exemplu, Consiliul de Stat, 11 decembrie 1987, nr. 76469; Consiliul de Stat, 12 martie 1999, nr. 192014; și Consiliul de Stat, 17 mai 2002, nr. 231290). Pentru a fi recunoscută, existența unui interes de a acționa trebuie să fie legată de o anumită calitate invocată de autorul acțiunii.</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53</w:t>
      </w:r>
      <w:r w:rsidRPr="005F1637">
        <w:fldChar w:fldCharType="end"/>
      </w:r>
      <w:r>
        <w:t xml:space="preserve">.  În același mod, Consiliul de Stat neagă interesul oricărui cetățean de a acționa împotriva unei decizii administrative de natură să aducă atingere mediului (Consiliul de Stat, 22 octombrie 1986, nr. 50893 și 50894). La fel, s-a hotărât că „art. 2 din Carta mediului, conform căreia «fiecare persoană are datoria să participe la păstrarea și îmbunătățirea mediului», nu poate, în sine, să confere oricărei persoane care îl invocă interesul de a formula o acțiune pentru exces de putere împotriva oricărei decizii administrative pe care dorește să o conteste” (Consiliul de Stat, 3 august 2011, </w:t>
      </w:r>
      <w:r>
        <w:rPr>
          <w:i/>
        </w:rPr>
        <w:t>Mme B.</w:t>
      </w:r>
      <w:r>
        <w:t>, nr. 330566).</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54</w:t>
      </w:r>
      <w:r w:rsidRPr="005F1637">
        <w:fldChar w:fldCharType="end"/>
      </w:r>
      <w:r>
        <w:t xml:space="preserve">.  În plus, interesul invocat nu trebuie să fie exagerat de incert, ceea ce presupune că decizia atacată poate fi privită ca dăunând reclamantului, cel puțin suficient de probabil. Astfel a fost considerată admisibilă acțiunea formulată de un turist cu rulotă care contesta decretul privind interzicerea practicării campingului într-o comună în care acesta nu s-a aflat niciodată (Consiliul de Stat, 14 februarie 1958, </w:t>
      </w:r>
      <w:r>
        <w:rPr>
          <w:i/>
        </w:rPr>
        <w:t>Abisset</w:t>
      </w:r>
      <w:r>
        <w:t>, Culegerea Lebon p. 98). În schimb, interesul de a solicita anularea decretului privind crearea unui parc național este refuzat unui reclamant care invocă doar calitățile unice de a se plimba și a locui în departament și care are domiciliul la 200 km de limitele acestui parc (Consiliul de Stat, 3 iunie 2009, nr. 305131).</w:t>
      </w:r>
    </w:p>
    <w:p w:rsidR="003A6DF1" w:rsidRPr="005F1637" w:rsidRDefault="00AD0B47" w:rsidP="005F1637">
      <w:pPr>
        <w:pStyle w:val="JuHIRoman"/>
      </w:pPr>
      <w:bookmarkStart w:id="53" w:name="_Toc137133460"/>
      <w:bookmarkStart w:id="54" w:name="_Toc158038991"/>
      <w:bookmarkStart w:id="55" w:name="_Toc171171608"/>
      <w:r>
        <w:lastRenderedPageBreak/>
        <w:t>TEXTE INTERNAȚIONALE RELEVANTE</w:t>
      </w:r>
      <w:bookmarkEnd w:id="53"/>
      <w:bookmarkEnd w:id="54"/>
      <w:bookmarkEnd w:id="55"/>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55</w:t>
      </w:r>
      <w:r w:rsidRPr="005F1637">
        <w:fldChar w:fldCharType="end"/>
      </w:r>
      <w:r>
        <w:t>.  Textele internaționale relevante sunt prezentate în hotărârea</w:t>
      </w:r>
      <w:r>
        <w:rPr>
          <w:rStyle w:val="JuParaChar"/>
        </w:rPr>
        <w:t xml:space="preserve"> </w:t>
      </w:r>
      <w:r>
        <w:rPr>
          <w:i/>
        </w:rPr>
        <w:t>Verein KlimaSeniorinnen Schweiz și alții împotriva Elveției</w:t>
      </w:r>
      <w:r>
        <w:t xml:space="preserve"> (MC),</w:t>
      </w:r>
      <w:r>
        <w:rPr>
          <w:i/>
        </w:rPr>
        <w:t xml:space="preserve"> </w:t>
      </w:r>
      <w:r>
        <w:t>nr. 53600/20, pct. 133</w:t>
      </w:r>
      <w:r>
        <w:noBreakHyphen/>
        <w:t>231, 9 aprilie 2024.</w:t>
      </w:r>
    </w:p>
    <w:p w:rsidR="003A6DF1" w:rsidRPr="005F1637" w:rsidRDefault="00AD0B47" w:rsidP="005F1637">
      <w:pPr>
        <w:pStyle w:val="JuHHead"/>
      </w:pPr>
      <w:bookmarkStart w:id="56" w:name="_Toc158038992"/>
      <w:bookmarkStart w:id="57" w:name="_Toc171171609"/>
      <w:r>
        <w:t>CAPĂTUL DE CERERE</w:t>
      </w:r>
      <w:bookmarkEnd w:id="56"/>
      <w:bookmarkEnd w:id="57"/>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56</w:t>
      </w:r>
      <w:r w:rsidRPr="005F1637">
        <w:fldChar w:fldCharType="end"/>
      </w:r>
      <w:r>
        <w:t>.  Reclamantul pretinde că măsurile luate de Franța pentru a combate schimbările climatice sunt insuficiente și că această insuficiență presupune încălcarea dreptului său la viață și a dreptului său la respectarea vieții sale private și de familie și a domiciliului, în special, din cauza riscului de inundații la care comuna Grande-Synthe, în opinia sa, ar fi expusă în perioada 2030-2040, determinat de schimbările climatice. El invocă art. 2 și 8 din Convenție.</w:t>
      </w:r>
    </w:p>
    <w:p w:rsidR="003A6DF1" w:rsidRPr="005F1637" w:rsidRDefault="00AD0B47" w:rsidP="005F1637">
      <w:pPr>
        <w:pStyle w:val="JuHHead"/>
      </w:pPr>
      <w:bookmarkStart w:id="58" w:name="_Toc158038993"/>
      <w:bookmarkStart w:id="59" w:name="_Toc171171610"/>
      <w:r>
        <w:t>ÎN DREPT</w:t>
      </w:r>
      <w:bookmarkEnd w:id="58"/>
      <w:bookmarkEnd w:id="59"/>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57</w:t>
      </w:r>
      <w:r w:rsidRPr="005F1637">
        <w:fldChar w:fldCharType="end"/>
      </w:r>
      <w:r>
        <w:t>.  În partea sa relevantă, art. 2 din Convenție prevede următoarele:</w:t>
      </w:r>
    </w:p>
    <w:p w:rsidR="003A6DF1" w:rsidRPr="005F1637" w:rsidRDefault="00AD0B47" w:rsidP="005F1637">
      <w:pPr>
        <w:pStyle w:val="JuQuot"/>
      </w:pPr>
      <w:r>
        <w:t>„1.  Dreptul la viață al oricărei persoane este protejat prin lege. [...] ”</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58</w:t>
      </w:r>
      <w:r w:rsidRPr="005F1637">
        <w:fldChar w:fldCharType="end"/>
      </w:r>
      <w:r>
        <w:t>.  În partea sa relevantă, art. 8 din Convenție prevede următoarele:</w:t>
      </w:r>
    </w:p>
    <w:p w:rsidR="003A6DF1" w:rsidRPr="005F1637" w:rsidRDefault="00AD0B47" w:rsidP="005F1637">
      <w:pPr>
        <w:pStyle w:val="JuQuot"/>
      </w:pPr>
      <w:r>
        <w:t>„1.  Orice persoană are dreptul la respectarea vieții sale private și de familie, a domiciliului său [...]. ”</w:t>
      </w:r>
    </w:p>
    <w:p w:rsidR="003A6DF1" w:rsidRPr="005F1637" w:rsidRDefault="00AD0B47" w:rsidP="005F1637">
      <w:pPr>
        <w:pStyle w:val="JuHIRoman"/>
      </w:pPr>
      <w:bookmarkStart w:id="60" w:name="_Toc158038994"/>
      <w:bookmarkStart w:id="61" w:name="_Toc171171611"/>
      <w:r>
        <w:t>ARGUMENTELE PĂRȚILOR</w:t>
      </w:r>
      <w:bookmarkEnd w:id="60"/>
      <w:bookmarkEnd w:id="61"/>
    </w:p>
    <w:p w:rsidR="003A6DF1" w:rsidRPr="005F1637" w:rsidRDefault="00AD0B47" w:rsidP="005F1637">
      <w:pPr>
        <w:pStyle w:val="JuHA"/>
      </w:pPr>
      <w:bookmarkStart w:id="62" w:name="_Toc158038995"/>
      <w:bookmarkStart w:id="63" w:name="_Toc171171612"/>
      <w:r>
        <w:t>Guvernul</w:t>
      </w:r>
      <w:bookmarkEnd w:id="62"/>
      <w:bookmarkEnd w:id="63"/>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59</w:t>
      </w:r>
      <w:r w:rsidRPr="005F1637">
        <w:fldChar w:fldCharType="end"/>
      </w:r>
      <w:r>
        <w:t>.  Concluziile științifice, subliniază Guvernul, sunt clare cu privire la existența unei triple crize: schimbările climatice, poluarea și distrugerea biodiversității. Adaugă faptul că rapoartele IPCC au stabilit originea antropică a schimbărilor climatice și au arătat că măsuri de reducere a emisiilor de GES și de adaptare sunt necesare pentru a limita impactul negativ al acestor schimbări asupra omului și a mediului. Declară că Franța este conștientă de urgența climatică și că se mobilizează pentru a o aborda prin inițiative legislative și programe.</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60</w:t>
      </w:r>
      <w:r w:rsidRPr="005F1637">
        <w:fldChar w:fldCharType="end"/>
      </w:r>
      <w:r>
        <w:t xml:space="preserve">.  Guvernul susține că, la nivel intern, chestiunile referitoare la schimbările climatice fac obiectul unui control al instanțelor administrative, precum în cauza </w:t>
      </w:r>
      <w:r>
        <w:rPr>
          <w:i/>
        </w:rPr>
        <w:t xml:space="preserve">Commune de Grande-Synthe </w:t>
      </w:r>
      <w:r>
        <w:t>și în „</w:t>
      </w:r>
      <w:r>
        <w:rPr>
          <w:i/>
        </w:rPr>
        <w:t>Affaire du Siècle</w:t>
      </w:r>
      <w:r>
        <w:t xml:space="preserve">” (a se vedea, de asemenea, hotărârea </w:t>
      </w:r>
      <w:r>
        <w:rPr>
          <w:i/>
        </w:rPr>
        <w:t>Verein KlimaSeniorinnen Schweiz și alții</w:t>
      </w:r>
      <w:r>
        <w:t xml:space="preserve">, citată anterior, pct. 240). Consideră că, în schimb, chestiunile legate de reducerea emisiilor de GES nu țin nici de dispozițiile Convenției, nici de competența Curții. Potrivit acestuia, nici art. 2, nici art. 8 și nici o altă prevedere a Convenției, nu garantează dreptul la un mediu sănătos ca atare. </w:t>
      </w:r>
      <w:r>
        <w:lastRenderedPageBreak/>
        <w:t>În opinia sa, problemele care intră în domeniul de aplicare al Convenției sunt limitate la cazuri individuale și la probleme specifice de mediu care afectează un reclamant.</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61</w:t>
      </w:r>
      <w:r w:rsidRPr="005F1637">
        <w:fldChar w:fldCharType="end"/>
      </w:r>
      <w:r>
        <w:t>.  Guvernul estimează totuși că, în speță, reclamantul urmărește în realitate să obțină o reexaminare de către Curte a măsurilor luate de Franța pentru a limita emisiile de GES. Potrivit acestuia, este evident că acțiunea persoanei interesate nu are scopul de a proteja drepturile sale individuale, ci de a apăra</w:t>
      </w:r>
      <w:r>
        <w:rPr>
          <w:b/>
        </w:rPr>
        <w:t xml:space="preserve"> </w:t>
      </w:r>
      <w:r>
        <w:t xml:space="preserve">interesul general. Consideră că aceasta este o </w:t>
      </w:r>
      <w:r>
        <w:rPr>
          <w:i/>
          <w:iCs/>
        </w:rPr>
        <w:t>actio popularis</w:t>
      </w:r>
      <w:r>
        <w:t xml:space="preserve">, care, în opinia sa, este demonstrată de faptul că reclamantul nu s-a plâns de probleme de mediu specifice pentru care pot fi stabilite în mod clar cauza, localizarea și efectele. În opinia sa, persoana în cauză se plânge mai degrabă de efectele schimbărilor climatice, care ar rezulta dintr-un sistem întreg și ar implica riscuri la scară mondială, a căror materializare, în cazul unor persoane fizice, nu ar fi nici sigură, nici localizabilă cu precizie. Or, continuă Guvernul, Convenția nu prevede posibilitatea unei examinări </w:t>
      </w:r>
      <w:r>
        <w:rPr>
          <w:i/>
        </w:rPr>
        <w:t>in abstracto</w:t>
      </w:r>
      <w:r>
        <w:t xml:space="preserve"> a legislației sau a măsurilor interne, inclusiv în materie de mediu (acesta citează, în special, decizia </w:t>
      </w:r>
      <w:r>
        <w:rPr>
          <w:i/>
        </w:rPr>
        <w:t>Caron și alții împotriva Franței</w:t>
      </w:r>
      <w:r>
        <w:t xml:space="preserve">, nr. 48629/08, 29 iunie 2010). Guvernul adaugă că dreptul de a acționa în justiție nu poate avea drept obiect doar prevenirea unei posibile produceri a unei viitoare încălcări (citează decizia </w:t>
      </w:r>
      <w:r>
        <w:rPr>
          <w:i/>
        </w:rPr>
        <w:t>Aly Bernard și alții și Greenpeace – Luxemburg împotriva Luxemburgului</w:t>
      </w:r>
      <w:r>
        <w:t>, nr. 29197/95, 29 iunie 1999). Consideră că, în speță, în lipsa individualizării plângerilor sale, este îndoielnic că reclamantul a epuizat în mod corespunzător căile de atac interne.</w:t>
      </w:r>
    </w:p>
    <w:p w:rsidR="003A6DF1" w:rsidRPr="005F1637" w:rsidRDefault="00586FD6" w:rsidP="005F1637">
      <w:pPr>
        <w:pStyle w:val="JuPara"/>
      </w:pPr>
      <w:r>
        <w:fldChar w:fldCharType="begin"/>
      </w:r>
      <w:r>
        <w:instrText xml:space="preserve"> SEQ level0 \*arabic \* MERGEFORMAT </w:instrText>
      </w:r>
      <w:r>
        <w:fldChar w:fldCharType="separate"/>
      </w:r>
      <w:bookmarkStart w:id="64" w:name="paragraph00047"/>
      <w:r w:rsidR="005F1637" w:rsidRPr="005F1637">
        <w:rPr>
          <w:noProof/>
        </w:rPr>
        <w:t>62</w:t>
      </w:r>
      <w:bookmarkEnd w:id="64"/>
      <w:r>
        <w:rPr>
          <w:noProof/>
        </w:rPr>
        <w:fldChar w:fldCharType="end"/>
      </w:r>
      <w:r w:rsidR="00AD0B47">
        <w:t xml:space="preserve">.  Guvernul consideră că, în orice caz, reclamantul nu a demonstrat în ce fel ar fi sau va fi afectat personal de efectele și riscurile pretinse legate de schimbările climatice. Potrivit Guvernului, este cu siguranță probabil că schimbările climatice afectează în mod diferit persoanele în funcție de locul de reședință, de condițiile de trai și de starea lor de sănătate, dar reclamantul nu arată existența unei amenințări serioase și precise la adresa sănătății și a bunurilor sale. În această privință, arată Guvernul, faptul că reclamantul evocă riscurile care amenință comuna Grande-Synthe este insuficient, cu atât mai mult cu cât, adaugă acesta, nu este posibil de stabilit că persoana în cauză va mai locui acolo, nici care va fi situația sa personală în câțiva ani, </w:t>
      </w:r>
      <w:r w:rsidR="00AD0B47">
        <w:rPr>
          <w:i/>
        </w:rPr>
        <w:t>a fortiori</w:t>
      </w:r>
      <w:r w:rsidR="00AD0B47">
        <w:t xml:space="preserve"> în 2040. Guvernul subliniază, în plus, că nici în cererea sa inițială în fața Curții, nici în fața Consiliului de Stat, reclamantul nu a menționat faptul că suferea de astm și susține, prin urmare, că această probă nu intră în domeniul prezentei cauze.</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63</w:t>
      </w:r>
      <w:r w:rsidRPr="005F1637">
        <w:fldChar w:fldCharType="end"/>
      </w:r>
      <w:r>
        <w:t>.  Referitor la problema subsidiară a pierderii calității de victimă, Guvernul estimează că decizia adoptată de Consiliul de Stat la 1 iulie 2021 l</w:t>
      </w:r>
      <w:r w:rsidR="009032B3">
        <w:noBreakHyphen/>
      </w:r>
      <w:r>
        <w:t xml:space="preserve">a privat pe reclamant de calitatea de victimă pe care o putea revendica. Susține că, în practică, această decizie a dat curs pretențiilor formulate de reclamant în fața autorităților interne și în fața Curții, deoarece aceasta a confirmat admisibilitatea cererii introduse de comună și a admis-o parțial. Acesta adăugă faptul că respectiva decizie a deschis posibilitatea unui </w:t>
      </w:r>
      <w:r>
        <w:lastRenderedPageBreak/>
        <w:t>„control de traiectorie” de către instanța administrativă, acum competentă, afirmă acesta, să se asigure de respectarea de către stat a obiectivelor climatice stabilite de Uniunea Europeană și de legislația națională.</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64</w:t>
      </w:r>
      <w:r w:rsidRPr="005F1637">
        <w:fldChar w:fldCharType="end"/>
      </w:r>
      <w:r>
        <w:t>.  În plus, Guvernul subliniază că, pentru ca art. 2 să se poată aplica, trebuie să existe un risc grav pentru viață. Consideră că aceasta se aplică și în materie de mediu, unde trebuie ca pericolul pentru viață să fie grav, real, iminent</w:t>
      </w:r>
      <w:r>
        <w:rPr>
          <w:b/>
        </w:rPr>
        <w:t xml:space="preserve"> </w:t>
      </w:r>
      <w:r>
        <w:t xml:space="preserve">și clar de identificat [face trimitere în special la hotărârile </w:t>
      </w:r>
      <w:r>
        <w:rPr>
          <w:i/>
        </w:rPr>
        <w:t>Brincat și alții</w:t>
      </w:r>
      <w:r>
        <w:t xml:space="preserve">, citată anterior, pct. 82-85, și </w:t>
      </w:r>
      <w:r>
        <w:rPr>
          <w:i/>
        </w:rPr>
        <w:t>Boudaïeva și alții împotriva Rusiei</w:t>
      </w:r>
      <w:r>
        <w:t>, nr. 15339/02 și alte 4, pct. 137, CEDO 2008 (extrase)]. În opinia Guvernului, reclamantul nu a demonstrat deloc că, din cauza schimbărilor climatice, era personal expus unui astfel de risc grav, real și iminent pentru viața sa.</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65</w:t>
      </w:r>
      <w:r w:rsidRPr="005F1637">
        <w:fldChar w:fldCharType="end"/>
      </w:r>
      <w:r>
        <w:t xml:space="preserve">.  În ceea ce privește mai ales art. 8, Guvernul subliniază că, pentru ca acesta să fie aplicabil, măsura în litigiu trebuie să afecteze în mod direct și suficient de grav drepturile  reclamantului care decurg din art. 8 (viața privată, viața de familie și domiciliul) (face trimitere în special la hotărârea </w:t>
      </w:r>
      <w:r>
        <w:rPr>
          <w:i/>
        </w:rPr>
        <w:t>Fadeïeva împotriva Rusiei</w:t>
      </w:r>
      <w:r>
        <w:t>, nr. 55723/00, pct. 68</w:t>
      </w:r>
      <w:r>
        <w:noBreakHyphen/>
        <w:t>69, CEDO 2005-IV). Apreciază că, deși expunerea comunei Grande-Synthe la efectele nefaste ale schimbărilor climatice a fost recunoscută de Consiliul de Stat, reclamantul, prin simpla referire la faptul că reședința sa este situată pe teritoriul acestei comune, nu a demonstrat existența în speță a unei asemenea atingeri directe și suficient de grave a drepturilor sale protejate de art. 8. Potrivit Guvernului, reclamantul nu a stabilit existența unei legături directe între, pe de o parte, pretinsele omisiuni ale statului în reducerea emisiilor de GES și, pe de altă parte, viața sa personală. În plus, nu ar fi demonstrat că a suferit deja restrângeri ale dreptului de a se bucura de domiciliul său sau că este vizat personal de riscurile viitoare (peste zece sau douăzeci de ani) legate de schimbările climatice.</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66</w:t>
      </w:r>
      <w:r w:rsidRPr="005F1637">
        <w:fldChar w:fldCharType="end"/>
      </w:r>
      <w:r>
        <w:t>.  În orice caz, Guvernul consideră că nicio încălcare a art. 2 sau a art. 8 nu poate fi reținută împotriva Franței. În opinia sa, nu se poate susține că Franța nu și-a îndeplinit obligațiile pozitive în baza Convenției în ceea ce privește măsurile adoptate în raport cu efectele schimbărilor climatice. Guvernul consideră, în special, că: a) există un cadru legislativ și administrativ care permite evaluarea riscurilor legate de schimbările climatice și atingerea obiectivelor de reducere a emisiilor de GES pe care Franța și le</w:t>
      </w:r>
      <w:r w:rsidR="008358EC">
        <w:noBreakHyphen/>
      </w:r>
      <w:r>
        <w:t>a stabilit; b) dreptul național garantează participarea și informarea publicului cu privire la riscurile legate de schimbările climatice și la determinarea politicilor naționale în materie de atenuare și c) acțiuni efective permit controlul respectării de către Franța a angajamentelor sale în materie de atenuare.</w:t>
      </w:r>
    </w:p>
    <w:p w:rsidR="003A6DF1" w:rsidRPr="005F1637" w:rsidRDefault="00AD0B47" w:rsidP="005F1637">
      <w:pPr>
        <w:pStyle w:val="JuHA"/>
      </w:pPr>
      <w:bookmarkStart w:id="65" w:name="_Toc158038996"/>
      <w:bookmarkStart w:id="66" w:name="_Toc171171613"/>
      <w:r>
        <w:t>Reclamantul</w:t>
      </w:r>
      <w:bookmarkEnd w:id="65"/>
      <w:bookmarkEnd w:id="66"/>
    </w:p>
    <w:bookmarkStart w:id="67" w:name="paragraph00065"/>
    <w:bookmarkStart w:id="68" w:name="paragraph00066"/>
    <w:p w:rsidR="003A6DF1" w:rsidRPr="005F1637" w:rsidRDefault="00AD0B47" w:rsidP="005F1637">
      <w:pPr>
        <w:pStyle w:val="JuPara"/>
      </w:pPr>
      <w:r w:rsidRPr="005F1637">
        <w:fldChar w:fldCharType="begin"/>
      </w:r>
      <w:r w:rsidRPr="005F1637">
        <w:instrText xml:space="preserve"> SEQ level0 \*arabic \* MERGEFORMAT </w:instrText>
      </w:r>
      <w:r w:rsidRPr="005F1637">
        <w:fldChar w:fldCharType="separate"/>
      </w:r>
      <w:r w:rsidR="005F1637" w:rsidRPr="005F1637">
        <w:t>67</w:t>
      </w:r>
      <w:r w:rsidRPr="005F1637">
        <w:fldChar w:fldCharType="end"/>
      </w:r>
      <w:bookmarkEnd w:id="67"/>
      <w:bookmarkEnd w:id="68"/>
      <w:r>
        <w:t xml:space="preserve">.  Reclamantul susține că există o urgență climatică și că această urgență impune o reducere considerabilă a emisiilor de GES. Acesta afirmă că, în </w:t>
      </w:r>
      <w:r>
        <w:lastRenderedPageBreak/>
        <w:t>calitatea sa de locuitor al comunei Grande-Synthe, este direct și personal expus unor riscuri majore de eroziune a litoralului, de inundație și de înaintare a apelor maritime. În opinia sa, nu există nicio îndoială că Grande-Synthe este condamnată la înaintarea apelor maritime din 2030. Or, acesta apreciază că autoritățile statului pârât nu acționează suficient pentru a contracara aceste riscuri. În această privință, atrage atenția că art. 2 din Convenție este aplicabil în măsura în care astfel de fenomene climatice se pot dovedi mortale. Adaugă că insuficiența acțiunii statului în vederea combaterii efectelor schimbărilor climatice l-a împiedicat să reflecteze cu încredere asupra viitorului în locuința sa, ceea ce, afirmă el, aduce atingere în mod direct vieții sale private și de familie, protejate de art. 8 din Convenție. În observațiile sale prezentate Marii Camere la 17 noiembrie 2022, acesta subliniază în plus că, din 2020, a dezvoltat un astm alergic care îl face deosebit de sensibil la poluarea atmosferică și la efectele alergenilor legate de schimbările climatice.</w:t>
      </w:r>
    </w:p>
    <w:p w:rsidR="003A6DF1" w:rsidRPr="005F1637" w:rsidRDefault="00586FD6" w:rsidP="005F1637">
      <w:pPr>
        <w:pStyle w:val="JuPara"/>
      </w:pPr>
      <w:r>
        <w:fldChar w:fldCharType="begin"/>
      </w:r>
      <w:r>
        <w:instrText xml:space="preserve"> SEQ level0 \*arabic \* MERGEFORMAT </w:instrText>
      </w:r>
      <w:r>
        <w:fldChar w:fldCharType="separate"/>
      </w:r>
      <w:bookmarkStart w:id="69" w:name="paragraph00053"/>
      <w:r w:rsidR="005F1637" w:rsidRPr="005F1637">
        <w:rPr>
          <w:noProof/>
        </w:rPr>
        <w:t>68</w:t>
      </w:r>
      <w:bookmarkEnd w:id="69"/>
      <w:r>
        <w:rPr>
          <w:noProof/>
        </w:rPr>
        <w:fldChar w:fldCharType="end"/>
      </w:r>
      <w:r w:rsidR="00AD0B47">
        <w:t>.  În ședință, reclamantul, ca răspuns la întrebările adresate de Curte, a menționat că fiind în prezent membru al Parlamentului European, are reședința la Bruxelles și nu la Grande-Synthe. A declarat că nu este nici proprietar, nici locatar al unui imobil de pe teritoriul acestei comune. Totuși, el a adăugat că are legături de familie în Grande-Synthe, unde trăiește fratele său și unde se va întoarce la încheierea mandatului în Parlamentul European, și că se simțea de altfel legat de această comună, al cărei primar a fost timp de mai mulți ani. De altfel, a explicat că sesizase Curtea în calitate de primar al Grande-Synthe, dar și în calitatea sa de cetățean și de locuitor al comunei. A adăugat faptul că, fiind astmatic, era supus și la Bruxelles efectelor schimbărilor climatice.</w:t>
      </w:r>
    </w:p>
    <w:bookmarkStart w:id="70" w:name="paragraph00142"/>
    <w:p w:rsidR="003A6DF1" w:rsidRPr="005F1637" w:rsidRDefault="00AD0B47" w:rsidP="005F1637">
      <w:pPr>
        <w:pStyle w:val="JuPara"/>
      </w:pPr>
      <w:r w:rsidRPr="005F1637">
        <w:fldChar w:fldCharType="begin"/>
      </w:r>
      <w:r w:rsidRPr="005F1637">
        <w:instrText xml:space="preserve"> SEQ level0 \*arabic \* MERGEFORMAT </w:instrText>
      </w:r>
      <w:r w:rsidRPr="005F1637">
        <w:fldChar w:fldCharType="separate"/>
      </w:r>
      <w:r w:rsidR="005F1637" w:rsidRPr="005F1637">
        <w:t>69</w:t>
      </w:r>
      <w:r w:rsidRPr="005F1637">
        <w:fldChar w:fldCharType="end"/>
      </w:r>
      <w:bookmarkEnd w:id="70"/>
      <w:r>
        <w:t xml:space="preserve">.  Referitor la problema unei eventuale pierderi a calității de victimă din cauza deciziei adoptate de Consiliul de Stat, reclamantul susține că la nivel intern nu a obținut nici recunoașterea încălcării drepturilor sale, nici reparații în acest sens. Precizează că i-a fost respinsă acțiunea în fața Consiliului de Stat și că, în orice caz, decizia </w:t>
      </w:r>
      <w:r w:rsidR="009032B3" w:rsidRPr="009032B3">
        <w:t xml:space="preserve">adoptată </w:t>
      </w:r>
      <w:r>
        <w:t>la 1 iulie 2021 de instanța supremă, care a admis parțial cererile comunei, încă nu a fost executată.</w:t>
      </w:r>
    </w:p>
    <w:bookmarkStart w:id="71" w:name="paragraph00143"/>
    <w:p w:rsidR="003A6DF1" w:rsidRPr="005F1637" w:rsidRDefault="00AD0B47" w:rsidP="005F1637">
      <w:pPr>
        <w:pStyle w:val="JuPara"/>
      </w:pPr>
      <w:r w:rsidRPr="005F1637">
        <w:fldChar w:fldCharType="begin"/>
      </w:r>
      <w:r w:rsidRPr="005F1637">
        <w:instrText xml:space="preserve"> SEQ level0 \*arabic \* MERGEFORMAT </w:instrText>
      </w:r>
      <w:r w:rsidRPr="005F1637">
        <w:fldChar w:fldCharType="separate"/>
      </w:r>
      <w:r w:rsidR="005F1637" w:rsidRPr="005F1637">
        <w:t>70</w:t>
      </w:r>
      <w:r w:rsidRPr="005F1637">
        <w:fldChar w:fldCharType="end"/>
      </w:r>
      <w:bookmarkEnd w:id="71"/>
      <w:r>
        <w:t>.  Reclamantul consideră că legătura dintre drepturile omului și schimbările climatice este bine recunoscută în dreptul internațional și în dreptul comparat. Adaugă faptul că studiile științifice arată clar că dreptul la viață este amenințat de schimbările climatice. În ceea ce îl privește, apreciază că dreptul său la viață, protejat de art. 2, se află în joc având în vedere, pe de o parte, expunerea sa la riscul înaintării apelor maritime și, pe de altă parte, la riscul de agravare a stării sale de sănătate legat de astmul său.</w:t>
      </w:r>
    </w:p>
    <w:bookmarkStart w:id="72" w:name="paragraph00144"/>
    <w:p w:rsidR="003A6DF1" w:rsidRPr="005F1637" w:rsidRDefault="00AD0B47" w:rsidP="005F1637">
      <w:pPr>
        <w:pStyle w:val="JuPara"/>
      </w:pPr>
      <w:r w:rsidRPr="005F1637">
        <w:fldChar w:fldCharType="begin"/>
      </w:r>
      <w:r w:rsidRPr="005F1637">
        <w:instrText xml:space="preserve"> SEQ level0 \*arabic \* MERGEFORMAT </w:instrText>
      </w:r>
      <w:r w:rsidRPr="005F1637">
        <w:fldChar w:fldCharType="separate"/>
      </w:r>
      <w:r w:rsidR="005F1637" w:rsidRPr="005F1637">
        <w:t>71</w:t>
      </w:r>
      <w:r w:rsidRPr="005F1637">
        <w:fldChar w:fldCharType="end"/>
      </w:r>
      <w:bookmarkEnd w:id="72"/>
      <w:r>
        <w:t xml:space="preserve">.  În temeiul art. 8, reclamantul susține că lipsa de acțiune imputată statului pârât în ceea ce privește efectele schimbărilor climatice îl expune la consecințe nefaste asupra vieții sale private și asupra calității vieții sale la domiciliu. Arată, în special, că nu poate spera la un viitor liniștit în locuința sa, expusă, din punctul său de vedere, unui risc crescând de înaintare a apelor </w:t>
      </w:r>
      <w:r>
        <w:lastRenderedPageBreak/>
        <w:t>maritime. De asemenea, declară că sănătatea sa, deja slăbită de astm, se deteriorează pe măsură ce se agravează efectele schimbărilor climatice.</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72</w:t>
      </w:r>
      <w:r w:rsidRPr="005F1637">
        <w:fldChar w:fldCharType="end"/>
      </w:r>
      <w:r>
        <w:t>.  Reclamantul susține că actualul cadru legislativ și administrativ francez este insuficient pentru a putea fi atinse obiectivele naționale de reducere a emisiilor de GES. În acest context, și ținând seama, de asemenea, de neexecutarea deciziei Consiliului de Stat, reclamantul consideră că statul nu a instituit cadrul legislativ și administrativ necesar, cu încălcarea obligațiilor pozitive prevăzute la art. 2 și 8 din Convenție.</w:t>
      </w:r>
    </w:p>
    <w:p w:rsidR="003A6DF1" w:rsidRPr="005F1637" w:rsidRDefault="00AD0B47" w:rsidP="005F1637">
      <w:pPr>
        <w:pStyle w:val="JuHA"/>
      </w:pPr>
      <w:bookmarkStart w:id="73" w:name="_Toc158038997"/>
      <w:bookmarkStart w:id="74" w:name="_Toc171171614"/>
      <w:r>
        <w:t>Terții intervenienți</w:t>
      </w:r>
      <w:bookmarkEnd w:id="73"/>
      <w:bookmarkEnd w:id="74"/>
    </w:p>
    <w:p w:rsidR="003A6DF1" w:rsidRPr="005F1637" w:rsidRDefault="00AD0B47" w:rsidP="005F1637">
      <w:pPr>
        <w:pStyle w:val="JuH1"/>
      </w:pPr>
      <w:bookmarkStart w:id="75" w:name="_Toc129076482"/>
      <w:bookmarkStart w:id="76" w:name="_Toc171171615"/>
      <w:r>
        <w:t>ENNHR</w:t>
      </w:r>
      <w:bookmarkEnd w:id="75"/>
      <w:r>
        <w:t>I</w:t>
      </w:r>
      <w:bookmarkEnd w:id="76"/>
    </w:p>
    <w:p w:rsidR="003A6DF1" w:rsidRPr="005F1637" w:rsidRDefault="005F1637" w:rsidP="005F1637">
      <w:pPr>
        <w:pStyle w:val="JuPara"/>
        <w:rPr>
          <w:b/>
          <w:bCs/>
        </w:rPr>
      </w:pPr>
      <w:r w:rsidRPr="005F1637">
        <w:fldChar w:fldCharType="begin"/>
      </w:r>
      <w:r w:rsidR="00AD0B47">
        <w:instrText xml:space="preserve"> SEQ level0 \*arabic \* MERGEFORMAT </w:instrText>
      </w:r>
      <w:r w:rsidRPr="005F1637">
        <w:fldChar w:fldCharType="separate"/>
      </w:r>
      <w:r w:rsidRPr="005F1637">
        <w:t>73</w:t>
      </w:r>
      <w:r w:rsidRPr="005F1637">
        <w:fldChar w:fldCharType="end"/>
      </w:r>
      <w:r>
        <w:t xml:space="preserve">.  Făcând referire la observațiile pe care le-a prezentat în cauza </w:t>
      </w:r>
      <w:r>
        <w:rPr>
          <w:i/>
        </w:rPr>
        <w:t>Verein KlimaSeniorinnen Schweiz și alții</w:t>
      </w:r>
      <w:r>
        <w:t xml:space="preserve"> (hotărâre citată anterior, pct. 382-385), intervenienta susține că ridicarea globală a nivelului mării, valurile de căldură și de creștere a cursurilor râurilor cauzate de schimbările climatice provocate de om cresc riscul de vătămare corporală și deces. Expune faptul că creșterea ratelor de mortalitate și morbiditate în Franța reflectă efectul imediat și direct al schimbărilor climatice. Cu privire la calitatea de victimă, intervenienta consideră că un risc previzibil de ridicare a nivelului mării poate pune serios în pericol sănătatea și calitatea vieții persoanei la domiciliu, cee</w:t>
      </w:r>
      <w:r w:rsidR="009032B3">
        <w:t xml:space="preserve">a ce, în opinia sa, constituie </w:t>
      </w:r>
      <w:r>
        <w:t>o încălcare a art. 8 din Convenție. Aceasta adaugă că creșterea mortalității legate de căldură, în special în Franța, reprezintă un risc real și imediat de vătămare legat de schimbările climatice, ceea ce face aplicabil art. 2 din Convenție. Intervenienta consideră că, în cadrul obligațiilor lor pozitive, statele trebuie să ia măsuri corespunzătoare de atenuare și că doar punerea în aplicare de măsuri de adaptare la schimbările climatice nu ar fi suficientă pentru a îndeplini obligațiile pozitive prevăzute la art. 2 și 8.</w:t>
      </w:r>
    </w:p>
    <w:p w:rsidR="003A6DF1" w:rsidRPr="005F1637" w:rsidRDefault="00AD0B47" w:rsidP="005F1637">
      <w:pPr>
        <w:pStyle w:val="JuH1"/>
      </w:pPr>
      <w:bookmarkStart w:id="77" w:name="_Toc129076483"/>
      <w:bookmarkStart w:id="78" w:name="_Toc171171616"/>
      <w:r>
        <w:t>OCT și Oxfam</w:t>
      </w:r>
      <w:bookmarkEnd w:id="77"/>
      <w:bookmarkEnd w:id="78"/>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74</w:t>
      </w:r>
      <w:r w:rsidRPr="005F1637">
        <w:fldChar w:fldCharType="end"/>
      </w:r>
      <w:r>
        <w:t xml:space="preserve">.  Intervenienții au prezentat observații comune pentru cauza </w:t>
      </w:r>
      <w:r>
        <w:rPr>
          <w:i/>
        </w:rPr>
        <w:t>Verein KlimaSeniorinnen Schweiz și alții</w:t>
      </w:r>
      <w:r>
        <w:t xml:space="preserve"> (hotărâre citată anterior, pct. 399</w:t>
      </w:r>
      <w:r>
        <w:noBreakHyphen/>
        <w:t>401) și pentru prezenta cauză.</w:t>
      </w:r>
    </w:p>
    <w:p w:rsidR="003A6DF1" w:rsidRPr="005F1637" w:rsidRDefault="00AD0B47" w:rsidP="005F1637">
      <w:pPr>
        <w:pStyle w:val="JuHIRoman"/>
      </w:pPr>
      <w:bookmarkStart w:id="79" w:name="_Toc158038998"/>
      <w:bookmarkStart w:id="80" w:name="_Toc171171617"/>
      <w:r>
        <w:t>MOTIVAREA CURȚII</w:t>
      </w:r>
      <w:bookmarkEnd w:id="79"/>
      <w:bookmarkEnd w:id="80"/>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75</w:t>
      </w:r>
      <w:r w:rsidRPr="005F1637">
        <w:fldChar w:fldCharType="end"/>
      </w:r>
      <w:r>
        <w:t>.  Nu este necesar ca Curtea să răspundă la toate argumentele prezentate de Guvern, dat fiind că, în orice caz, cererea reclamantului este inadmisibilă, pentru motivul expus în continuare.</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76</w:t>
      </w:r>
      <w:r w:rsidRPr="005F1637">
        <w:fldChar w:fldCharType="end"/>
      </w:r>
      <w:r>
        <w:t xml:space="preserve">.  Curtea face trimitere la principiile generale privind calitatea de victimă, în sensul art. 34, a persoanelor fizice care formulează, din perspectiva art. 2 și 8 din Convenție, capete de cerere cu privire la schimbările </w:t>
      </w:r>
      <w:r>
        <w:lastRenderedPageBreak/>
        <w:t xml:space="preserve">climatice, prezentate în hotărârea </w:t>
      </w:r>
      <w:r>
        <w:rPr>
          <w:i/>
        </w:rPr>
        <w:t xml:space="preserve">Verein KlimaSeniorinnen Schweiz și alții </w:t>
      </w:r>
      <w:r>
        <w:t>(citată anterior, pct. 487-488).</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77</w:t>
      </w:r>
      <w:r w:rsidRPr="005F1637">
        <w:fldChar w:fldCharType="end"/>
      </w:r>
      <w:r>
        <w:t xml:space="preserve">.  În speță este de reținut mai întâi că, în procedura inițiată de reclamant în ianuarie 2019 în fața Consiliului de Stat, pe de o parte în nume propriu și, pe de altă parte, în calitate de primar al comunei Grande-Synthe, în numele și pe seama acesteia, el și-a întemeiat plângerea pe condițiile locale deosebite din regiunea în care se află Grande-Synthe (supra, pct. </w:t>
      </w:r>
      <w:r w:rsidR="00AD0B47" w:rsidRPr="005F1637">
        <w:fldChar w:fldCharType="begin"/>
      </w:r>
      <w:r w:rsidR="00AD0B47" w:rsidRPr="005F1637">
        <w:instrText xml:space="preserve"> REF paragraph00014 \h  \* CharFormat </w:instrText>
      </w:r>
      <w:r w:rsidR="00AD0B47" w:rsidRPr="005F1637">
        <w:fldChar w:fldCharType="separate"/>
      </w:r>
      <w:r w:rsidRPr="005F1637">
        <w:t>13</w:t>
      </w:r>
      <w:r w:rsidR="00AD0B47" w:rsidRPr="005F1637">
        <w:fldChar w:fldCharType="end"/>
      </w:r>
      <w:r>
        <w:t>-</w:t>
      </w:r>
      <w:r w:rsidR="00AD0B47" w:rsidRPr="005F1637">
        <w:fldChar w:fldCharType="begin"/>
      </w:r>
      <w:r w:rsidR="00AD0B47" w:rsidRPr="005F1637">
        <w:instrText xml:space="preserve"> REF paragraph00019 \h  \* CharFormat </w:instrText>
      </w:r>
      <w:r w:rsidR="00AD0B47" w:rsidRPr="005F1637">
        <w:fldChar w:fldCharType="separate"/>
      </w:r>
      <w:r w:rsidRPr="005F1637">
        <w:t>18</w:t>
      </w:r>
      <w:r w:rsidR="00AD0B47" w:rsidRPr="005F1637">
        <w:fldChar w:fldCharType="end"/>
      </w:r>
      <w:r>
        <w:t xml:space="preserve">). </w:t>
      </w:r>
      <w:r>
        <w:rPr>
          <w:rFonts w:ascii="Times New Roman" w:hAnsi="Times New Roman"/>
        </w:rPr>
        <w:t xml:space="preserve">A subliniat, în special, riscul de înaintare a apelor maritime pe teritoriul comunei, decurgând pe de o parte din acțiunea insuficientă a guvernului în materie de atenuare a schimbărilor climatice și, pe de altă parte, din faptul că infrastructurile locale nu erau concepute pentru a face față efectelor actuale ale schimbărilor climatice. A </w:t>
      </w:r>
      <w:r w:rsidR="00CE7D9A">
        <w:rPr>
          <w:rFonts w:ascii="Times New Roman" w:hAnsi="Times New Roman"/>
        </w:rPr>
        <w:t>arătat</w:t>
      </w:r>
      <w:r>
        <w:rPr>
          <w:rFonts w:ascii="Times New Roman" w:hAnsi="Times New Roman"/>
        </w:rPr>
        <w:t xml:space="preserve">, totodată, că imobilul în care locuia se afla la mai puțin de patru km de coastă și că, potrivit anumitor proiecții, risca să fie acoperit de ape până în 2040 din cauza efectelor schimbărilor climatice. </w:t>
      </w:r>
      <w:r>
        <w:t>A menționat că</w:t>
      </w:r>
      <w:r>
        <w:rPr>
          <w:rFonts w:ascii="Times New Roman" w:hAnsi="Times New Roman"/>
        </w:rPr>
        <w:t xml:space="preserve"> nu a introdus acțiunea în calitate de simplu cetățean, ci în calitate de justițiabil care avea interesul determinat să acționeze întrucât locuința sa era expusă, conform acestuia, în viitorul previzibil, la un risc real de inundații legate de schimbările climatice, ceea ce ar avea repercusiuni asupra bunurilor sale și a cadrului său de viață (</w:t>
      </w:r>
      <w:r>
        <w:t xml:space="preserve">supra, pct. </w:t>
      </w:r>
      <w:r w:rsidR="00AD0B47" w:rsidRPr="005F1637">
        <w:fldChar w:fldCharType="begin"/>
      </w:r>
      <w:r w:rsidR="00AD0B47" w:rsidRPr="005F1637">
        <w:instrText xml:space="preserve"> REF paragraph00024 \h  \* CharFormat </w:instrText>
      </w:r>
      <w:r w:rsidR="00AD0B47" w:rsidRPr="005F1637">
        <w:fldChar w:fldCharType="separate"/>
      </w:r>
      <w:r w:rsidRPr="005F1637">
        <w:t>23</w:t>
      </w:r>
      <w:r w:rsidR="00AD0B47" w:rsidRPr="005F1637">
        <w:fldChar w:fldCharType="end"/>
      </w:r>
      <w:r>
        <w:t xml:space="preserve"> și </w:t>
      </w:r>
      <w:r w:rsidR="00AD0B47" w:rsidRPr="005F1637">
        <w:fldChar w:fldCharType="begin"/>
      </w:r>
      <w:r w:rsidR="00AD0B47" w:rsidRPr="005F1637">
        <w:instrText xml:space="preserve"> REF paragraph00025 \h  \* CharFormat </w:instrText>
      </w:r>
      <w:r w:rsidR="00AD0B47" w:rsidRPr="005F1637">
        <w:fldChar w:fldCharType="separate"/>
      </w:r>
      <w:r w:rsidRPr="005F1637">
        <w:t>24</w:t>
      </w:r>
      <w:r w:rsidR="00AD0B47" w:rsidRPr="005F1637">
        <w:fldChar w:fldCharType="end"/>
      </w:r>
      <w:r>
        <w:t>).</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78</w:t>
      </w:r>
      <w:r w:rsidRPr="005F1637">
        <w:fldChar w:fldCharType="end"/>
      </w:r>
      <w:r>
        <w:t>.  Potrivit Consiliului de Stat,</w:t>
      </w:r>
      <w:r>
        <w:rPr>
          <w:rFonts w:ascii="Times New Roman" w:hAnsi="Times New Roman"/>
        </w:rPr>
        <w:t xml:space="preserve"> sectorul în care se află comuna era considerat ca având un „indice foarte puternic de expunere la riscurile climatice” și că, având în vedere proximitatea imediată cu litoralul și caracteristicile fizice ale teritoriului său, era expusă pe termen mediu unor riscuri crescute și ridicate de inundații, unei amplificări a episoadelor de secetă puternică având ca incidență nu doar scăderea și degradarea resursei de apă, ci și pagube importante pe spațiile construite, ținând seama de caracteristicile geologice ale teritoriului. </w:t>
      </w:r>
      <w:r>
        <w:t>A adăugat că</w:t>
      </w:r>
      <w:r>
        <w:rPr>
          <w:rFonts w:ascii="Times New Roman" w:hAnsi="Times New Roman"/>
        </w:rPr>
        <w:t>, deși aceste consecințe concrete ale schimbărilor climatice nu și-ar putea manifesta toate efectele pe teritoriul comunei decât în 2030 sau 2040, „caracterul lor ineluctabil”, în absența unor măsuri eficiente aplicate rapid pentru a preveni cauzele acestora și pe baza perspectivei politicilor publice în materie, era de natură să justifice necesitatea de „a acționa de îndată” (</w:t>
      </w:r>
      <w:r>
        <w:t xml:space="preserve">supra, pct. </w:t>
      </w:r>
      <w:r w:rsidR="00AD0B47" w:rsidRPr="005F1637">
        <w:fldChar w:fldCharType="begin"/>
      </w:r>
      <w:r w:rsidR="00AD0B47" w:rsidRPr="005F1637">
        <w:instrText xml:space="preserve"> REF paragraph00129 \h  \* CharFormat </w:instrText>
      </w:r>
      <w:r w:rsidR="00AD0B47" w:rsidRPr="005F1637">
        <w:fldChar w:fldCharType="separate"/>
      </w:r>
      <w:r w:rsidRPr="005F1637">
        <w:t>28</w:t>
      </w:r>
      <w:r w:rsidR="00AD0B47" w:rsidRPr="005F1637">
        <w:fldChar w:fldCharType="end"/>
      </w:r>
      <w:r>
        <w:t>).</w:t>
      </w:r>
    </w:p>
    <w:bookmarkStart w:id="81" w:name="paragraph00503"/>
    <w:p w:rsidR="003A6DF1" w:rsidRPr="005F1637" w:rsidRDefault="00AD0B47" w:rsidP="005F1637">
      <w:pPr>
        <w:pStyle w:val="JuPara"/>
      </w:pPr>
      <w:r w:rsidRPr="005F1637">
        <w:fldChar w:fldCharType="begin"/>
      </w:r>
      <w:r w:rsidRPr="005F1637">
        <w:instrText xml:space="preserve"> SEQ level0 \*arabic \* MERGEFORMAT </w:instrText>
      </w:r>
      <w:r w:rsidRPr="005F1637">
        <w:fldChar w:fldCharType="separate"/>
      </w:r>
      <w:r w:rsidR="005F1637" w:rsidRPr="005F1637">
        <w:t>79</w:t>
      </w:r>
      <w:r w:rsidRPr="005F1637">
        <w:fldChar w:fldCharType="end"/>
      </w:r>
      <w:bookmarkEnd w:id="81"/>
      <w:r>
        <w:t>.  </w:t>
      </w:r>
      <w:r>
        <w:rPr>
          <w:rFonts w:ascii="Times New Roman" w:hAnsi="Times New Roman"/>
        </w:rPr>
        <w:t xml:space="preserve">Cu toate acestea, deși Consiliul de Stat a recunoscut că comuna Grande-Synthe avea interesul de a acționa, acesta a concluzionat, având în vedere situația particulară a reclamantului, că nu justifica interesul care să îi confere calitatea procesuală activă pentru a introduce o acțiune pentru simplul motiv că locuința sa actuală era situată într-o zonă posibil supusă unor inundații până în 2040. </w:t>
      </w:r>
      <w:r>
        <w:t>A urmat</w:t>
      </w:r>
      <w:r>
        <w:rPr>
          <w:rFonts w:ascii="Times New Roman" w:hAnsi="Times New Roman"/>
        </w:rPr>
        <w:t xml:space="preserve"> concluziile raportorului public, conform cărora nu există niciun indiciu cu privire la reședința reclamantului în anii următori, </w:t>
      </w:r>
      <w:r>
        <w:rPr>
          <w:rFonts w:ascii="Times New Roman" w:hAnsi="Times New Roman"/>
          <w:i/>
        </w:rPr>
        <w:t>a fortiori</w:t>
      </w:r>
      <w:r>
        <w:rPr>
          <w:rFonts w:ascii="Times New Roman" w:hAnsi="Times New Roman"/>
        </w:rPr>
        <w:t xml:space="preserve"> în 20 de ani sau mai mult, astfel încât interesul său părea afectat</w:t>
      </w:r>
      <w:r>
        <w:t xml:space="preserve"> într-un mod prea nesigur (supra, pct. </w:t>
      </w:r>
      <w:r w:rsidRPr="005F1637">
        <w:fldChar w:fldCharType="begin"/>
      </w:r>
      <w:r w:rsidRPr="005F1637">
        <w:instrText xml:space="preserve"> REF paragraph00029 \h  \* CharFormat </w:instrText>
      </w:r>
      <w:r w:rsidRPr="005F1637">
        <w:fldChar w:fldCharType="separate"/>
      </w:r>
      <w:r w:rsidR="005F1637" w:rsidRPr="005F1637">
        <w:t>29</w:t>
      </w:r>
      <w:r w:rsidRPr="005F1637">
        <w:fldChar w:fldCharType="end"/>
      </w:r>
      <w:r>
        <w:t>).</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80</w:t>
      </w:r>
      <w:r w:rsidRPr="005F1637">
        <w:fldChar w:fldCharType="end"/>
      </w:r>
      <w:r>
        <w:t xml:space="preserve">.  În lumina elementelor </w:t>
      </w:r>
      <w:r>
        <w:rPr>
          <w:rFonts w:ascii="Times New Roman" w:hAnsi="Times New Roman"/>
        </w:rPr>
        <w:t xml:space="preserve">care stabilesc calitatea de victimă așa cum au fost prezentate în hotărârea </w:t>
      </w:r>
      <w:r>
        <w:rPr>
          <w:i/>
        </w:rPr>
        <w:t xml:space="preserve">Verein KlimaSeniorinnen Schweiz și alții </w:t>
      </w:r>
      <w:r>
        <w:t>(citată anterior, pct. 487</w:t>
      </w:r>
      <w:r>
        <w:noBreakHyphen/>
        <w:t>488),</w:t>
      </w:r>
      <w:r>
        <w:rPr>
          <w:rFonts w:ascii="Times New Roman" w:hAnsi="Times New Roman"/>
        </w:rPr>
        <w:t xml:space="preserve"> Curtea nu identifică, în ceea ce o privește, niciun </w:t>
      </w:r>
      <w:r>
        <w:rPr>
          <w:rFonts w:ascii="Times New Roman" w:hAnsi="Times New Roman"/>
        </w:rPr>
        <w:lastRenderedPageBreak/>
        <w:t>motiv de a se abate de la concluziile reținute de Consiliul de Stat cu privire la caracterul ipotetic al riscului legat de schimbările climatice în privința reclamantului</w:t>
      </w:r>
      <w:r>
        <w:t>.</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81</w:t>
      </w:r>
      <w:r w:rsidRPr="005F1637">
        <w:fldChar w:fldCharType="end"/>
      </w:r>
      <w:r>
        <w:t xml:space="preserve">.  În plus, este esențial de reținut că, potrivit declarațiilor pe care le-a făcut în ședință ca răspuns la întrebările judecătorilor, reclamantul s-a stabilit în Bruxelles în urma alegerii sale în Parlamentul European în mai 2019 (supra, pct. </w:t>
      </w:r>
      <w:r w:rsidR="00AD0B47" w:rsidRPr="005F1637">
        <w:fldChar w:fldCharType="begin"/>
      </w:r>
      <w:r w:rsidR="00AD0B47" w:rsidRPr="005F1637">
        <w:instrText xml:space="preserve"> REF paragraph0009 \h </w:instrText>
      </w:r>
      <w:r w:rsidR="00AD0B47" w:rsidRPr="005F1637">
        <w:fldChar w:fldCharType="separate"/>
      </w:r>
      <w:r w:rsidRPr="005F1637">
        <w:t>9</w:t>
      </w:r>
      <w:r w:rsidR="00AD0B47" w:rsidRPr="005F1637">
        <w:fldChar w:fldCharType="end"/>
      </w:r>
      <w:r>
        <w:t xml:space="preserve"> și </w:t>
      </w:r>
      <w:r w:rsidR="00AD0B47" w:rsidRPr="005F1637">
        <w:fldChar w:fldCharType="begin"/>
      </w:r>
      <w:r w:rsidR="00AD0B47" w:rsidRPr="005F1637">
        <w:instrText xml:space="preserve"> REF paragraph00053 \h  \* CharFormat </w:instrText>
      </w:r>
      <w:r w:rsidR="00AD0B47" w:rsidRPr="005F1637">
        <w:fldChar w:fldCharType="separate"/>
      </w:r>
      <w:r w:rsidRPr="005F1637">
        <w:t>68</w:t>
      </w:r>
      <w:r w:rsidR="00AD0B47" w:rsidRPr="005F1637">
        <w:fldChar w:fldCharType="end"/>
      </w:r>
      <w:r>
        <w:t>). Acesta nu este proprietar și nici locatar al unei proprietăți din Grande-Synthe, în prezent singura legătură concretă dintre el și comună fiind faptul că fratele său locuiește acolo. În această privință, Curtea reamintește că, conform jurisprudenței sale constante, frații și surorile adulți nu se pot prevala de latura art. 8 privind viața de familie, cu excepția cazului în care dovedesc existența unor elemente suplimentare de dependență, lucru care nu este valabil în cazul de față (a se vedea, de exemplu,</w:t>
      </w:r>
      <w:bookmarkStart w:id="82" w:name="_cl42456"/>
      <w:r>
        <w:t xml:space="preserve"> </w:t>
      </w:r>
      <w:bookmarkStart w:id="83" w:name="_cl42375"/>
      <w:r>
        <w:rPr>
          <w:i/>
        </w:rPr>
        <w:t>Mamasakhlisi și alții împotriva Georgiei și Rusiei</w:t>
      </w:r>
      <w:bookmarkEnd w:id="83"/>
      <w:r>
        <w:t>, nr. 29999/04 și 41424/04, pct. 282, 7 martie 2023, cu trimiterile suplimentare).</w:t>
      </w:r>
      <w:bookmarkEnd w:id="82"/>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82</w:t>
      </w:r>
      <w:r w:rsidRPr="005F1637">
        <w:fldChar w:fldCharType="end"/>
      </w:r>
      <w:r>
        <w:t xml:space="preserve">.  De altfel, Curtea reține că în cererea inițială, introdusă la 28 ianuarie 2021 (supra, pct. </w:t>
      </w:r>
      <w:r w:rsidR="00AD0B47" w:rsidRPr="005F1637">
        <w:fldChar w:fldCharType="begin"/>
      </w:r>
      <w:r w:rsidR="00AD0B47" w:rsidRPr="005F1637">
        <w:instrText xml:space="preserve"> REF paragraph0001 \h </w:instrText>
      </w:r>
      <w:r w:rsidR="00AD0B47" w:rsidRPr="005F1637">
        <w:fldChar w:fldCharType="separate"/>
      </w:r>
      <w:r w:rsidRPr="005F1637">
        <w:t>1</w:t>
      </w:r>
      <w:r w:rsidR="00AD0B47" w:rsidRPr="005F1637">
        <w:fldChar w:fldCharType="end"/>
      </w:r>
      <w:r>
        <w:t xml:space="preserve">), reclamantul a indicat o adresă din Grande-Synthe, deși la data respectivă nu mai locuia în această comună, ci la Bruxelles (supra, pct. </w:t>
      </w:r>
      <w:r w:rsidR="00AD0B47" w:rsidRPr="005F1637">
        <w:fldChar w:fldCharType="begin"/>
      </w:r>
      <w:r w:rsidR="00AD0B47" w:rsidRPr="005F1637">
        <w:instrText xml:space="preserve"> REF paragraph0009 \h </w:instrText>
      </w:r>
      <w:r w:rsidR="00AD0B47" w:rsidRPr="005F1637">
        <w:fldChar w:fldCharType="separate"/>
      </w:r>
      <w:r w:rsidRPr="005F1637">
        <w:t>9</w:t>
      </w:r>
      <w:r w:rsidR="00AD0B47" w:rsidRPr="005F1637">
        <w:fldChar w:fldCharType="end"/>
      </w:r>
      <w:r>
        <w:t xml:space="preserve"> și </w:t>
      </w:r>
      <w:r w:rsidR="00AD0B47" w:rsidRPr="005F1637">
        <w:fldChar w:fldCharType="begin"/>
      </w:r>
      <w:r w:rsidR="00AD0B47" w:rsidRPr="005F1637">
        <w:instrText xml:space="preserve"> REF paragraph00053 \h  \* CharFormat </w:instrText>
      </w:r>
      <w:r w:rsidR="00AD0B47" w:rsidRPr="005F1637">
        <w:fldChar w:fldCharType="separate"/>
      </w:r>
      <w:r w:rsidRPr="005F1637">
        <w:t>68</w:t>
      </w:r>
      <w:r w:rsidR="00AD0B47" w:rsidRPr="005F1637">
        <w:fldChar w:fldCharType="end"/>
      </w:r>
      <w:r>
        <w:t xml:space="preserve">). În plus, Curtea subliniază recunoașterea tardivă de către reclamant a neconcordanței dintre locul real al reședinței sale și argumentele invocate în cererea în fața Curții, în care a afirmat că locuința sa din Grande-Synthe era amenințată de înaintarea apelor și că situația din prezent îl împiedica să considere cu liniște viitorul în domiciliul său (supra, pct. </w:t>
      </w:r>
      <w:r w:rsidR="00AD0B47" w:rsidRPr="005F1637">
        <w:fldChar w:fldCharType="begin"/>
      </w:r>
      <w:r w:rsidR="00AD0B47" w:rsidRPr="005F1637">
        <w:instrText xml:space="preserve"> REF paragraph00065 \h </w:instrText>
      </w:r>
      <w:r w:rsidR="00AD0B47" w:rsidRPr="005F1637">
        <w:fldChar w:fldCharType="separate"/>
      </w:r>
      <w:r w:rsidRPr="005F1637">
        <w:t>67</w:t>
      </w:r>
      <w:r w:rsidR="00AD0B47" w:rsidRPr="005F1637">
        <w:fldChar w:fldCharType="end"/>
      </w:r>
      <w:r>
        <w:t>).</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83</w:t>
      </w:r>
      <w:r w:rsidRPr="005F1637">
        <w:fldChar w:fldCharType="end"/>
      </w:r>
      <w:r>
        <w:t>.  În aceste condiții, având în vedere faptul că reclamantul nu probează o legătură relevantă cu comuna Grande-Synthe și că, în plus, nu trăiește în Franța în prezent, Curtea consideră că, în ceea ce privește afirmațiile despre riscurile legate de schimbările climatice care ar amenința comuna, reclamantul nu poate pretinde, sub niciunul dintre aspectele art. 8 care pot fi pertinente (viața privată, viață de familie sau domiciliu), calitatea de victimă în sensul art. 34 din Convenție, și aceasta independent de calitatea de care se prevalează, fie cea de cetățean, fie cea de fost rezident în Grande-Synthe. Aceleași considerații se aplică în ceea ce privește capătul de cerere formulat de reclamant în temeiul art. 2 din Convenție.</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84</w:t>
      </w:r>
      <w:r w:rsidRPr="005F1637">
        <w:fldChar w:fldCharType="end"/>
      </w:r>
      <w:r>
        <w:t xml:space="preserve">.  Dat fiind că oricine, sau aproape oricine, poate avea un motiv legitim să simtă o formă de anxietate în fața riscurilor viitoare reprezentate de efectele nefaste ale schimbărilor climatice, a hotărî că reclamantul ar putea pretinde calitatea de victimă face dificilă distincția dintre apărarea intereselor urmărite printr-o </w:t>
      </w:r>
      <w:r>
        <w:rPr>
          <w:i/>
        </w:rPr>
        <w:t>actio popularis</w:t>
      </w:r>
      <w:r>
        <w:t xml:space="preserve"> – nerecunoscută în sistemul Convenției – și situațiile în care există necesitatea imperioasă de a asigura protecția individuală a unui reclamant împotriva atingerilor pe care efectele schimbărilor climatice le pot aduce exercitării drepturilor sale fundamentale.</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85</w:t>
      </w:r>
      <w:r w:rsidRPr="005F1637">
        <w:fldChar w:fldCharType="end"/>
      </w:r>
      <w:r>
        <w:t xml:space="preserve">.  Cu privire la argumentul reclamantului constând în a susține că și-a prezentat cererea în calitatea sa de fost primar al Grande-Synthe, Curtea face trimitere la jurisprudența sa consacrată, potrivit căreia autoritățile </w:t>
      </w:r>
      <w:r>
        <w:lastRenderedPageBreak/>
        <w:t>descentralizate care exercită „funcții publice”, indiferent de gradul lor de autonomie față de organele centrale – ceea ce se aplică colectivităților teritoriale, și în special comunelor – sunt considerate „organizații guvernamentale” fără calitatea de a sesiza Curtea în temeiul art. 34 din Convenție [</w:t>
      </w:r>
      <w:bookmarkStart w:id="84" w:name="_cl1210"/>
      <w:r>
        <w:rPr>
          <w:i/>
        </w:rPr>
        <w:t>Assanidzé împotriva Georgiei</w:t>
      </w:r>
      <w:bookmarkEnd w:id="84"/>
      <w:r>
        <w:t xml:space="preserve"> (MC), nr. 71503/01, pct. 148, CEDO 2004-II, și </w:t>
      </w:r>
      <w:bookmarkStart w:id="85" w:name="_cl40407"/>
      <w:r>
        <w:rPr>
          <w:i/>
        </w:rPr>
        <w:t>Slovenia împotriva Croației</w:t>
      </w:r>
      <w:bookmarkEnd w:id="85"/>
      <w:r>
        <w:t xml:space="preserve"> (dec.) (MC), nr. 54155/16, pct. 61, 18 noiembrie 2020, cu trimiterile suplimentare]. Prin urmare, și independent de faptul că nu mai este primar al Grande-Synthe, Curtea a concluzionat că reclamantul nu are dreptul de a sesiza Curtea cu o cerere, nici de a-i prezenta un capăt de cerere, în numele acestei comune.</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86</w:t>
      </w:r>
      <w:r w:rsidRPr="005F1637">
        <w:fldChar w:fldCharType="end"/>
      </w:r>
      <w:r>
        <w:t>. În aceste condiții și în pofida concluziilor expuse supra în ceea ce privește Convenția, Curtea subliniază faptul că interesele locuitorilor din Grande-Synthe au fost susținute, în orice caz, în fața Consiliului de Stat de comuna lor în temeiul dreptului național.</w:t>
      </w:r>
    </w:p>
    <w:bookmarkStart w:id="86" w:name="paragraph00086"/>
    <w:p w:rsidR="003A6DF1" w:rsidRPr="005F1637" w:rsidRDefault="00AD0B47" w:rsidP="005F1637">
      <w:pPr>
        <w:pStyle w:val="JuPara"/>
      </w:pPr>
      <w:r w:rsidRPr="005F1637">
        <w:fldChar w:fldCharType="begin"/>
      </w:r>
      <w:r w:rsidRPr="005F1637">
        <w:instrText xml:space="preserve"> SEQ level0 \*arabic \* MERGEFORMAT </w:instrText>
      </w:r>
      <w:r w:rsidRPr="005F1637">
        <w:fldChar w:fldCharType="separate"/>
      </w:r>
      <w:r w:rsidR="005F1637" w:rsidRPr="005F1637">
        <w:t>87</w:t>
      </w:r>
      <w:r w:rsidRPr="005F1637">
        <w:fldChar w:fldCharType="end"/>
      </w:r>
      <w:bookmarkEnd w:id="86"/>
      <w:r>
        <w:t xml:space="preserve">.  În ceea ce privește în cele din urmă afecțiunea de astm a reclamantului (supra, pct. </w:t>
      </w:r>
      <w:r w:rsidRPr="005F1637">
        <w:fldChar w:fldCharType="begin"/>
      </w:r>
      <w:r w:rsidRPr="005F1637">
        <w:instrText xml:space="preserve"> REF paragraph00047 \h  \* CharFormat </w:instrText>
      </w:r>
      <w:r w:rsidRPr="005F1637">
        <w:fldChar w:fldCharType="separate"/>
      </w:r>
      <w:r w:rsidR="005F1637" w:rsidRPr="005F1637">
        <w:t>62</w:t>
      </w:r>
      <w:r w:rsidRPr="005F1637">
        <w:fldChar w:fldCharType="end"/>
      </w:r>
      <w:r>
        <w:t xml:space="preserve"> și </w:t>
      </w:r>
      <w:r w:rsidRPr="005F1637">
        <w:fldChar w:fldCharType="begin"/>
      </w:r>
      <w:r w:rsidRPr="005F1637">
        <w:instrText xml:space="preserve"> REF paragraph00066 \h </w:instrText>
      </w:r>
      <w:r w:rsidRPr="005F1637">
        <w:fldChar w:fldCharType="separate"/>
      </w:r>
      <w:r w:rsidR="005F1637" w:rsidRPr="005F1637">
        <w:t>67</w:t>
      </w:r>
      <w:r w:rsidRPr="005F1637">
        <w:fldChar w:fldCharType="end"/>
      </w:r>
      <w:r>
        <w:t>), trebuie subliniat faptul că acest argument nu figura în cererea inițială introdusă în fața Curții, fiind invocat pentru prima dată în observațiile transmise de reclamant Marii Camere la 17 noiembrie 2022. Acest element reprezintă un capăt de cerere nou și diferit și nu poate, așadar, să fie considerat ca fiind o dezvoltare a capătului de cerere inițial al reclamantului. În lipsa unor elemente de natură să demonstreze că reclamantul îndeplinește criteriile de admisibilitate definite la art. 35 § 1 din Convenție [art. 47 § 3.1 lit. b) și § 5.1 din Regulament], Marea Cameră și-a limitat examinarea la „cauza” cu care a fost sesizată în temeiul art. 30 din Convenție.</w:t>
      </w:r>
    </w:p>
    <w:p w:rsidR="003A6DF1" w:rsidRPr="005F1637" w:rsidRDefault="005F1637" w:rsidP="005F1637">
      <w:pPr>
        <w:pStyle w:val="JuPara"/>
      </w:pPr>
      <w:r w:rsidRPr="005F1637">
        <w:fldChar w:fldCharType="begin"/>
      </w:r>
      <w:r w:rsidR="00AD0B47">
        <w:instrText xml:space="preserve"> SEQ level0 \*arabic \* MERGEFORMAT </w:instrText>
      </w:r>
      <w:r w:rsidRPr="005F1637">
        <w:fldChar w:fldCharType="separate"/>
      </w:r>
      <w:r w:rsidRPr="005F1637">
        <w:t>88</w:t>
      </w:r>
      <w:r w:rsidRPr="005F1637">
        <w:fldChar w:fldCharType="end"/>
      </w:r>
      <w:r>
        <w:t xml:space="preserve">.  În concluzie, din considerațiile de mai sus rezultă că respectivul capăt de cerere al reclamantului, în măsura în care face parte din domeniul prezentei cauze (supra, pct. </w:t>
      </w:r>
      <w:r w:rsidR="00AD0B47" w:rsidRPr="005F1637">
        <w:fldChar w:fldCharType="begin"/>
      </w:r>
      <w:r w:rsidR="00AD0B47" w:rsidRPr="005F1637">
        <w:instrText xml:space="preserve"> REF paragraph00086 \h </w:instrText>
      </w:r>
      <w:r w:rsidR="00AD0B47" w:rsidRPr="005F1637">
        <w:fldChar w:fldCharType="separate"/>
      </w:r>
      <w:r w:rsidRPr="005F1637">
        <w:t>87</w:t>
      </w:r>
      <w:r w:rsidR="00AD0B47" w:rsidRPr="005F1637">
        <w:fldChar w:fldCharType="end"/>
      </w:r>
      <w:r>
        <w:t xml:space="preserve">), trebuie declarat inadmisibil pentru incompatibilitate </w:t>
      </w:r>
      <w:r>
        <w:rPr>
          <w:i/>
        </w:rPr>
        <w:t>ratione personae</w:t>
      </w:r>
      <w:r>
        <w:t xml:space="preserve"> cu dispozițiile Convenției, în sensul art. 35 § 3.</w:t>
      </w:r>
    </w:p>
    <w:p w:rsidR="003A6DF1" w:rsidRPr="005F1637" w:rsidRDefault="00AD0B47" w:rsidP="005F1637">
      <w:pPr>
        <w:pStyle w:val="JuParaLast"/>
      </w:pPr>
      <w:r>
        <w:t xml:space="preserve">Pentru aceste motive, în </w:t>
      </w:r>
      <w:r>
        <w:rPr>
          <w:color w:val="000000"/>
        </w:rPr>
        <w:t>unanimitate</w:t>
      </w:r>
      <w:r>
        <w:t>, Curtea</w:t>
      </w:r>
    </w:p>
    <w:p w:rsidR="003A6DF1" w:rsidRPr="005F1637" w:rsidRDefault="00AD0B47" w:rsidP="005F1637">
      <w:pPr>
        <w:pStyle w:val="DecList"/>
      </w:pPr>
      <w:r>
        <w:rPr>
          <w:i/>
          <w:iCs/>
        </w:rPr>
        <w:t>Declară</w:t>
      </w:r>
      <w:r>
        <w:t xml:space="preserve"> cererea inadmisibilă.</w:t>
      </w:r>
    </w:p>
    <w:p w:rsidR="003A6DF1" w:rsidRPr="005F1637" w:rsidRDefault="00AD0B47" w:rsidP="005F1637">
      <w:pPr>
        <w:pStyle w:val="JuParaLast"/>
        <w:keepNext w:val="0"/>
        <w:keepLines w:val="0"/>
      </w:pPr>
      <w:r>
        <w:t>Redactată în limbile engleză și franceză, apoi pronunțată în ședință publică la Palatul Drepturilor Omului din Strasbourg, la 9 aprilie 2024.</w:t>
      </w:r>
    </w:p>
    <w:p w:rsidR="003A6DF1" w:rsidRPr="005F1637" w:rsidRDefault="003A6DF1" w:rsidP="005F1637">
      <w:pPr>
        <w:pStyle w:val="JuParaLast"/>
        <w:keepNext w:val="0"/>
        <w:keepLines w:val="0"/>
      </w:pPr>
    </w:p>
    <w:p w:rsidR="003A6DF1" w:rsidRPr="005F1637" w:rsidRDefault="00AD0B47" w:rsidP="005F1637">
      <w:pPr>
        <w:pStyle w:val="JuSigned"/>
      </w:pPr>
      <w:r>
        <w:tab/>
        <w:t>Søren Prebensen</w:t>
      </w:r>
      <w:r>
        <w:tab/>
        <w:t>Síofra O’Leary</w:t>
      </w:r>
      <w:r>
        <w:br/>
      </w:r>
      <w:r>
        <w:tab/>
        <w:t>Grefier adjunct</w:t>
      </w:r>
      <w:r>
        <w:tab/>
        <w:t>Președinte</w:t>
      </w:r>
    </w:p>
    <w:p w:rsidR="00876F03" w:rsidRPr="005F1637" w:rsidRDefault="00876F03" w:rsidP="005F1637">
      <w:bookmarkStart w:id="87" w:name="_GoBack"/>
      <w:bookmarkEnd w:id="87"/>
    </w:p>
    <w:sectPr w:rsidR="00876F03" w:rsidRPr="005F1637">
      <w:headerReference w:type="even" r:id="rId11"/>
      <w:headerReference w:type="default" r:id="rId12"/>
      <w:footerReference w:type="default" r:id="rId13"/>
      <w:footnotePr>
        <w:numRestart w:val="eachSect"/>
      </w:footnotePr>
      <w:pgSz w:w="11906" w:h="16838" w:code="9"/>
      <w:pgMar w:top="2274" w:right="2274" w:bottom="2274" w:left="2274" w:header="1701"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DC1" w:rsidRDefault="00494DC1">
      <w:r>
        <w:separator/>
      </w:r>
    </w:p>
  </w:endnote>
  <w:endnote w:type="continuationSeparator" w:id="0">
    <w:p w:rsidR="00494DC1" w:rsidRDefault="00494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3352161"/>
      <w:docPartObj>
        <w:docPartGallery w:val="Page Numbers (Bottom of Page)"/>
        <w:docPartUnique/>
      </w:docPartObj>
    </w:sdtPr>
    <w:sdtEndPr/>
    <w:sdtContent>
      <w:p w:rsidR="00CE6826" w:rsidRDefault="00CE6826">
        <w:pPr>
          <w:pStyle w:val="Footer0"/>
        </w:pPr>
        <w:r>
          <w:tab/>
        </w:r>
        <w:r w:rsidRPr="00833782">
          <w:rPr>
            <w:sz w:val="18"/>
          </w:rPr>
          <w:fldChar w:fldCharType="begin"/>
        </w:r>
        <w:r w:rsidRPr="00833782">
          <w:rPr>
            <w:sz w:val="18"/>
          </w:rPr>
          <w:instrText xml:space="preserve"> PAGE </w:instrText>
        </w:r>
        <w:r w:rsidRPr="00833782">
          <w:rPr>
            <w:sz w:val="18"/>
          </w:rPr>
          <w:fldChar w:fldCharType="separate"/>
        </w:r>
        <w:r w:rsidR="00586FD6">
          <w:rPr>
            <w:noProof/>
            <w:sz w:val="18"/>
          </w:rPr>
          <w:t>22</w:t>
        </w:r>
        <w:r w:rsidRPr="00833782">
          <w:rPr>
            <w:sz w:val="18"/>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826" w:rsidRPr="00150BFA" w:rsidRDefault="00CE6826" w:rsidP="0020718E">
    <w:pPr>
      <w:jc w:val="center"/>
    </w:pPr>
    <w:r>
      <w:rPr>
        <w:noProof/>
        <w:lang w:val="en-US"/>
      </w:rPr>
      <w:drawing>
        <wp:inline distT="0" distB="0" distL="0" distR="0">
          <wp:extent cx="771525" cy="619125"/>
          <wp:effectExtent l="0" t="0" r="9525" b="9525"/>
          <wp:docPr id="4" name="Picture 4"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1525" cy="619125"/>
                  </a:xfrm>
                  <a:prstGeom prst="rect">
                    <a:avLst/>
                  </a:prstGeom>
                  <a:noFill/>
                  <a:ln>
                    <a:noFill/>
                  </a:ln>
                </pic:spPr>
              </pic:pic>
            </a:graphicData>
          </a:graphic>
        </wp:inline>
      </w:drawing>
    </w:r>
  </w:p>
  <w:p w:rsidR="00CE6826" w:rsidRPr="00F27D13" w:rsidRDefault="00CE6826" w:rsidP="00F27D13">
    <w:pPr>
      <w:pStyle w:val="Footer0"/>
      <w:jc w:val="center"/>
      <w:rPr>
        <w:sz w:val="4"/>
        <w:szCs w:val="4"/>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408908"/>
      <w:docPartObj>
        <w:docPartGallery w:val="Page Numbers (Bottom of Page)"/>
        <w:docPartUnique/>
      </w:docPartObj>
    </w:sdtPr>
    <w:sdtEndPr>
      <w:rPr>
        <w:sz w:val="18"/>
        <w:szCs w:val="18"/>
      </w:rPr>
    </w:sdtEndPr>
    <w:sdtContent>
      <w:p w:rsidR="00CE6826" w:rsidRPr="00833782" w:rsidRDefault="00CE6826" w:rsidP="00BD4180">
        <w:pPr>
          <w:pStyle w:val="Footer0"/>
          <w:rPr>
            <w:sz w:val="18"/>
            <w:szCs w:val="18"/>
          </w:rPr>
        </w:pPr>
        <w:r>
          <w:tab/>
        </w:r>
        <w:r w:rsidRPr="00A0681E">
          <w:rPr>
            <w:sz w:val="18"/>
          </w:rPr>
          <w:fldChar w:fldCharType="begin"/>
        </w:r>
        <w:r w:rsidRPr="00A0681E">
          <w:rPr>
            <w:sz w:val="18"/>
          </w:rPr>
          <w:instrText xml:space="preserve"> PAGE </w:instrText>
        </w:r>
        <w:r w:rsidRPr="00A0681E">
          <w:rPr>
            <w:sz w:val="18"/>
          </w:rPr>
          <w:fldChar w:fldCharType="separate"/>
        </w:r>
        <w:r w:rsidR="00586FD6">
          <w:rPr>
            <w:noProof/>
            <w:sz w:val="18"/>
          </w:rPr>
          <w:t>23</w:t>
        </w:r>
        <w:r w:rsidRPr="00A0681E">
          <w:rPr>
            <w:sz w:val="18"/>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DC1" w:rsidRPr="00F26AFF" w:rsidRDefault="00494DC1" w:rsidP="00516B59">
      <w:r w:rsidRPr="00F26AFF">
        <w:separator/>
      </w:r>
    </w:p>
  </w:footnote>
  <w:footnote w:type="continuationSeparator" w:id="0">
    <w:p w:rsidR="00494DC1" w:rsidRPr="00F26AFF" w:rsidRDefault="00494DC1" w:rsidP="00516B59">
      <w:r w:rsidRPr="00F26AFF">
        <w:continuationSeparator/>
      </w:r>
    </w:p>
  </w:footnote>
  <w:footnote w:id="1">
    <w:p w:rsidR="00CE6826" w:rsidRPr="00D416FD" w:rsidRDefault="00CE6826" w:rsidP="003A6DF1">
      <w:pPr>
        <w:pStyle w:val="FootnoteText"/>
      </w:pPr>
      <w:r>
        <w:rPr>
          <w:rStyle w:val="FootnoteReference"/>
        </w:rPr>
        <w:footnoteRef/>
      </w:r>
      <w:r>
        <w:t xml:space="preserve"> Acordul de la Paris, 12 decembrie 2015, Organizația Națiunilor Unite, Culegere de tratate, vol. 3156. </w:t>
      </w:r>
    </w:p>
  </w:footnote>
  <w:footnote w:id="2">
    <w:p w:rsidR="00CE6826" w:rsidRPr="00A46A29" w:rsidRDefault="00CE6826" w:rsidP="003A6DF1">
      <w:pPr>
        <w:pStyle w:val="FootnoteText"/>
      </w:pPr>
      <w:r>
        <w:rPr>
          <w:rStyle w:val="FootnoteReference"/>
        </w:rPr>
        <w:footnoteRef/>
      </w:r>
      <w:r>
        <w:t xml:space="preserve"> Regatul Țărilor de Jos împotriva Fundației Urgenda, 20 decembrie 2019, NL:HR:2019:2007.</w:t>
      </w:r>
    </w:p>
  </w:footnote>
  <w:footnote w:id="3">
    <w:p w:rsidR="00CE6826" w:rsidRPr="00AD36A9" w:rsidRDefault="00CE6826" w:rsidP="003A6DF1">
      <w:pPr>
        <w:pStyle w:val="FootnoteText"/>
      </w:pPr>
      <w:r>
        <w:rPr>
          <w:rStyle w:val="FootnoteReference"/>
        </w:rPr>
        <w:footnoteRef/>
      </w:r>
      <w:r>
        <w:t xml:space="preserve"> Accesibil pe: https://coastal.climatecentral.org (ultima consultare la 11/01/2024).</w:t>
      </w:r>
    </w:p>
  </w:footnote>
  <w:footnote w:id="4">
    <w:p w:rsidR="00CE6826" w:rsidRPr="003A5E5A" w:rsidRDefault="00CE6826" w:rsidP="003A6DF1">
      <w:pPr>
        <w:pStyle w:val="FootnoteText"/>
      </w:pPr>
      <w:r>
        <w:rPr>
          <w:rStyle w:val="FootnoteReference"/>
        </w:rPr>
        <w:footnoteRef/>
      </w:r>
      <w:r>
        <w:t xml:space="preserve"> Accesibil pe: https://www.hautconseilclimat.fr (ultima consultare la 11/01/2024).</w:t>
      </w:r>
    </w:p>
  </w:footnote>
  <w:footnote w:id="5">
    <w:p w:rsidR="00CE6826" w:rsidRPr="004E17B3" w:rsidRDefault="00CE6826" w:rsidP="003A6DF1">
      <w:pPr>
        <w:pStyle w:val="FootnoteText"/>
      </w:pPr>
      <w:r>
        <w:rPr>
          <w:rStyle w:val="FootnoteReference"/>
        </w:rPr>
        <w:footnoteRef/>
      </w:r>
      <w:r>
        <w:t xml:space="preserve"> Convenția-cadru a Organizației Națiunilor Unite asupra Schimbărilor Climatice, 9 mai 1992, Organizația Națiunilor Unite, Culegere de tratate, vol. 1771, p. 107.</w:t>
      </w:r>
    </w:p>
  </w:footnote>
  <w:footnote w:id="6">
    <w:p w:rsidR="00CE6826" w:rsidRPr="004E17B3" w:rsidRDefault="00CE6826" w:rsidP="003A6DF1">
      <w:pPr>
        <w:pStyle w:val="FootnoteText"/>
      </w:pPr>
      <w:r>
        <w:rPr>
          <w:rStyle w:val="FootnoteReference"/>
        </w:rPr>
        <w:footnoteRef/>
      </w:r>
      <w:r>
        <w:t xml:space="preserve"> A se vedea detaliul din Pachetul legislativ privind clima și energia până în 2020, accesibil pe: https://www.europa.eu (ultima consultare la 11/01/2024).</w:t>
      </w:r>
    </w:p>
  </w:footnote>
  <w:footnote w:id="7">
    <w:p w:rsidR="00CE6826" w:rsidRDefault="00CE6826" w:rsidP="003A6DF1">
      <w:pPr>
        <w:pStyle w:val="FootnoteText"/>
      </w:pPr>
      <w:r>
        <w:rPr>
          <w:rStyle w:val="FootnoteReference"/>
        </w:rPr>
        <w:footnoteRef/>
      </w:r>
      <w:r>
        <w:t xml:space="preserve"> Regulamentul (UE) 2018/842 al Parlamentului European și al Consiliului din 30 mai 2018 privind reducerea anuală obligatorie a emisiilor de gaze cu efect de seră de către statele membre în perioada 2021-2030 în vederea unei contribuții la acțiunile climatice de respectare a angajamentelor asumate în temeiul Acordului de la Paris și de modificare a Regulamentului (UE) nr. 525/2013 (JO L 156 din 19/06/2018, p. 26-42).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826" w:rsidRPr="0005536D" w:rsidRDefault="00CE6826" w:rsidP="00517DFF">
    <w:pPr>
      <w:jc w:val="right"/>
      <w:rPr>
        <w:i/>
      </w:rPr>
    </w:pPr>
    <w:r>
      <w:rPr>
        <w:i/>
      </w:rPr>
      <w:t>Tradus și revizuit de IER (</w:t>
    </w:r>
    <w:hyperlink r:id="rId1" w:history="1">
      <w:r>
        <w:rPr>
          <w:rStyle w:val="Hyperlink"/>
          <w:i/>
        </w:rPr>
        <w:t>http://ier.gov.ro/</w:t>
      </w:r>
    </w:hyperlink>
    <w:r>
      <w:rPr>
        <w:i/>
      </w:rPr>
      <w:t>)</w:t>
    </w:r>
  </w:p>
  <w:p w:rsidR="00CE6826" w:rsidRDefault="00CE6826" w:rsidP="00A45145">
    <w:pPr>
      <w:jc w:val="center"/>
      <w:rPr>
        <w:noProof/>
        <w:lang w:eastAsia="ro-RO"/>
      </w:rPr>
    </w:pPr>
  </w:p>
  <w:p w:rsidR="00CE6826" w:rsidRPr="00A45145" w:rsidRDefault="00CE6826" w:rsidP="00A45145">
    <w:pPr>
      <w:jc w:val="center"/>
    </w:pPr>
    <w:r>
      <w:rPr>
        <w:noProof/>
        <w:lang w:val="en-US"/>
      </w:rPr>
      <w:drawing>
        <wp:inline distT="0" distB="0" distL="0" distR="0">
          <wp:extent cx="2962275" cy="1219200"/>
          <wp:effectExtent l="0" t="0" r="9525" b="0"/>
          <wp:docPr id="3" name="Picture 3"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CE6826" w:rsidRDefault="00CE6826" w:rsidP="009840A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826" w:rsidRPr="009B150E" w:rsidRDefault="00CE6826" w:rsidP="004B7762">
    <w:pPr>
      <w:pStyle w:val="JuHeader"/>
    </w:pPr>
    <w:r>
      <w:t xml:space="preserve">DECIZIA CARÊME ÎMPOTRIVA FRANȚEI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6826" w:rsidRPr="004B7762" w:rsidRDefault="00CE6826" w:rsidP="004B7762">
    <w:pPr>
      <w:pStyle w:val="JuHeader"/>
    </w:pPr>
    <w:r>
      <w:t>DECIZIA CARÊME ÎMPOTRIVA FRANȚEI</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C0F5BFC"/>
    <w:multiLevelType w:val="multilevel"/>
    <w:tmpl w:val="EE20E2DE"/>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0"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1"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7D5546B"/>
    <w:multiLevelType w:val="multilevel"/>
    <w:tmpl w:val="7222064C"/>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907" w:hanging="22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5"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6" w15:restartNumberingAfterBreak="0">
    <w:nsid w:val="67FD1241"/>
    <w:multiLevelType w:val="hybridMultilevel"/>
    <w:tmpl w:val="F6D86CC2"/>
    <w:lvl w:ilvl="0" w:tplc="ED36D790">
      <w:start w:val="1"/>
      <w:numFmt w:val="bullet"/>
      <w:pStyle w:val="ListBullet"/>
      <w:lvlText w:val=""/>
      <w:lvlJc w:val="left"/>
      <w:pPr>
        <w:tabs>
          <w:tab w:val="num" w:pos="851"/>
        </w:tabs>
        <w:ind w:left="568" w:firstLine="0"/>
      </w:pPr>
      <w:rPr>
        <w:rFonts w:ascii="Wingdings" w:hAnsi="Wingdings" w:hint="default"/>
        <w:color w:val="808080"/>
        <w:sz w:val="16"/>
      </w:rPr>
    </w:lvl>
    <w:lvl w:ilvl="1" w:tplc="66BE0446" w:tentative="1">
      <w:start w:val="1"/>
      <w:numFmt w:val="bullet"/>
      <w:lvlText w:val="o"/>
      <w:lvlJc w:val="left"/>
      <w:pPr>
        <w:tabs>
          <w:tab w:val="num" w:pos="1724"/>
        </w:tabs>
        <w:ind w:left="1724" w:hanging="360"/>
      </w:pPr>
      <w:rPr>
        <w:rFonts w:ascii="Courier New" w:hAnsi="Courier New" w:cs="Courier New" w:hint="default"/>
      </w:rPr>
    </w:lvl>
    <w:lvl w:ilvl="2" w:tplc="6B82D8C4" w:tentative="1">
      <w:start w:val="1"/>
      <w:numFmt w:val="bullet"/>
      <w:lvlText w:val=""/>
      <w:lvlJc w:val="left"/>
      <w:pPr>
        <w:tabs>
          <w:tab w:val="num" w:pos="2444"/>
        </w:tabs>
        <w:ind w:left="2444" w:hanging="360"/>
      </w:pPr>
      <w:rPr>
        <w:rFonts w:ascii="Wingdings" w:hAnsi="Wingdings" w:hint="default"/>
      </w:rPr>
    </w:lvl>
    <w:lvl w:ilvl="3" w:tplc="6B204D2A" w:tentative="1">
      <w:start w:val="1"/>
      <w:numFmt w:val="bullet"/>
      <w:lvlText w:val=""/>
      <w:lvlJc w:val="left"/>
      <w:pPr>
        <w:tabs>
          <w:tab w:val="num" w:pos="3164"/>
        </w:tabs>
        <w:ind w:left="3164" w:hanging="360"/>
      </w:pPr>
      <w:rPr>
        <w:rFonts w:ascii="Symbol" w:hAnsi="Symbol" w:hint="default"/>
      </w:rPr>
    </w:lvl>
    <w:lvl w:ilvl="4" w:tplc="D61A5E92" w:tentative="1">
      <w:start w:val="1"/>
      <w:numFmt w:val="bullet"/>
      <w:lvlText w:val="o"/>
      <w:lvlJc w:val="left"/>
      <w:pPr>
        <w:tabs>
          <w:tab w:val="num" w:pos="3884"/>
        </w:tabs>
        <w:ind w:left="3884" w:hanging="360"/>
      </w:pPr>
      <w:rPr>
        <w:rFonts w:ascii="Courier New" w:hAnsi="Courier New" w:cs="Courier New" w:hint="default"/>
      </w:rPr>
    </w:lvl>
    <w:lvl w:ilvl="5" w:tplc="80D4E03C" w:tentative="1">
      <w:start w:val="1"/>
      <w:numFmt w:val="bullet"/>
      <w:lvlText w:val=""/>
      <w:lvlJc w:val="left"/>
      <w:pPr>
        <w:tabs>
          <w:tab w:val="num" w:pos="4604"/>
        </w:tabs>
        <w:ind w:left="4604" w:hanging="360"/>
      </w:pPr>
      <w:rPr>
        <w:rFonts w:ascii="Wingdings" w:hAnsi="Wingdings" w:hint="default"/>
      </w:rPr>
    </w:lvl>
    <w:lvl w:ilvl="6" w:tplc="0BF03DF2" w:tentative="1">
      <w:start w:val="1"/>
      <w:numFmt w:val="bullet"/>
      <w:lvlText w:val=""/>
      <w:lvlJc w:val="left"/>
      <w:pPr>
        <w:tabs>
          <w:tab w:val="num" w:pos="5324"/>
        </w:tabs>
        <w:ind w:left="5324" w:hanging="360"/>
      </w:pPr>
      <w:rPr>
        <w:rFonts w:ascii="Symbol" w:hAnsi="Symbol" w:hint="default"/>
      </w:rPr>
    </w:lvl>
    <w:lvl w:ilvl="7" w:tplc="B9DEF0E6" w:tentative="1">
      <w:start w:val="1"/>
      <w:numFmt w:val="bullet"/>
      <w:lvlText w:val="o"/>
      <w:lvlJc w:val="left"/>
      <w:pPr>
        <w:tabs>
          <w:tab w:val="num" w:pos="6044"/>
        </w:tabs>
        <w:ind w:left="6044" w:hanging="360"/>
      </w:pPr>
      <w:rPr>
        <w:rFonts w:ascii="Courier New" w:hAnsi="Courier New" w:cs="Courier New" w:hint="default"/>
      </w:rPr>
    </w:lvl>
    <w:lvl w:ilvl="8" w:tplc="62D4D1E0" w:tentative="1">
      <w:start w:val="1"/>
      <w:numFmt w:val="bullet"/>
      <w:lvlText w:val=""/>
      <w:lvlJc w:val="left"/>
      <w:pPr>
        <w:tabs>
          <w:tab w:val="num" w:pos="6764"/>
        </w:tabs>
        <w:ind w:left="6764" w:hanging="360"/>
      </w:pPr>
      <w:rPr>
        <w:rFonts w:ascii="Wingdings" w:hAnsi="Wingdings" w:hint="default"/>
      </w:rPr>
    </w:lvl>
  </w:abstractNum>
  <w:abstractNum w:abstractNumId="17" w15:restartNumberingAfterBreak="0">
    <w:nsid w:val="718C54F2"/>
    <w:multiLevelType w:val="multilevel"/>
    <w:tmpl w:val="7222064C"/>
    <w:numStyleLink w:val="ECHRA1StyleList"/>
  </w:abstractNum>
  <w:num w:numId="1">
    <w:abstractNumId w:val="13"/>
  </w:num>
  <w:num w:numId="2">
    <w:abstractNumId w:val="11"/>
  </w:num>
  <w:num w:numId="3">
    <w:abstractNumId w:val="10"/>
  </w:num>
  <w:num w:numId="4">
    <w:abstractNumId w:val="14"/>
  </w:num>
  <w:num w:numId="5">
    <w:abstractNumId w:val="12"/>
  </w:num>
  <w:num w:numId="6">
    <w:abstractNumId w:val="15"/>
  </w:num>
  <w:num w:numId="7">
    <w:abstractNumId w:val="14"/>
  </w:num>
  <w:num w:numId="8">
    <w:abstractNumId w:val="15"/>
  </w:num>
  <w:num w:numId="9">
    <w:abstractNumId w:val="9"/>
  </w:num>
  <w:num w:numId="10">
    <w:abstractNumId w:val="17"/>
  </w:num>
  <w:num w:numId="11">
    <w:abstractNumId w:val="16"/>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plicationsApp" w:val="1"/>
    <w:docVar w:name="EMM" w:val="0"/>
    <w:docVar w:name="LetCode" w:val="Arrêt "/>
    <w:docVar w:name="NBEMMDOC" w:val="0"/>
    <w:docVar w:name="Plural" w:val="0"/>
  </w:docVars>
  <w:rsids>
    <w:rsidRoot w:val="00F26AFF"/>
    <w:rsid w:val="000041F8"/>
    <w:rsid w:val="000042A8"/>
    <w:rsid w:val="00004308"/>
    <w:rsid w:val="00004A95"/>
    <w:rsid w:val="00005BF0"/>
    <w:rsid w:val="00007154"/>
    <w:rsid w:val="000103AE"/>
    <w:rsid w:val="00011D69"/>
    <w:rsid w:val="00012AD3"/>
    <w:rsid w:val="000156E6"/>
    <w:rsid w:val="00015C2D"/>
    <w:rsid w:val="00015F00"/>
    <w:rsid w:val="00022C1D"/>
    <w:rsid w:val="00023498"/>
    <w:rsid w:val="00034987"/>
    <w:rsid w:val="00051015"/>
    <w:rsid w:val="00057F16"/>
    <w:rsid w:val="000602DF"/>
    <w:rsid w:val="00061B05"/>
    <w:rsid w:val="000632D5"/>
    <w:rsid w:val="000644EE"/>
    <w:rsid w:val="00080ECE"/>
    <w:rsid w:val="000925AD"/>
    <w:rsid w:val="000A24EB"/>
    <w:rsid w:val="000B5D17"/>
    <w:rsid w:val="000B6923"/>
    <w:rsid w:val="000C166A"/>
    <w:rsid w:val="000C5F3C"/>
    <w:rsid w:val="000C6046"/>
    <w:rsid w:val="000C6DCC"/>
    <w:rsid w:val="000D04C2"/>
    <w:rsid w:val="000D47AA"/>
    <w:rsid w:val="000D6BC5"/>
    <w:rsid w:val="000D721F"/>
    <w:rsid w:val="000E069B"/>
    <w:rsid w:val="000E0E82"/>
    <w:rsid w:val="000E1DC5"/>
    <w:rsid w:val="000E223F"/>
    <w:rsid w:val="000E7D45"/>
    <w:rsid w:val="000F079B"/>
    <w:rsid w:val="000F19D8"/>
    <w:rsid w:val="000F2E95"/>
    <w:rsid w:val="000F51D1"/>
    <w:rsid w:val="000F7851"/>
    <w:rsid w:val="00104E23"/>
    <w:rsid w:val="00111B0C"/>
    <w:rsid w:val="00117CD2"/>
    <w:rsid w:val="00120D6C"/>
    <w:rsid w:val="001257EC"/>
    <w:rsid w:val="00133D33"/>
    <w:rsid w:val="00134D64"/>
    <w:rsid w:val="00135A30"/>
    <w:rsid w:val="0013612C"/>
    <w:rsid w:val="00137FF6"/>
    <w:rsid w:val="00141650"/>
    <w:rsid w:val="00150BFA"/>
    <w:rsid w:val="00152D88"/>
    <w:rsid w:val="00154ABD"/>
    <w:rsid w:val="00162967"/>
    <w:rsid w:val="00162A12"/>
    <w:rsid w:val="00166530"/>
    <w:rsid w:val="00166CD4"/>
    <w:rsid w:val="001832BD"/>
    <w:rsid w:val="00192D75"/>
    <w:rsid w:val="001943B5"/>
    <w:rsid w:val="00194C5B"/>
    <w:rsid w:val="00195134"/>
    <w:rsid w:val="001A145B"/>
    <w:rsid w:val="001A674C"/>
    <w:rsid w:val="001B3B24"/>
    <w:rsid w:val="001C0F98"/>
    <w:rsid w:val="001C2A42"/>
    <w:rsid w:val="001D098A"/>
    <w:rsid w:val="001D4699"/>
    <w:rsid w:val="001D63ED"/>
    <w:rsid w:val="001D7348"/>
    <w:rsid w:val="001E035B"/>
    <w:rsid w:val="001E0961"/>
    <w:rsid w:val="001E3476"/>
    <w:rsid w:val="001E3EAE"/>
    <w:rsid w:val="001E6F32"/>
    <w:rsid w:val="001E777E"/>
    <w:rsid w:val="001F2145"/>
    <w:rsid w:val="001F2670"/>
    <w:rsid w:val="001F39F4"/>
    <w:rsid w:val="001F6262"/>
    <w:rsid w:val="001F67B0"/>
    <w:rsid w:val="001F7B3D"/>
    <w:rsid w:val="002010F2"/>
    <w:rsid w:val="00205F9F"/>
    <w:rsid w:val="0020718E"/>
    <w:rsid w:val="00210338"/>
    <w:rsid w:val="00211457"/>
    <w:rsid w:val="002115FC"/>
    <w:rsid w:val="00212184"/>
    <w:rsid w:val="0021423C"/>
    <w:rsid w:val="00230D00"/>
    <w:rsid w:val="00231364"/>
    <w:rsid w:val="00231DF7"/>
    <w:rsid w:val="00231FD1"/>
    <w:rsid w:val="002339E0"/>
    <w:rsid w:val="00233CF8"/>
    <w:rsid w:val="0023575D"/>
    <w:rsid w:val="00237148"/>
    <w:rsid w:val="0024222D"/>
    <w:rsid w:val="00244B0E"/>
    <w:rsid w:val="00244F6C"/>
    <w:rsid w:val="002532C5"/>
    <w:rsid w:val="002546AE"/>
    <w:rsid w:val="00256F45"/>
    <w:rsid w:val="00260C03"/>
    <w:rsid w:val="0026540E"/>
    <w:rsid w:val="00275123"/>
    <w:rsid w:val="0028079B"/>
    <w:rsid w:val="00282240"/>
    <w:rsid w:val="00287CB0"/>
    <w:rsid w:val="002948AD"/>
    <w:rsid w:val="00296FAC"/>
    <w:rsid w:val="0029713E"/>
    <w:rsid w:val="0029739C"/>
    <w:rsid w:val="002A01CC"/>
    <w:rsid w:val="002A61B1"/>
    <w:rsid w:val="002A663C"/>
    <w:rsid w:val="002B444B"/>
    <w:rsid w:val="002B5887"/>
    <w:rsid w:val="002B6676"/>
    <w:rsid w:val="002C0E27"/>
    <w:rsid w:val="002C1558"/>
    <w:rsid w:val="002C3040"/>
    <w:rsid w:val="002D022D"/>
    <w:rsid w:val="002D24BB"/>
    <w:rsid w:val="002F29AA"/>
    <w:rsid w:val="002F2AF7"/>
    <w:rsid w:val="002F7E1C"/>
    <w:rsid w:val="00301A75"/>
    <w:rsid w:val="00302F70"/>
    <w:rsid w:val="0030336F"/>
    <w:rsid w:val="0030375E"/>
    <w:rsid w:val="0030660C"/>
    <w:rsid w:val="00312A30"/>
    <w:rsid w:val="00316323"/>
    <w:rsid w:val="00320F72"/>
    <w:rsid w:val="0032463E"/>
    <w:rsid w:val="00326224"/>
    <w:rsid w:val="00337EE4"/>
    <w:rsid w:val="00340FFD"/>
    <w:rsid w:val="003506B1"/>
    <w:rsid w:val="00355DA6"/>
    <w:rsid w:val="00356AC7"/>
    <w:rsid w:val="003609FA"/>
    <w:rsid w:val="003625CE"/>
    <w:rsid w:val="00367B4F"/>
    <w:rsid w:val="003710C8"/>
    <w:rsid w:val="00374D08"/>
    <w:rsid w:val="003750BE"/>
    <w:rsid w:val="00387B9D"/>
    <w:rsid w:val="0039364F"/>
    <w:rsid w:val="00396686"/>
    <w:rsid w:val="0039778E"/>
    <w:rsid w:val="003A37B8"/>
    <w:rsid w:val="003A5E5A"/>
    <w:rsid w:val="003A6DF1"/>
    <w:rsid w:val="003B3CCC"/>
    <w:rsid w:val="003B4941"/>
    <w:rsid w:val="003B6A2E"/>
    <w:rsid w:val="003C5714"/>
    <w:rsid w:val="003C6B9F"/>
    <w:rsid w:val="003C6E2A"/>
    <w:rsid w:val="003D0299"/>
    <w:rsid w:val="003D32BE"/>
    <w:rsid w:val="003E6D80"/>
    <w:rsid w:val="003F05FA"/>
    <w:rsid w:val="003F244A"/>
    <w:rsid w:val="003F30B8"/>
    <w:rsid w:val="003F4C45"/>
    <w:rsid w:val="003F5F7B"/>
    <w:rsid w:val="003F7D64"/>
    <w:rsid w:val="00401CDF"/>
    <w:rsid w:val="00401F7D"/>
    <w:rsid w:val="0041177B"/>
    <w:rsid w:val="00414300"/>
    <w:rsid w:val="004243E3"/>
    <w:rsid w:val="00425C67"/>
    <w:rsid w:val="00427E7A"/>
    <w:rsid w:val="00431C07"/>
    <w:rsid w:val="00436C49"/>
    <w:rsid w:val="00445366"/>
    <w:rsid w:val="00447F5B"/>
    <w:rsid w:val="00456549"/>
    <w:rsid w:val="004604A0"/>
    <w:rsid w:val="00461DB0"/>
    <w:rsid w:val="00463926"/>
    <w:rsid w:val="00464C9A"/>
    <w:rsid w:val="00474F3D"/>
    <w:rsid w:val="00477E3A"/>
    <w:rsid w:val="00483E5F"/>
    <w:rsid w:val="00485FF9"/>
    <w:rsid w:val="004907F0"/>
    <w:rsid w:val="0049140B"/>
    <w:rsid w:val="004923A5"/>
    <w:rsid w:val="00494DC1"/>
    <w:rsid w:val="00496197"/>
    <w:rsid w:val="00496BFB"/>
    <w:rsid w:val="004A15C7"/>
    <w:rsid w:val="004B013B"/>
    <w:rsid w:val="004B112B"/>
    <w:rsid w:val="004B7762"/>
    <w:rsid w:val="004C01E4"/>
    <w:rsid w:val="004C086C"/>
    <w:rsid w:val="004C1A3F"/>
    <w:rsid w:val="004C1F56"/>
    <w:rsid w:val="004C27BC"/>
    <w:rsid w:val="004D15F3"/>
    <w:rsid w:val="004D5311"/>
    <w:rsid w:val="004D5DCC"/>
    <w:rsid w:val="004E17B3"/>
    <w:rsid w:val="004E22F1"/>
    <w:rsid w:val="004E470B"/>
    <w:rsid w:val="004F10AF"/>
    <w:rsid w:val="004F11A4"/>
    <w:rsid w:val="004F1ACD"/>
    <w:rsid w:val="004F2389"/>
    <w:rsid w:val="004F304D"/>
    <w:rsid w:val="004F61BE"/>
    <w:rsid w:val="004F66B1"/>
    <w:rsid w:val="00511C07"/>
    <w:rsid w:val="00513337"/>
    <w:rsid w:val="00516B59"/>
    <w:rsid w:val="005173A6"/>
    <w:rsid w:val="00517DFF"/>
    <w:rsid w:val="00520BAA"/>
    <w:rsid w:val="00522ABA"/>
    <w:rsid w:val="00524C29"/>
    <w:rsid w:val="00525208"/>
    <w:rsid w:val="005257A5"/>
    <w:rsid w:val="005264C0"/>
    <w:rsid w:val="00526A8A"/>
    <w:rsid w:val="00531DF2"/>
    <w:rsid w:val="005442EE"/>
    <w:rsid w:val="00547353"/>
    <w:rsid w:val="005474E7"/>
    <w:rsid w:val="005512A3"/>
    <w:rsid w:val="00556C52"/>
    <w:rsid w:val="005578CE"/>
    <w:rsid w:val="00562781"/>
    <w:rsid w:val="005637CB"/>
    <w:rsid w:val="00566E2B"/>
    <w:rsid w:val="0057271C"/>
    <w:rsid w:val="00572845"/>
    <w:rsid w:val="00576986"/>
    <w:rsid w:val="00586349"/>
    <w:rsid w:val="00586FD6"/>
    <w:rsid w:val="005905C8"/>
    <w:rsid w:val="00592772"/>
    <w:rsid w:val="0059574A"/>
    <w:rsid w:val="005A1B9B"/>
    <w:rsid w:val="005A6751"/>
    <w:rsid w:val="005B092E"/>
    <w:rsid w:val="005B152C"/>
    <w:rsid w:val="005B1EE0"/>
    <w:rsid w:val="005B2B24"/>
    <w:rsid w:val="005B4425"/>
    <w:rsid w:val="005B4B94"/>
    <w:rsid w:val="005C353F"/>
    <w:rsid w:val="005C3EE8"/>
    <w:rsid w:val="005C4228"/>
    <w:rsid w:val="005D0616"/>
    <w:rsid w:val="005D34F9"/>
    <w:rsid w:val="005D370F"/>
    <w:rsid w:val="005D4190"/>
    <w:rsid w:val="005D67A3"/>
    <w:rsid w:val="005E2988"/>
    <w:rsid w:val="005E3085"/>
    <w:rsid w:val="005F1637"/>
    <w:rsid w:val="005F4A6A"/>
    <w:rsid w:val="005F51E1"/>
    <w:rsid w:val="00611C80"/>
    <w:rsid w:val="00613B21"/>
    <w:rsid w:val="006144F8"/>
    <w:rsid w:val="00620692"/>
    <w:rsid w:val="006242CA"/>
    <w:rsid w:val="00627507"/>
    <w:rsid w:val="00633717"/>
    <w:rsid w:val="006344E1"/>
    <w:rsid w:val="006361FD"/>
    <w:rsid w:val="00641D99"/>
    <w:rsid w:val="00646D33"/>
    <w:rsid w:val="006545C4"/>
    <w:rsid w:val="006556B6"/>
    <w:rsid w:val="00656735"/>
    <w:rsid w:val="00661971"/>
    <w:rsid w:val="00661B9D"/>
    <w:rsid w:val="00661CE8"/>
    <w:rsid w:val="006623D9"/>
    <w:rsid w:val="0066550C"/>
    <w:rsid w:val="006716F2"/>
    <w:rsid w:val="00682BF2"/>
    <w:rsid w:val="006859CE"/>
    <w:rsid w:val="00685C40"/>
    <w:rsid w:val="00691270"/>
    <w:rsid w:val="00692B82"/>
    <w:rsid w:val="00694BA8"/>
    <w:rsid w:val="006A037C"/>
    <w:rsid w:val="006A2381"/>
    <w:rsid w:val="006A36F4"/>
    <w:rsid w:val="006A406F"/>
    <w:rsid w:val="006A5D3A"/>
    <w:rsid w:val="006C23D4"/>
    <w:rsid w:val="006C7BB0"/>
    <w:rsid w:val="006D3237"/>
    <w:rsid w:val="006D3CF1"/>
    <w:rsid w:val="006D6805"/>
    <w:rsid w:val="006E2E37"/>
    <w:rsid w:val="006E3CF1"/>
    <w:rsid w:val="006E7E80"/>
    <w:rsid w:val="006F161D"/>
    <w:rsid w:val="006F48CA"/>
    <w:rsid w:val="006F64DD"/>
    <w:rsid w:val="00705211"/>
    <w:rsid w:val="00715127"/>
    <w:rsid w:val="00715E8E"/>
    <w:rsid w:val="007171F3"/>
    <w:rsid w:val="007172B0"/>
    <w:rsid w:val="00723580"/>
    <w:rsid w:val="00723755"/>
    <w:rsid w:val="00724AE2"/>
    <w:rsid w:val="0073136C"/>
    <w:rsid w:val="00731F0F"/>
    <w:rsid w:val="00733250"/>
    <w:rsid w:val="00735951"/>
    <w:rsid w:val="00741404"/>
    <w:rsid w:val="007449E5"/>
    <w:rsid w:val="00747FF0"/>
    <w:rsid w:val="007612E2"/>
    <w:rsid w:val="00761946"/>
    <w:rsid w:val="00764D4E"/>
    <w:rsid w:val="00765A1F"/>
    <w:rsid w:val="00771B5A"/>
    <w:rsid w:val="00775B6D"/>
    <w:rsid w:val="00776D68"/>
    <w:rsid w:val="00777A34"/>
    <w:rsid w:val="007850EE"/>
    <w:rsid w:val="00785B95"/>
    <w:rsid w:val="00790AAD"/>
    <w:rsid w:val="00790E96"/>
    <w:rsid w:val="00793366"/>
    <w:rsid w:val="007971FF"/>
    <w:rsid w:val="007A716F"/>
    <w:rsid w:val="007B270A"/>
    <w:rsid w:val="007C0695"/>
    <w:rsid w:val="007C419A"/>
    <w:rsid w:val="007C4CC8"/>
    <w:rsid w:val="007C5426"/>
    <w:rsid w:val="007C5798"/>
    <w:rsid w:val="007D4832"/>
    <w:rsid w:val="007D6E37"/>
    <w:rsid w:val="007E21B2"/>
    <w:rsid w:val="007E2C4E"/>
    <w:rsid w:val="007E7576"/>
    <w:rsid w:val="007F1905"/>
    <w:rsid w:val="007F1FDD"/>
    <w:rsid w:val="00801300"/>
    <w:rsid w:val="00802C64"/>
    <w:rsid w:val="00804780"/>
    <w:rsid w:val="0080523A"/>
    <w:rsid w:val="00805E52"/>
    <w:rsid w:val="008061D0"/>
    <w:rsid w:val="00806355"/>
    <w:rsid w:val="00810B38"/>
    <w:rsid w:val="008204C7"/>
    <w:rsid w:val="00820992"/>
    <w:rsid w:val="00823602"/>
    <w:rsid w:val="008238C8"/>
    <w:rsid w:val="008255F5"/>
    <w:rsid w:val="0083014E"/>
    <w:rsid w:val="00831F99"/>
    <w:rsid w:val="0083210C"/>
    <w:rsid w:val="0083214A"/>
    <w:rsid w:val="00833782"/>
    <w:rsid w:val="00834220"/>
    <w:rsid w:val="008358EC"/>
    <w:rsid w:val="00845723"/>
    <w:rsid w:val="00845CDC"/>
    <w:rsid w:val="00851EF9"/>
    <w:rsid w:val="008577FD"/>
    <w:rsid w:val="00860B03"/>
    <w:rsid w:val="00863B2D"/>
    <w:rsid w:val="0086497A"/>
    <w:rsid w:val="008713A1"/>
    <w:rsid w:val="008748BE"/>
    <w:rsid w:val="008754AB"/>
    <w:rsid w:val="00876A02"/>
    <w:rsid w:val="00876F03"/>
    <w:rsid w:val="0088060C"/>
    <w:rsid w:val="008907B7"/>
    <w:rsid w:val="00893576"/>
    <w:rsid w:val="00893A50"/>
    <w:rsid w:val="00893E73"/>
    <w:rsid w:val="00893F30"/>
    <w:rsid w:val="008B02DC"/>
    <w:rsid w:val="008B25A0"/>
    <w:rsid w:val="008B57CE"/>
    <w:rsid w:val="008C26DE"/>
    <w:rsid w:val="008C6FF1"/>
    <w:rsid w:val="008D2225"/>
    <w:rsid w:val="008D4752"/>
    <w:rsid w:val="008E271C"/>
    <w:rsid w:val="008E3A4B"/>
    <w:rsid w:val="008E418E"/>
    <w:rsid w:val="008E5BC6"/>
    <w:rsid w:val="008E6A25"/>
    <w:rsid w:val="008E7A1B"/>
    <w:rsid w:val="008F5193"/>
    <w:rsid w:val="009013A7"/>
    <w:rsid w:val="009017FB"/>
    <w:rsid w:val="009017FC"/>
    <w:rsid w:val="009032B3"/>
    <w:rsid w:val="0090506B"/>
    <w:rsid w:val="009050C9"/>
    <w:rsid w:val="009066FC"/>
    <w:rsid w:val="009140A3"/>
    <w:rsid w:val="009144A2"/>
    <w:rsid w:val="0091510C"/>
    <w:rsid w:val="009259AC"/>
    <w:rsid w:val="00926F38"/>
    <w:rsid w:val="00934301"/>
    <w:rsid w:val="00936CD1"/>
    <w:rsid w:val="00941747"/>
    <w:rsid w:val="00941EFB"/>
    <w:rsid w:val="00947AFB"/>
    <w:rsid w:val="00951D7D"/>
    <w:rsid w:val="009546EB"/>
    <w:rsid w:val="009630C7"/>
    <w:rsid w:val="00972B55"/>
    <w:rsid w:val="009743B7"/>
    <w:rsid w:val="00975039"/>
    <w:rsid w:val="00977227"/>
    <w:rsid w:val="00977FF7"/>
    <w:rsid w:val="0098228B"/>
    <w:rsid w:val="009828DA"/>
    <w:rsid w:val="009840A2"/>
    <w:rsid w:val="00985BAB"/>
    <w:rsid w:val="009B150E"/>
    <w:rsid w:val="009B1B5F"/>
    <w:rsid w:val="009B6673"/>
    <w:rsid w:val="009C191B"/>
    <w:rsid w:val="009C2BD6"/>
    <w:rsid w:val="009D7174"/>
    <w:rsid w:val="009E16D2"/>
    <w:rsid w:val="009E1F32"/>
    <w:rsid w:val="009E5356"/>
    <w:rsid w:val="009E776C"/>
    <w:rsid w:val="00A028DA"/>
    <w:rsid w:val="00A0681E"/>
    <w:rsid w:val="00A132AD"/>
    <w:rsid w:val="00A1726E"/>
    <w:rsid w:val="00A204CF"/>
    <w:rsid w:val="00A21624"/>
    <w:rsid w:val="00A23D49"/>
    <w:rsid w:val="00A27004"/>
    <w:rsid w:val="00A30C29"/>
    <w:rsid w:val="00A34DD6"/>
    <w:rsid w:val="00A36819"/>
    <w:rsid w:val="00A36989"/>
    <w:rsid w:val="00A43628"/>
    <w:rsid w:val="00A43AA3"/>
    <w:rsid w:val="00A45145"/>
    <w:rsid w:val="00A46A29"/>
    <w:rsid w:val="00A46B98"/>
    <w:rsid w:val="00A4783F"/>
    <w:rsid w:val="00A54192"/>
    <w:rsid w:val="00A6035E"/>
    <w:rsid w:val="00A6144C"/>
    <w:rsid w:val="00A66617"/>
    <w:rsid w:val="00A66823"/>
    <w:rsid w:val="00A671F8"/>
    <w:rsid w:val="00A673A4"/>
    <w:rsid w:val="00A724AE"/>
    <w:rsid w:val="00A73329"/>
    <w:rsid w:val="00A75785"/>
    <w:rsid w:val="00A82359"/>
    <w:rsid w:val="00A8659B"/>
    <w:rsid w:val="00A865D2"/>
    <w:rsid w:val="00A94C20"/>
    <w:rsid w:val="00AA227F"/>
    <w:rsid w:val="00AA3BC7"/>
    <w:rsid w:val="00AA6E21"/>
    <w:rsid w:val="00AA6EE2"/>
    <w:rsid w:val="00AA754A"/>
    <w:rsid w:val="00AB099E"/>
    <w:rsid w:val="00AB2714"/>
    <w:rsid w:val="00AB4328"/>
    <w:rsid w:val="00AC00C2"/>
    <w:rsid w:val="00AC5872"/>
    <w:rsid w:val="00AD0B47"/>
    <w:rsid w:val="00AD36A9"/>
    <w:rsid w:val="00AE0A2E"/>
    <w:rsid w:val="00AE354C"/>
    <w:rsid w:val="00AE53FB"/>
    <w:rsid w:val="00AF4B07"/>
    <w:rsid w:val="00AF6186"/>
    <w:rsid w:val="00AF7A3A"/>
    <w:rsid w:val="00B009F4"/>
    <w:rsid w:val="00B160DB"/>
    <w:rsid w:val="00B20836"/>
    <w:rsid w:val="00B235BB"/>
    <w:rsid w:val="00B25320"/>
    <w:rsid w:val="00B25D3B"/>
    <w:rsid w:val="00B27A44"/>
    <w:rsid w:val="00B30BBF"/>
    <w:rsid w:val="00B33C03"/>
    <w:rsid w:val="00B44E56"/>
    <w:rsid w:val="00B46543"/>
    <w:rsid w:val="00B47D33"/>
    <w:rsid w:val="00B52BE0"/>
    <w:rsid w:val="00B54133"/>
    <w:rsid w:val="00B66762"/>
    <w:rsid w:val="00B701ED"/>
    <w:rsid w:val="00B70734"/>
    <w:rsid w:val="00B71455"/>
    <w:rsid w:val="00B736B4"/>
    <w:rsid w:val="00B751F4"/>
    <w:rsid w:val="00B76EF5"/>
    <w:rsid w:val="00B8086C"/>
    <w:rsid w:val="00B840F7"/>
    <w:rsid w:val="00B861B4"/>
    <w:rsid w:val="00B86DFE"/>
    <w:rsid w:val="00B90990"/>
    <w:rsid w:val="00B922FF"/>
    <w:rsid w:val="00B9281E"/>
    <w:rsid w:val="00B93925"/>
    <w:rsid w:val="00B95187"/>
    <w:rsid w:val="00BA0574"/>
    <w:rsid w:val="00BA2D55"/>
    <w:rsid w:val="00BA4905"/>
    <w:rsid w:val="00BA71B1"/>
    <w:rsid w:val="00BB0637"/>
    <w:rsid w:val="00BB345F"/>
    <w:rsid w:val="00BB68EA"/>
    <w:rsid w:val="00BC1C27"/>
    <w:rsid w:val="00BC1F03"/>
    <w:rsid w:val="00BC5976"/>
    <w:rsid w:val="00BC6BBF"/>
    <w:rsid w:val="00BD1572"/>
    <w:rsid w:val="00BD4180"/>
    <w:rsid w:val="00BE14E3"/>
    <w:rsid w:val="00BE2B72"/>
    <w:rsid w:val="00BE3774"/>
    <w:rsid w:val="00BE41E5"/>
    <w:rsid w:val="00BF3745"/>
    <w:rsid w:val="00BF4109"/>
    <w:rsid w:val="00BF4CC3"/>
    <w:rsid w:val="00C00E59"/>
    <w:rsid w:val="00C054C7"/>
    <w:rsid w:val="00C057B5"/>
    <w:rsid w:val="00C22687"/>
    <w:rsid w:val="00C25983"/>
    <w:rsid w:val="00C32E4D"/>
    <w:rsid w:val="00C333A0"/>
    <w:rsid w:val="00C33A1C"/>
    <w:rsid w:val="00C36408"/>
    <w:rsid w:val="00C36A81"/>
    <w:rsid w:val="00C41974"/>
    <w:rsid w:val="00C4560D"/>
    <w:rsid w:val="00C53F4A"/>
    <w:rsid w:val="00C54125"/>
    <w:rsid w:val="00C55299"/>
    <w:rsid w:val="00C55B54"/>
    <w:rsid w:val="00C57E68"/>
    <w:rsid w:val="00C6098E"/>
    <w:rsid w:val="00C6152C"/>
    <w:rsid w:val="00C74810"/>
    <w:rsid w:val="00C81ACF"/>
    <w:rsid w:val="00C85950"/>
    <w:rsid w:val="00C90D68"/>
    <w:rsid w:val="00C939FE"/>
    <w:rsid w:val="00CA4BDA"/>
    <w:rsid w:val="00CA7C61"/>
    <w:rsid w:val="00CB1F66"/>
    <w:rsid w:val="00CB2951"/>
    <w:rsid w:val="00CB3565"/>
    <w:rsid w:val="00CD282B"/>
    <w:rsid w:val="00CD28A5"/>
    <w:rsid w:val="00CD4C35"/>
    <w:rsid w:val="00CD7095"/>
    <w:rsid w:val="00CD7369"/>
    <w:rsid w:val="00CE0B0E"/>
    <w:rsid w:val="00CE3831"/>
    <w:rsid w:val="00CE6826"/>
    <w:rsid w:val="00CE7D9A"/>
    <w:rsid w:val="00D00ABB"/>
    <w:rsid w:val="00D02781"/>
    <w:rsid w:val="00D02EEC"/>
    <w:rsid w:val="00D03551"/>
    <w:rsid w:val="00D06A63"/>
    <w:rsid w:val="00D07E0E"/>
    <w:rsid w:val="00D11478"/>
    <w:rsid w:val="00D15ED0"/>
    <w:rsid w:val="00D21B3E"/>
    <w:rsid w:val="00D21C26"/>
    <w:rsid w:val="00D21FED"/>
    <w:rsid w:val="00D24251"/>
    <w:rsid w:val="00D343E2"/>
    <w:rsid w:val="00D361A2"/>
    <w:rsid w:val="00D416FD"/>
    <w:rsid w:val="00D44C2E"/>
    <w:rsid w:val="00D45414"/>
    <w:rsid w:val="00D566BD"/>
    <w:rsid w:val="00D57A4D"/>
    <w:rsid w:val="00D60AA7"/>
    <w:rsid w:val="00D62A67"/>
    <w:rsid w:val="00D6435F"/>
    <w:rsid w:val="00D70C58"/>
    <w:rsid w:val="00D75E28"/>
    <w:rsid w:val="00D76FFD"/>
    <w:rsid w:val="00D772C2"/>
    <w:rsid w:val="00D8008E"/>
    <w:rsid w:val="00D82835"/>
    <w:rsid w:val="00D82C45"/>
    <w:rsid w:val="00D908A8"/>
    <w:rsid w:val="00D977B6"/>
    <w:rsid w:val="00DA3634"/>
    <w:rsid w:val="00DA4A31"/>
    <w:rsid w:val="00DA7B04"/>
    <w:rsid w:val="00DA7C46"/>
    <w:rsid w:val="00DA7CC0"/>
    <w:rsid w:val="00DB36C2"/>
    <w:rsid w:val="00DB5CBD"/>
    <w:rsid w:val="00DC169B"/>
    <w:rsid w:val="00DC2AB9"/>
    <w:rsid w:val="00DC63F0"/>
    <w:rsid w:val="00DD0ED1"/>
    <w:rsid w:val="00DD5382"/>
    <w:rsid w:val="00DD6EE5"/>
    <w:rsid w:val="00DE2362"/>
    <w:rsid w:val="00DE386C"/>
    <w:rsid w:val="00DE4D35"/>
    <w:rsid w:val="00DF098B"/>
    <w:rsid w:val="00DF11C4"/>
    <w:rsid w:val="00DF210C"/>
    <w:rsid w:val="00DF3D4B"/>
    <w:rsid w:val="00DF4B6A"/>
    <w:rsid w:val="00DF53E7"/>
    <w:rsid w:val="00E02C09"/>
    <w:rsid w:val="00E04D59"/>
    <w:rsid w:val="00E07DA1"/>
    <w:rsid w:val="00E123CB"/>
    <w:rsid w:val="00E20E13"/>
    <w:rsid w:val="00E21DBC"/>
    <w:rsid w:val="00E275D7"/>
    <w:rsid w:val="00E27DBE"/>
    <w:rsid w:val="00E32AB1"/>
    <w:rsid w:val="00E34F0B"/>
    <w:rsid w:val="00E35A55"/>
    <w:rsid w:val="00E36C71"/>
    <w:rsid w:val="00E40404"/>
    <w:rsid w:val="00E459C6"/>
    <w:rsid w:val="00E47589"/>
    <w:rsid w:val="00E64915"/>
    <w:rsid w:val="00E661D4"/>
    <w:rsid w:val="00E70091"/>
    <w:rsid w:val="00E720F5"/>
    <w:rsid w:val="00E76D47"/>
    <w:rsid w:val="00E849F7"/>
    <w:rsid w:val="00E8783A"/>
    <w:rsid w:val="00E90302"/>
    <w:rsid w:val="00E91701"/>
    <w:rsid w:val="00E9545B"/>
    <w:rsid w:val="00E97396"/>
    <w:rsid w:val="00EA185E"/>
    <w:rsid w:val="00EA592A"/>
    <w:rsid w:val="00EB14E4"/>
    <w:rsid w:val="00EB182B"/>
    <w:rsid w:val="00EB32A5"/>
    <w:rsid w:val="00EB34ED"/>
    <w:rsid w:val="00EB7BE0"/>
    <w:rsid w:val="00EC315E"/>
    <w:rsid w:val="00EC37D9"/>
    <w:rsid w:val="00EC58D1"/>
    <w:rsid w:val="00ED077C"/>
    <w:rsid w:val="00ED1190"/>
    <w:rsid w:val="00ED6544"/>
    <w:rsid w:val="00EE0277"/>
    <w:rsid w:val="00EE3E00"/>
    <w:rsid w:val="00EE5DD2"/>
    <w:rsid w:val="00EF0A5B"/>
    <w:rsid w:val="00EF5A71"/>
    <w:rsid w:val="00F00A79"/>
    <w:rsid w:val="00F00E86"/>
    <w:rsid w:val="00F07C1E"/>
    <w:rsid w:val="00F105DB"/>
    <w:rsid w:val="00F132BC"/>
    <w:rsid w:val="00F13D80"/>
    <w:rsid w:val="00F16AAA"/>
    <w:rsid w:val="00F21161"/>
    <w:rsid w:val="00F218EF"/>
    <w:rsid w:val="00F21BC7"/>
    <w:rsid w:val="00F266A2"/>
    <w:rsid w:val="00F26AFF"/>
    <w:rsid w:val="00F27D13"/>
    <w:rsid w:val="00F32269"/>
    <w:rsid w:val="00F56A6F"/>
    <w:rsid w:val="00F5709C"/>
    <w:rsid w:val="00F626DA"/>
    <w:rsid w:val="00F64EF1"/>
    <w:rsid w:val="00F659F3"/>
    <w:rsid w:val="00F775CE"/>
    <w:rsid w:val="00F83589"/>
    <w:rsid w:val="00F8765F"/>
    <w:rsid w:val="00F90767"/>
    <w:rsid w:val="00F93D7B"/>
    <w:rsid w:val="00F9588E"/>
    <w:rsid w:val="00FA05DD"/>
    <w:rsid w:val="00FA4752"/>
    <w:rsid w:val="00FA685B"/>
    <w:rsid w:val="00FB0C01"/>
    <w:rsid w:val="00FC18F2"/>
    <w:rsid w:val="00FC39E5"/>
    <w:rsid w:val="00FC3A78"/>
    <w:rsid w:val="00FC3FE1"/>
    <w:rsid w:val="00FD1005"/>
    <w:rsid w:val="00FD1190"/>
    <w:rsid w:val="00FD61AA"/>
    <w:rsid w:val="00FD6C75"/>
    <w:rsid w:val="00FD7649"/>
    <w:rsid w:val="00FE71B3"/>
    <w:rsid w:val="00FF42C5"/>
    <w:rsid w:val="00FF5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1">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rsid w:val="00556C52"/>
    <w:rPr>
      <w:sz w:val="24"/>
      <w:szCs w:val="24"/>
    </w:rPr>
  </w:style>
  <w:style w:type="paragraph" w:styleId="Heading1">
    <w:name w:val="heading 1"/>
    <w:basedOn w:val="Normal"/>
    <w:next w:val="Normal"/>
    <w:link w:val="Heading1Char"/>
    <w:uiPriority w:val="98"/>
    <w:rsid w:val="00556C52"/>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556C52"/>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556C52"/>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556C52"/>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556C52"/>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556C52"/>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556C52"/>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556C52"/>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556C52"/>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8"/>
    <w:semiHidden/>
    <w:rsid w:val="00556C52"/>
    <w:rPr>
      <w:rFonts w:ascii="Tahoma" w:hAnsi="Tahoma" w:cs="Tahoma"/>
      <w:sz w:val="16"/>
      <w:szCs w:val="16"/>
    </w:rPr>
  </w:style>
  <w:style w:type="character" w:customStyle="1" w:styleId="BalloonTextChar">
    <w:name w:val="Balloon Text Char"/>
    <w:basedOn w:val="DefaultParagraphFont"/>
    <w:link w:val="BalloonText"/>
    <w:uiPriority w:val="98"/>
    <w:semiHidden/>
    <w:rsid w:val="00556C52"/>
    <w:rPr>
      <w:rFonts w:ascii="Tahoma" w:hAnsi="Tahoma" w:cs="Tahoma"/>
      <w:sz w:val="16"/>
      <w:szCs w:val="16"/>
      <w:lang w:val="ro-RO"/>
    </w:rPr>
  </w:style>
  <w:style w:type="character" w:styleId="BookTitle">
    <w:name w:val="Book Title"/>
    <w:uiPriority w:val="98"/>
    <w:qFormat/>
    <w:rsid w:val="00556C52"/>
    <w:rPr>
      <w:i/>
      <w:iCs/>
      <w:smallCaps/>
      <w:spacing w:val="5"/>
    </w:rPr>
  </w:style>
  <w:style w:type="paragraph" w:customStyle="1" w:styleId="JuHeader">
    <w:name w:val="Ju_Header"/>
    <w:aliases w:val="_Header"/>
    <w:basedOn w:val="Header"/>
    <w:uiPriority w:val="29"/>
    <w:qFormat/>
    <w:rsid w:val="00556C52"/>
    <w:pPr>
      <w:tabs>
        <w:tab w:val="clear" w:pos="4536"/>
        <w:tab w:val="clear" w:pos="9072"/>
      </w:tabs>
      <w:jc w:val="center"/>
    </w:pPr>
    <w:rPr>
      <w:sz w:val="18"/>
    </w:rPr>
  </w:style>
  <w:style w:type="paragraph" w:customStyle="1" w:styleId="ECHRBullet1">
    <w:name w:val="ECHR_Bullet_1"/>
    <w:aliases w:val="_Bul_1"/>
    <w:basedOn w:val="NormalJustified"/>
    <w:uiPriority w:val="23"/>
    <w:semiHidden/>
    <w:qFormat/>
    <w:rsid w:val="00556C52"/>
    <w:pPr>
      <w:numPr>
        <w:numId w:val="7"/>
      </w:numPr>
      <w:tabs>
        <w:tab w:val="clear" w:pos="851"/>
      </w:tabs>
      <w:spacing w:before="60" w:after="60"/>
      <w:ind w:left="0" w:firstLine="0"/>
    </w:pPr>
  </w:style>
  <w:style w:type="character" w:styleId="Strong">
    <w:name w:val="Strong"/>
    <w:uiPriority w:val="98"/>
    <w:qFormat/>
    <w:rsid w:val="00556C52"/>
    <w:rPr>
      <w:b/>
      <w:bCs/>
    </w:rPr>
  </w:style>
  <w:style w:type="paragraph" w:styleId="NoSpacing">
    <w:name w:val="No Spacing"/>
    <w:basedOn w:val="Normal"/>
    <w:link w:val="NoSpacingChar"/>
    <w:uiPriority w:val="98"/>
    <w:qFormat/>
    <w:rsid w:val="00556C52"/>
  </w:style>
  <w:style w:type="character" w:customStyle="1" w:styleId="NoSpacingChar">
    <w:name w:val="No Spacing Char"/>
    <w:basedOn w:val="DefaultParagraphFont"/>
    <w:link w:val="NoSpacing"/>
    <w:uiPriority w:val="98"/>
    <w:rsid w:val="00556C52"/>
    <w:rPr>
      <w:sz w:val="24"/>
      <w:szCs w:val="24"/>
      <w:lang w:val="ro-RO"/>
    </w:rPr>
  </w:style>
  <w:style w:type="paragraph" w:customStyle="1" w:styleId="JuQuot">
    <w:name w:val="Ju_Quot"/>
    <w:aliases w:val="_Quote"/>
    <w:basedOn w:val="NormalJustified"/>
    <w:qFormat/>
    <w:rsid w:val="00556C52"/>
    <w:pPr>
      <w:spacing w:before="120" w:after="120"/>
      <w:ind w:left="425" w:firstLine="142"/>
    </w:pPr>
    <w:rPr>
      <w:sz w:val="20"/>
    </w:rPr>
  </w:style>
  <w:style w:type="paragraph" w:customStyle="1" w:styleId="JuList">
    <w:name w:val="Ju_List"/>
    <w:aliases w:val="_List_1"/>
    <w:basedOn w:val="NormalJustified"/>
    <w:uiPriority w:val="23"/>
    <w:qFormat/>
    <w:rsid w:val="00556C52"/>
    <w:pPr>
      <w:numPr>
        <w:numId w:val="10"/>
      </w:numPr>
      <w:spacing w:before="280" w:after="60"/>
    </w:pPr>
  </w:style>
  <w:style w:type="paragraph" w:customStyle="1" w:styleId="JuLista">
    <w:name w:val="Ju_List_a"/>
    <w:aliases w:val="_List_2"/>
    <w:basedOn w:val="NormalJustified"/>
    <w:uiPriority w:val="23"/>
    <w:rsid w:val="00556C52"/>
    <w:pPr>
      <w:numPr>
        <w:ilvl w:val="1"/>
        <w:numId w:val="10"/>
      </w:numPr>
    </w:pPr>
  </w:style>
  <w:style w:type="paragraph" w:customStyle="1" w:styleId="JuListi">
    <w:name w:val="Ju_List_i"/>
    <w:aliases w:val="_List_3"/>
    <w:basedOn w:val="NormalJustified"/>
    <w:uiPriority w:val="23"/>
    <w:rsid w:val="00556C52"/>
    <w:pPr>
      <w:numPr>
        <w:ilvl w:val="2"/>
        <w:numId w:val="10"/>
      </w:numPr>
    </w:pPr>
  </w:style>
  <w:style w:type="paragraph" w:customStyle="1" w:styleId="DecHTitle">
    <w:name w:val="Dec_H_Title"/>
    <w:aliases w:val="_Title_1"/>
    <w:basedOn w:val="JuPara"/>
    <w:next w:val="JuPara"/>
    <w:uiPriority w:val="38"/>
    <w:qFormat/>
    <w:rsid w:val="00556C52"/>
    <w:pPr>
      <w:keepNext/>
      <w:keepLines/>
      <w:spacing w:after="240"/>
      <w:ind w:firstLine="0"/>
      <w:jc w:val="center"/>
      <w:outlineLvl w:val="0"/>
    </w:pPr>
    <w:rPr>
      <w:rFonts w:asciiTheme="majorHAnsi" w:hAnsiTheme="majorHAnsi"/>
      <w:sz w:val="28"/>
    </w:rPr>
  </w:style>
  <w:style w:type="paragraph" w:customStyle="1" w:styleId="JuHArticle">
    <w:name w:val="Ju_H_Article"/>
    <w:aliases w:val="_Title_Quote"/>
    <w:basedOn w:val="Normal"/>
    <w:next w:val="JuQuot"/>
    <w:uiPriority w:val="19"/>
    <w:qFormat/>
    <w:rsid w:val="00556C52"/>
    <w:pPr>
      <w:keepNext/>
      <w:spacing w:before="100" w:beforeAutospacing="1" w:after="120"/>
      <w:contextualSpacing/>
      <w:jc w:val="center"/>
    </w:pPr>
    <w:rPr>
      <w:b/>
      <w:sz w:val="20"/>
    </w:rPr>
  </w:style>
  <w:style w:type="paragraph" w:customStyle="1" w:styleId="ECHRCoverTitle4">
    <w:name w:val="ECHR_Cover_Title_4"/>
    <w:aliases w:val="_Title_4"/>
    <w:basedOn w:val="JuPara"/>
    <w:next w:val="JuPara"/>
    <w:uiPriority w:val="38"/>
    <w:qFormat/>
    <w:rsid w:val="00556C52"/>
    <w:pPr>
      <w:keepNext/>
      <w:keepLines/>
      <w:tabs>
        <w:tab w:val="right" w:pos="7938"/>
      </w:tabs>
      <w:ind w:firstLine="0"/>
      <w:jc w:val="center"/>
    </w:pPr>
    <w:rPr>
      <w:i/>
    </w:rPr>
  </w:style>
  <w:style w:type="numbering" w:customStyle="1" w:styleId="ECHRA1StyleBulletedSquare">
    <w:name w:val="ECHR_A1_Style_Bulleted_Square"/>
    <w:basedOn w:val="NoList"/>
    <w:rsid w:val="00556C52"/>
    <w:pPr>
      <w:numPr>
        <w:numId w:val="4"/>
      </w:numPr>
    </w:pPr>
  </w:style>
  <w:style w:type="paragraph" w:customStyle="1" w:styleId="JuHHead">
    <w:name w:val="Ju_H_Head"/>
    <w:aliases w:val="_Head_1"/>
    <w:basedOn w:val="Heading1"/>
    <w:next w:val="JuPara"/>
    <w:uiPriority w:val="17"/>
    <w:qFormat/>
    <w:rsid w:val="00556C52"/>
    <w:pPr>
      <w:keepNext/>
      <w:keepLines/>
      <w:numPr>
        <w:numId w:val="9"/>
      </w:numPr>
      <w:spacing w:before="100" w:beforeAutospacing="1" w:after="240"/>
      <w:contextualSpacing w:val="0"/>
      <w:jc w:val="both"/>
    </w:pPr>
    <w:rPr>
      <w:b w:val="0"/>
      <w:caps/>
      <w:color w:val="auto"/>
    </w:rPr>
  </w:style>
  <w:style w:type="numbering" w:customStyle="1" w:styleId="ECHRA1StyleList">
    <w:name w:val="ECHR_A1_Style_List"/>
    <w:basedOn w:val="NoList"/>
    <w:uiPriority w:val="99"/>
    <w:rsid w:val="00556C52"/>
    <w:pPr>
      <w:numPr>
        <w:numId w:val="5"/>
      </w:numPr>
    </w:pPr>
  </w:style>
  <w:style w:type="paragraph" w:customStyle="1" w:styleId="JuSigned">
    <w:name w:val="Ju_Signed"/>
    <w:aliases w:val="_Signature"/>
    <w:basedOn w:val="Normal"/>
    <w:next w:val="JuPara"/>
    <w:uiPriority w:val="31"/>
    <w:qFormat/>
    <w:rsid w:val="00556C52"/>
    <w:pPr>
      <w:tabs>
        <w:tab w:val="center" w:pos="1418"/>
        <w:tab w:val="center" w:pos="5954"/>
      </w:tabs>
      <w:spacing w:before="720"/>
    </w:pPr>
  </w:style>
  <w:style w:type="paragraph" w:styleId="Title">
    <w:name w:val="Title"/>
    <w:basedOn w:val="Normal"/>
    <w:next w:val="Normal"/>
    <w:link w:val="TitleChar"/>
    <w:uiPriority w:val="98"/>
    <w:qFormat/>
    <w:rsid w:val="00556C52"/>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rsid w:val="00556C52"/>
    <w:rPr>
      <w:rFonts w:asciiTheme="majorHAnsi" w:eastAsiaTheme="majorEastAsia" w:hAnsiTheme="majorHAnsi" w:cstheme="majorBidi"/>
      <w:spacing w:val="5"/>
      <w:sz w:val="52"/>
      <w:szCs w:val="52"/>
      <w:lang w:val="ro-RO" w:bidi="en-US"/>
    </w:rPr>
  </w:style>
  <w:style w:type="numbering" w:customStyle="1" w:styleId="ECHRA1StyleNumberedList">
    <w:name w:val="ECHR_A1_Style_Numbered_List"/>
    <w:basedOn w:val="NoList"/>
    <w:rsid w:val="00556C52"/>
    <w:pPr>
      <w:numPr>
        <w:numId w:val="6"/>
      </w:numPr>
    </w:pPr>
  </w:style>
  <w:style w:type="table" w:customStyle="1" w:styleId="ECHRTable2019">
    <w:name w:val="ECHR_Table_2019"/>
    <w:basedOn w:val="TableNormal"/>
    <w:uiPriority w:val="99"/>
    <w:rsid w:val="00556C52"/>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Footer">
    <w:name w:val="_Footer"/>
    <w:aliases w:val="Footer_"/>
    <w:basedOn w:val="Footer0"/>
    <w:uiPriority w:val="57"/>
    <w:semiHidden/>
    <w:rsid w:val="00D21C26"/>
    <w:rPr>
      <w:sz w:val="8"/>
    </w:rPr>
  </w:style>
  <w:style w:type="paragraph" w:customStyle="1" w:styleId="JuCourt">
    <w:name w:val="Ju_Court"/>
    <w:aliases w:val="_Court_Names"/>
    <w:basedOn w:val="Normal"/>
    <w:next w:val="Normal"/>
    <w:uiPriority w:val="32"/>
    <w:qFormat/>
    <w:rsid w:val="00556C52"/>
    <w:pPr>
      <w:tabs>
        <w:tab w:val="left" w:pos="907"/>
        <w:tab w:val="left" w:pos="1701"/>
        <w:tab w:val="right" w:pos="7371"/>
      </w:tabs>
      <w:spacing w:before="240"/>
      <w:ind w:left="397" w:hanging="397"/>
    </w:pPr>
    <w:rPr>
      <w:lang w:bidi="en-US"/>
    </w:rPr>
  </w:style>
  <w:style w:type="paragraph" w:customStyle="1" w:styleId="JuInitialled">
    <w:name w:val="Ju_Initialled"/>
    <w:aliases w:val="_Right"/>
    <w:basedOn w:val="Normal"/>
    <w:uiPriority w:val="30"/>
    <w:qFormat/>
    <w:rsid w:val="00556C52"/>
    <w:pPr>
      <w:tabs>
        <w:tab w:val="center" w:pos="6407"/>
      </w:tabs>
      <w:spacing w:before="720"/>
      <w:jc w:val="right"/>
    </w:pPr>
  </w:style>
  <w:style w:type="paragraph" w:customStyle="1" w:styleId="JuHIRoman">
    <w:name w:val="Ju_H_I_Roman"/>
    <w:aliases w:val="_Head_2"/>
    <w:basedOn w:val="Heading2"/>
    <w:next w:val="JuPara"/>
    <w:uiPriority w:val="17"/>
    <w:qFormat/>
    <w:rsid w:val="00556C52"/>
    <w:pPr>
      <w:keepNext/>
      <w:keepLines/>
      <w:numPr>
        <w:ilvl w:val="1"/>
        <w:numId w:val="9"/>
      </w:numPr>
      <w:tabs>
        <w:tab w:val="left" w:pos="454"/>
        <w:tab w:val="left" w:pos="539"/>
        <w:tab w:val="left" w:pos="624"/>
        <w:tab w:val="left" w:pos="709"/>
        <w:tab w:val="left" w:pos="794"/>
      </w:tabs>
      <w:spacing w:before="100" w:beforeAutospacing="1" w:after="240"/>
      <w:jc w:val="both"/>
    </w:pPr>
    <w:rPr>
      <w:b w:val="0"/>
      <w:caps/>
      <w:color w:val="auto"/>
      <w:sz w:val="24"/>
    </w:rPr>
  </w:style>
  <w:style w:type="paragraph" w:customStyle="1" w:styleId="JuHA">
    <w:name w:val="Ju_H_A"/>
    <w:aliases w:val="_Head_3"/>
    <w:basedOn w:val="Heading3"/>
    <w:next w:val="JuPara"/>
    <w:uiPriority w:val="17"/>
    <w:qFormat/>
    <w:rsid w:val="00556C52"/>
    <w:pPr>
      <w:keepNext/>
      <w:keepLines/>
      <w:numPr>
        <w:ilvl w:val="2"/>
        <w:numId w:val="9"/>
      </w:numPr>
      <w:spacing w:before="100" w:beforeAutospacing="1" w:after="240" w:line="240" w:lineRule="auto"/>
      <w:jc w:val="both"/>
    </w:pPr>
    <w:rPr>
      <w:color w:val="auto"/>
      <w:sz w:val="24"/>
    </w:rPr>
  </w:style>
  <w:style w:type="paragraph" w:customStyle="1" w:styleId="JuH1">
    <w:name w:val="Ju_H_1."/>
    <w:aliases w:val="ECHR_Heading_4,_Head_4"/>
    <w:basedOn w:val="Heading4"/>
    <w:next w:val="JuPara"/>
    <w:uiPriority w:val="17"/>
    <w:qFormat/>
    <w:rsid w:val="00556C52"/>
    <w:pPr>
      <w:keepNext/>
      <w:keepLines/>
      <w:numPr>
        <w:ilvl w:val="3"/>
        <w:numId w:val="9"/>
      </w:numPr>
      <w:spacing w:before="100" w:beforeAutospacing="1" w:after="120"/>
      <w:jc w:val="both"/>
    </w:pPr>
    <w:rPr>
      <w:b w:val="0"/>
      <w:color w:val="auto"/>
      <w:sz w:val="24"/>
    </w:rPr>
  </w:style>
  <w:style w:type="paragraph" w:styleId="Header">
    <w:name w:val="header"/>
    <w:basedOn w:val="Normal"/>
    <w:link w:val="HeaderChar"/>
    <w:uiPriority w:val="98"/>
    <w:semiHidden/>
    <w:rsid w:val="00556C52"/>
    <w:pPr>
      <w:tabs>
        <w:tab w:val="center" w:pos="4536"/>
        <w:tab w:val="right" w:pos="9072"/>
      </w:tabs>
    </w:pPr>
  </w:style>
  <w:style w:type="character" w:customStyle="1" w:styleId="HeaderChar">
    <w:name w:val="Header Char"/>
    <w:basedOn w:val="DefaultParagraphFont"/>
    <w:link w:val="Header"/>
    <w:uiPriority w:val="98"/>
    <w:semiHidden/>
    <w:rsid w:val="00556C52"/>
    <w:rPr>
      <w:sz w:val="24"/>
      <w:szCs w:val="24"/>
      <w:lang w:val="ro-RO"/>
    </w:rPr>
  </w:style>
  <w:style w:type="character" w:customStyle="1" w:styleId="Heading1Char">
    <w:name w:val="Heading 1 Char"/>
    <w:basedOn w:val="DefaultParagraphFont"/>
    <w:link w:val="Heading1"/>
    <w:uiPriority w:val="98"/>
    <w:rsid w:val="00556C52"/>
    <w:rPr>
      <w:rFonts w:asciiTheme="majorHAnsi" w:eastAsiaTheme="majorEastAsia" w:hAnsiTheme="majorHAnsi" w:cstheme="majorBidi"/>
      <w:b/>
      <w:bCs/>
      <w:color w:val="333333"/>
      <w:sz w:val="28"/>
      <w:szCs w:val="28"/>
      <w:lang w:val="ro-RO"/>
    </w:rPr>
  </w:style>
  <w:style w:type="paragraph" w:customStyle="1" w:styleId="JuHa0">
    <w:name w:val="Ju_H_a"/>
    <w:aliases w:val="ECHR_Heading_5,_Head_5"/>
    <w:basedOn w:val="Heading5"/>
    <w:next w:val="JuPara"/>
    <w:uiPriority w:val="17"/>
    <w:qFormat/>
    <w:rsid w:val="00556C52"/>
    <w:pPr>
      <w:keepNext/>
      <w:keepLines/>
      <w:numPr>
        <w:ilvl w:val="4"/>
        <w:numId w:val="9"/>
      </w:numPr>
      <w:spacing w:before="100" w:beforeAutospacing="1" w:after="120"/>
      <w:jc w:val="both"/>
    </w:pPr>
    <w:rPr>
      <w:color w:val="auto"/>
      <w:sz w:val="20"/>
    </w:rPr>
  </w:style>
  <w:style w:type="paragraph" w:customStyle="1" w:styleId="JuHi">
    <w:name w:val="Ju_H_i"/>
    <w:aliases w:val="ECHR_Heading_6,_Head_6"/>
    <w:basedOn w:val="Heading6"/>
    <w:next w:val="JuPara"/>
    <w:uiPriority w:val="17"/>
    <w:qFormat/>
    <w:rsid w:val="00556C52"/>
    <w:pPr>
      <w:keepNext/>
      <w:keepLines/>
      <w:numPr>
        <w:ilvl w:val="5"/>
        <w:numId w:val="9"/>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2Char">
    <w:name w:val="Heading 2 Char"/>
    <w:basedOn w:val="DefaultParagraphFont"/>
    <w:link w:val="Heading2"/>
    <w:uiPriority w:val="98"/>
    <w:semiHidden/>
    <w:rsid w:val="00556C52"/>
    <w:rPr>
      <w:rFonts w:asciiTheme="majorHAnsi" w:eastAsiaTheme="majorEastAsia" w:hAnsiTheme="majorHAnsi" w:cstheme="majorBidi"/>
      <w:b/>
      <w:bCs/>
      <w:color w:val="4D4D4D"/>
      <w:sz w:val="26"/>
      <w:szCs w:val="26"/>
      <w:lang w:val="ro-RO"/>
    </w:rPr>
  </w:style>
  <w:style w:type="paragraph" w:customStyle="1" w:styleId="JuHalpha">
    <w:name w:val="Ju_H_alpha"/>
    <w:aliases w:val="ECHR_Heading_7,_Head_7"/>
    <w:basedOn w:val="Heading7"/>
    <w:next w:val="JuPara"/>
    <w:uiPriority w:val="17"/>
    <w:qFormat/>
    <w:rsid w:val="00556C52"/>
    <w:pPr>
      <w:keepNext/>
      <w:keepLines/>
      <w:numPr>
        <w:ilvl w:val="6"/>
        <w:numId w:val="9"/>
      </w:numPr>
      <w:tabs>
        <w:tab w:val="left" w:pos="1361"/>
      </w:tabs>
      <w:spacing w:before="100" w:beforeAutospacing="1" w:after="120"/>
      <w:jc w:val="both"/>
    </w:pPr>
    <w:rPr>
      <w:i w:val="0"/>
      <w:sz w:val="20"/>
    </w:rPr>
  </w:style>
  <w:style w:type="paragraph" w:customStyle="1" w:styleId="JuH">
    <w:name w:val="Ju_H_–"/>
    <w:aliases w:val="ECHR_Heading_8,_Head_8"/>
    <w:basedOn w:val="Heading8"/>
    <w:next w:val="JuPara"/>
    <w:uiPriority w:val="17"/>
    <w:qFormat/>
    <w:rsid w:val="00556C52"/>
    <w:pPr>
      <w:keepNext/>
      <w:keepLines/>
      <w:numPr>
        <w:ilvl w:val="7"/>
        <w:numId w:val="9"/>
      </w:numPr>
      <w:spacing w:before="100" w:beforeAutospacing="1" w:after="120"/>
      <w:jc w:val="both"/>
    </w:pPr>
    <w:rPr>
      <w:i/>
    </w:rPr>
  </w:style>
  <w:style w:type="character" w:customStyle="1" w:styleId="Heading3Char">
    <w:name w:val="Heading 3 Char"/>
    <w:basedOn w:val="DefaultParagraphFont"/>
    <w:link w:val="Heading3"/>
    <w:uiPriority w:val="98"/>
    <w:semiHidden/>
    <w:rsid w:val="00556C52"/>
    <w:rPr>
      <w:rFonts w:asciiTheme="majorHAnsi" w:eastAsiaTheme="majorEastAsia" w:hAnsiTheme="majorHAnsi" w:cstheme="majorBidi"/>
      <w:b/>
      <w:bCs/>
      <w:color w:val="5F5F5F"/>
      <w:lang w:val="ro-RO"/>
    </w:rPr>
  </w:style>
  <w:style w:type="paragraph" w:customStyle="1" w:styleId="JuParaLast">
    <w:name w:val="Ju_Para_Last"/>
    <w:aliases w:val="_Para_Spaced"/>
    <w:basedOn w:val="NormalJustified"/>
    <w:uiPriority w:val="5"/>
    <w:qFormat/>
    <w:rsid w:val="00556C52"/>
    <w:pPr>
      <w:keepNext/>
      <w:keepLines/>
      <w:spacing w:before="240" w:after="240"/>
      <w:ind w:firstLine="284"/>
    </w:pPr>
  </w:style>
  <w:style w:type="paragraph" w:customStyle="1" w:styleId="JuJudges">
    <w:name w:val="Ju_Judges"/>
    <w:aliases w:val="_Judges"/>
    <w:basedOn w:val="Normal"/>
    <w:uiPriority w:val="32"/>
    <w:qFormat/>
    <w:rsid w:val="00556C52"/>
    <w:pPr>
      <w:tabs>
        <w:tab w:val="left" w:pos="567"/>
        <w:tab w:val="left" w:pos="1134"/>
      </w:tabs>
    </w:pPr>
  </w:style>
  <w:style w:type="character" w:customStyle="1" w:styleId="Heading4Char">
    <w:name w:val="Heading 4 Char"/>
    <w:basedOn w:val="DefaultParagraphFont"/>
    <w:link w:val="Heading4"/>
    <w:uiPriority w:val="98"/>
    <w:semiHidden/>
    <w:rsid w:val="00556C52"/>
    <w:rPr>
      <w:rFonts w:asciiTheme="majorHAnsi" w:eastAsiaTheme="majorEastAsia" w:hAnsiTheme="majorHAnsi" w:cstheme="majorBidi"/>
      <w:b/>
      <w:bCs/>
      <w:i/>
      <w:iCs/>
      <w:color w:val="777777"/>
      <w:lang w:val="ro-RO"/>
    </w:rPr>
  </w:style>
  <w:style w:type="character" w:customStyle="1" w:styleId="JuITMark">
    <w:name w:val="Ju_ITMark"/>
    <w:aliases w:val="_ITMark"/>
    <w:basedOn w:val="DefaultParagraphFont"/>
    <w:uiPriority w:val="54"/>
    <w:qFormat/>
    <w:rsid w:val="00556C52"/>
    <w:rPr>
      <w:vanish w:val="0"/>
      <w:color w:val="auto"/>
      <w:sz w:val="14"/>
      <w:bdr w:val="none" w:sz="0" w:space="0" w:color="auto"/>
      <w:shd w:val="clear" w:color="auto" w:fill="BEE5FF" w:themeFill="background1" w:themeFillTint="33"/>
    </w:rPr>
  </w:style>
  <w:style w:type="character" w:customStyle="1" w:styleId="Heading5Char">
    <w:name w:val="Heading 5 Char"/>
    <w:basedOn w:val="DefaultParagraphFont"/>
    <w:link w:val="Heading5"/>
    <w:uiPriority w:val="98"/>
    <w:semiHidden/>
    <w:rsid w:val="00556C52"/>
    <w:rPr>
      <w:rFonts w:asciiTheme="majorHAnsi" w:eastAsiaTheme="majorEastAsia" w:hAnsiTheme="majorHAnsi" w:cstheme="majorBidi"/>
      <w:b/>
      <w:bCs/>
      <w:color w:val="808080"/>
      <w:lang w:val="ro-RO"/>
    </w:rPr>
  </w:style>
  <w:style w:type="character" w:customStyle="1" w:styleId="JUNAMES">
    <w:name w:val="JU_NAMES"/>
    <w:aliases w:val="_Ju_Names"/>
    <w:uiPriority w:val="33"/>
    <w:qFormat/>
    <w:rsid w:val="00556C52"/>
    <w:rPr>
      <w:caps w:val="0"/>
      <w:smallCaps/>
    </w:rPr>
  </w:style>
  <w:style w:type="paragraph" w:customStyle="1" w:styleId="NormalJustified">
    <w:name w:val="Normal_Justified"/>
    <w:basedOn w:val="Normal"/>
    <w:semiHidden/>
    <w:rsid w:val="00556C52"/>
    <w:pPr>
      <w:jc w:val="both"/>
    </w:pPr>
  </w:style>
  <w:style w:type="character" w:styleId="SubtleEmphasis">
    <w:name w:val="Subtle Emphasis"/>
    <w:uiPriority w:val="98"/>
    <w:qFormat/>
    <w:rsid w:val="00556C52"/>
    <w:rPr>
      <w:i/>
      <w:iCs/>
    </w:rPr>
  </w:style>
  <w:style w:type="table" w:customStyle="1" w:styleId="ECHRTable">
    <w:name w:val="ECHR_Table"/>
    <w:basedOn w:val="TableNormal"/>
    <w:rsid w:val="00556C52"/>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556C52"/>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character" w:styleId="Emphasis">
    <w:name w:val="Emphasis"/>
    <w:uiPriority w:val="98"/>
    <w:qFormat/>
    <w:rsid w:val="00556C52"/>
    <w:rPr>
      <w:b/>
      <w:bCs/>
      <w:i/>
      <w:iCs/>
      <w:spacing w:val="10"/>
      <w:bdr w:val="none" w:sz="0" w:space="0" w:color="auto"/>
      <w:shd w:val="clear" w:color="auto" w:fill="auto"/>
    </w:rPr>
  </w:style>
  <w:style w:type="paragraph" w:styleId="Footer0">
    <w:name w:val="footer"/>
    <w:basedOn w:val="Normal"/>
    <w:link w:val="FooterChar"/>
    <w:uiPriority w:val="98"/>
    <w:semiHidden/>
    <w:rsid w:val="00556C52"/>
    <w:pPr>
      <w:tabs>
        <w:tab w:val="center" w:pos="3686"/>
        <w:tab w:val="right" w:pos="7371"/>
      </w:tabs>
    </w:pPr>
  </w:style>
  <w:style w:type="character" w:customStyle="1" w:styleId="FooterChar">
    <w:name w:val="Footer Char"/>
    <w:basedOn w:val="DefaultParagraphFont"/>
    <w:link w:val="Footer0"/>
    <w:uiPriority w:val="98"/>
    <w:semiHidden/>
    <w:rsid w:val="00556C52"/>
    <w:rPr>
      <w:sz w:val="24"/>
      <w:szCs w:val="24"/>
      <w:lang w:val="ro-RO"/>
    </w:rPr>
  </w:style>
  <w:style w:type="character" w:styleId="FootnoteReference">
    <w:name w:val="footnote reference"/>
    <w:basedOn w:val="DefaultParagraphFont"/>
    <w:uiPriority w:val="98"/>
    <w:semiHidden/>
    <w:rsid w:val="00556C52"/>
    <w:rPr>
      <w:vertAlign w:val="superscript"/>
    </w:rPr>
  </w:style>
  <w:style w:type="paragraph" w:styleId="FootnoteText">
    <w:name w:val="footnote text"/>
    <w:aliases w:val="5_G"/>
    <w:basedOn w:val="Normal"/>
    <w:link w:val="FootnoteTextChar"/>
    <w:uiPriority w:val="98"/>
    <w:semiHidden/>
    <w:rsid w:val="00556C52"/>
    <w:rPr>
      <w:sz w:val="20"/>
      <w:szCs w:val="20"/>
    </w:rPr>
  </w:style>
  <w:style w:type="character" w:customStyle="1" w:styleId="FootnoteTextChar">
    <w:name w:val="Footnote Text Char"/>
    <w:aliases w:val="5_G Char"/>
    <w:basedOn w:val="DefaultParagraphFont"/>
    <w:link w:val="FootnoteText"/>
    <w:uiPriority w:val="98"/>
    <w:semiHidden/>
    <w:rsid w:val="00556C52"/>
    <w:rPr>
      <w:sz w:val="20"/>
      <w:szCs w:val="20"/>
      <w:lang w:val="ro-RO"/>
    </w:rPr>
  </w:style>
  <w:style w:type="character" w:customStyle="1" w:styleId="Heading6Char">
    <w:name w:val="Heading 6 Char"/>
    <w:basedOn w:val="DefaultParagraphFont"/>
    <w:link w:val="Heading6"/>
    <w:uiPriority w:val="98"/>
    <w:semiHidden/>
    <w:rsid w:val="00556C52"/>
    <w:rPr>
      <w:rFonts w:asciiTheme="majorHAnsi" w:eastAsiaTheme="majorEastAsia" w:hAnsiTheme="majorHAnsi" w:cstheme="majorBidi"/>
      <w:b/>
      <w:bCs/>
      <w:i/>
      <w:iCs/>
      <w:color w:val="7F7F7F" w:themeColor="text1" w:themeTint="80"/>
      <w:lang w:val="ro-RO" w:bidi="en-US"/>
    </w:rPr>
  </w:style>
  <w:style w:type="character" w:customStyle="1" w:styleId="Heading7Char">
    <w:name w:val="Heading 7 Char"/>
    <w:basedOn w:val="DefaultParagraphFont"/>
    <w:link w:val="Heading7"/>
    <w:uiPriority w:val="98"/>
    <w:semiHidden/>
    <w:rsid w:val="00556C52"/>
    <w:rPr>
      <w:rFonts w:asciiTheme="majorHAnsi" w:eastAsiaTheme="majorEastAsia" w:hAnsiTheme="majorHAnsi" w:cstheme="majorBidi"/>
      <w:i/>
      <w:iCs/>
      <w:lang w:val="ro-RO" w:bidi="en-US"/>
    </w:rPr>
  </w:style>
  <w:style w:type="character" w:customStyle="1" w:styleId="Heading8Char">
    <w:name w:val="Heading 8 Char"/>
    <w:basedOn w:val="DefaultParagraphFont"/>
    <w:link w:val="Heading8"/>
    <w:uiPriority w:val="98"/>
    <w:semiHidden/>
    <w:rsid w:val="00556C52"/>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556C52"/>
    <w:rPr>
      <w:rFonts w:asciiTheme="majorHAnsi" w:eastAsiaTheme="majorEastAsia" w:hAnsiTheme="majorHAnsi" w:cstheme="majorBidi"/>
      <w:i/>
      <w:iCs/>
      <w:spacing w:val="5"/>
      <w:sz w:val="20"/>
      <w:szCs w:val="20"/>
      <w:lang w:val="ro-RO" w:bidi="en-US"/>
    </w:rPr>
  </w:style>
  <w:style w:type="character" w:styleId="Hyperlink">
    <w:name w:val="Hyperlink"/>
    <w:basedOn w:val="DefaultParagraphFont"/>
    <w:uiPriority w:val="98"/>
    <w:rsid w:val="00556C52"/>
    <w:rPr>
      <w:color w:val="0072BC" w:themeColor="hyperlink"/>
      <w:u w:val="single"/>
    </w:rPr>
  </w:style>
  <w:style w:type="character" w:styleId="IntenseEmphasis">
    <w:name w:val="Intense Emphasis"/>
    <w:uiPriority w:val="98"/>
    <w:qFormat/>
    <w:rsid w:val="00556C52"/>
    <w:rPr>
      <w:b/>
      <w:bCs/>
    </w:rPr>
  </w:style>
  <w:style w:type="paragraph" w:styleId="IntenseQuote">
    <w:name w:val="Intense Quote"/>
    <w:basedOn w:val="Normal"/>
    <w:next w:val="Normal"/>
    <w:link w:val="IntenseQuoteChar"/>
    <w:uiPriority w:val="98"/>
    <w:qFormat/>
    <w:rsid w:val="00556C52"/>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rsid w:val="00556C52"/>
    <w:rPr>
      <w:b/>
      <w:bCs/>
      <w:i/>
      <w:iCs/>
      <w:sz w:val="24"/>
      <w:szCs w:val="24"/>
      <w:lang w:val="ro-RO" w:bidi="en-US"/>
    </w:rPr>
  </w:style>
  <w:style w:type="character" w:styleId="IntenseReference">
    <w:name w:val="Intense Reference"/>
    <w:uiPriority w:val="98"/>
    <w:qFormat/>
    <w:rsid w:val="00556C52"/>
    <w:rPr>
      <w:smallCaps/>
      <w:spacing w:val="5"/>
      <w:u w:val="single"/>
    </w:rPr>
  </w:style>
  <w:style w:type="paragraph" w:styleId="ListParagraph">
    <w:name w:val="List Paragraph"/>
    <w:basedOn w:val="Normal"/>
    <w:uiPriority w:val="98"/>
    <w:qFormat/>
    <w:rsid w:val="00556C52"/>
    <w:pPr>
      <w:ind w:left="720"/>
      <w:contextualSpacing/>
    </w:pPr>
  </w:style>
  <w:style w:type="table" w:customStyle="1" w:styleId="LtrTableAddress">
    <w:name w:val="Ltr_Table_Address"/>
    <w:aliases w:val="ECHR_Ltr_Table_Address"/>
    <w:basedOn w:val="TableNormal"/>
    <w:uiPriority w:val="99"/>
    <w:rsid w:val="00556C52"/>
    <w:rPr>
      <w:sz w:val="24"/>
      <w:szCs w:val="24"/>
    </w:rPr>
    <w:tblPr>
      <w:tblInd w:w="5103" w:type="dxa"/>
    </w:tblPr>
  </w:style>
  <w:style w:type="paragraph" w:styleId="Quote">
    <w:name w:val="Quote"/>
    <w:basedOn w:val="Normal"/>
    <w:next w:val="Normal"/>
    <w:link w:val="QuoteChar"/>
    <w:uiPriority w:val="98"/>
    <w:qFormat/>
    <w:rsid w:val="00556C52"/>
    <w:pPr>
      <w:spacing w:before="200"/>
      <w:ind w:left="360" w:right="360"/>
    </w:pPr>
    <w:rPr>
      <w:i/>
      <w:iCs/>
      <w:lang w:bidi="en-US"/>
    </w:rPr>
  </w:style>
  <w:style w:type="character" w:customStyle="1" w:styleId="QuoteChar">
    <w:name w:val="Quote Char"/>
    <w:basedOn w:val="DefaultParagraphFont"/>
    <w:link w:val="Quote"/>
    <w:uiPriority w:val="98"/>
    <w:rsid w:val="00556C52"/>
    <w:rPr>
      <w:i/>
      <w:iCs/>
      <w:sz w:val="24"/>
      <w:szCs w:val="24"/>
      <w:lang w:val="ro-RO" w:bidi="en-US"/>
    </w:rPr>
  </w:style>
  <w:style w:type="character" w:styleId="SubtleReference">
    <w:name w:val="Subtle Reference"/>
    <w:uiPriority w:val="98"/>
    <w:qFormat/>
    <w:rsid w:val="00556C52"/>
    <w:rPr>
      <w:smallCaps/>
    </w:rPr>
  </w:style>
  <w:style w:type="table" w:styleId="TableGrid">
    <w:name w:val="Table Grid"/>
    <w:basedOn w:val="TableNormal"/>
    <w:uiPriority w:val="59"/>
    <w:rsid w:val="00556C52"/>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211457"/>
    <w:pPr>
      <w:keepNext/>
      <w:tabs>
        <w:tab w:val="right" w:leader="dot" w:pos="7371"/>
      </w:tabs>
      <w:spacing w:before="160" w:after="60" w:line="240" w:lineRule="exact"/>
      <w:ind w:left="340" w:right="567" w:hanging="340"/>
    </w:pPr>
    <w:rPr>
      <w:b/>
      <w:noProof/>
    </w:rPr>
  </w:style>
  <w:style w:type="paragraph" w:styleId="TOC2">
    <w:name w:val="toc 2"/>
    <w:basedOn w:val="Normal"/>
    <w:next w:val="Normal"/>
    <w:autoRedefine/>
    <w:uiPriority w:val="39"/>
    <w:rsid w:val="00556C52"/>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39"/>
    <w:rsid w:val="00556C52"/>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39"/>
    <w:rsid w:val="00556C52"/>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556C52"/>
    <w:pPr>
      <w:tabs>
        <w:tab w:val="right" w:leader="dot" w:pos="7371"/>
      </w:tabs>
      <w:spacing w:after="60" w:line="240" w:lineRule="exact"/>
      <w:ind w:left="1701" w:right="567" w:hanging="340"/>
    </w:pPr>
    <w:rPr>
      <w:sz w:val="20"/>
    </w:rPr>
  </w:style>
  <w:style w:type="paragraph" w:styleId="TOCHeading">
    <w:name w:val="TOC Heading"/>
    <w:basedOn w:val="Normal"/>
    <w:next w:val="Normal"/>
    <w:uiPriority w:val="39"/>
    <w:qFormat/>
    <w:rsid w:val="00556C52"/>
    <w:pPr>
      <w:keepNext/>
      <w:keepLines/>
      <w:spacing w:before="240"/>
      <w:contextualSpacing/>
      <w:jc w:val="center"/>
    </w:pPr>
    <w:rPr>
      <w:rFonts w:asciiTheme="majorHAnsi" w:hAnsiTheme="majorHAnsi"/>
      <w:b/>
      <w:color w:val="474747" w:themeColor="accent3" w:themeShade="BF"/>
      <w:sz w:val="28"/>
    </w:rPr>
  </w:style>
  <w:style w:type="table" w:customStyle="1" w:styleId="UGTable">
    <w:name w:val="UG_Table"/>
    <w:aliases w:val="ECHR_UG_Table"/>
    <w:basedOn w:val="TableNormal"/>
    <w:uiPriority w:val="99"/>
    <w:rsid w:val="00556C52"/>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556C52"/>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aliases w:val="ECHR_PCF_Table_Style"/>
    <w:basedOn w:val="TableNormal"/>
    <w:uiPriority w:val="99"/>
    <w:rsid w:val="00556C52"/>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556C52"/>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556C52"/>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basedOn w:val="TableNormal"/>
    <w:uiPriority w:val="99"/>
    <w:rsid w:val="00556C52"/>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8"/>
    <w:semiHidden/>
    <w:rsid w:val="00556C52"/>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Subtitle">
    <w:name w:val="Subtitle"/>
    <w:basedOn w:val="Normal"/>
    <w:next w:val="Normal"/>
    <w:link w:val="SubtitleChar"/>
    <w:uiPriority w:val="98"/>
    <w:qFormat/>
    <w:rsid w:val="00556C52"/>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rsid w:val="00556C52"/>
    <w:rPr>
      <w:rFonts w:asciiTheme="majorHAnsi" w:eastAsiaTheme="majorEastAsia" w:hAnsiTheme="majorHAnsi" w:cstheme="majorBidi"/>
      <w:i/>
      <w:iCs/>
      <w:spacing w:val="13"/>
      <w:sz w:val="24"/>
      <w:szCs w:val="24"/>
      <w:lang w:val="ro-RO" w:bidi="en-US"/>
    </w:rPr>
  </w:style>
  <w:style w:type="numbering" w:styleId="111111">
    <w:name w:val="Outline List 2"/>
    <w:basedOn w:val="NoList"/>
    <w:uiPriority w:val="99"/>
    <w:semiHidden/>
    <w:unhideWhenUsed/>
    <w:rsid w:val="00556C52"/>
    <w:pPr>
      <w:numPr>
        <w:numId w:val="1"/>
      </w:numPr>
    </w:pPr>
  </w:style>
  <w:style w:type="paragraph" w:customStyle="1" w:styleId="JuPara">
    <w:name w:val="Ju_Para"/>
    <w:aliases w:val="ECHR_Para,First line:  0 cm,Left,Para,_Para"/>
    <w:basedOn w:val="NormalJustified"/>
    <w:link w:val="JuParaChar"/>
    <w:uiPriority w:val="4"/>
    <w:qFormat/>
    <w:rsid w:val="00556C52"/>
    <w:pPr>
      <w:ind w:firstLine="284"/>
    </w:pPr>
  </w:style>
  <w:style w:type="numbering" w:styleId="1ai">
    <w:name w:val="Outline List 1"/>
    <w:basedOn w:val="NoList"/>
    <w:uiPriority w:val="99"/>
    <w:semiHidden/>
    <w:unhideWhenUsed/>
    <w:rsid w:val="00556C52"/>
    <w:pPr>
      <w:numPr>
        <w:numId w:val="2"/>
      </w:numPr>
    </w:pPr>
  </w:style>
  <w:style w:type="table" w:customStyle="1" w:styleId="ECHRTableSimpleBox">
    <w:name w:val="ECHR_Table_Simple_Box"/>
    <w:basedOn w:val="TableNormal"/>
    <w:uiPriority w:val="99"/>
    <w:rsid w:val="00556C52"/>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556C52"/>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icleSection">
    <w:name w:val="Outline List 3"/>
    <w:basedOn w:val="NoList"/>
    <w:uiPriority w:val="99"/>
    <w:semiHidden/>
    <w:unhideWhenUsed/>
    <w:rsid w:val="00556C52"/>
    <w:pPr>
      <w:numPr>
        <w:numId w:val="3"/>
      </w:numPr>
    </w:pPr>
  </w:style>
  <w:style w:type="table" w:customStyle="1" w:styleId="ECHRTableForInternalUse">
    <w:name w:val="ECHR_Table_For_Internal_Use"/>
    <w:basedOn w:val="TableNormal"/>
    <w:uiPriority w:val="99"/>
    <w:rsid w:val="00556C52"/>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556C52"/>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phy">
    <w:name w:val="Bibliography"/>
    <w:basedOn w:val="Normal"/>
    <w:next w:val="Normal"/>
    <w:uiPriority w:val="98"/>
    <w:semiHidden/>
    <w:rsid w:val="00556C52"/>
  </w:style>
  <w:style w:type="paragraph" w:styleId="BlockText">
    <w:name w:val="Block Text"/>
    <w:basedOn w:val="Normal"/>
    <w:uiPriority w:val="98"/>
    <w:semiHidden/>
    <w:rsid w:val="00556C52"/>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table" w:customStyle="1" w:styleId="ECHRHeaderTable">
    <w:name w:val="ECHR_Header_Table"/>
    <w:basedOn w:val="TableNormal"/>
    <w:uiPriority w:val="99"/>
    <w:rsid w:val="00556C52"/>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BodyText">
    <w:name w:val="Body Text"/>
    <w:basedOn w:val="Normal"/>
    <w:link w:val="BodyTextChar"/>
    <w:uiPriority w:val="98"/>
    <w:semiHidden/>
    <w:rsid w:val="00556C52"/>
    <w:pPr>
      <w:spacing w:after="120"/>
    </w:pPr>
  </w:style>
  <w:style w:type="character" w:customStyle="1" w:styleId="BodyTextChar">
    <w:name w:val="Body Text Char"/>
    <w:basedOn w:val="DefaultParagraphFont"/>
    <w:link w:val="BodyText"/>
    <w:uiPriority w:val="98"/>
    <w:semiHidden/>
    <w:rsid w:val="00556C52"/>
    <w:rPr>
      <w:sz w:val="24"/>
      <w:szCs w:val="24"/>
      <w:lang w:val="ro-RO"/>
    </w:rPr>
  </w:style>
  <w:style w:type="table" w:customStyle="1" w:styleId="ECHRTableOddBanded">
    <w:name w:val="ECHR_Table_Odd_Banded"/>
    <w:basedOn w:val="TableNormal"/>
    <w:uiPriority w:val="99"/>
    <w:rsid w:val="00556C52"/>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BodyText2">
    <w:name w:val="Body Text 2"/>
    <w:basedOn w:val="Normal"/>
    <w:link w:val="BodyText2Char"/>
    <w:uiPriority w:val="98"/>
    <w:semiHidden/>
    <w:rsid w:val="00556C52"/>
    <w:pPr>
      <w:spacing w:after="120" w:line="480" w:lineRule="auto"/>
    </w:pPr>
  </w:style>
  <w:style w:type="table" w:customStyle="1" w:styleId="ECHRHeaderTableReduced">
    <w:name w:val="ECHR_Header_Table_Reduced"/>
    <w:basedOn w:val="TableNormal"/>
    <w:uiPriority w:val="99"/>
    <w:rsid w:val="00556C52"/>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aliases w:val="_Case_Name"/>
    <w:basedOn w:val="Normal"/>
    <w:next w:val="JuPara"/>
    <w:uiPriority w:val="32"/>
    <w:rsid w:val="00556C52"/>
    <w:pPr>
      <w:ind w:firstLine="284"/>
      <w:jc w:val="both"/>
    </w:pPr>
    <w:rPr>
      <w:b/>
    </w:rPr>
  </w:style>
  <w:style w:type="character" w:styleId="PageNumber">
    <w:name w:val="page number"/>
    <w:uiPriority w:val="98"/>
    <w:semiHidden/>
    <w:rsid w:val="00556C52"/>
    <w:rPr>
      <w:sz w:val="18"/>
    </w:rPr>
  </w:style>
  <w:style w:type="paragraph" w:styleId="ListBullet2">
    <w:name w:val="List Bullet 2"/>
    <w:basedOn w:val="Normal"/>
    <w:uiPriority w:val="98"/>
    <w:semiHidden/>
    <w:rsid w:val="00556C52"/>
    <w:pPr>
      <w:numPr>
        <w:numId w:val="12"/>
      </w:numPr>
      <w:tabs>
        <w:tab w:val="clear" w:pos="643"/>
        <w:tab w:val="num" w:pos="1209"/>
      </w:tabs>
      <w:ind w:left="1209"/>
      <w:contextualSpacing/>
    </w:pPr>
  </w:style>
  <w:style w:type="character" w:customStyle="1" w:styleId="BodyText2Char">
    <w:name w:val="Body Text 2 Char"/>
    <w:basedOn w:val="DefaultParagraphFont"/>
    <w:link w:val="BodyText2"/>
    <w:uiPriority w:val="98"/>
    <w:semiHidden/>
    <w:rsid w:val="00556C52"/>
    <w:rPr>
      <w:sz w:val="24"/>
      <w:szCs w:val="24"/>
      <w:lang w:val="ro-RO"/>
    </w:rPr>
  </w:style>
  <w:style w:type="paragraph" w:styleId="BodyText3">
    <w:name w:val="Body Text 3"/>
    <w:basedOn w:val="Normal"/>
    <w:link w:val="BodyText3Char"/>
    <w:uiPriority w:val="98"/>
    <w:semiHidden/>
    <w:rsid w:val="00556C52"/>
    <w:pPr>
      <w:spacing w:after="120"/>
    </w:pPr>
    <w:rPr>
      <w:sz w:val="16"/>
      <w:szCs w:val="16"/>
    </w:rPr>
  </w:style>
  <w:style w:type="character" w:customStyle="1" w:styleId="BodyText3Char">
    <w:name w:val="Body Text 3 Char"/>
    <w:basedOn w:val="DefaultParagraphFont"/>
    <w:link w:val="BodyText3"/>
    <w:uiPriority w:val="98"/>
    <w:semiHidden/>
    <w:rsid w:val="00556C52"/>
    <w:rPr>
      <w:sz w:val="16"/>
      <w:szCs w:val="16"/>
      <w:lang w:val="ro-RO"/>
    </w:rPr>
  </w:style>
  <w:style w:type="paragraph" w:styleId="BodyTextFirstIndent">
    <w:name w:val="Body Text First Indent"/>
    <w:basedOn w:val="BodyText"/>
    <w:link w:val="BodyTextFirstIndentChar"/>
    <w:uiPriority w:val="98"/>
    <w:semiHidden/>
    <w:rsid w:val="00556C52"/>
    <w:pPr>
      <w:spacing w:after="0"/>
      <w:ind w:firstLine="360"/>
    </w:pPr>
  </w:style>
  <w:style w:type="character" w:customStyle="1" w:styleId="BodyTextFirstIndentChar">
    <w:name w:val="Body Text First Indent Char"/>
    <w:basedOn w:val="BodyTextChar"/>
    <w:link w:val="BodyTextFirstIndent"/>
    <w:uiPriority w:val="98"/>
    <w:semiHidden/>
    <w:rsid w:val="00556C52"/>
    <w:rPr>
      <w:sz w:val="24"/>
      <w:szCs w:val="24"/>
      <w:lang w:val="ro-RO"/>
    </w:rPr>
  </w:style>
  <w:style w:type="paragraph" w:styleId="BodyTextIndent">
    <w:name w:val="Body Text Indent"/>
    <w:basedOn w:val="Normal"/>
    <w:link w:val="BodyTextIndentChar"/>
    <w:uiPriority w:val="98"/>
    <w:semiHidden/>
    <w:rsid w:val="00556C52"/>
    <w:pPr>
      <w:spacing w:after="120"/>
      <w:ind w:left="283"/>
    </w:pPr>
  </w:style>
  <w:style w:type="character" w:customStyle="1" w:styleId="BodyTextIndentChar">
    <w:name w:val="Body Text Indent Char"/>
    <w:basedOn w:val="DefaultParagraphFont"/>
    <w:link w:val="BodyTextIndent"/>
    <w:uiPriority w:val="98"/>
    <w:semiHidden/>
    <w:rsid w:val="00556C52"/>
    <w:rPr>
      <w:sz w:val="24"/>
      <w:szCs w:val="24"/>
      <w:lang w:val="ro-RO"/>
    </w:rPr>
  </w:style>
  <w:style w:type="paragraph" w:styleId="BodyTextFirstIndent2">
    <w:name w:val="Body Text First Indent 2"/>
    <w:basedOn w:val="BodyTextIndent"/>
    <w:link w:val="BodyTextFirstIndent2Char"/>
    <w:uiPriority w:val="98"/>
    <w:semiHidden/>
    <w:rsid w:val="00556C52"/>
    <w:pPr>
      <w:spacing w:after="0"/>
      <w:ind w:left="360" w:firstLine="360"/>
    </w:pPr>
  </w:style>
  <w:style w:type="character" w:customStyle="1" w:styleId="BodyTextFirstIndent2Char">
    <w:name w:val="Body Text First Indent 2 Char"/>
    <w:basedOn w:val="BodyTextIndentChar"/>
    <w:link w:val="BodyTextFirstIndent2"/>
    <w:uiPriority w:val="98"/>
    <w:semiHidden/>
    <w:rsid w:val="00556C52"/>
    <w:rPr>
      <w:sz w:val="24"/>
      <w:szCs w:val="24"/>
      <w:lang w:val="ro-RO"/>
    </w:rPr>
  </w:style>
  <w:style w:type="paragraph" w:styleId="BodyTextIndent2">
    <w:name w:val="Body Text Indent 2"/>
    <w:basedOn w:val="Normal"/>
    <w:link w:val="BodyTextIndent2Char"/>
    <w:uiPriority w:val="98"/>
    <w:semiHidden/>
    <w:rsid w:val="00556C52"/>
    <w:pPr>
      <w:spacing w:after="120" w:line="480" w:lineRule="auto"/>
      <w:ind w:left="283"/>
    </w:pPr>
  </w:style>
  <w:style w:type="character" w:customStyle="1" w:styleId="BodyTextIndent2Char">
    <w:name w:val="Body Text Indent 2 Char"/>
    <w:basedOn w:val="DefaultParagraphFont"/>
    <w:link w:val="BodyTextIndent2"/>
    <w:uiPriority w:val="98"/>
    <w:semiHidden/>
    <w:rsid w:val="00556C52"/>
    <w:rPr>
      <w:sz w:val="24"/>
      <w:szCs w:val="24"/>
      <w:lang w:val="ro-RO"/>
    </w:rPr>
  </w:style>
  <w:style w:type="paragraph" w:styleId="BodyTextIndent3">
    <w:name w:val="Body Text Indent 3"/>
    <w:basedOn w:val="Normal"/>
    <w:link w:val="BodyTextIndent3Char"/>
    <w:uiPriority w:val="98"/>
    <w:semiHidden/>
    <w:rsid w:val="00556C52"/>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556C52"/>
    <w:rPr>
      <w:sz w:val="16"/>
      <w:szCs w:val="16"/>
      <w:lang w:val="ro-RO"/>
    </w:rPr>
  </w:style>
  <w:style w:type="paragraph" w:styleId="Caption">
    <w:name w:val="caption"/>
    <w:basedOn w:val="Normal"/>
    <w:next w:val="Normal"/>
    <w:uiPriority w:val="98"/>
    <w:semiHidden/>
    <w:qFormat/>
    <w:rsid w:val="00556C52"/>
    <w:pPr>
      <w:spacing w:after="200"/>
    </w:pPr>
    <w:rPr>
      <w:b/>
      <w:bCs/>
      <w:color w:val="0072BC" w:themeColor="accent1"/>
      <w:sz w:val="18"/>
      <w:szCs w:val="18"/>
    </w:rPr>
  </w:style>
  <w:style w:type="paragraph" w:styleId="Closing">
    <w:name w:val="Closing"/>
    <w:basedOn w:val="Normal"/>
    <w:link w:val="ClosingChar"/>
    <w:uiPriority w:val="98"/>
    <w:semiHidden/>
    <w:rsid w:val="00556C52"/>
    <w:pPr>
      <w:ind w:left="4252"/>
    </w:pPr>
  </w:style>
  <w:style w:type="character" w:customStyle="1" w:styleId="ClosingChar">
    <w:name w:val="Closing Char"/>
    <w:basedOn w:val="DefaultParagraphFont"/>
    <w:link w:val="Closing"/>
    <w:uiPriority w:val="98"/>
    <w:semiHidden/>
    <w:rsid w:val="00556C52"/>
    <w:rPr>
      <w:sz w:val="24"/>
      <w:szCs w:val="24"/>
      <w:lang w:val="ro-RO"/>
    </w:rPr>
  </w:style>
  <w:style w:type="table" w:styleId="ColorfulGrid">
    <w:name w:val="Colorful Grid"/>
    <w:basedOn w:val="TableNormal"/>
    <w:uiPriority w:val="73"/>
    <w:semiHidden/>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556C52"/>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556C52"/>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56C52"/>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556C52"/>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556C52"/>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556C52"/>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556C52"/>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556C52"/>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556C52"/>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56C52"/>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56C52"/>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56C52"/>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556C52"/>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56C52"/>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56C52"/>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8"/>
    <w:semiHidden/>
    <w:rsid w:val="00556C52"/>
    <w:rPr>
      <w:sz w:val="16"/>
      <w:szCs w:val="16"/>
    </w:rPr>
  </w:style>
  <w:style w:type="paragraph" w:styleId="CommentText">
    <w:name w:val="annotation text"/>
    <w:basedOn w:val="Normal"/>
    <w:link w:val="CommentTextChar"/>
    <w:uiPriority w:val="98"/>
    <w:semiHidden/>
    <w:rsid w:val="00556C52"/>
    <w:rPr>
      <w:sz w:val="20"/>
      <w:szCs w:val="20"/>
    </w:rPr>
  </w:style>
  <w:style w:type="character" w:customStyle="1" w:styleId="CommentTextChar">
    <w:name w:val="Comment Text Char"/>
    <w:basedOn w:val="DefaultParagraphFont"/>
    <w:link w:val="CommentText"/>
    <w:uiPriority w:val="98"/>
    <w:semiHidden/>
    <w:rsid w:val="00556C52"/>
    <w:rPr>
      <w:sz w:val="20"/>
      <w:szCs w:val="20"/>
      <w:lang w:val="ro-RO"/>
    </w:rPr>
  </w:style>
  <w:style w:type="paragraph" w:styleId="CommentSubject">
    <w:name w:val="annotation subject"/>
    <w:basedOn w:val="CommentText"/>
    <w:next w:val="CommentText"/>
    <w:link w:val="CommentSubjectChar"/>
    <w:uiPriority w:val="98"/>
    <w:semiHidden/>
    <w:rsid w:val="00556C52"/>
    <w:rPr>
      <w:b/>
      <w:bCs/>
    </w:rPr>
  </w:style>
  <w:style w:type="character" w:customStyle="1" w:styleId="CommentSubjectChar">
    <w:name w:val="Comment Subject Char"/>
    <w:basedOn w:val="CommentTextChar"/>
    <w:link w:val="CommentSubject"/>
    <w:uiPriority w:val="98"/>
    <w:semiHidden/>
    <w:rsid w:val="00556C52"/>
    <w:rPr>
      <w:b/>
      <w:bCs/>
      <w:sz w:val="20"/>
      <w:szCs w:val="20"/>
      <w:lang w:val="ro-RO"/>
    </w:rPr>
  </w:style>
  <w:style w:type="table" w:styleId="DarkList">
    <w:name w:val="Dark List"/>
    <w:basedOn w:val="TableNormal"/>
    <w:uiPriority w:val="70"/>
    <w:semiHidden/>
    <w:rsid w:val="00556C52"/>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56C52"/>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556C52"/>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556C52"/>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556C52"/>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556C52"/>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556C52"/>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556C52"/>
  </w:style>
  <w:style w:type="character" w:customStyle="1" w:styleId="DateChar">
    <w:name w:val="Date Char"/>
    <w:basedOn w:val="DefaultParagraphFont"/>
    <w:link w:val="Date"/>
    <w:uiPriority w:val="98"/>
    <w:semiHidden/>
    <w:rsid w:val="00556C52"/>
    <w:rPr>
      <w:sz w:val="24"/>
      <w:szCs w:val="24"/>
      <w:lang w:val="ro-RO"/>
    </w:rPr>
  </w:style>
  <w:style w:type="paragraph" w:styleId="DocumentMap">
    <w:name w:val="Document Map"/>
    <w:basedOn w:val="Normal"/>
    <w:link w:val="DocumentMapChar"/>
    <w:uiPriority w:val="98"/>
    <w:semiHidden/>
    <w:rsid w:val="00556C52"/>
    <w:rPr>
      <w:rFonts w:ascii="Tahoma" w:hAnsi="Tahoma" w:cs="Tahoma"/>
      <w:sz w:val="16"/>
      <w:szCs w:val="16"/>
    </w:rPr>
  </w:style>
  <w:style w:type="character" w:customStyle="1" w:styleId="DocumentMapChar">
    <w:name w:val="Document Map Char"/>
    <w:basedOn w:val="DefaultParagraphFont"/>
    <w:link w:val="DocumentMap"/>
    <w:uiPriority w:val="98"/>
    <w:semiHidden/>
    <w:rsid w:val="00556C52"/>
    <w:rPr>
      <w:rFonts w:ascii="Tahoma" w:hAnsi="Tahoma" w:cs="Tahoma"/>
      <w:sz w:val="16"/>
      <w:szCs w:val="16"/>
      <w:lang w:val="ro-RO"/>
    </w:rPr>
  </w:style>
  <w:style w:type="paragraph" w:styleId="E-mailSignature">
    <w:name w:val="E-mail Signature"/>
    <w:basedOn w:val="Normal"/>
    <w:link w:val="E-mailSignatureChar"/>
    <w:uiPriority w:val="98"/>
    <w:semiHidden/>
    <w:rsid w:val="00556C52"/>
  </w:style>
  <w:style w:type="character" w:customStyle="1" w:styleId="E-mailSignatureChar">
    <w:name w:val="E-mail Signature Char"/>
    <w:basedOn w:val="DefaultParagraphFont"/>
    <w:link w:val="E-mailSignature"/>
    <w:uiPriority w:val="98"/>
    <w:semiHidden/>
    <w:rsid w:val="00556C52"/>
    <w:rPr>
      <w:sz w:val="24"/>
      <w:szCs w:val="24"/>
      <w:lang w:val="ro-RO"/>
    </w:rPr>
  </w:style>
  <w:style w:type="character" w:styleId="EndnoteReference">
    <w:name w:val="endnote reference"/>
    <w:basedOn w:val="DefaultParagraphFont"/>
    <w:uiPriority w:val="98"/>
    <w:semiHidden/>
    <w:rsid w:val="00556C52"/>
    <w:rPr>
      <w:vertAlign w:val="superscript"/>
    </w:rPr>
  </w:style>
  <w:style w:type="paragraph" w:styleId="EndnoteText">
    <w:name w:val="endnote text"/>
    <w:basedOn w:val="Normal"/>
    <w:link w:val="EndnoteTextChar"/>
    <w:uiPriority w:val="98"/>
    <w:semiHidden/>
    <w:rsid w:val="00556C52"/>
    <w:rPr>
      <w:sz w:val="20"/>
      <w:szCs w:val="20"/>
    </w:rPr>
  </w:style>
  <w:style w:type="character" w:customStyle="1" w:styleId="EndnoteTextChar">
    <w:name w:val="Endnote Text Char"/>
    <w:basedOn w:val="DefaultParagraphFont"/>
    <w:link w:val="EndnoteText"/>
    <w:uiPriority w:val="98"/>
    <w:semiHidden/>
    <w:rsid w:val="00556C52"/>
    <w:rPr>
      <w:sz w:val="20"/>
      <w:szCs w:val="20"/>
      <w:lang w:val="ro-RO"/>
    </w:rPr>
  </w:style>
  <w:style w:type="paragraph" w:styleId="EnvelopeAddress">
    <w:name w:val="envelope address"/>
    <w:basedOn w:val="Normal"/>
    <w:uiPriority w:val="98"/>
    <w:semiHidden/>
    <w:rsid w:val="00556C52"/>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556C52"/>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556C52"/>
    <w:rPr>
      <w:color w:val="7030A0" w:themeColor="followedHyperlink"/>
      <w:u w:val="single"/>
    </w:rPr>
  </w:style>
  <w:style w:type="character" w:styleId="HTMLAcronym">
    <w:name w:val="HTML Acronym"/>
    <w:basedOn w:val="DefaultParagraphFont"/>
    <w:uiPriority w:val="98"/>
    <w:semiHidden/>
    <w:rsid w:val="00556C52"/>
  </w:style>
  <w:style w:type="paragraph" w:styleId="HTMLAddress">
    <w:name w:val="HTML Address"/>
    <w:basedOn w:val="Normal"/>
    <w:link w:val="HTMLAddressChar"/>
    <w:uiPriority w:val="98"/>
    <w:semiHidden/>
    <w:rsid w:val="00556C52"/>
    <w:rPr>
      <w:i/>
      <w:iCs/>
    </w:rPr>
  </w:style>
  <w:style w:type="character" w:customStyle="1" w:styleId="HTMLAddressChar">
    <w:name w:val="HTML Address Char"/>
    <w:basedOn w:val="DefaultParagraphFont"/>
    <w:link w:val="HTMLAddress"/>
    <w:uiPriority w:val="98"/>
    <w:semiHidden/>
    <w:rsid w:val="00556C52"/>
    <w:rPr>
      <w:i/>
      <w:iCs/>
      <w:sz w:val="24"/>
      <w:szCs w:val="24"/>
      <w:lang w:val="ro-RO"/>
    </w:rPr>
  </w:style>
  <w:style w:type="character" w:styleId="HTMLCite">
    <w:name w:val="HTML Cite"/>
    <w:basedOn w:val="DefaultParagraphFont"/>
    <w:uiPriority w:val="98"/>
    <w:semiHidden/>
    <w:rsid w:val="00556C52"/>
    <w:rPr>
      <w:i/>
      <w:iCs/>
    </w:rPr>
  </w:style>
  <w:style w:type="character" w:styleId="HTMLCode">
    <w:name w:val="HTML Code"/>
    <w:basedOn w:val="DefaultParagraphFont"/>
    <w:uiPriority w:val="98"/>
    <w:semiHidden/>
    <w:rsid w:val="00556C52"/>
    <w:rPr>
      <w:rFonts w:ascii="Consolas" w:hAnsi="Consolas" w:cs="Consolas"/>
      <w:sz w:val="20"/>
      <w:szCs w:val="20"/>
    </w:rPr>
  </w:style>
  <w:style w:type="character" w:styleId="HTMLDefinition">
    <w:name w:val="HTML Definition"/>
    <w:basedOn w:val="DefaultParagraphFont"/>
    <w:uiPriority w:val="98"/>
    <w:semiHidden/>
    <w:rsid w:val="00556C52"/>
    <w:rPr>
      <w:i/>
      <w:iCs/>
    </w:rPr>
  </w:style>
  <w:style w:type="character" w:styleId="HTMLKeyboard">
    <w:name w:val="HTML Keyboard"/>
    <w:basedOn w:val="DefaultParagraphFont"/>
    <w:uiPriority w:val="98"/>
    <w:semiHidden/>
    <w:rsid w:val="00556C52"/>
    <w:rPr>
      <w:rFonts w:ascii="Consolas" w:hAnsi="Consolas" w:cs="Consolas"/>
      <w:sz w:val="20"/>
      <w:szCs w:val="20"/>
    </w:rPr>
  </w:style>
  <w:style w:type="paragraph" w:styleId="HTMLPreformatted">
    <w:name w:val="HTML Preformatted"/>
    <w:basedOn w:val="Normal"/>
    <w:link w:val="HTMLPreformattedChar"/>
    <w:uiPriority w:val="98"/>
    <w:semiHidden/>
    <w:rsid w:val="00556C52"/>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556C52"/>
    <w:rPr>
      <w:rFonts w:ascii="Consolas" w:hAnsi="Consolas" w:cs="Consolas"/>
      <w:sz w:val="20"/>
      <w:szCs w:val="20"/>
      <w:lang w:val="ro-RO"/>
    </w:rPr>
  </w:style>
  <w:style w:type="character" w:styleId="HTMLSample">
    <w:name w:val="HTML Sample"/>
    <w:basedOn w:val="DefaultParagraphFont"/>
    <w:uiPriority w:val="98"/>
    <w:semiHidden/>
    <w:rsid w:val="00556C52"/>
    <w:rPr>
      <w:rFonts w:ascii="Consolas" w:hAnsi="Consolas" w:cs="Consolas"/>
      <w:sz w:val="24"/>
      <w:szCs w:val="24"/>
    </w:rPr>
  </w:style>
  <w:style w:type="character" w:styleId="HTMLTypewriter">
    <w:name w:val="HTML Typewriter"/>
    <w:basedOn w:val="DefaultParagraphFont"/>
    <w:uiPriority w:val="98"/>
    <w:semiHidden/>
    <w:rsid w:val="00556C52"/>
    <w:rPr>
      <w:rFonts w:ascii="Consolas" w:hAnsi="Consolas" w:cs="Consolas"/>
      <w:sz w:val="20"/>
      <w:szCs w:val="20"/>
    </w:rPr>
  </w:style>
  <w:style w:type="character" w:styleId="HTMLVariable">
    <w:name w:val="HTML Variable"/>
    <w:basedOn w:val="DefaultParagraphFont"/>
    <w:uiPriority w:val="98"/>
    <w:semiHidden/>
    <w:rsid w:val="00556C52"/>
    <w:rPr>
      <w:i/>
      <w:iCs/>
    </w:rPr>
  </w:style>
  <w:style w:type="paragraph" w:styleId="Index1">
    <w:name w:val="index 1"/>
    <w:basedOn w:val="Normal"/>
    <w:next w:val="Normal"/>
    <w:autoRedefine/>
    <w:uiPriority w:val="98"/>
    <w:semiHidden/>
    <w:rsid w:val="00556C52"/>
    <w:pPr>
      <w:ind w:left="240" w:hanging="240"/>
    </w:pPr>
  </w:style>
  <w:style w:type="paragraph" w:styleId="Index2">
    <w:name w:val="index 2"/>
    <w:basedOn w:val="Normal"/>
    <w:next w:val="Normal"/>
    <w:autoRedefine/>
    <w:uiPriority w:val="98"/>
    <w:semiHidden/>
    <w:rsid w:val="00556C52"/>
    <w:pPr>
      <w:ind w:left="480" w:hanging="240"/>
    </w:pPr>
  </w:style>
  <w:style w:type="paragraph" w:styleId="Index3">
    <w:name w:val="index 3"/>
    <w:basedOn w:val="Normal"/>
    <w:next w:val="Normal"/>
    <w:autoRedefine/>
    <w:uiPriority w:val="98"/>
    <w:semiHidden/>
    <w:rsid w:val="00556C52"/>
    <w:pPr>
      <w:ind w:left="720" w:hanging="240"/>
    </w:pPr>
  </w:style>
  <w:style w:type="paragraph" w:styleId="Index4">
    <w:name w:val="index 4"/>
    <w:basedOn w:val="Normal"/>
    <w:next w:val="Normal"/>
    <w:autoRedefine/>
    <w:uiPriority w:val="98"/>
    <w:semiHidden/>
    <w:rsid w:val="00556C52"/>
    <w:pPr>
      <w:ind w:left="960" w:hanging="240"/>
    </w:pPr>
  </w:style>
  <w:style w:type="paragraph" w:styleId="Index5">
    <w:name w:val="index 5"/>
    <w:basedOn w:val="Normal"/>
    <w:next w:val="Normal"/>
    <w:autoRedefine/>
    <w:uiPriority w:val="98"/>
    <w:semiHidden/>
    <w:rsid w:val="00556C52"/>
    <w:pPr>
      <w:ind w:left="1200" w:hanging="240"/>
    </w:pPr>
  </w:style>
  <w:style w:type="paragraph" w:styleId="Index6">
    <w:name w:val="index 6"/>
    <w:basedOn w:val="Normal"/>
    <w:next w:val="Normal"/>
    <w:autoRedefine/>
    <w:uiPriority w:val="98"/>
    <w:semiHidden/>
    <w:rsid w:val="00556C52"/>
    <w:pPr>
      <w:ind w:left="1440" w:hanging="240"/>
    </w:pPr>
  </w:style>
  <w:style w:type="paragraph" w:styleId="Index7">
    <w:name w:val="index 7"/>
    <w:basedOn w:val="Normal"/>
    <w:next w:val="Normal"/>
    <w:autoRedefine/>
    <w:uiPriority w:val="98"/>
    <w:semiHidden/>
    <w:rsid w:val="00556C52"/>
    <w:pPr>
      <w:ind w:left="1680" w:hanging="240"/>
    </w:pPr>
  </w:style>
  <w:style w:type="paragraph" w:styleId="Index8">
    <w:name w:val="index 8"/>
    <w:basedOn w:val="Normal"/>
    <w:next w:val="Normal"/>
    <w:autoRedefine/>
    <w:uiPriority w:val="98"/>
    <w:semiHidden/>
    <w:rsid w:val="00556C52"/>
    <w:pPr>
      <w:ind w:left="1920" w:hanging="240"/>
    </w:pPr>
  </w:style>
  <w:style w:type="paragraph" w:styleId="Index9">
    <w:name w:val="index 9"/>
    <w:basedOn w:val="Normal"/>
    <w:next w:val="Normal"/>
    <w:autoRedefine/>
    <w:uiPriority w:val="98"/>
    <w:semiHidden/>
    <w:rsid w:val="00556C52"/>
    <w:pPr>
      <w:ind w:left="2160" w:hanging="240"/>
    </w:pPr>
  </w:style>
  <w:style w:type="paragraph" w:styleId="IndexHeading">
    <w:name w:val="index heading"/>
    <w:basedOn w:val="Normal"/>
    <w:next w:val="Index1"/>
    <w:uiPriority w:val="98"/>
    <w:semiHidden/>
    <w:rsid w:val="00556C52"/>
    <w:rPr>
      <w:rFonts w:asciiTheme="majorHAnsi" w:eastAsiaTheme="majorEastAsia" w:hAnsiTheme="majorHAnsi" w:cstheme="majorBidi"/>
      <w:b/>
      <w:bCs/>
    </w:rPr>
  </w:style>
  <w:style w:type="table" w:styleId="LightGrid">
    <w:name w:val="Light Grid"/>
    <w:basedOn w:val="TableNormal"/>
    <w:uiPriority w:val="62"/>
    <w:semiHidden/>
    <w:rsid w:val="00556C52"/>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56C52"/>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556C52"/>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556C52"/>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556C52"/>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556C52"/>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556C52"/>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556C52"/>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56C52"/>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556C52"/>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556C52"/>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556C52"/>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556C52"/>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556C52"/>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556C52"/>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56C52"/>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556C52"/>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556C52"/>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556C52"/>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556C52"/>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556C52"/>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556C52"/>
  </w:style>
  <w:style w:type="paragraph" w:styleId="List">
    <w:name w:val="List"/>
    <w:basedOn w:val="Normal"/>
    <w:uiPriority w:val="98"/>
    <w:semiHidden/>
    <w:rsid w:val="00556C52"/>
    <w:pPr>
      <w:ind w:left="283" w:hanging="283"/>
      <w:contextualSpacing/>
    </w:pPr>
  </w:style>
  <w:style w:type="paragraph" w:styleId="List2">
    <w:name w:val="List 2"/>
    <w:basedOn w:val="Normal"/>
    <w:uiPriority w:val="98"/>
    <w:semiHidden/>
    <w:rsid w:val="00556C52"/>
    <w:pPr>
      <w:ind w:left="566" w:hanging="283"/>
      <w:contextualSpacing/>
    </w:pPr>
  </w:style>
  <w:style w:type="paragraph" w:styleId="List3">
    <w:name w:val="List 3"/>
    <w:basedOn w:val="Normal"/>
    <w:uiPriority w:val="98"/>
    <w:semiHidden/>
    <w:rsid w:val="00556C52"/>
    <w:pPr>
      <w:ind w:left="849" w:hanging="283"/>
      <w:contextualSpacing/>
    </w:pPr>
  </w:style>
  <w:style w:type="paragraph" w:styleId="List4">
    <w:name w:val="List 4"/>
    <w:basedOn w:val="Normal"/>
    <w:uiPriority w:val="98"/>
    <w:semiHidden/>
    <w:rsid w:val="00556C52"/>
    <w:pPr>
      <w:ind w:left="1132" w:hanging="283"/>
      <w:contextualSpacing/>
    </w:pPr>
  </w:style>
  <w:style w:type="paragraph" w:styleId="List5">
    <w:name w:val="List 5"/>
    <w:basedOn w:val="Normal"/>
    <w:uiPriority w:val="98"/>
    <w:semiHidden/>
    <w:rsid w:val="00556C52"/>
    <w:pPr>
      <w:ind w:left="1415" w:hanging="283"/>
      <w:contextualSpacing/>
    </w:pPr>
  </w:style>
  <w:style w:type="paragraph" w:styleId="ListBullet">
    <w:name w:val="List Bullet"/>
    <w:basedOn w:val="Normal"/>
    <w:uiPriority w:val="98"/>
    <w:semiHidden/>
    <w:rsid w:val="00556C52"/>
    <w:pPr>
      <w:numPr>
        <w:numId w:val="11"/>
      </w:numPr>
    </w:pPr>
  </w:style>
  <w:style w:type="paragraph" w:styleId="ListBullet3">
    <w:name w:val="List Bullet 3"/>
    <w:basedOn w:val="Normal"/>
    <w:uiPriority w:val="98"/>
    <w:semiHidden/>
    <w:rsid w:val="00556C52"/>
    <w:pPr>
      <w:numPr>
        <w:numId w:val="13"/>
      </w:numPr>
      <w:tabs>
        <w:tab w:val="clear" w:pos="1080"/>
        <w:tab w:val="num" w:pos="1492"/>
      </w:tabs>
      <w:ind w:left="1492"/>
      <w:contextualSpacing/>
    </w:pPr>
  </w:style>
  <w:style w:type="paragraph" w:styleId="ListBullet4">
    <w:name w:val="List Bullet 4"/>
    <w:basedOn w:val="Normal"/>
    <w:uiPriority w:val="98"/>
    <w:semiHidden/>
    <w:rsid w:val="00556C52"/>
    <w:pPr>
      <w:numPr>
        <w:numId w:val="14"/>
      </w:numPr>
      <w:tabs>
        <w:tab w:val="clear" w:pos="1209"/>
        <w:tab w:val="num" w:pos="360"/>
      </w:tabs>
      <w:ind w:left="360"/>
      <w:contextualSpacing/>
    </w:pPr>
  </w:style>
  <w:style w:type="paragraph" w:styleId="ListBullet5">
    <w:name w:val="List Bullet 5"/>
    <w:basedOn w:val="Normal"/>
    <w:uiPriority w:val="98"/>
    <w:semiHidden/>
    <w:rsid w:val="00556C52"/>
    <w:pPr>
      <w:numPr>
        <w:numId w:val="15"/>
      </w:numPr>
      <w:tabs>
        <w:tab w:val="clear" w:pos="1492"/>
        <w:tab w:val="num" w:pos="643"/>
      </w:tabs>
      <w:ind w:left="643"/>
      <w:contextualSpacing/>
    </w:pPr>
  </w:style>
  <w:style w:type="paragraph" w:styleId="ListContinue">
    <w:name w:val="List Continue"/>
    <w:basedOn w:val="Normal"/>
    <w:uiPriority w:val="98"/>
    <w:semiHidden/>
    <w:rsid w:val="00556C52"/>
    <w:pPr>
      <w:spacing w:after="120"/>
      <w:ind w:left="283"/>
      <w:contextualSpacing/>
    </w:pPr>
  </w:style>
  <w:style w:type="paragraph" w:styleId="ListContinue2">
    <w:name w:val="List Continue 2"/>
    <w:basedOn w:val="Normal"/>
    <w:uiPriority w:val="98"/>
    <w:semiHidden/>
    <w:rsid w:val="00556C52"/>
    <w:pPr>
      <w:spacing w:after="120"/>
      <w:ind w:left="566"/>
      <w:contextualSpacing/>
    </w:pPr>
  </w:style>
  <w:style w:type="paragraph" w:styleId="ListContinue3">
    <w:name w:val="List Continue 3"/>
    <w:basedOn w:val="Normal"/>
    <w:uiPriority w:val="98"/>
    <w:semiHidden/>
    <w:rsid w:val="00556C52"/>
    <w:pPr>
      <w:spacing w:after="120"/>
      <w:ind w:left="849"/>
      <w:contextualSpacing/>
    </w:pPr>
  </w:style>
  <w:style w:type="paragraph" w:styleId="ListContinue4">
    <w:name w:val="List Continue 4"/>
    <w:basedOn w:val="Normal"/>
    <w:uiPriority w:val="98"/>
    <w:semiHidden/>
    <w:rsid w:val="00556C52"/>
    <w:pPr>
      <w:spacing w:after="120"/>
      <w:ind w:left="1132"/>
      <w:contextualSpacing/>
    </w:pPr>
  </w:style>
  <w:style w:type="paragraph" w:styleId="ListContinue5">
    <w:name w:val="List Continue 5"/>
    <w:basedOn w:val="Normal"/>
    <w:uiPriority w:val="98"/>
    <w:semiHidden/>
    <w:rsid w:val="00556C52"/>
    <w:pPr>
      <w:spacing w:after="120"/>
      <w:ind w:left="1415"/>
      <w:contextualSpacing/>
    </w:pPr>
  </w:style>
  <w:style w:type="paragraph" w:styleId="ListNumber">
    <w:name w:val="List Number"/>
    <w:basedOn w:val="Normal"/>
    <w:uiPriority w:val="98"/>
    <w:semiHidden/>
    <w:rsid w:val="00556C52"/>
    <w:pPr>
      <w:numPr>
        <w:numId w:val="16"/>
      </w:numPr>
      <w:tabs>
        <w:tab w:val="clear" w:pos="360"/>
        <w:tab w:val="num" w:pos="926"/>
      </w:tabs>
      <w:ind w:left="926"/>
      <w:contextualSpacing/>
    </w:pPr>
  </w:style>
  <w:style w:type="paragraph" w:styleId="ListNumber2">
    <w:name w:val="List Number 2"/>
    <w:basedOn w:val="Normal"/>
    <w:uiPriority w:val="98"/>
    <w:semiHidden/>
    <w:rsid w:val="00556C52"/>
    <w:pPr>
      <w:numPr>
        <w:numId w:val="17"/>
      </w:numPr>
      <w:tabs>
        <w:tab w:val="clear" w:pos="643"/>
        <w:tab w:val="num" w:pos="1209"/>
      </w:tabs>
      <w:ind w:left="1209"/>
      <w:contextualSpacing/>
    </w:pPr>
  </w:style>
  <w:style w:type="paragraph" w:styleId="ListNumber3">
    <w:name w:val="List Number 3"/>
    <w:basedOn w:val="Normal"/>
    <w:uiPriority w:val="98"/>
    <w:semiHidden/>
    <w:rsid w:val="00556C52"/>
    <w:pPr>
      <w:numPr>
        <w:numId w:val="18"/>
      </w:numPr>
      <w:tabs>
        <w:tab w:val="clear" w:pos="926"/>
        <w:tab w:val="num" w:pos="1492"/>
      </w:tabs>
      <w:ind w:left="1492"/>
      <w:contextualSpacing/>
    </w:pPr>
  </w:style>
  <w:style w:type="paragraph" w:styleId="ListNumber4">
    <w:name w:val="List Number 4"/>
    <w:basedOn w:val="Normal"/>
    <w:uiPriority w:val="98"/>
    <w:semiHidden/>
    <w:rsid w:val="00556C52"/>
    <w:pPr>
      <w:numPr>
        <w:numId w:val="19"/>
      </w:numPr>
      <w:tabs>
        <w:tab w:val="clear" w:pos="1209"/>
      </w:tabs>
      <w:ind w:left="0" w:firstLine="0"/>
      <w:contextualSpacing/>
    </w:pPr>
  </w:style>
  <w:style w:type="paragraph" w:styleId="ListNumber5">
    <w:name w:val="List Number 5"/>
    <w:basedOn w:val="Normal"/>
    <w:uiPriority w:val="98"/>
    <w:semiHidden/>
    <w:rsid w:val="00556C52"/>
    <w:pPr>
      <w:numPr>
        <w:numId w:val="20"/>
      </w:numPr>
      <w:tabs>
        <w:tab w:val="clear" w:pos="1492"/>
      </w:tabs>
      <w:ind w:left="0" w:firstLine="0"/>
      <w:contextualSpacing/>
    </w:pPr>
  </w:style>
  <w:style w:type="paragraph" w:styleId="MacroText">
    <w:name w:val="macro"/>
    <w:link w:val="MacroTextChar"/>
    <w:uiPriority w:val="98"/>
    <w:semiHidden/>
    <w:rsid w:val="00556C52"/>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556C52"/>
    <w:rPr>
      <w:rFonts w:ascii="Consolas" w:eastAsiaTheme="minorEastAsia" w:hAnsi="Consolas" w:cs="Consolas"/>
      <w:sz w:val="20"/>
      <w:szCs w:val="20"/>
    </w:rPr>
  </w:style>
  <w:style w:type="table" w:styleId="MediumGrid1">
    <w:name w:val="Medium Grid 1"/>
    <w:basedOn w:val="TableNormal"/>
    <w:uiPriority w:val="67"/>
    <w:semiHidden/>
    <w:rsid w:val="00556C52"/>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56C52"/>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556C52"/>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556C52"/>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556C52"/>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556C52"/>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556C52"/>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556C52"/>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556C52"/>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56C52"/>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556C52"/>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556C52"/>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556C52"/>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556C52"/>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556C52"/>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56C52"/>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556C52"/>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56C52"/>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56C52"/>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56C52"/>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56C52"/>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56C52"/>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56C52"/>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56C52"/>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556C52"/>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556C52"/>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556C52"/>
    <w:rPr>
      <w:rFonts w:ascii="Times New Roman" w:hAnsi="Times New Roman" w:cs="Times New Roman"/>
    </w:rPr>
  </w:style>
  <w:style w:type="paragraph" w:styleId="NormalIndent">
    <w:name w:val="Normal Indent"/>
    <w:basedOn w:val="Normal"/>
    <w:uiPriority w:val="98"/>
    <w:semiHidden/>
    <w:rsid w:val="00556C52"/>
    <w:pPr>
      <w:ind w:left="720"/>
    </w:pPr>
  </w:style>
  <w:style w:type="paragraph" w:styleId="NoteHeading">
    <w:name w:val="Note Heading"/>
    <w:basedOn w:val="Normal"/>
    <w:next w:val="Normal"/>
    <w:link w:val="NoteHeadingChar"/>
    <w:uiPriority w:val="98"/>
    <w:semiHidden/>
    <w:rsid w:val="00556C52"/>
  </w:style>
  <w:style w:type="character" w:customStyle="1" w:styleId="NoteHeadingChar">
    <w:name w:val="Note Heading Char"/>
    <w:basedOn w:val="DefaultParagraphFont"/>
    <w:link w:val="NoteHeading"/>
    <w:uiPriority w:val="98"/>
    <w:semiHidden/>
    <w:rsid w:val="00556C52"/>
    <w:rPr>
      <w:sz w:val="24"/>
      <w:szCs w:val="24"/>
      <w:lang w:val="ro-RO"/>
    </w:rPr>
  </w:style>
  <w:style w:type="character" w:styleId="PlaceholderText">
    <w:name w:val="Placeholder Text"/>
    <w:basedOn w:val="DefaultParagraphFont"/>
    <w:uiPriority w:val="98"/>
    <w:semiHidden/>
    <w:rsid w:val="00556C52"/>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556C52"/>
    <w:rPr>
      <w:rFonts w:ascii="Consolas" w:hAnsi="Consolas" w:cs="Consolas"/>
      <w:sz w:val="21"/>
      <w:szCs w:val="21"/>
    </w:rPr>
  </w:style>
  <w:style w:type="character" w:customStyle="1" w:styleId="PlainTextChar">
    <w:name w:val="Plain Text Char"/>
    <w:basedOn w:val="DefaultParagraphFont"/>
    <w:link w:val="PlainText"/>
    <w:uiPriority w:val="98"/>
    <w:semiHidden/>
    <w:rsid w:val="00556C52"/>
    <w:rPr>
      <w:rFonts w:ascii="Consolas" w:hAnsi="Consolas" w:cs="Consolas"/>
      <w:sz w:val="21"/>
      <w:szCs w:val="21"/>
      <w:lang w:val="ro-RO"/>
    </w:rPr>
  </w:style>
  <w:style w:type="paragraph" w:styleId="Salutation">
    <w:name w:val="Salutation"/>
    <w:basedOn w:val="Normal"/>
    <w:next w:val="Normal"/>
    <w:link w:val="SalutationChar"/>
    <w:uiPriority w:val="98"/>
    <w:semiHidden/>
    <w:rsid w:val="00556C52"/>
  </w:style>
  <w:style w:type="character" w:customStyle="1" w:styleId="SalutationChar">
    <w:name w:val="Salutation Char"/>
    <w:basedOn w:val="DefaultParagraphFont"/>
    <w:link w:val="Salutation"/>
    <w:uiPriority w:val="98"/>
    <w:semiHidden/>
    <w:rsid w:val="00556C52"/>
    <w:rPr>
      <w:sz w:val="24"/>
      <w:szCs w:val="24"/>
      <w:lang w:val="ro-RO"/>
    </w:rPr>
  </w:style>
  <w:style w:type="paragraph" w:styleId="Signature">
    <w:name w:val="Signature"/>
    <w:basedOn w:val="Normal"/>
    <w:link w:val="SignatureChar"/>
    <w:uiPriority w:val="98"/>
    <w:semiHidden/>
    <w:rsid w:val="00556C52"/>
    <w:pPr>
      <w:ind w:left="4252"/>
    </w:pPr>
  </w:style>
  <w:style w:type="character" w:customStyle="1" w:styleId="SignatureChar">
    <w:name w:val="Signature Char"/>
    <w:basedOn w:val="DefaultParagraphFont"/>
    <w:link w:val="Signature"/>
    <w:uiPriority w:val="98"/>
    <w:semiHidden/>
    <w:rsid w:val="00556C52"/>
    <w:rPr>
      <w:sz w:val="24"/>
      <w:szCs w:val="24"/>
      <w:lang w:val="ro-RO"/>
    </w:rPr>
  </w:style>
  <w:style w:type="table" w:styleId="Table3Deffects1">
    <w:name w:val="Table 3D effects 1"/>
    <w:basedOn w:val="TableNormal"/>
    <w:uiPriority w:val="99"/>
    <w:semiHidden/>
    <w:unhideWhenUsed/>
    <w:rsid w:val="00556C52"/>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56C52"/>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56C52"/>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56C52"/>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56C52"/>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56C52"/>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56C52"/>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56C52"/>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56C52"/>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56C52"/>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56C52"/>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56C52"/>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56C52"/>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56C52"/>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56C52"/>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56C52"/>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56C52"/>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56C5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56C52"/>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56C52"/>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56C52"/>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56C52"/>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56C52"/>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56C52"/>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56C52"/>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56C52"/>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56C52"/>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56C52"/>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56C52"/>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56C5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56C52"/>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56C52"/>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56C52"/>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556C52"/>
    <w:pPr>
      <w:ind w:left="240" w:hanging="240"/>
    </w:pPr>
  </w:style>
  <w:style w:type="paragraph" w:styleId="TableofFigures">
    <w:name w:val="table of figures"/>
    <w:basedOn w:val="Normal"/>
    <w:next w:val="Normal"/>
    <w:uiPriority w:val="98"/>
    <w:semiHidden/>
    <w:rsid w:val="00556C52"/>
  </w:style>
  <w:style w:type="table" w:styleId="TableProfessional">
    <w:name w:val="Table Professional"/>
    <w:basedOn w:val="TableNormal"/>
    <w:uiPriority w:val="99"/>
    <w:semiHidden/>
    <w:unhideWhenUsed/>
    <w:rsid w:val="00556C52"/>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56C52"/>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56C52"/>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56C52"/>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56C52"/>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56C52"/>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56C52"/>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56C52"/>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56C52"/>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56C52"/>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8"/>
    <w:semiHidden/>
    <w:rsid w:val="00556C52"/>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556C52"/>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556C52"/>
    <w:pPr>
      <w:spacing w:after="100"/>
      <w:ind w:left="1680"/>
    </w:pPr>
  </w:style>
  <w:style w:type="paragraph" w:styleId="TOC9">
    <w:name w:val="toc 9"/>
    <w:basedOn w:val="Normal"/>
    <w:next w:val="Normal"/>
    <w:autoRedefine/>
    <w:uiPriority w:val="98"/>
    <w:semiHidden/>
    <w:rsid w:val="00556C52"/>
    <w:pPr>
      <w:spacing w:after="100"/>
      <w:ind w:left="1920"/>
    </w:pPr>
  </w:style>
  <w:style w:type="paragraph" w:customStyle="1" w:styleId="ECHRFooter">
    <w:name w:val="ECHR_Footer"/>
    <w:aliases w:val="Footer_ECHR"/>
    <w:basedOn w:val="Footer0"/>
    <w:uiPriority w:val="57"/>
    <w:semiHidden/>
    <w:rsid w:val="00893F30"/>
    <w:rPr>
      <w:sz w:val="8"/>
    </w:rPr>
  </w:style>
  <w:style w:type="paragraph" w:customStyle="1" w:styleId="ECHRFooterLine">
    <w:name w:val="ECHR_Footer_Line"/>
    <w:aliases w:val="_Footer_Line"/>
    <w:basedOn w:val="Normal"/>
    <w:next w:val="Normal"/>
    <w:uiPriority w:val="29"/>
    <w:semiHidden/>
    <w:rsid w:val="00556C52"/>
    <w:pPr>
      <w:pBdr>
        <w:top w:val="single" w:sz="6" w:space="1" w:color="5F5F5F"/>
      </w:pBdr>
      <w:tabs>
        <w:tab w:val="center" w:pos="3686"/>
        <w:tab w:val="right" w:pos="7371"/>
      </w:tabs>
      <w:ind w:left="-1474" w:right="-1474"/>
    </w:pPr>
    <w:rPr>
      <w:color w:val="5F5F5F"/>
    </w:rPr>
  </w:style>
  <w:style w:type="paragraph" w:customStyle="1" w:styleId="DecHCase">
    <w:name w:val="Dec_H_Case"/>
    <w:aliases w:val="_Title_3"/>
    <w:basedOn w:val="JuPara"/>
    <w:next w:val="JuPara"/>
    <w:uiPriority w:val="38"/>
    <w:qFormat/>
    <w:rsid w:val="00556C52"/>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556C52"/>
    <w:pPr>
      <w:keepNext/>
      <w:keepLines/>
      <w:spacing w:before="1320" w:after="280"/>
      <w:contextualSpacing/>
      <w:jc w:val="center"/>
    </w:pPr>
    <w:rPr>
      <w:b/>
    </w:rPr>
  </w:style>
  <w:style w:type="paragraph" w:customStyle="1" w:styleId="ECHRBullet2">
    <w:name w:val="ECHR_Bullet_2"/>
    <w:aliases w:val="_Bul_2"/>
    <w:basedOn w:val="ECHRBullet1"/>
    <w:uiPriority w:val="23"/>
    <w:semiHidden/>
    <w:rsid w:val="00556C52"/>
    <w:pPr>
      <w:numPr>
        <w:ilvl w:val="1"/>
      </w:numPr>
      <w:tabs>
        <w:tab w:val="clear" w:pos="1134"/>
      </w:tabs>
      <w:ind w:left="369" w:hanging="369"/>
    </w:pPr>
  </w:style>
  <w:style w:type="paragraph" w:customStyle="1" w:styleId="ECHRBullet3">
    <w:name w:val="ECHR_Bullet_3"/>
    <w:aliases w:val="_Bul_3"/>
    <w:basedOn w:val="ECHRBullet2"/>
    <w:uiPriority w:val="23"/>
    <w:semiHidden/>
    <w:rsid w:val="00556C52"/>
    <w:pPr>
      <w:numPr>
        <w:ilvl w:val="2"/>
      </w:numPr>
      <w:tabs>
        <w:tab w:val="clear" w:pos="1418"/>
      </w:tabs>
      <w:ind w:left="510" w:hanging="340"/>
    </w:pPr>
  </w:style>
  <w:style w:type="paragraph" w:customStyle="1" w:styleId="ECHRBullet4">
    <w:name w:val="ECHR_Bullet_4"/>
    <w:aliases w:val="_Bul_4"/>
    <w:basedOn w:val="ECHRBullet3"/>
    <w:uiPriority w:val="23"/>
    <w:semiHidden/>
    <w:rsid w:val="00556C52"/>
    <w:pPr>
      <w:numPr>
        <w:ilvl w:val="3"/>
      </w:numPr>
      <w:tabs>
        <w:tab w:val="clear" w:pos="1701"/>
      </w:tabs>
      <w:ind w:left="680" w:hanging="340"/>
    </w:pPr>
  </w:style>
  <w:style w:type="paragraph" w:customStyle="1" w:styleId="ECHRConfidential">
    <w:name w:val="ECHR_Confidential"/>
    <w:aliases w:val="_Confidential"/>
    <w:basedOn w:val="Normal"/>
    <w:next w:val="Normal"/>
    <w:uiPriority w:val="42"/>
    <w:semiHidden/>
    <w:qFormat/>
    <w:rsid w:val="00556C52"/>
    <w:pPr>
      <w:jc w:val="right"/>
    </w:pPr>
    <w:rPr>
      <w:color w:val="C00000"/>
      <w:sz w:val="20"/>
    </w:rPr>
  </w:style>
  <w:style w:type="paragraph" w:customStyle="1" w:styleId="ECHRDecisionBody">
    <w:name w:val="ECHR_Decision_Body"/>
    <w:aliases w:val="_Decision_Body"/>
    <w:basedOn w:val="NormalJustified"/>
    <w:uiPriority w:val="54"/>
    <w:semiHidden/>
    <w:rsid w:val="00556C52"/>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556C52"/>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556C52"/>
    <w:rPr>
      <w:rFonts w:ascii="Arial" w:hAnsi="Arial"/>
      <w:i/>
      <w:color w:val="002856"/>
      <w:sz w:val="32"/>
      <w:szCs w:val="24"/>
      <w:lang w:val="ro-RO"/>
    </w:rPr>
  </w:style>
  <w:style w:type="paragraph" w:customStyle="1" w:styleId="DummyStyle">
    <w:name w:val="Dummy_Style"/>
    <w:aliases w:val="_Dummy"/>
    <w:basedOn w:val="Normal"/>
    <w:semiHidden/>
    <w:qFormat/>
    <w:rsid w:val="00556C52"/>
    <w:rPr>
      <w:color w:val="00B050"/>
      <w:sz w:val="22"/>
    </w:rPr>
  </w:style>
  <w:style w:type="paragraph" w:customStyle="1" w:styleId="ECHRFooterLineLandscape">
    <w:name w:val="ECHR_Footer_Line_Landscape"/>
    <w:aliases w:val="_Footer_Line_Landscape"/>
    <w:basedOn w:val="Normal"/>
    <w:uiPriority w:val="29"/>
    <w:semiHidden/>
    <w:rsid w:val="00556C52"/>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ParaHanging">
    <w:name w:val="ECHR_Para_Hanging"/>
    <w:aliases w:val="_Hanging"/>
    <w:basedOn w:val="Normal"/>
    <w:uiPriority w:val="8"/>
    <w:semiHidden/>
    <w:qFormat/>
    <w:rsid w:val="00556C52"/>
    <w:pPr>
      <w:ind w:left="567" w:hanging="567"/>
      <w:jc w:val="both"/>
    </w:pPr>
  </w:style>
  <w:style w:type="paragraph" w:customStyle="1" w:styleId="ECHRHeading9">
    <w:name w:val="ECHR_Heading_9"/>
    <w:aliases w:val="_Head_9"/>
    <w:basedOn w:val="Heading9"/>
    <w:uiPriority w:val="17"/>
    <w:rsid w:val="00556C52"/>
    <w:pPr>
      <w:keepNext/>
      <w:keepLines/>
      <w:numPr>
        <w:ilvl w:val="8"/>
        <w:numId w:val="9"/>
      </w:numPr>
      <w:spacing w:before="100" w:beforeAutospacing="1"/>
      <w:contextualSpacing/>
      <w:jc w:val="both"/>
    </w:pPr>
    <w:rPr>
      <w:i w:val="0"/>
      <w:sz w:val="18"/>
    </w:rPr>
  </w:style>
  <w:style w:type="paragraph" w:customStyle="1" w:styleId="ECHRHeaderLandscape">
    <w:name w:val="ECHR_Header_Landscape"/>
    <w:aliases w:val="_Header_Landscape"/>
    <w:basedOn w:val="JuHeader"/>
    <w:uiPriority w:val="29"/>
    <w:rsid w:val="00556C52"/>
    <w:pPr>
      <w:tabs>
        <w:tab w:val="center" w:pos="6146"/>
        <w:tab w:val="right" w:pos="13778"/>
      </w:tabs>
      <w:ind w:left="-1474" w:right="-1474"/>
    </w:pPr>
  </w:style>
  <w:style w:type="paragraph" w:customStyle="1" w:styleId="ECHRParaIndent">
    <w:name w:val="ECHR_Para_Indent"/>
    <w:aliases w:val="_Indent"/>
    <w:basedOn w:val="Normal"/>
    <w:uiPriority w:val="7"/>
    <w:semiHidden/>
    <w:qFormat/>
    <w:rsid w:val="00556C52"/>
    <w:pPr>
      <w:spacing w:before="120" w:after="120"/>
      <w:ind w:left="567"/>
      <w:jc w:val="both"/>
    </w:pPr>
  </w:style>
  <w:style w:type="paragraph" w:customStyle="1" w:styleId="ECHRLine">
    <w:name w:val="ECHR_Line"/>
    <w:aliases w:val="_Line"/>
    <w:basedOn w:val="NormalJustified"/>
    <w:next w:val="Normal"/>
    <w:uiPriority w:val="46"/>
    <w:semiHidden/>
    <w:rsid w:val="00556C52"/>
    <w:pPr>
      <w:pBdr>
        <w:bottom w:val="single" w:sz="12" w:space="1" w:color="949494" w:themeColor="text2" w:themeShade="BF"/>
      </w:pBdr>
      <w:spacing w:after="120"/>
    </w:pPr>
    <w:rPr>
      <w:sz w:val="12"/>
    </w:rPr>
  </w:style>
  <w:style w:type="paragraph" w:customStyle="1" w:styleId="DecList">
    <w:name w:val="Dec_List"/>
    <w:aliases w:val="_List"/>
    <w:basedOn w:val="JuList"/>
    <w:uiPriority w:val="22"/>
    <w:rsid w:val="00556C52"/>
    <w:pPr>
      <w:numPr>
        <w:numId w:val="0"/>
      </w:numPr>
      <w:ind w:left="284"/>
    </w:pPr>
  </w:style>
  <w:style w:type="paragraph" w:customStyle="1" w:styleId="ECHRNumberedList1">
    <w:name w:val="ECHR_Numbered_List_1"/>
    <w:aliases w:val="_Num_1"/>
    <w:basedOn w:val="Normal"/>
    <w:uiPriority w:val="23"/>
    <w:semiHidden/>
    <w:qFormat/>
    <w:rsid w:val="00556C52"/>
    <w:pPr>
      <w:numPr>
        <w:numId w:val="8"/>
      </w:numPr>
      <w:tabs>
        <w:tab w:val="clear" w:pos="964"/>
        <w:tab w:val="num" w:pos="340"/>
      </w:tabs>
      <w:spacing w:before="60" w:after="60"/>
      <w:ind w:left="340" w:hanging="340"/>
    </w:pPr>
  </w:style>
  <w:style w:type="paragraph" w:customStyle="1" w:styleId="ECHRNumberedList2">
    <w:name w:val="ECHR_Numbered_List_2"/>
    <w:aliases w:val="_Num_2"/>
    <w:basedOn w:val="ECHRNumberedList1"/>
    <w:uiPriority w:val="23"/>
    <w:semiHidden/>
    <w:rsid w:val="00556C52"/>
    <w:pPr>
      <w:numPr>
        <w:ilvl w:val="1"/>
      </w:numPr>
      <w:tabs>
        <w:tab w:val="clear" w:pos="1361"/>
        <w:tab w:val="num" w:pos="680"/>
      </w:tabs>
      <w:ind w:left="680" w:hanging="340"/>
    </w:pPr>
  </w:style>
  <w:style w:type="paragraph" w:customStyle="1" w:styleId="ECHRNumberedList3">
    <w:name w:val="ECHR_Numbered_List_3"/>
    <w:aliases w:val="_Num_3"/>
    <w:basedOn w:val="ECHRNumberedList2"/>
    <w:uiPriority w:val="23"/>
    <w:semiHidden/>
    <w:rsid w:val="00556C52"/>
    <w:pPr>
      <w:numPr>
        <w:ilvl w:val="2"/>
      </w:numPr>
      <w:tabs>
        <w:tab w:val="clear" w:pos="1758"/>
      </w:tabs>
      <w:ind w:left="907" w:hanging="227"/>
    </w:pPr>
  </w:style>
  <w:style w:type="paragraph" w:customStyle="1" w:styleId="ECHRPlaceholder">
    <w:name w:val="ECHR_Placeholder"/>
    <w:aliases w:val="_Placeholder"/>
    <w:basedOn w:val="JuSigned"/>
    <w:uiPriority w:val="31"/>
    <w:rsid w:val="00556C52"/>
    <w:rPr>
      <w:color w:val="FFFFFF"/>
    </w:rPr>
  </w:style>
  <w:style w:type="character" w:customStyle="1" w:styleId="ECHRRed">
    <w:name w:val="ECHR_Red"/>
    <w:aliases w:val="_Red"/>
    <w:basedOn w:val="DefaultParagraphFont"/>
    <w:uiPriority w:val="15"/>
    <w:semiHidden/>
    <w:qFormat/>
    <w:rsid w:val="00556C52"/>
    <w:rPr>
      <w:color w:val="C00000" w:themeColor="accent2"/>
    </w:rPr>
  </w:style>
  <w:style w:type="paragraph" w:customStyle="1" w:styleId="ECHRHeaderDate">
    <w:name w:val="ECHR_Header_Date"/>
    <w:aliases w:val="_Ref_Date"/>
    <w:basedOn w:val="Normal"/>
    <w:uiPriority w:val="44"/>
    <w:semiHidden/>
    <w:qFormat/>
    <w:rsid w:val="00556C52"/>
    <w:pPr>
      <w:jc w:val="right"/>
    </w:pPr>
    <w:rPr>
      <w:sz w:val="20"/>
    </w:rPr>
  </w:style>
  <w:style w:type="paragraph" w:customStyle="1" w:styleId="ECHRHeaderRefIt">
    <w:name w:val="ECHR_Header_Ref_It"/>
    <w:aliases w:val="_Ref_Ital"/>
    <w:basedOn w:val="Normal"/>
    <w:next w:val="ECHRHeaderDate"/>
    <w:uiPriority w:val="43"/>
    <w:semiHidden/>
    <w:qFormat/>
    <w:rsid w:val="00556C52"/>
    <w:pPr>
      <w:jc w:val="right"/>
    </w:pPr>
    <w:rPr>
      <w:i/>
      <w:sz w:val="20"/>
    </w:rPr>
  </w:style>
  <w:style w:type="paragraph" w:customStyle="1" w:styleId="ECHRSpacer">
    <w:name w:val="ECHR_Spacer"/>
    <w:aliases w:val="_Spacer"/>
    <w:basedOn w:val="Normal"/>
    <w:uiPriority w:val="45"/>
    <w:semiHidden/>
    <w:rsid w:val="00556C52"/>
    <w:rPr>
      <w:sz w:val="4"/>
    </w:rPr>
  </w:style>
  <w:style w:type="paragraph" w:customStyle="1" w:styleId="ECHRTitleCentre1">
    <w:name w:val="ECHR_Title_Centre_1"/>
    <w:aliases w:val="_Title_C_1"/>
    <w:basedOn w:val="Normal"/>
    <w:next w:val="Normal"/>
    <w:uiPriority w:val="26"/>
    <w:semiHidden/>
    <w:qFormat/>
    <w:rsid w:val="00556C52"/>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556C52"/>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556C52"/>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556C52"/>
    <w:pPr>
      <w:outlineLvl w:val="0"/>
    </w:pPr>
  </w:style>
  <w:style w:type="paragraph" w:customStyle="1" w:styleId="ECHRTitle1">
    <w:name w:val="ECHR_Title_1"/>
    <w:aliases w:val="_Title_L_1"/>
    <w:basedOn w:val="Normal"/>
    <w:next w:val="Normal"/>
    <w:uiPriority w:val="28"/>
    <w:semiHidden/>
    <w:qFormat/>
    <w:rsid w:val="00556C52"/>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556C52"/>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556C52"/>
    <w:pPr>
      <w:keepNext/>
      <w:keepLines/>
      <w:spacing w:before="240"/>
      <w:contextualSpacing/>
    </w:pPr>
    <w:rPr>
      <w:rFonts w:asciiTheme="majorHAnsi" w:hAnsiTheme="majorHAnsi"/>
      <w:b/>
      <w:color w:val="474747" w:themeColor="accent3" w:themeShade="BF"/>
    </w:rPr>
  </w:style>
  <w:style w:type="paragraph" w:customStyle="1" w:styleId="ECHRTitleTOC1">
    <w:name w:val="ECHR_Title_TOC_1"/>
    <w:aliases w:val="_Title_L_TOC"/>
    <w:basedOn w:val="ECHRTitle1"/>
    <w:next w:val="Normal"/>
    <w:uiPriority w:val="27"/>
    <w:semiHidden/>
    <w:qFormat/>
    <w:rsid w:val="00556C52"/>
    <w:pPr>
      <w:outlineLvl w:val="0"/>
    </w:pPr>
  </w:style>
  <w:style w:type="table" w:customStyle="1" w:styleId="ECHRTable2">
    <w:name w:val="ECHR_Table_2"/>
    <w:basedOn w:val="TableNormal"/>
    <w:uiPriority w:val="99"/>
    <w:rsid w:val="00556C52"/>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556C52"/>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table" w:customStyle="1" w:styleId="ECHRTableGrey">
    <w:name w:val="ECHR_Table_Grey"/>
    <w:basedOn w:val="TableNormal"/>
    <w:uiPriority w:val="99"/>
    <w:rsid w:val="00556C52"/>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character" w:customStyle="1" w:styleId="UnresolvedMention">
    <w:name w:val="Unresolved Mention"/>
    <w:basedOn w:val="DefaultParagraphFont"/>
    <w:uiPriority w:val="99"/>
    <w:semiHidden/>
    <w:unhideWhenUsed/>
    <w:rsid w:val="00AB2714"/>
    <w:rPr>
      <w:color w:val="605E5C"/>
      <w:shd w:val="clear" w:color="auto" w:fill="E1DFDD"/>
    </w:rPr>
  </w:style>
  <w:style w:type="character" w:customStyle="1" w:styleId="JuNames0">
    <w:name w:val="Ju_Names"/>
    <w:rsid w:val="00F26AFF"/>
    <w:rPr>
      <w:rFonts w:ascii="Times New Roman" w:hAnsi="Times New Roman" w:cs="Times New Roman"/>
      <w:smallCaps/>
    </w:rPr>
  </w:style>
  <w:style w:type="character" w:customStyle="1" w:styleId="JuParaChar">
    <w:name w:val="Ju_Para Char"/>
    <w:aliases w:val="ECHR_Para Char,_Para Char"/>
    <w:link w:val="JuPara"/>
    <w:uiPriority w:val="4"/>
    <w:qFormat/>
    <w:rsid w:val="00F26AFF"/>
    <w:rPr>
      <w:sz w:val="24"/>
      <w:szCs w:val="24"/>
      <w:lang w:val="ro-RO"/>
    </w:rPr>
  </w:style>
  <w:style w:type="table" w:styleId="GridTable1Light">
    <w:name w:val="Grid Table 1 Light"/>
    <w:basedOn w:val="TableNormal"/>
    <w:uiPriority w:val="46"/>
    <w:rsid w:val="00D82835"/>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82835"/>
    <w:rPr>
      <w:sz w:val="24"/>
      <w:szCs w:val="24"/>
    </w:rPr>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82835"/>
    <w:rPr>
      <w:sz w:val="24"/>
      <w:szCs w:val="24"/>
    </w:rPr>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82835"/>
    <w:rPr>
      <w:sz w:val="24"/>
      <w:szCs w:val="24"/>
    </w:rPr>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82835"/>
    <w:rPr>
      <w:sz w:val="24"/>
      <w:szCs w:val="24"/>
    </w:rPr>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82835"/>
    <w:rPr>
      <w:sz w:val="24"/>
      <w:szCs w:val="24"/>
    </w:r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82835"/>
    <w:rPr>
      <w:sz w:val="24"/>
      <w:szCs w:val="24"/>
    </w:r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82835"/>
    <w:rPr>
      <w:sz w:val="24"/>
      <w:szCs w:val="24"/>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82835"/>
    <w:rPr>
      <w:sz w:val="24"/>
      <w:szCs w:val="24"/>
    </w:rPr>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rsid w:val="00D82835"/>
    <w:rPr>
      <w:sz w:val="24"/>
      <w:szCs w:val="24"/>
    </w:rPr>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rsid w:val="00D82835"/>
    <w:rPr>
      <w:sz w:val="24"/>
      <w:szCs w:val="24"/>
    </w:rPr>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rsid w:val="00D82835"/>
    <w:rPr>
      <w:sz w:val="24"/>
      <w:szCs w:val="24"/>
    </w:rPr>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rsid w:val="00D82835"/>
    <w:rPr>
      <w:sz w:val="24"/>
      <w:szCs w:val="24"/>
    </w:r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D82835"/>
    <w:rPr>
      <w:sz w:val="24"/>
      <w:szCs w:val="24"/>
    </w:r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D82835"/>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82835"/>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rsid w:val="00D82835"/>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rsid w:val="00D82835"/>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rsid w:val="00D82835"/>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rsid w:val="00D82835"/>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D82835"/>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D82835"/>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82835"/>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rsid w:val="00D82835"/>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rsid w:val="00D82835"/>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rsid w:val="00D82835"/>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rsid w:val="00D82835"/>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D82835"/>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D82835"/>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82835"/>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rsid w:val="00D82835"/>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rsid w:val="00D82835"/>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rsid w:val="00D82835"/>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rsid w:val="00D82835"/>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D82835"/>
    <w:rPr>
      <w:sz w:val="24"/>
      <w:szCs w:val="24"/>
    </w:rPr>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D82835"/>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82835"/>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rsid w:val="00D82835"/>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rsid w:val="00D82835"/>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rsid w:val="00D82835"/>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rsid w:val="00D82835"/>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D82835"/>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D82835"/>
    <w:rPr>
      <w:color w:val="000000" w:themeColor="text1"/>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82835"/>
    <w:rPr>
      <w:color w:val="00548C" w:themeColor="accent1" w:themeShade="BF"/>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rsid w:val="00D82835"/>
    <w:rPr>
      <w:color w:val="8F0000" w:themeColor="accent2" w:themeShade="BF"/>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rsid w:val="00D82835"/>
    <w:rPr>
      <w:color w:val="474747" w:themeColor="accent3" w:themeShade="BF"/>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rsid w:val="00D82835"/>
    <w:rPr>
      <w:color w:val="707070" w:themeColor="accent4" w:themeShade="BF"/>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rsid w:val="00D82835"/>
    <w:rPr>
      <w:color w:val="474747" w:themeColor="accent5" w:themeShade="BF"/>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D82835"/>
    <w:rPr>
      <w:color w:val="393939" w:themeColor="accent6" w:themeShade="BF"/>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
    <w:name w:val="Hashtag"/>
    <w:basedOn w:val="DefaultParagraphFont"/>
    <w:uiPriority w:val="99"/>
    <w:semiHidden/>
    <w:unhideWhenUsed/>
    <w:rsid w:val="00D82835"/>
    <w:rPr>
      <w:color w:val="2B579A"/>
      <w:shd w:val="clear" w:color="auto" w:fill="E1DFDD"/>
    </w:rPr>
  </w:style>
  <w:style w:type="table" w:styleId="ListTable1Light">
    <w:name w:val="List Table 1 Light"/>
    <w:basedOn w:val="TableNormal"/>
    <w:uiPriority w:val="46"/>
    <w:rsid w:val="00D82835"/>
    <w:rPr>
      <w:sz w:val="24"/>
      <w:szCs w:val="24"/>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82835"/>
    <w:rPr>
      <w:sz w:val="24"/>
      <w:szCs w:val="24"/>
    </w:rPr>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rsid w:val="00D82835"/>
    <w:rPr>
      <w:sz w:val="24"/>
      <w:szCs w:val="24"/>
    </w:rPr>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rsid w:val="00D82835"/>
    <w:rPr>
      <w:sz w:val="24"/>
      <w:szCs w:val="24"/>
    </w:rPr>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rsid w:val="00D82835"/>
    <w:rPr>
      <w:sz w:val="24"/>
      <w:szCs w:val="24"/>
    </w:rPr>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rsid w:val="00D82835"/>
    <w:rPr>
      <w:sz w:val="24"/>
      <w:szCs w:val="24"/>
    </w:r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D82835"/>
    <w:rPr>
      <w:sz w:val="24"/>
      <w:szCs w:val="24"/>
    </w:r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D82835"/>
    <w:rPr>
      <w:sz w:val="24"/>
      <w:szCs w:val="24"/>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82835"/>
    <w:rPr>
      <w:sz w:val="24"/>
      <w:szCs w:val="24"/>
    </w:rPr>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rsid w:val="00D82835"/>
    <w:rPr>
      <w:sz w:val="24"/>
      <w:szCs w:val="24"/>
    </w:rPr>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rsid w:val="00D82835"/>
    <w:rPr>
      <w:sz w:val="24"/>
      <w:szCs w:val="24"/>
    </w:rPr>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rsid w:val="00D82835"/>
    <w:rPr>
      <w:sz w:val="24"/>
      <w:szCs w:val="24"/>
    </w:rPr>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rsid w:val="00D82835"/>
    <w:rPr>
      <w:sz w:val="24"/>
      <w:szCs w:val="24"/>
    </w:r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D82835"/>
    <w:rPr>
      <w:sz w:val="24"/>
      <w:szCs w:val="24"/>
    </w:r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D82835"/>
    <w:rPr>
      <w:sz w:val="24"/>
      <w:szCs w:val="24"/>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82835"/>
    <w:rPr>
      <w:sz w:val="24"/>
      <w:szCs w:val="24"/>
    </w:rPr>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rsid w:val="00D82835"/>
    <w:rPr>
      <w:sz w:val="24"/>
      <w:szCs w:val="24"/>
    </w:rPr>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rsid w:val="00D82835"/>
    <w:rPr>
      <w:sz w:val="24"/>
      <w:szCs w:val="24"/>
    </w:rPr>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rsid w:val="00D82835"/>
    <w:rPr>
      <w:sz w:val="24"/>
      <w:szCs w:val="24"/>
    </w:rPr>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rsid w:val="00D82835"/>
    <w:rPr>
      <w:sz w:val="24"/>
      <w:szCs w:val="24"/>
    </w:r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D82835"/>
    <w:rPr>
      <w:sz w:val="24"/>
      <w:szCs w:val="24"/>
    </w:r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D82835"/>
    <w:rPr>
      <w:sz w:val="24"/>
      <w:szCs w:val="24"/>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82835"/>
    <w:rPr>
      <w:sz w:val="24"/>
      <w:szCs w:val="24"/>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rsid w:val="00D82835"/>
    <w:rPr>
      <w:sz w:val="24"/>
      <w:szCs w:val="24"/>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rsid w:val="00D82835"/>
    <w:rPr>
      <w:sz w:val="24"/>
      <w:szCs w:val="24"/>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rsid w:val="00D82835"/>
    <w:rPr>
      <w:sz w:val="24"/>
      <w:szCs w:val="24"/>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rsid w:val="00D82835"/>
    <w:rPr>
      <w:sz w:val="24"/>
      <w:szCs w:val="24"/>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D82835"/>
    <w:rPr>
      <w:sz w:val="24"/>
      <w:szCs w:val="24"/>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D82835"/>
    <w:rPr>
      <w:color w:val="0072BC" w:themeColor="background1"/>
      <w:sz w:val="24"/>
      <w:szCs w:val="24"/>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82835"/>
    <w:rPr>
      <w:color w:val="0072BC" w:themeColor="background1"/>
      <w:sz w:val="24"/>
      <w:szCs w:val="24"/>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82835"/>
    <w:rPr>
      <w:color w:val="0072BC" w:themeColor="background1"/>
      <w:sz w:val="24"/>
      <w:szCs w:val="24"/>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82835"/>
    <w:rPr>
      <w:color w:val="0072BC" w:themeColor="background1"/>
      <w:sz w:val="24"/>
      <w:szCs w:val="24"/>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82835"/>
    <w:rPr>
      <w:color w:val="0072BC" w:themeColor="background1"/>
      <w:sz w:val="24"/>
      <w:szCs w:val="24"/>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82835"/>
    <w:rPr>
      <w:color w:val="0072BC" w:themeColor="background1"/>
      <w:sz w:val="24"/>
      <w:szCs w:val="24"/>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82835"/>
    <w:rPr>
      <w:color w:val="0072BC" w:themeColor="background1"/>
      <w:sz w:val="24"/>
      <w:szCs w:val="24"/>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82835"/>
    <w:rPr>
      <w:color w:val="000000" w:themeColor="text1"/>
      <w:sz w:val="24"/>
      <w:szCs w:val="24"/>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82835"/>
    <w:rPr>
      <w:color w:val="00548C" w:themeColor="accent1" w:themeShade="BF"/>
      <w:sz w:val="24"/>
      <w:szCs w:val="24"/>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rsid w:val="00D82835"/>
    <w:rPr>
      <w:color w:val="8F0000" w:themeColor="accent2" w:themeShade="BF"/>
      <w:sz w:val="24"/>
      <w:szCs w:val="24"/>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rsid w:val="00D82835"/>
    <w:rPr>
      <w:color w:val="474747" w:themeColor="accent3" w:themeShade="BF"/>
      <w:sz w:val="24"/>
      <w:szCs w:val="24"/>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rsid w:val="00D82835"/>
    <w:rPr>
      <w:color w:val="707070" w:themeColor="accent4" w:themeShade="BF"/>
      <w:sz w:val="24"/>
      <w:szCs w:val="24"/>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rsid w:val="00D82835"/>
    <w:rPr>
      <w:color w:val="474747" w:themeColor="accent5" w:themeShade="BF"/>
      <w:sz w:val="24"/>
      <w:szCs w:val="24"/>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D82835"/>
    <w:rPr>
      <w:color w:val="393939" w:themeColor="accent6" w:themeShade="BF"/>
      <w:sz w:val="24"/>
      <w:szCs w:val="24"/>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D82835"/>
    <w:rPr>
      <w:color w:val="000000" w:themeColor="text1"/>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82835"/>
    <w:rPr>
      <w:color w:val="00548C" w:themeColor="accent1"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82835"/>
    <w:rPr>
      <w:color w:val="8F0000" w:themeColor="accent2"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82835"/>
    <w:rPr>
      <w:color w:val="474747" w:themeColor="accent3"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82835"/>
    <w:rPr>
      <w:color w:val="707070" w:themeColor="accent4"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82835"/>
    <w:rPr>
      <w:color w:val="474747" w:themeColor="accent5"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82835"/>
    <w:rPr>
      <w:color w:val="393939" w:themeColor="accent6" w:themeShade="BF"/>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
    <w:name w:val="Mention"/>
    <w:basedOn w:val="DefaultParagraphFont"/>
    <w:uiPriority w:val="99"/>
    <w:semiHidden/>
    <w:unhideWhenUsed/>
    <w:rsid w:val="00D82835"/>
    <w:rPr>
      <w:color w:val="2B579A"/>
      <w:shd w:val="clear" w:color="auto" w:fill="E1DFDD"/>
    </w:rPr>
  </w:style>
  <w:style w:type="table" w:styleId="PlainTable1">
    <w:name w:val="Plain Table 1"/>
    <w:basedOn w:val="TableNormal"/>
    <w:uiPriority w:val="41"/>
    <w:rsid w:val="00D82835"/>
    <w:rPr>
      <w:sz w:val="24"/>
      <w:szCs w:val="24"/>
    </w:rPr>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rsid w:val="00D82835"/>
    <w:rPr>
      <w:sz w:val="24"/>
      <w:szCs w:val="24"/>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82835"/>
    <w:rPr>
      <w:sz w:val="24"/>
      <w:szCs w:val="24"/>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82835"/>
    <w:rPr>
      <w:sz w:val="24"/>
      <w:szCs w:val="24"/>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rsid w:val="00D82835"/>
    <w:rPr>
      <w:sz w:val="24"/>
      <w:szCs w:val="24"/>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
    <w:name w:val="Smart Hyperlink"/>
    <w:basedOn w:val="DefaultParagraphFont"/>
    <w:uiPriority w:val="99"/>
    <w:semiHidden/>
    <w:unhideWhenUsed/>
    <w:rsid w:val="00D82835"/>
    <w:rPr>
      <w:u w:val="dotted"/>
    </w:rPr>
  </w:style>
  <w:style w:type="character" w:customStyle="1" w:styleId="SmartLink">
    <w:name w:val="Smart Link"/>
    <w:basedOn w:val="DefaultParagraphFont"/>
    <w:uiPriority w:val="99"/>
    <w:semiHidden/>
    <w:unhideWhenUsed/>
    <w:rsid w:val="00D82835"/>
    <w:rPr>
      <w:color w:val="0000FF"/>
      <w:u w:val="single"/>
      <w:shd w:val="clear" w:color="auto" w:fill="F3F2F1"/>
    </w:rPr>
  </w:style>
  <w:style w:type="table" w:styleId="TableGridLight">
    <w:name w:val="Grid Table Light"/>
    <w:basedOn w:val="TableNormal"/>
    <w:uiPriority w:val="40"/>
    <w:rsid w:val="00D82835"/>
    <w:rPr>
      <w:sz w:val="24"/>
      <w:szCs w:val="24"/>
    </w:rPr>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 w:type="paragraph" w:styleId="Revision">
    <w:name w:val="Revision"/>
    <w:hidden/>
    <w:uiPriority w:val="99"/>
    <w:semiHidden/>
    <w:rsid w:val="00D828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85C6C7-E67A-4ED0-BED7-BE1C02D87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10596</Words>
  <Characters>60399</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CARÊME c. FRANCE</vt:lpstr>
    </vt:vector>
  </TitlesOfParts>
  <Company/>
  <LinksUpToDate>false</LinksUpToDate>
  <CharactersWithSpaces>70854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CARÊME c. FRANCE</dc:title>
  <dc:subject>JUDF</dc:subject>
  <dc:creator/>
  <cp:lastModifiedBy/>
  <cp:revision>1</cp:revision>
  <dcterms:created xsi:type="dcterms:W3CDTF">2024-04-10T08:22:00Z</dcterms:created>
  <dcterms:modified xsi:type="dcterms:W3CDTF">2024-07-08T08:02:00Z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SEID">
    <vt:lpwstr>1606696</vt:lpwstr>
  </property>
  <property fmtid="{D5CDD505-2E9C-101B-9397-08002B2CF9AE}" pid="3" name="cstLanguage">
    <vt:i4>1036</vt:i4>
  </property>
  <property fmtid="{D5CDD505-2E9C-101B-9397-08002B2CF9AE}" pid="4" name="RegisteredNo">
    <vt:lpwstr>7189/21</vt:lpwstr>
  </property>
</Properties>
</file>