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586" w:rsidRPr="005E3F4E" w:rsidRDefault="00EB7586" w:rsidP="005E3F4E">
      <w:pPr>
        <w:jc w:val="center"/>
      </w:pPr>
    </w:p>
    <w:p w:rsidR="00EB7586" w:rsidRDefault="0067386B" w:rsidP="0067386B">
      <w:pPr>
        <w:jc w:val="center"/>
      </w:pPr>
      <w:r>
        <w:t>CURTEA EUROPEANĂ A DREPTURILOR OMULUI</w:t>
      </w:r>
    </w:p>
    <w:p w:rsidR="0067386B" w:rsidRPr="005E3F4E" w:rsidRDefault="0067386B" w:rsidP="0067386B">
      <w:pPr>
        <w:jc w:val="center"/>
      </w:pPr>
    </w:p>
    <w:p w:rsidR="00EB7586" w:rsidRPr="005E3F4E" w:rsidRDefault="00AE2B6C" w:rsidP="008B65E8">
      <w:pPr>
        <w:jc w:val="center"/>
      </w:pPr>
      <w:r>
        <w:t>SECȚIA A PATRA</w:t>
      </w:r>
    </w:p>
    <w:p w:rsidR="00EB7586" w:rsidRPr="005E3F4E" w:rsidRDefault="00EB7586" w:rsidP="005E3F4E">
      <w:pPr>
        <w:jc w:val="center"/>
      </w:pPr>
    </w:p>
    <w:p w:rsidR="00EB7586" w:rsidRDefault="00EB7586" w:rsidP="005E3F4E">
      <w:pPr>
        <w:jc w:val="center"/>
      </w:pPr>
    </w:p>
    <w:p w:rsidR="005E3F4E" w:rsidRDefault="005E3F4E" w:rsidP="005E3F4E">
      <w:pPr>
        <w:jc w:val="center"/>
      </w:pPr>
    </w:p>
    <w:p w:rsidR="005E3F4E" w:rsidRPr="005E3F4E" w:rsidRDefault="005E3F4E" w:rsidP="005E3F4E">
      <w:pPr>
        <w:jc w:val="center"/>
      </w:pPr>
    </w:p>
    <w:p w:rsidR="00EB7586" w:rsidRPr="005E3F4E" w:rsidRDefault="00EB7586" w:rsidP="005E3F4E">
      <w:pPr>
        <w:jc w:val="center"/>
      </w:pPr>
    </w:p>
    <w:p w:rsidR="00EB7586" w:rsidRPr="005E3F4E" w:rsidRDefault="00EB7586" w:rsidP="005E3F4E">
      <w:pPr>
        <w:jc w:val="center"/>
      </w:pPr>
    </w:p>
    <w:p w:rsidR="00D420F3" w:rsidRPr="005E3F4E" w:rsidRDefault="0077175D" w:rsidP="005E3F4E">
      <w:pPr>
        <w:jc w:val="center"/>
        <w:rPr>
          <w:b/>
        </w:rPr>
      </w:pPr>
      <w:r>
        <w:rPr>
          <w:b/>
        </w:rPr>
        <w:t>CAUZA S.C. CONTINENTAL HOTELS S.A. ÎMPOTRIVA ROMÂNIEI</w:t>
      </w:r>
    </w:p>
    <w:p w:rsidR="00D420F3" w:rsidRPr="005E3F4E" w:rsidRDefault="00D420F3" w:rsidP="005E3F4E">
      <w:pPr>
        <w:jc w:val="center"/>
      </w:pPr>
    </w:p>
    <w:p w:rsidR="00D420F3" w:rsidRPr="005E3F4E" w:rsidRDefault="0077175D" w:rsidP="005E3F4E">
      <w:pPr>
        <w:jc w:val="center"/>
        <w:rPr>
          <w:i/>
        </w:rPr>
      </w:pPr>
      <w:r>
        <w:rPr>
          <w:i/>
        </w:rPr>
        <w:t>(Cererea nr. 36407/12)</w:t>
      </w:r>
    </w:p>
    <w:p w:rsidR="00D420F3" w:rsidRPr="005E3F4E" w:rsidRDefault="00D420F3" w:rsidP="005E3F4E">
      <w:pPr>
        <w:jc w:val="center"/>
      </w:pPr>
    </w:p>
    <w:p w:rsidR="00D420F3" w:rsidRDefault="00D420F3" w:rsidP="008B65E8">
      <w:pPr>
        <w:jc w:val="center"/>
      </w:pPr>
    </w:p>
    <w:p w:rsidR="005E3F4E" w:rsidRDefault="005E3F4E" w:rsidP="005E3F4E">
      <w:pPr>
        <w:jc w:val="center"/>
      </w:pPr>
    </w:p>
    <w:p w:rsidR="005E3F4E" w:rsidRPr="005E3F4E" w:rsidRDefault="005E3F4E" w:rsidP="005E3F4E">
      <w:pPr>
        <w:jc w:val="center"/>
      </w:pPr>
    </w:p>
    <w:p w:rsidR="00D420F3" w:rsidRPr="005E3F4E" w:rsidRDefault="00D420F3" w:rsidP="005E3F4E">
      <w:pPr>
        <w:jc w:val="center"/>
      </w:pPr>
    </w:p>
    <w:p w:rsidR="00CB20C3" w:rsidRPr="005E3F4E" w:rsidRDefault="00EB7586" w:rsidP="005E3F4E">
      <w:pPr>
        <w:jc w:val="center"/>
        <w:rPr>
          <w:szCs w:val="24"/>
        </w:rPr>
      </w:pPr>
      <w:r>
        <w:t>HOTĂRÂRE</w:t>
      </w:r>
    </w:p>
    <w:p w:rsidR="00DE3B50" w:rsidRPr="005E3F4E" w:rsidRDefault="00DE3B50" w:rsidP="005E3F4E">
      <w:pPr>
        <w:jc w:val="center"/>
        <w:rPr>
          <w:szCs w:val="24"/>
        </w:rPr>
      </w:pPr>
      <w:r>
        <w:t>(</w:t>
      </w:r>
      <w:r>
        <w:rPr>
          <w:i/>
        </w:rPr>
        <w:t>Fond</w:t>
      </w:r>
      <w:r>
        <w:t>)</w:t>
      </w:r>
    </w:p>
    <w:p w:rsidR="00D420F3" w:rsidRPr="005E3F4E" w:rsidRDefault="00D420F3" w:rsidP="005E3F4E">
      <w:pPr>
        <w:pStyle w:val="JuCase"/>
        <w:ind w:firstLine="0"/>
        <w:jc w:val="center"/>
        <w:rPr>
          <w:b w:val="0"/>
        </w:rPr>
      </w:pPr>
    </w:p>
    <w:p w:rsidR="00D420F3" w:rsidRPr="005E3F4E" w:rsidRDefault="00D420F3" w:rsidP="005E3F4E">
      <w:pPr>
        <w:pStyle w:val="JuCase"/>
        <w:ind w:firstLine="0"/>
        <w:jc w:val="center"/>
        <w:rPr>
          <w:b w:val="0"/>
        </w:rPr>
      </w:pPr>
    </w:p>
    <w:p w:rsidR="00EB7586" w:rsidRDefault="00EB7586" w:rsidP="005E3F4E">
      <w:pPr>
        <w:pStyle w:val="JuCase"/>
        <w:ind w:firstLine="0"/>
        <w:jc w:val="center"/>
        <w:rPr>
          <w:b w:val="0"/>
        </w:rPr>
      </w:pPr>
    </w:p>
    <w:p w:rsidR="005E3F4E" w:rsidRDefault="005E3F4E" w:rsidP="005E3F4E">
      <w:pPr>
        <w:pStyle w:val="ECHRPara"/>
        <w:ind w:firstLine="0"/>
        <w:jc w:val="center"/>
      </w:pPr>
    </w:p>
    <w:p w:rsidR="005E3F4E" w:rsidRDefault="005E3F4E" w:rsidP="005E3F4E">
      <w:pPr>
        <w:pStyle w:val="ECHRPara"/>
        <w:ind w:firstLine="0"/>
        <w:jc w:val="center"/>
      </w:pPr>
    </w:p>
    <w:p w:rsidR="005E3F4E" w:rsidRPr="005E3F4E" w:rsidRDefault="005E3F4E" w:rsidP="005E3F4E">
      <w:pPr>
        <w:pStyle w:val="ECHRPara"/>
        <w:ind w:firstLine="0"/>
        <w:jc w:val="center"/>
      </w:pPr>
    </w:p>
    <w:p w:rsidR="00EB7586" w:rsidRPr="005E3F4E" w:rsidRDefault="00EB7586" w:rsidP="005E3F4E">
      <w:pPr>
        <w:pStyle w:val="JuCase"/>
        <w:ind w:firstLine="0"/>
        <w:jc w:val="center"/>
        <w:rPr>
          <w:b w:val="0"/>
        </w:rPr>
      </w:pPr>
    </w:p>
    <w:p w:rsidR="00EB7586" w:rsidRPr="005E3F4E" w:rsidRDefault="00EB7586" w:rsidP="005E3F4E">
      <w:pPr>
        <w:pStyle w:val="JuCase"/>
        <w:ind w:firstLine="0"/>
        <w:jc w:val="center"/>
        <w:rPr>
          <w:b w:val="0"/>
        </w:rPr>
      </w:pPr>
      <w:r>
        <w:rPr>
          <w:b w:val="0"/>
        </w:rPr>
        <w:t>STRASBOURG</w:t>
      </w:r>
    </w:p>
    <w:p w:rsidR="00EB7586" w:rsidRPr="005E3F4E" w:rsidRDefault="00EB7586" w:rsidP="005E3F4E">
      <w:pPr>
        <w:pStyle w:val="JuCase"/>
        <w:ind w:firstLine="0"/>
        <w:jc w:val="center"/>
        <w:rPr>
          <w:b w:val="0"/>
        </w:rPr>
      </w:pPr>
    </w:p>
    <w:p w:rsidR="00EB7586" w:rsidRPr="005E3F4E" w:rsidRDefault="00403DCE" w:rsidP="005E3F4E">
      <w:pPr>
        <w:pStyle w:val="JuCase"/>
        <w:ind w:firstLine="0"/>
        <w:jc w:val="center"/>
        <w:rPr>
          <w:b w:val="0"/>
        </w:rPr>
      </w:pPr>
      <w:r>
        <w:rPr>
          <w:b w:val="0"/>
        </w:rPr>
        <w:t>8 octombrie 2019</w:t>
      </w:r>
    </w:p>
    <w:p w:rsidR="00EB7586" w:rsidRPr="005E3F4E" w:rsidRDefault="00EB7586" w:rsidP="005E3F4E">
      <w:pPr>
        <w:pStyle w:val="JuCase"/>
        <w:ind w:firstLine="0"/>
        <w:jc w:val="center"/>
        <w:rPr>
          <w:b w:val="0"/>
        </w:rPr>
      </w:pPr>
    </w:p>
    <w:p w:rsidR="00EB7586" w:rsidRPr="005E3F4E" w:rsidRDefault="00EB7586" w:rsidP="005E3F4E">
      <w:pPr>
        <w:pStyle w:val="JuCase"/>
        <w:ind w:firstLine="0"/>
        <w:jc w:val="center"/>
        <w:rPr>
          <w:b w:val="0"/>
        </w:rPr>
      </w:pPr>
    </w:p>
    <w:p w:rsidR="00EB7586" w:rsidRPr="005E3F4E" w:rsidRDefault="00EB7586" w:rsidP="005E3F4E">
      <w:pPr>
        <w:pStyle w:val="JuCase"/>
        <w:ind w:firstLine="0"/>
        <w:jc w:val="center"/>
        <w:rPr>
          <w:b w:val="0"/>
        </w:rPr>
      </w:pPr>
    </w:p>
    <w:p w:rsidR="00EB7586" w:rsidRPr="005E3F4E" w:rsidRDefault="00EB7586" w:rsidP="005E3F4E">
      <w:pPr>
        <w:pStyle w:val="JuCase"/>
        <w:ind w:firstLine="0"/>
        <w:jc w:val="left"/>
        <w:rPr>
          <w:b w:val="0"/>
          <w:sz w:val="22"/>
        </w:rPr>
        <w:sectPr w:rsidR="00EB7586" w:rsidRPr="005E3F4E" w:rsidSect="00EB7586">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r>
        <w:rPr>
          <w:b w:val="0"/>
          <w:i/>
          <w:sz w:val="22"/>
        </w:rPr>
        <w:t xml:space="preserve">Prezenta hotărâre este definitivă, dar poate suferi modificări de formă. </w:t>
      </w:r>
    </w:p>
    <w:p w:rsidR="00D420F3" w:rsidRPr="005E3F4E" w:rsidRDefault="0077175D" w:rsidP="005E3F4E">
      <w:pPr>
        <w:pStyle w:val="JuCase"/>
        <w:rPr>
          <w:bCs/>
        </w:rPr>
      </w:pPr>
      <w:r>
        <w:lastRenderedPageBreak/>
        <w:t>În cauza S.C. Continental Hotels S.A. împotriva României,</w:t>
      </w:r>
    </w:p>
    <w:p w:rsidR="00D420F3" w:rsidRPr="005E3F4E" w:rsidRDefault="0077175D" w:rsidP="005E3F4E">
      <w:pPr>
        <w:pStyle w:val="ECHRPara"/>
      </w:pPr>
      <w:r>
        <w:t>Curtea Europeană a Drepturilor Omului (Secția a patra), reunită într-o cameră compusă din:</w:t>
      </w:r>
    </w:p>
    <w:p w:rsidR="00D420F3" w:rsidRPr="005E3F4E" w:rsidRDefault="00EB7586" w:rsidP="005E3F4E">
      <w:pPr>
        <w:pStyle w:val="ECHRDecisionBody"/>
      </w:pPr>
      <w:r>
        <w:tab/>
      </w:r>
      <w:proofErr w:type="spellStart"/>
      <w:r>
        <w:t>Faris</w:t>
      </w:r>
      <w:proofErr w:type="spellEnd"/>
      <w:r>
        <w:t xml:space="preserve"> </w:t>
      </w:r>
      <w:proofErr w:type="spellStart"/>
      <w:r>
        <w:t>Vehabović</w:t>
      </w:r>
      <w:proofErr w:type="spellEnd"/>
      <w:r>
        <w:t>,</w:t>
      </w:r>
      <w:r>
        <w:rPr>
          <w:i/>
        </w:rPr>
        <w:t xml:space="preserve"> președinte,</w:t>
      </w:r>
      <w:r>
        <w:rPr>
          <w:i/>
        </w:rPr>
        <w:br/>
      </w:r>
      <w:r>
        <w:tab/>
        <w:t xml:space="preserve">Iulia </w:t>
      </w:r>
      <w:proofErr w:type="spellStart"/>
      <w:r>
        <w:t>Antoanella</w:t>
      </w:r>
      <w:proofErr w:type="spellEnd"/>
      <w:r>
        <w:t xml:space="preserve"> Motoc,</w:t>
      </w:r>
      <w:r>
        <w:br/>
      </w:r>
      <w:r>
        <w:tab/>
      </w:r>
      <w:proofErr w:type="spellStart"/>
      <w:r>
        <w:t>Péter</w:t>
      </w:r>
      <w:proofErr w:type="spellEnd"/>
      <w:r>
        <w:t xml:space="preserve"> </w:t>
      </w:r>
      <w:proofErr w:type="spellStart"/>
      <w:r>
        <w:t>Paczolay</w:t>
      </w:r>
      <w:proofErr w:type="spellEnd"/>
      <w:r>
        <w:t>,</w:t>
      </w:r>
      <w:r>
        <w:rPr>
          <w:i/>
        </w:rPr>
        <w:t xml:space="preserve"> judecători,</w:t>
      </w:r>
      <w:r>
        <w:rPr>
          <w:i/>
        </w:rPr>
        <w:br/>
      </w:r>
      <w:r>
        <w:t xml:space="preserve">și Andrea Tamietti, </w:t>
      </w:r>
      <w:r>
        <w:rPr>
          <w:i/>
          <w:iCs/>
        </w:rPr>
        <w:t>grefier adjunct de secție</w:t>
      </w:r>
      <w:r>
        <w:rPr>
          <w:i/>
        </w:rPr>
        <w:t>,</w:t>
      </w:r>
    </w:p>
    <w:p w:rsidR="00D420F3" w:rsidRPr="005E3F4E" w:rsidRDefault="0077175D" w:rsidP="005E3F4E">
      <w:pPr>
        <w:pStyle w:val="ECHRPara"/>
      </w:pPr>
      <w:r>
        <w:t>după ce a deliberat în camera de consiliu, la 3 septembrie 2019,</w:t>
      </w:r>
    </w:p>
    <w:p w:rsidR="00D420F3" w:rsidRPr="005E3F4E" w:rsidRDefault="0077175D" w:rsidP="005E3F4E">
      <w:pPr>
        <w:pStyle w:val="ECHRPara"/>
      </w:pPr>
      <w:r>
        <w:t>pronunță prezenta hotărâre, adoptată la aceeași dată:</w:t>
      </w:r>
    </w:p>
    <w:p w:rsidR="00D420F3" w:rsidRPr="005E3F4E" w:rsidRDefault="0077175D" w:rsidP="005E3F4E">
      <w:pPr>
        <w:pStyle w:val="ECHRTitle1"/>
      </w:pPr>
      <w:r>
        <w:t>PROCEDURA</w:t>
      </w:r>
    </w:p>
    <w:p w:rsidR="00EB7586" w:rsidRPr="005E3F4E" w:rsidRDefault="0090364C" w:rsidP="005E3F4E">
      <w:pPr>
        <w:pStyle w:val="ECHRPara"/>
      </w:pPr>
      <w:fldSimple w:instr=" SEQ level0 \*arabic ">
        <w:r w:rsidR="005E3F4E" w:rsidRPr="005E3F4E">
          <w:t>1</w:t>
        </w:r>
      </w:fldSimple>
      <w:r>
        <w:t xml:space="preserve">.  La originea cauzei se află cererea (nr. 36407/12) îndreptată împotriva României, prin care o societate a acestui stat, S.C. Continental Hotels S.A.(„societatea reclamantă”), a sesizat Curtea, în temeiul art. 34 din Convenția pentru apărarea drepturilor omului și a libertăților fundamentale, la 5 iunie 2012. </w:t>
      </w:r>
    </w:p>
    <w:p w:rsidR="00AE2B6C" w:rsidRPr="005E3F4E" w:rsidRDefault="00AE2B6C" w:rsidP="005E3F4E">
      <w:pPr>
        <w:pStyle w:val="ECHRPara"/>
      </w:pPr>
      <w:fldSimple w:instr=" SEQ level0 \*arabic ">
        <w:r w:rsidR="005E3F4E" w:rsidRPr="005E3F4E">
          <w:t>2</w:t>
        </w:r>
      </w:fldSimple>
      <w:r>
        <w:t>.  Societatea reclamantă a fost reprezentată de S.C.A.</w:t>
      </w:r>
      <w:r w:rsidR="008B65E8">
        <w:t xml:space="preserve"> </w:t>
      </w:r>
      <w:r>
        <w:t>Popovici Nițu Stoica &amp; Asociații, o societate de avocatură cu sediul în București.  Guvernul României („Guvernul”) a fost reprezentat de agentul guvernamental, doamna C. Brumar, din cadrul Ministerului Afacerilor Externe.</w:t>
      </w:r>
    </w:p>
    <w:p w:rsidR="00D420F3" w:rsidRPr="005E3F4E" w:rsidRDefault="00852F96" w:rsidP="005E3F4E">
      <w:pPr>
        <w:pStyle w:val="ECHRPara"/>
      </w:pPr>
      <w:fldSimple w:instr=" SEQ level0 \*arabic ">
        <w:r w:rsidR="005E3F4E" w:rsidRPr="005E3F4E">
          <w:t>3</w:t>
        </w:r>
      </w:fldSimple>
      <w:r>
        <w:t>.  La 9 martie 2016, cererea a fost comunicată Guvernului.</w:t>
      </w:r>
    </w:p>
    <w:p w:rsidR="00D420F3" w:rsidRPr="005E3F4E" w:rsidRDefault="0077175D" w:rsidP="005E3F4E">
      <w:pPr>
        <w:pStyle w:val="ECHRTitle1"/>
      </w:pPr>
      <w:r>
        <w:t>ÎN FAPT</w:t>
      </w:r>
    </w:p>
    <w:p w:rsidR="00D420F3" w:rsidRPr="005E3F4E" w:rsidRDefault="0077175D" w:rsidP="005E3F4E">
      <w:pPr>
        <w:pStyle w:val="ECHRHeading1"/>
      </w:pPr>
      <w:r>
        <w:t>I. CIRCUMSTANȚELE CAUZEI</w:t>
      </w:r>
    </w:p>
    <w:p w:rsidR="00D54256" w:rsidRPr="005E3F4E" w:rsidRDefault="00884366" w:rsidP="005E3F4E">
      <w:pPr>
        <w:pStyle w:val="ECHRHeading2"/>
      </w:pPr>
      <w:r>
        <w:t>A.  Informații referitoare la societatea reclamantă</w:t>
      </w:r>
    </w:p>
    <w:bookmarkStart w:id="0" w:name="p6"/>
    <w:p w:rsidR="00EB7586" w:rsidRPr="005E3F4E" w:rsidRDefault="00884366" w:rsidP="005E3F4E">
      <w:pPr>
        <w:pStyle w:val="ECHRPara"/>
      </w:pPr>
      <w:r w:rsidRPr="005E3F4E">
        <w:fldChar w:fldCharType="begin"/>
      </w:r>
      <w:r w:rsidRPr="005E3F4E">
        <w:instrText xml:space="preserve"> SEQ level0 \*arabic </w:instrText>
      </w:r>
      <w:r w:rsidRPr="005E3F4E">
        <w:fldChar w:fldCharType="separate"/>
      </w:r>
      <w:r w:rsidR="005E3F4E" w:rsidRPr="005E3F4E">
        <w:t>4</w:t>
      </w:r>
      <w:r w:rsidRPr="005E3F4E">
        <w:fldChar w:fldCharType="end"/>
      </w:r>
      <w:bookmarkEnd w:id="0"/>
      <w:r>
        <w:t>.  Reclamanta, SC Continental Hotels SA, este o societate înființată în anul 1990 în baza Legii nr. 15/1990 ca societate de stat. Patrimoniul societății reclamante cuprindea un hotel și parcela de teren pe care se afla hotelul. Ministerul Turismului a emis un titlu de proprietate în această privință.</w:t>
      </w:r>
    </w:p>
    <w:bookmarkStart w:id="1" w:name="p7"/>
    <w:p w:rsidR="00EB7586" w:rsidRPr="005E3F4E" w:rsidRDefault="00246172" w:rsidP="005E3F4E">
      <w:pPr>
        <w:pStyle w:val="ECHRPara"/>
      </w:pPr>
      <w:r w:rsidRPr="005E3F4E">
        <w:fldChar w:fldCharType="begin"/>
      </w:r>
      <w:r w:rsidRPr="005E3F4E">
        <w:instrText xml:space="preserve"> SEQ level0 \*arabic </w:instrText>
      </w:r>
      <w:r w:rsidRPr="005E3F4E">
        <w:fldChar w:fldCharType="separate"/>
      </w:r>
      <w:r w:rsidR="005E3F4E" w:rsidRPr="005E3F4E">
        <w:t>5</w:t>
      </w:r>
      <w:r w:rsidRPr="005E3F4E">
        <w:fldChar w:fldCharType="end"/>
      </w:r>
      <w:bookmarkEnd w:id="1"/>
      <w:r>
        <w:t>.  În 1995, Fondul Proprietății de Stat („FPS”) a vândut acțiunile societății. Societatea a fost transformată din societate de stat în societate privată.</w:t>
      </w:r>
    </w:p>
    <w:bookmarkStart w:id="2" w:name="p8"/>
    <w:p w:rsidR="00EB7586" w:rsidRPr="005E3F4E" w:rsidRDefault="0092149A" w:rsidP="005E3F4E">
      <w:pPr>
        <w:pStyle w:val="ECHRPara"/>
      </w:pPr>
      <w:r w:rsidRPr="005E3F4E">
        <w:fldChar w:fldCharType="begin"/>
      </w:r>
      <w:r w:rsidRPr="005E3F4E">
        <w:instrText xml:space="preserve"> SEQ level0 \*arabic </w:instrText>
      </w:r>
      <w:r w:rsidRPr="005E3F4E">
        <w:fldChar w:fldCharType="separate"/>
      </w:r>
      <w:r w:rsidR="005E3F4E" w:rsidRPr="005E3F4E">
        <w:t>6</w:t>
      </w:r>
      <w:r w:rsidRPr="005E3F4E">
        <w:fldChar w:fldCharType="end"/>
      </w:r>
      <w:bookmarkEnd w:id="2"/>
      <w:r>
        <w:t xml:space="preserve">.  La 16 mai 1996, Inspectoratul de Stat în Construcții a constatat că hotelul se afla într-un grad avansat de degradare, deoarece lucrările necesare pentru punerea în siguranță în vederea utilizării ca hotel nu fuseseră efectuate de mai mult timp. În raportul întocmit cu acea ocazie se afirma că „imobilul </w:t>
      </w:r>
      <w:r>
        <w:lastRenderedPageBreak/>
        <w:t>nu îndeplinește standardele de siguranță în ceea ce privește exploatarea comercială și stabilitatea structurală” și, prin urmare, „proprietarul trebuie să înceteze folosirea sa de îndată.”</w:t>
      </w:r>
    </w:p>
    <w:bookmarkStart w:id="3" w:name="p9"/>
    <w:p w:rsidR="00654388" w:rsidRPr="005E3F4E" w:rsidRDefault="00BC4C2E" w:rsidP="005E3F4E">
      <w:pPr>
        <w:pStyle w:val="ECHRPara"/>
      </w:pPr>
      <w:r w:rsidRPr="005E3F4E">
        <w:fldChar w:fldCharType="begin"/>
      </w:r>
      <w:r w:rsidRPr="005E3F4E">
        <w:instrText xml:space="preserve"> SEQ level0 \*arabic </w:instrText>
      </w:r>
      <w:r w:rsidRPr="005E3F4E">
        <w:fldChar w:fldCharType="separate"/>
      </w:r>
      <w:r w:rsidR="005E3F4E" w:rsidRPr="005E3F4E">
        <w:t>7</w:t>
      </w:r>
      <w:r w:rsidRPr="005E3F4E">
        <w:fldChar w:fldCharType="end"/>
      </w:r>
      <w:bookmarkEnd w:id="3"/>
      <w:r>
        <w:t>.  La 17 septembrie 1996, autoritățile au eliberat societății reclamante autorizația de a demola construcția. La o dată neprecizată din același an, construcția a fost demolată.</w:t>
      </w:r>
    </w:p>
    <w:bookmarkStart w:id="4" w:name="para_8"/>
    <w:p w:rsidR="00BC4C2E" w:rsidRPr="005E3F4E" w:rsidRDefault="00BC4C2E" w:rsidP="005E3F4E">
      <w:pPr>
        <w:pStyle w:val="ECHRPara"/>
      </w:pPr>
      <w:r w:rsidRPr="005E3F4E">
        <w:fldChar w:fldCharType="begin"/>
      </w:r>
      <w:r w:rsidRPr="005E3F4E">
        <w:instrText xml:space="preserve"> SEQ level0 \*arabic </w:instrText>
      </w:r>
      <w:r w:rsidRPr="005E3F4E">
        <w:fldChar w:fldCharType="separate"/>
      </w:r>
      <w:r w:rsidR="005E3F4E" w:rsidRPr="005E3F4E">
        <w:t>8</w:t>
      </w:r>
      <w:r w:rsidRPr="005E3F4E">
        <w:fldChar w:fldCharType="end"/>
      </w:r>
      <w:bookmarkEnd w:id="4"/>
      <w:r>
        <w:t>.  Potrivit Guvernului, autorizația de desființare a fost anulată după ce a fost efectuată demolarea, din cauza procedurii pendinte de restituire dintre societatea reclamantă și succesorii fostului proprietar. Totuși, niciuna dintre părți nu a prezentat o copie a ordinului de anulare sau a altui document în legătură cu aceasta.</w:t>
      </w:r>
    </w:p>
    <w:p w:rsidR="00EB7586" w:rsidRPr="005E3F4E" w:rsidRDefault="00246172" w:rsidP="005E3F4E">
      <w:pPr>
        <w:pStyle w:val="ECHRHeading2"/>
      </w:pPr>
      <w:r>
        <w:t>B.  Acțiunile civile împotriva societății reclamante pentru restituirea bunurilor</w:t>
      </w:r>
    </w:p>
    <w:p w:rsidR="00D54256" w:rsidRPr="005E3F4E" w:rsidRDefault="00160382" w:rsidP="005E3F4E">
      <w:pPr>
        <w:pStyle w:val="ECHRPara"/>
      </w:pPr>
      <w:fldSimple w:instr=" SEQ level0 \*arabic ">
        <w:r w:rsidR="005E3F4E" w:rsidRPr="005E3F4E">
          <w:t>9</w:t>
        </w:r>
      </w:fldSimple>
      <w:r>
        <w:t>.  În 1994 succesorii legali ai fostului proprietar al terenului și al hotelului, care a fost deposedat de stat de proprietatea sa sub regimul comunist, au introdus o acțiune împotriva societății reclamante pentru a le fi restituite terenul și hotelul.</w:t>
      </w:r>
    </w:p>
    <w:p w:rsidR="00D54256" w:rsidRPr="005E3F4E" w:rsidRDefault="00160382" w:rsidP="005E3F4E">
      <w:pPr>
        <w:pStyle w:val="ECHRPara"/>
      </w:pPr>
      <w:fldSimple w:instr=" SEQ level0 \*arabic ">
        <w:r w:rsidR="005E3F4E" w:rsidRPr="005E3F4E">
          <w:t>10</w:t>
        </w:r>
      </w:fldSimple>
      <w:r>
        <w:t>.  Prin sentința pronunțată la 16 noiembrie 1995, judecătoria de sector competentă din București le-a admis acțiunea civilă și a dispus restituirea hotelului și a terenului aferent către reclamanți.</w:t>
      </w:r>
    </w:p>
    <w:p w:rsidR="00EB7586" w:rsidRPr="005E3F4E" w:rsidRDefault="00160382" w:rsidP="005E3F4E">
      <w:pPr>
        <w:pStyle w:val="ECHRPara"/>
      </w:pPr>
      <w:fldSimple w:instr=" SEQ level0 \*arabic ">
        <w:r w:rsidR="005E3F4E" w:rsidRPr="005E3F4E">
          <w:t>11</w:t>
        </w:r>
      </w:fldSimple>
      <w:r>
        <w:t>.  Societatea reclamantă a declarat recurs. La 18 decembrie 1996, Curtea de Apel București a admis recursul societății reclamante. Cauza a fost înaintată Tribunalului Buzău.</w:t>
      </w:r>
    </w:p>
    <w:p w:rsidR="00D54256" w:rsidRPr="005E3F4E" w:rsidRDefault="00AA1216" w:rsidP="005E3F4E">
      <w:pPr>
        <w:pStyle w:val="ECHRPara"/>
      </w:pPr>
      <w:fldSimple w:instr=" SEQ level0 \*arabic ">
        <w:r w:rsidR="005E3F4E" w:rsidRPr="005E3F4E">
          <w:t>12</w:t>
        </w:r>
      </w:fldSimple>
      <w:r>
        <w:t>.  Societatea reclamantă a solicitat instanței introducerea ca parte în proces a FPS, care vânduse acțiunile societății în procesul de privatizare și care, în opinia sa, trebuie să garanteze plata despăgubirii pentru hotel și pentru terenul aferent în eventualitatea admiterii cererii reclamanților. Societatea reclamantă și-a întemeiat cererea pe (i) dispozițiile relevante din Codul civil privind răspunderea vânzătorului pentru evicțiune și obligația vânzătorului de a-l despăgubi pe cumpărător în caz de evicțiune și (ii) clauzele de răspundere din contractul de privatizare.</w:t>
      </w:r>
    </w:p>
    <w:p w:rsidR="00EB7586" w:rsidRPr="005E3F4E" w:rsidRDefault="00364301" w:rsidP="005E3F4E">
      <w:pPr>
        <w:pStyle w:val="ECHRPara"/>
      </w:pPr>
      <w:fldSimple w:instr=" SEQ level0 \*arabic ">
        <w:r w:rsidR="005E3F4E" w:rsidRPr="005E3F4E">
          <w:t>13</w:t>
        </w:r>
      </w:fldSimple>
      <w:r>
        <w:t>.  La 15 iunie 1998, Tribunalul Buzău a respins acțiunea reclamanților pentru motivul că hotelul și terenul fuseseră incluse legal în activele societății reclamante.</w:t>
      </w:r>
    </w:p>
    <w:p w:rsidR="00EB7586" w:rsidRPr="005E3F4E" w:rsidRDefault="00364301" w:rsidP="005E3F4E">
      <w:pPr>
        <w:pStyle w:val="ECHRPara"/>
      </w:pPr>
      <w:fldSimple w:instr=" SEQ level0 \*arabic ">
        <w:r w:rsidR="005E3F4E" w:rsidRPr="005E3F4E">
          <w:t>14</w:t>
        </w:r>
      </w:fldSimple>
      <w:r>
        <w:t>.  Reclamanții au declarat apel la Curtea de Apel Ploiești.</w:t>
      </w:r>
    </w:p>
    <w:p w:rsidR="00AA1216" w:rsidRPr="005E3F4E" w:rsidRDefault="00364301" w:rsidP="005E3F4E">
      <w:pPr>
        <w:pStyle w:val="ECHRPara"/>
      </w:pPr>
      <w:fldSimple w:instr=" SEQ level0 \*arabic ">
        <w:r w:rsidR="005E3F4E" w:rsidRPr="005E3F4E">
          <w:t>15</w:t>
        </w:r>
      </w:fldSimple>
      <w:r>
        <w:t>.  Curtea de apel a suspendat procesul între 10 mai 1999 și 22 decembrie 2006 deoarece existau procese civile pendinte între succesorii legali ai fostului proprietar.</w:t>
      </w:r>
    </w:p>
    <w:p w:rsidR="00EB7586" w:rsidRPr="005E3F4E" w:rsidRDefault="00364301" w:rsidP="005E3F4E">
      <w:pPr>
        <w:pStyle w:val="ECHRPara"/>
      </w:pPr>
      <w:fldSimple w:instr=" SEQ level0 \*arabic ">
        <w:r w:rsidR="005E3F4E" w:rsidRPr="005E3F4E">
          <w:t>16</w:t>
        </w:r>
      </w:fldSimple>
      <w:r>
        <w:t>.  La 20 martie 2009, Curtea de Apel Ploiești a admis apelul. Prin aceeași decizie, Autoritatea pentru Valorificarea Activelor Statului (AVAS), succesoarea FPS, a fost identificată ca autoritate a statului responsabilă de despăgubirea societății reclamante pentru prejudiciul care i-a fost cauzat.</w:t>
      </w:r>
    </w:p>
    <w:p w:rsidR="00D54256" w:rsidRPr="005E3F4E" w:rsidRDefault="00364301" w:rsidP="005E3F4E">
      <w:pPr>
        <w:pStyle w:val="ECHRPara"/>
      </w:pPr>
      <w:fldSimple w:instr=" SEQ level0 \*arabic ">
        <w:r w:rsidR="005E3F4E" w:rsidRPr="005E3F4E">
          <w:t>17</w:t>
        </w:r>
      </w:fldSimple>
      <w:r>
        <w:t>.  Societatea reclamantă a declarat recurs susținând că nu primise nicio despăgubire pentru terenul pierdut. Atât AVAS, cât și reclamanții au declarat recursuri.</w:t>
      </w:r>
    </w:p>
    <w:p w:rsidR="00D54256" w:rsidRPr="005E3F4E" w:rsidRDefault="00364301" w:rsidP="005E3F4E">
      <w:pPr>
        <w:pStyle w:val="ECHRPara"/>
      </w:pPr>
      <w:fldSimple w:instr=" SEQ level0 \*arabic ">
        <w:r w:rsidR="005E3F4E" w:rsidRPr="005E3F4E">
          <w:t>18</w:t>
        </w:r>
      </w:fldSimple>
      <w:r>
        <w:t>.  Prin decizia din 2 decembrie 2009, Înalta Curte de Casație și Justiție a admis toate recursurile, a casat decizia și a retrimis cauza la Curtea de Apel Ploiești.</w:t>
      </w:r>
    </w:p>
    <w:p w:rsidR="00AA1216" w:rsidRPr="005E3F4E" w:rsidRDefault="00364301" w:rsidP="005E3F4E">
      <w:pPr>
        <w:pStyle w:val="ECHRPara"/>
      </w:pPr>
      <w:fldSimple w:instr=" SEQ level0 \*arabic ">
        <w:r w:rsidR="005E3F4E" w:rsidRPr="005E3F4E">
          <w:t>19</w:t>
        </w:r>
      </w:fldSimple>
      <w:r>
        <w:t>.  În cadrul noii proceduri de apel, societatea reclamantă a depus o cerere ca Ministerul Finanțelor să fie introdus ca parte în procedură.</w:t>
      </w:r>
    </w:p>
    <w:bookmarkStart w:id="5" w:name="p22"/>
    <w:p w:rsidR="00D54256" w:rsidRPr="005E3F4E" w:rsidRDefault="00364301" w:rsidP="005E3F4E">
      <w:pPr>
        <w:pStyle w:val="ECHRPara"/>
      </w:pPr>
      <w:r w:rsidRPr="005E3F4E">
        <w:fldChar w:fldCharType="begin"/>
      </w:r>
      <w:r w:rsidRPr="005E3F4E">
        <w:instrText xml:space="preserve"> SEQ level0 \*arabic </w:instrText>
      </w:r>
      <w:r w:rsidRPr="005E3F4E">
        <w:fldChar w:fldCharType="separate"/>
      </w:r>
      <w:r w:rsidR="005E3F4E" w:rsidRPr="005E3F4E">
        <w:t>20</w:t>
      </w:r>
      <w:r w:rsidRPr="005E3F4E">
        <w:fldChar w:fldCharType="end"/>
      </w:r>
      <w:bookmarkEnd w:id="5"/>
      <w:r>
        <w:t>.  Prin decizia din 16 decembrie 2010, Curtea de Apel Ploiești a admis acțiunea civilă introdusă de reclamanți și a respins cererea formulată de societatea reclamantă ca Ministerul Finanțelor să fie numit garant. Societatea reclamantă a fost obligată să refacă titlul de proprietate asupra terenului și să plătească reclamanților despăgubiri de 11.138.275 lei românești [RON – aproximativ 2.600.000 euro (EUR)] pentru hotelul demolat. Curtea de apel a obligat, de asemenea, AVAS să plătească societății reclamante suma pe care aceasta trebuia să o plătească pentru hotelul demolat și 2.209.200 RON (aproximativ 515.000 EUR) pentru terenul pe care aceasta l-a pierdut, precum și cheltuielile de judecată pe care le-a efectuat.</w:t>
      </w:r>
    </w:p>
    <w:p w:rsidR="00D54256" w:rsidRPr="005E3F4E" w:rsidRDefault="00AA1216" w:rsidP="005E3F4E">
      <w:pPr>
        <w:pStyle w:val="ECHRPara"/>
      </w:pPr>
      <w:fldSimple w:instr=" SEQ level0 \*arabic ">
        <w:r w:rsidR="005E3F4E" w:rsidRPr="005E3F4E">
          <w:t>21</w:t>
        </w:r>
      </w:fldSimple>
      <w:r>
        <w:t>.  Toate părțile au formulat recurs.</w:t>
      </w:r>
    </w:p>
    <w:bookmarkStart w:id="6" w:name="p24"/>
    <w:p w:rsidR="00EB7586" w:rsidRPr="005E3F4E" w:rsidRDefault="00364301" w:rsidP="005E3F4E">
      <w:pPr>
        <w:pStyle w:val="ECHRPara"/>
      </w:pPr>
      <w:r w:rsidRPr="005E3F4E">
        <w:fldChar w:fldCharType="begin"/>
      </w:r>
      <w:r w:rsidRPr="005E3F4E">
        <w:instrText xml:space="preserve"> SEQ level0 \*arabic </w:instrText>
      </w:r>
      <w:r w:rsidRPr="005E3F4E">
        <w:fldChar w:fldCharType="separate"/>
      </w:r>
      <w:r w:rsidR="005E3F4E" w:rsidRPr="005E3F4E">
        <w:t>22</w:t>
      </w:r>
      <w:r w:rsidRPr="005E3F4E">
        <w:fldChar w:fldCharType="end"/>
      </w:r>
      <w:bookmarkEnd w:id="6"/>
      <w:r>
        <w:t xml:space="preserve">.  Prin decizia din 6 decembrie 2011, Înalta Curte de Casație și Justiție a respins recursul societății reclamante. A admis recursul formulat de AVAS și a respins cererea societății reclamante de a fi despăgubită de către AVAS, ca fiind depusă de o persoană fără </w:t>
      </w:r>
      <w:proofErr w:type="spellStart"/>
      <w:r>
        <w:rPr>
          <w:i/>
        </w:rPr>
        <w:t>locus</w:t>
      </w:r>
      <w:proofErr w:type="spellEnd"/>
      <w:r>
        <w:rPr>
          <w:i/>
        </w:rPr>
        <w:t xml:space="preserve"> </w:t>
      </w:r>
      <w:proofErr w:type="spellStart"/>
      <w:r>
        <w:rPr>
          <w:i/>
        </w:rPr>
        <w:t>standi</w:t>
      </w:r>
      <w:proofErr w:type="spellEnd"/>
      <w:r>
        <w:rPr>
          <w:i/>
        </w:rPr>
        <w:t>.</w:t>
      </w:r>
      <w:r>
        <w:t xml:space="preserve"> În această privință, instanța a reținut că societatea reclamantă nu fusese parte la tranzacția privind vânzarea acțiunilor sale.</w:t>
      </w:r>
    </w:p>
    <w:p w:rsidR="00EB7586" w:rsidRPr="005E3F4E" w:rsidRDefault="00F72EFD" w:rsidP="005E3F4E">
      <w:pPr>
        <w:pStyle w:val="ECHRHeading2"/>
      </w:pPr>
      <w:r>
        <w:t>C.  Acțiunea civilă în despăgubire</w:t>
      </w:r>
    </w:p>
    <w:p w:rsidR="00E17CB7" w:rsidRPr="005E3F4E" w:rsidRDefault="002422A4" w:rsidP="005E3F4E">
      <w:pPr>
        <w:pStyle w:val="ECHRPara"/>
      </w:pPr>
      <w:fldSimple w:instr=" SEQ level0 \*arabic ">
        <w:r w:rsidR="005E3F4E" w:rsidRPr="005E3F4E">
          <w:t>23</w:t>
        </w:r>
      </w:fldSimple>
      <w:r>
        <w:t>.  După depunerea cererii la Curte, societatea reclamantă a introdus o nouă acțiune civilă în despăgubire împotriva (i) Autorității pentru Administrarea Activelor Statului (AAAS) (succesorul AVAS) și (ii) statului român (prin Ministerul Finanțelor Publice). Invocând art. 32</w:t>
      </w:r>
      <w:r>
        <w:rPr>
          <w:vertAlign w:val="superscript"/>
        </w:rPr>
        <w:t>4</w:t>
      </w:r>
      <w:r>
        <w:t xml:space="preserve"> Ordonanța de urgență a Guvernului nr. 88/1997 (a se vedea infra, pct. </w:t>
      </w:r>
      <w:r w:rsidR="00F47BBD" w:rsidRPr="005E3F4E">
        <w:fldChar w:fldCharType="begin"/>
      </w:r>
      <w:r w:rsidR="00F47BBD" w:rsidRPr="005E3F4E">
        <w:instrText xml:space="preserve"> REF Oridnance \h </w:instrText>
      </w:r>
      <w:r w:rsidR="00F47BBD" w:rsidRPr="005E3F4E">
        <w:fldChar w:fldCharType="separate"/>
      </w:r>
      <w:r w:rsidR="005E3F4E" w:rsidRPr="005E3F4E">
        <w:t>34</w:t>
      </w:r>
      <w:r w:rsidR="00F47BBD" w:rsidRPr="005E3F4E">
        <w:fldChar w:fldCharType="end"/>
      </w:r>
      <w:r>
        <w:t>) societatea reclamantă a  revendicat 16.141.398 RON (aproximativ 3.766.000 EUR) ca despăgubiri pentru prejudiciul cauzat ca urmare (i) a retrocedării terenului, a cărui valoare contabilă se ridica la 5.003.123 RON (aproximativ 1.166.000</w:t>
      </w:r>
      <w:r>
        <w:rPr>
          <w:color w:val="FF0000"/>
        </w:rPr>
        <w:t xml:space="preserve"> </w:t>
      </w:r>
      <w:r>
        <w:t>EUR), și (ii) a plății către foștii proprietari a sumei de 11.138.275 RON (aproximativ 2.600.000 EUR), reprezentând echivalentul bănesc clădirii hotelului demolat.</w:t>
      </w:r>
    </w:p>
    <w:bookmarkStart w:id="7" w:name="p26"/>
    <w:p w:rsidR="002422A4" w:rsidRPr="005E3F4E" w:rsidRDefault="00E17CB7" w:rsidP="005E3F4E">
      <w:pPr>
        <w:pStyle w:val="ECHRPara"/>
      </w:pPr>
      <w:r w:rsidRPr="005E3F4E">
        <w:fldChar w:fldCharType="begin"/>
      </w:r>
      <w:r w:rsidRPr="005E3F4E">
        <w:instrText xml:space="preserve"> SEQ level0 \*arabic </w:instrText>
      </w:r>
      <w:r w:rsidRPr="005E3F4E">
        <w:fldChar w:fldCharType="separate"/>
      </w:r>
      <w:r w:rsidR="005E3F4E" w:rsidRPr="005E3F4E">
        <w:t>24</w:t>
      </w:r>
      <w:r w:rsidRPr="005E3F4E">
        <w:fldChar w:fldCharType="end"/>
      </w:r>
      <w:bookmarkEnd w:id="7"/>
      <w:r>
        <w:t xml:space="preserve">.  Prin sentința din 7 iunie 2013, judecătoria de sector competentă din București a admis parțial cererea de despăgubire a societății reclamante. A obligat AAAS la plata către societatea reclamantă a 5.003.123 RON ca despăgubire pentru retrocedarea terenului, dar nu a dispus ca AAAS să </w:t>
      </w:r>
      <w:r>
        <w:lastRenderedPageBreak/>
        <w:t>plătească acesteia despăgubirea pentru plata către foștii proprietari a echivalentului bănesc hotelului demolat.</w:t>
      </w:r>
    </w:p>
    <w:p w:rsidR="00823413" w:rsidRPr="005E3F4E" w:rsidRDefault="00823413" w:rsidP="005E3F4E">
      <w:pPr>
        <w:pStyle w:val="ECHRPara"/>
      </w:pPr>
      <w:fldSimple w:instr=" SEQ level0 \*arabic ">
        <w:r w:rsidR="005E3F4E" w:rsidRPr="005E3F4E">
          <w:t>25</w:t>
        </w:r>
      </w:fldSimple>
      <w:r>
        <w:t>. Societatea reclamantă a atacat sentința respectivă. La 16 aprilie 2014, Curtea de Apel București a admis apelul. A casat sentința primei instanțe și a admis pretențiile societății reclamante.</w:t>
      </w:r>
    </w:p>
    <w:bookmarkStart w:id="8" w:name="p28"/>
    <w:p w:rsidR="00BE0DC3" w:rsidRPr="005E3F4E" w:rsidRDefault="00BE0DC3" w:rsidP="005E3F4E">
      <w:pPr>
        <w:pStyle w:val="ECHRPara"/>
      </w:pPr>
      <w:r w:rsidRPr="005E3F4E">
        <w:fldChar w:fldCharType="begin"/>
      </w:r>
      <w:r w:rsidRPr="005E3F4E">
        <w:instrText xml:space="preserve"> SEQ level0 \*arabic </w:instrText>
      </w:r>
      <w:r w:rsidRPr="005E3F4E">
        <w:fldChar w:fldCharType="separate"/>
      </w:r>
      <w:r w:rsidR="005E3F4E" w:rsidRPr="005E3F4E">
        <w:t>26</w:t>
      </w:r>
      <w:r w:rsidRPr="005E3F4E">
        <w:fldChar w:fldCharType="end"/>
      </w:r>
      <w:bookmarkEnd w:id="8"/>
      <w:r>
        <w:t>. La 27 ianuarie 2015, Înalta Curte de Casație și Justiție a admis recursul declarat de AAAS. Aceasta a casat decizia pronunțată în apel și a menținut hotărârea instanței de prim grad.</w:t>
      </w:r>
    </w:p>
    <w:bookmarkStart w:id="9" w:name="p29"/>
    <w:p w:rsidR="00026D37" w:rsidRPr="005E3F4E" w:rsidRDefault="00CD0A78" w:rsidP="005E3F4E">
      <w:pPr>
        <w:pStyle w:val="ECHRPara"/>
      </w:pPr>
      <w:r w:rsidRPr="005E3F4E">
        <w:fldChar w:fldCharType="begin"/>
      </w:r>
      <w:r w:rsidRPr="005E3F4E">
        <w:instrText xml:space="preserve"> SEQ level0 \*arabic </w:instrText>
      </w:r>
      <w:r w:rsidRPr="005E3F4E">
        <w:fldChar w:fldCharType="separate"/>
      </w:r>
      <w:r w:rsidR="005E3F4E" w:rsidRPr="005E3F4E">
        <w:t>27</w:t>
      </w:r>
      <w:r w:rsidRPr="005E3F4E">
        <w:fldChar w:fldCharType="end"/>
      </w:r>
      <w:bookmarkEnd w:id="9"/>
      <w:r>
        <w:t>.  Înalta Curte de Casație și Justiție a hotărât că, în temeiul art. 32</w:t>
      </w:r>
      <w:r>
        <w:rPr>
          <w:vertAlign w:val="superscript"/>
        </w:rPr>
        <w:t xml:space="preserve">4 </w:t>
      </w:r>
      <w:r>
        <w:t xml:space="preserve">alin. (1) și alin. (2) din Ordonanța de Urgență a Guvernului nr. 88/1997 (a se vedea infra, pct. </w:t>
      </w:r>
      <w:r w:rsidR="00F47BBD" w:rsidRPr="005E3F4E">
        <w:fldChar w:fldCharType="begin"/>
      </w:r>
      <w:r w:rsidR="00F47BBD" w:rsidRPr="005E3F4E">
        <w:instrText xml:space="preserve"> REF Oridnance \h </w:instrText>
      </w:r>
      <w:r w:rsidR="00F47BBD" w:rsidRPr="005E3F4E">
        <w:fldChar w:fldCharType="separate"/>
      </w:r>
      <w:r w:rsidR="005E3F4E" w:rsidRPr="005E3F4E">
        <w:t>34</w:t>
      </w:r>
      <w:r w:rsidR="00F47BBD" w:rsidRPr="005E3F4E">
        <w:fldChar w:fldCharType="end"/>
      </w:r>
      <w:r>
        <w:t>), pe care reclamanta l-a invocat ca temei juridic, o societate privatizată era îndreptățită la despăgubiri doar în cazul în care prejudiciul suferit era rezultatul restituirii bunurilor sale imobile către foștii proprietari. În acest sens, instanța a reținut că, obligarea societății reclamante la plata echivalentului bănesc al clădirii (în loc de restabilire a titlului clădirii propriu-zise) era efectul faptului că respectiva construcție a fost demolată, ceea ce a plasat societatea reclamantă „din vină proprie, în afara cadrului legal prevăzut la art. 32</w:t>
      </w:r>
      <w:r>
        <w:rPr>
          <w:vertAlign w:val="superscript"/>
        </w:rPr>
        <w:t>4</w:t>
      </w:r>
      <w:r>
        <w:t xml:space="preserve"> alin. (1) și alin. (2) din Ordonanța de Urgență a Guvernului nr. 88/1997”.</w:t>
      </w:r>
    </w:p>
    <w:p w:rsidR="000B0EA8" w:rsidRPr="005E3F4E" w:rsidRDefault="005A456C" w:rsidP="005E3F4E">
      <w:pPr>
        <w:pStyle w:val="ECHRPara"/>
      </w:pPr>
      <w:fldSimple w:instr=" SEQ level0 \*arabic ">
        <w:r w:rsidR="005E3F4E" w:rsidRPr="005E3F4E">
          <w:t>28</w:t>
        </w:r>
      </w:fldSimple>
      <w:r>
        <w:t>.  În al doilea rând, Înalta Curte a reținut că nici art. 32</w:t>
      </w:r>
      <w:r>
        <w:rPr>
          <w:vertAlign w:val="superscript"/>
        </w:rPr>
        <w:t>4</w:t>
      </w:r>
      <w:r>
        <w:t xml:space="preserve"> alin. (5) din Ordonanța de Urgență a Guvernului nr. 88/1997,  pe care reclamanta l-a invocat ca temei juridic în subsidiar, nu era aplicabil deoarece „nu prevedea obligația instituției publice implicate de a plăti despăgubiri pentru clădirea demolată”.</w:t>
      </w:r>
    </w:p>
    <w:p w:rsidR="00D61B03" w:rsidRPr="005E3F4E" w:rsidRDefault="000944E0" w:rsidP="005E3F4E">
      <w:pPr>
        <w:pStyle w:val="ECHRPara"/>
      </w:pPr>
      <w:fldSimple w:instr=" SEQ level0 \*arabic ">
        <w:r w:rsidR="005E3F4E" w:rsidRPr="005E3F4E">
          <w:t>29</w:t>
        </w:r>
      </w:fldSimple>
      <w:r>
        <w:t>.  În al treilea rând, Înalta Curte a reținut că societatea reclamantă nu era îndreptățită nici să introducă o acțiune în despăgubire întemeiată pe îmbogățirea fără justă cauză din partea statului (</w:t>
      </w:r>
      <w:proofErr w:type="spellStart"/>
      <w:r>
        <w:rPr>
          <w:i/>
          <w:iCs/>
        </w:rPr>
        <w:t>actio</w:t>
      </w:r>
      <w:proofErr w:type="spellEnd"/>
      <w:r>
        <w:rPr>
          <w:i/>
          <w:iCs/>
        </w:rPr>
        <w:t xml:space="preserve"> de in rem verso</w:t>
      </w:r>
      <w:r>
        <w:t>), întrucât prin demolarea clădirii aceasta „se îndepărtase de beneficiul dispozițiilor legale”.</w:t>
      </w:r>
    </w:p>
    <w:p w:rsidR="007E6B63" w:rsidRPr="005E3F4E" w:rsidRDefault="000944E0" w:rsidP="005E3F4E">
      <w:pPr>
        <w:pStyle w:val="ECHRPara"/>
      </w:pPr>
      <w:fldSimple w:instr=" SEQ level0 \*arabic ">
        <w:r w:rsidR="005E3F4E" w:rsidRPr="005E3F4E">
          <w:t>30</w:t>
        </w:r>
      </w:fldSimple>
      <w:r>
        <w:t>.  În sfârșit, Înalta Curte a respins cererea societății reclamante de a obliga statul român, prin Ministerul Finanțelor Publice, la plata despăgubirilor. A reținut că obligația de a despăgubi societățile privatizate pentru pierderile cauzate de restituirea către foștii lor proprietari a activelor preluate de stat se aplică numai instituțiilor publice implicate în procesul de privatizare și nu statului.</w:t>
      </w:r>
    </w:p>
    <w:p w:rsidR="00EB7586" w:rsidRPr="005E3F4E" w:rsidRDefault="005739E6" w:rsidP="005E3F4E">
      <w:pPr>
        <w:pStyle w:val="ECHRHeading2"/>
      </w:pPr>
      <w:r>
        <w:t>D.  Procedura de executare</w:t>
      </w:r>
    </w:p>
    <w:p w:rsidR="005739E6" w:rsidRPr="005E3F4E" w:rsidRDefault="005739E6" w:rsidP="005E3F4E">
      <w:pPr>
        <w:pStyle w:val="ECHRPara"/>
      </w:pPr>
      <w:fldSimple w:instr=" SEQ level0 \*arabic ">
        <w:r w:rsidR="005E3F4E" w:rsidRPr="005E3F4E">
          <w:t>31</w:t>
        </w:r>
      </w:fldSimple>
      <w:r>
        <w:t xml:space="preserve">.  Societatea reclamantă a inițiat procedura de executare împotriva AAAS pentru recuperarea sumei acordate prin sentința din 7 iunie 2013 (a se vedea infra, pct. </w:t>
      </w:r>
      <w:r w:rsidR="00F47BBD" w:rsidRPr="005E3F4E">
        <w:fldChar w:fldCharType="begin"/>
      </w:r>
      <w:r w:rsidR="00F47BBD" w:rsidRPr="005E3F4E">
        <w:instrText xml:space="preserve"> REF p26 \h </w:instrText>
      </w:r>
      <w:r w:rsidR="00F47BBD" w:rsidRPr="005E3F4E">
        <w:fldChar w:fldCharType="separate"/>
      </w:r>
      <w:r w:rsidR="005E3F4E" w:rsidRPr="005E3F4E">
        <w:t>24</w:t>
      </w:r>
      <w:r w:rsidR="00F47BBD" w:rsidRPr="005E3F4E">
        <w:fldChar w:fldCharType="end"/>
      </w:r>
      <w:r>
        <w:t>), menținută în recurs de Înalta Curte de Casație și Justiție.</w:t>
      </w:r>
    </w:p>
    <w:bookmarkStart w:id="10" w:name="p34"/>
    <w:p w:rsidR="005739E6" w:rsidRPr="005E3F4E" w:rsidRDefault="005739E6" w:rsidP="005E3F4E">
      <w:pPr>
        <w:pStyle w:val="ECHRPara"/>
      </w:pPr>
      <w:r w:rsidRPr="005E3F4E">
        <w:fldChar w:fldCharType="begin"/>
      </w:r>
      <w:r w:rsidRPr="005E3F4E">
        <w:instrText xml:space="preserve"> SEQ level0 \*arabic </w:instrText>
      </w:r>
      <w:r w:rsidRPr="005E3F4E">
        <w:fldChar w:fldCharType="separate"/>
      </w:r>
      <w:r w:rsidR="005E3F4E" w:rsidRPr="005E3F4E">
        <w:t>32</w:t>
      </w:r>
      <w:r w:rsidRPr="005E3F4E">
        <w:fldChar w:fldCharType="end"/>
      </w:r>
      <w:bookmarkEnd w:id="10"/>
      <w:r>
        <w:t xml:space="preserve">. La 27 mai 2014, Tribunalul București a hotărât că pot fi inițiate proceduri de executare silită. Societatea reclamantă a informat Curtea că executorul judecătoresc a reușit să recupereze doar 69.747 RON (aproximativ </w:t>
      </w:r>
      <w:r>
        <w:lastRenderedPageBreak/>
        <w:t>15.661 EUR), reprezentând numai 1,39% din 5.003.123 RON, suma acordată prin sentința definitivă a Înaltei Curți.</w:t>
      </w:r>
    </w:p>
    <w:bookmarkStart w:id="11" w:name="p35"/>
    <w:p w:rsidR="00CC1AA8" w:rsidRPr="005E3F4E" w:rsidRDefault="00CC1AA8" w:rsidP="005E3F4E">
      <w:pPr>
        <w:pStyle w:val="ECHRPara"/>
      </w:pPr>
      <w:r w:rsidRPr="005E3F4E">
        <w:fldChar w:fldCharType="begin"/>
      </w:r>
      <w:r w:rsidRPr="005E3F4E">
        <w:instrText xml:space="preserve"> SEQ level0 \*arabic </w:instrText>
      </w:r>
      <w:r w:rsidRPr="005E3F4E">
        <w:fldChar w:fldCharType="separate"/>
      </w:r>
      <w:r w:rsidR="005E3F4E" w:rsidRPr="005E3F4E">
        <w:t>33</w:t>
      </w:r>
      <w:r w:rsidRPr="005E3F4E">
        <w:fldChar w:fldCharType="end"/>
      </w:r>
      <w:bookmarkEnd w:id="11"/>
      <w:r>
        <w:t>.  Prin scrisoarea din 19 august 2014, Trezoreria Municipiului București a informat societatea reclamantă că AAAS era în stare de insolvență. De asemenea, a informat societatea reclamantă că era înregistrată la poziția 3.462 în lista creditorilor AAAS.</w:t>
      </w:r>
    </w:p>
    <w:p w:rsidR="00D420F3" w:rsidRPr="005E3F4E" w:rsidRDefault="0077175D" w:rsidP="005E3F4E">
      <w:pPr>
        <w:pStyle w:val="ECHRHeading1"/>
      </w:pPr>
      <w:r>
        <w:t>II.  DREPTUL ȘI PRACTICA INTERNE RELEVANTE</w:t>
      </w:r>
    </w:p>
    <w:p w:rsidR="00D54256" w:rsidRPr="005E3F4E" w:rsidRDefault="008B65E8" w:rsidP="005E3F4E">
      <w:pPr>
        <w:pStyle w:val="ECHRHeading2"/>
      </w:pPr>
      <w:r>
        <w:t xml:space="preserve">A.  OUG nr. 88/1997 privind privatizarea </w:t>
      </w:r>
      <w:r w:rsidR="00364301">
        <w:t>societăților comerciale, aprobată prin Legea nr. 44/1998 și modificată prin Legea nr. 99/1999</w:t>
      </w:r>
    </w:p>
    <w:bookmarkStart w:id="12" w:name="Oridnance"/>
    <w:p w:rsidR="00EB7B50" w:rsidRPr="005E3F4E" w:rsidRDefault="00F47BBD" w:rsidP="005E3F4E">
      <w:pPr>
        <w:pStyle w:val="JuParaSub"/>
        <w:rPr>
          <w:vertAlign w:val="superscript"/>
        </w:rPr>
      </w:pPr>
      <w:r w:rsidRPr="005E3F4E">
        <w:fldChar w:fldCharType="begin"/>
      </w:r>
      <w:r w:rsidRPr="005E3F4E">
        <w:instrText xml:space="preserve"> SEQ level0 \*arabic </w:instrText>
      </w:r>
      <w:r w:rsidRPr="005E3F4E">
        <w:fldChar w:fldCharType="separate"/>
      </w:r>
      <w:r w:rsidR="005E3F4E" w:rsidRPr="005E3F4E">
        <w:t>34</w:t>
      </w:r>
      <w:r w:rsidRPr="005E3F4E">
        <w:fldChar w:fldCharType="end"/>
      </w:r>
      <w:bookmarkEnd w:id="12"/>
      <w:r>
        <w:t>.  În măsura în care este relevant pentru prezenta cauză, art. 32</w:t>
      </w:r>
      <w:r>
        <w:rPr>
          <w:vertAlign w:val="superscript"/>
        </w:rPr>
        <w:t>4</w:t>
      </w:r>
      <w:r>
        <w:t xml:space="preserve"> din ordonanță prevede:</w:t>
      </w:r>
    </w:p>
    <w:p w:rsidR="00486408" w:rsidRPr="005E3F4E" w:rsidRDefault="0014395D" w:rsidP="005E3F4E">
      <w:pPr>
        <w:pStyle w:val="ECHRParaQuote"/>
      </w:pPr>
      <w:r>
        <w:t>„(1) Instituțiile publice implicate asigură repararea prejudiciilor cauzate societăților comerciale privatizate sau în curs de privatizare prin restituirea către foștii proprietari a bunurilor imobile preluate de stat;</w:t>
      </w:r>
    </w:p>
    <w:p w:rsidR="00486408" w:rsidRPr="005E3F4E" w:rsidRDefault="00486408" w:rsidP="005E3F4E">
      <w:pPr>
        <w:pStyle w:val="ECHRParaQuote"/>
      </w:pPr>
      <w:r>
        <w:t>(2) Instituțiile publice implicate vor plăti societăților comerciale prevăzute la alin. (1) o despăgubire care să reprezinte echivalentul bănesc al prejudiciului cauzat prin restituirea în natură a imobilelor deținute de societatea comercială către foștii proprietari prin efectul unei hotărâri judecătorești definitive și irevocabile.</w:t>
      </w:r>
    </w:p>
    <w:p w:rsidR="00B9422B" w:rsidRPr="005E3F4E" w:rsidRDefault="00B9422B" w:rsidP="005E3F4E">
      <w:pPr>
        <w:pStyle w:val="ECHRParaQuote"/>
      </w:pPr>
      <w:r>
        <w:t>(3) Despăgubirea prevăzută la alin. (2) se stabilește de comun acord cu societățile comerciale, iar în caz de divergență, prin justiție.</w:t>
      </w:r>
    </w:p>
    <w:p w:rsidR="00B9422B" w:rsidRPr="005E3F4E" w:rsidRDefault="00EB7586" w:rsidP="005E3F4E">
      <w:pPr>
        <w:pStyle w:val="ECHRParaQuote"/>
      </w:pPr>
      <w:r>
        <w:t>[...]</w:t>
      </w:r>
    </w:p>
    <w:p w:rsidR="00B9422B" w:rsidRPr="005E3F4E" w:rsidRDefault="00B9422B" w:rsidP="005E3F4E">
      <w:pPr>
        <w:pStyle w:val="ECHRParaQuote"/>
      </w:pPr>
      <w:r>
        <w:t>(5) În cazul în care prin hotărâre judecătorească definitivă și irevocabilă societățile comerciale sunt obligate la plata echivalentului bănesc al imobilelor, instituțiile publice implicate vor plăti direct fostului proprietar suma prevăzută în hotărâre.</w:t>
      </w:r>
    </w:p>
    <w:p w:rsidR="00B9422B" w:rsidRPr="005E3F4E" w:rsidRDefault="00B9422B" w:rsidP="005E3F4E">
      <w:pPr>
        <w:pStyle w:val="ECHRParaQuote"/>
      </w:pPr>
      <w:r>
        <w:t>(6) Statul garantează îndeplinirea de către instituțiile publice implicate a obligațiilor prevăzute în prezentul articol.”</w:t>
      </w:r>
    </w:p>
    <w:bookmarkStart w:id="13" w:name="para_35"/>
    <w:p w:rsidR="000633D0" w:rsidRPr="005E3F4E" w:rsidRDefault="00D07673" w:rsidP="005E3F4E">
      <w:pPr>
        <w:pStyle w:val="ECHRPara"/>
      </w:pPr>
      <w:r w:rsidRPr="005E3F4E">
        <w:fldChar w:fldCharType="begin"/>
      </w:r>
      <w:r w:rsidRPr="005E3F4E">
        <w:instrText xml:space="preserve"> SEQ level0 \*arabic </w:instrText>
      </w:r>
      <w:r w:rsidRPr="005E3F4E">
        <w:fldChar w:fldCharType="separate"/>
      </w:r>
      <w:r w:rsidR="005E3F4E" w:rsidRPr="005E3F4E">
        <w:t>35</w:t>
      </w:r>
      <w:r w:rsidRPr="005E3F4E">
        <w:fldChar w:fldCharType="end"/>
      </w:r>
      <w:bookmarkEnd w:id="13"/>
      <w:r>
        <w:t>.  Art. 32</w:t>
      </w:r>
      <w:r>
        <w:rPr>
          <w:vertAlign w:val="superscript"/>
        </w:rPr>
        <w:t xml:space="preserve">4 </w:t>
      </w:r>
      <w:r>
        <w:t>din ordonanță a fost abrogat prin art. 56 din Legea nr. 137/2002 privind unele măsuri pentru accelerarea privatizării. Art. 30 alin. (3) din lege prevede în mod expres că art. 32</w:t>
      </w:r>
      <w:r>
        <w:rPr>
          <w:vertAlign w:val="superscript"/>
        </w:rPr>
        <w:t xml:space="preserve">4 </w:t>
      </w:r>
      <w:r>
        <w:t>din ordonanță rămâne aplicabil numai pentru contractele de vânzare-cumpărare de acțiuni încheiate înainte de intrarea în vigoare a legii în 2002.</w:t>
      </w:r>
    </w:p>
    <w:p w:rsidR="00EB7586" w:rsidRPr="005E3F4E" w:rsidRDefault="00763B93" w:rsidP="005E3F4E">
      <w:pPr>
        <w:pStyle w:val="ECHRHeading2"/>
      </w:pPr>
      <w:r>
        <w:t>B.  Codul civil</w:t>
      </w:r>
    </w:p>
    <w:p w:rsidR="00763B93" w:rsidRPr="005E3F4E" w:rsidRDefault="00A62A11" w:rsidP="005E3F4E">
      <w:pPr>
        <w:pStyle w:val="JuParaSub"/>
      </w:pPr>
      <w:fldSimple w:instr=" SEQ level0 \*arabic ">
        <w:r w:rsidR="005E3F4E" w:rsidRPr="005E3F4E">
          <w:t>36</w:t>
        </w:r>
      </w:fldSimple>
      <w:r>
        <w:t>.  Prevederile relevante ale Codului civil sunt redactate după cum urmează:</w:t>
      </w:r>
    </w:p>
    <w:p w:rsidR="00EB7586" w:rsidRPr="005E3F4E" w:rsidRDefault="003D38E0" w:rsidP="005E3F4E">
      <w:pPr>
        <w:pStyle w:val="ECHRTitleCentre3"/>
      </w:pPr>
      <w:r>
        <w:lastRenderedPageBreak/>
        <w:t>Art. 1345</w:t>
      </w:r>
    </w:p>
    <w:p w:rsidR="003D38E0" w:rsidRPr="005E3F4E" w:rsidRDefault="003D38E0" w:rsidP="005E3F4E">
      <w:pPr>
        <w:pStyle w:val="ECHRParaQuote"/>
      </w:pPr>
      <w:r>
        <w:t>„Cel care, în mod neimputabil, s-a îmbogățit fără justă cauză în detrimentul altuia este obligat la restituire, în măsura pierderii patrimoniale suferite de cealaltă persoană, dar fără a fi ținut dincolo de limita propriei sale îmbogățiri.”</w:t>
      </w:r>
    </w:p>
    <w:p w:rsidR="00EB7586" w:rsidRPr="005E3F4E" w:rsidRDefault="003D38E0" w:rsidP="005E3F4E">
      <w:pPr>
        <w:pStyle w:val="ECHRTitleCentre3"/>
      </w:pPr>
      <w:r>
        <w:t>Art. 1346</w:t>
      </w:r>
    </w:p>
    <w:p w:rsidR="003D38E0" w:rsidRPr="005E3F4E" w:rsidRDefault="003D38E0" w:rsidP="005E3F4E">
      <w:pPr>
        <w:pStyle w:val="ECHRParaQuote"/>
      </w:pPr>
      <w:r>
        <w:t>„Îmbogățirea este justificată atunci când rezultă:</w:t>
      </w:r>
    </w:p>
    <w:p w:rsidR="003D38E0" w:rsidRPr="005E3F4E" w:rsidRDefault="003D38E0" w:rsidP="005E3F4E">
      <w:pPr>
        <w:pStyle w:val="ECHRParaQuote"/>
      </w:pPr>
      <w:r>
        <w:t>a) din executarea unei obligații valabile;</w:t>
      </w:r>
    </w:p>
    <w:p w:rsidR="003D38E0" w:rsidRPr="005E3F4E" w:rsidRDefault="003D38E0" w:rsidP="005E3F4E">
      <w:pPr>
        <w:pStyle w:val="ECHRParaQuote"/>
      </w:pPr>
      <w:r>
        <w:t>b) din neexercitarea de către cel păgubit a unui drept contra celui îmbogățit;</w:t>
      </w:r>
    </w:p>
    <w:p w:rsidR="003D38E0" w:rsidRPr="005E3F4E" w:rsidRDefault="003D38E0" w:rsidP="005E3F4E">
      <w:pPr>
        <w:pStyle w:val="ECHRParaQuote"/>
      </w:pPr>
      <w:r>
        <w:t>c) dintr-un act îndeplinit de cel păgubit în interesul său personal și exclusiv, pe riscul său ori, după caz, cu intenția de a gratifica.”</w:t>
      </w:r>
    </w:p>
    <w:p w:rsidR="00D54256" w:rsidRPr="005E3F4E" w:rsidRDefault="00CE333F" w:rsidP="005E3F4E">
      <w:pPr>
        <w:pStyle w:val="ECHRHeading2"/>
      </w:pPr>
      <w:r>
        <w:t>C.  Decizia nr. 18/2011 a Înaltei Curți de Casație și Justiție</w:t>
      </w:r>
    </w:p>
    <w:bookmarkStart w:id="14" w:name="p37"/>
    <w:p w:rsidR="00D420F3" w:rsidRPr="005E3F4E" w:rsidRDefault="00EC2F6D" w:rsidP="005E3F4E">
      <w:pPr>
        <w:pStyle w:val="ECHRPara"/>
      </w:pPr>
      <w:r w:rsidRPr="005E3F4E">
        <w:fldChar w:fldCharType="begin"/>
      </w:r>
      <w:r w:rsidRPr="005E3F4E">
        <w:instrText xml:space="preserve"> SEQ level0 \*arabic </w:instrText>
      </w:r>
      <w:r w:rsidRPr="005E3F4E">
        <w:fldChar w:fldCharType="separate"/>
      </w:r>
      <w:r w:rsidR="005E3F4E" w:rsidRPr="005E3F4E">
        <w:t>37</w:t>
      </w:r>
      <w:r w:rsidRPr="005E3F4E">
        <w:fldChar w:fldCharType="end"/>
      </w:r>
      <w:bookmarkEnd w:id="14"/>
      <w:r>
        <w:t>.  În decizia pronunțată la 17 octombrie 2011 și publicată în Monitorul Oficial la 16 decembrie 2011, Înalta Curte de Casație și Justiție a confirmat că art. 32</w:t>
      </w:r>
      <w:r>
        <w:rPr>
          <w:vertAlign w:val="superscript"/>
        </w:rPr>
        <w:t>4</w:t>
      </w:r>
      <w:r>
        <w:t xml:space="preserve"> din Ordonanța de Urgență a Guvernului continua să se aplice (chiar și după abrogarea Ordonanței de Urgență a Guvernului) pentru contractele de vânzare-cumpărare încheiate înainte de intrarea în vigoare a Legii nr. 137/2002 (a se vedea supra, pct. </w:t>
      </w:r>
      <w:r w:rsidR="00155D9C" w:rsidRPr="005E3F4E">
        <w:fldChar w:fldCharType="begin"/>
      </w:r>
      <w:r w:rsidR="00155D9C" w:rsidRPr="005E3F4E">
        <w:instrText xml:space="preserve"> REF para_35 \h </w:instrText>
      </w:r>
      <w:r w:rsidR="00155D9C" w:rsidRPr="005E3F4E">
        <w:fldChar w:fldCharType="separate"/>
      </w:r>
      <w:r w:rsidR="005E3F4E" w:rsidRPr="005E3F4E">
        <w:t>35</w:t>
      </w:r>
      <w:r w:rsidR="00155D9C" w:rsidRPr="005E3F4E">
        <w:fldChar w:fldCharType="end"/>
      </w:r>
      <w:r>
        <w:t>).</w:t>
      </w:r>
    </w:p>
    <w:p w:rsidR="00D420F3" w:rsidRPr="005E3F4E" w:rsidRDefault="0077175D" w:rsidP="005E3F4E">
      <w:pPr>
        <w:pStyle w:val="ECHRTitle1"/>
      </w:pPr>
      <w:r>
        <w:t>ÎN DREPT</w:t>
      </w:r>
    </w:p>
    <w:p w:rsidR="00D420F3" w:rsidRPr="005E3F4E" w:rsidRDefault="0077175D" w:rsidP="005E3F4E">
      <w:pPr>
        <w:pStyle w:val="ECHRHeading1"/>
      </w:pPr>
      <w:r>
        <w:t>I. CU PRIVIRE LA PRETINSA ÎNCĂLCARE A ART. 6 § 1 DIN CONVENȚIE</w:t>
      </w:r>
    </w:p>
    <w:bookmarkStart w:id="15" w:name="para_38"/>
    <w:p w:rsidR="00D420F3" w:rsidRPr="005E3F4E" w:rsidRDefault="00AE2B6C" w:rsidP="005E3F4E">
      <w:pPr>
        <w:pStyle w:val="ECHRPara"/>
      </w:pPr>
      <w:r w:rsidRPr="005E3F4E">
        <w:fldChar w:fldCharType="begin"/>
      </w:r>
      <w:r w:rsidRPr="005E3F4E">
        <w:instrText xml:space="preserve"> SEQ level0 \*arabic </w:instrText>
      </w:r>
      <w:r w:rsidRPr="005E3F4E">
        <w:fldChar w:fldCharType="separate"/>
      </w:r>
      <w:r w:rsidR="005E3F4E" w:rsidRPr="005E3F4E">
        <w:t>38</w:t>
      </w:r>
      <w:r w:rsidRPr="005E3F4E">
        <w:fldChar w:fldCharType="end"/>
      </w:r>
      <w:bookmarkEnd w:id="15"/>
      <w:r>
        <w:t xml:space="preserve">.  Societatea reclamantă s-a plâns că prin decizia pronunțată de Înalta Curte de Casație și Justiție la 6 decembrie 2011 de respingere a cererii sale de a fi despăgubită de către autoritatea competentă a statului pentru motivul că nu avea </w:t>
      </w:r>
      <w:proofErr w:type="spellStart"/>
      <w:r>
        <w:rPr>
          <w:i/>
        </w:rPr>
        <w:t>locus</w:t>
      </w:r>
      <w:proofErr w:type="spellEnd"/>
      <w:r>
        <w:rPr>
          <w:i/>
        </w:rPr>
        <w:t xml:space="preserve"> </w:t>
      </w:r>
      <w:proofErr w:type="spellStart"/>
      <w:r>
        <w:rPr>
          <w:i/>
        </w:rPr>
        <w:t>standi</w:t>
      </w:r>
      <w:proofErr w:type="spellEnd"/>
      <w:r>
        <w:t xml:space="preserve"> (a se vedea supra, pct. </w:t>
      </w:r>
      <w:r w:rsidR="00155D9C" w:rsidRPr="005E3F4E">
        <w:fldChar w:fldCharType="begin"/>
      </w:r>
      <w:r w:rsidR="00155D9C" w:rsidRPr="005E3F4E">
        <w:instrText xml:space="preserve"> REF p24 \h </w:instrText>
      </w:r>
      <w:r w:rsidR="00155D9C" w:rsidRPr="005E3F4E">
        <w:fldChar w:fldCharType="separate"/>
      </w:r>
      <w:r w:rsidR="005E3F4E" w:rsidRPr="005E3F4E">
        <w:t>22</w:t>
      </w:r>
      <w:r w:rsidR="00155D9C" w:rsidRPr="005E3F4E">
        <w:fldChar w:fldCharType="end"/>
      </w:r>
      <w:r>
        <w:t>) fusese încălcat art. 6 § 1 din Convenție, care prevede:</w:t>
      </w:r>
    </w:p>
    <w:p w:rsidR="00EB7586" w:rsidRPr="005E3F4E" w:rsidRDefault="003A30CD" w:rsidP="005E3F4E">
      <w:pPr>
        <w:pStyle w:val="ECHRParaQuote"/>
      </w:pPr>
      <w:r>
        <w:t>„Orice persoană are dreptul la judecarea în mod echitabil […] a cauzei sale, de către o instanță […], care va hotărî […] asupra încălcării drepturilor și obligațiilor sale cu caracter civil.</w:t>
      </w:r>
    </w:p>
    <w:p w:rsidR="00D420F3" w:rsidRPr="005E3F4E" w:rsidRDefault="0077175D" w:rsidP="005E3F4E">
      <w:pPr>
        <w:pStyle w:val="ECHRHeading2"/>
      </w:pPr>
      <w:r>
        <w:t>A.  Argumentele părților</w:t>
      </w:r>
    </w:p>
    <w:p w:rsidR="008131C8" w:rsidRPr="005E3F4E" w:rsidRDefault="00F72EFD" w:rsidP="005E3F4E">
      <w:pPr>
        <w:pStyle w:val="ECHRPara"/>
      </w:pPr>
      <w:fldSimple w:instr=" SEQ level0 \*arabic ">
        <w:r w:rsidR="005E3F4E" w:rsidRPr="005E3F4E">
          <w:t>39</w:t>
        </w:r>
      </w:fldSimple>
      <w:r>
        <w:t>.  Guvernul a invocat două excepții preliminare: una cu privire la caracterul pretins abuziv al plângerii, iar cealaltă cu privire la pierderea de către societatea reclamantă a „calității de victimă”.</w:t>
      </w:r>
    </w:p>
    <w:bookmarkStart w:id="16" w:name="_Toc422229726"/>
    <w:p w:rsidR="009545FE" w:rsidRPr="005E3F4E" w:rsidRDefault="00C97D73" w:rsidP="005E3F4E">
      <w:pPr>
        <w:pStyle w:val="ECHRPara"/>
      </w:pPr>
      <w:r w:rsidRPr="005E3F4E">
        <w:lastRenderedPageBreak/>
        <w:fldChar w:fldCharType="begin"/>
      </w:r>
      <w:r w:rsidRPr="005E3F4E">
        <w:instrText xml:space="preserve"> SEQ level0 \*arabic </w:instrText>
      </w:r>
      <w:r w:rsidRPr="005E3F4E">
        <w:fldChar w:fldCharType="separate"/>
      </w:r>
      <w:r w:rsidR="005E3F4E" w:rsidRPr="005E3F4E">
        <w:t>40</w:t>
      </w:r>
      <w:r w:rsidRPr="005E3F4E">
        <w:fldChar w:fldCharType="end"/>
      </w:r>
      <w:r>
        <w:t xml:space="preserve">.  În ceea ce privește prima excepție, Guvernul a subliniat că, după ce a introdus cererea la Strasbourg, societatea reclamantă a formulat o nouă acțiune civilă în despăgubire pentru prejudiciul suferit. </w:t>
      </w:r>
      <w:bookmarkEnd w:id="16"/>
      <w:r>
        <w:t xml:space="preserve">Societatea reclamantă nu a informat Curtea că, prin sentința din 7 iunie 2013 (a se vedea supra, pct. </w:t>
      </w:r>
      <w:r w:rsidR="00D568E1" w:rsidRPr="005E3F4E">
        <w:fldChar w:fldCharType="begin"/>
      </w:r>
      <w:r w:rsidR="00D568E1" w:rsidRPr="005E3F4E">
        <w:instrText xml:space="preserve"> REF p26 \h </w:instrText>
      </w:r>
      <w:r w:rsidR="00D568E1" w:rsidRPr="005E3F4E">
        <w:fldChar w:fldCharType="separate"/>
      </w:r>
      <w:r w:rsidR="005E3F4E" w:rsidRPr="005E3F4E">
        <w:t>24</w:t>
      </w:r>
      <w:r w:rsidR="00D568E1" w:rsidRPr="005E3F4E">
        <w:fldChar w:fldCharType="end"/>
      </w:r>
      <w:r>
        <w:t xml:space="preserve">), confirmată în recurs prin hotărârea din ianuarie 2015 (a se vedea supra, pct. </w:t>
      </w:r>
      <w:r w:rsidR="00D568E1" w:rsidRPr="005E3F4E">
        <w:fldChar w:fldCharType="begin"/>
      </w:r>
      <w:r w:rsidR="00D568E1" w:rsidRPr="005E3F4E">
        <w:instrText xml:space="preserve"> REF p28 \h </w:instrText>
      </w:r>
      <w:r w:rsidR="00D568E1" w:rsidRPr="005E3F4E">
        <w:fldChar w:fldCharType="separate"/>
      </w:r>
      <w:r w:rsidR="005E3F4E" w:rsidRPr="005E3F4E">
        <w:t>26</w:t>
      </w:r>
      <w:r w:rsidR="00D568E1" w:rsidRPr="005E3F4E">
        <w:fldChar w:fldCharType="end"/>
      </w:r>
      <w:r>
        <w:t xml:space="preserve">), instanțele naționale au admis în parte acțiunea sa în despăgubire. Astfel, invocând decizia pronunțată de Curte în cauza </w:t>
      </w:r>
      <w:proofErr w:type="spellStart"/>
      <w:r>
        <w:rPr>
          <w:i/>
          <w:iCs/>
        </w:rPr>
        <w:t>Ibriș</w:t>
      </w:r>
      <w:proofErr w:type="spellEnd"/>
      <w:r>
        <w:rPr>
          <w:i/>
          <w:iCs/>
        </w:rPr>
        <w:t xml:space="preserve"> împotriva României</w:t>
      </w:r>
      <w:r>
        <w:t xml:space="preserve"> [(dec.), nr. 15193/12, 21 iunie 2016], Guvernul a solicitat Curții să declare plângerea abuzivă deoarece societatea reclamantă nu a furnizat informații despre aspecte ale cauzei care, în opinia sa, erau esențiale pentru aprecierea acesteia.</w:t>
      </w:r>
    </w:p>
    <w:p w:rsidR="00EB7586" w:rsidRPr="005E3F4E" w:rsidRDefault="006E3590" w:rsidP="005E3F4E">
      <w:pPr>
        <w:pStyle w:val="ECHRPara"/>
      </w:pPr>
      <w:fldSimple w:instr=" SEQ level0 \*arabic ">
        <w:r w:rsidR="005E3F4E" w:rsidRPr="005E3F4E">
          <w:t>41</w:t>
        </w:r>
      </w:fldSimple>
      <w:r>
        <w:t xml:space="preserve">.  Mai mult, pentru aceleași motive – și anume, pentru că instanțele interne au apreciat și au admis parțial cererea societății reclamante –, Guvernul a susținut că societatea reclamantă nu mai era o „victimă” și a cerut Curții să declare cererea inadmisibilă </w:t>
      </w:r>
      <w:proofErr w:type="spellStart"/>
      <w:r>
        <w:rPr>
          <w:i/>
        </w:rPr>
        <w:t>ratione</w:t>
      </w:r>
      <w:proofErr w:type="spellEnd"/>
      <w:r>
        <w:rPr>
          <w:i/>
        </w:rPr>
        <w:t> </w:t>
      </w:r>
      <w:proofErr w:type="spellStart"/>
      <w:r>
        <w:rPr>
          <w:i/>
        </w:rPr>
        <w:t>personae</w:t>
      </w:r>
      <w:proofErr w:type="spellEnd"/>
      <w:r>
        <w:t>.</w:t>
      </w:r>
    </w:p>
    <w:bookmarkStart w:id="17" w:name="para_42"/>
    <w:p w:rsidR="00EB7586" w:rsidRPr="005E3F4E" w:rsidRDefault="001F06F8" w:rsidP="005E3F4E">
      <w:pPr>
        <w:pStyle w:val="ECHRPara"/>
      </w:pPr>
      <w:r w:rsidRPr="005E3F4E">
        <w:fldChar w:fldCharType="begin"/>
      </w:r>
      <w:r w:rsidRPr="005E3F4E">
        <w:instrText xml:space="preserve"> SEQ level0 \*arabic </w:instrText>
      </w:r>
      <w:r w:rsidRPr="005E3F4E">
        <w:fldChar w:fldCharType="separate"/>
      </w:r>
      <w:r w:rsidR="005E3F4E" w:rsidRPr="005E3F4E">
        <w:t>42</w:t>
      </w:r>
      <w:r w:rsidRPr="005E3F4E">
        <w:fldChar w:fldCharType="end"/>
      </w:r>
      <w:bookmarkEnd w:id="17"/>
      <w:r>
        <w:t>.  Societatea reclamantă a afirmat că acțiunea civilă formulată după respingerea primei sale acțiuni de Înalta Curte de Casație și Justiție la 6 decembrie 2011 avea ca obiect două pretenții diferite: una în legătură cu prejudiciul cauzat de restituirea terenului respectiv și cealaltă în legătură cu plata echivalentului bănesc al clădirii demolate. Prin Decizia din 27 ianuarie 2015, Înalta Curte de Casație și Justiție a admis doar capătul de cerere privind prejudiciul în legătură cu terenul și a respins celălalt capăt de cerere.</w:t>
      </w:r>
    </w:p>
    <w:bookmarkStart w:id="18" w:name="para_43"/>
    <w:p w:rsidR="000362E7" w:rsidRPr="005E3F4E" w:rsidRDefault="000362E7" w:rsidP="005E3F4E">
      <w:pPr>
        <w:pStyle w:val="ECHRPara"/>
      </w:pPr>
      <w:r w:rsidRPr="005E3F4E">
        <w:fldChar w:fldCharType="begin"/>
      </w:r>
      <w:r w:rsidRPr="005E3F4E">
        <w:instrText xml:space="preserve"> SEQ level0 \*arabic </w:instrText>
      </w:r>
      <w:r w:rsidRPr="005E3F4E">
        <w:fldChar w:fldCharType="separate"/>
      </w:r>
      <w:r w:rsidR="005E3F4E" w:rsidRPr="005E3F4E">
        <w:t>43</w:t>
      </w:r>
      <w:r w:rsidRPr="005E3F4E">
        <w:fldChar w:fldCharType="end"/>
      </w:r>
      <w:bookmarkEnd w:id="18"/>
      <w:r>
        <w:t>.  Mai mult, perspectiva de recuperare a despăgubirii pentru teren era destul de redusă date fiind dificultățile pe care le-a întâmpinat în executarea sentinței din 7 iunie 2013. Prin urmare, a considerat că putea invoca în continuare calitatea de „victimă” în temeiul art. 6 din Convenție, deoarece în hotărârea definitivă națională era prevăzută doar o reparație parțială.</w:t>
      </w:r>
    </w:p>
    <w:p w:rsidR="00EB7586" w:rsidRPr="005E3F4E" w:rsidRDefault="003A661A" w:rsidP="005E3F4E">
      <w:pPr>
        <w:pStyle w:val="ECHRPara"/>
      </w:pPr>
      <w:fldSimple w:instr=" SEQ level0 \*arabic ">
        <w:r w:rsidR="005E3F4E" w:rsidRPr="005E3F4E">
          <w:t>44</w:t>
        </w:r>
      </w:fldSimple>
      <w:r>
        <w:t>.  Societatea reclamantă a susținut și că nu existase, din partea sa, nicio încercare de inducere în eroare a Curții.</w:t>
      </w:r>
    </w:p>
    <w:p w:rsidR="000E0EF9" w:rsidRPr="005E3F4E" w:rsidRDefault="000E0EF9" w:rsidP="005E3F4E">
      <w:pPr>
        <w:pStyle w:val="ECHRHeading2"/>
      </w:pPr>
      <w:r>
        <w:t>B. Motivarea Curții</w:t>
      </w:r>
    </w:p>
    <w:p w:rsidR="00FD415D" w:rsidRPr="005E3F4E" w:rsidRDefault="00241B33" w:rsidP="005E3F4E">
      <w:pPr>
        <w:pStyle w:val="ECHRHeading3"/>
      </w:pPr>
      <w:r>
        <w:t>1.  Cu privire la exercitarea abuzivă a dreptului de a introduce o cerere individuală</w:t>
      </w:r>
    </w:p>
    <w:p w:rsidR="00C853AA" w:rsidRPr="005E3F4E" w:rsidRDefault="003A661A" w:rsidP="005E3F4E">
      <w:pPr>
        <w:pStyle w:val="ECHRPara"/>
      </w:pPr>
      <w:fldSimple w:instr=" SEQ level0 \*arabic ">
        <w:r w:rsidR="005E3F4E" w:rsidRPr="005E3F4E">
          <w:t>45</w:t>
        </w:r>
      </w:fldSimple>
      <w:r>
        <w:t xml:space="preserve">.  Curtea reiterează că o cerere poate fi respinsă pentru motivul exercitării abuzive a dreptului de a introduce o cerere dacă se bazează cu bună știință pe fapte false cu intenția de a induce în eroare Curtea [a se vedea </w:t>
      </w:r>
      <w:proofErr w:type="spellStart"/>
      <w:r>
        <w:rPr>
          <w:i/>
        </w:rPr>
        <w:t>Centro</w:t>
      </w:r>
      <w:proofErr w:type="spellEnd"/>
      <w:r>
        <w:rPr>
          <w:i/>
        </w:rPr>
        <w:t xml:space="preserve"> Europa 7 </w:t>
      </w:r>
      <w:proofErr w:type="spellStart"/>
      <w:r>
        <w:rPr>
          <w:i/>
        </w:rPr>
        <w:t>S.r.l.</w:t>
      </w:r>
      <w:proofErr w:type="spellEnd"/>
      <w:r>
        <w:rPr>
          <w:i/>
        </w:rPr>
        <w:t xml:space="preserve"> și Di </w:t>
      </w:r>
      <w:proofErr w:type="spellStart"/>
      <w:r>
        <w:rPr>
          <w:i/>
        </w:rPr>
        <w:t>Stefano</w:t>
      </w:r>
      <w:proofErr w:type="spellEnd"/>
      <w:r>
        <w:rPr>
          <w:i/>
        </w:rPr>
        <w:t xml:space="preserve"> împotriva Italiei</w:t>
      </w:r>
      <w:r>
        <w:t xml:space="preserve"> (MC), nr. 38433/09, pct. 97, CEDO 2012]. Prezentarea de informații incomplete (și, prin urmare, înșelătoare) poate, de asemenea, duce la exercitarea abuzivă a dreptului de a sesiza Curtea, în special dacă informațiile în cauză se referă la însăși esența cauzei și nu se oferă o explicație suficientă pentru nedivulgarea acestor informații. Aceasta se aplică și atunci când aspecte noi, importante apar în </w:t>
      </w:r>
      <w:r>
        <w:lastRenderedPageBreak/>
        <w:t xml:space="preserve">cursul procedurii în fața Curții și când – în pofida faptului că se prevede expres să se acționeze astfel la art. 47 § 6 din Regulamentul Curții – reclamantul nu informează Curtea în acest sens, împiedicând-o, astfel, să se pronunțe cu privire la cauză în deplină cunoștință a faptelor. Totuși, chiar și în asemenea cazuri, intenția reclamantului de inducere în eroare a Curții trebuie să fie întotdeauna stabilită cu suficientă certitudine [a se vedea </w:t>
      </w:r>
      <w:proofErr w:type="spellStart"/>
      <w:r>
        <w:rPr>
          <w:i/>
        </w:rPr>
        <w:t>Gross</w:t>
      </w:r>
      <w:proofErr w:type="spellEnd"/>
      <w:r>
        <w:rPr>
          <w:i/>
        </w:rPr>
        <w:t xml:space="preserve"> împotriva Elveției </w:t>
      </w:r>
      <w:r>
        <w:t>(MC), nr. 67810/10, pct. 28, CEDO 2014].</w:t>
      </w:r>
    </w:p>
    <w:p w:rsidR="00D71480" w:rsidRPr="005E3F4E" w:rsidRDefault="003A661A" w:rsidP="005E3F4E">
      <w:pPr>
        <w:pStyle w:val="ECHRPara"/>
      </w:pPr>
      <w:fldSimple w:instr=" SEQ level0 \*arabic ">
        <w:r w:rsidR="005E3F4E" w:rsidRPr="005E3F4E">
          <w:t>46</w:t>
        </w:r>
      </w:fldSimple>
      <w:r>
        <w:t xml:space="preserve">.  Curtea observă că societatea reclamantă a recunoscut că a continuat acțiunea în despăgubire în fața instanțelor civile și că nu a informat Curtea în acest sens după ce a introdus cererea în fața Curții de la Strasbourg. Având în vedere explicația prezentată de reclamant – și anume, că doar o parte a cererii sale fusese admisă și că, în ceea ce privește partea admisă, a întâmpinat dificultăți în a obține executarea acesteia (a se vedea supra, pct. </w:t>
      </w:r>
      <w:r w:rsidR="00C23766" w:rsidRPr="005E3F4E">
        <w:fldChar w:fldCharType="begin"/>
      </w:r>
      <w:r w:rsidR="00C23766" w:rsidRPr="005E3F4E">
        <w:instrText xml:space="preserve"> REF para_42 \h </w:instrText>
      </w:r>
      <w:r w:rsidR="00C23766" w:rsidRPr="005E3F4E">
        <w:fldChar w:fldCharType="separate"/>
      </w:r>
      <w:r w:rsidR="005E3F4E" w:rsidRPr="005E3F4E">
        <w:t>42</w:t>
      </w:r>
      <w:r w:rsidR="00C23766" w:rsidRPr="005E3F4E">
        <w:fldChar w:fldCharType="end"/>
      </w:r>
      <w:r>
        <w:t xml:space="preserve"> și </w:t>
      </w:r>
      <w:r w:rsidR="00C23766" w:rsidRPr="005E3F4E">
        <w:fldChar w:fldCharType="begin"/>
      </w:r>
      <w:r w:rsidR="00C23766" w:rsidRPr="005E3F4E">
        <w:instrText xml:space="preserve"> REF para_43 \h </w:instrText>
      </w:r>
      <w:r w:rsidR="00C23766" w:rsidRPr="005E3F4E">
        <w:fldChar w:fldCharType="separate"/>
      </w:r>
      <w:r w:rsidR="005E3F4E" w:rsidRPr="005E3F4E">
        <w:t>43</w:t>
      </w:r>
      <w:r w:rsidR="00C23766" w:rsidRPr="005E3F4E">
        <w:fldChar w:fldCharType="end"/>
      </w:r>
      <w:r>
        <w:t>) – Curtea ia în considerare că omisiunea în cauză nu poate fi considerată o tentativă de a ascunde Curții vreo informație esențială.</w:t>
      </w:r>
    </w:p>
    <w:p w:rsidR="00540B3B" w:rsidRPr="005E3F4E" w:rsidRDefault="003A661A" w:rsidP="005E3F4E">
      <w:pPr>
        <w:pStyle w:val="ECHRPara"/>
      </w:pPr>
      <w:fldSimple w:instr=" SEQ level0 \*arabic ">
        <w:r w:rsidR="005E3F4E" w:rsidRPr="005E3F4E">
          <w:t>47</w:t>
        </w:r>
      </w:fldSimple>
      <w:r>
        <w:t>.  În plus, în observațiile scrise, reclamanta a prezentat toate informațiile și documentele relevante în legătură cu noua acțiune pe care a introdus-o după ce și-a depus cererea la Curte.</w:t>
      </w:r>
    </w:p>
    <w:p w:rsidR="00502FD9" w:rsidRPr="005E3F4E" w:rsidRDefault="003A661A" w:rsidP="005E3F4E">
      <w:pPr>
        <w:pStyle w:val="ECHRPara"/>
      </w:pPr>
      <w:fldSimple w:instr=" SEQ level0 \*arabic ">
        <w:r w:rsidR="005E3F4E" w:rsidRPr="005E3F4E">
          <w:t>48</w:t>
        </w:r>
      </w:fldSimple>
      <w:r>
        <w:t>.  În concluzie, neconstatând o intenție frauduloasă din partea societății reclamante, Curtea respinge excepția potrivit căreia a existat o exercitare abuzivă a dreptului de a introduce o cerere.</w:t>
      </w:r>
    </w:p>
    <w:p w:rsidR="004B562D" w:rsidRPr="005E3F4E" w:rsidRDefault="004B562D" w:rsidP="005E3F4E">
      <w:pPr>
        <w:pStyle w:val="ECHRHeading3"/>
      </w:pPr>
      <w:r>
        <w:t xml:space="preserve">2.  Cu privire la pierderea calității de victimă a societății reclamante </w:t>
      </w:r>
    </w:p>
    <w:p w:rsidR="006E3590" w:rsidRPr="005E3F4E" w:rsidRDefault="003A661A" w:rsidP="005E3F4E">
      <w:pPr>
        <w:pStyle w:val="ECHRPara"/>
      </w:pPr>
      <w:fldSimple w:instr=" SEQ level0 \*arabic ">
        <w:r w:rsidR="005E3F4E" w:rsidRPr="005E3F4E">
          <w:t>49</w:t>
        </w:r>
      </w:fldSimple>
      <w:r>
        <w:t xml:space="preserve">.  Curtea reiterează că o decizie sau o măsură favorabilă unui reclamant nu este, în principiu, suficientă pentru a-l priva de statutul său de „victimă”, cu excepția situației în care autoritățile naționale au confirmat fie în mod expres, fie în esență și au oferit reparații pentru încălcarea Convenției [a se vedea, printre altele, </w:t>
      </w:r>
      <w:proofErr w:type="spellStart"/>
      <w:r>
        <w:rPr>
          <w:i/>
          <w:iCs/>
        </w:rPr>
        <w:t>Dalban</w:t>
      </w:r>
      <w:proofErr w:type="spellEnd"/>
      <w:r>
        <w:rPr>
          <w:i/>
          <w:iCs/>
        </w:rPr>
        <w:t xml:space="preserve"> împotriva României</w:t>
      </w:r>
      <w:r>
        <w:t xml:space="preserve"> (MC), nr. 28114/95, pct. 44, CEDO 1999</w:t>
      </w:r>
      <w:r>
        <w:noBreakHyphen/>
        <w:t>VI].</w:t>
      </w:r>
    </w:p>
    <w:p w:rsidR="00C274ED" w:rsidRPr="005E3F4E" w:rsidRDefault="003A661A" w:rsidP="005E3F4E">
      <w:pPr>
        <w:pStyle w:val="ECHRPara"/>
      </w:pPr>
      <w:fldSimple w:instr=" SEQ level0 \*arabic ">
        <w:r w:rsidR="005E3F4E" w:rsidRPr="005E3F4E">
          <w:t>50</w:t>
        </w:r>
      </w:fldSimple>
      <w:r>
        <w:t xml:space="preserve">.  În prezenta cauză, societatea reclamantă s-a plâns că, în decizia din 6 decembrie 2011, Înalta Curte de Casație și Justiție nu a examinat pretențiile sale de a fi despăgubită pentru prejudiciul suferit, respingându-le pur și simplu pentru motivul că societatea reclamantă nu a avut </w:t>
      </w:r>
      <w:proofErr w:type="spellStart"/>
      <w:r>
        <w:rPr>
          <w:i/>
        </w:rPr>
        <w:t>locus</w:t>
      </w:r>
      <w:proofErr w:type="spellEnd"/>
      <w:r>
        <w:rPr>
          <w:i/>
        </w:rPr>
        <w:t xml:space="preserve"> </w:t>
      </w:r>
      <w:proofErr w:type="spellStart"/>
      <w:r>
        <w:rPr>
          <w:i/>
        </w:rPr>
        <w:t>standi</w:t>
      </w:r>
      <w:proofErr w:type="spellEnd"/>
      <w:r>
        <w:rPr>
          <w:i/>
        </w:rPr>
        <w:t xml:space="preserve"> </w:t>
      </w:r>
      <w:r>
        <w:t xml:space="preserve">(a se vedea supra, pct. </w:t>
      </w:r>
      <w:r w:rsidR="00C23766" w:rsidRPr="005E3F4E">
        <w:fldChar w:fldCharType="begin"/>
      </w:r>
      <w:r w:rsidR="00C23766" w:rsidRPr="005E3F4E">
        <w:instrText xml:space="preserve"> REF para_38 \h </w:instrText>
      </w:r>
      <w:r w:rsidR="00C23766" w:rsidRPr="005E3F4E">
        <w:fldChar w:fldCharType="separate"/>
      </w:r>
      <w:r w:rsidR="005E3F4E" w:rsidRPr="005E3F4E">
        <w:t>38</w:t>
      </w:r>
      <w:r w:rsidR="00C23766" w:rsidRPr="005E3F4E">
        <w:fldChar w:fldCharType="end"/>
      </w:r>
      <w:r>
        <w:t>).</w:t>
      </w:r>
    </w:p>
    <w:p w:rsidR="0014290F" w:rsidRPr="005E3F4E" w:rsidRDefault="00E361D1" w:rsidP="005E3F4E">
      <w:pPr>
        <w:pStyle w:val="ECHRPara"/>
      </w:pPr>
      <w:fldSimple w:instr=" SEQ level0 \*arabic ">
        <w:r w:rsidR="005E3F4E" w:rsidRPr="005E3F4E">
          <w:t>51</w:t>
        </w:r>
      </w:fldSimple>
      <w:r>
        <w:t xml:space="preserve">.  Curtea observă că, într-un nou proces civil inițiat de societatea reclamantă, instanțele naționale au examinat pe fond pretențiile sale și le-au admis parțial (a se vedea supra, pct. </w:t>
      </w:r>
      <w:r w:rsidR="00A06456" w:rsidRPr="005E3F4E">
        <w:fldChar w:fldCharType="begin"/>
      </w:r>
      <w:r w:rsidR="00A06456" w:rsidRPr="005E3F4E">
        <w:instrText xml:space="preserve"> REF p26 \h </w:instrText>
      </w:r>
      <w:r w:rsidR="00A06456" w:rsidRPr="005E3F4E">
        <w:fldChar w:fldCharType="separate"/>
      </w:r>
      <w:r w:rsidR="005E3F4E" w:rsidRPr="005E3F4E">
        <w:t>24</w:t>
      </w:r>
      <w:r w:rsidR="00A06456" w:rsidRPr="005E3F4E">
        <w:fldChar w:fldCharType="end"/>
      </w:r>
      <w:r>
        <w:t>).</w:t>
      </w:r>
    </w:p>
    <w:p w:rsidR="0066573E" w:rsidRPr="005E3F4E" w:rsidRDefault="0014290F" w:rsidP="005E3F4E">
      <w:pPr>
        <w:pStyle w:val="ECHRPara"/>
      </w:pPr>
      <w:fldSimple w:instr=" SEQ level0 \*arabic ">
        <w:r w:rsidR="005E3F4E" w:rsidRPr="005E3F4E">
          <w:t>52</w:t>
        </w:r>
      </w:fldSimple>
      <w:r>
        <w:t>.  În opinia Curții, prin aceasta societatea reclamantă era privată de statutul de victimă în ceea ce privește capătul de cerere având ca obiect lipsa accesului la o instanță. Faptul că cererile sale de rambursare au fost admise doar parțial de instanțele naționale nu poate schimba această concluzie.</w:t>
      </w:r>
    </w:p>
    <w:p w:rsidR="00A73020" w:rsidRPr="005E3F4E" w:rsidRDefault="00EB7586" w:rsidP="005E3F4E">
      <w:pPr>
        <w:pStyle w:val="ECHRPara"/>
      </w:pPr>
      <w:fldSimple w:instr=" SEQ level0 \*arabic ">
        <w:r w:rsidR="005E3F4E" w:rsidRPr="005E3F4E">
          <w:t>53</w:t>
        </w:r>
      </w:fldSimple>
      <w:r>
        <w:t xml:space="preserve">.  Prin urmare, societatea reclamantă nu mai poate pretinde că a fost victima încălcării art. 6 § 1 din Convenție. Astfel, cererea sa este </w:t>
      </w:r>
      <w:r>
        <w:lastRenderedPageBreak/>
        <w:t xml:space="preserve">incompatibilă </w:t>
      </w:r>
      <w:proofErr w:type="spellStart"/>
      <w:r>
        <w:rPr>
          <w:i/>
          <w:iCs/>
        </w:rPr>
        <w:t>ratione</w:t>
      </w:r>
      <w:proofErr w:type="spellEnd"/>
      <w:r>
        <w:rPr>
          <w:i/>
          <w:iCs/>
        </w:rPr>
        <w:t xml:space="preserve"> </w:t>
      </w:r>
      <w:proofErr w:type="spellStart"/>
      <w:r>
        <w:rPr>
          <w:i/>
          <w:iCs/>
        </w:rPr>
        <w:t>personae</w:t>
      </w:r>
      <w:proofErr w:type="spellEnd"/>
      <w:r>
        <w:t xml:space="preserve"> cu dispozițiile Convenției, în sensul art. 35 § 3 lit. a) și trebuie să fie respinsă în conformitate cu art. 35 § 4.</w:t>
      </w:r>
    </w:p>
    <w:p w:rsidR="00D420F3" w:rsidRPr="005E3F4E" w:rsidRDefault="00785940" w:rsidP="005E3F4E">
      <w:pPr>
        <w:pStyle w:val="ECHRHeading1"/>
      </w:pPr>
      <w:r>
        <w:t>II.  CU PRIVIRE LA PRETINSA ÎNCĂLCARE A ART. 1 DIN PROTOCOLUL NR. 1 LA CONVENȚIE</w:t>
      </w:r>
    </w:p>
    <w:p w:rsidR="00917544" w:rsidRPr="005E3F4E" w:rsidRDefault="00AE2B6C" w:rsidP="005E3F4E">
      <w:pPr>
        <w:pStyle w:val="ECHRPara"/>
      </w:pPr>
      <w:fldSimple w:instr=" SEQ level0 \*arabic ">
        <w:r w:rsidR="005E3F4E" w:rsidRPr="005E3F4E">
          <w:t>54</w:t>
        </w:r>
      </w:fldSimple>
      <w:r>
        <w:t>.  Societatea reclamantă a susținut că lipsirea de proprietatea sa, urmată de neacordarea de către stat a unei despăgubiri, a constituit o încălcare a dreptului său la respectarea bunurilor în temeiul art. 1 din Protocolul nr. 1, care prevede că:</w:t>
      </w:r>
    </w:p>
    <w:p w:rsidR="00917544" w:rsidRPr="005E3F4E" w:rsidRDefault="00917544" w:rsidP="005E3F4E">
      <w:pPr>
        <w:pStyle w:val="ECHRParaQuote"/>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rsidR="00917544" w:rsidRPr="005E3F4E" w:rsidRDefault="00917544" w:rsidP="005E3F4E">
      <w:pPr>
        <w:pStyle w:val="ECHRParaQuote"/>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rsidR="0071400F" w:rsidRPr="005E3F4E" w:rsidRDefault="0071400F" w:rsidP="005E3F4E">
      <w:pPr>
        <w:pStyle w:val="ECHRHeading2"/>
      </w:pPr>
      <w:r>
        <w:t>A.  Cu privire la admisibilitate</w:t>
      </w:r>
    </w:p>
    <w:p w:rsidR="000E0EF9" w:rsidRPr="005E3F4E" w:rsidRDefault="000E0EF9" w:rsidP="005E3F4E">
      <w:pPr>
        <w:pStyle w:val="ECHRPara"/>
      </w:pPr>
      <w:fldSimple w:instr=" SEQ level0 \*arabic ">
        <w:r w:rsidR="005E3F4E" w:rsidRPr="005E3F4E">
          <w:t>55</w:t>
        </w:r>
      </w:fldSimple>
      <w:r>
        <w:t>.  Curtea constată că acest capăt de cerere nu este în mod vădit nefondat în sensul art. 35 § 3 lit. a) din Convenție. Observă, în plus, că nu prezintă niciun alt motiv de inadmisibilitate. Prin urmare, trebuie să fie declarat admisibil.</w:t>
      </w:r>
    </w:p>
    <w:p w:rsidR="000E0EF9" w:rsidRPr="005E3F4E" w:rsidRDefault="000E0EF9" w:rsidP="005E3F4E">
      <w:pPr>
        <w:pStyle w:val="ECHRHeading2"/>
      </w:pPr>
      <w:r>
        <w:t>B. Cu privire la fond</w:t>
      </w:r>
    </w:p>
    <w:p w:rsidR="0071400F" w:rsidRPr="005E3F4E" w:rsidRDefault="0071400F" w:rsidP="005E3F4E">
      <w:pPr>
        <w:pStyle w:val="ECHRHeading3"/>
      </w:pPr>
      <w:r>
        <w:t>1.  Argumentele părților</w:t>
      </w:r>
    </w:p>
    <w:p w:rsidR="00D04E90" w:rsidRPr="005E3F4E" w:rsidRDefault="008B65E8" w:rsidP="005E3F4E">
      <w:pPr>
        <w:pStyle w:val="ECHRHeading4"/>
      </w:pPr>
      <w:r>
        <w:t xml:space="preserve">a) </w:t>
      </w:r>
      <w:r w:rsidR="00D04E90">
        <w:t>Argumentele societății reclamante</w:t>
      </w:r>
    </w:p>
    <w:p w:rsidR="00DE7E71" w:rsidRPr="005E3F4E" w:rsidRDefault="00DE7E71" w:rsidP="005E3F4E">
      <w:pPr>
        <w:pStyle w:val="ECHRPara"/>
      </w:pPr>
      <w:fldSimple w:instr=" SEQ level0 \*arabic ">
        <w:r w:rsidR="005E3F4E" w:rsidRPr="005E3F4E">
          <w:t>56</w:t>
        </w:r>
      </w:fldSimple>
      <w:r>
        <w:t>.  Societatea reclamantă a susținut că lipsirea de proprietatea sa în absența oricăror acțiuni din partea statului având ca scop acordarea unei despăgubiri juste și efective reprezenta o expropriere.</w:t>
      </w:r>
    </w:p>
    <w:p w:rsidR="000465ED" w:rsidRPr="005E3F4E" w:rsidRDefault="003A661A" w:rsidP="005E3F4E">
      <w:pPr>
        <w:pStyle w:val="ECHRPara"/>
      </w:pPr>
      <w:fldSimple w:instr=" SEQ level0 \*arabic ">
        <w:r w:rsidR="005E3F4E" w:rsidRPr="005E3F4E">
          <w:t>57</w:t>
        </w:r>
      </w:fldSimple>
      <w:r>
        <w:t xml:space="preserve">.  În opinia societății reclamante, a fost încălcat art. 1 din Protocolul nr. 1 dat fiind că, în primul set de procese civile, Înalta Curte de Casație și Justiție i-a respins acțiunile în despăgubire (a se vedea supra, pct. </w:t>
      </w:r>
      <w:r w:rsidR="00F6268A" w:rsidRPr="005E3F4E">
        <w:fldChar w:fldCharType="begin"/>
      </w:r>
      <w:r w:rsidR="00F6268A" w:rsidRPr="005E3F4E">
        <w:instrText xml:space="preserve"> REF p24 \h </w:instrText>
      </w:r>
      <w:r w:rsidR="00F6268A" w:rsidRPr="005E3F4E">
        <w:fldChar w:fldCharType="separate"/>
      </w:r>
      <w:r w:rsidR="005E3F4E" w:rsidRPr="005E3F4E">
        <w:t>22</w:t>
      </w:r>
      <w:r w:rsidR="00F6268A" w:rsidRPr="005E3F4E">
        <w:fldChar w:fldCharType="end"/>
      </w:r>
      <w:r>
        <w:t>). Societatea reclamantă a subliniat că motivarea deciziei Înaltei Curți de Casație și Justiție fusese inadecvată și era de un formalism excesiv în interpretarea legii.</w:t>
      </w:r>
    </w:p>
    <w:p w:rsidR="00162468" w:rsidRPr="005E3F4E" w:rsidRDefault="00162468" w:rsidP="005E3F4E">
      <w:pPr>
        <w:pStyle w:val="ECHRPara"/>
      </w:pPr>
      <w:fldSimple w:instr=" SEQ level0 \*arabic ">
        <w:r w:rsidR="005E3F4E" w:rsidRPr="005E3F4E">
          <w:t>58</w:t>
        </w:r>
      </w:fldSimple>
      <w:r>
        <w:t>.  Societatea reclamantă a susținut, de asemenea, că al doilea set de procese civile la care a recurs pentru a obține despăgubiri s-a dovedit ineficient.</w:t>
      </w:r>
    </w:p>
    <w:bookmarkStart w:id="19" w:name="para_59"/>
    <w:p w:rsidR="00162468" w:rsidRPr="005E3F4E" w:rsidRDefault="00162468" w:rsidP="005E3F4E">
      <w:pPr>
        <w:pStyle w:val="ECHRPara"/>
      </w:pPr>
      <w:r w:rsidRPr="005E3F4E">
        <w:fldChar w:fldCharType="begin"/>
      </w:r>
      <w:r w:rsidRPr="005E3F4E">
        <w:instrText xml:space="preserve"> SEQ level0 \*arabic </w:instrText>
      </w:r>
      <w:r w:rsidRPr="005E3F4E">
        <w:fldChar w:fldCharType="separate"/>
      </w:r>
      <w:r w:rsidR="005E3F4E" w:rsidRPr="005E3F4E">
        <w:t>59</w:t>
      </w:r>
      <w:r w:rsidRPr="005E3F4E">
        <w:fldChar w:fldCharType="end"/>
      </w:r>
      <w:bookmarkEnd w:id="19"/>
      <w:r>
        <w:t xml:space="preserve">.  Cu privire la respingerea de către instanțele naționale a cererii de despăgubire a societății reclamante în legătură cu plata pe care o efectuase către succesorii legali ai fostului proprietar al clădirii hotelului, societatea reclamantă a susținut că a luat măsura demolării din cauza stării avansate de </w:t>
      </w:r>
      <w:r>
        <w:lastRenderedPageBreak/>
        <w:t xml:space="preserve">deteriorare a clădirii, după cum a fost recunoscută de Inspectoratul de Stat în Construcții (a se vedea supra, pct. </w:t>
      </w:r>
      <w:r w:rsidR="00F6268A" w:rsidRPr="005E3F4E">
        <w:fldChar w:fldCharType="begin"/>
      </w:r>
      <w:r w:rsidR="00F6268A" w:rsidRPr="005E3F4E">
        <w:instrText xml:space="preserve"> REF p8 \h </w:instrText>
      </w:r>
      <w:r w:rsidR="00F6268A" w:rsidRPr="005E3F4E">
        <w:fldChar w:fldCharType="separate"/>
      </w:r>
      <w:r w:rsidR="005E3F4E" w:rsidRPr="005E3F4E">
        <w:t>6</w:t>
      </w:r>
      <w:r w:rsidR="00F6268A" w:rsidRPr="005E3F4E">
        <w:fldChar w:fldCharType="end"/>
      </w:r>
      <w:r>
        <w:t xml:space="preserve"> și </w:t>
      </w:r>
      <w:r w:rsidR="00F6268A" w:rsidRPr="005E3F4E">
        <w:fldChar w:fldCharType="begin"/>
      </w:r>
      <w:r w:rsidR="00F6268A" w:rsidRPr="005E3F4E">
        <w:instrText xml:space="preserve"> REF p9 \h </w:instrText>
      </w:r>
      <w:r w:rsidR="00F6268A" w:rsidRPr="005E3F4E">
        <w:fldChar w:fldCharType="separate"/>
      </w:r>
      <w:r w:rsidR="005E3F4E" w:rsidRPr="005E3F4E">
        <w:t>7</w:t>
      </w:r>
      <w:r w:rsidR="00F6268A" w:rsidRPr="005E3F4E">
        <w:fldChar w:fldCharType="end"/>
      </w:r>
      <w:r>
        <w:t>). Prin demolarea clădirii, acesta nu acționase decât în conformitate cu drepturile sale de proprietar.</w:t>
      </w:r>
    </w:p>
    <w:p w:rsidR="00D85888" w:rsidRPr="005E3F4E" w:rsidRDefault="00162468" w:rsidP="005E3F4E">
      <w:pPr>
        <w:pStyle w:val="ECHRPara"/>
      </w:pPr>
      <w:fldSimple w:instr=" SEQ level0 \*arabic ">
        <w:r w:rsidR="005E3F4E" w:rsidRPr="005E3F4E">
          <w:t>60</w:t>
        </w:r>
      </w:fldSimple>
      <w:r>
        <w:t xml:space="preserve">.  Mai mult, societatea reclamantă a susținut că decizia de stabilire a valorii despăgubirii pentru terenul restituit fusese doar parțial executată la acea dată (a se vedea supra, pct. </w:t>
      </w:r>
      <w:r w:rsidR="00F6268A" w:rsidRPr="005E3F4E">
        <w:fldChar w:fldCharType="begin"/>
      </w:r>
      <w:r w:rsidR="00F6268A" w:rsidRPr="005E3F4E">
        <w:instrText xml:space="preserve"> REF p34 \h </w:instrText>
      </w:r>
      <w:r w:rsidR="00F6268A" w:rsidRPr="005E3F4E">
        <w:fldChar w:fldCharType="separate"/>
      </w:r>
      <w:r w:rsidR="005E3F4E" w:rsidRPr="005E3F4E">
        <w:t>32</w:t>
      </w:r>
      <w:r w:rsidR="00F6268A" w:rsidRPr="005E3F4E">
        <w:fldChar w:fldCharType="end"/>
      </w:r>
      <w:r>
        <w:t xml:space="preserve"> și </w:t>
      </w:r>
      <w:r w:rsidR="00F6268A" w:rsidRPr="005E3F4E">
        <w:fldChar w:fldCharType="begin"/>
      </w:r>
      <w:r w:rsidR="00F6268A" w:rsidRPr="005E3F4E">
        <w:instrText xml:space="preserve"> REF p35 \h </w:instrText>
      </w:r>
      <w:r w:rsidR="00F6268A" w:rsidRPr="005E3F4E">
        <w:fldChar w:fldCharType="separate"/>
      </w:r>
      <w:r w:rsidR="005E3F4E" w:rsidRPr="005E3F4E">
        <w:t>33</w:t>
      </w:r>
      <w:r w:rsidR="00F6268A" w:rsidRPr="005E3F4E">
        <w:fldChar w:fldCharType="end"/>
      </w:r>
      <w:r>
        <w:t>).</w:t>
      </w:r>
    </w:p>
    <w:p w:rsidR="00772A29" w:rsidRPr="005E3F4E" w:rsidRDefault="00D04E90" w:rsidP="005E3F4E">
      <w:pPr>
        <w:pStyle w:val="ECHRHeading4"/>
      </w:pPr>
      <w:r>
        <w:t xml:space="preserve">b) </w:t>
      </w:r>
      <w:bookmarkStart w:id="20" w:name="_GoBack"/>
      <w:bookmarkEnd w:id="20"/>
      <w:r>
        <w:t>Guvernul</w:t>
      </w:r>
    </w:p>
    <w:p w:rsidR="00EB7586" w:rsidRPr="005E3F4E" w:rsidRDefault="009545FE" w:rsidP="005E3F4E">
      <w:pPr>
        <w:pStyle w:val="ECHRPara"/>
      </w:pPr>
      <w:fldSimple w:instr=" SEQ level0 \*arabic ">
        <w:r w:rsidR="005E3F4E" w:rsidRPr="005E3F4E">
          <w:t>61</w:t>
        </w:r>
      </w:fldSimple>
      <w:r>
        <w:t>.  Guvernul a susținut că instanțele interne au admis pretențiile de despăgubire ale societății reclamante în legătură cu terenul pe care l-a restituit către succesorii legali ai fostului proprietar, dar au respins pe drept capătul de cerere de despăgubire pentru clădirea hotelului pe care îl demolase în 1996.</w:t>
      </w:r>
    </w:p>
    <w:p w:rsidR="00965087" w:rsidRPr="005E3F4E" w:rsidRDefault="00A106B2" w:rsidP="005E3F4E">
      <w:pPr>
        <w:pStyle w:val="ECHRPara"/>
      </w:pPr>
      <w:fldSimple w:instr=" SEQ level0 \*arabic ">
        <w:r w:rsidR="005E3F4E" w:rsidRPr="005E3F4E">
          <w:t>62</w:t>
        </w:r>
      </w:fldSimple>
      <w:r>
        <w:t xml:space="preserve">.  Guvernul a afirmat că singurul responsabil în parte de respingerea ultimei cereri era societatea reclamantă, care a demolat clădirea hotelului pe baza unei autorizații ulterior anulate (a se vedea supra, pct. </w:t>
      </w:r>
      <w:r w:rsidR="00144BB7" w:rsidRPr="005E3F4E">
        <w:fldChar w:fldCharType="begin"/>
      </w:r>
      <w:r w:rsidR="00144BB7" w:rsidRPr="005E3F4E">
        <w:instrText xml:space="preserve"> REF para_8 \h </w:instrText>
      </w:r>
      <w:r w:rsidR="00144BB7" w:rsidRPr="005E3F4E">
        <w:fldChar w:fldCharType="separate"/>
      </w:r>
      <w:r w:rsidR="005E3F4E" w:rsidRPr="005E3F4E">
        <w:t>8</w:t>
      </w:r>
      <w:r w:rsidR="00144BB7" w:rsidRPr="005E3F4E">
        <w:fldChar w:fldCharType="end"/>
      </w:r>
      <w:r>
        <w:t>).</w:t>
      </w:r>
    </w:p>
    <w:p w:rsidR="009545FE" w:rsidRPr="005E3F4E" w:rsidRDefault="00A20817" w:rsidP="005E3F4E">
      <w:pPr>
        <w:pStyle w:val="ECHRPara"/>
      </w:pPr>
      <w:fldSimple w:instr=" SEQ level0 \*arabic ">
        <w:r w:rsidR="005E3F4E" w:rsidRPr="005E3F4E">
          <w:t>63</w:t>
        </w:r>
      </w:fldSimple>
      <w:r>
        <w:t>.  În plus, prin demolarea clădirii, societatea reclamantă s-a plasat ea însăși în afara cadrului juridic prevăzut la art. 32</w:t>
      </w:r>
      <w:r>
        <w:rPr>
          <w:vertAlign w:val="superscript"/>
        </w:rPr>
        <w:t xml:space="preserve">4 </w:t>
      </w:r>
      <w:r>
        <w:t xml:space="preserve">Ordonanța de urgență a Guvernului nr. 88/1997, prin care avea dreptul să fie despăgubită doar pentru restituirea clădirii propriu-zise (a se vedea supra, pct. </w:t>
      </w:r>
      <w:r w:rsidR="00F6268A" w:rsidRPr="005E3F4E">
        <w:fldChar w:fldCharType="begin"/>
      </w:r>
      <w:r w:rsidR="00F6268A" w:rsidRPr="005E3F4E">
        <w:instrText xml:space="preserve"> REF p29 \h </w:instrText>
      </w:r>
      <w:r w:rsidR="00F6268A" w:rsidRPr="005E3F4E">
        <w:fldChar w:fldCharType="separate"/>
      </w:r>
      <w:r w:rsidR="005E3F4E" w:rsidRPr="005E3F4E">
        <w:t>27</w:t>
      </w:r>
      <w:r w:rsidR="00F6268A" w:rsidRPr="005E3F4E">
        <w:fldChar w:fldCharType="end"/>
      </w:r>
      <w:r>
        <w:t>).</w:t>
      </w:r>
    </w:p>
    <w:p w:rsidR="00243785" w:rsidRPr="005E3F4E" w:rsidRDefault="00B9704E" w:rsidP="005E3F4E">
      <w:pPr>
        <w:pStyle w:val="ECHRPara"/>
      </w:pPr>
      <w:fldSimple w:instr=" SEQ level0 \*arabic ">
        <w:r w:rsidR="005E3F4E" w:rsidRPr="005E3F4E">
          <w:t>64</w:t>
        </w:r>
      </w:fldSimple>
      <w:r>
        <w:t>.  Conform Guvernului, art. 32</w:t>
      </w:r>
      <w:r>
        <w:rPr>
          <w:vertAlign w:val="superscript"/>
        </w:rPr>
        <w:t xml:space="preserve">4 </w:t>
      </w:r>
      <w:r>
        <w:t xml:space="preserve">din Ordonanța de urgență a Guvernului nr. 88/1997 (a se vedea supra, pct. </w:t>
      </w:r>
      <w:r w:rsidR="00144BB7" w:rsidRPr="005E3F4E">
        <w:fldChar w:fldCharType="begin"/>
      </w:r>
      <w:r w:rsidR="00144BB7" w:rsidRPr="005E3F4E">
        <w:instrText xml:space="preserve"> REF Oridnance \h </w:instrText>
      </w:r>
      <w:r w:rsidR="00144BB7" w:rsidRPr="005E3F4E">
        <w:fldChar w:fldCharType="separate"/>
      </w:r>
      <w:r w:rsidR="005E3F4E" w:rsidRPr="005E3F4E">
        <w:t>34</w:t>
      </w:r>
      <w:r w:rsidR="00144BB7" w:rsidRPr="005E3F4E">
        <w:fldChar w:fldCharType="end"/>
      </w:r>
      <w:r>
        <w:t>) îndeplinea cerințele de accesibilitate, acuratețe și previzibilitate în temeiul Convenției. Hotărârile pronunțate de instanțele naționale au avut, prin urmare, un temei juridic astfel cum prevede art. 1 din Protocolul nr. 1 la Convenție.</w:t>
      </w:r>
    </w:p>
    <w:p w:rsidR="00F622F8" w:rsidRPr="005E3F4E" w:rsidRDefault="00F622F8" w:rsidP="005E3F4E">
      <w:pPr>
        <w:pStyle w:val="ECHRPara"/>
      </w:pPr>
      <w:fldSimple w:instr=" SEQ level0 \*arabic ">
        <w:r w:rsidR="005E3F4E" w:rsidRPr="005E3F4E">
          <w:t>65</w:t>
        </w:r>
      </w:fldSimple>
      <w:r>
        <w:t>.  În ceea ce privește proporționalitatea hotărârilor instanțelor naționale, Guvernul a subliniat că statul s-a bucurat de o marjă largă de apreciere atunci când a reglementat chestiuni precum despăgubirea pentru abuzurile comise de autoritățile statului în timpul regimului comunist.</w:t>
      </w:r>
      <w:r>
        <w:br/>
      </w:r>
    </w:p>
    <w:p w:rsidR="008674EF" w:rsidRPr="005E3F4E" w:rsidRDefault="008674EF" w:rsidP="005E3F4E">
      <w:pPr>
        <w:pStyle w:val="ECHRHeading3"/>
      </w:pPr>
      <w:r>
        <w:t>2.  Motivarea Curții</w:t>
      </w:r>
    </w:p>
    <w:p w:rsidR="00283DBA" w:rsidRPr="005E3F4E" w:rsidRDefault="00283DBA" w:rsidP="005E3F4E">
      <w:pPr>
        <w:pStyle w:val="ECHRHeading4"/>
      </w:pPr>
      <w:r>
        <w:t>a)  Principii generale</w:t>
      </w:r>
    </w:p>
    <w:p w:rsidR="0062111B" w:rsidRPr="005E3F4E" w:rsidRDefault="003A661A" w:rsidP="005E3F4E">
      <w:pPr>
        <w:pStyle w:val="ECHRPara"/>
        <w:rPr>
          <w:b/>
          <w:bCs/>
          <w:iCs/>
        </w:rPr>
      </w:pPr>
      <w:fldSimple w:instr=" SEQ level0 \*arabic ">
        <w:r w:rsidR="005E3F4E" w:rsidRPr="005E3F4E">
          <w:t>66</w:t>
        </w:r>
      </w:fldSimple>
      <w:r>
        <w:t xml:space="preserve">. Curtea face trimitere la jurisprudența sa consacrată privind structura art. 1 din Protocolul nr. 1 și modul în care cele trei norme cuprinse în respectiva dispoziție trebuie aplicate [a se vedea, printre multe alte hotărâri, </w:t>
      </w:r>
      <w:r>
        <w:rPr>
          <w:i/>
        </w:rPr>
        <w:t xml:space="preserve">J.A. </w:t>
      </w:r>
      <w:proofErr w:type="spellStart"/>
      <w:r>
        <w:rPr>
          <w:i/>
        </w:rPr>
        <w:t>Pye</w:t>
      </w:r>
      <w:proofErr w:type="spellEnd"/>
      <w:r>
        <w:rPr>
          <w:i/>
        </w:rPr>
        <w:t xml:space="preserve"> (Oxford) Ltd și J.A. </w:t>
      </w:r>
      <w:proofErr w:type="spellStart"/>
      <w:r>
        <w:rPr>
          <w:i/>
        </w:rPr>
        <w:t>Pye</w:t>
      </w:r>
      <w:proofErr w:type="spellEnd"/>
      <w:r>
        <w:rPr>
          <w:i/>
        </w:rPr>
        <w:t xml:space="preserve"> (Oxford) Land Ltd împotriva Regatului Unit</w:t>
      </w:r>
      <w:r>
        <w:t xml:space="preserve"> (MC), nr. 44302/02, pct. 52, CEDO 2007-III, și </w:t>
      </w:r>
      <w:proofErr w:type="spellStart"/>
      <w:r>
        <w:rPr>
          <w:i/>
        </w:rPr>
        <w:t>Broniowski</w:t>
      </w:r>
      <w:proofErr w:type="spellEnd"/>
      <w:r>
        <w:rPr>
          <w:i/>
        </w:rPr>
        <w:t xml:space="preserve"> împotriva Poloniei</w:t>
      </w:r>
      <w:r>
        <w:t xml:space="preserve"> (MC), nr. 31443/96, pct. 134, CEDO 2004-V].</w:t>
      </w:r>
    </w:p>
    <w:p w:rsidR="00EB7586" w:rsidRPr="005E3F4E" w:rsidRDefault="003A661A" w:rsidP="005E3F4E">
      <w:pPr>
        <w:pStyle w:val="ECHRPara"/>
      </w:pPr>
      <w:fldSimple w:instr=" SEQ level0 \*arabic ">
        <w:r w:rsidR="005E3F4E" w:rsidRPr="005E3F4E">
          <w:t>67</w:t>
        </w:r>
      </w:fldSimple>
      <w:r>
        <w:t xml:space="preserve">.  Curtea reamintește că ingerința din partea unei autorități publice în exercitarea dreptului la respectarea bunurilor trebuie să fie legală, trebuie să fie în interes public și trebuie să urmărească un scop legitim prin mijloace proporționale cu obiectivul urmărit (a se vedea </w:t>
      </w:r>
      <w:proofErr w:type="spellStart"/>
      <w:r>
        <w:rPr>
          <w:i/>
        </w:rPr>
        <w:t>Moskal</w:t>
      </w:r>
      <w:proofErr w:type="spellEnd"/>
      <w:r>
        <w:rPr>
          <w:i/>
        </w:rPr>
        <w:t xml:space="preserve"> împotriva Poloniei</w:t>
      </w:r>
      <w:r>
        <w:t>, nr. 10373/05, pct. 49-50, 15 septembrie 2009).</w:t>
      </w:r>
    </w:p>
    <w:p w:rsidR="00283DBA" w:rsidRPr="005E3F4E" w:rsidRDefault="00283DBA" w:rsidP="005E3F4E">
      <w:pPr>
        <w:pStyle w:val="ECHRHeading4"/>
      </w:pPr>
      <w:r>
        <w:lastRenderedPageBreak/>
        <w:t>b) Aplicarea principiilor sus-menționate în prezenta cauză</w:t>
      </w:r>
    </w:p>
    <w:p w:rsidR="00283DBA" w:rsidRPr="005E3F4E" w:rsidRDefault="00283DBA" w:rsidP="005E3F4E">
      <w:pPr>
        <w:pStyle w:val="ECHRHeading5"/>
      </w:pPr>
      <w:r>
        <w:t>i. Cu privire la existența unei ingerințe în legătură cu bunurile reclamantei</w:t>
      </w:r>
    </w:p>
    <w:p w:rsidR="004D4B49" w:rsidRPr="005E3F4E" w:rsidRDefault="002261DA" w:rsidP="005E3F4E">
      <w:pPr>
        <w:pStyle w:val="ECHRPara"/>
      </w:pPr>
      <w:fldSimple w:instr=" SEQ level0 \*arabic ">
        <w:r w:rsidR="005E3F4E" w:rsidRPr="005E3F4E">
          <w:t>68</w:t>
        </w:r>
      </w:fldSimple>
      <w:r>
        <w:t xml:space="preserve">.  Curtea reține că societatea reclamantă era proprietara legală a hotelului și a terenului aferent, care au fost transferate în proprietate privată în timpul procesului de privatizare care a avut loc după căderea regimului comunist (a se vedea supra, pct. </w:t>
      </w:r>
      <w:r w:rsidR="004C4738" w:rsidRPr="005E3F4E">
        <w:fldChar w:fldCharType="begin"/>
      </w:r>
      <w:r w:rsidR="004C4738" w:rsidRPr="005E3F4E">
        <w:instrText xml:space="preserve"> REF p6 \h </w:instrText>
      </w:r>
      <w:r w:rsidR="004C4738" w:rsidRPr="005E3F4E">
        <w:fldChar w:fldCharType="separate"/>
      </w:r>
      <w:r w:rsidR="005E3F4E" w:rsidRPr="005E3F4E">
        <w:t>4</w:t>
      </w:r>
      <w:r w:rsidR="004C4738" w:rsidRPr="005E3F4E">
        <w:fldChar w:fldCharType="end"/>
      </w:r>
      <w:r>
        <w:t xml:space="preserve"> și </w:t>
      </w:r>
      <w:r w:rsidR="004C4738" w:rsidRPr="005E3F4E">
        <w:fldChar w:fldCharType="begin"/>
      </w:r>
      <w:r w:rsidR="004C4738" w:rsidRPr="005E3F4E">
        <w:instrText xml:space="preserve"> REF p7 \h </w:instrText>
      </w:r>
      <w:r w:rsidR="004C4738" w:rsidRPr="005E3F4E">
        <w:fldChar w:fldCharType="separate"/>
      </w:r>
      <w:r w:rsidR="005E3F4E" w:rsidRPr="005E3F4E">
        <w:t>5</w:t>
      </w:r>
      <w:r w:rsidR="004C4738" w:rsidRPr="005E3F4E">
        <w:fldChar w:fldCharType="end"/>
      </w:r>
      <w:r>
        <w:t>). Guvernul nu a contestat că obligația de a restitui proprietatea reprezintă o ingerință în exercitarea dreptului societății reclamante la respectarea bunurilor sale în sensul art. 1 primul paragraf a doua teză din Protocolul nr. 1 la Convenție. Curtea nu vede niciun motiv să constate contrariul.</w:t>
      </w:r>
    </w:p>
    <w:p w:rsidR="008A4B44" w:rsidRPr="005E3F4E" w:rsidRDefault="008A4B44" w:rsidP="005E3F4E">
      <w:pPr>
        <w:pStyle w:val="ECHRHeading5"/>
      </w:pPr>
      <w:r>
        <w:t>ii.  Cu privire la legalitatea ingerinței</w:t>
      </w:r>
    </w:p>
    <w:p w:rsidR="008A4B44" w:rsidRPr="005E3F4E" w:rsidRDefault="003A661A" w:rsidP="005E3F4E">
      <w:pPr>
        <w:pStyle w:val="ECHRPara"/>
      </w:pPr>
      <w:fldSimple w:instr=" SEQ level0 \*arabic ">
        <w:r w:rsidR="005E3F4E" w:rsidRPr="005E3F4E">
          <w:t>69</w:t>
        </w:r>
      </w:fldSimple>
      <w:r>
        <w:t xml:space="preserve">.  Curtea reamintește că prima și cea mai importanță cerință a art. 1 din Protocolul nr. 1 este ca ingerința din partea unei autorități publice în exercitarea dreptului la respectarea bunurilor să fie legală: a doua teză a primului paragraf autorizează lipsirea de proprietate doar „în condițiile prevăzute de lege”. Principiul legalității presupune, de asemenea, existența unor norme de drept intern suficient de accesibile, precise și previzibile în ceea ce privește aplicarea lor (a se vedea </w:t>
      </w:r>
      <w:proofErr w:type="spellStart"/>
      <w:r>
        <w:rPr>
          <w:i/>
        </w:rPr>
        <w:t>Broniowski</w:t>
      </w:r>
      <w:proofErr w:type="spellEnd"/>
      <w:r>
        <w:rPr>
          <w:i/>
        </w:rPr>
        <w:t xml:space="preserve">, </w:t>
      </w:r>
      <w:r>
        <w:t>citată anterior, pct. 147).</w:t>
      </w:r>
    </w:p>
    <w:p w:rsidR="00854220" w:rsidRPr="005E3F4E" w:rsidRDefault="003A661A" w:rsidP="005E3F4E">
      <w:pPr>
        <w:pStyle w:val="ECHRPara"/>
      </w:pPr>
      <w:fldSimple w:instr=" SEQ level0 \*arabic ">
        <w:r w:rsidR="005E3F4E" w:rsidRPr="005E3F4E">
          <w:t>70</w:t>
        </w:r>
      </w:fldSimple>
      <w:r>
        <w:t xml:space="preserve">.  În ceea ce privește prezenta cauză, Curtea observă că România a adoptat o legislație privind restituirea proprietăților confiscate de la proprietari în perioada regimului comunist (a se vedea </w:t>
      </w:r>
      <w:r>
        <w:rPr>
          <w:i/>
        </w:rPr>
        <w:t>Maria Atanasiu și alții împotriva României</w:t>
      </w:r>
      <w:r>
        <w:t>, nr. 30767/05 și 33800/06, pct. 44, 12 octombrie 2010). Curtea observă că părțile nu contestă că legislația a permis ca succesorii legali ai fostului proprietar al terenului și al hotelului să-și redobândească drepturile de proprietate. Lipsirea de proprietate era, prin urmare, prevăzută de lege.</w:t>
      </w:r>
    </w:p>
    <w:p w:rsidR="008A4B44" w:rsidRPr="005E3F4E" w:rsidRDefault="008A4B44" w:rsidP="005E3F4E">
      <w:pPr>
        <w:pStyle w:val="ECHRHeading5"/>
      </w:pPr>
      <w:r>
        <w:t>iii.  Scop legitim</w:t>
      </w:r>
    </w:p>
    <w:p w:rsidR="008A4B44" w:rsidRPr="005E3F4E" w:rsidRDefault="003A661A" w:rsidP="005E3F4E">
      <w:pPr>
        <w:pStyle w:val="ECHRPara"/>
      </w:pPr>
      <w:fldSimple w:instr=" SEQ level0 \*arabic ">
        <w:r w:rsidR="005E3F4E" w:rsidRPr="005E3F4E">
          <w:t>71</w:t>
        </w:r>
      </w:fldSimple>
      <w:r>
        <w:t>.  Curtea trebuie să stabilească dacă lipsirea de proprietate a avut un scop legitim – și anume dacă a fost „în interes public”. În acest scop, reține că instanțele naționale au infirmat respectivul titlu de proprietate al societății reclamante pentru a soluționa cererile de restituire ale persoanelor de la care aceste bunuri au fost expropriate de stat în timpul regimului comunist.</w:t>
      </w:r>
    </w:p>
    <w:p w:rsidR="002C61BF" w:rsidRPr="005E3F4E" w:rsidRDefault="003A661A" w:rsidP="005E3F4E">
      <w:pPr>
        <w:pStyle w:val="ECHRPara"/>
      </w:pPr>
      <w:fldSimple w:instr=" SEQ level0 \*arabic ">
        <w:r w:rsidR="005E3F4E" w:rsidRPr="005E3F4E">
          <w:t>72</w:t>
        </w:r>
      </w:fldSimple>
      <w:r>
        <w:t xml:space="preserve">.  Curtea acceptă că obiectivul general al legilor privind restituirea – și anume, atenuarea efectelor anumitor încălcări ale drepturilor de proprietate săvârșite de regimul comunist – este un scop legitim și o cale de a garanta respectarea drepturilor foștilor proprietari. În asemenea circumstanțe, Curtea acceptă că lipsirea de proprietate suferită de reclamantă a servit nu numai interesele proprietarilor inițiali ai terenului în cauză, ci, de asemenea, interesele generale ale societății în întregime (a se vedea, </w:t>
      </w:r>
      <w:r>
        <w:rPr>
          <w:i/>
        </w:rPr>
        <w:t>mutatis mutandis</w:t>
      </w:r>
      <w:r>
        <w:t xml:space="preserve">, </w:t>
      </w:r>
      <w:proofErr w:type="spellStart"/>
      <w:r>
        <w:rPr>
          <w:i/>
        </w:rPr>
        <w:t>Bečvář</w:t>
      </w:r>
      <w:proofErr w:type="spellEnd"/>
      <w:r>
        <w:rPr>
          <w:i/>
        </w:rPr>
        <w:t xml:space="preserve"> și </w:t>
      </w:r>
      <w:proofErr w:type="spellStart"/>
      <w:r>
        <w:rPr>
          <w:i/>
        </w:rPr>
        <w:t>Bečvářová</w:t>
      </w:r>
      <w:proofErr w:type="spellEnd"/>
      <w:r>
        <w:rPr>
          <w:i/>
        </w:rPr>
        <w:t xml:space="preserve"> împotriva Republicii Cehe</w:t>
      </w:r>
      <w:r>
        <w:t>, nr. 58358/00, pct. 67, 14 decembrie 2004).</w:t>
      </w:r>
    </w:p>
    <w:p w:rsidR="002C61BF" w:rsidRPr="005E3F4E" w:rsidRDefault="002C61BF" w:rsidP="005E3F4E">
      <w:pPr>
        <w:pStyle w:val="ECHRHeading5"/>
      </w:pPr>
      <w:r>
        <w:lastRenderedPageBreak/>
        <w:t>iv.  Proporționalitatea</w:t>
      </w:r>
    </w:p>
    <w:p w:rsidR="00EB7586" w:rsidRPr="005E3F4E" w:rsidRDefault="003A661A" w:rsidP="005E3F4E">
      <w:pPr>
        <w:pStyle w:val="ECHRPara"/>
      </w:pPr>
      <w:fldSimple w:instr=" SEQ level0 \*arabic ">
        <w:r w:rsidR="005E3F4E" w:rsidRPr="005E3F4E">
          <w:t>73</w:t>
        </w:r>
      </w:fldSimple>
      <w:r>
        <w:t xml:space="preserve">.  Curtea reamintește că ingerința în exercitarea dreptului de proprietate trebuie, pe lângă a fi legală și a avea un scop legitim, și să îndeplinească cerința proporționalității. Trebuie asigurat un just echilibru între cerințele interesului general al comunității și cerințele protejării drepturilor fundamentale ale persoanei, căutarea acestui just echilibru fiind inerentă întregii structuri a Convenției. Echilibrul necesar nu va fi asigurat atunci când persoana respectivă suportă o sarcină individuală și excesivă [a se vedea </w:t>
      </w:r>
      <w:proofErr w:type="spellStart"/>
      <w:r>
        <w:rPr>
          <w:i/>
        </w:rPr>
        <w:t>Sporrong</w:t>
      </w:r>
      <w:proofErr w:type="spellEnd"/>
      <w:r>
        <w:rPr>
          <w:i/>
        </w:rPr>
        <w:t xml:space="preserve"> și </w:t>
      </w:r>
      <w:proofErr w:type="spellStart"/>
      <w:r>
        <w:rPr>
          <w:i/>
        </w:rPr>
        <w:t>Lönnroth</w:t>
      </w:r>
      <w:proofErr w:type="spellEnd"/>
      <w:r>
        <w:rPr>
          <w:i/>
        </w:rPr>
        <w:t xml:space="preserve"> împotriva Suediei</w:t>
      </w:r>
      <w:r>
        <w:t xml:space="preserve">, 23 septembrie 1982, pct. 69-74, seria A nr. 52; </w:t>
      </w:r>
      <w:r>
        <w:rPr>
          <w:i/>
        </w:rPr>
        <w:t>Brumărescu împotriva României</w:t>
      </w:r>
      <w:r>
        <w:t xml:space="preserve"> (MC), nr. 28342/95, pct. 78, CEDO 1999</w:t>
      </w:r>
      <w:r>
        <w:noBreakHyphen/>
        <w:t xml:space="preserve">VII; și a se vedea </w:t>
      </w:r>
      <w:proofErr w:type="spellStart"/>
      <w:r>
        <w:rPr>
          <w:i/>
        </w:rPr>
        <w:t>Doğrusöz</w:t>
      </w:r>
      <w:proofErr w:type="spellEnd"/>
      <w:r>
        <w:rPr>
          <w:i/>
        </w:rPr>
        <w:t xml:space="preserve"> și Aslan împotriva Turciei</w:t>
      </w:r>
      <w:r>
        <w:t>, nr. 1262/02, pct. 27, 30 mai 2006].</w:t>
      </w:r>
    </w:p>
    <w:p w:rsidR="002C61BF" w:rsidRPr="005E3F4E" w:rsidRDefault="002C61BF" w:rsidP="005E3F4E">
      <w:pPr>
        <w:pStyle w:val="ECHRPara"/>
      </w:pPr>
      <w:fldSimple w:instr=" SEQ level0 \*arabic ">
        <w:r w:rsidR="005E3F4E" w:rsidRPr="005E3F4E">
          <w:t>74</w:t>
        </w:r>
      </w:fldSimple>
      <w:r>
        <w:t xml:space="preserve">.  În mai multe rânduri, cu privire la cauze similare – care, la fel ca în speță, priveau corectarea greșelilor comise de autoritățile statului în procesul de restituire – Curtea a subliniat necesitatea de a se asigura că repararea prejudiciilor vechi nu creează noi prejudicii disproporționate. În acest scop, legislația trebui să permită a se ține seama de circumstanțele specifice ale fiecărui caz în parte, astfel încât persoanele care au dobândit bunurile cu bună credință să nu fie făcute să suporte sarcina răspunderii care, pe bună dreptate, aparține statului care a confiscat respectivele bunuri (a se vedea </w:t>
      </w:r>
      <w:proofErr w:type="spellStart"/>
      <w:r>
        <w:rPr>
          <w:i/>
          <w:iCs/>
        </w:rPr>
        <w:t>Velikovi</w:t>
      </w:r>
      <w:proofErr w:type="spellEnd"/>
      <w:r>
        <w:rPr>
          <w:i/>
          <w:iCs/>
        </w:rPr>
        <w:t xml:space="preserve"> și alții împotriva Bulgariei</w:t>
      </w:r>
      <w:r>
        <w:rPr>
          <w:i/>
        </w:rPr>
        <w:t xml:space="preserve">, </w:t>
      </w:r>
      <w:r>
        <w:t>nr.  43278/98 și alte 8 cereri, pct. 178, 15 martie 2007).</w:t>
      </w:r>
    </w:p>
    <w:p w:rsidR="002C61BF" w:rsidRPr="005E3F4E" w:rsidRDefault="002C61BF" w:rsidP="005E3F4E">
      <w:pPr>
        <w:pStyle w:val="ECHRPara"/>
      </w:pPr>
      <w:fldSimple w:instr=" SEQ level0 \*arabic ">
        <w:r w:rsidR="005E3F4E" w:rsidRPr="005E3F4E">
          <w:t>75</w:t>
        </w:r>
      </w:fldSimple>
      <w:r>
        <w:t xml:space="preserve">.  Pentru a aprecia sarcina suportată de reclamant, Curtea trebuie să aprecieze circumstanțele speciale ale fiecărei cauze – și anume condițiile în care a fost dobândit bunul în litigiu și despăgubirea primită de reclamant în schimbul bunului [a se vedea, </w:t>
      </w:r>
      <w:r>
        <w:rPr>
          <w:i/>
        </w:rPr>
        <w:t>mutatis mutandis</w:t>
      </w:r>
      <w:r>
        <w:t xml:space="preserve">, </w:t>
      </w:r>
      <w:proofErr w:type="spellStart"/>
      <w:r>
        <w:rPr>
          <w:i/>
        </w:rPr>
        <w:t>Mohylová</w:t>
      </w:r>
      <w:proofErr w:type="spellEnd"/>
      <w:r>
        <w:rPr>
          <w:i/>
        </w:rPr>
        <w:t xml:space="preserve"> împotriva Republicii Cehe</w:t>
      </w:r>
      <w:r>
        <w:t xml:space="preserve"> (dec.), nr. 75115/01, 6 septembrie 2005].</w:t>
      </w:r>
    </w:p>
    <w:p w:rsidR="00A106B2" w:rsidRPr="005E3F4E" w:rsidRDefault="00A106B2" w:rsidP="005E3F4E">
      <w:pPr>
        <w:pStyle w:val="ECHRPara"/>
      </w:pPr>
      <w:fldSimple w:instr=" SEQ level0 \*arabic ">
        <w:r w:rsidR="005E3F4E" w:rsidRPr="005E3F4E">
          <w:t>76</w:t>
        </w:r>
      </w:fldSimple>
      <w:r>
        <w:t xml:space="preserve">.  În această privință, Curtea reiterează că preluarea proprietății fără plata vreunei sume legate rezonabil de valoarea sa va constitui, în mod normal, o ingerință disproporționată, iar lipsa totală a despăgubirilor poate fi considerată justificabilă în temeiul art. 1 din Protocolul nr. 1 numai în circumstanțe excepționale. Cu toate acestea, dispoziția nu garantează dreptul la despăgubiri integrale în toate circumstanțele, întrucât obiectivele legitime de „interes public” pot atrage o rambursare mai mică decât rambursarea la valoarea de piață integrală [a se vedea </w:t>
      </w:r>
      <w:r>
        <w:rPr>
          <w:i/>
        </w:rPr>
        <w:t>Sfintele Mânăstiri împotriva Greciei</w:t>
      </w:r>
      <w:r>
        <w:t>, 9 decembrie 1994, pct. 71, seria A nr. 301</w:t>
      </w:r>
      <w:r>
        <w:noBreakHyphen/>
        <w:t xml:space="preserve">A; </w:t>
      </w:r>
      <w:r>
        <w:rPr>
          <w:i/>
        </w:rPr>
        <w:t>Fostul Rege al Greciei și alții împotriva Greciei</w:t>
      </w:r>
      <w:r>
        <w:t xml:space="preserve"> (MC], nr. 25701/94, pct. 89, CEDO 2000</w:t>
      </w:r>
      <w:r>
        <w:noBreakHyphen/>
        <w:t xml:space="preserve">XII; și </w:t>
      </w:r>
      <w:proofErr w:type="spellStart"/>
      <w:r>
        <w:rPr>
          <w:i/>
        </w:rPr>
        <w:t>Zvolský</w:t>
      </w:r>
      <w:proofErr w:type="spellEnd"/>
      <w:r>
        <w:rPr>
          <w:i/>
        </w:rPr>
        <w:t xml:space="preserve"> și </w:t>
      </w:r>
      <w:proofErr w:type="spellStart"/>
      <w:r>
        <w:rPr>
          <w:i/>
        </w:rPr>
        <w:t>Zvolská</w:t>
      </w:r>
      <w:proofErr w:type="spellEnd"/>
      <w:r>
        <w:rPr>
          <w:i/>
        </w:rPr>
        <w:t xml:space="preserve"> împotriva Republicii Cehe</w:t>
      </w:r>
      <w:r>
        <w:t>, nr. 46129/99, pct. 70, CEDO 2002</w:t>
      </w:r>
      <w:r>
        <w:noBreakHyphen/>
        <w:t>IX].</w:t>
      </w:r>
    </w:p>
    <w:p w:rsidR="00FB4E78" w:rsidRPr="005E3F4E" w:rsidRDefault="00FB4E78" w:rsidP="005E3F4E">
      <w:pPr>
        <w:pStyle w:val="ECHRPara"/>
      </w:pPr>
      <w:fldSimple w:instr=" SEQ level0 \*arabic ">
        <w:r w:rsidR="005E3F4E" w:rsidRPr="005E3F4E">
          <w:t>77</w:t>
        </w:r>
      </w:fldSimple>
      <w:r>
        <w:t>.  Revenind la speță, Curtea reține că, la momentul faptelor, art. 32</w:t>
      </w:r>
      <w:r>
        <w:rPr>
          <w:vertAlign w:val="superscript"/>
        </w:rPr>
        <w:t>4</w:t>
      </w:r>
      <w:r>
        <w:t xml:space="preserve"> din Ordonanța de urgență a Guvernului nr. 88/1997 prevedea cadrul juridic de despăgubire a societăților privatizate care au suferit prejudicii ca urmare a restituirii către foștii proprietari a unor bunuri imobile naționalizate sub regimul comunist. Prin urmare, la art. 32</w:t>
      </w:r>
      <w:r>
        <w:rPr>
          <w:vertAlign w:val="superscript"/>
        </w:rPr>
        <w:t>4</w:t>
      </w:r>
      <w:r>
        <w:t xml:space="preserve"> alin. (1) și alin. (2) era prevăzut faptul că autoritățile publice implicate în procesul de privatizare erau obligate </w:t>
      </w:r>
      <w:r>
        <w:lastRenderedPageBreak/>
        <w:t>să acorde despăgubiri pentru prejudiciile suferite în urma restituirii bunurilor imobile. În temeiul art. 32</w:t>
      </w:r>
      <w:r>
        <w:rPr>
          <w:vertAlign w:val="superscript"/>
        </w:rPr>
        <w:t>4</w:t>
      </w:r>
      <w:r>
        <w:t xml:space="preserve"> alin. (5) și alin. (6) autoritățile publice trebuie să garanteze acordarea despăgubirii pentru prejudiciul cauzat de plata echivalentului bănesc al bunului imobil (a se vedea supra, pct. </w:t>
      </w:r>
      <w:r w:rsidRPr="005E3F4E">
        <w:fldChar w:fldCharType="begin"/>
      </w:r>
      <w:r w:rsidRPr="005E3F4E">
        <w:instrText xml:space="preserve"> REF Oridnance \h </w:instrText>
      </w:r>
      <w:r w:rsidRPr="005E3F4E">
        <w:fldChar w:fldCharType="separate"/>
      </w:r>
      <w:r w:rsidR="005E3F4E" w:rsidRPr="005E3F4E">
        <w:t>34</w:t>
      </w:r>
      <w:r w:rsidRPr="005E3F4E">
        <w:fldChar w:fldCharType="end"/>
      </w:r>
      <w:r>
        <w:t>).</w:t>
      </w:r>
    </w:p>
    <w:p w:rsidR="00FB4E78" w:rsidRPr="005E3F4E" w:rsidRDefault="00A112B9" w:rsidP="005E3F4E">
      <w:pPr>
        <w:pStyle w:val="ECHRPara"/>
      </w:pPr>
      <w:fldSimple w:instr=" SEQ level0 \*arabic ">
        <w:r w:rsidR="005E3F4E" w:rsidRPr="005E3F4E">
          <w:t>78</w:t>
        </w:r>
      </w:fldSimple>
      <w:r>
        <w:t xml:space="preserve">.  Curtea observă că, în pofida acestor dispoziții legale, în cadrul procedurilor civile inițiate de succesorii legali ai fostului proprietar al imobilului în cauză, cererile de despăgubire ale societății reclamante împotriva autorității statului (AVAS) au fost respinse (a se vedea supra, pct. </w:t>
      </w:r>
      <w:r w:rsidR="00FB4E78" w:rsidRPr="005E3F4E">
        <w:fldChar w:fldCharType="begin"/>
      </w:r>
      <w:r w:rsidR="00FB4E78" w:rsidRPr="005E3F4E">
        <w:instrText xml:space="preserve"> REF p24 \h </w:instrText>
      </w:r>
      <w:r w:rsidR="00FB4E78" w:rsidRPr="005E3F4E">
        <w:fldChar w:fldCharType="separate"/>
      </w:r>
      <w:r w:rsidR="005E3F4E" w:rsidRPr="005E3F4E">
        <w:t>22</w:t>
      </w:r>
      <w:r w:rsidR="00FB4E78" w:rsidRPr="005E3F4E">
        <w:fldChar w:fldCharType="end"/>
      </w:r>
      <w:r>
        <w:t xml:space="preserve">), iar societatea reclamantă a fost obligată de instanțele naționale să restituie terenul și să plătească o despăgubire de 11.138.275 RON (aproximativ 2.600.000 EUR) pentru clădirea hotelului, pe care societatea reclamantă nu o putea restitui întrucât o demolase (a se vedea supra, pct. </w:t>
      </w:r>
      <w:r w:rsidR="006F489E" w:rsidRPr="005E3F4E">
        <w:fldChar w:fldCharType="begin"/>
      </w:r>
      <w:r w:rsidR="006F489E" w:rsidRPr="005E3F4E">
        <w:instrText xml:space="preserve"> REF p22 \h </w:instrText>
      </w:r>
      <w:r w:rsidR="006F489E" w:rsidRPr="005E3F4E">
        <w:fldChar w:fldCharType="separate"/>
      </w:r>
      <w:r w:rsidR="005E3F4E" w:rsidRPr="005E3F4E">
        <w:t>20</w:t>
      </w:r>
      <w:r w:rsidR="006F489E" w:rsidRPr="005E3F4E">
        <w:fldChar w:fldCharType="end"/>
      </w:r>
      <w:r>
        <w:t>).</w:t>
      </w:r>
    </w:p>
    <w:p w:rsidR="00EB7586" w:rsidRPr="005E3F4E" w:rsidRDefault="00FB4E78" w:rsidP="005E3F4E">
      <w:pPr>
        <w:pStyle w:val="ECHRPara"/>
      </w:pPr>
      <w:fldSimple w:instr=" SEQ level0 \*arabic ">
        <w:r w:rsidR="005E3F4E" w:rsidRPr="005E3F4E">
          <w:t>79</w:t>
        </w:r>
      </w:fldSimple>
      <w:r>
        <w:t xml:space="preserve">.  Faptul că decizia pronunțată de Înalta Curte de Casație și Justiție la 6 decembrie 2011 contrazicea atât dispozițiile legale aplicabile, cât și decizia sa din 17 octombrie 2011 privind modul în care legea aplicabilă ar trebui interpretată (a se vedea supra, pct. </w:t>
      </w:r>
      <w:r w:rsidRPr="005E3F4E">
        <w:fldChar w:fldCharType="begin"/>
      </w:r>
      <w:r w:rsidRPr="005E3F4E">
        <w:instrText xml:space="preserve"> REF p37 \h </w:instrText>
      </w:r>
      <w:r w:rsidRPr="005E3F4E">
        <w:fldChar w:fldCharType="separate"/>
      </w:r>
      <w:r w:rsidR="005E3F4E" w:rsidRPr="005E3F4E">
        <w:t>37</w:t>
      </w:r>
      <w:r w:rsidRPr="005E3F4E">
        <w:fldChar w:fldCharType="end"/>
      </w:r>
      <w:r>
        <w:t xml:space="preserve">), era confirmat de ulterioara examinare pe fond a pretențiilor într-un nou set de proceduri civile inițiat de societatea reclamantă. În cadrul acestor proceduri, instanțele interne nu doar că au examinat pretențiile societății reclamante, dar, de asemenea, au admis cererea sa de a fi despăgubită pentru terenul pe care l-a restituit către succesorii legali ai foștilor proprietari (a se vedea supra, pct. </w:t>
      </w:r>
      <w:r w:rsidRPr="005E3F4E">
        <w:fldChar w:fldCharType="begin"/>
      </w:r>
      <w:r w:rsidRPr="005E3F4E">
        <w:instrText xml:space="preserve"> REF p26 \h </w:instrText>
      </w:r>
      <w:r w:rsidRPr="005E3F4E">
        <w:fldChar w:fldCharType="separate"/>
      </w:r>
      <w:r w:rsidR="005E3F4E" w:rsidRPr="005E3F4E">
        <w:t>24</w:t>
      </w:r>
      <w:r w:rsidRPr="005E3F4E">
        <w:fldChar w:fldCharType="end"/>
      </w:r>
      <w:r>
        <w:t>).</w:t>
      </w:r>
    </w:p>
    <w:p w:rsidR="00FB4E78" w:rsidRPr="005E3F4E" w:rsidRDefault="00FB4E78" w:rsidP="005E3F4E">
      <w:pPr>
        <w:pStyle w:val="ECHRPara"/>
      </w:pPr>
      <w:fldSimple w:instr=" SEQ level0 \*arabic ">
        <w:r w:rsidR="005E3F4E" w:rsidRPr="005E3F4E">
          <w:t>80</w:t>
        </w:r>
      </w:fldSimple>
      <w:r>
        <w:t xml:space="preserve">.  Curtea mai observă că societatea reclamantă a respectat decizia din 16 decembrie 2010 (a se vedea supra, pct. </w:t>
      </w:r>
      <w:r w:rsidRPr="005E3F4E">
        <w:fldChar w:fldCharType="begin"/>
      </w:r>
      <w:r w:rsidRPr="005E3F4E">
        <w:instrText xml:space="preserve"> REF p22 \h </w:instrText>
      </w:r>
      <w:r w:rsidRPr="005E3F4E">
        <w:fldChar w:fldCharType="separate"/>
      </w:r>
      <w:r w:rsidR="005E3F4E" w:rsidRPr="005E3F4E">
        <w:t>20</w:t>
      </w:r>
      <w:r w:rsidRPr="005E3F4E">
        <w:fldChar w:fldCharType="end"/>
      </w:r>
      <w:r>
        <w:t>), plătind despăgubirea către succesorii legali ai fostului proprietar, deși, în temeiul art. 32</w:t>
      </w:r>
      <w:r>
        <w:rPr>
          <w:vertAlign w:val="superscript"/>
        </w:rPr>
        <w:t xml:space="preserve">4 </w:t>
      </w:r>
      <w:r>
        <w:t>alin. (5) din Ordonanța de Urgență a Guvernului nr. 88/1997, nu societățile privatizate, ci autoritatea statului implicată în procesul de privatizare a societăților este cea care trebuie să plătească direct despăgubirea către foștii proprietari.</w:t>
      </w:r>
    </w:p>
    <w:p w:rsidR="00BA6BD0" w:rsidRPr="005E3F4E" w:rsidRDefault="006C194C" w:rsidP="005E3F4E">
      <w:pPr>
        <w:pStyle w:val="ECHRPara"/>
        <w:rPr>
          <w:szCs w:val="24"/>
        </w:rPr>
      </w:pPr>
      <w:fldSimple w:instr=" SEQ level0 \*arabic ">
        <w:r w:rsidR="005E3F4E" w:rsidRPr="005E3F4E">
          <w:t>81</w:t>
        </w:r>
      </w:fldSimple>
      <w:r>
        <w:t xml:space="preserve">.  În speță, ceea ce are o importanță crucială în opinia Curții este faptul că, după anularea titlului de proprietate respectiv al societății reclamante, autoritățile aveau obligația să o despăgubească pentru pierderea dreptului de proprietate într-una din formele prevăzute de lege. Cu toate acestea, doar cererea de despăgubire a reclamantei pentru restituirea terenului a fost admisă (a se vedea supra, pct. </w:t>
      </w:r>
      <w:r w:rsidR="00D44B1C" w:rsidRPr="005E3F4E">
        <w:fldChar w:fldCharType="begin"/>
      </w:r>
      <w:r w:rsidR="00D44B1C" w:rsidRPr="005E3F4E">
        <w:instrText xml:space="preserve"> REF p26 \h </w:instrText>
      </w:r>
      <w:r w:rsidR="00D44B1C" w:rsidRPr="005E3F4E">
        <w:fldChar w:fldCharType="separate"/>
      </w:r>
      <w:r w:rsidR="005E3F4E" w:rsidRPr="005E3F4E">
        <w:t>24</w:t>
      </w:r>
      <w:r w:rsidR="00D44B1C" w:rsidRPr="005E3F4E">
        <w:fldChar w:fldCharType="end"/>
      </w:r>
      <w:r>
        <w:t xml:space="preserve">), pe când cererea de despăgubire pentru suma pe care aceasta o plătise pentru clădirea hotelului a fost în cele din urmă respinsă de Înalta Curte de Casație și Justiție (a se vedea supra, pct. </w:t>
      </w:r>
      <w:r w:rsidR="008F3987" w:rsidRPr="005E3F4E">
        <w:fldChar w:fldCharType="begin"/>
      </w:r>
      <w:r w:rsidR="008F3987" w:rsidRPr="005E3F4E">
        <w:instrText xml:space="preserve"> REF p28 \h </w:instrText>
      </w:r>
      <w:r w:rsidR="008F3987" w:rsidRPr="005E3F4E">
        <w:fldChar w:fldCharType="separate"/>
      </w:r>
      <w:r w:rsidR="005E3F4E" w:rsidRPr="005E3F4E">
        <w:t>26</w:t>
      </w:r>
      <w:r w:rsidR="008F3987" w:rsidRPr="005E3F4E">
        <w:fldChar w:fldCharType="end"/>
      </w:r>
      <w:r>
        <w:t>).</w:t>
      </w:r>
    </w:p>
    <w:p w:rsidR="00B07406" w:rsidRPr="005E3F4E" w:rsidRDefault="003E490A" w:rsidP="005E3F4E">
      <w:pPr>
        <w:pStyle w:val="ECHRPara"/>
      </w:pPr>
      <w:fldSimple w:instr=" SEQ level0 \*arabic ">
        <w:r w:rsidR="005E3F4E" w:rsidRPr="005E3F4E">
          <w:t>82</w:t>
        </w:r>
      </w:fldSimple>
      <w:r>
        <w:t>.  Cu privire la motivarea deciziei de respingere a pretențiilor societății reclamante, Curtea reține că Înalta Curte de Casație și Justiție a constatat că, prin demolarea imobilului, societatea reclamantă s-a plasat pe sine „din vină proprie, în afara cadrului legal prevăzut la art. 32</w:t>
      </w:r>
      <w:r>
        <w:rPr>
          <w:vertAlign w:val="superscript"/>
        </w:rPr>
        <w:t>4</w:t>
      </w:r>
      <w:r>
        <w:t xml:space="preserve"> alin. (1) și alin. (2) din Ordonanța de Urgență a Guvernului nr. 88/1997” (a se vedea supra, pct. </w:t>
      </w:r>
      <w:r w:rsidR="0046438E" w:rsidRPr="005E3F4E">
        <w:fldChar w:fldCharType="begin"/>
      </w:r>
      <w:r w:rsidR="0046438E" w:rsidRPr="005E3F4E">
        <w:instrText xml:space="preserve"> REF p29 \h </w:instrText>
      </w:r>
      <w:r w:rsidR="0046438E" w:rsidRPr="005E3F4E">
        <w:fldChar w:fldCharType="separate"/>
      </w:r>
      <w:r w:rsidR="005E3F4E" w:rsidRPr="005E3F4E">
        <w:t>27</w:t>
      </w:r>
      <w:r w:rsidR="0046438E" w:rsidRPr="005E3F4E">
        <w:fldChar w:fldCharType="end"/>
      </w:r>
      <w:r>
        <w:t>).</w:t>
      </w:r>
    </w:p>
    <w:p w:rsidR="003506BE" w:rsidRPr="005E3F4E" w:rsidRDefault="009A0E96" w:rsidP="005E3F4E">
      <w:pPr>
        <w:pStyle w:val="ECHRPara"/>
      </w:pPr>
      <w:fldSimple w:instr=" SEQ level0 \*arabic ">
        <w:r w:rsidR="005E3F4E" w:rsidRPr="005E3F4E">
          <w:t>83</w:t>
        </w:r>
      </w:fldSimple>
      <w:r>
        <w:t xml:space="preserve">.  Curtea nu este convinsă de argumentul acesta. După cum a subliniat societatea reclamantă (a se vedea supra, pct. </w:t>
      </w:r>
      <w:r w:rsidR="00D44B1C" w:rsidRPr="005E3F4E">
        <w:fldChar w:fldCharType="begin"/>
      </w:r>
      <w:r w:rsidR="00D44B1C" w:rsidRPr="005E3F4E">
        <w:instrText xml:space="preserve"> REF para_59 \h </w:instrText>
      </w:r>
      <w:r w:rsidR="00D44B1C" w:rsidRPr="005E3F4E">
        <w:fldChar w:fldCharType="separate"/>
      </w:r>
      <w:r w:rsidR="005E3F4E" w:rsidRPr="005E3F4E">
        <w:t>59</w:t>
      </w:r>
      <w:r w:rsidR="00D44B1C" w:rsidRPr="005E3F4E">
        <w:fldChar w:fldCharType="end"/>
      </w:r>
      <w:r>
        <w:t xml:space="preserve">), clădirea hotelului trebuia demolată, fiind într-o stare avansată de deteriorare, ceea ce o făcea periculoasă. La 16 mai 1996, Inspectoratul de Stat în Construcții a cerut </w:t>
      </w:r>
      <w:r>
        <w:lastRenderedPageBreak/>
        <w:t xml:space="preserve">societății reclamante să înceteze utilizarea imobilului, care „nu îndeplinește standardele de siguranță în ceea ce privește exploatarea comercială și stabilitatea structurală” (a se vedea supra, pct. </w:t>
      </w:r>
      <w:r w:rsidR="0046438E" w:rsidRPr="005E3F4E">
        <w:fldChar w:fldCharType="begin"/>
      </w:r>
      <w:r w:rsidR="0046438E" w:rsidRPr="005E3F4E">
        <w:instrText xml:space="preserve"> REF p8 \h </w:instrText>
      </w:r>
      <w:r w:rsidR="0046438E" w:rsidRPr="005E3F4E">
        <w:fldChar w:fldCharType="separate"/>
      </w:r>
      <w:r w:rsidR="005E3F4E" w:rsidRPr="005E3F4E">
        <w:t>6</w:t>
      </w:r>
      <w:r w:rsidR="0046438E" w:rsidRPr="005E3F4E">
        <w:fldChar w:fldCharType="end"/>
      </w:r>
      <w:r>
        <w:t xml:space="preserve">). Prin urmare, societatea reclamantă a obținut o autorizație de demolare în septembrie 1996 și a demolat clădirea în același an (a se vedea supra, pct. </w:t>
      </w:r>
      <w:r w:rsidR="0046438E" w:rsidRPr="005E3F4E">
        <w:fldChar w:fldCharType="begin"/>
      </w:r>
      <w:r w:rsidR="0046438E" w:rsidRPr="005E3F4E">
        <w:instrText xml:space="preserve"> REF p9 \h </w:instrText>
      </w:r>
      <w:r w:rsidR="0046438E" w:rsidRPr="005E3F4E">
        <w:fldChar w:fldCharType="separate"/>
      </w:r>
      <w:r w:rsidR="005E3F4E" w:rsidRPr="005E3F4E">
        <w:t>7</w:t>
      </w:r>
      <w:r w:rsidR="0046438E" w:rsidRPr="005E3F4E">
        <w:fldChar w:fldCharType="end"/>
      </w:r>
      <w:r>
        <w:t>).</w:t>
      </w:r>
    </w:p>
    <w:p w:rsidR="00E83D35" w:rsidRPr="005E3F4E" w:rsidRDefault="006E1A4E" w:rsidP="005E3F4E">
      <w:pPr>
        <w:pStyle w:val="ECHRPara"/>
      </w:pPr>
      <w:fldSimple w:instr=" SEQ level0 \*arabic ">
        <w:r w:rsidR="005E3F4E" w:rsidRPr="005E3F4E">
          <w:t>84</w:t>
        </w:r>
      </w:fldSimple>
      <w:r>
        <w:t xml:space="preserve">.  Curtea subliniază că, până la pronunțarea deciziei definitive a Înaltei Curți de Casație și Justiție la 6 decembrie 2011, societatea reclamantă, fiind proprietara clădirii mai mult de cincisprezece ani, era singura parte responsabilă de orice prejudiciu cauzat de starea avansată de degradare a clădirii. </w:t>
      </w:r>
    </w:p>
    <w:p w:rsidR="00863E18" w:rsidRPr="005E3F4E" w:rsidRDefault="00E83D35" w:rsidP="005E3F4E">
      <w:pPr>
        <w:pStyle w:val="ECHRPara"/>
      </w:pPr>
      <w:fldSimple w:instr=" SEQ level0 \*arabic ">
        <w:r w:rsidR="005E3F4E" w:rsidRPr="005E3F4E">
          <w:t>85</w:t>
        </w:r>
      </w:fldSimple>
      <w:r>
        <w:t>.  Prin urmare, Curtea consideră că societății reclamante nu i se poate imputa vreo culpă sau neglijență pentru demolarea clădirii. Totuși, consecința acțiunii legitime a reclamantei a fost prejudiciul în cuantum de 11.138.275 RON (aproximativ 2.600.000 EUR), sumă pe care a trebuit să o plătească foștilor proprietari și pe care nu a putut să o recupereze de la stat.</w:t>
      </w:r>
    </w:p>
    <w:p w:rsidR="0085718F" w:rsidRPr="005E3F4E" w:rsidRDefault="00837EEC" w:rsidP="005E3F4E">
      <w:pPr>
        <w:pStyle w:val="ECHRPara"/>
      </w:pPr>
      <w:fldSimple w:instr=" SEQ level0 \*arabic ">
        <w:r w:rsidR="005E3F4E" w:rsidRPr="005E3F4E">
          <w:t>86</w:t>
        </w:r>
      </w:fldSimple>
      <w:r>
        <w:t xml:space="preserve">.  În plus, Curtea ia notă că toate procedurile de executare utilizate de societatea reclamantă pentru a fi despăgubită pentru pierderea terenului s-au dovedit ineficiente și că societatea reclamantă a recuperat doar în mică măsură suma acordată prin sentința din 7 iunie 2013 (a se vedea supra, pct. </w:t>
      </w:r>
      <w:r w:rsidR="0046438E" w:rsidRPr="005E3F4E">
        <w:fldChar w:fldCharType="begin"/>
      </w:r>
      <w:r w:rsidR="0046438E" w:rsidRPr="005E3F4E">
        <w:instrText xml:space="preserve"> REF p34 \h </w:instrText>
      </w:r>
      <w:r w:rsidR="0046438E" w:rsidRPr="005E3F4E">
        <w:fldChar w:fldCharType="separate"/>
      </w:r>
      <w:r w:rsidR="005E3F4E" w:rsidRPr="005E3F4E">
        <w:t>32</w:t>
      </w:r>
      <w:r w:rsidR="0046438E" w:rsidRPr="005E3F4E">
        <w:fldChar w:fldCharType="end"/>
      </w:r>
      <w:r>
        <w:t>).</w:t>
      </w:r>
    </w:p>
    <w:p w:rsidR="00EB7586" w:rsidRPr="005E3F4E" w:rsidRDefault="008B4387" w:rsidP="005E3F4E">
      <w:pPr>
        <w:pStyle w:val="ECHRPara"/>
      </w:pPr>
      <w:fldSimple w:instr=" SEQ level0 \*arabic ">
        <w:r w:rsidR="005E3F4E" w:rsidRPr="005E3F4E">
          <w:t>87</w:t>
        </w:r>
      </w:fldSimple>
      <w:r>
        <w:t xml:space="preserve">.  În acest sens, Curtea reamintește că a constatat deja o încălcare a dreptului la respectarea bunurilor, având în vedere natura ineficientă a sistemului de restituire al statului și, în special, întârzierile din procedura de plată a  despăgubirilor către reclamanți (a se vedea </w:t>
      </w:r>
      <w:r>
        <w:rPr>
          <w:i/>
        </w:rPr>
        <w:t>Maria Atanasiu și alții împotriva României</w:t>
      </w:r>
      <w:r>
        <w:t>, nr. 30767/05 și 33800/06, pct. 183, 12 octombrie 2010).</w:t>
      </w:r>
    </w:p>
    <w:p w:rsidR="00A04096" w:rsidRPr="005E3F4E" w:rsidRDefault="003A661A" w:rsidP="005E3F4E">
      <w:pPr>
        <w:pStyle w:val="ECHRPara"/>
      </w:pPr>
      <w:fldSimple w:instr=" SEQ level0 \*arabic ">
        <w:r w:rsidR="005E3F4E" w:rsidRPr="005E3F4E">
          <w:t>88</w:t>
        </w:r>
      </w:fldSimple>
      <w:r>
        <w:t>.  În urma examinării tuturor probelor de care dispune în lumina principiilor enunțate în jurisprudența sa, Curtea apreciază că Guvernul nu a invocat niciun fapt și niciun argument de natură a justifica nerespectarea dreptului societății reclamante la despăgubiri pentru echivalentul bănesc al clădirii demolate a hotelului, pe care trebuise să îl plătească și dificultățile în executarea hotărârii prin care societății reclamante i-a fost acordată o despăgubire pentru terenul restituit.</w:t>
      </w:r>
    </w:p>
    <w:p w:rsidR="00A04096" w:rsidRPr="005E3F4E" w:rsidRDefault="00A106B2" w:rsidP="005E3F4E">
      <w:pPr>
        <w:pStyle w:val="ECHRPara"/>
      </w:pPr>
      <w:fldSimple w:instr=" SEQ level0 \*arabic ">
        <w:r w:rsidR="005E3F4E" w:rsidRPr="005E3F4E">
          <w:t>89</w:t>
        </w:r>
      </w:fldSimple>
      <w:r>
        <w:t>.  Date fiind împrejurările specifice ale prezentei cauze, opinia Curții este că statul i-a impus societății reclamante o sarcină disproporționată și excesivă, incompatibilă cu dreptul la respectarea bunurilor garantat la art. 1 din Protocolul nr. 1.</w:t>
      </w:r>
    </w:p>
    <w:p w:rsidR="005636B2" w:rsidRPr="005E3F4E" w:rsidRDefault="00DA0146" w:rsidP="005E3F4E">
      <w:pPr>
        <w:pStyle w:val="ECHRPara"/>
      </w:pPr>
      <w:fldSimple w:instr=" SEQ level0 \*arabic ">
        <w:r w:rsidR="005E3F4E" w:rsidRPr="005E3F4E">
          <w:t>90</w:t>
        </w:r>
      </w:fldSimple>
      <w:r>
        <w:t>.  Prin urmare, în speță a fost încălcată această dispoziție.</w:t>
      </w:r>
    </w:p>
    <w:p w:rsidR="00D420F3" w:rsidRPr="005E3F4E" w:rsidRDefault="00852F3D" w:rsidP="005E3F4E">
      <w:pPr>
        <w:pStyle w:val="ECHRHeading1"/>
      </w:pPr>
      <w:r>
        <w:t>III.  CU PRIVIRE LA APLICAREA ART. 41 DIN CONVENȚIE</w:t>
      </w:r>
    </w:p>
    <w:p w:rsidR="00D420F3" w:rsidRPr="005E3F4E" w:rsidRDefault="00AE2B6C" w:rsidP="005E3F4E">
      <w:pPr>
        <w:pStyle w:val="ECHRPara"/>
      </w:pPr>
      <w:fldSimple w:instr=" SEQ level0 \*arabic ">
        <w:r w:rsidR="005E3F4E" w:rsidRPr="005E3F4E">
          <w:t>91</w:t>
        </w:r>
      </w:fldSimple>
      <w:r>
        <w:t>.  Art. 41 din Convenție prevede:</w:t>
      </w:r>
    </w:p>
    <w:p w:rsidR="00D420F3" w:rsidRPr="005E3F4E" w:rsidRDefault="0077175D" w:rsidP="005E3F4E">
      <w:pPr>
        <w:pStyle w:val="ECHRParaQuote"/>
        <w:keepNext/>
        <w:keepLines/>
      </w:pPr>
      <w:r>
        <w:lastRenderedPageBreak/>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9A61D6" w:rsidRPr="005E3F4E" w:rsidRDefault="00D86E2F" w:rsidP="005E3F4E">
      <w:pPr>
        <w:pStyle w:val="ECHRPara"/>
      </w:pPr>
      <w:fldSimple w:instr=" SEQ level0 \*arabic ">
        <w:r w:rsidR="005E3F4E" w:rsidRPr="005E3F4E">
          <w:t>92</w:t>
        </w:r>
      </w:fldSimple>
      <w:r>
        <w:t>.  Societatea reclamantă a solicitat o reparație echitabilă în ceea ce privește prejudiciul material în cuantum de 3.776.514 euro (EUR). În plus, a solicitat și 5 000 EUR cu titlu de despăgubire pentru prejudiciul moral.</w:t>
      </w:r>
    </w:p>
    <w:p w:rsidR="009A61D6" w:rsidRPr="005E3F4E" w:rsidRDefault="009A61D6" w:rsidP="005E3F4E">
      <w:pPr>
        <w:pStyle w:val="ECHRPara"/>
      </w:pPr>
      <w:fldSimple w:instr=" SEQ level0 \*arabic ">
        <w:r w:rsidR="005E3F4E" w:rsidRPr="005E3F4E">
          <w:t>93</w:t>
        </w:r>
      </w:fldSimple>
      <w:r>
        <w:t>.  Guvernul a contestat aceste pretenții.</w:t>
      </w:r>
    </w:p>
    <w:p w:rsidR="009A61D6" w:rsidRPr="005E3F4E" w:rsidRDefault="009A61D6" w:rsidP="005E3F4E">
      <w:pPr>
        <w:pStyle w:val="ECHRPara"/>
      </w:pPr>
      <w:fldSimple w:instr=" SEQ level0 \*arabic ">
        <w:r w:rsidR="005E3F4E" w:rsidRPr="005E3F4E">
          <w:t>94</w:t>
        </w:r>
      </w:fldSimple>
      <w:r>
        <w:t>.  Date fiind împrejurări specifice ale prezentei cauze, Curtea consideră că nu se poate pronunța cu privire la problema aplicării art. 41. Prin urmare, este necesar să se rezerve această chestiune, ținând seama de posibilitatea ajungerii la un acord între statul pârât și reclamantă (art. 75 § 1 și § 4 din Regulamentul Curții).</w:t>
      </w:r>
    </w:p>
    <w:p w:rsidR="00D420F3" w:rsidRPr="005E3F4E" w:rsidRDefault="0077175D" w:rsidP="005E3F4E">
      <w:pPr>
        <w:pStyle w:val="ECHRTitle1"/>
      </w:pPr>
      <w:r>
        <w:t>PENTRU ACESTE MOTIVE, CURTEA, ÎN UNANIMITATE,</w:t>
      </w:r>
    </w:p>
    <w:p w:rsidR="009A61D6" w:rsidRPr="005E3F4E" w:rsidRDefault="0032633B" w:rsidP="005E3F4E">
      <w:pPr>
        <w:pStyle w:val="JuList"/>
      </w:pPr>
      <w:r>
        <w:t>1.</w:t>
      </w:r>
      <w:r>
        <w:rPr>
          <w:i/>
        </w:rPr>
        <w:t>  declară</w:t>
      </w:r>
      <w:r>
        <w:t xml:space="preserve"> admisibil capătul de cerere formulat în temeiul art. 1 din Protocolul nr. 1 și inadmisibile celelalte capete de cerere;</w:t>
      </w:r>
    </w:p>
    <w:p w:rsidR="00EB7586" w:rsidRPr="005E3F4E" w:rsidRDefault="00EB7586" w:rsidP="005E3F4E">
      <w:pPr>
        <w:pStyle w:val="JuList"/>
      </w:pPr>
    </w:p>
    <w:p w:rsidR="009A61D6" w:rsidRPr="005E3F4E" w:rsidRDefault="0032633B" w:rsidP="005E3F4E">
      <w:pPr>
        <w:pStyle w:val="JuList"/>
      </w:pPr>
      <w:r>
        <w:t>2.  </w:t>
      </w:r>
      <w:r>
        <w:rPr>
          <w:i/>
          <w:iCs/>
        </w:rPr>
        <w:t>hotărăște</w:t>
      </w:r>
      <w:r>
        <w:t xml:space="preserve"> că a fost încălcat art. 1 din Protocolul nr. 1 la Convenție;</w:t>
      </w:r>
    </w:p>
    <w:p w:rsidR="009A61D6" w:rsidRPr="005E3F4E" w:rsidRDefault="009A61D6" w:rsidP="005E3F4E">
      <w:pPr>
        <w:pStyle w:val="JuList"/>
      </w:pPr>
    </w:p>
    <w:p w:rsidR="00723DA9" w:rsidRPr="005E3F4E" w:rsidRDefault="0032633B" w:rsidP="005E3F4E">
      <w:pPr>
        <w:pStyle w:val="JuList"/>
      </w:pPr>
      <w:r>
        <w:t>3.  </w:t>
      </w:r>
      <w:r>
        <w:rPr>
          <w:i/>
          <w:iCs/>
        </w:rPr>
        <w:t>hotărăște</w:t>
      </w:r>
      <w:r>
        <w:t xml:space="preserve"> că aspectul reparației echitabile în temeiul art. 41 nu poate fi soluționat și pe cale de consecință:</w:t>
      </w:r>
    </w:p>
    <w:p w:rsidR="009A61D6" w:rsidRPr="005E3F4E" w:rsidRDefault="009A61D6" w:rsidP="005E3F4E">
      <w:pPr>
        <w:pStyle w:val="JuLista"/>
      </w:pPr>
      <w:r>
        <w:t xml:space="preserve">(a) </w:t>
      </w:r>
      <w:r>
        <w:rPr>
          <w:i/>
          <w:iCs/>
        </w:rPr>
        <w:t>rezervă pronunțarea</w:t>
      </w:r>
      <w:r>
        <w:t xml:space="preserve"> asupra acestui aspect în întregime;</w:t>
      </w:r>
    </w:p>
    <w:p w:rsidR="009A61D6" w:rsidRPr="005E3F4E" w:rsidRDefault="009A61D6" w:rsidP="005E3F4E">
      <w:pPr>
        <w:pStyle w:val="JuLista"/>
      </w:pPr>
      <w:r>
        <w:t xml:space="preserve">(b) </w:t>
      </w:r>
      <w:r>
        <w:rPr>
          <w:i/>
          <w:iCs/>
        </w:rPr>
        <w:t>solicită</w:t>
      </w:r>
      <w:r>
        <w:t xml:space="preserve"> Guvernului și reclamantei să prezinte, în termen de trei luni, observațiile lor scrise cu privire la acest aspect și, în special, să notifice Curții orice acord la care ar putea ajunge;</w:t>
      </w:r>
    </w:p>
    <w:p w:rsidR="009A61D6" w:rsidRPr="005E3F4E" w:rsidRDefault="009A61D6" w:rsidP="005E3F4E">
      <w:pPr>
        <w:pStyle w:val="JuLista"/>
      </w:pPr>
      <w:r>
        <w:t xml:space="preserve">(c) </w:t>
      </w:r>
      <w:r>
        <w:rPr>
          <w:i/>
          <w:iCs/>
        </w:rPr>
        <w:t>rezervă pronunțarea</w:t>
      </w:r>
      <w:r>
        <w:t xml:space="preserve"> privind procedura ulterioară și deleagă președintelui comitetului competența de soluționare, în cazul în care este necesar.</w:t>
      </w:r>
    </w:p>
    <w:p w:rsidR="00D420F3" w:rsidRPr="005E3F4E" w:rsidRDefault="0077175D" w:rsidP="005E3F4E">
      <w:pPr>
        <w:pStyle w:val="JuParaLast"/>
      </w:pPr>
      <w:r>
        <w:t>Redactată în limba engleză, apoi comunicată în scris, la 8 octombrie 2019, în temeiul art. 77 § 2 și § 3 din Regulamentul Curții.</w:t>
      </w:r>
    </w:p>
    <w:p w:rsidR="00D420F3" w:rsidRDefault="0077175D" w:rsidP="005E3F4E">
      <w:pPr>
        <w:pStyle w:val="JuSigned"/>
      </w:pPr>
      <w:r>
        <w:tab/>
        <w:t xml:space="preserve">Andrea Tamietti </w:t>
      </w:r>
      <w:r>
        <w:tab/>
      </w:r>
      <w:proofErr w:type="spellStart"/>
      <w:r>
        <w:t>Faris</w:t>
      </w:r>
      <w:proofErr w:type="spellEnd"/>
      <w:r>
        <w:t xml:space="preserve"> </w:t>
      </w:r>
      <w:proofErr w:type="spellStart"/>
      <w:r>
        <w:t>Vehabović</w:t>
      </w:r>
      <w:proofErr w:type="spellEnd"/>
      <w:r>
        <w:br/>
      </w:r>
      <w:r>
        <w:tab/>
        <w:t>Grefier adjunct</w:t>
      </w:r>
      <w:r>
        <w:tab/>
        <w:t>Președinte</w:t>
      </w:r>
    </w:p>
    <w:p w:rsidR="005E3F4E" w:rsidRPr="005E3F4E" w:rsidRDefault="005E3F4E" w:rsidP="005E3F4E">
      <w:pPr>
        <w:pStyle w:val="JuParaLast"/>
      </w:pPr>
    </w:p>
    <w:sectPr w:rsidR="005E3F4E" w:rsidRPr="005E3F4E" w:rsidSect="00EB7586">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897" w:rsidRDefault="006F1897">
      <w:r>
        <w:separator/>
      </w:r>
    </w:p>
  </w:endnote>
  <w:endnote w:type="continuationSeparator" w:id="0">
    <w:p w:rsidR="006F1897" w:rsidRDefault="006F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586" w:rsidRPr="00150BFA" w:rsidRDefault="00EB7586" w:rsidP="0020718E">
    <w:pPr>
      <w:jc w:val="center"/>
    </w:pPr>
    <w:r>
      <w:rPr>
        <w:noProof/>
        <w:lang w:eastAsia="ro-RO"/>
      </w:rPr>
      <w:drawing>
        <wp:inline distT="0" distB="0" distL="0" distR="0" wp14:anchorId="0DD6CFBA" wp14:editId="04EBDABB">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EB7586" w:rsidRDefault="00EB7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897" w:rsidRPr="003152BA" w:rsidRDefault="006F1897" w:rsidP="00D420F3">
      <w:r w:rsidRPr="003152BA">
        <w:separator/>
      </w:r>
    </w:p>
  </w:footnote>
  <w:footnote w:type="continuationSeparator" w:id="0">
    <w:p w:rsidR="006F1897" w:rsidRPr="003152BA" w:rsidRDefault="006F1897" w:rsidP="00D420F3">
      <w:r w:rsidRPr="00315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1C7" w:rsidRPr="00EB7586" w:rsidRDefault="00F031C7" w:rsidP="00EB758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5E8" w:rsidRDefault="008B65E8" w:rsidP="008B65E8">
    <w:pPr>
      <w:jc w:val="right"/>
    </w:pPr>
    <w:r>
      <w:rPr>
        <w:i/>
      </w:rPr>
      <w:t>Tradus și revizuit de IER (</w:t>
    </w:r>
    <w:hyperlink r:id="rId1" w:history="1">
      <w:r>
        <w:rPr>
          <w:rStyle w:val="Hyperlink"/>
          <w:i/>
        </w:rPr>
        <w:t>http://ier.gov.ro/</w:t>
      </w:r>
    </w:hyperlink>
    <w:r>
      <w:rPr>
        <w:i/>
      </w:rPr>
      <w:t>)</w:t>
    </w:r>
  </w:p>
  <w:p w:rsidR="008B65E8" w:rsidRDefault="008B65E8" w:rsidP="00A45145">
    <w:pPr>
      <w:jc w:val="center"/>
      <w:rPr>
        <w:noProof/>
        <w:lang w:eastAsia="ro-RO"/>
      </w:rPr>
    </w:pPr>
  </w:p>
  <w:p w:rsidR="00EB7586" w:rsidRPr="00A45145" w:rsidRDefault="00EB7586" w:rsidP="00A45145">
    <w:pPr>
      <w:jc w:val="center"/>
    </w:pPr>
    <w:r>
      <w:rPr>
        <w:noProof/>
        <w:lang w:eastAsia="ro-RO"/>
      </w:rPr>
      <w:drawing>
        <wp:inline distT="0" distB="0" distL="0" distR="0" wp14:anchorId="4F37DDE9" wp14:editId="2D4914C1">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EB7586" w:rsidRDefault="00EB7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586" w:rsidRPr="003152BA" w:rsidRDefault="00EB7586" w:rsidP="00D420F3">
    <w:pPr>
      <w:pStyle w:val="ECHRHeader"/>
    </w:pPr>
    <w:r>
      <w:rPr>
        <w:rStyle w:val="PageNumber"/>
      </w:rPr>
      <w:fldChar w:fldCharType="begin"/>
    </w:r>
    <w:r>
      <w:rPr>
        <w:rStyle w:val="PageNumber"/>
      </w:rPr>
      <w:instrText xml:space="preserve"> PAGE </w:instrText>
    </w:r>
    <w:r>
      <w:rPr>
        <w:rStyle w:val="PageNumber"/>
      </w:rPr>
      <w:fldChar w:fldCharType="separate"/>
    </w:r>
    <w:r w:rsidR="008B65E8">
      <w:rPr>
        <w:rStyle w:val="PageNumber"/>
        <w:noProof/>
      </w:rPr>
      <w:t>14</w:t>
    </w:r>
    <w:r>
      <w:rPr>
        <w:rStyle w:val="PageNumber"/>
      </w:rPr>
      <w:fldChar w:fldCharType="end"/>
    </w:r>
    <w:r>
      <w:tab/>
      <w:t xml:space="preserve">HOTĂRÂREA S.C. CONTINENTAL HOTELS S.A. ÎMPOTRIVA ROMÂNIEI (FOND) </w:t>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586" w:rsidRPr="003152BA" w:rsidRDefault="00EB7586" w:rsidP="00D420F3">
    <w:pPr>
      <w:pStyle w:val="ECHRHeader"/>
    </w:pPr>
    <w:r>
      <w:tab/>
      <w:t xml:space="preserve"> </w:t>
    </w:r>
    <w:r>
      <w:t>HOTĂRÂREA S.C. CONTINENTAL HOTELS S.A. ÎMPOTRIVA ROMÂNIEI (FOND)</w:t>
    </w:r>
    <w:r>
      <w:tab/>
    </w:r>
    <w:r>
      <w:rPr>
        <w:rStyle w:val="PageNumber"/>
      </w:rPr>
      <w:fldChar w:fldCharType="begin"/>
    </w:r>
    <w:r>
      <w:rPr>
        <w:rStyle w:val="PageNumber"/>
      </w:rPr>
      <w:instrText xml:space="preserve"> PAGE </w:instrText>
    </w:r>
    <w:r>
      <w:rPr>
        <w:rStyle w:val="PageNumber"/>
      </w:rPr>
      <w:fldChar w:fldCharType="separate"/>
    </w:r>
    <w:r w:rsidR="008B65E8">
      <w:rPr>
        <w:rStyle w:val="PageNumber"/>
        <w:noProof/>
      </w:rPr>
      <w:t>15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2C4B8F"/>
    <w:multiLevelType w:val="multilevel"/>
    <w:tmpl w:val="0898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FD1241"/>
    <w:multiLevelType w:val="hybridMultilevel"/>
    <w:tmpl w:val="F6D86CC2"/>
    <w:lvl w:ilvl="0" w:tplc="135E7E6C">
      <w:start w:val="1"/>
      <w:numFmt w:val="bullet"/>
      <w:pStyle w:val="ListBullet"/>
      <w:lvlText w:val=""/>
      <w:lvlJc w:val="left"/>
      <w:pPr>
        <w:tabs>
          <w:tab w:val="num" w:pos="851"/>
        </w:tabs>
        <w:ind w:left="568" w:firstLine="0"/>
      </w:pPr>
      <w:rPr>
        <w:rFonts w:ascii="Wingdings" w:hAnsi="Wingdings" w:hint="default"/>
        <w:color w:val="808080"/>
        <w:sz w:val="16"/>
      </w:rPr>
    </w:lvl>
    <w:lvl w:ilvl="1" w:tplc="810288C4" w:tentative="1">
      <w:start w:val="1"/>
      <w:numFmt w:val="bullet"/>
      <w:lvlText w:val="o"/>
      <w:lvlJc w:val="left"/>
      <w:pPr>
        <w:tabs>
          <w:tab w:val="num" w:pos="1724"/>
        </w:tabs>
        <w:ind w:left="1724" w:hanging="360"/>
      </w:pPr>
      <w:rPr>
        <w:rFonts w:ascii="Courier New" w:hAnsi="Courier New" w:cs="Courier New" w:hint="default"/>
      </w:rPr>
    </w:lvl>
    <w:lvl w:ilvl="2" w:tplc="4470F988" w:tentative="1">
      <w:start w:val="1"/>
      <w:numFmt w:val="bullet"/>
      <w:lvlText w:val=""/>
      <w:lvlJc w:val="left"/>
      <w:pPr>
        <w:tabs>
          <w:tab w:val="num" w:pos="2444"/>
        </w:tabs>
        <w:ind w:left="2444" w:hanging="360"/>
      </w:pPr>
      <w:rPr>
        <w:rFonts w:ascii="Wingdings" w:hAnsi="Wingdings" w:hint="default"/>
      </w:rPr>
    </w:lvl>
    <w:lvl w:ilvl="3" w:tplc="5FACB78A" w:tentative="1">
      <w:start w:val="1"/>
      <w:numFmt w:val="bullet"/>
      <w:lvlText w:val=""/>
      <w:lvlJc w:val="left"/>
      <w:pPr>
        <w:tabs>
          <w:tab w:val="num" w:pos="3164"/>
        </w:tabs>
        <w:ind w:left="3164" w:hanging="360"/>
      </w:pPr>
      <w:rPr>
        <w:rFonts w:ascii="Symbol" w:hAnsi="Symbol" w:hint="default"/>
      </w:rPr>
    </w:lvl>
    <w:lvl w:ilvl="4" w:tplc="B63E179C" w:tentative="1">
      <w:start w:val="1"/>
      <w:numFmt w:val="bullet"/>
      <w:lvlText w:val="o"/>
      <w:lvlJc w:val="left"/>
      <w:pPr>
        <w:tabs>
          <w:tab w:val="num" w:pos="3884"/>
        </w:tabs>
        <w:ind w:left="3884" w:hanging="360"/>
      </w:pPr>
      <w:rPr>
        <w:rFonts w:ascii="Courier New" w:hAnsi="Courier New" w:cs="Courier New" w:hint="default"/>
      </w:rPr>
    </w:lvl>
    <w:lvl w:ilvl="5" w:tplc="204A3DC2" w:tentative="1">
      <w:start w:val="1"/>
      <w:numFmt w:val="bullet"/>
      <w:lvlText w:val=""/>
      <w:lvlJc w:val="left"/>
      <w:pPr>
        <w:tabs>
          <w:tab w:val="num" w:pos="4604"/>
        </w:tabs>
        <w:ind w:left="4604" w:hanging="360"/>
      </w:pPr>
      <w:rPr>
        <w:rFonts w:ascii="Wingdings" w:hAnsi="Wingdings" w:hint="default"/>
      </w:rPr>
    </w:lvl>
    <w:lvl w:ilvl="6" w:tplc="C58C412E" w:tentative="1">
      <w:start w:val="1"/>
      <w:numFmt w:val="bullet"/>
      <w:lvlText w:val=""/>
      <w:lvlJc w:val="left"/>
      <w:pPr>
        <w:tabs>
          <w:tab w:val="num" w:pos="5324"/>
        </w:tabs>
        <w:ind w:left="5324" w:hanging="360"/>
      </w:pPr>
      <w:rPr>
        <w:rFonts w:ascii="Symbol" w:hAnsi="Symbol" w:hint="default"/>
      </w:rPr>
    </w:lvl>
    <w:lvl w:ilvl="7" w:tplc="D4D47A0A" w:tentative="1">
      <w:start w:val="1"/>
      <w:numFmt w:val="bullet"/>
      <w:lvlText w:val="o"/>
      <w:lvlJc w:val="left"/>
      <w:pPr>
        <w:tabs>
          <w:tab w:val="num" w:pos="6044"/>
        </w:tabs>
        <w:ind w:left="6044" w:hanging="360"/>
      </w:pPr>
      <w:rPr>
        <w:rFonts w:ascii="Courier New" w:hAnsi="Courier New" w:cs="Courier New" w:hint="default"/>
      </w:rPr>
    </w:lvl>
    <w:lvl w:ilvl="8" w:tplc="4AF04BF4"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0"/>
  </w:num>
  <w:num w:numId="3">
    <w:abstractNumId w:val="9"/>
  </w:num>
  <w:num w:numId="4">
    <w:abstractNumId w:val="14"/>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3"/>
  </w:num>
  <w:num w:numId="16">
    <w:abstractNumId w:val="13"/>
  </w:num>
  <w:num w:numId="17">
    <w:abstractNumId w:val="11"/>
  </w:num>
  <w:num w:numId="18">
    <w:abstractNumId w:val="13"/>
  </w:num>
  <w:num w:numId="19">
    <w:abstractNumId w:val="1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M" w:val="0"/>
    <w:docVar w:name="NBEMMDOC" w:val="0"/>
  </w:docVars>
  <w:rsids>
    <w:rsidRoot w:val="00AE2B6C"/>
    <w:rsid w:val="00000F44"/>
    <w:rsid w:val="00001FD3"/>
    <w:rsid w:val="00006F30"/>
    <w:rsid w:val="0002270D"/>
    <w:rsid w:val="00026D37"/>
    <w:rsid w:val="00027726"/>
    <w:rsid w:val="00030E18"/>
    <w:rsid w:val="000362E7"/>
    <w:rsid w:val="00036FB5"/>
    <w:rsid w:val="000465ED"/>
    <w:rsid w:val="00050BF0"/>
    <w:rsid w:val="0005484A"/>
    <w:rsid w:val="00057953"/>
    <w:rsid w:val="0006012F"/>
    <w:rsid w:val="00062912"/>
    <w:rsid w:val="000633D0"/>
    <w:rsid w:val="00074F9E"/>
    <w:rsid w:val="000766C5"/>
    <w:rsid w:val="0007713A"/>
    <w:rsid w:val="00083554"/>
    <w:rsid w:val="00091A19"/>
    <w:rsid w:val="00092806"/>
    <w:rsid w:val="0009318E"/>
    <w:rsid w:val="000944E0"/>
    <w:rsid w:val="0009685F"/>
    <w:rsid w:val="000B0EA8"/>
    <w:rsid w:val="000C011E"/>
    <w:rsid w:val="000C203F"/>
    <w:rsid w:val="000D0BBD"/>
    <w:rsid w:val="000D37ED"/>
    <w:rsid w:val="000D420E"/>
    <w:rsid w:val="000E0EF9"/>
    <w:rsid w:val="000E4A92"/>
    <w:rsid w:val="000E5FED"/>
    <w:rsid w:val="000E761B"/>
    <w:rsid w:val="000F31F7"/>
    <w:rsid w:val="000F33E8"/>
    <w:rsid w:val="000F36ED"/>
    <w:rsid w:val="000F5FF7"/>
    <w:rsid w:val="0010143C"/>
    <w:rsid w:val="00112747"/>
    <w:rsid w:val="00113263"/>
    <w:rsid w:val="0012017A"/>
    <w:rsid w:val="00120EF2"/>
    <w:rsid w:val="00133051"/>
    <w:rsid w:val="00134EF5"/>
    <w:rsid w:val="00137920"/>
    <w:rsid w:val="0014186A"/>
    <w:rsid w:val="0014290F"/>
    <w:rsid w:val="0014395D"/>
    <w:rsid w:val="00144BB7"/>
    <w:rsid w:val="001502A9"/>
    <w:rsid w:val="00155D9C"/>
    <w:rsid w:val="00160382"/>
    <w:rsid w:val="0016161A"/>
    <w:rsid w:val="00162468"/>
    <w:rsid w:val="00162D27"/>
    <w:rsid w:val="001631BC"/>
    <w:rsid w:val="00163FA2"/>
    <w:rsid w:val="00176445"/>
    <w:rsid w:val="001815A5"/>
    <w:rsid w:val="00182EF5"/>
    <w:rsid w:val="001970F3"/>
    <w:rsid w:val="001A6BFC"/>
    <w:rsid w:val="001B1E7D"/>
    <w:rsid w:val="001B26B0"/>
    <w:rsid w:val="001C25C9"/>
    <w:rsid w:val="001C4121"/>
    <w:rsid w:val="001C4761"/>
    <w:rsid w:val="001D0693"/>
    <w:rsid w:val="001D19EC"/>
    <w:rsid w:val="001D46DB"/>
    <w:rsid w:val="001D7D74"/>
    <w:rsid w:val="001F06F8"/>
    <w:rsid w:val="001F4888"/>
    <w:rsid w:val="0020784D"/>
    <w:rsid w:val="00207D43"/>
    <w:rsid w:val="00211F7D"/>
    <w:rsid w:val="002149EB"/>
    <w:rsid w:val="002261DA"/>
    <w:rsid w:val="00235F4B"/>
    <w:rsid w:val="0023706A"/>
    <w:rsid w:val="0024028D"/>
    <w:rsid w:val="00241B33"/>
    <w:rsid w:val="002422A4"/>
    <w:rsid w:val="00243785"/>
    <w:rsid w:val="00243EBA"/>
    <w:rsid w:val="00246172"/>
    <w:rsid w:val="0025102B"/>
    <w:rsid w:val="00257FAB"/>
    <w:rsid w:val="00272958"/>
    <w:rsid w:val="00283DBA"/>
    <w:rsid w:val="002842EC"/>
    <w:rsid w:val="00293E71"/>
    <w:rsid w:val="00296AA8"/>
    <w:rsid w:val="002971B7"/>
    <w:rsid w:val="002972E7"/>
    <w:rsid w:val="002A0BEB"/>
    <w:rsid w:val="002A4A32"/>
    <w:rsid w:val="002B4470"/>
    <w:rsid w:val="002C61BF"/>
    <w:rsid w:val="002D3EB0"/>
    <w:rsid w:val="002E0D8D"/>
    <w:rsid w:val="002E4853"/>
    <w:rsid w:val="002E79AE"/>
    <w:rsid w:val="002F038F"/>
    <w:rsid w:val="002F10E4"/>
    <w:rsid w:val="00313E55"/>
    <w:rsid w:val="0032041E"/>
    <w:rsid w:val="003219C0"/>
    <w:rsid w:val="0032633B"/>
    <w:rsid w:val="0033306B"/>
    <w:rsid w:val="003358DE"/>
    <w:rsid w:val="00343083"/>
    <w:rsid w:val="00346243"/>
    <w:rsid w:val="003506BE"/>
    <w:rsid w:val="00361AAC"/>
    <w:rsid w:val="00364301"/>
    <w:rsid w:val="00373DB7"/>
    <w:rsid w:val="003833B6"/>
    <w:rsid w:val="00384C5E"/>
    <w:rsid w:val="00385FAE"/>
    <w:rsid w:val="00392710"/>
    <w:rsid w:val="0039423E"/>
    <w:rsid w:val="003959E2"/>
    <w:rsid w:val="003A0643"/>
    <w:rsid w:val="003A30CD"/>
    <w:rsid w:val="003A661A"/>
    <w:rsid w:val="003A6DDB"/>
    <w:rsid w:val="003C2DEC"/>
    <w:rsid w:val="003D38E0"/>
    <w:rsid w:val="003D3D2B"/>
    <w:rsid w:val="003D6467"/>
    <w:rsid w:val="003D73B2"/>
    <w:rsid w:val="003E490A"/>
    <w:rsid w:val="00403468"/>
    <w:rsid w:val="00403DCE"/>
    <w:rsid w:val="0040769F"/>
    <w:rsid w:val="00415ACF"/>
    <w:rsid w:val="00416DD7"/>
    <w:rsid w:val="004234F4"/>
    <w:rsid w:val="00430211"/>
    <w:rsid w:val="00430772"/>
    <w:rsid w:val="004315E5"/>
    <w:rsid w:val="004341E1"/>
    <w:rsid w:val="00435F5C"/>
    <w:rsid w:val="00444159"/>
    <w:rsid w:val="00455634"/>
    <w:rsid w:val="004628DA"/>
    <w:rsid w:val="0046438E"/>
    <w:rsid w:val="00465D8C"/>
    <w:rsid w:val="00473EAC"/>
    <w:rsid w:val="0048171C"/>
    <w:rsid w:val="00486408"/>
    <w:rsid w:val="004916B3"/>
    <w:rsid w:val="004956E2"/>
    <w:rsid w:val="004A1394"/>
    <w:rsid w:val="004A15FD"/>
    <w:rsid w:val="004A16B7"/>
    <w:rsid w:val="004B532F"/>
    <w:rsid w:val="004B562D"/>
    <w:rsid w:val="004C4738"/>
    <w:rsid w:val="004D4B49"/>
    <w:rsid w:val="004D6C5A"/>
    <w:rsid w:val="004D76D1"/>
    <w:rsid w:val="004E0946"/>
    <w:rsid w:val="004E4418"/>
    <w:rsid w:val="004E4A4D"/>
    <w:rsid w:val="004E643A"/>
    <w:rsid w:val="004E770B"/>
    <w:rsid w:val="004F5B8C"/>
    <w:rsid w:val="004F6DFD"/>
    <w:rsid w:val="00502FD9"/>
    <w:rsid w:val="005040BE"/>
    <w:rsid w:val="005134FC"/>
    <w:rsid w:val="00522FF8"/>
    <w:rsid w:val="00524CD7"/>
    <w:rsid w:val="00540B3B"/>
    <w:rsid w:val="005464CD"/>
    <w:rsid w:val="00561334"/>
    <w:rsid w:val="005636B2"/>
    <w:rsid w:val="005656DD"/>
    <w:rsid w:val="00570C63"/>
    <w:rsid w:val="00573357"/>
    <w:rsid w:val="005739E6"/>
    <w:rsid w:val="00574227"/>
    <w:rsid w:val="005750E3"/>
    <w:rsid w:val="00575548"/>
    <w:rsid w:val="00590DA5"/>
    <w:rsid w:val="00591B08"/>
    <w:rsid w:val="00592B60"/>
    <w:rsid w:val="0059700F"/>
    <w:rsid w:val="005A456C"/>
    <w:rsid w:val="005B3F0E"/>
    <w:rsid w:val="005B65F2"/>
    <w:rsid w:val="005B7ED3"/>
    <w:rsid w:val="005C00CD"/>
    <w:rsid w:val="005C33A7"/>
    <w:rsid w:val="005C3C6A"/>
    <w:rsid w:val="005E08EF"/>
    <w:rsid w:val="005E3F4E"/>
    <w:rsid w:val="005E5198"/>
    <w:rsid w:val="005E5CB6"/>
    <w:rsid w:val="005F20DE"/>
    <w:rsid w:val="005F4F4E"/>
    <w:rsid w:val="00606F3A"/>
    <w:rsid w:val="00607D39"/>
    <w:rsid w:val="006114FA"/>
    <w:rsid w:val="006126A3"/>
    <w:rsid w:val="00613650"/>
    <w:rsid w:val="0062111B"/>
    <w:rsid w:val="00624100"/>
    <w:rsid w:val="00627800"/>
    <w:rsid w:val="00627B22"/>
    <w:rsid w:val="00630F58"/>
    <w:rsid w:val="00634284"/>
    <w:rsid w:val="00636A0C"/>
    <w:rsid w:val="00637782"/>
    <w:rsid w:val="006474C6"/>
    <w:rsid w:val="00650346"/>
    <w:rsid w:val="00650375"/>
    <w:rsid w:val="00654388"/>
    <w:rsid w:val="00655F69"/>
    <w:rsid w:val="00656072"/>
    <w:rsid w:val="00661BF0"/>
    <w:rsid w:val="0066573E"/>
    <w:rsid w:val="0067386B"/>
    <w:rsid w:val="00674D82"/>
    <w:rsid w:val="00681F8A"/>
    <w:rsid w:val="00691093"/>
    <w:rsid w:val="0069498B"/>
    <w:rsid w:val="006A34B3"/>
    <w:rsid w:val="006B7F93"/>
    <w:rsid w:val="006C051F"/>
    <w:rsid w:val="006C194C"/>
    <w:rsid w:val="006D1FFD"/>
    <w:rsid w:val="006D4C1F"/>
    <w:rsid w:val="006E1A4E"/>
    <w:rsid w:val="006E2CDD"/>
    <w:rsid w:val="006E3590"/>
    <w:rsid w:val="006E6BD2"/>
    <w:rsid w:val="006F062B"/>
    <w:rsid w:val="006F1897"/>
    <w:rsid w:val="006F489E"/>
    <w:rsid w:val="007046A8"/>
    <w:rsid w:val="00704D3E"/>
    <w:rsid w:val="00706DB3"/>
    <w:rsid w:val="0071400F"/>
    <w:rsid w:val="00723DA9"/>
    <w:rsid w:val="0072435B"/>
    <w:rsid w:val="0073292A"/>
    <w:rsid w:val="0073334B"/>
    <w:rsid w:val="00735352"/>
    <w:rsid w:val="00736D03"/>
    <w:rsid w:val="00745E4E"/>
    <w:rsid w:val="00746080"/>
    <w:rsid w:val="007476D3"/>
    <w:rsid w:val="0075228D"/>
    <w:rsid w:val="00760E48"/>
    <w:rsid w:val="007619A7"/>
    <w:rsid w:val="00763B93"/>
    <w:rsid w:val="00767B13"/>
    <w:rsid w:val="00771545"/>
    <w:rsid w:val="0077175D"/>
    <w:rsid w:val="00772A29"/>
    <w:rsid w:val="00773B9A"/>
    <w:rsid w:val="00775AC0"/>
    <w:rsid w:val="007771F8"/>
    <w:rsid w:val="00784865"/>
    <w:rsid w:val="00785940"/>
    <w:rsid w:val="00786F79"/>
    <w:rsid w:val="00787817"/>
    <w:rsid w:val="00792480"/>
    <w:rsid w:val="0079510A"/>
    <w:rsid w:val="007A1700"/>
    <w:rsid w:val="007A19C9"/>
    <w:rsid w:val="007B40E5"/>
    <w:rsid w:val="007D1EA1"/>
    <w:rsid w:val="007D61FC"/>
    <w:rsid w:val="007D6793"/>
    <w:rsid w:val="007D6EF2"/>
    <w:rsid w:val="007E1085"/>
    <w:rsid w:val="007E5FBA"/>
    <w:rsid w:val="007E6B63"/>
    <w:rsid w:val="007E7281"/>
    <w:rsid w:val="007F0C3A"/>
    <w:rsid w:val="00810535"/>
    <w:rsid w:val="00810715"/>
    <w:rsid w:val="008131C8"/>
    <w:rsid w:val="00816A0C"/>
    <w:rsid w:val="00823413"/>
    <w:rsid w:val="00837EEC"/>
    <w:rsid w:val="0085053A"/>
    <w:rsid w:val="00852F3D"/>
    <w:rsid w:val="00852F96"/>
    <w:rsid w:val="00853812"/>
    <w:rsid w:val="00854220"/>
    <w:rsid w:val="008544E7"/>
    <w:rsid w:val="0085718F"/>
    <w:rsid w:val="008575D7"/>
    <w:rsid w:val="0086297D"/>
    <w:rsid w:val="00863E18"/>
    <w:rsid w:val="008674EF"/>
    <w:rsid w:val="00867EF8"/>
    <w:rsid w:val="00871754"/>
    <w:rsid w:val="00871AD0"/>
    <w:rsid w:val="00874DCE"/>
    <w:rsid w:val="0087696A"/>
    <w:rsid w:val="008800BD"/>
    <w:rsid w:val="008834B3"/>
    <w:rsid w:val="00884366"/>
    <w:rsid w:val="00891C3C"/>
    <w:rsid w:val="00893AA9"/>
    <w:rsid w:val="008A4B44"/>
    <w:rsid w:val="008B2B5A"/>
    <w:rsid w:val="008B4387"/>
    <w:rsid w:val="008B65E8"/>
    <w:rsid w:val="008C553B"/>
    <w:rsid w:val="008D12BB"/>
    <w:rsid w:val="008D1866"/>
    <w:rsid w:val="008D5B03"/>
    <w:rsid w:val="008D65EC"/>
    <w:rsid w:val="008E4916"/>
    <w:rsid w:val="008F3987"/>
    <w:rsid w:val="009011A1"/>
    <w:rsid w:val="0090364C"/>
    <w:rsid w:val="00906E09"/>
    <w:rsid w:val="0090762E"/>
    <w:rsid w:val="0091212D"/>
    <w:rsid w:val="009121C8"/>
    <w:rsid w:val="00917544"/>
    <w:rsid w:val="009213BC"/>
    <w:rsid w:val="0092149A"/>
    <w:rsid w:val="0092392A"/>
    <w:rsid w:val="00923DFD"/>
    <w:rsid w:val="00926D1B"/>
    <w:rsid w:val="0092745A"/>
    <w:rsid w:val="00927789"/>
    <w:rsid w:val="009423D6"/>
    <w:rsid w:val="009545FE"/>
    <w:rsid w:val="00955DEB"/>
    <w:rsid w:val="009577E9"/>
    <w:rsid w:val="00964C9E"/>
    <w:rsid w:val="00965087"/>
    <w:rsid w:val="0096613B"/>
    <w:rsid w:val="00970CF1"/>
    <w:rsid w:val="009908E4"/>
    <w:rsid w:val="00992746"/>
    <w:rsid w:val="009A0E96"/>
    <w:rsid w:val="009A61D6"/>
    <w:rsid w:val="009B0D80"/>
    <w:rsid w:val="009B4CF9"/>
    <w:rsid w:val="009B74D2"/>
    <w:rsid w:val="009E302C"/>
    <w:rsid w:val="009E47AC"/>
    <w:rsid w:val="009F5DEE"/>
    <w:rsid w:val="00A04096"/>
    <w:rsid w:val="00A062F4"/>
    <w:rsid w:val="00A06456"/>
    <w:rsid w:val="00A07740"/>
    <w:rsid w:val="00A106B2"/>
    <w:rsid w:val="00A111C7"/>
    <w:rsid w:val="00A112B9"/>
    <w:rsid w:val="00A135EA"/>
    <w:rsid w:val="00A173E4"/>
    <w:rsid w:val="00A20817"/>
    <w:rsid w:val="00A20D8D"/>
    <w:rsid w:val="00A214C8"/>
    <w:rsid w:val="00A26168"/>
    <w:rsid w:val="00A26FB7"/>
    <w:rsid w:val="00A32F45"/>
    <w:rsid w:val="00A4058D"/>
    <w:rsid w:val="00A40DC5"/>
    <w:rsid w:val="00A414C2"/>
    <w:rsid w:val="00A466E4"/>
    <w:rsid w:val="00A56119"/>
    <w:rsid w:val="00A60683"/>
    <w:rsid w:val="00A6106F"/>
    <w:rsid w:val="00A62A11"/>
    <w:rsid w:val="00A71373"/>
    <w:rsid w:val="00A7253E"/>
    <w:rsid w:val="00A73020"/>
    <w:rsid w:val="00A74169"/>
    <w:rsid w:val="00A7524D"/>
    <w:rsid w:val="00A83B35"/>
    <w:rsid w:val="00A95D91"/>
    <w:rsid w:val="00A96F63"/>
    <w:rsid w:val="00AA0FAB"/>
    <w:rsid w:val="00AA1216"/>
    <w:rsid w:val="00AA2394"/>
    <w:rsid w:val="00AA2FA9"/>
    <w:rsid w:val="00AC58CC"/>
    <w:rsid w:val="00AD2379"/>
    <w:rsid w:val="00AE2B6C"/>
    <w:rsid w:val="00AE7EA6"/>
    <w:rsid w:val="00AF1CB9"/>
    <w:rsid w:val="00AF3346"/>
    <w:rsid w:val="00AF4435"/>
    <w:rsid w:val="00AF6F5F"/>
    <w:rsid w:val="00AF711B"/>
    <w:rsid w:val="00B01BC6"/>
    <w:rsid w:val="00B07406"/>
    <w:rsid w:val="00B20C91"/>
    <w:rsid w:val="00B22591"/>
    <w:rsid w:val="00B24C5B"/>
    <w:rsid w:val="00B33ED7"/>
    <w:rsid w:val="00B349AF"/>
    <w:rsid w:val="00B360FA"/>
    <w:rsid w:val="00B40E90"/>
    <w:rsid w:val="00B41226"/>
    <w:rsid w:val="00B41B6C"/>
    <w:rsid w:val="00B46140"/>
    <w:rsid w:val="00B57DCC"/>
    <w:rsid w:val="00B61C75"/>
    <w:rsid w:val="00B671A0"/>
    <w:rsid w:val="00B731FE"/>
    <w:rsid w:val="00B77A4C"/>
    <w:rsid w:val="00B81383"/>
    <w:rsid w:val="00B9422B"/>
    <w:rsid w:val="00B9704E"/>
    <w:rsid w:val="00BA0B4A"/>
    <w:rsid w:val="00BA157F"/>
    <w:rsid w:val="00BA324A"/>
    <w:rsid w:val="00BA6BD0"/>
    <w:rsid w:val="00BB2338"/>
    <w:rsid w:val="00BC0BB9"/>
    <w:rsid w:val="00BC4630"/>
    <w:rsid w:val="00BC4C2E"/>
    <w:rsid w:val="00BE0DC3"/>
    <w:rsid w:val="00BE185F"/>
    <w:rsid w:val="00BF164E"/>
    <w:rsid w:val="00BF422F"/>
    <w:rsid w:val="00BF5F5E"/>
    <w:rsid w:val="00C12B09"/>
    <w:rsid w:val="00C13407"/>
    <w:rsid w:val="00C13BDA"/>
    <w:rsid w:val="00C147EE"/>
    <w:rsid w:val="00C16B04"/>
    <w:rsid w:val="00C20DE8"/>
    <w:rsid w:val="00C22B11"/>
    <w:rsid w:val="00C23766"/>
    <w:rsid w:val="00C26669"/>
    <w:rsid w:val="00C274ED"/>
    <w:rsid w:val="00C30E31"/>
    <w:rsid w:val="00C32C2C"/>
    <w:rsid w:val="00C46052"/>
    <w:rsid w:val="00C52A26"/>
    <w:rsid w:val="00C5618D"/>
    <w:rsid w:val="00C579C0"/>
    <w:rsid w:val="00C64D26"/>
    <w:rsid w:val="00C73680"/>
    <w:rsid w:val="00C745B5"/>
    <w:rsid w:val="00C757F1"/>
    <w:rsid w:val="00C76BAF"/>
    <w:rsid w:val="00C77542"/>
    <w:rsid w:val="00C853AA"/>
    <w:rsid w:val="00C85421"/>
    <w:rsid w:val="00C872BC"/>
    <w:rsid w:val="00C878FD"/>
    <w:rsid w:val="00C9198F"/>
    <w:rsid w:val="00C97910"/>
    <w:rsid w:val="00C97D73"/>
    <w:rsid w:val="00CB20C3"/>
    <w:rsid w:val="00CB6D9A"/>
    <w:rsid w:val="00CC1AA8"/>
    <w:rsid w:val="00CC3DE3"/>
    <w:rsid w:val="00CD097E"/>
    <w:rsid w:val="00CD0A78"/>
    <w:rsid w:val="00CD4FED"/>
    <w:rsid w:val="00CE333F"/>
    <w:rsid w:val="00CF234D"/>
    <w:rsid w:val="00CF748B"/>
    <w:rsid w:val="00D04E90"/>
    <w:rsid w:val="00D07673"/>
    <w:rsid w:val="00D141E4"/>
    <w:rsid w:val="00D24B39"/>
    <w:rsid w:val="00D24C82"/>
    <w:rsid w:val="00D30E49"/>
    <w:rsid w:val="00D34524"/>
    <w:rsid w:val="00D36A88"/>
    <w:rsid w:val="00D420F3"/>
    <w:rsid w:val="00D44B1C"/>
    <w:rsid w:val="00D46EE5"/>
    <w:rsid w:val="00D51E55"/>
    <w:rsid w:val="00D52BD7"/>
    <w:rsid w:val="00D52EC6"/>
    <w:rsid w:val="00D54256"/>
    <w:rsid w:val="00D55818"/>
    <w:rsid w:val="00D55F97"/>
    <w:rsid w:val="00D568E1"/>
    <w:rsid w:val="00D56FC6"/>
    <w:rsid w:val="00D61B03"/>
    <w:rsid w:val="00D620FB"/>
    <w:rsid w:val="00D63C3B"/>
    <w:rsid w:val="00D63CF4"/>
    <w:rsid w:val="00D64652"/>
    <w:rsid w:val="00D650A3"/>
    <w:rsid w:val="00D71480"/>
    <w:rsid w:val="00D73D54"/>
    <w:rsid w:val="00D81B75"/>
    <w:rsid w:val="00D85888"/>
    <w:rsid w:val="00D86E2F"/>
    <w:rsid w:val="00D90E9E"/>
    <w:rsid w:val="00DA0146"/>
    <w:rsid w:val="00DA12A9"/>
    <w:rsid w:val="00DB0A66"/>
    <w:rsid w:val="00DB3C13"/>
    <w:rsid w:val="00DB6E45"/>
    <w:rsid w:val="00DC3032"/>
    <w:rsid w:val="00DC31B8"/>
    <w:rsid w:val="00DC4AAA"/>
    <w:rsid w:val="00DD17D7"/>
    <w:rsid w:val="00DE2739"/>
    <w:rsid w:val="00DE3B50"/>
    <w:rsid w:val="00DE6014"/>
    <w:rsid w:val="00DE7E71"/>
    <w:rsid w:val="00DF2393"/>
    <w:rsid w:val="00E02E87"/>
    <w:rsid w:val="00E14664"/>
    <w:rsid w:val="00E16B05"/>
    <w:rsid w:val="00E17CB7"/>
    <w:rsid w:val="00E216EA"/>
    <w:rsid w:val="00E239F3"/>
    <w:rsid w:val="00E23DF7"/>
    <w:rsid w:val="00E25B13"/>
    <w:rsid w:val="00E26E61"/>
    <w:rsid w:val="00E361D1"/>
    <w:rsid w:val="00E42717"/>
    <w:rsid w:val="00E46183"/>
    <w:rsid w:val="00E5544A"/>
    <w:rsid w:val="00E575F4"/>
    <w:rsid w:val="00E67890"/>
    <w:rsid w:val="00E815E6"/>
    <w:rsid w:val="00E83A90"/>
    <w:rsid w:val="00E83D35"/>
    <w:rsid w:val="00E87134"/>
    <w:rsid w:val="00E94565"/>
    <w:rsid w:val="00E95525"/>
    <w:rsid w:val="00EA0CE0"/>
    <w:rsid w:val="00EB21AD"/>
    <w:rsid w:val="00EB7586"/>
    <w:rsid w:val="00EB7B50"/>
    <w:rsid w:val="00EC2517"/>
    <w:rsid w:val="00EC2CEA"/>
    <w:rsid w:val="00EC2F6D"/>
    <w:rsid w:val="00ED08A4"/>
    <w:rsid w:val="00ED0DEE"/>
    <w:rsid w:val="00ED4289"/>
    <w:rsid w:val="00ED63A5"/>
    <w:rsid w:val="00EE0671"/>
    <w:rsid w:val="00EE0E6C"/>
    <w:rsid w:val="00EE204F"/>
    <w:rsid w:val="00EE2ED9"/>
    <w:rsid w:val="00F0231F"/>
    <w:rsid w:val="00F031C7"/>
    <w:rsid w:val="00F04994"/>
    <w:rsid w:val="00F11D8F"/>
    <w:rsid w:val="00F15E93"/>
    <w:rsid w:val="00F26ADA"/>
    <w:rsid w:val="00F26FA4"/>
    <w:rsid w:val="00F31FF0"/>
    <w:rsid w:val="00F332CF"/>
    <w:rsid w:val="00F34232"/>
    <w:rsid w:val="00F4698C"/>
    <w:rsid w:val="00F47BBD"/>
    <w:rsid w:val="00F528B1"/>
    <w:rsid w:val="00F57505"/>
    <w:rsid w:val="00F60B0A"/>
    <w:rsid w:val="00F622F8"/>
    <w:rsid w:val="00F6248E"/>
    <w:rsid w:val="00F6268A"/>
    <w:rsid w:val="00F62D54"/>
    <w:rsid w:val="00F72EFD"/>
    <w:rsid w:val="00F74A7C"/>
    <w:rsid w:val="00F74F8B"/>
    <w:rsid w:val="00F769F0"/>
    <w:rsid w:val="00F8625C"/>
    <w:rsid w:val="00F90D4E"/>
    <w:rsid w:val="00F937CB"/>
    <w:rsid w:val="00FA16FC"/>
    <w:rsid w:val="00FA234B"/>
    <w:rsid w:val="00FA243D"/>
    <w:rsid w:val="00FA4F8F"/>
    <w:rsid w:val="00FB3EB5"/>
    <w:rsid w:val="00FB4E78"/>
    <w:rsid w:val="00FD005F"/>
    <w:rsid w:val="00FD24A0"/>
    <w:rsid w:val="00FD415D"/>
    <w:rsid w:val="00FD60A2"/>
    <w:rsid w:val="00FE3425"/>
    <w:rsid w:val="00FE72E9"/>
    <w:rsid w:val="00FF4D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BA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EB7586"/>
    <w:pPr>
      <w:jc w:val="both"/>
    </w:pPr>
    <w:rPr>
      <w:rFonts w:eastAsiaTheme="minorEastAsia"/>
      <w:sz w:val="24"/>
    </w:rPr>
  </w:style>
  <w:style w:type="paragraph" w:styleId="Heading1">
    <w:name w:val="heading 1"/>
    <w:basedOn w:val="Normal"/>
    <w:next w:val="Normal"/>
    <w:link w:val="Heading1Char"/>
    <w:uiPriority w:val="99"/>
    <w:semiHidden/>
    <w:rsid w:val="00EB758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EB758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EB7586"/>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EB7586"/>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5E3F4E"/>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EB7586"/>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5E3F4E"/>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5E3F4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5E3F4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B7586"/>
    <w:rPr>
      <w:rFonts w:ascii="Tahoma" w:hAnsi="Tahoma" w:cs="Tahoma"/>
      <w:sz w:val="16"/>
      <w:szCs w:val="16"/>
    </w:rPr>
  </w:style>
  <w:style w:type="character" w:customStyle="1" w:styleId="BalloonTextChar">
    <w:name w:val="Balloon Text Char"/>
    <w:basedOn w:val="DefaultParagraphFont"/>
    <w:link w:val="BalloonText"/>
    <w:uiPriority w:val="99"/>
    <w:semiHidden/>
    <w:rsid w:val="00EB7586"/>
    <w:rPr>
      <w:rFonts w:ascii="Tahoma" w:eastAsiaTheme="minorEastAsia" w:hAnsi="Tahoma" w:cs="Tahoma"/>
      <w:sz w:val="16"/>
      <w:szCs w:val="16"/>
      <w:lang w:val="ro-RO"/>
    </w:rPr>
  </w:style>
  <w:style w:type="character" w:styleId="BookTitle">
    <w:name w:val="Book Title"/>
    <w:uiPriority w:val="99"/>
    <w:semiHidden/>
    <w:qFormat/>
    <w:rsid w:val="005E3F4E"/>
    <w:rPr>
      <w:i/>
      <w:iCs/>
      <w:smallCaps/>
      <w:spacing w:val="5"/>
    </w:rPr>
  </w:style>
  <w:style w:type="paragraph" w:customStyle="1" w:styleId="ECHRHeader">
    <w:name w:val="ECHR_Header"/>
    <w:aliases w:val="Ju_Header"/>
    <w:basedOn w:val="Header"/>
    <w:uiPriority w:val="4"/>
    <w:qFormat/>
    <w:rsid w:val="005E3F4E"/>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EB7586"/>
    <w:pPr>
      <w:jc w:val="left"/>
    </w:pPr>
    <w:rPr>
      <w:sz w:val="8"/>
    </w:rPr>
  </w:style>
  <w:style w:type="character" w:styleId="Strong">
    <w:name w:val="Strong"/>
    <w:uiPriority w:val="99"/>
    <w:semiHidden/>
    <w:qFormat/>
    <w:rsid w:val="005E3F4E"/>
    <w:rPr>
      <w:b/>
      <w:bCs/>
    </w:rPr>
  </w:style>
  <w:style w:type="paragraph" w:styleId="NoSpacing">
    <w:name w:val="No Spacing"/>
    <w:basedOn w:val="Normal"/>
    <w:link w:val="NoSpacingChar"/>
    <w:semiHidden/>
    <w:qFormat/>
    <w:rsid w:val="005E3F4E"/>
    <w:rPr>
      <w:sz w:val="22"/>
    </w:rPr>
  </w:style>
  <w:style w:type="character" w:customStyle="1" w:styleId="NoSpacingChar">
    <w:name w:val="No Spacing Char"/>
    <w:basedOn w:val="DefaultParagraphFont"/>
    <w:link w:val="NoSpacing"/>
    <w:semiHidden/>
    <w:rsid w:val="005E3F4E"/>
    <w:rPr>
      <w:rFonts w:eastAsiaTheme="minorEastAsia"/>
    </w:rPr>
  </w:style>
  <w:style w:type="paragraph" w:customStyle="1" w:styleId="ECHRFooterLine">
    <w:name w:val="ECHR_Footer_Line"/>
    <w:aliases w:val="Footer_Line"/>
    <w:basedOn w:val="Normal"/>
    <w:next w:val="ECHRFooter"/>
    <w:uiPriority w:val="57"/>
    <w:semiHidden/>
    <w:rsid w:val="00EB7586"/>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5E3F4E"/>
    <w:pPr>
      <w:numPr>
        <w:numId w:val="20"/>
      </w:numPr>
      <w:jc w:val="left"/>
    </w:pPr>
    <w:rPr>
      <w:b/>
    </w:rPr>
  </w:style>
  <w:style w:type="paragraph" w:customStyle="1" w:styleId="OpiPara">
    <w:name w:val="Opi_Para"/>
    <w:basedOn w:val="ECHRPara"/>
    <w:uiPriority w:val="46"/>
    <w:qFormat/>
    <w:rsid w:val="005E3F4E"/>
  </w:style>
  <w:style w:type="paragraph" w:customStyle="1" w:styleId="JuParaSub">
    <w:name w:val="Ju_Para_Sub"/>
    <w:basedOn w:val="ECHRPara"/>
    <w:uiPriority w:val="13"/>
    <w:qFormat/>
    <w:rsid w:val="005E3F4E"/>
    <w:pPr>
      <w:ind w:left="284"/>
    </w:pPr>
  </w:style>
  <w:style w:type="paragraph" w:customStyle="1" w:styleId="ECHRTitleCentre3">
    <w:name w:val="ECHR_Title_Centre_3"/>
    <w:aliases w:val="Ju_H_Article"/>
    <w:basedOn w:val="Normal"/>
    <w:next w:val="ECHRParaQuote"/>
    <w:uiPriority w:val="27"/>
    <w:qFormat/>
    <w:rsid w:val="005E3F4E"/>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5E3F4E"/>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5E3F4E"/>
  </w:style>
  <w:style w:type="paragraph" w:customStyle="1" w:styleId="OpiQuot">
    <w:name w:val="Opi_Quot"/>
    <w:basedOn w:val="ECHRParaQuote"/>
    <w:uiPriority w:val="48"/>
    <w:qFormat/>
    <w:rsid w:val="005E3F4E"/>
  </w:style>
  <w:style w:type="paragraph" w:customStyle="1" w:styleId="OpiQuotSub">
    <w:name w:val="Opi_Quot_Sub"/>
    <w:basedOn w:val="JuQuotSub"/>
    <w:uiPriority w:val="49"/>
    <w:qFormat/>
    <w:rsid w:val="005E3F4E"/>
  </w:style>
  <w:style w:type="paragraph" w:customStyle="1" w:styleId="ECHRTitleCentre2">
    <w:name w:val="ECHR_Title_Centre_2"/>
    <w:aliases w:val="Dec_H_Case"/>
    <w:basedOn w:val="Normal"/>
    <w:next w:val="ECHRPara"/>
    <w:uiPriority w:val="8"/>
    <w:qFormat/>
    <w:rsid w:val="005E3F4E"/>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5E3F4E"/>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5E3F4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5E3F4E"/>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5E3F4E"/>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5E3F4E"/>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5E3F4E"/>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5E3F4E"/>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5E3F4E"/>
    <w:pPr>
      <w:keepNext/>
      <w:keepLines/>
      <w:spacing w:before="240" w:after="120"/>
      <w:ind w:left="1236"/>
    </w:pPr>
    <w:rPr>
      <w:sz w:val="20"/>
    </w:rPr>
  </w:style>
  <w:style w:type="paragraph" w:customStyle="1" w:styleId="JuQuotSub">
    <w:name w:val="Ju_Quot_Sub"/>
    <w:basedOn w:val="ECHRParaQuote"/>
    <w:uiPriority w:val="15"/>
    <w:qFormat/>
    <w:rsid w:val="005E3F4E"/>
    <w:pPr>
      <w:ind w:left="567"/>
    </w:pPr>
  </w:style>
  <w:style w:type="paragraph" w:customStyle="1" w:styleId="JuInitialled">
    <w:name w:val="Ju_Initialled"/>
    <w:basedOn w:val="Normal"/>
    <w:uiPriority w:val="31"/>
    <w:qFormat/>
    <w:rsid w:val="005E3F4E"/>
    <w:pPr>
      <w:tabs>
        <w:tab w:val="center" w:pos="6407"/>
      </w:tabs>
      <w:spacing w:before="720"/>
      <w:jc w:val="right"/>
    </w:pPr>
  </w:style>
  <w:style w:type="paragraph" w:customStyle="1" w:styleId="OpiHA">
    <w:name w:val="Opi_H_A"/>
    <w:basedOn w:val="ECHRHeading1"/>
    <w:next w:val="OpiPara"/>
    <w:uiPriority w:val="41"/>
    <w:qFormat/>
    <w:rsid w:val="005E3F4E"/>
    <w:pPr>
      <w:tabs>
        <w:tab w:val="clear" w:pos="357"/>
      </w:tabs>
      <w:outlineLvl w:val="1"/>
    </w:pPr>
    <w:rPr>
      <w:b/>
    </w:rPr>
  </w:style>
  <w:style w:type="paragraph" w:styleId="Header">
    <w:name w:val="header"/>
    <w:basedOn w:val="Normal"/>
    <w:link w:val="HeaderChar"/>
    <w:uiPriority w:val="57"/>
    <w:semiHidden/>
    <w:rsid w:val="00EB7586"/>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EB7586"/>
    <w:rPr>
      <w:sz w:val="24"/>
      <w:lang w:val="ro-RO"/>
    </w:rPr>
  </w:style>
  <w:style w:type="character" w:customStyle="1" w:styleId="Heading1Char">
    <w:name w:val="Heading 1 Char"/>
    <w:basedOn w:val="DefaultParagraphFont"/>
    <w:link w:val="Heading1"/>
    <w:uiPriority w:val="99"/>
    <w:semiHidden/>
    <w:rsid w:val="00EB7586"/>
    <w:rPr>
      <w:rFonts w:asciiTheme="majorHAnsi" w:eastAsiaTheme="majorEastAsia" w:hAnsiTheme="majorHAnsi" w:cstheme="majorBidi"/>
      <w:b/>
      <w:bCs/>
      <w:color w:val="333333"/>
      <w:sz w:val="28"/>
      <w:szCs w:val="28"/>
      <w:lang w:val="ro-RO"/>
    </w:rPr>
  </w:style>
  <w:style w:type="paragraph" w:customStyle="1" w:styleId="ECHRHeading1">
    <w:name w:val="ECHR_Heading_1"/>
    <w:aliases w:val="Ju_H_I_Roman"/>
    <w:basedOn w:val="Heading1"/>
    <w:next w:val="ECHRPara"/>
    <w:uiPriority w:val="19"/>
    <w:qFormat/>
    <w:rsid w:val="005E3F4E"/>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5E3F4E"/>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EB7586"/>
    <w:rPr>
      <w:rFonts w:asciiTheme="majorHAnsi" w:eastAsiaTheme="majorEastAsia" w:hAnsiTheme="majorHAnsi" w:cstheme="majorBidi"/>
      <w:b/>
      <w:bCs/>
      <w:color w:val="4D4D4D"/>
      <w:sz w:val="26"/>
      <w:szCs w:val="26"/>
      <w:lang w:val="ro-RO"/>
    </w:rPr>
  </w:style>
  <w:style w:type="character" w:customStyle="1" w:styleId="JUNAMES">
    <w:name w:val="JU_NAMES"/>
    <w:uiPriority w:val="17"/>
    <w:qFormat/>
    <w:rsid w:val="005E3F4E"/>
    <w:rPr>
      <w:caps w:val="0"/>
      <w:smallCaps/>
    </w:rPr>
  </w:style>
  <w:style w:type="paragraph" w:customStyle="1" w:styleId="JuCase">
    <w:name w:val="Ju_Case"/>
    <w:basedOn w:val="Normal"/>
    <w:next w:val="ECHRPara"/>
    <w:uiPriority w:val="10"/>
    <w:rsid w:val="00EB7586"/>
    <w:pPr>
      <w:ind w:firstLine="284"/>
    </w:pPr>
    <w:rPr>
      <w:b/>
    </w:rPr>
  </w:style>
  <w:style w:type="character" w:customStyle="1" w:styleId="Heading3Char">
    <w:name w:val="Heading 3 Char"/>
    <w:basedOn w:val="DefaultParagraphFont"/>
    <w:link w:val="Heading3"/>
    <w:uiPriority w:val="99"/>
    <w:semiHidden/>
    <w:rsid w:val="00EB7586"/>
    <w:rPr>
      <w:rFonts w:asciiTheme="majorHAnsi" w:eastAsiaTheme="majorEastAsia" w:hAnsiTheme="majorHAnsi" w:cstheme="majorBidi"/>
      <w:b/>
      <w:bCs/>
      <w:color w:val="5F5F5F"/>
      <w:sz w:val="24"/>
      <w:lang w:val="ro-RO"/>
    </w:rPr>
  </w:style>
  <w:style w:type="character" w:customStyle="1" w:styleId="Heading4Char">
    <w:name w:val="Heading 4 Char"/>
    <w:basedOn w:val="DefaultParagraphFont"/>
    <w:link w:val="Heading4"/>
    <w:uiPriority w:val="99"/>
    <w:semiHidden/>
    <w:rsid w:val="00EB7586"/>
    <w:rPr>
      <w:rFonts w:asciiTheme="majorHAnsi" w:eastAsiaTheme="majorEastAsia" w:hAnsiTheme="majorHAnsi" w:cstheme="majorBidi"/>
      <w:b/>
      <w:bCs/>
      <w:i/>
      <w:iCs/>
      <w:color w:val="777777"/>
      <w:sz w:val="24"/>
      <w:lang w:val="ro-RO"/>
    </w:rPr>
  </w:style>
  <w:style w:type="character" w:customStyle="1" w:styleId="Heading5Char">
    <w:name w:val="Heading 5 Char"/>
    <w:basedOn w:val="DefaultParagraphFont"/>
    <w:link w:val="Heading5"/>
    <w:uiPriority w:val="99"/>
    <w:semiHidden/>
    <w:rsid w:val="005E3F4E"/>
    <w:rPr>
      <w:rFonts w:asciiTheme="majorHAnsi" w:eastAsiaTheme="majorEastAsia" w:hAnsiTheme="majorHAnsi" w:cstheme="majorBidi"/>
      <w:b/>
      <w:bCs/>
      <w:color w:val="808080"/>
    </w:rPr>
  </w:style>
  <w:style w:type="character" w:styleId="SubtleEmphasis">
    <w:name w:val="Subtle Emphasis"/>
    <w:uiPriority w:val="99"/>
    <w:semiHidden/>
    <w:qFormat/>
    <w:rsid w:val="005E3F4E"/>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5E3F4E"/>
    <w:pPr>
      <w:keepNext/>
      <w:keepLines/>
      <w:spacing w:before="720" w:after="240"/>
      <w:outlineLvl w:val="0"/>
    </w:pPr>
    <w:rPr>
      <w:rFonts w:asciiTheme="majorHAnsi" w:hAnsiTheme="majorHAnsi"/>
      <w:sz w:val="28"/>
    </w:rPr>
  </w:style>
  <w:style w:type="character" w:styleId="Emphasis">
    <w:name w:val="Emphasis"/>
    <w:uiPriority w:val="99"/>
    <w:semiHidden/>
    <w:qFormat/>
    <w:rsid w:val="005E3F4E"/>
    <w:rPr>
      <w:b/>
      <w:bCs/>
      <w:i/>
      <w:iCs/>
      <w:spacing w:val="10"/>
      <w:bdr w:val="none" w:sz="0" w:space="0" w:color="auto"/>
      <w:shd w:val="clear" w:color="auto" w:fill="auto"/>
    </w:rPr>
  </w:style>
  <w:style w:type="paragraph" w:styleId="Footer">
    <w:name w:val="footer"/>
    <w:basedOn w:val="Normal"/>
    <w:link w:val="FooterChar"/>
    <w:uiPriority w:val="57"/>
    <w:semiHidden/>
    <w:rsid w:val="00EB7586"/>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EB7586"/>
    <w:rPr>
      <w:sz w:val="24"/>
      <w:lang w:val="ro-RO"/>
    </w:rPr>
  </w:style>
  <w:style w:type="character" w:styleId="FootnoteReference">
    <w:name w:val="footnote reference"/>
    <w:basedOn w:val="DefaultParagraphFont"/>
    <w:uiPriority w:val="99"/>
    <w:semiHidden/>
    <w:rsid w:val="00EB7586"/>
    <w:rPr>
      <w:vertAlign w:val="superscript"/>
    </w:rPr>
  </w:style>
  <w:style w:type="paragraph" w:styleId="FootnoteText">
    <w:name w:val="footnote text"/>
    <w:basedOn w:val="Normal"/>
    <w:link w:val="FootnoteTextChar"/>
    <w:uiPriority w:val="99"/>
    <w:semiHidden/>
    <w:rsid w:val="00EB7586"/>
    <w:rPr>
      <w:sz w:val="20"/>
      <w:szCs w:val="20"/>
    </w:rPr>
  </w:style>
  <w:style w:type="character" w:customStyle="1" w:styleId="FootnoteTextChar">
    <w:name w:val="Footnote Text Char"/>
    <w:basedOn w:val="DefaultParagraphFont"/>
    <w:link w:val="FootnoteText"/>
    <w:uiPriority w:val="99"/>
    <w:semiHidden/>
    <w:rsid w:val="00EB7586"/>
    <w:rPr>
      <w:rFonts w:eastAsiaTheme="minorEastAsia"/>
      <w:sz w:val="20"/>
      <w:szCs w:val="20"/>
      <w:lang w:val="ro-RO"/>
    </w:rPr>
  </w:style>
  <w:style w:type="character" w:customStyle="1" w:styleId="Heading6Char">
    <w:name w:val="Heading 6 Char"/>
    <w:basedOn w:val="DefaultParagraphFont"/>
    <w:link w:val="Heading6"/>
    <w:uiPriority w:val="99"/>
    <w:semiHidden/>
    <w:rsid w:val="00EB7586"/>
    <w:rPr>
      <w:rFonts w:asciiTheme="majorHAnsi" w:eastAsiaTheme="majorEastAsia" w:hAnsiTheme="majorHAnsi" w:cstheme="majorBidi"/>
      <w:b/>
      <w:bCs/>
      <w:i/>
      <w:iCs/>
      <w:color w:val="7F7F7F" w:themeColor="text1" w:themeTint="80"/>
      <w:sz w:val="24"/>
      <w:lang w:val="ro-RO" w:bidi="en-US"/>
    </w:rPr>
  </w:style>
  <w:style w:type="character" w:customStyle="1" w:styleId="Heading7Char">
    <w:name w:val="Heading 7 Char"/>
    <w:basedOn w:val="DefaultParagraphFont"/>
    <w:link w:val="Heading7"/>
    <w:uiPriority w:val="99"/>
    <w:semiHidden/>
    <w:rsid w:val="005E3F4E"/>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5E3F4E"/>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5E3F4E"/>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EB7586"/>
    <w:rPr>
      <w:color w:val="0072BC" w:themeColor="hyperlink"/>
      <w:u w:val="single"/>
    </w:rPr>
  </w:style>
  <w:style w:type="character" w:styleId="IntenseEmphasis">
    <w:name w:val="Intense Emphasis"/>
    <w:uiPriority w:val="99"/>
    <w:semiHidden/>
    <w:qFormat/>
    <w:rsid w:val="005E3F4E"/>
    <w:rPr>
      <w:b/>
      <w:bCs/>
    </w:rPr>
  </w:style>
  <w:style w:type="paragraph" w:styleId="IntenseQuote">
    <w:name w:val="Intense Quote"/>
    <w:basedOn w:val="Normal"/>
    <w:next w:val="Normal"/>
    <w:link w:val="IntenseQuoteChar"/>
    <w:uiPriority w:val="99"/>
    <w:semiHidden/>
    <w:qFormat/>
    <w:rsid w:val="005E3F4E"/>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5E3F4E"/>
    <w:rPr>
      <w:rFonts w:eastAsiaTheme="minorEastAsia"/>
      <w:b/>
      <w:bCs/>
      <w:i/>
      <w:iCs/>
      <w:lang w:bidi="en-US"/>
    </w:rPr>
  </w:style>
  <w:style w:type="character" w:styleId="IntenseReference">
    <w:name w:val="Intense Reference"/>
    <w:uiPriority w:val="99"/>
    <w:semiHidden/>
    <w:qFormat/>
    <w:rsid w:val="005E3F4E"/>
    <w:rPr>
      <w:smallCaps/>
      <w:spacing w:val="5"/>
      <w:u w:val="single"/>
    </w:rPr>
  </w:style>
  <w:style w:type="paragraph" w:styleId="ListParagraph">
    <w:name w:val="List Paragraph"/>
    <w:basedOn w:val="Normal"/>
    <w:uiPriority w:val="99"/>
    <w:semiHidden/>
    <w:qFormat/>
    <w:rsid w:val="005E3F4E"/>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5E3F4E"/>
    <w:pPr>
      <w:spacing w:before="200"/>
      <w:ind w:left="360" w:right="360"/>
    </w:pPr>
    <w:rPr>
      <w:i/>
      <w:iCs/>
      <w:sz w:val="22"/>
      <w:lang w:bidi="en-US"/>
    </w:rPr>
  </w:style>
  <w:style w:type="character" w:customStyle="1" w:styleId="QuoteChar">
    <w:name w:val="Quote Char"/>
    <w:basedOn w:val="DefaultParagraphFont"/>
    <w:link w:val="Quote"/>
    <w:uiPriority w:val="99"/>
    <w:semiHidden/>
    <w:rsid w:val="005E3F4E"/>
    <w:rPr>
      <w:rFonts w:eastAsiaTheme="minorEastAsia"/>
      <w:i/>
      <w:iCs/>
      <w:lang w:bidi="en-US"/>
    </w:rPr>
  </w:style>
  <w:style w:type="character" w:styleId="SubtleReference">
    <w:name w:val="Subtle Reference"/>
    <w:uiPriority w:val="99"/>
    <w:semiHidden/>
    <w:qFormat/>
    <w:rsid w:val="005E3F4E"/>
    <w:rPr>
      <w:smallCaps/>
    </w:rPr>
  </w:style>
  <w:style w:type="table" w:styleId="TableGrid">
    <w:name w:val="Table Grid"/>
    <w:basedOn w:val="TableNormal"/>
    <w:uiPriority w:val="59"/>
    <w:semiHidden/>
    <w:rsid w:val="00EB758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EB758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EB758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EB758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EB7586"/>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EB758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5E3F4E"/>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EB7586"/>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5E3F4E"/>
    <w:pPr>
      <w:spacing w:before="120" w:after="120"/>
      <w:ind w:left="425" w:firstLine="142"/>
    </w:pPr>
    <w:rPr>
      <w:sz w:val="20"/>
    </w:rPr>
  </w:style>
  <w:style w:type="paragraph" w:customStyle="1" w:styleId="ECHRPara">
    <w:name w:val="ECHR_Para"/>
    <w:aliases w:val="Ju_Para"/>
    <w:basedOn w:val="Normal"/>
    <w:link w:val="ECHRParaChar"/>
    <w:uiPriority w:val="12"/>
    <w:qFormat/>
    <w:rsid w:val="005E3F4E"/>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EB7586"/>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5E3F4E"/>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5E3F4E"/>
    <w:pPr>
      <w:ind w:left="340" w:hanging="340"/>
    </w:pPr>
  </w:style>
  <w:style w:type="paragraph" w:customStyle="1" w:styleId="JuSigned">
    <w:name w:val="Ju_Signed"/>
    <w:basedOn w:val="Normal"/>
    <w:next w:val="JuParaLast"/>
    <w:uiPriority w:val="32"/>
    <w:qFormat/>
    <w:rsid w:val="005E3F4E"/>
    <w:pPr>
      <w:tabs>
        <w:tab w:val="center" w:pos="851"/>
        <w:tab w:val="center" w:pos="6407"/>
      </w:tabs>
      <w:spacing w:before="720"/>
      <w:jc w:val="left"/>
    </w:pPr>
  </w:style>
  <w:style w:type="paragraph" w:customStyle="1" w:styleId="JuParaLast">
    <w:name w:val="Ju_Para_Last"/>
    <w:basedOn w:val="Normal"/>
    <w:next w:val="ECHRPara"/>
    <w:uiPriority w:val="30"/>
    <w:qFormat/>
    <w:rsid w:val="005E3F4E"/>
    <w:pPr>
      <w:keepNext/>
      <w:keepLines/>
      <w:spacing w:before="240"/>
      <w:ind w:firstLine="284"/>
    </w:pPr>
  </w:style>
  <w:style w:type="paragraph" w:customStyle="1" w:styleId="JuCourt">
    <w:name w:val="Ju_Court"/>
    <w:basedOn w:val="Normal"/>
    <w:next w:val="Normal"/>
    <w:uiPriority w:val="16"/>
    <w:qFormat/>
    <w:rsid w:val="005E3F4E"/>
    <w:pPr>
      <w:tabs>
        <w:tab w:val="left" w:pos="907"/>
        <w:tab w:val="left" w:pos="1701"/>
        <w:tab w:val="right" w:pos="7371"/>
      </w:tabs>
      <w:spacing w:before="240"/>
      <w:ind w:left="397" w:hanging="397"/>
      <w:jc w:val="left"/>
    </w:pPr>
    <w:rPr>
      <w:lang w:bidi="en-US"/>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5E3F4E"/>
    <w:pPr>
      <w:ind w:left="346" w:firstLine="0"/>
    </w:pPr>
  </w:style>
  <w:style w:type="paragraph" w:customStyle="1" w:styleId="JuListi">
    <w:name w:val="Ju_List_i"/>
    <w:basedOn w:val="Normal"/>
    <w:next w:val="JuLista"/>
    <w:uiPriority w:val="28"/>
    <w:qFormat/>
    <w:rsid w:val="005E3F4E"/>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uiPriority w:val="99"/>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basedOn w:val="DefaultParagraphFont"/>
    <w:uiPriority w:val="99"/>
    <w:semiHidden/>
    <w:rsid w:val="00EB7586"/>
    <w:rPr>
      <w:vertAlign w:val="superscript"/>
    </w:rPr>
  </w:style>
  <w:style w:type="paragraph" w:styleId="EndnoteText">
    <w:name w:val="endnote text"/>
    <w:basedOn w:val="Normal"/>
    <w:link w:val="EndnoteTextChar"/>
    <w:uiPriority w:val="99"/>
    <w:semiHidden/>
    <w:rsid w:val="00EB7586"/>
    <w:rPr>
      <w:sz w:val="20"/>
      <w:szCs w:val="20"/>
    </w:rPr>
  </w:style>
  <w:style w:type="character" w:customStyle="1" w:styleId="EndnoteTextChar">
    <w:name w:val="Endnote Text Char"/>
    <w:basedOn w:val="DefaultParagraphFont"/>
    <w:link w:val="EndnoteText"/>
    <w:uiPriority w:val="99"/>
    <w:semiHidden/>
    <w:rsid w:val="00EB7586"/>
    <w:rPr>
      <w:rFonts w:eastAsiaTheme="minorEastAsia"/>
      <w:sz w:val="20"/>
      <w:szCs w:val="20"/>
      <w:lang w:val="ro-RO"/>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character" w:customStyle="1" w:styleId="JuNames0">
    <w:name w:val="Ju_Names"/>
    <w:rsid w:val="00014566"/>
    <w:rPr>
      <w:smallCaps/>
    </w:rPr>
  </w:style>
  <w:style w:type="paragraph" w:styleId="ListBullet">
    <w:name w:val="List Bullet"/>
    <w:basedOn w:val="Normal"/>
    <w:uiPriority w:val="99"/>
    <w:semiHidden/>
    <w:rsid w:val="00014566"/>
    <w:pPr>
      <w:numPr>
        <w:numId w:val="1"/>
      </w:numPr>
    </w:pPr>
  </w:style>
  <w:style w:type="character" w:customStyle="1" w:styleId="JuITMark">
    <w:name w:val="Ju_ITMark"/>
    <w:basedOn w:val="DefaultParagraphFont"/>
    <w:uiPriority w:val="38"/>
    <w:qFormat/>
    <w:rsid w:val="005E3F4E"/>
    <w:rPr>
      <w:vanish w:val="0"/>
      <w:color w:val="auto"/>
      <w:sz w:val="14"/>
      <w:bdr w:val="none" w:sz="0" w:space="0" w:color="auto"/>
      <w:shd w:val="clear" w:color="auto" w:fill="BEE5FF" w:themeFill="background1" w:themeFillTint="33"/>
    </w:rPr>
  </w:style>
  <w:style w:type="paragraph" w:styleId="Subtitle">
    <w:name w:val="Subtitle"/>
    <w:basedOn w:val="Normal"/>
    <w:next w:val="Normal"/>
    <w:link w:val="SubtitleChar"/>
    <w:uiPriority w:val="99"/>
    <w:semiHidden/>
    <w:qFormat/>
    <w:rsid w:val="005E3F4E"/>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5E3F4E"/>
    <w:rPr>
      <w:rFonts w:asciiTheme="majorHAnsi" w:eastAsiaTheme="majorEastAsia" w:hAnsiTheme="majorHAnsi" w:cstheme="majorBidi"/>
      <w:i/>
      <w:iCs/>
      <w:spacing w:val="13"/>
      <w:sz w:val="24"/>
      <w:szCs w:val="24"/>
      <w:lang w:bidi="en-US"/>
    </w:rPr>
  </w:style>
  <w:style w:type="numbering" w:styleId="111111">
    <w:name w:val="Outline List 2"/>
    <w:basedOn w:val="NoList"/>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ro-RO" w:eastAsia="fr-FR"/>
    </w:rPr>
  </w:style>
  <w:style w:type="table" w:styleId="MediumGrid1">
    <w:name w:val="Medium Grid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customStyle="1" w:styleId="OpiTranslation">
    <w:name w:val="Opi_Translation"/>
    <w:basedOn w:val="Normal"/>
    <w:next w:val="OpiPara"/>
    <w:uiPriority w:val="40"/>
    <w:qFormat/>
    <w:rsid w:val="005E3F4E"/>
    <w:pPr>
      <w:jc w:val="center"/>
      <w:outlineLvl w:val="0"/>
    </w:pPr>
    <w:rPr>
      <w:i/>
    </w:rPr>
  </w:style>
  <w:style w:type="paragraph" w:customStyle="1" w:styleId="OpiH1">
    <w:name w:val="Opi_H_1"/>
    <w:basedOn w:val="ECHRHeading2"/>
    <w:uiPriority w:val="42"/>
    <w:qFormat/>
    <w:rsid w:val="005E3F4E"/>
    <w:pPr>
      <w:ind w:left="635" w:hanging="357"/>
      <w:outlineLvl w:val="2"/>
    </w:pPr>
  </w:style>
  <w:style w:type="character" w:styleId="PlaceholderText">
    <w:name w:val="Placeholder Text"/>
    <w:basedOn w:val="DefaultParagraphFont"/>
    <w:uiPriority w:val="99"/>
    <w:semiHidden/>
    <w:rsid w:val="00EB7586"/>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EB758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EB758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OpiHa0">
    <w:name w:val="Opi_H_a"/>
    <w:basedOn w:val="ECHRHeading3"/>
    <w:uiPriority w:val="43"/>
    <w:qFormat/>
    <w:rsid w:val="005E3F4E"/>
    <w:pPr>
      <w:ind w:left="833" w:hanging="357"/>
      <w:outlineLvl w:val="3"/>
    </w:pPr>
    <w:rPr>
      <w:b/>
      <w:i w:val="0"/>
      <w:sz w:val="20"/>
    </w:rPr>
  </w:style>
  <w:style w:type="paragraph" w:customStyle="1" w:styleId="DecHTitle">
    <w:name w:val="Dec_H_Title"/>
    <w:basedOn w:val="ECHRTitleCentre1"/>
    <w:uiPriority w:val="7"/>
    <w:qFormat/>
    <w:rsid w:val="005E3F4E"/>
  </w:style>
  <w:style w:type="paragraph" w:customStyle="1" w:styleId="DecList">
    <w:name w:val="Dec_List"/>
    <w:basedOn w:val="Normal"/>
    <w:uiPriority w:val="9"/>
    <w:qFormat/>
    <w:rsid w:val="005E3F4E"/>
    <w:pPr>
      <w:spacing w:before="240"/>
      <w:ind w:left="284"/>
    </w:pPr>
  </w:style>
  <w:style w:type="paragraph" w:customStyle="1" w:styleId="OpiHi">
    <w:name w:val="Opi_H_i"/>
    <w:basedOn w:val="ECHRHeading4"/>
    <w:uiPriority w:val="44"/>
    <w:qFormat/>
    <w:rsid w:val="005E3F4E"/>
    <w:pPr>
      <w:ind w:left="1037" w:hanging="357"/>
      <w:outlineLvl w:val="4"/>
    </w:pPr>
    <w:rPr>
      <w:b w:val="0"/>
      <w:i/>
    </w:rPr>
  </w:style>
  <w:style w:type="paragraph" w:customStyle="1" w:styleId="DummyStyle">
    <w:name w:val="Dummy_Style"/>
    <w:basedOn w:val="Normal"/>
    <w:semiHidden/>
    <w:qFormat/>
    <w:rsid w:val="005E3F4E"/>
    <w:rPr>
      <w:color w:val="00B050"/>
    </w:rPr>
  </w:style>
  <w:style w:type="paragraph" w:styleId="NoteHeading">
    <w:name w:val="Note Heading"/>
    <w:basedOn w:val="Normal"/>
    <w:next w:val="Normal"/>
    <w:link w:val="NoteHeadingChar"/>
    <w:uiPriority w:val="99"/>
    <w:semiHidden/>
    <w:rsid w:val="00EB7586"/>
  </w:style>
  <w:style w:type="character" w:customStyle="1" w:styleId="NoteHeadingChar">
    <w:name w:val="Note Heading Char"/>
    <w:basedOn w:val="DefaultParagraphFont"/>
    <w:link w:val="NoteHeading"/>
    <w:uiPriority w:val="99"/>
    <w:semiHidden/>
    <w:rsid w:val="00EB7586"/>
    <w:rPr>
      <w:rFonts w:eastAsiaTheme="minorEastAsia"/>
      <w:sz w:val="24"/>
      <w:lang w:val="ro-RO"/>
    </w:rPr>
  </w:style>
  <w:style w:type="paragraph" w:customStyle="1" w:styleId="JuHeaderLandscape">
    <w:name w:val="Ju_Header_Landscape"/>
    <w:basedOn w:val="ECHRHeader"/>
    <w:uiPriority w:val="4"/>
    <w:qFormat/>
    <w:rsid w:val="005E3F4E"/>
    <w:pPr>
      <w:tabs>
        <w:tab w:val="clear" w:pos="3686"/>
        <w:tab w:val="clear" w:pos="7371"/>
        <w:tab w:val="center" w:pos="6146"/>
        <w:tab w:val="right" w:pos="12293"/>
      </w:tabs>
    </w:pPr>
  </w:style>
  <w:style w:type="character" w:customStyle="1" w:styleId="ECHRParaChar">
    <w:name w:val="ECHR_Para Char"/>
    <w:aliases w:val="Ju_Para Char"/>
    <w:basedOn w:val="DefaultParagraphFont"/>
    <w:link w:val="ECHRPara"/>
    <w:uiPriority w:val="12"/>
    <w:rsid w:val="00B41226"/>
    <w:rPr>
      <w:rFonts w:eastAsiaTheme="minorEastAsia"/>
      <w:sz w:val="24"/>
      <w:lang w:val="ro-RO"/>
    </w:rPr>
  </w:style>
  <w:style w:type="paragraph" w:styleId="Revision">
    <w:name w:val="Revision"/>
    <w:hidden/>
    <w:uiPriority w:val="99"/>
    <w:semiHidden/>
    <w:rsid w:val="00650375"/>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168">
      <w:bodyDiv w:val="1"/>
      <w:marLeft w:val="0"/>
      <w:marRight w:val="0"/>
      <w:marTop w:val="0"/>
      <w:marBottom w:val="0"/>
      <w:divBdr>
        <w:top w:val="none" w:sz="0" w:space="0" w:color="auto"/>
        <w:left w:val="none" w:sz="0" w:space="0" w:color="auto"/>
        <w:bottom w:val="none" w:sz="0" w:space="0" w:color="auto"/>
        <w:right w:val="none" w:sz="0" w:space="0" w:color="auto"/>
      </w:divBdr>
      <w:divsChild>
        <w:div w:id="1617056143">
          <w:marLeft w:val="0"/>
          <w:marRight w:val="0"/>
          <w:marTop w:val="0"/>
          <w:marBottom w:val="0"/>
          <w:divBdr>
            <w:top w:val="none" w:sz="0" w:space="0" w:color="auto"/>
            <w:left w:val="none" w:sz="0" w:space="0" w:color="auto"/>
            <w:bottom w:val="none" w:sz="0" w:space="0" w:color="auto"/>
            <w:right w:val="none" w:sz="0" w:space="0" w:color="auto"/>
          </w:divBdr>
          <w:divsChild>
            <w:div w:id="141896019">
              <w:marLeft w:val="0"/>
              <w:marRight w:val="0"/>
              <w:marTop w:val="0"/>
              <w:marBottom w:val="0"/>
              <w:divBdr>
                <w:top w:val="none" w:sz="0" w:space="0" w:color="auto"/>
                <w:left w:val="none" w:sz="0" w:space="0" w:color="auto"/>
                <w:bottom w:val="none" w:sz="0" w:space="0" w:color="auto"/>
                <w:right w:val="none" w:sz="0" w:space="0" w:color="auto"/>
              </w:divBdr>
              <w:divsChild>
                <w:div w:id="538056442">
                  <w:marLeft w:val="0"/>
                  <w:marRight w:val="0"/>
                  <w:marTop w:val="0"/>
                  <w:marBottom w:val="0"/>
                  <w:divBdr>
                    <w:top w:val="none" w:sz="0" w:space="0" w:color="auto"/>
                    <w:left w:val="none" w:sz="0" w:space="0" w:color="auto"/>
                    <w:bottom w:val="none" w:sz="0" w:space="0" w:color="auto"/>
                    <w:right w:val="none" w:sz="0" w:space="0" w:color="auto"/>
                  </w:divBdr>
                  <w:divsChild>
                    <w:div w:id="54011047">
                      <w:marLeft w:val="0"/>
                      <w:marRight w:val="0"/>
                      <w:marTop w:val="0"/>
                      <w:marBottom w:val="0"/>
                      <w:divBdr>
                        <w:top w:val="none" w:sz="0" w:space="0" w:color="auto"/>
                        <w:left w:val="none" w:sz="0" w:space="0" w:color="auto"/>
                        <w:bottom w:val="none" w:sz="0" w:space="0" w:color="auto"/>
                        <w:right w:val="none" w:sz="0" w:space="0" w:color="auto"/>
                      </w:divBdr>
                      <w:divsChild>
                        <w:div w:id="40909801">
                          <w:marLeft w:val="0"/>
                          <w:marRight w:val="0"/>
                          <w:marTop w:val="0"/>
                          <w:marBottom w:val="0"/>
                          <w:divBdr>
                            <w:top w:val="none" w:sz="0" w:space="0" w:color="auto"/>
                            <w:left w:val="none" w:sz="0" w:space="0" w:color="auto"/>
                            <w:bottom w:val="none" w:sz="0" w:space="0" w:color="auto"/>
                            <w:right w:val="none" w:sz="0" w:space="0" w:color="auto"/>
                          </w:divBdr>
                          <w:divsChild>
                            <w:div w:id="20922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08976">
      <w:bodyDiv w:val="1"/>
      <w:marLeft w:val="0"/>
      <w:marRight w:val="0"/>
      <w:marTop w:val="0"/>
      <w:marBottom w:val="0"/>
      <w:divBdr>
        <w:top w:val="none" w:sz="0" w:space="0" w:color="auto"/>
        <w:left w:val="none" w:sz="0" w:space="0" w:color="auto"/>
        <w:bottom w:val="none" w:sz="0" w:space="0" w:color="auto"/>
        <w:right w:val="none" w:sz="0" w:space="0" w:color="auto"/>
      </w:divBdr>
      <w:divsChild>
        <w:div w:id="66920604">
          <w:marLeft w:val="0"/>
          <w:marRight w:val="0"/>
          <w:marTop w:val="0"/>
          <w:marBottom w:val="0"/>
          <w:divBdr>
            <w:top w:val="none" w:sz="0" w:space="0" w:color="auto"/>
            <w:left w:val="none" w:sz="0" w:space="0" w:color="auto"/>
            <w:bottom w:val="none" w:sz="0" w:space="0" w:color="auto"/>
            <w:right w:val="none" w:sz="0" w:space="0" w:color="auto"/>
          </w:divBdr>
          <w:divsChild>
            <w:div w:id="1171792805">
              <w:marLeft w:val="0"/>
              <w:marRight w:val="0"/>
              <w:marTop w:val="0"/>
              <w:marBottom w:val="0"/>
              <w:divBdr>
                <w:top w:val="none" w:sz="0" w:space="0" w:color="auto"/>
                <w:left w:val="none" w:sz="0" w:space="0" w:color="auto"/>
                <w:bottom w:val="none" w:sz="0" w:space="0" w:color="auto"/>
                <w:right w:val="none" w:sz="0" w:space="0" w:color="auto"/>
              </w:divBdr>
              <w:divsChild>
                <w:div w:id="529226326">
                  <w:marLeft w:val="0"/>
                  <w:marRight w:val="0"/>
                  <w:marTop w:val="0"/>
                  <w:marBottom w:val="0"/>
                  <w:divBdr>
                    <w:top w:val="none" w:sz="0" w:space="0" w:color="auto"/>
                    <w:left w:val="none" w:sz="0" w:space="0" w:color="auto"/>
                    <w:bottom w:val="none" w:sz="0" w:space="0" w:color="auto"/>
                    <w:right w:val="none" w:sz="0" w:space="0" w:color="auto"/>
                  </w:divBdr>
                  <w:divsChild>
                    <w:div w:id="1423798884">
                      <w:marLeft w:val="0"/>
                      <w:marRight w:val="0"/>
                      <w:marTop w:val="0"/>
                      <w:marBottom w:val="0"/>
                      <w:divBdr>
                        <w:top w:val="none" w:sz="0" w:space="0" w:color="auto"/>
                        <w:left w:val="none" w:sz="0" w:space="0" w:color="auto"/>
                        <w:bottom w:val="none" w:sz="0" w:space="0" w:color="auto"/>
                        <w:right w:val="none" w:sz="0" w:space="0" w:color="auto"/>
                      </w:divBdr>
                      <w:divsChild>
                        <w:div w:id="3113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56811">
      <w:bodyDiv w:val="1"/>
      <w:marLeft w:val="0"/>
      <w:marRight w:val="0"/>
      <w:marTop w:val="0"/>
      <w:marBottom w:val="0"/>
      <w:divBdr>
        <w:top w:val="none" w:sz="0" w:space="0" w:color="auto"/>
        <w:left w:val="none" w:sz="0" w:space="0" w:color="auto"/>
        <w:bottom w:val="none" w:sz="0" w:space="0" w:color="auto"/>
        <w:right w:val="none" w:sz="0" w:space="0" w:color="auto"/>
      </w:divBdr>
      <w:divsChild>
        <w:div w:id="881987171">
          <w:marLeft w:val="0"/>
          <w:marRight w:val="0"/>
          <w:marTop w:val="0"/>
          <w:marBottom w:val="0"/>
          <w:divBdr>
            <w:top w:val="none" w:sz="0" w:space="0" w:color="auto"/>
            <w:left w:val="none" w:sz="0" w:space="0" w:color="auto"/>
            <w:bottom w:val="none" w:sz="0" w:space="0" w:color="auto"/>
            <w:right w:val="none" w:sz="0" w:space="0" w:color="auto"/>
          </w:divBdr>
          <w:divsChild>
            <w:div w:id="431438680">
              <w:marLeft w:val="0"/>
              <w:marRight w:val="0"/>
              <w:marTop w:val="0"/>
              <w:marBottom w:val="0"/>
              <w:divBdr>
                <w:top w:val="none" w:sz="0" w:space="0" w:color="auto"/>
                <w:left w:val="none" w:sz="0" w:space="0" w:color="auto"/>
                <w:bottom w:val="none" w:sz="0" w:space="0" w:color="auto"/>
                <w:right w:val="none" w:sz="0" w:space="0" w:color="auto"/>
              </w:divBdr>
              <w:divsChild>
                <w:div w:id="568657374">
                  <w:marLeft w:val="0"/>
                  <w:marRight w:val="0"/>
                  <w:marTop w:val="0"/>
                  <w:marBottom w:val="0"/>
                  <w:divBdr>
                    <w:top w:val="none" w:sz="0" w:space="0" w:color="auto"/>
                    <w:left w:val="none" w:sz="0" w:space="0" w:color="auto"/>
                    <w:bottom w:val="none" w:sz="0" w:space="0" w:color="auto"/>
                    <w:right w:val="none" w:sz="0" w:space="0" w:color="auto"/>
                  </w:divBdr>
                  <w:divsChild>
                    <w:div w:id="853155256">
                      <w:marLeft w:val="0"/>
                      <w:marRight w:val="0"/>
                      <w:marTop w:val="0"/>
                      <w:marBottom w:val="0"/>
                      <w:divBdr>
                        <w:top w:val="none" w:sz="0" w:space="0" w:color="auto"/>
                        <w:left w:val="none" w:sz="0" w:space="0" w:color="auto"/>
                        <w:bottom w:val="none" w:sz="0" w:space="0" w:color="auto"/>
                        <w:right w:val="none" w:sz="0" w:space="0" w:color="auto"/>
                      </w:divBdr>
                      <w:divsChild>
                        <w:div w:id="1480418349">
                          <w:marLeft w:val="0"/>
                          <w:marRight w:val="0"/>
                          <w:marTop w:val="0"/>
                          <w:marBottom w:val="0"/>
                          <w:divBdr>
                            <w:top w:val="none" w:sz="0" w:space="0" w:color="auto"/>
                            <w:left w:val="none" w:sz="0" w:space="0" w:color="auto"/>
                            <w:bottom w:val="none" w:sz="0" w:space="0" w:color="auto"/>
                            <w:right w:val="none" w:sz="0" w:space="0" w:color="auto"/>
                          </w:divBdr>
                          <w:divsChild>
                            <w:div w:id="9608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866574">
      <w:bodyDiv w:val="1"/>
      <w:marLeft w:val="0"/>
      <w:marRight w:val="0"/>
      <w:marTop w:val="0"/>
      <w:marBottom w:val="0"/>
      <w:divBdr>
        <w:top w:val="none" w:sz="0" w:space="0" w:color="auto"/>
        <w:left w:val="none" w:sz="0" w:space="0" w:color="auto"/>
        <w:bottom w:val="none" w:sz="0" w:space="0" w:color="auto"/>
        <w:right w:val="none" w:sz="0" w:space="0" w:color="auto"/>
      </w:divBdr>
      <w:divsChild>
        <w:div w:id="1221792239">
          <w:marLeft w:val="0"/>
          <w:marRight w:val="0"/>
          <w:marTop w:val="0"/>
          <w:marBottom w:val="0"/>
          <w:divBdr>
            <w:top w:val="none" w:sz="0" w:space="0" w:color="auto"/>
            <w:left w:val="none" w:sz="0" w:space="0" w:color="auto"/>
            <w:bottom w:val="none" w:sz="0" w:space="0" w:color="auto"/>
            <w:right w:val="none" w:sz="0" w:space="0" w:color="auto"/>
          </w:divBdr>
          <w:divsChild>
            <w:div w:id="205872587">
              <w:marLeft w:val="0"/>
              <w:marRight w:val="0"/>
              <w:marTop w:val="0"/>
              <w:marBottom w:val="0"/>
              <w:divBdr>
                <w:top w:val="none" w:sz="0" w:space="0" w:color="auto"/>
                <w:left w:val="none" w:sz="0" w:space="0" w:color="auto"/>
                <w:bottom w:val="none" w:sz="0" w:space="0" w:color="auto"/>
                <w:right w:val="none" w:sz="0" w:space="0" w:color="auto"/>
              </w:divBdr>
              <w:divsChild>
                <w:div w:id="821308476">
                  <w:marLeft w:val="0"/>
                  <w:marRight w:val="0"/>
                  <w:marTop w:val="0"/>
                  <w:marBottom w:val="0"/>
                  <w:divBdr>
                    <w:top w:val="none" w:sz="0" w:space="0" w:color="auto"/>
                    <w:left w:val="none" w:sz="0" w:space="0" w:color="auto"/>
                    <w:bottom w:val="none" w:sz="0" w:space="0" w:color="auto"/>
                    <w:right w:val="none" w:sz="0" w:space="0" w:color="auto"/>
                  </w:divBdr>
                  <w:divsChild>
                    <w:div w:id="911818204">
                      <w:marLeft w:val="0"/>
                      <w:marRight w:val="0"/>
                      <w:marTop w:val="45"/>
                      <w:marBottom w:val="0"/>
                      <w:divBdr>
                        <w:top w:val="none" w:sz="0" w:space="0" w:color="auto"/>
                        <w:left w:val="none" w:sz="0" w:space="0" w:color="auto"/>
                        <w:bottom w:val="none" w:sz="0" w:space="0" w:color="auto"/>
                        <w:right w:val="none" w:sz="0" w:space="0" w:color="auto"/>
                      </w:divBdr>
                      <w:divsChild>
                        <w:div w:id="1223098933">
                          <w:marLeft w:val="0"/>
                          <w:marRight w:val="0"/>
                          <w:marTop w:val="0"/>
                          <w:marBottom w:val="0"/>
                          <w:divBdr>
                            <w:top w:val="none" w:sz="0" w:space="0" w:color="auto"/>
                            <w:left w:val="none" w:sz="0" w:space="0" w:color="auto"/>
                            <w:bottom w:val="none" w:sz="0" w:space="0" w:color="auto"/>
                            <w:right w:val="none" w:sz="0" w:space="0" w:color="auto"/>
                          </w:divBdr>
                          <w:divsChild>
                            <w:div w:id="940067216">
                              <w:marLeft w:val="2070"/>
                              <w:marRight w:val="3960"/>
                              <w:marTop w:val="0"/>
                              <w:marBottom w:val="0"/>
                              <w:divBdr>
                                <w:top w:val="none" w:sz="0" w:space="0" w:color="auto"/>
                                <w:left w:val="none" w:sz="0" w:space="0" w:color="auto"/>
                                <w:bottom w:val="none" w:sz="0" w:space="0" w:color="auto"/>
                                <w:right w:val="none" w:sz="0" w:space="0" w:color="auto"/>
                              </w:divBdr>
                              <w:divsChild>
                                <w:div w:id="223955060">
                                  <w:marLeft w:val="0"/>
                                  <w:marRight w:val="0"/>
                                  <w:marTop w:val="0"/>
                                  <w:marBottom w:val="0"/>
                                  <w:divBdr>
                                    <w:top w:val="none" w:sz="0" w:space="0" w:color="auto"/>
                                    <w:left w:val="none" w:sz="0" w:space="0" w:color="auto"/>
                                    <w:bottom w:val="none" w:sz="0" w:space="0" w:color="auto"/>
                                    <w:right w:val="none" w:sz="0" w:space="0" w:color="auto"/>
                                  </w:divBdr>
                                  <w:divsChild>
                                    <w:div w:id="1767648943">
                                      <w:marLeft w:val="0"/>
                                      <w:marRight w:val="0"/>
                                      <w:marTop w:val="0"/>
                                      <w:marBottom w:val="0"/>
                                      <w:divBdr>
                                        <w:top w:val="none" w:sz="0" w:space="0" w:color="auto"/>
                                        <w:left w:val="none" w:sz="0" w:space="0" w:color="auto"/>
                                        <w:bottom w:val="none" w:sz="0" w:space="0" w:color="auto"/>
                                        <w:right w:val="none" w:sz="0" w:space="0" w:color="auto"/>
                                      </w:divBdr>
                                      <w:divsChild>
                                        <w:div w:id="2016103258">
                                          <w:marLeft w:val="0"/>
                                          <w:marRight w:val="0"/>
                                          <w:marTop w:val="0"/>
                                          <w:marBottom w:val="0"/>
                                          <w:divBdr>
                                            <w:top w:val="none" w:sz="0" w:space="0" w:color="auto"/>
                                            <w:left w:val="none" w:sz="0" w:space="0" w:color="auto"/>
                                            <w:bottom w:val="none" w:sz="0" w:space="0" w:color="auto"/>
                                            <w:right w:val="none" w:sz="0" w:space="0" w:color="auto"/>
                                          </w:divBdr>
                                          <w:divsChild>
                                            <w:div w:id="1569148806">
                                              <w:marLeft w:val="0"/>
                                              <w:marRight w:val="0"/>
                                              <w:marTop w:val="90"/>
                                              <w:marBottom w:val="0"/>
                                              <w:divBdr>
                                                <w:top w:val="none" w:sz="0" w:space="0" w:color="auto"/>
                                                <w:left w:val="none" w:sz="0" w:space="0" w:color="auto"/>
                                                <w:bottom w:val="none" w:sz="0" w:space="0" w:color="auto"/>
                                                <w:right w:val="none" w:sz="0" w:space="0" w:color="auto"/>
                                              </w:divBdr>
                                              <w:divsChild>
                                                <w:div w:id="1089812763">
                                                  <w:marLeft w:val="0"/>
                                                  <w:marRight w:val="0"/>
                                                  <w:marTop w:val="0"/>
                                                  <w:marBottom w:val="0"/>
                                                  <w:divBdr>
                                                    <w:top w:val="none" w:sz="0" w:space="0" w:color="auto"/>
                                                    <w:left w:val="none" w:sz="0" w:space="0" w:color="auto"/>
                                                    <w:bottom w:val="none" w:sz="0" w:space="0" w:color="auto"/>
                                                    <w:right w:val="none" w:sz="0" w:space="0" w:color="auto"/>
                                                  </w:divBdr>
                                                  <w:divsChild>
                                                    <w:div w:id="1181510849">
                                                      <w:marLeft w:val="0"/>
                                                      <w:marRight w:val="0"/>
                                                      <w:marTop w:val="0"/>
                                                      <w:marBottom w:val="0"/>
                                                      <w:divBdr>
                                                        <w:top w:val="none" w:sz="0" w:space="0" w:color="auto"/>
                                                        <w:left w:val="none" w:sz="0" w:space="0" w:color="auto"/>
                                                        <w:bottom w:val="none" w:sz="0" w:space="0" w:color="auto"/>
                                                        <w:right w:val="none" w:sz="0" w:space="0" w:color="auto"/>
                                                      </w:divBdr>
                                                      <w:divsChild>
                                                        <w:div w:id="2051611475">
                                                          <w:marLeft w:val="0"/>
                                                          <w:marRight w:val="0"/>
                                                          <w:marTop w:val="0"/>
                                                          <w:marBottom w:val="390"/>
                                                          <w:divBdr>
                                                            <w:top w:val="none" w:sz="0" w:space="0" w:color="auto"/>
                                                            <w:left w:val="none" w:sz="0" w:space="0" w:color="auto"/>
                                                            <w:bottom w:val="none" w:sz="0" w:space="0" w:color="auto"/>
                                                            <w:right w:val="none" w:sz="0" w:space="0" w:color="auto"/>
                                                          </w:divBdr>
                                                          <w:divsChild>
                                                            <w:div w:id="1179733871">
                                                              <w:marLeft w:val="0"/>
                                                              <w:marRight w:val="0"/>
                                                              <w:marTop w:val="0"/>
                                                              <w:marBottom w:val="0"/>
                                                              <w:divBdr>
                                                                <w:top w:val="none" w:sz="0" w:space="0" w:color="auto"/>
                                                                <w:left w:val="none" w:sz="0" w:space="0" w:color="auto"/>
                                                                <w:bottom w:val="none" w:sz="0" w:space="0" w:color="auto"/>
                                                                <w:right w:val="none" w:sz="0" w:space="0" w:color="auto"/>
                                                              </w:divBdr>
                                                              <w:divsChild>
                                                                <w:div w:id="266548656">
                                                                  <w:marLeft w:val="0"/>
                                                                  <w:marRight w:val="0"/>
                                                                  <w:marTop w:val="0"/>
                                                                  <w:marBottom w:val="0"/>
                                                                  <w:divBdr>
                                                                    <w:top w:val="none" w:sz="0" w:space="0" w:color="auto"/>
                                                                    <w:left w:val="none" w:sz="0" w:space="0" w:color="auto"/>
                                                                    <w:bottom w:val="none" w:sz="0" w:space="0" w:color="auto"/>
                                                                    <w:right w:val="none" w:sz="0" w:space="0" w:color="auto"/>
                                                                  </w:divBdr>
                                                                  <w:divsChild>
                                                                    <w:div w:id="1063336641">
                                                                      <w:marLeft w:val="0"/>
                                                                      <w:marRight w:val="0"/>
                                                                      <w:marTop w:val="0"/>
                                                                      <w:marBottom w:val="0"/>
                                                                      <w:divBdr>
                                                                        <w:top w:val="none" w:sz="0" w:space="0" w:color="auto"/>
                                                                        <w:left w:val="none" w:sz="0" w:space="0" w:color="auto"/>
                                                                        <w:bottom w:val="none" w:sz="0" w:space="0" w:color="auto"/>
                                                                        <w:right w:val="none" w:sz="0" w:space="0" w:color="auto"/>
                                                                      </w:divBdr>
                                                                      <w:divsChild>
                                                                        <w:div w:id="2032947134">
                                                                          <w:marLeft w:val="0"/>
                                                                          <w:marRight w:val="0"/>
                                                                          <w:marTop w:val="0"/>
                                                                          <w:marBottom w:val="0"/>
                                                                          <w:divBdr>
                                                                            <w:top w:val="none" w:sz="0" w:space="0" w:color="auto"/>
                                                                            <w:left w:val="none" w:sz="0" w:space="0" w:color="auto"/>
                                                                            <w:bottom w:val="none" w:sz="0" w:space="0" w:color="auto"/>
                                                                            <w:right w:val="none" w:sz="0" w:space="0" w:color="auto"/>
                                                                          </w:divBdr>
                                                                          <w:divsChild>
                                                                            <w:div w:id="1889218056">
                                                                              <w:marLeft w:val="0"/>
                                                                              <w:marRight w:val="0"/>
                                                                              <w:marTop w:val="0"/>
                                                                              <w:marBottom w:val="0"/>
                                                                              <w:divBdr>
                                                                                <w:top w:val="none" w:sz="0" w:space="0" w:color="auto"/>
                                                                                <w:left w:val="none" w:sz="0" w:space="0" w:color="auto"/>
                                                                                <w:bottom w:val="none" w:sz="0" w:space="0" w:color="auto"/>
                                                                                <w:right w:val="none" w:sz="0" w:space="0" w:color="auto"/>
                                                                              </w:divBdr>
                                                                              <w:divsChild>
                                                                                <w:div w:id="2051566432">
                                                                                  <w:marLeft w:val="0"/>
                                                                                  <w:marRight w:val="0"/>
                                                                                  <w:marTop w:val="0"/>
                                                                                  <w:marBottom w:val="0"/>
                                                                                  <w:divBdr>
                                                                                    <w:top w:val="none" w:sz="0" w:space="0" w:color="auto"/>
                                                                                    <w:left w:val="none" w:sz="0" w:space="0" w:color="auto"/>
                                                                                    <w:bottom w:val="none" w:sz="0" w:space="0" w:color="auto"/>
                                                                                    <w:right w:val="none" w:sz="0" w:space="0" w:color="auto"/>
                                                                                  </w:divBdr>
                                                                                  <w:divsChild>
                                                                                    <w:div w:id="1243762797">
                                                                                      <w:marLeft w:val="0"/>
                                                                                      <w:marRight w:val="0"/>
                                                                                      <w:marTop w:val="0"/>
                                                                                      <w:marBottom w:val="0"/>
                                                                                      <w:divBdr>
                                                                                        <w:top w:val="none" w:sz="0" w:space="0" w:color="auto"/>
                                                                                        <w:left w:val="none" w:sz="0" w:space="0" w:color="auto"/>
                                                                                        <w:bottom w:val="none" w:sz="0" w:space="0" w:color="auto"/>
                                                                                        <w:right w:val="none" w:sz="0" w:space="0" w:color="auto"/>
                                                                                      </w:divBdr>
                                                                                      <w:divsChild>
                                                                                        <w:div w:id="1642687244">
                                                                                          <w:marLeft w:val="0"/>
                                                                                          <w:marRight w:val="0"/>
                                                                                          <w:marTop w:val="0"/>
                                                                                          <w:marBottom w:val="0"/>
                                                                                          <w:divBdr>
                                                                                            <w:top w:val="none" w:sz="0" w:space="0" w:color="auto"/>
                                                                                            <w:left w:val="none" w:sz="0" w:space="0" w:color="auto"/>
                                                                                            <w:bottom w:val="none" w:sz="0" w:space="0" w:color="auto"/>
                                                                                            <w:right w:val="none" w:sz="0" w:space="0" w:color="auto"/>
                                                                                          </w:divBdr>
                                                                                          <w:divsChild>
                                                                                            <w:div w:id="367148379">
                                                                                              <w:marLeft w:val="0"/>
                                                                                              <w:marRight w:val="0"/>
                                                                                              <w:marTop w:val="0"/>
                                                                                              <w:marBottom w:val="0"/>
                                                                                              <w:divBdr>
                                                                                                <w:top w:val="none" w:sz="0" w:space="0" w:color="auto"/>
                                                                                                <w:left w:val="none" w:sz="0" w:space="0" w:color="auto"/>
                                                                                                <w:bottom w:val="none" w:sz="0" w:space="0" w:color="auto"/>
                                                                                                <w:right w:val="none" w:sz="0" w:space="0" w:color="auto"/>
                                                                                              </w:divBdr>
                                                                                              <w:divsChild>
                                                                                                <w:div w:id="1682313281">
                                                                                                  <w:marLeft w:val="0"/>
                                                                                                  <w:marRight w:val="0"/>
                                                                                                  <w:marTop w:val="0"/>
                                                                                                  <w:marBottom w:val="0"/>
                                                                                                  <w:divBdr>
                                                                                                    <w:top w:val="none" w:sz="0" w:space="0" w:color="auto"/>
                                                                                                    <w:left w:val="none" w:sz="0" w:space="0" w:color="auto"/>
                                                                                                    <w:bottom w:val="none" w:sz="0" w:space="0" w:color="auto"/>
                                                                                                    <w:right w:val="none" w:sz="0" w:space="0" w:color="auto"/>
                                                                                                  </w:divBdr>
                                                                                                  <w:divsChild>
                                                                                                    <w:div w:id="1481771355">
                                                                                                      <w:marLeft w:val="0"/>
                                                                                                      <w:marRight w:val="0"/>
                                                                                                      <w:marTop w:val="0"/>
                                                                                                      <w:marBottom w:val="0"/>
                                                                                                      <w:divBdr>
                                                                                                        <w:top w:val="none" w:sz="0" w:space="0" w:color="auto"/>
                                                                                                        <w:left w:val="none" w:sz="0" w:space="0" w:color="auto"/>
                                                                                                        <w:bottom w:val="none" w:sz="0" w:space="0" w:color="auto"/>
                                                                                                        <w:right w:val="none" w:sz="0" w:space="0" w:color="auto"/>
                                                                                                      </w:divBdr>
                                                                                                      <w:divsChild>
                                                                                                        <w:div w:id="620040355">
                                                                                                          <w:marLeft w:val="0"/>
                                                                                                          <w:marRight w:val="0"/>
                                                                                                          <w:marTop w:val="0"/>
                                                                                                          <w:marBottom w:val="0"/>
                                                                                                          <w:divBdr>
                                                                                                            <w:top w:val="none" w:sz="0" w:space="0" w:color="auto"/>
                                                                                                            <w:left w:val="none" w:sz="0" w:space="0" w:color="auto"/>
                                                                                                            <w:bottom w:val="none" w:sz="0" w:space="0" w:color="auto"/>
                                                                                                            <w:right w:val="none" w:sz="0" w:space="0" w:color="auto"/>
                                                                                                          </w:divBdr>
                                                                                                          <w:divsChild>
                                                                                                            <w:div w:id="1891768282">
                                                                                                              <w:marLeft w:val="300"/>
                                                                                                              <w:marRight w:val="0"/>
                                                                                                              <w:marTop w:val="0"/>
                                                                                                              <w:marBottom w:val="0"/>
                                                                                                              <w:divBdr>
                                                                                                                <w:top w:val="none" w:sz="0" w:space="0" w:color="auto"/>
                                                                                                                <w:left w:val="none" w:sz="0" w:space="0" w:color="auto"/>
                                                                                                                <w:bottom w:val="none" w:sz="0" w:space="0" w:color="auto"/>
                                                                                                                <w:right w:val="none" w:sz="0" w:space="0" w:color="auto"/>
                                                                                                              </w:divBdr>
                                                                                                              <w:divsChild>
                                                                                                                <w:div w:id="1722629894">
                                                                                                                  <w:marLeft w:val="0"/>
                                                                                                                  <w:marRight w:val="0"/>
                                                                                                                  <w:marTop w:val="0"/>
                                                                                                                  <w:marBottom w:val="0"/>
                                                                                                                  <w:divBdr>
                                                                                                                    <w:top w:val="none" w:sz="0" w:space="0" w:color="auto"/>
                                                                                                                    <w:left w:val="none" w:sz="0" w:space="0" w:color="auto"/>
                                                                                                                    <w:bottom w:val="none" w:sz="0" w:space="0" w:color="auto"/>
                                                                                                                    <w:right w:val="none" w:sz="0" w:space="0" w:color="auto"/>
                                                                                                                  </w:divBdr>
                                                                                                                  <w:divsChild>
                                                                                                                    <w:div w:id="17019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3498176">
      <w:bodyDiv w:val="1"/>
      <w:marLeft w:val="0"/>
      <w:marRight w:val="0"/>
      <w:marTop w:val="0"/>
      <w:marBottom w:val="0"/>
      <w:divBdr>
        <w:top w:val="none" w:sz="0" w:space="0" w:color="auto"/>
        <w:left w:val="none" w:sz="0" w:space="0" w:color="auto"/>
        <w:bottom w:val="none" w:sz="0" w:space="0" w:color="auto"/>
        <w:right w:val="none" w:sz="0" w:space="0" w:color="auto"/>
      </w:divBdr>
      <w:divsChild>
        <w:div w:id="283852551">
          <w:marLeft w:val="0"/>
          <w:marRight w:val="0"/>
          <w:marTop w:val="0"/>
          <w:marBottom w:val="0"/>
          <w:divBdr>
            <w:top w:val="none" w:sz="0" w:space="0" w:color="auto"/>
            <w:left w:val="none" w:sz="0" w:space="0" w:color="auto"/>
            <w:bottom w:val="none" w:sz="0" w:space="0" w:color="auto"/>
            <w:right w:val="none" w:sz="0" w:space="0" w:color="auto"/>
          </w:divBdr>
          <w:divsChild>
            <w:div w:id="2101291328">
              <w:marLeft w:val="0"/>
              <w:marRight w:val="0"/>
              <w:marTop w:val="0"/>
              <w:marBottom w:val="0"/>
              <w:divBdr>
                <w:top w:val="none" w:sz="0" w:space="0" w:color="auto"/>
                <w:left w:val="none" w:sz="0" w:space="0" w:color="auto"/>
                <w:bottom w:val="none" w:sz="0" w:space="0" w:color="auto"/>
                <w:right w:val="none" w:sz="0" w:space="0" w:color="auto"/>
              </w:divBdr>
              <w:divsChild>
                <w:div w:id="500507467">
                  <w:marLeft w:val="0"/>
                  <w:marRight w:val="0"/>
                  <w:marTop w:val="0"/>
                  <w:marBottom w:val="0"/>
                  <w:divBdr>
                    <w:top w:val="none" w:sz="0" w:space="0" w:color="auto"/>
                    <w:left w:val="none" w:sz="0" w:space="0" w:color="auto"/>
                    <w:bottom w:val="none" w:sz="0" w:space="0" w:color="auto"/>
                    <w:right w:val="none" w:sz="0" w:space="0" w:color="auto"/>
                  </w:divBdr>
                  <w:divsChild>
                    <w:div w:id="53743024">
                      <w:marLeft w:val="0"/>
                      <w:marRight w:val="0"/>
                      <w:marTop w:val="0"/>
                      <w:marBottom w:val="0"/>
                      <w:divBdr>
                        <w:top w:val="none" w:sz="0" w:space="0" w:color="auto"/>
                        <w:left w:val="none" w:sz="0" w:space="0" w:color="auto"/>
                        <w:bottom w:val="none" w:sz="0" w:space="0" w:color="auto"/>
                        <w:right w:val="none" w:sz="0" w:space="0" w:color="auto"/>
                      </w:divBdr>
                      <w:divsChild>
                        <w:div w:id="1557738503">
                          <w:marLeft w:val="0"/>
                          <w:marRight w:val="0"/>
                          <w:marTop w:val="0"/>
                          <w:marBottom w:val="0"/>
                          <w:divBdr>
                            <w:top w:val="none" w:sz="0" w:space="0" w:color="auto"/>
                            <w:left w:val="none" w:sz="0" w:space="0" w:color="auto"/>
                            <w:bottom w:val="none" w:sz="0" w:space="0" w:color="auto"/>
                            <w:right w:val="none" w:sz="0" w:space="0" w:color="auto"/>
                          </w:divBdr>
                          <w:divsChild>
                            <w:div w:id="140630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053651">
      <w:bodyDiv w:val="1"/>
      <w:marLeft w:val="0"/>
      <w:marRight w:val="0"/>
      <w:marTop w:val="0"/>
      <w:marBottom w:val="0"/>
      <w:divBdr>
        <w:top w:val="none" w:sz="0" w:space="0" w:color="auto"/>
        <w:left w:val="none" w:sz="0" w:space="0" w:color="auto"/>
        <w:bottom w:val="none" w:sz="0" w:space="0" w:color="auto"/>
        <w:right w:val="none" w:sz="0" w:space="0" w:color="auto"/>
      </w:divBdr>
      <w:divsChild>
        <w:div w:id="1301032280">
          <w:marLeft w:val="0"/>
          <w:marRight w:val="0"/>
          <w:marTop w:val="0"/>
          <w:marBottom w:val="0"/>
          <w:divBdr>
            <w:top w:val="none" w:sz="0" w:space="0" w:color="auto"/>
            <w:left w:val="none" w:sz="0" w:space="0" w:color="auto"/>
            <w:bottom w:val="none" w:sz="0" w:space="0" w:color="auto"/>
            <w:right w:val="none" w:sz="0" w:space="0" w:color="auto"/>
          </w:divBdr>
          <w:divsChild>
            <w:div w:id="104227575">
              <w:marLeft w:val="0"/>
              <w:marRight w:val="0"/>
              <w:marTop w:val="0"/>
              <w:marBottom w:val="0"/>
              <w:divBdr>
                <w:top w:val="none" w:sz="0" w:space="0" w:color="auto"/>
                <w:left w:val="none" w:sz="0" w:space="0" w:color="auto"/>
                <w:bottom w:val="none" w:sz="0" w:space="0" w:color="auto"/>
                <w:right w:val="none" w:sz="0" w:space="0" w:color="auto"/>
              </w:divBdr>
              <w:divsChild>
                <w:div w:id="375470594">
                  <w:marLeft w:val="0"/>
                  <w:marRight w:val="0"/>
                  <w:marTop w:val="0"/>
                  <w:marBottom w:val="0"/>
                  <w:divBdr>
                    <w:top w:val="none" w:sz="0" w:space="0" w:color="auto"/>
                    <w:left w:val="none" w:sz="0" w:space="0" w:color="auto"/>
                    <w:bottom w:val="none" w:sz="0" w:space="0" w:color="auto"/>
                    <w:right w:val="none" w:sz="0" w:space="0" w:color="auto"/>
                  </w:divBdr>
                  <w:divsChild>
                    <w:div w:id="978535029">
                      <w:marLeft w:val="0"/>
                      <w:marRight w:val="0"/>
                      <w:marTop w:val="0"/>
                      <w:marBottom w:val="0"/>
                      <w:divBdr>
                        <w:top w:val="none" w:sz="0" w:space="0" w:color="auto"/>
                        <w:left w:val="none" w:sz="0" w:space="0" w:color="auto"/>
                        <w:bottom w:val="none" w:sz="0" w:space="0" w:color="auto"/>
                        <w:right w:val="none" w:sz="0" w:space="0" w:color="auto"/>
                      </w:divBdr>
                      <w:divsChild>
                        <w:div w:id="2057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710284">
      <w:bodyDiv w:val="1"/>
      <w:marLeft w:val="0"/>
      <w:marRight w:val="0"/>
      <w:marTop w:val="0"/>
      <w:marBottom w:val="0"/>
      <w:divBdr>
        <w:top w:val="none" w:sz="0" w:space="0" w:color="auto"/>
        <w:left w:val="none" w:sz="0" w:space="0" w:color="auto"/>
        <w:bottom w:val="none" w:sz="0" w:space="0" w:color="auto"/>
        <w:right w:val="none" w:sz="0" w:space="0" w:color="auto"/>
      </w:divBdr>
      <w:divsChild>
        <w:div w:id="1588462246">
          <w:marLeft w:val="0"/>
          <w:marRight w:val="0"/>
          <w:marTop w:val="0"/>
          <w:marBottom w:val="0"/>
          <w:divBdr>
            <w:top w:val="none" w:sz="0" w:space="0" w:color="auto"/>
            <w:left w:val="none" w:sz="0" w:space="0" w:color="auto"/>
            <w:bottom w:val="none" w:sz="0" w:space="0" w:color="auto"/>
            <w:right w:val="none" w:sz="0" w:space="0" w:color="auto"/>
          </w:divBdr>
          <w:divsChild>
            <w:div w:id="895047508">
              <w:marLeft w:val="0"/>
              <w:marRight w:val="0"/>
              <w:marTop w:val="0"/>
              <w:marBottom w:val="0"/>
              <w:divBdr>
                <w:top w:val="none" w:sz="0" w:space="0" w:color="auto"/>
                <w:left w:val="none" w:sz="0" w:space="0" w:color="auto"/>
                <w:bottom w:val="none" w:sz="0" w:space="0" w:color="auto"/>
                <w:right w:val="none" w:sz="0" w:space="0" w:color="auto"/>
              </w:divBdr>
              <w:divsChild>
                <w:div w:id="2020496648">
                  <w:marLeft w:val="0"/>
                  <w:marRight w:val="0"/>
                  <w:marTop w:val="0"/>
                  <w:marBottom w:val="0"/>
                  <w:divBdr>
                    <w:top w:val="none" w:sz="0" w:space="0" w:color="auto"/>
                    <w:left w:val="none" w:sz="0" w:space="0" w:color="auto"/>
                    <w:bottom w:val="none" w:sz="0" w:space="0" w:color="auto"/>
                    <w:right w:val="none" w:sz="0" w:space="0" w:color="auto"/>
                  </w:divBdr>
                  <w:divsChild>
                    <w:div w:id="772093048">
                      <w:marLeft w:val="0"/>
                      <w:marRight w:val="0"/>
                      <w:marTop w:val="0"/>
                      <w:marBottom w:val="0"/>
                      <w:divBdr>
                        <w:top w:val="none" w:sz="0" w:space="0" w:color="auto"/>
                        <w:left w:val="none" w:sz="0" w:space="0" w:color="auto"/>
                        <w:bottom w:val="none" w:sz="0" w:space="0" w:color="auto"/>
                        <w:right w:val="none" w:sz="0" w:space="0" w:color="auto"/>
                      </w:divBdr>
                      <w:divsChild>
                        <w:div w:id="527328835">
                          <w:marLeft w:val="0"/>
                          <w:marRight w:val="0"/>
                          <w:marTop w:val="0"/>
                          <w:marBottom w:val="0"/>
                          <w:divBdr>
                            <w:top w:val="none" w:sz="0" w:space="0" w:color="auto"/>
                            <w:left w:val="none" w:sz="0" w:space="0" w:color="auto"/>
                            <w:bottom w:val="none" w:sz="0" w:space="0" w:color="auto"/>
                            <w:right w:val="none" w:sz="0" w:space="0" w:color="auto"/>
                          </w:divBdr>
                          <w:divsChild>
                            <w:div w:id="16606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093933">
      <w:bodyDiv w:val="1"/>
      <w:marLeft w:val="0"/>
      <w:marRight w:val="0"/>
      <w:marTop w:val="0"/>
      <w:marBottom w:val="0"/>
      <w:divBdr>
        <w:top w:val="none" w:sz="0" w:space="0" w:color="auto"/>
        <w:left w:val="none" w:sz="0" w:space="0" w:color="auto"/>
        <w:bottom w:val="none" w:sz="0" w:space="0" w:color="auto"/>
        <w:right w:val="none" w:sz="0" w:space="0" w:color="auto"/>
      </w:divBdr>
      <w:divsChild>
        <w:div w:id="1775899627">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1493526970">
                  <w:marLeft w:val="0"/>
                  <w:marRight w:val="0"/>
                  <w:marTop w:val="0"/>
                  <w:marBottom w:val="0"/>
                  <w:divBdr>
                    <w:top w:val="none" w:sz="0" w:space="0" w:color="auto"/>
                    <w:left w:val="none" w:sz="0" w:space="0" w:color="auto"/>
                    <w:bottom w:val="none" w:sz="0" w:space="0" w:color="auto"/>
                    <w:right w:val="none" w:sz="0" w:space="0" w:color="auto"/>
                  </w:divBdr>
                  <w:divsChild>
                    <w:div w:id="365568461">
                      <w:marLeft w:val="0"/>
                      <w:marRight w:val="0"/>
                      <w:marTop w:val="0"/>
                      <w:marBottom w:val="0"/>
                      <w:divBdr>
                        <w:top w:val="none" w:sz="0" w:space="0" w:color="auto"/>
                        <w:left w:val="none" w:sz="0" w:space="0" w:color="auto"/>
                        <w:bottom w:val="none" w:sz="0" w:space="0" w:color="auto"/>
                        <w:right w:val="none" w:sz="0" w:space="0" w:color="auto"/>
                      </w:divBdr>
                      <w:divsChild>
                        <w:div w:id="602611264">
                          <w:marLeft w:val="0"/>
                          <w:marRight w:val="0"/>
                          <w:marTop w:val="0"/>
                          <w:marBottom w:val="0"/>
                          <w:divBdr>
                            <w:top w:val="none" w:sz="0" w:space="0" w:color="auto"/>
                            <w:left w:val="none" w:sz="0" w:space="0" w:color="auto"/>
                            <w:bottom w:val="none" w:sz="0" w:space="0" w:color="auto"/>
                            <w:right w:val="none" w:sz="0" w:space="0" w:color="auto"/>
                          </w:divBdr>
                          <w:divsChild>
                            <w:div w:id="138806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121642">
      <w:bodyDiv w:val="1"/>
      <w:marLeft w:val="0"/>
      <w:marRight w:val="0"/>
      <w:marTop w:val="0"/>
      <w:marBottom w:val="0"/>
      <w:divBdr>
        <w:top w:val="none" w:sz="0" w:space="0" w:color="auto"/>
        <w:left w:val="none" w:sz="0" w:space="0" w:color="auto"/>
        <w:bottom w:val="none" w:sz="0" w:space="0" w:color="auto"/>
        <w:right w:val="none" w:sz="0" w:space="0" w:color="auto"/>
      </w:divBdr>
      <w:divsChild>
        <w:div w:id="2113620227">
          <w:marLeft w:val="0"/>
          <w:marRight w:val="0"/>
          <w:marTop w:val="0"/>
          <w:marBottom w:val="0"/>
          <w:divBdr>
            <w:top w:val="none" w:sz="0" w:space="0" w:color="auto"/>
            <w:left w:val="none" w:sz="0" w:space="0" w:color="auto"/>
            <w:bottom w:val="none" w:sz="0" w:space="0" w:color="auto"/>
            <w:right w:val="none" w:sz="0" w:space="0" w:color="auto"/>
          </w:divBdr>
          <w:divsChild>
            <w:div w:id="2117405673">
              <w:marLeft w:val="0"/>
              <w:marRight w:val="0"/>
              <w:marTop w:val="0"/>
              <w:marBottom w:val="0"/>
              <w:divBdr>
                <w:top w:val="none" w:sz="0" w:space="0" w:color="auto"/>
                <w:left w:val="none" w:sz="0" w:space="0" w:color="auto"/>
                <w:bottom w:val="none" w:sz="0" w:space="0" w:color="auto"/>
                <w:right w:val="none" w:sz="0" w:space="0" w:color="auto"/>
              </w:divBdr>
              <w:divsChild>
                <w:div w:id="2139106781">
                  <w:marLeft w:val="0"/>
                  <w:marRight w:val="0"/>
                  <w:marTop w:val="0"/>
                  <w:marBottom w:val="0"/>
                  <w:divBdr>
                    <w:top w:val="none" w:sz="0" w:space="0" w:color="auto"/>
                    <w:left w:val="none" w:sz="0" w:space="0" w:color="auto"/>
                    <w:bottom w:val="none" w:sz="0" w:space="0" w:color="auto"/>
                    <w:right w:val="none" w:sz="0" w:space="0" w:color="auto"/>
                  </w:divBdr>
                  <w:divsChild>
                    <w:div w:id="2006397885">
                      <w:marLeft w:val="0"/>
                      <w:marRight w:val="0"/>
                      <w:marTop w:val="0"/>
                      <w:marBottom w:val="0"/>
                      <w:divBdr>
                        <w:top w:val="none" w:sz="0" w:space="0" w:color="auto"/>
                        <w:left w:val="none" w:sz="0" w:space="0" w:color="auto"/>
                        <w:bottom w:val="none" w:sz="0" w:space="0" w:color="auto"/>
                        <w:right w:val="none" w:sz="0" w:space="0" w:color="auto"/>
                      </w:divBdr>
                      <w:divsChild>
                        <w:div w:id="743917830">
                          <w:marLeft w:val="0"/>
                          <w:marRight w:val="0"/>
                          <w:marTop w:val="0"/>
                          <w:marBottom w:val="0"/>
                          <w:divBdr>
                            <w:top w:val="none" w:sz="0" w:space="0" w:color="auto"/>
                            <w:left w:val="none" w:sz="0" w:space="0" w:color="auto"/>
                            <w:bottom w:val="none" w:sz="0" w:space="0" w:color="auto"/>
                            <w:right w:val="none" w:sz="0" w:space="0" w:color="auto"/>
                          </w:divBdr>
                          <w:divsChild>
                            <w:div w:id="15176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670197">
      <w:bodyDiv w:val="1"/>
      <w:marLeft w:val="0"/>
      <w:marRight w:val="0"/>
      <w:marTop w:val="0"/>
      <w:marBottom w:val="0"/>
      <w:divBdr>
        <w:top w:val="none" w:sz="0" w:space="0" w:color="auto"/>
        <w:left w:val="none" w:sz="0" w:space="0" w:color="auto"/>
        <w:bottom w:val="none" w:sz="0" w:space="0" w:color="auto"/>
        <w:right w:val="none" w:sz="0" w:space="0" w:color="auto"/>
      </w:divBdr>
      <w:divsChild>
        <w:div w:id="316692814">
          <w:marLeft w:val="0"/>
          <w:marRight w:val="0"/>
          <w:marTop w:val="0"/>
          <w:marBottom w:val="0"/>
          <w:divBdr>
            <w:top w:val="none" w:sz="0" w:space="0" w:color="auto"/>
            <w:left w:val="none" w:sz="0" w:space="0" w:color="auto"/>
            <w:bottom w:val="none" w:sz="0" w:space="0" w:color="auto"/>
            <w:right w:val="none" w:sz="0" w:space="0" w:color="auto"/>
          </w:divBdr>
          <w:divsChild>
            <w:div w:id="746615336">
              <w:marLeft w:val="0"/>
              <w:marRight w:val="0"/>
              <w:marTop w:val="0"/>
              <w:marBottom w:val="0"/>
              <w:divBdr>
                <w:top w:val="none" w:sz="0" w:space="0" w:color="auto"/>
                <w:left w:val="none" w:sz="0" w:space="0" w:color="auto"/>
                <w:bottom w:val="none" w:sz="0" w:space="0" w:color="auto"/>
                <w:right w:val="none" w:sz="0" w:space="0" w:color="auto"/>
              </w:divBdr>
              <w:divsChild>
                <w:div w:id="586614779">
                  <w:marLeft w:val="0"/>
                  <w:marRight w:val="0"/>
                  <w:marTop w:val="0"/>
                  <w:marBottom w:val="0"/>
                  <w:divBdr>
                    <w:top w:val="none" w:sz="0" w:space="0" w:color="auto"/>
                    <w:left w:val="none" w:sz="0" w:space="0" w:color="auto"/>
                    <w:bottom w:val="none" w:sz="0" w:space="0" w:color="auto"/>
                    <w:right w:val="none" w:sz="0" w:space="0" w:color="auto"/>
                  </w:divBdr>
                  <w:divsChild>
                    <w:div w:id="995305482">
                      <w:marLeft w:val="0"/>
                      <w:marRight w:val="0"/>
                      <w:marTop w:val="0"/>
                      <w:marBottom w:val="0"/>
                      <w:divBdr>
                        <w:top w:val="none" w:sz="0" w:space="0" w:color="auto"/>
                        <w:left w:val="none" w:sz="0" w:space="0" w:color="auto"/>
                        <w:bottom w:val="none" w:sz="0" w:space="0" w:color="auto"/>
                        <w:right w:val="none" w:sz="0" w:space="0" w:color="auto"/>
                      </w:divBdr>
                      <w:divsChild>
                        <w:div w:id="199001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5395">
      <w:bodyDiv w:val="1"/>
      <w:marLeft w:val="0"/>
      <w:marRight w:val="0"/>
      <w:marTop w:val="0"/>
      <w:marBottom w:val="0"/>
      <w:divBdr>
        <w:top w:val="none" w:sz="0" w:space="0" w:color="auto"/>
        <w:left w:val="none" w:sz="0" w:space="0" w:color="auto"/>
        <w:bottom w:val="none" w:sz="0" w:space="0" w:color="auto"/>
        <w:right w:val="none" w:sz="0" w:space="0" w:color="auto"/>
      </w:divBdr>
      <w:divsChild>
        <w:div w:id="1546286092">
          <w:marLeft w:val="0"/>
          <w:marRight w:val="0"/>
          <w:marTop w:val="0"/>
          <w:marBottom w:val="0"/>
          <w:divBdr>
            <w:top w:val="none" w:sz="0" w:space="0" w:color="auto"/>
            <w:left w:val="none" w:sz="0" w:space="0" w:color="auto"/>
            <w:bottom w:val="none" w:sz="0" w:space="0" w:color="auto"/>
            <w:right w:val="none" w:sz="0" w:space="0" w:color="auto"/>
          </w:divBdr>
          <w:divsChild>
            <w:div w:id="400250094">
              <w:marLeft w:val="0"/>
              <w:marRight w:val="0"/>
              <w:marTop w:val="0"/>
              <w:marBottom w:val="0"/>
              <w:divBdr>
                <w:top w:val="none" w:sz="0" w:space="0" w:color="auto"/>
                <w:left w:val="none" w:sz="0" w:space="0" w:color="auto"/>
                <w:bottom w:val="none" w:sz="0" w:space="0" w:color="auto"/>
                <w:right w:val="none" w:sz="0" w:space="0" w:color="auto"/>
              </w:divBdr>
              <w:divsChild>
                <w:div w:id="426075414">
                  <w:marLeft w:val="0"/>
                  <w:marRight w:val="0"/>
                  <w:marTop w:val="0"/>
                  <w:marBottom w:val="0"/>
                  <w:divBdr>
                    <w:top w:val="none" w:sz="0" w:space="0" w:color="auto"/>
                    <w:left w:val="none" w:sz="0" w:space="0" w:color="auto"/>
                    <w:bottom w:val="none" w:sz="0" w:space="0" w:color="auto"/>
                    <w:right w:val="none" w:sz="0" w:space="0" w:color="auto"/>
                  </w:divBdr>
                  <w:divsChild>
                    <w:div w:id="540244801">
                      <w:marLeft w:val="0"/>
                      <w:marRight w:val="0"/>
                      <w:marTop w:val="0"/>
                      <w:marBottom w:val="0"/>
                      <w:divBdr>
                        <w:top w:val="none" w:sz="0" w:space="0" w:color="auto"/>
                        <w:left w:val="none" w:sz="0" w:space="0" w:color="auto"/>
                        <w:bottom w:val="none" w:sz="0" w:space="0" w:color="auto"/>
                        <w:right w:val="none" w:sz="0" w:space="0" w:color="auto"/>
                      </w:divBdr>
                      <w:divsChild>
                        <w:div w:id="6147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831802">
      <w:bodyDiv w:val="1"/>
      <w:marLeft w:val="0"/>
      <w:marRight w:val="0"/>
      <w:marTop w:val="0"/>
      <w:marBottom w:val="0"/>
      <w:divBdr>
        <w:top w:val="none" w:sz="0" w:space="0" w:color="auto"/>
        <w:left w:val="none" w:sz="0" w:space="0" w:color="auto"/>
        <w:bottom w:val="none" w:sz="0" w:space="0" w:color="auto"/>
        <w:right w:val="none" w:sz="0" w:space="0" w:color="auto"/>
      </w:divBdr>
      <w:divsChild>
        <w:div w:id="192115695">
          <w:marLeft w:val="0"/>
          <w:marRight w:val="0"/>
          <w:marTop w:val="0"/>
          <w:marBottom w:val="0"/>
          <w:divBdr>
            <w:top w:val="none" w:sz="0" w:space="0" w:color="auto"/>
            <w:left w:val="none" w:sz="0" w:space="0" w:color="auto"/>
            <w:bottom w:val="none" w:sz="0" w:space="0" w:color="auto"/>
            <w:right w:val="none" w:sz="0" w:space="0" w:color="auto"/>
          </w:divBdr>
          <w:divsChild>
            <w:div w:id="1706323766">
              <w:marLeft w:val="0"/>
              <w:marRight w:val="0"/>
              <w:marTop w:val="0"/>
              <w:marBottom w:val="0"/>
              <w:divBdr>
                <w:top w:val="none" w:sz="0" w:space="0" w:color="auto"/>
                <w:left w:val="none" w:sz="0" w:space="0" w:color="auto"/>
                <w:bottom w:val="none" w:sz="0" w:space="0" w:color="auto"/>
                <w:right w:val="none" w:sz="0" w:space="0" w:color="auto"/>
              </w:divBdr>
              <w:divsChild>
                <w:div w:id="465050642">
                  <w:marLeft w:val="0"/>
                  <w:marRight w:val="0"/>
                  <w:marTop w:val="0"/>
                  <w:marBottom w:val="0"/>
                  <w:divBdr>
                    <w:top w:val="none" w:sz="0" w:space="0" w:color="auto"/>
                    <w:left w:val="none" w:sz="0" w:space="0" w:color="auto"/>
                    <w:bottom w:val="none" w:sz="0" w:space="0" w:color="auto"/>
                    <w:right w:val="none" w:sz="0" w:space="0" w:color="auto"/>
                  </w:divBdr>
                  <w:divsChild>
                    <w:div w:id="256863947">
                      <w:marLeft w:val="0"/>
                      <w:marRight w:val="0"/>
                      <w:marTop w:val="0"/>
                      <w:marBottom w:val="0"/>
                      <w:divBdr>
                        <w:top w:val="none" w:sz="0" w:space="0" w:color="auto"/>
                        <w:left w:val="none" w:sz="0" w:space="0" w:color="auto"/>
                        <w:bottom w:val="none" w:sz="0" w:space="0" w:color="auto"/>
                        <w:right w:val="none" w:sz="0" w:space="0" w:color="auto"/>
                      </w:divBdr>
                      <w:divsChild>
                        <w:div w:id="20861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722016">
      <w:bodyDiv w:val="1"/>
      <w:marLeft w:val="0"/>
      <w:marRight w:val="0"/>
      <w:marTop w:val="0"/>
      <w:marBottom w:val="0"/>
      <w:divBdr>
        <w:top w:val="none" w:sz="0" w:space="0" w:color="auto"/>
        <w:left w:val="none" w:sz="0" w:space="0" w:color="auto"/>
        <w:bottom w:val="none" w:sz="0" w:space="0" w:color="auto"/>
        <w:right w:val="none" w:sz="0" w:space="0" w:color="auto"/>
      </w:divBdr>
      <w:divsChild>
        <w:div w:id="564336106">
          <w:marLeft w:val="0"/>
          <w:marRight w:val="0"/>
          <w:marTop w:val="0"/>
          <w:marBottom w:val="0"/>
          <w:divBdr>
            <w:top w:val="none" w:sz="0" w:space="0" w:color="auto"/>
            <w:left w:val="none" w:sz="0" w:space="0" w:color="auto"/>
            <w:bottom w:val="none" w:sz="0" w:space="0" w:color="auto"/>
            <w:right w:val="none" w:sz="0" w:space="0" w:color="auto"/>
          </w:divBdr>
          <w:divsChild>
            <w:div w:id="1151676463">
              <w:marLeft w:val="0"/>
              <w:marRight w:val="0"/>
              <w:marTop w:val="0"/>
              <w:marBottom w:val="0"/>
              <w:divBdr>
                <w:top w:val="none" w:sz="0" w:space="0" w:color="auto"/>
                <w:left w:val="none" w:sz="0" w:space="0" w:color="auto"/>
                <w:bottom w:val="none" w:sz="0" w:space="0" w:color="auto"/>
                <w:right w:val="none" w:sz="0" w:space="0" w:color="auto"/>
              </w:divBdr>
              <w:divsChild>
                <w:div w:id="952710133">
                  <w:marLeft w:val="0"/>
                  <w:marRight w:val="0"/>
                  <w:marTop w:val="0"/>
                  <w:marBottom w:val="0"/>
                  <w:divBdr>
                    <w:top w:val="none" w:sz="0" w:space="0" w:color="auto"/>
                    <w:left w:val="none" w:sz="0" w:space="0" w:color="auto"/>
                    <w:bottom w:val="none" w:sz="0" w:space="0" w:color="auto"/>
                    <w:right w:val="none" w:sz="0" w:space="0" w:color="auto"/>
                  </w:divBdr>
                  <w:divsChild>
                    <w:div w:id="160317813">
                      <w:marLeft w:val="0"/>
                      <w:marRight w:val="0"/>
                      <w:marTop w:val="0"/>
                      <w:marBottom w:val="0"/>
                      <w:divBdr>
                        <w:top w:val="none" w:sz="0" w:space="0" w:color="auto"/>
                        <w:left w:val="none" w:sz="0" w:space="0" w:color="auto"/>
                        <w:bottom w:val="none" w:sz="0" w:space="0" w:color="auto"/>
                        <w:right w:val="none" w:sz="0" w:space="0" w:color="auto"/>
                      </w:divBdr>
                      <w:divsChild>
                        <w:div w:id="50618695">
                          <w:marLeft w:val="0"/>
                          <w:marRight w:val="0"/>
                          <w:marTop w:val="0"/>
                          <w:marBottom w:val="0"/>
                          <w:divBdr>
                            <w:top w:val="none" w:sz="0" w:space="0" w:color="auto"/>
                            <w:left w:val="none" w:sz="0" w:space="0" w:color="auto"/>
                            <w:bottom w:val="none" w:sz="0" w:space="0" w:color="auto"/>
                            <w:right w:val="none" w:sz="0" w:space="0" w:color="auto"/>
                          </w:divBdr>
                          <w:divsChild>
                            <w:div w:id="2320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84893">
      <w:bodyDiv w:val="1"/>
      <w:marLeft w:val="0"/>
      <w:marRight w:val="0"/>
      <w:marTop w:val="0"/>
      <w:marBottom w:val="0"/>
      <w:divBdr>
        <w:top w:val="none" w:sz="0" w:space="0" w:color="auto"/>
        <w:left w:val="none" w:sz="0" w:space="0" w:color="auto"/>
        <w:bottom w:val="none" w:sz="0" w:space="0" w:color="auto"/>
        <w:right w:val="none" w:sz="0" w:space="0" w:color="auto"/>
      </w:divBdr>
      <w:divsChild>
        <w:div w:id="1706830572">
          <w:marLeft w:val="0"/>
          <w:marRight w:val="0"/>
          <w:marTop w:val="0"/>
          <w:marBottom w:val="0"/>
          <w:divBdr>
            <w:top w:val="none" w:sz="0" w:space="0" w:color="auto"/>
            <w:left w:val="none" w:sz="0" w:space="0" w:color="auto"/>
            <w:bottom w:val="none" w:sz="0" w:space="0" w:color="auto"/>
            <w:right w:val="none" w:sz="0" w:space="0" w:color="auto"/>
          </w:divBdr>
          <w:divsChild>
            <w:div w:id="784882340">
              <w:marLeft w:val="0"/>
              <w:marRight w:val="0"/>
              <w:marTop w:val="0"/>
              <w:marBottom w:val="0"/>
              <w:divBdr>
                <w:top w:val="none" w:sz="0" w:space="0" w:color="auto"/>
                <w:left w:val="none" w:sz="0" w:space="0" w:color="auto"/>
                <w:bottom w:val="none" w:sz="0" w:space="0" w:color="auto"/>
                <w:right w:val="none" w:sz="0" w:space="0" w:color="auto"/>
              </w:divBdr>
              <w:divsChild>
                <w:div w:id="213129602">
                  <w:marLeft w:val="0"/>
                  <w:marRight w:val="0"/>
                  <w:marTop w:val="0"/>
                  <w:marBottom w:val="0"/>
                  <w:divBdr>
                    <w:top w:val="none" w:sz="0" w:space="0" w:color="auto"/>
                    <w:left w:val="none" w:sz="0" w:space="0" w:color="auto"/>
                    <w:bottom w:val="none" w:sz="0" w:space="0" w:color="auto"/>
                    <w:right w:val="none" w:sz="0" w:space="0" w:color="auto"/>
                  </w:divBdr>
                  <w:divsChild>
                    <w:div w:id="1625888186">
                      <w:marLeft w:val="0"/>
                      <w:marRight w:val="0"/>
                      <w:marTop w:val="0"/>
                      <w:marBottom w:val="0"/>
                      <w:divBdr>
                        <w:top w:val="none" w:sz="0" w:space="0" w:color="auto"/>
                        <w:left w:val="none" w:sz="0" w:space="0" w:color="auto"/>
                        <w:bottom w:val="none" w:sz="0" w:space="0" w:color="auto"/>
                        <w:right w:val="none" w:sz="0" w:space="0" w:color="auto"/>
                      </w:divBdr>
                      <w:divsChild>
                        <w:div w:id="2062171620">
                          <w:marLeft w:val="0"/>
                          <w:marRight w:val="0"/>
                          <w:marTop w:val="0"/>
                          <w:marBottom w:val="0"/>
                          <w:divBdr>
                            <w:top w:val="none" w:sz="0" w:space="0" w:color="auto"/>
                            <w:left w:val="none" w:sz="0" w:space="0" w:color="auto"/>
                            <w:bottom w:val="none" w:sz="0" w:space="0" w:color="auto"/>
                            <w:right w:val="none" w:sz="0" w:space="0" w:color="auto"/>
                          </w:divBdr>
                          <w:divsChild>
                            <w:div w:id="13969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297620">
      <w:bodyDiv w:val="1"/>
      <w:marLeft w:val="0"/>
      <w:marRight w:val="0"/>
      <w:marTop w:val="0"/>
      <w:marBottom w:val="0"/>
      <w:divBdr>
        <w:top w:val="none" w:sz="0" w:space="0" w:color="auto"/>
        <w:left w:val="none" w:sz="0" w:space="0" w:color="auto"/>
        <w:bottom w:val="none" w:sz="0" w:space="0" w:color="auto"/>
        <w:right w:val="none" w:sz="0" w:space="0" w:color="auto"/>
      </w:divBdr>
      <w:divsChild>
        <w:div w:id="1645044210">
          <w:marLeft w:val="0"/>
          <w:marRight w:val="0"/>
          <w:marTop w:val="0"/>
          <w:marBottom w:val="0"/>
          <w:divBdr>
            <w:top w:val="none" w:sz="0" w:space="0" w:color="auto"/>
            <w:left w:val="none" w:sz="0" w:space="0" w:color="auto"/>
            <w:bottom w:val="none" w:sz="0" w:space="0" w:color="auto"/>
            <w:right w:val="none" w:sz="0" w:space="0" w:color="auto"/>
          </w:divBdr>
          <w:divsChild>
            <w:div w:id="1599144929">
              <w:marLeft w:val="0"/>
              <w:marRight w:val="0"/>
              <w:marTop w:val="0"/>
              <w:marBottom w:val="0"/>
              <w:divBdr>
                <w:top w:val="none" w:sz="0" w:space="0" w:color="auto"/>
                <w:left w:val="none" w:sz="0" w:space="0" w:color="auto"/>
                <w:bottom w:val="none" w:sz="0" w:space="0" w:color="auto"/>
                <w:right w:val="none" w:sz="0" w:space="0" w:color="auto"/>
              </w:divBdr>
              <w:divsChild>
                <w:div w:id="257715400">
                  <w:marLeft w:val="0"/>
                  <w:marRight w:val="0"/>
                  <w:marTop w:val="0"/>
                  <w:marBottom w:val="0"/>
                  <w:divBdr>
                    <w:top w:val="none" w:sz="0" w:space="0" w:color="auto"/>
                    <w:left w:val="none" w:sz="0" w:space="0" w:color="auto"/>
                    <w:bottom w:val="none" w:sz="0" w:space="0" w:color="auto"/>
                    <w:right w:val="none" w:sz="0" w:space="0" w:color="auto"/>
                  </w:divBdr>
                  <w:divsChild>
                    <w:div w:id="1982997767">
                      <w:marLeft w:val="0"/>
                      <w:marRight w:val="0"/>
                      <w:marTop w:val="0"/>
                      <w:marBottom w:val="0"/>
                      <w:divBdr>
                        <w:top w:val="none" w:sz="0" w:space="0" w:color="auto"/>
                        <w:left w:val="none" w:sz="0" w:space="0" w:color="auto"/>
                        <w:bottom w:val="none" w:sz="0" w:space="0" w:color="auto"/>
                        <w:right w:val="none" w:sz="0" w:space="0" w:color="auto"/>
                      </w:divBdr>
                      <w:divsChild>
                        <w:div w:id="12720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513710">
      <w:bodyDiv w:val="1"/>
      <w:marLeft w:val="0"/>
      <w:marRight w:val="0"/>
      <w:marTop w:val="0"/>
      <w:marBottom w:val="0"/>
      <w:divBdr>
        <w:top w:val="none" w:sz="0" w:space="0" w:color="auto"/>
        <w:left w:val="none" w:sz="0" w:space="0" w:color="auto"/>
        <w:bottom w:val="none" w:sz="0" w:space="0" w:color="auto"/>
        <w:right w:val="none" w:sz="0" w:space="0" w:color="auto"/>
      </w:divBdr>
      <w:divsChild>
        <w:div w:id="1608930528">
          <w:marLeft w:val="0"/>
          <w:marRight w:val="0"/>
          <w:marTop w:val="0"/>
          <w:marBottom w:val="0"/>
          <w:divBdr>
            <w:top w:val="none" w:sz="0" w:space="0" w:color="auto"/>
            <w:left w:val="none" w:sz="0" w:space="0" w:color="auto"/>
            <w:bottom w:val="none" w:sz="0" w:space="0" w:color="auto"/>
            <w:right w:val="none" w:sz="0" w:space="0" w:color="auto"/>
          </w:divBdr>
          <w:divsChild>
            <w:div w:id="537864130">
              <w:marLeft w:val="0"/>
              <w:marRight w:val="0"/>
              <w:marTop w:val="0"/>
              <w:marBottom w:val="0"/>
              <w:divBdr>
                <w:top w:val="none" w:sz="0" w:space="0" w:color="auto"/>
                <w:left w:val="none" w:sz="0" w:space="0" w:color="auto"/>
                <w:bottom w:val="none" w:sz="0" w:space="0" w:color="auto"/>
                <w:right w:val="none" w:sz="0" w:space="0" w:color="auto"/>
              </w:divBdr>
              <w:divsChild>
                <w:div w:id="1172522657">
                  <w:marLeft w:val="0"/>
                  <w:marRight w:val="0"/>
                  <w:marTop w:val="0"/>
                  <w:marBottom w:val="0"/>
                  <w:divBdr>
                    <w:top w:val="none" w:sz="0" w:space="0" w:color="auto"/>
                    <w:left w:val="none" w:sz="0" w:space="0" w:color="auto"/>
                    <w:bottom w:val="none" w:sz="0" w:space="0" w:color="auto"/>
                    <w:right w:val="none" w:sz="0" w:space="0" w:color="auto"/>
                  </w:divBdr>
                  <w:divsChild>
                    <w:div w:id="698626233">
                      <w:marLeft w:val="0"/>
                      <w:marRight w:val="0"/>
                      <w:marTop w:val="0"/>
                      <w:marBottom w:val="0"/>
                      <w:divBdr>
                        <w:top w:val="none" w:sz="0" w:space="0" w:color="auto"/>
                        <w:left w:val="none" w:sz="0" w:space="0" w:color="auto"/>
                        <w:bottom w:val="none" w:sz="0" w:space="0" w:color="auto"/>
                        <w:right w:val="none" w:sz="0" w:space="0" w:color="auto"/>
                      </w:divBdr>
                      <w:divsChild>
                        <w:div w:id="136108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824109">
      <w:bodyDiv w:val="1"/>
      <w:marLeft w:val="0"/>
      <w:marRight w:val="0"/>
      <w:marTop w:val="0"/>
      <w:marBottom w:val="0"/>
      <w:divBdr>
        <w:top w:val="none" w:sz="0" w:space="0" w:color="auto"/>
        <w:left w:val="none" w:sz="0" w:space="0" w:color="auto"/>
        <w:bottom w:val="none" w:sz="0" w:space="0" w:color="auto"/>
        <w:right w:val="none" w:sz="0" w:space="0" w:color="auto"/>
      </w:divBdr>
      <w:divsChild>
        <w:div w:id="2112239992">
          <w:marLeft w:val="0"/>
          <w:marRight w:val="0"/>
          <w:marTop w:val="0"/>
          <w:marBottom w:val="0"/>
          <w:divBdr>
            <w:top w:val="none" w:sz="0" w:space="0" w:color="auto"/>
            <w:left w:val="none" w:sz="0" w:space="0" w:color="auto"/>
            <w:bottom w:val="none" w:sz="0" w:space="0" w:color="auto"/>
            <w:right w:val="none" w:sz="0" w:space="0" w:color="auto"/>
          </w:divBdr>
          <w:divsChild>
            <w:div w:id="1235317491">
              <w:marLeft w:val="0"/>
              <w:marRight w:val="0"/>
              <w:marTop w:val="0"/>
              <w:marBottom w:val="0"/>
              <w:divBdr>
                <w:top w:val="none" w:sz="0" w:space="0" w:color="auto"/>
                <w:left w:val="none" w:sz="0" w:space="0" w:color="auto"/>
                <w:bottom w:val="none" w:sz="0" w:space="0" w:color="auto"/>
                <w:right w:val="none" w:sz="0" w:space="0" w:color="auto"/>
              </w:divBdr>
              <w:divsChild>
                <w:div w:id="790244440">
                  <w:marLeft w:val="0"/>
                  <w:marRight w:val="0"/>
                  <w:marTop w:val="0"/>
                  <w:marBottom w:val="0"/>
                  <w:divBdr>
                    <w:top w:val="none" w:sz="0" w:space="0" w:color="auto"/>
                    <w:left w:val="none" w:sz="0" w:space="0" w:color="auto"/>
                    <w:bottom w:val="none" w:sz="0" w:space="0" w:color="auto"/>
                    <w:right w:val="none" w:sz="0" w:space="0" w:color="auto"/>
                  </w:divBdr>
                  <w:divsChild>
                    <w:div w:id="1862085156">
                      <w:marLeft w:val="0"/>
                      <w:marRight w:val="0"/>
                      <w:marTop w:val="0"/>
                      <w:marBottom w:val="0"/>
                      <w:divBdr>
                        <w:top w:val="none" w:sz="0" w:space="0" w:color="auto"/>
                        <w:left w:val="none" w:sz="0" w:space="0" w:color="auto"/>
                        <w:bottom w:val="none" w:sz="0" w:space="0" w:color="auto"/>
                        <w:right w:val="none" w:sz="0" w:space="0" w:color="auto"/>
                      </w:divBdr>
                      <w:divsChild>
                        <w:div w:id="6041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500237">
      <w:bodyDiv w:val="1"/>
      <w:marLeft w:val="0"/>
      <w:marRight w:val="0"/>
      <w:marTop w:val="0"/>
      <w:marBottom w:val="0"/>
      <w:divBdr>
        <w:top w:val="none" w:sz="0" w:space="0" w:color="auto"/>
        <w:left w:val="none" w:sz="0" w:space="0" w:color="auto"/>
        <w:bottom w:val="none" w:sz="0" w:space="0" w:color="auto"/>
        <w:right w:val="none" w:sz="0" w:space="0" w:color="auto"/>
      </w:divBdr>
      <w:divsChild>
        <w:div w:id="1977641069">
          <w:marLeft w:val="0"/>
          <w:marRight w:val="0"/>
          <w:marTop w:val="0"/>
          <w:marBottom w:val="0"/>
          <w:divBdr>
            <w:top w:val="none" w:sz="0" w:space="0" w:color="auto"/>
            <w:left w:val="none" w:sz="0" w:space="0" w:color="auto"/>
            <w:bottom w:val="none" w:sz="0" w:space="0" w:color="auto"/>
            <w:right w:val="none" w:sz="0" w:space="0" w:color="auto"/>
          </w:divBdr>
          <w:divsChild>
            <w:div w:id="780881862">
              <w:marLeft w:val="0"/>
              <w:marRight w:val="0"/>
              <w:marTop w:val="0"/>
              <w:marBottom w:val="0"/>
              <w:divBdr>
                <w:top w:val="none" w:sz="0" w:space="0" w:color="auto"/>
                <w:left w:val="none" w:sz="0" w:space="0" w:color="auto"/>
                <w:bottom w:val="none" w:sz="0" w:space="0" w:color="auto"/>
                <w:right w:val="none" w:sz="0" w:space="0" w:color="auto"/>
              </w:divBdr>
              <w:divsChild>
                <w:div w:id="1498576452">
                  <w:marLeft w:val="0"/>
                  <w:marRight w:val="0"/>
                  <w:marTop w:val="0"/>
                  <w:marBottom w:val="0"/>
                  <w:divBdr>
                    <w:top w:val="none" w:sz="0" w:space="0" w:color="auto"/>
                    <w:left w:val="none" w:sz="0" w:space="0" w:color="auto"/>
                    <w:bottom w:val="none" w:sz="0" w:space="0" w:color="auto"/>
                    <w:right w:val="none" w:sz="0" w:space="0" w:color="auto"/>
                  </w:divBdr>
                  <w:divsChild>
                    <w:div w:id="930620250">
                      <w:marLeft w:val="0"/>
                      <w:marRight w:val="0"/>
                      <w:marTop w:val="0"/>
                      <w:marBottom w:val="0"/>
                      <w:divBdr>
                        <w:top w:val="none" w:sz="0" w:space="0" w:color="auto"/>
                        <w:left w:val="none" w:sz="0" w:space="0" w:color="auto"/>
                        <w:bottom w:val="none" w:sz="0" w:space="0" w:color="auto"/>
                        <w:right w:val="none" w:sz="0" w:space="0" w:color="auto"/>
                      </w:divBdr>
                      <w:divsChild>
                        <w:div w:id="3305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18472">
      <w:bodyDiv w:val="1"/>
      <w:marLeft w:val="0"/>
      <w:marRight w:val="0"/>
      <w:marTop w:val="0"/>
      <w:marBottom w:val="0"/>
      <w:divBdr>
        <w:top w:val="none" w:sz="0" w:space="0" w:color="auto"/>
        <w:left w:val="none" w:sz="0" w:space="0" w:color="auto"/>
        <w:bottom w:val="none" w:sz="0" w:space="0" w:color="auto"/>
        <w:right w:val="none" w:sz="0" w:space="0" w:color="auto"/>
      </w:divBdr>
      <w:divsChild>
        <w:div w:id="540089845">
          <w:marLeft w:val="0"/>
          <w:marRight w:val="0"/>
          <w:marTop w:val="0"/>
          <w:marBottom w:val="0"/>
          <w:divBdr>
            <w:top w:val="none" w:sz="0" w:space="0" w:color="auto"/>
            <w:left w:val="none" w:sz="0" w:space="0" w:color="auto"/>
            <w:bottom w:val="none" w:sz="0" w:space="0" w:color="auto"/>
            <w:right w:val="none" w:sz="0" w:space="0" w:color="auto"/>
          </w:divBdr>
          <w:divsChild>
            <w:div w:id="12998683">
              <w:marLeft w:val="0"/>
              <w:marRight w:val="0"/>
              <w:marTop w:val="0"/>
              <w:marBottom w:val="0"/>
              <w:divBdr>
                <w:top w:val="none" w:sz="0" w:space="0" w:color="auto"/>
                <w:left w:val="none" w:sz="0" w:space="0" w:color="auto"/>
                <w:bottom w:val="none" w:sz="0" w:space="0" w:color="auto"/>
                <w:right w:val="none" w:sz="0" w:space="0" w:color="auto"/>
              </w:divBdr>
              <w:divsChild>
                <w:div w:id="976573249">
                  <w:marLeft w:val="0"/>
                  <w:marRight w:val="0"/>
                  <w:marTop w:val="0"/>
                  <w:marBottom w:val="0"/>
                  <w:divBdr>
                    <w:top w:val="none" w:sz="0" w:space="0" w:color="auto"/>
                    <w:left w:val="none" w:sz="0" w:space="0" w:color="auto"/>
                    <w:bottom w:val="none" w:sz="0" w:space="0" w:color="auto"/>
                    <w:right w:val="none" w:sz="0" w:space="0" w:color="auto"/>
                  </w:divBdr>
                  <w:divsChild>
                    <w:div w:id="697588827">
                      <w:marLeft w:val="0"/>
                      <w:marRight w:val="0"/>
                      <w:marTop w:val="45"/>
                      <w:marBottom w:val="0"/>
                      <w:divBdr>
                        <w:top w:val="none" w:sz="0" w:space="0" w:color="auto"/>
                        <w:left w:val="none" w:sz="0" w:space="0" w:color="auto"/>
                        <w:bottom w:val="none" w:sz="0" w:space="0" w:color="auto"/>
                        <w:right w:val="none" w:sz="0" w:space="0" w:color="auto"/>
                      </w:divBdr>
                      <w:divsChild>
                        <w:div w:id="80028158">
                          <w:marLeft w:val="0"/>
                          <w:marRight w:val="0"/>
                          <w:marTop w:val="0"/>
                          <w:marBottom w:val="0"/>
                          <w:divBdr>
                            <w:top w:val="none" w:sz="0" w:space="0" w:color="auto"/>
                            <w:left w:val="none" w:sz="0" w:space="0" w:color="auto"/>
                            <w:bottom w:val="none" w:sz="0" w:space="0" w:color="auto"/>
                            <w:right w:val="none" w:sz="0" w:space="0" w:color="auto"/>
                          </w:divBdr>
                          <w:divsChild>
                            <w:div w:id="577176243">
                              <w:marLeft w:val="2070"/>
                              <w:marRight w:val="3960"/>
                              <w:marTop w:val="0"/>
                              <w:marBottom w:val="0"/>
                              <w:divBdr>
                                <w:top w:val="none" w:sz="0" w:space="0" w:color="auto"/>
                                <w:left w:val="none" w:sz="0" w:space="0" w:color="auto"/>
                                <w:bottom w:val="none" w:sz="0" w:space="0" w:color="auto"/>
                                <w:right w:val="none" w:sz="0" w:space="0" w:color="auto"/>
                              </w:divBdr>
                              <w:divsChild>
                                <w:div w:id="733890753">
                                  <w:marLeft w:val="0"/>
                                  <w:marRight w:val="0"/>
                                  <w:marTop w:val="0"/>
                                  <w:marBottom w:val="0"/>
                                  <w:divBdr>
                                    <w:top w:val="none" w:sz="0" w:space="0" w:color="auto"/>
                                    <w:left w:val="none" w:sz="0" w:space="0" w:color="auto"/>
                                    <w:bottom w:val="none" w:sz="0" w:space="0" w:color="auto"/>
                                    <w:right w:val="none" w:sz="0" w:space="0" w:color="auto"/>
                                  </w:divBdr>
                                  <w:divsChild>
                                    <w:div w:id="1100761371">
                                      <w:marLeft w:val="0"/>
                                      <w:marRight w:val="0"/>
                                      <w:marTop w:val="0"/>
                                      <w:marBottom w:val="0"/>
                                      <w:divBdr>
                                        <w:top w:val="none" w:sz="0" w:space="0" w:color="auto"/>
                                        <w:left w:val="none" w:sz="0" w:space="0" w:color="auto"/>
                                        <w:bottom w:val="none" w:sz="0" w:space="0" w:color="auto"/>
                                        <w:right w:val="none" w:sz="0" w:space="0" w:color="auto"/>
                                      </w:divBdr>
                                      <w:divsChild>
                                        <w:div w:id="1836996012">
                                          <w:marLeft w:val="0"/>
                                          <w:marRight w:val="0"/>
                                          <w:marTop w:val="0"/>
                                          <w:marBottom w:val="0"/>
                                          <w:divBdr>
                                            <w:top w:val="none" w:sz="0" w:space="0" w:color="auto"/>
                                            <w:left w:val="none" w:sz="0" w:space="0" w:color="auto"/>
                                            <w:bottom w:val="none" w:sz="0" w:space="0" w:color="auto"/>
                                            <w:right w:val="none" w:sz="0" w:space="0" w:color="auto"/>
                                          </w:divBdr>
                                          <w:divsChild>
                                            <w:div w:id="293483149">
                                              <w:marLeft w:val="0"/>
                                              <w:marRight w:val="0"/>
                                              <w:marTop w:val="90"/>
                                              <w:marBottom w:val="0"/>
                                              <w:divBdr>
                                                <w:top w:val="none" w:sz="0" w:space="0" w:color="auto"/>
                                                <w:left w:val="none" w:sz="0" w:space="0" w:color="auto"/>
                                                <w:bottom w:val="none" w:sz="0" w:space="0" w:color="auto"/>
                                                <w:right w:val="none" w:sz="0" w:space="0" w:color="auto"/>
                                              </w:divBdr>
                                              <w:divsChild>
                                                <w:div w:id="1089736622">
                                                  <w:marLeft w:val="0"/>
                                                  <w:marRight w:val="0"/>
                                                  <w:marTop w:val="0"/>
                                                  <w:marBottom w:val="0"/>
                                                  <w:divBdr>
                                                    <w:top w:val="none" w:sz="0" w:space="0" w:color="auto"/>
                                                    <w:left w:val="none" w:sz="0" w:space="0" w:color="auto"/>
                                                    <w:bottom w:val="none" w:sz="0" w:space="0" w:color="auto"/>
                                                    <w:right w:val="none" w:sz="0" w:space="0" w:color="auto"/>
                                                  </w:divBdr>
                                                  <w:divsChild>
                                                    <w:div w:id="1642151695">
                                                      <w:marLeft w:val="0"/>
                                                      <w:marRight w:val="0"/>
                                                      <w:marTop w:val="0"/>
                                                      <w:marBottom w:val="0"/>
                                                      <w:divBdr>
                                                        <w:top w:val="none" w:sz="0" w:space="0" w:color="auto"/>
                                                        <w:left w:val="none" w:sz="0" w:space="0" w:color="auto"/>
                                                        <w:bottom w:val="none" w:sz="0" w:space="0" w:color="auto"/>
                                                        <w:right w:val="none" w:sz="0" w:space="0" w:color="auto"/>
                                                      </w:divBdr>
                                                      <w:divsChild>
                                                        <w:div w:id="1259406572">
                                                          <w:marLeft w:val="0"/>
                                                          <w:marRight w:val="0"/>
                                                          <w:marTop w:val="0"/>
                                                          <w:marBottom w:val="390"/>
                                                          <w:divBdr>
                                                            <w:top w:val="none" w:sz="0" w:space="0" w:color="auto"/>
                                                            <w:left w:val="none" w:sz="0" w:space="0" w:color="auto"/>
                                                            <w:bottom w:val="none" w:sz="0" w:space="0" w:color="auto"/>
                                                            <w:right w:val="none" w:sz="0" w:space="0" w:color="auto"/>
                                                          </w:divBdr>
                                                          <w:divsChild>
                                                            <w:div w:id="1028338396">
                                                              <w:marLeft w:val="0"/>
                                                              <w:marRight w:val="0"/>
                                                              <w:marTop w:val="0"/>
                                                              <w:marBottom w:val="0"/>
                                                              <w:divBdr>
                                                                <w:top w:val="none" w:sz="0" w:space="0" w:color="auto"/>
                                                                <w:left w:val="none" w:sz="0" w:space="0" w:color="auto"/>
                                                                <w:bottom w:val="none" w:sz="0" w:space="0" w:color="auto"/>
                                                                <w:right w:val="none" w:sz="0" w:space="0" w:color="auto"/>
                                                              </w:divBdr>
                                                              <w:divsChild>
                                                                <w:div w:id="1330982957">
                                                                  <w:marLeft w:val="0"/>
                                                                  <w:marRight w:val="0"/>
                                                                  <w:marTop w:val="0"/>
                                                                  <w:marBottom w:val="0"/>
                                                                  <w:divBdr>
                                                                    <w:top w:val="none" w:sz="0" w:space="0" w:color="auto"/>
                                                                    <w:left w:val="none" w:sz="0" w:space="0" w:color="auto"/>
                                                                    <w:bottom w:val="none" w:sz="0" w:space="0" w:color="auto"/>
                                                                    <w:right w:val="none" w:sz="0" w:space="0" w:color="auto"/>
                                                                  </w:divBdr>
                                                                  <w:divsChild>
                                                                    <w:div w:id="105589782">
                                                                      <w:marLeft w:val="0"/>
                                                                      <w:marRight w:val="0"/>
                                                                      <w:marTop w:val="0"/>
                                                                      <w:marBottom w:val="0"/>
                                                                      <w:divBdr>
                                                                        <w:top w:val="none" w:sz="0" w:space="0" w:color="auto"/>
                                                                        <w:left w:val="none" w:sz="0" w:space="0" w:color="auto"/>
                                                                        <w:bottom w:val="none" w:sz="0" w:space="0" w:color="auto"/>
                                                                        <w:right w:val="none" w:sz="0" w:space="0" w:color="auto"/>
                                                                      </w:divBdr>
                                                                      <w:divsChild>
                                                                        <w:div w:id="970474457">
                                                                          <w:marLeft w:val="0"/>
                                                                          <w:marRight w:val="0"/>
                                                                          <w:marTop w:val="0"/>
                                                                          <w:marBottom w:val="0"/>
                                                                          <w:divBdr>
                                                                            <w:top w:val="none" w:sz="0" w:space="0" w:color="auto"/>
                                                                            <w:left w:val="none" w:sz="0" w:space="0" w:color="auto"/>
                                                                            <w:bottom w:val="none" w:sz="0" w:space="0" w:color="auto"/>
                                                                            <w:right w:val="none" w:sz="0" w:space="0" w:color="auto"/>
                                                                          </w:divBdr>
                                                                          <w:divsChild>
                                                                            <w:div w:id="1110007936">
                                                                              <w:marLeft w:val="0"/>
                                                                              <w:marRight w:val="0"/>
                                                                              <w:marTop w:val="0"/>
                                                                              <w:marBottom w:val="0"/>
                                                                              <w:divBdr>
                                                                                <w:top w:val="none" w:sz="0" w:space="0" w:color="auto"/>
                                                                                <w:left w:val="none" w:sz="0" w:space="0" w:color="auto"/>
                                                                                <w:bottom w:val="none" w:sz="0" w:space="0" w:color="auto"/>
                                                                                <w:right w:val="none" w:sz="0" w:space="0" w:color="auto"/>
                                                                              </w:divBdr>
                                                                              <w:divsChild>
                                                                                <w:div w:id="1774085559">
                                                                                  <w:marLeft w:val="0"/>
                                                                                  <w:marRight w:val="0"/>
                                                                                  <w:marTop w:val="0"/>
                                                                                  <w:marBottom w:val="0"/>
                                                                                  <w:divBdr>
                                                                                    <w:top w:val="none" w:sz="0" w:space="0" w:color="auto"/>
                                                                                    <w:left w:val="none" w:sz="0" w:space="0" w:color="auto"/>
                                                                                    <w:bottom w:val="none" w:sz="0" w:space="0" w:color="auto"/>
                                                                                    <w:right w:val="none" w:sz="0" w:space="0" w:color="auto"/>
                                                                                  </w:divBdr>
                                                                                  <w:divsChild>
                                                                                    <w:div w:id="1800368452">
                                                                                      <w:marLeft w:val="0"/>
                                                                                      <w:marRight w:val="0"/>
                                                                                      <w:marTop w:val="0"/>
                                                                                      <w:marBottom w:val="0"/>
                                                                                      <w:divBdr>
                                                                                        <w:top w:val="none" w:sz="0" w:space="0" w:color="auto"/>
                                                                                        <w:left w:val="none" w:sz="0" w:space="0" w:color="auto"/>
                                                                                        <w:bottom w:val="none" w:sz="0" w:space="0" w:color="auto"/>
                                                                                        <w:right w:val="none" w:sz="0" w:space="0" w:color="auto"/>
                                                                                      </w:divBdr>
                                                                                      <w:divsChild>
                                                                                        <w:div w:id="303631090">
                                                                                          <w:marLeft w:val="0"/>
                                                                                          <w:marRight w:val="0"/>
                                                                                          <w:marTop w:val="0"/>
                                                                                          <w:marBottom w:val="0"/>
                                                                                          <w:divBdr>
                                                                                            <w:top w:val="none" w:sz="0" w:space="0" w:color="auto"/>
                                                                                            <w:left w:val="none" w:sz="0" w:space="0" w:color="auto"/>
                                                                                            <w:bottom w:val="none" w:sz="0" w:space="0" w:color="auto"/>
                                                                                            <w:right w:val="none" w:sz="0" w:space="0" w:color="auto"/>
                                                                                          </w:divBdr>
                                                                                          <w:divsChild>
                                                                                            <w:div w:id="973875263">
                                                                                              <w:marLeft w:val="0"/>
                                                                                              <w:marRight w:val="0"/>
                                                                                              <w:marTop w:val="0"/>
                                                                                              <w:marBottom w:val="0"/>
                                                                                              <w:divBdr>
                                                                                                <w:top w:val="none" w:sz="0" w:space="0" w:color="auto"/>
                                                                                                <w:left w:val="none" w:sz="0" w:space="0" w:color="auto"/>
                                                                                                <w:bottom w:val="none" w:sz="0" w:space="0" w:color="auto"/>
                                                                                                <w:right w:val="none" w:sz="0" w:space="0" w:color="auto"/>
                                                                                              </w:divBdr>
                                                                                              <w:divsChild>
                                                                                                <w:div w:id="490634634">
                                                                                                  <w:marLeft w:val="0"/>
                                                                                                  <w:marRight w:val="0"/>
                                                                                                  <w:marTop w:val="0"/>
                                                                                                  <w:marBottom w:val="0"/>
                                                                                                  <w:divBdr>
                                                                                                    <w:top w:val="none" w:sz="0" w:space="0" w:color="auto"/>
                                                                                                    <w:left w:val="none" w:sz="0" w:space="0" w:color="auto"/>
                                                                                                    <w:bottom w:val="none" w:sz="0" w:space="0" w:color="auto"/>
                                                                                                    <w:right w:val="none" w:sz="0" w:space="0" w:color="auto"/>
                                                                                                  </w:divBdr>
                                                                                                  <w:divsChild>
                                                                                                    <w:div w:id="1350060391">
                                                                                                      <w:marLeft w:val="0"/>
                                                                                                      <w:marRight w:val="0"/>
                                                                                                      <w:marTop w:val="0"/>
                                                                                                      <w:marBottom w:val="0"/>
                                                                                                      <w:divBdr>
                                                                                                        <w:top w:val="none" w:sz="0" w:space="0" w:color="auto"/>
                                                                                                        <w:left w:val="none" w:sz="0" w:space="0" w:color="auto"/>
                                                                                                        <w:bottom w:val="none" w:sz="0" w:space="0" w:color="auto"/>
                                                                                                        <w:right w:val="none" w:sz="0" w:space="0" w:color="auto"/>
                                                                                                      </w:divBdr>
                                                                                                      <w:divsChild>
                                                                                                        <w:div w:id="303628297">
                                                                                                          <w:marLeft w:val="0"/>
                                                                                                          <w:marRight w:val="0"/>
                                                                                                          <w:marTop w:val="0"/>
                                                                                                          <w:marBottom w:val="0"/>
                                                                                                          <w:divBdr>
                                                                                                            <w:top w:val="none" w:sz="0" w:space="0" w:color="auto"/>
                                                                                                            <w:left w:val="none" w:sz="0" w:space="0" w:color="auto"/>
                                                                                                            <w:bottom w:val="none" w:sz="0" w:space="0" w:color="auto"/>
                                                                                                            <w:right w:val="none" w:sz="0" w:space="0" w:color="auto"/>
                                                                                                          </w:divBdr>
                                                                                                          <w:divsChild>
                                                                                                            <w:div w:id="800654053">
                                                                                                              <w:marLeft w:val="300"/>
                                                                                                              <w:marRight w:val="0"/>
                                                                                                              <w:marTop w:val="0"/>
                                                                                                              <w:marBottom w:val="0"/>
                                                                                                              <w:divBdr>
                                                                                                                <w:top w:val="none" w:sz="0" w:space="0" w:color="auto"/>
                                                                                                                <w:left w:val="none" w:sz="0" w:space="0" w:color="auto"/>
                                                                                                                <w:bottom w:val="none" w:sz="0" w:space="0" w:color="auto"/>
                                                                                                                <w:right w:val="none" w:sz="0" w:space="0" w:color="auto"/>
                                                                                                              </w:divBdr>
                                                                                                              <w:divsChild>
                                                                                                                <w:div w:id="887766312">
                                                                                                                  <w:marLeft w:val="0"/>
                                                                                                                  <w:marRight w:val="0"/>
                                                                                                                  <w:marTop w:val="0"/>
                                                                                                                  <w:marBottom w:val="0"/>
                                                                                                                  <w:divBdr>
                                                                                                                    <w:top w:val="none" w:sz="0" w:space="0" w:color="auto"/>
                                                                                                                    <w:left w:val="none" w:sz="0" w:space="0" w:color="auto"/>
                                                                                                                    <w:bottom w:val="none" w:sz="0" w:space="0" w:color="auto"/>
                                                                                                                    <w:right w:val="none" w:sz="0" w:space="0" w:color="auto"/>
                                                                                                                  </w:divBdr>
                                                                                                                  <w:divsChild>
                                                                                                                    <w:div w:id="3801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8284606">
      <w:bodyDiv w:val="1"/>
      <w:marLeft w:val="0"/>
      <w:marRight w:val="0"/>
      <w:marTop w:val="0"/>
      <w:marBottom w:val="0"/>
      <w:divBdr>
        <w:top w:val="none" w:sz="0" w:space="0" w:color="auto"/>
        <w:left w:val="none" w:sz="0" w:space="0" w:color="auto"/>
        <w:bottom w:val="none" w:sz="0" w:space="0" w:color="auto"/>
        <w:right w:val="none" w:sz="0" w:space="0" w:color="auto"/>
      </w:divBdr>
      <w:divsChild>
        <w:div w:id="835804742">
          <w:marLeft w:val="0"/>
          <w:marRight w:val="0"/>
          <w:marTop w:val="0"/>
          <w:marBottom w:val="0"/>
          <w:divBdr>
            <w:top w:val="none" w:sz="0" w:space="0" w:color="auto"/>
            <w:left w:val="none" w:sz="0" w:space="0" w:color="auto"/>
            <w:bottom w:val="none" w:sz="0" w:space="0" w:color="auto"/>
            <w:right w:val="none" w:sz="0" w:space="0" w:color="auto"/>
          </w:divBdr>
          <w:divsChild>
            <w:div w:id="123930799">
              <w:marLeft w:val="0"/>
              <w:marRight w:val="0"/>
              <w:marTop w:val="0"/>
              <w:marBottom w:val="0"/>
              <w:divBdr>
                <w:top w:val="none" w:sz="0" w:space="0" w:color="auto"/>
                <w:left w:val="none" w:sz="0" w:space="0" w:color="auto"/>
                <w:bottom w:val="none" w:sz="0" w:space="0" w:color="auto"/>
                <w:right w:val="none" w:sz="0" w:space="0" w:color="auto"/>
              </w:divBdr>
              <w:divsChild>
                <w:div w:id="1506087437">
                  <w:marLeft w:val="0"/>
                  <w:marRight w:val="0"/>
                  <w:marTop w:val="0"/>
                  <w:marBottom w:val="0"/>
                  <w:divBdr>
                    <w:top w:val="none" w:sz="0" w:space="0" w:color="auto"/>
                    <w:left w:val="none" w:sz="0" w:space="0" w:color="auto"/>
                    <w:bottom w:val="none" w:sz="0" w:space="0" w:color="auto"/>
                    <w:right w:val="none" w:sz="0" w:space="0" w:color="auto"/>
                  </w:divBdr>
                  <w:divsChild>
                    <w:div w:id="1088648589">
                      <w:marLeft w:val="0"/>
                      <w:marRight w:val="0"/>
                      <w:marTop w:val="0"/>
                      <w:marBottom w:val="0"/>
                      <w:divBdr>
                        <w:top w:val="none" w:sz="0" w:space="0" w:color="auto"/>
                        <w:left w:val="none" w:sz="0" w:space="0" w:color="auto"/>
                        <w:bottom w:val="none" w:sz="0" w:space="0" w:color="auto"/>
                        <w:right w:val="none" w:sz="0" w:space="0" w:color="auto"/>
                      </w:divBdr>
                      <w:divsChild>
                        <w:div w:id="319845579">
                          <w:marLeft w:val="0"/>
                          <w:marRight w:val="0"/>
                          <w:marTop w:val="0"/>
                          <w:marBottom w:val="0"/>
                          <w:divBdr>
                            <w:top w:val="none" w:sz="0" w:space="0" w:color="auto"/>
                            <w:left w:val="none" w:sz="0" w:space="0" w:color="auto"/>
                            <w:bottom w:val="none" w:sz="0" w:space="0" w:color="auto"/>
                            <w:right w:val="none" w:sz="0" w:space="0" w:color="auto"/>
                          </w:divBdr>
                          <w:divsChild>
                            <w:div w:id="54089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558429">
      <w:bodyDiv w:val="1"/>
      <w:marLeft w:val="0"/>
      <w:marRight w:val="0"/>
      <w:marTop w:val="0"/>
      <w:marBottom w:val="0"/>
      <w:divBdr>
        <w:top w:val="none" w:sz="0" w:space="0" w:color="auto"/>
        <w:left w:val="none" w:sz="0" w:space="0" w:color="auto"/>
        <w:bottom w:val="none" w:sz="0" w:space="0" w:color="auto"/>
        <w:right w:val="none" w:sz="0" w:space="0" w:color="auto"/>
      </w:divBdr>
      <w:divsChild>
        <w:div w:id="403332081">
          <w:marLeft w:val="0"/>
          <w:marRight w:val="0"/>
          <w:marTop w:val="0"/>
          <w:marBottom w:val="0"/>
          <w:divBdr>
            <w:top w:val="none" w:sz="0" w:space="0" w:color="auto"/>
            <w:left w:val="none" w:sz="0" w:space="0" w:color="auto"/>
            <w:bottom w:val="none" w:sz="0" w:space="0" w:color="auto"/>
            <w:right w:val="none" w:sz="0" w:space="0" w:color="auto"/>
          </w:divBdr>
          <w:divsChild>
            <w:div w:id="182743869">
              <w:marLeft w:val="0"/>
              <w:marRight w:val="0"/>
              <w:marTop w:val="0"/>
              <w:marBottom w:val="0"/>
              <w:divBdr>
                <w:top w:val="none" w:sz="0" w:space="0" w:color="auto"/>
                <w:left w:val="none" w:sz="0" w:space="0" w:color="auto"/>
                <w:bottom w:val="none" w:sz="0" w:space="0" w:color="auto"/>
                <w:right w:val="none" w:sz="0" w:space="0" w:color="auto"/>
              </w:divBdr>
              <w:divsChild>
                <w:div w:id="2087722463">
                  <w:marLeft w:val="0"/>
                  <w:marRight w:val="0"/>
                  <w:marTop w:val="0"/>
                  <w:marBottom w:val="0"/>
                  <w:divBdr>
                    <w:top w:val="none" w:sz="0" w:space="0" w:color="auto"/>
                    <w:left w:val="none" w:sz="0" w:space="0" w:color="auto"/>
                    <w:bottom w:val="none" w:sz="0" w:space="0" w:color="auto"/>
                    <w:right w:val="none" w:sz="0" w:space="0" w:color="auto"/>
                  </w:divBdr>
                  <w:divsChild>
                    <w:div w:id="180441620">
                      <w:marLeft w:val="0"/>
                      <w:marRight w:val="0"/>
                      <w:marTop w:val="0"/>
                      <w:marBottom w:val="0"/>
                      <w:divBdr>
                        <w:top w:val="none" w:sz="0" w:space="0" w:color="auto"/>
                        <w:left w:val="none" w:sz="0" w:space="0" w:color="auto"/>
                        <w:bottom w:val="none" w:sz="0" w:space="0" w:color="auto"/>
                        <w:right w:val="none" w:sz="0" w:space="0" w:color="auto"/>
                      </w:divBdr>
                      <w:divsChild>
                        <w:div w:id="172916418">
                          <w:marLeft w:val="0"/>
                          <w:marRight w:val="0"/>
                          <w:marTop w:val="0"/>
                          <w:marBottom w:val="0"/>
                          <w:divBdr>
                            <w:top w:val="none" w:sz="0" w:space="0" w:color="auto"/>
                            <w:left w:val="none" w:sz="0" w:space="0" w:color="auto"/>
                            <w:bottom w:val="none" w:sz="0" w:space="0" w:color="auto"/>
                            <w:right w:val="none" w:sz="0" w:space="0" w:color="auto"/>
                          </w:divBdr>
                          <w:divsChild>
                            <w:div w:id="2969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850696">
      <w:bodyDiv w:val="1"/>
      <w:marLeft w:val="0"/>
      <w:marRight w:val="0"/>
      <w:marTop w:val="0"/>
      <w:marBottom w:val="0"/>
      <w:divBdr>
        <w:top w:val="none" w:sz="0" w:space="0" w:color="auto"/>
        <w:left w:val="none" w:sz="0" w:space="0" w:color="auto"/>
        <w:bottom w:val="none" w:sz="0" w:space="0" w:color="auto"/>
        <w:right w:val="none" w:sz="0" w:space="0" w:color="auto"/>
      </w:divBdr>
      <w:divsChild>
        <w:div w:id="983241632">
          <w:marLeft w:val="0"/>
          <w:marRight w:val="0"/>
          <w:marTop w:val="0"/>
          <w:marBottom w:val="0"/>
          <w:divBdr>
            <w:top w:val="none" w:sz="0" w:space="0" w:color="auto"/>
            <w:left w:val="none" w:sz="0" w:space="0" w:color="auto"/>
            <w:bottom w:val="none" w:sz="0" w:space="0" w:color="auto"/>
            <w:right w:val="none" w:sz="0" w:space="0" w:color="auto"/>
          </w:divBdr>
          <w:divsChild>
            <w:div w:id="218787445">
              <w:marLeft w:val="0"/>
              <w:marRight w:val="0"/>
              <w:marTop w:val="0"/>
              <w:marBottom w:val="0"/>
              <w:divBdr>
                <w:top w:val="none" w:sz="0" w:space="0" w:color="auto"/>
                <w:left w:val="none" w:sz="0" w:space="0" w:color="auto"/>
                <w:bottom w:val="none" w:sz="0" w:space="0" w:color="auto"/>
                <w:right w:val="none" w:sz="0" w:space="0" w:color="auto"/>
              </w:divBdr>
              <w:divsChild>
                <w:div w:id="42364636">
                  <w:marLeft w:val="0"/>
                  <w:marRight w:val="0"/>
                  <w:marTop w:val="0"/>
                  <w:marBottom w:val="0"/>
                  <w:divBdr>
                    <w:top w:val="none" w:sz="0" w:space="0" w:color="auto"/>
                    <w:left w:val="none" w:sz="0" w:space="0" w:color="auto"/>
                    <w:bottom w:val="none" w:sz="0" w:space="0" w:color="auto"/>
                    <w:right w:val="none" w:sz="0" w:space="0" w:color="auto"/>
                  </w:divBdr>
                  <w:divsChild>
                    <w:div w:id="882138635">
                      <w:marLeft w:val="0"/>
                      <w:marRight w:val="0"/>
                      <w:marTop w:val="0"/>
                      <w:marBottom w:val="0"/>
                      <w:divBdr>
                        <w:top w:val="none" w:sz="0" w:space="0" w:color="auto"/>
                        <w:left w:val="none" w:sz="0" w:space="0" w:color="auto"/>
                        <w:bottom w:val="none" w:sz="0" w:space="0" w:color="auto"/>
                        <w:right w:val="none" w:sz="0" w:space="0" w:color="auto"/>
                      </w:divBdr>
                      <w:divsChild>
                        <w:div w:id="14317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52568">
      <w:bodyDiv w:val="1"/>
      <w:marLeft w:val="0"/>
      <w:marRight w:val="0"/>
      <w:marTop w:val="0"/>
      <w:marBottom w:val="0"/>
      <w:divBdr>
        <w:top w:val="none" w:sz="0" w:space="0" w:color="auto"/>
        <w:left w:val="none" w:sz="0" w:space="0" w:color="auto"/>
        <w:bottom w:val="none" w:sz="0" w:space="0" w:color="auto"/>
        <w:right w:val="none" w:sz="0" w:space="0" w:color="auto"/>
      </w:divBdr>
      <w:divsChild>
        <w:div w:id="696348286">
          <w:marLeft w:val="0"/>
          <w:marRight w:val="0"/>
          <w:marTop w:val="0"/>
          <w:marBottom w:val="0"/>
          <w:divBdr>
            <w:top w:val="none" w:sz="0" w:space="0" w:color="auto"/>
            <w:left w:val="none" w:sz="0" w:space="0" w:color="auto"/>
            <w:bottom w:val="none" w:sz="0" w:space="0" w:color="auto"/>
            <w:right w:val="none" w:sz="0" w:space="0" w:color="auto"/>
          </w:divBdr>
          <w:divsChild>
            <w:div w:id="469443240">
              <w:marLeft w:val="0"/>
              <w:marRight w:val="0"/>
              <w:marTop w:val="0"/>
              <w:marBottom w:val="0"/>
              <w:divBdr>
                <w:top w:val="none" w:sz="0" w:space="0" w:color="auto"/>
                <w:left w:val="none" w:sz="0" w:space="0" w:color="auto"/>
                <w:bottom w:val="none" w:sz="0" w:space="0" w:color="auto"/>
                <w:right w:val="none" w:sz="0" w:space="0" w:color="auto"/>
              </w:divBdr>
              <w:divsChild>
                <w:div w:id="1337265217">
                  <w:marLeft w:val="0"/>
                  <w:marRight w:val="0"/>
                  <w:marTop w:val="0"/>
                  <w:marBottom w:val="0"/>
                  <w:divBdr>
                    <w:top w:val="none" w:sz="0" w:space="0" w:color="auto"/>
                    <w:left w:val="none" w:sz="0" w:space="0" w:color="auto"/>
                    <w:bottom w:val="none" w:sz="0" w:space="0" w:color="auto"/>
                    <w:right w:val="none" w:sz="0" w:space="0" w:color="auto"/>
                  </w:divBdr>
                  <w:divsChild>
                    <w:div w:id="1902134139">
                      <w:marLeft w:val="0"/>
                      <w:marRight w:val="0"/>
                      <w:marTop w:val="0"/>
                      <w:marBottom w:val="0"/>
                      <w:divBdr>
                        <w:top w:val="none" w:sz="0" w:space="0" w:color="auto"/>
                        <w:left w:val="none" w:sz="0" w:space="0" w:color="auto"/>
                        <w:bottom w:val="none" w:sz="0" w:space="0" w:color="auto"/>
                        <w:right w:val="none" w:sz="0" w:space="0" w:color="auto"/>
                      </w:divBdr>
                      <w:divsChild>
                        <w:div w:id="301085092">
                          <w:marLeft w:val="0"/>
                          <w:marRight w:val="0"/>
                          <w:marTop w:val="0"/>
                          <w:marBottom w:val="0"/>
                          <w:divBdr>
                            <w:top w:val="none" w:sz="0" w:space="0" w:color="auto"/>
                            <w:left w:val="none" w:sz="0" w:space="0" w:color="auto"/>
                            <w:bottom w:val="none" w:sz="0" w:space="0" w:color="auto"/>
                            <w:right w:val="none" w:sz="0" w:space="0" w:color="auto"/>
                          </w:divBdr>
                          <w:divsChild>
                            <w:div w:id="21581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12209">
      <w:bodyDiv w:val="1"/>
      <w:marLeft w:val="0"/>
      <w:marRight w:val="0"/>
      <w:marTop w:val="0"/>
      <w:marBottom w:val="0"/>
      <w:divBdr>
        <w:top w:val="none" w:sz="0" w:space="0" w:color="auto"/>
        <w:left w:val="none" w:sz="0" w:space="0" w:color="auto"/>
        <w:bottom w:val="none" w:sz="0" w:space="0" w:color="auto"/>
        <w:right w:val="none" w:sz="0" w:space="0" w:color="auto"/>
      </w:divBdr>
      <w:divsChild>
        <w:div w:id="77800130">
          <w:marLeft w:val="0"/>
          <w:marRight w:val="0"/>
          <w:marTop w:val="0"/>
          <w:marBottom w:val="0"/>
          <w:divBdr>
            <w:top w:val="none" w:sz="0" w:space="0" w:color="auto"/>
            <w:left w:val="none" w:sz="0" w:space="0" w:color="auto"/>
            <w:bottom w:val="none" w:sz="0" w:space="0" w:color="auto"/>
            <w:right w:val="none" w:sz="0" w:space="0" w:color="auto"/>
          </w:divBdr>
          <w:divsChild>
            <w:div w:id="2057460405">
              <w:marLeft w:val="0"/>
              <w:marRight w:val="0"/>
              <w:marTop w:val="0"/>
              <w:marBottom w:val="0"/>
              <w:divBdr>
                <w:top w:val="none" w:sz="0" w:space="0" w:color="auto"/>
                <w:left w:val="none" w:sz="0" w:space="0" w:color="auto"/>
                <w:bottom w:val="none" w:sz="0" w:space="0" w:color="auto"/>
                <w:right w:val="none" w:sz="0" w:space="0" w:color="auto"/>
              </w:divBdr>
              <w:divsChild>
                <w:div w:id="1693603476">
                  <w:marLeft w:val="0"/>
                  <w:marRight w:val="0"/>
                  <w:marTop w:val="0"/>
                  <w:marBottom w:val="0"/>
                  <w:divBdr>
                    <w:top w:val="none" w:sz="0" w:space="0" w:color="auto"/>
                    <w:left w:val="none" w:sz="0" w:space="0" w:color="auto"/>
                    <w:bottom w:val="none" w:sz="0" w:space="0" w:color="auto"/>
                    <w:right w:val="none" w:sz="0" w:space="0" w:color="auto"/>
                  </w:divBdr>
                  <w:divsChild>
                    <w:div w:id="1133670988">
                      <w:marLeft w:val="0"/>
                      <w:marRight w:val="0"/>
                      <w:marTop w:val="0"/>
                      <w:marBottom w:val="0"/>
                      <w:divBdr>
                        <w:top w:val="none" w:sz="0" w:space="0" w:color="auto"/>
                        <w:left w:val="none" w:sz="0" w:space="0" w:color="auto"/>
                        <w:bottom w:val="none" w:sz="0" w:space="0" w:color="auto"/>
                        <w:right w:val="none" w:sz="0" w:space="0" w:color="auto"/>
                      </w:divBdr>
                      <w:divsChild>
                        <w:div w:id="585572493">
                          <w:marLeft w:val="0"/>
                          <w:marRight w:val="0"/>
                          <w:marTop w:val="0"/>
                          <w:marBottom w:val="0"/>
                          <w:divBdr>
                            <w:top w:val="none" w:sz="0" w:space="0" w:color="auto"/>
                            <w:left w:val="none" w:sz="0" w:space="0" w:color="auto"/>
                            <w:bottom w:val="none" w:sz="0" w:space="0" w:color="auto"/>
                            <w:right w:val="none" w:sz="0" w:space="0" w:color="auto"/>
                          </w:divBdr>
                          <w:divsChild>
                            <w:div w:id="11959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458649">
      <w:bodyDiv w:val="1"/>
      <w:marLeft w:val="0"/>
      <w:marRight w:val="0"/>
      <w:marTop w:val="0"/>
      <w:marBottom w:val="0"/>
      <w:divBdr>
        <w:top w:val="none" w:sz="0" w:space="0" w:color="auto"/>
        <w:left w:val="none" w:sz="0" w:space="0" w:color="auto"/>
        <w:bottom w:val="none" w:sz="0" w:space="0" w:color="auto"/>
        <w:right w:val="none" w:sz="0" w:space="0" w:color="auto"/>
      </w:divBdr>
      <w:divsChild>
        <w:div w:id="1539857388">
          <w:marLeft w:val="0"/>
          <w:marRight w:val="0"/>
          <w:marTop w:val="0"/>
          <w:marBottom w:val="0"/>
          <w:divBdr>
            <w:top w:val="none" w:sz="0" w:space="0" w:color="auto"/>
            <w:left w:val="none" w:sz="0" w:space="0" w:color="auto"/>
            <w:bottom w:val="none" w:sz="0" w:space="0" w:color="auto"/>
            <w:right w:val="none" w:sz="0" w:space="0" w:color="auto"/>
          </w:divBdr>
          <w:divsChild>
            <w:div w:id="1282615608">
              <w:marLeft w:val="0"/>
              <w:marRight w:val="0"/>
              <w:marTop w:val="0"/>
              <w:marBottom w:val="0"/>
              <w:divBdr>
                <w:top w:val="none" w:sz="0" w:space="0" w:color="auto"/>
                <w:left w:val="none" w:sz="0" w:space="0" w:color="auto"/>
                <w:bottom w:val="none" w:sz="0" w:space="0" w:color="auto"/>
                <w:right w:val="none" w:sz="0" w:space="0" w:color="auto"/>
              </w:divBdr>
              <w:divsChild>
                <w:div w:id="57636524">
                  <w:marLeft w:val="0"/>
                  <w:marRight w:val="0"/>
                  <w:marTop w:val="0"/>
                  <w:marBottom w:val="0"/>
                  <w:divBdr>
                    <w:top w:val="none" w:sz="0" w:space="0" w:color="auto"/>
                    <w:left w:val="none" w:sz="0" w:space="0" w:color="auto"/>
                    <w:bottom w:val="none" w:sz="0" w:space="0" w:color="auto"/>
                    <w:right w:val="none" w:sz="0" w:space="0" w:color="auto"/>
                  </w:divBdr>
                  <w:divsChild>
                    <w:div w:id="926230881">
                      <w:marLeft w:val="0"/>
                      <w:marRight w:val="0"/>
                      <w:marTop w:val="0"/>
                      <w:marBottom w:val="0"/>
                      <w:divBdr>
                        <w:top w:val="none" w:sz="0" w:space="0" w:color="auto"/>
                        <w:left w:val="none" w:sz="0" w:space="0" w:color="auto"/>
                        <w:bottom w:val="none" w:sz="0" w:space="0" w:color="auto"/>
                        <w:right w:val="none" w:sz="0" w:space="0" w:color="auto"/>
                      </w:divBdr>
                      <w:divsChild>
                        <w:div w:id="692808242">
                          <w:marLeft w:val="0"/>
                          <w:marRight w:val="0"/>
                          <w:marTop w:val="0"/>
                          <w:marBottom w:val="0"/>
                          <w:divBdr>
                            <w:top w:val="none" w:sz="0" w:space="0" w:color="auto"/>
                            <w:left w:val="none" w:sz="0" w:space="0" w:color="auto"/>
                            <w:bottom w:val="none" w:sz="0" w:space="0" w:color="auto"/>
                            <w:right w:val="none" w:sz="0" w:space="0" w:color="auto"/>
                          </w:divBdr>
                          <w:divsChild>
                            <w:div w:id="98304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E1382-6D72-476D-AC05-26C284CB7FFA}">
  <ds:schemaRefs>
    <ds:schemaRef ds:uri="http://schemas.microsoft.com/sharepoint/v3/contenttype/forms"/>
  </ds:schemaRefs>
</ds:datastoreItem>
</file>

<file path=customXml/itemProps2.xml><?xml version="1.0" encoding="utf-8"?>
<ds:datastoreItem xmlns:ds="http://schemas.openxmlformats.org/officeDocument/2006/customXml" ds:itemID="{1336B71A-2B91-48EB-98FC-3E8F07E22E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15708A-8B08-46A8-9587-04AC78B67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AF0D79-D8C9-4E3E-B66D-F474E865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6196</Words>
  <Characters>35939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OF S.C. CONTINENTAL HOTELS S.A. v. ROMANIA</dc:title>
  <dc:subject>DJ</dc:subject>
  <dc:creator/>
  <cp:lastModifiedBy/>
  <cp:revision>1</cp:revision>
  <cp:lastPrinted>2019-06-19T08:20:00Z</cp:lastPrinted>
  <dcterms:created xsi:type="dcterms:W3CDTF">2024-05-09T13:58:00Z</dcterms:created>
  <dcterms:modified xsi:type="dcterms:W3CDTF">2024-08-02T10:15:00Z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36407/12</vt:lpwstr>
  </property>
  <property fmtid="{D5CDD505-2E9C-101B-9397-08002B2CF9AE}" pid="4" name="CASEID">
    <vt:lpwstr>804977</vt:lpwstr>
  </property>
  <property fmtid="{D5CDD505-2E9C-101B-9397-08002B2CF9AE}" pid="5" name="ContentTypeId">
    <vt:lpwstr>0x010100558EB02BDB9E204AB350EDD385B68E10</vt:lpwstr>
  </property>
</Properties>
</file>