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158D" w14:textId="77777777" w:rsidR="009F5812" w:rsidRDefault="009F5812" w:rsidP="0091782E">
      <w:pPr>
        <w:rPr>
          <w:rFonts w:asciiTheme="minorHAnsi" w:hAnsiTheme="minorHAnsi" w:cstheme="minorHAnsi"/>
          <w:b/>
          <w:sz w:val="26"/>
          <w:szCs w:val="2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</w:p>
    <w:p w14:paraId="68796244" w14:textId="02F00471" w:rsidR="0091782E" w:rsidRPr="00CF24E5" w:rsidRDefault="0091782E" w:rsidP="0091782E">
      <w:pPr>
        <w:rPr>
          <w:rFonts w:asciiTheme="minorHAnsi" w:hAnsiTheme="minorHAnsi" w:cstheme="minorHAnsi"/>
          <w:b/>
          <w:sz w:val="26"/>
          <w:szCs w:val="2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CF24E5">
        <w:rPr>
          <w:rFonts w:asciiTheme="minorHAnsi" w:hAnsiTheme="minorHAnsi" w:cstheme="minorHAnsi"/>
          <w:b/>
          <w:sz w:val="26"/>
          <w:szCs w:val="2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ab/>
      </w:r>
      <w:r w:rsidRPr="00CF24E5">
        <w:rPr>
          <w:rFonts w:asciiTheme="minorHAnsi" w:hAnsiTheme="minorHAnsi" w:cstheme="minorHAnsi"/>
          <w:b/>
          <w:sz w:val="26"/>
          <w:szCs w:val="2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ab/>
      </w:r>
      <w:r w:rsidRPr="00CF24E5">
        <w:rPr>
          <w:rFonts w:asciiTheme="minorHAnsi" w:hAnsiTheme="minorHAnsi" w:cstheme="minorHAnsi"/>
          <w:b/>
          <w:sz w:val="26"/>
          <w:szCs w:val="2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ab/>
      </w:r>
      <w:r w:rsidRPr="00CF24E5">
        <w:rPr>
          <w:rFonts w:asciiTheme="minorHAnsi" w:hAnsiTheme="minorHAnsi" w:cstheme="minorHAnsi"/>
          <w:b/>
          <w:sz w:val="26"/>
          <w:szCs w:val="2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ab/>
      </w:r>
    </w:p>
    <w:p w14:paraId="13BBB9E6" w14:textId="37E63A70" w:rsidR="0091782E" w:rsidRPr="00625CBA" w:rsidRDefault="0091782E" w:rsidP="00FD2228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625CBA">
        <w:rPr>
          <w:rFonts w:asciiTheme="minorHAnsi" w:hAnsiTheme="minorHAnsi" w:cstheme="minorHAnsi"/>
          <w:b/>
          <w:sz w:val="26"/>
          <w:szCs w:val="26"/>
        </w:rPr>
        <w:t>ANUNŢ</w:t>
      </w:r>
    </w:p>
    <w:p w14:paraId="23D77550" w14:textId="740934BD" w:rsidR="0091782E" w:rsidRPr="00450ED2" w:rsidRDefault="0091782E" w:rsidP="00FD2228">
      <w:pPr>
        <w:tabs>
          <w:tab w:val="left" w:pos="3975"/>
        </w:tabs>
        <w:jc w:val="center"/>
        <w:rPr>
          <w:rFonts w:asciiTheme="minorHAnsi" w:hAnsiTheme="minorHAnsi" w:cstheme="minorHAnsi"/>
          <w:b/>
          <w:color w:val="FF0000"/>
          <w:sz w:val="26"/>
          <w:szCs w:val="26"/>
        </w:rPr>
      </w:pPr>
      <w:r w:rsidRPr="00625CBA">
        <w:rPr>
          <w:rFonts w:asciiTheme="minorHAnsi" w:hAnsiTheme="minorHAnsi" w:cstheme="minorHAnsi"/>
          <w:b/>
          <w:sz w:val="26"/>
          <w:szCs w:val="26"/>
        </w:rPr>
        <w:t xml:space="preserve">privind organizarea unei sesiuni de transfer a judecătorilor </w:t>
      </w:r>
      <w:r w:rsidR="00CD591E" w:rsidRPr="00CD591E">
        <w:rPr>
          <w:rFonts w:asciiTheme="minorHAnsi" w:hAnsiTheme="minorHAnsi" w:cstheme="minorHAnsi"/>
          <w:b/>
          <w:color w:val="000000"/>
          <w:sz w:val="26"/>
          <w:szCs w:val="26"/>
        </w:rPr>
        <w:t>de la instanțe civile la instanțe civile</w:t>
      </w:r>
    </w:p>
    <w:p w14:paraId="1BBC3FDA" w14:textId="77777777" w:rsidR="0091782E" w:rsidRPr="00625CBA" w:rsidRDefault="0091782E" w:rsidP="0091782E">
      <w:pPr>
        <w:shd w:val="clear" w:color="auto" w:fill="FFFFFF" w:themeFill="background1"/>
        <w:tabs>
          <w:tab w:val="left" w:pos="3975"/>
        </w:tabs>
        <w:ind w:firstLine="709"/>
        <w:jc w:val="both"/>
        <w:rPr>
          <w:rFonts w:asciiTheme="minorHAnsi" w:hAnsiTheme="minorHAnsi" w:cstheme="minorHAnsi"/>
          <w:b/>
          <w:sz w:val="26"/>
          <w:szCs w:val="26"/>
        </w:rPr>
      </w:pPr>
    </w:p>
    <w:p w14:paraId="1FEA541B" w14:textId="344483FF" w:rsidR="0091782E" w:rsidRPr="00625CBA" w:rsidRDefault="0091782E" w:rsidP="0091782E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color w:val="000000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Consiliul Superior al Magistraturii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anunță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organizarea unei sesiuni de transfer a judecătorilor, în conformitate cu prevederile art. 188-192 din Legea nr. 303/2022.</w:t>
      </w:r>
    </w:p>
    <w:p w14:paraId="7BA95557" w14:textId="02AB097D" w:rsidR="0091782E" w:rsidRPr="00625CBA" w:rsidRDefault="0091782E" w:rsidP="0091782E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color w:val="000000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Pentru informarea judecătorilor care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intenționează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să formuleze cereri de transfer, lista posturilor de judecător vacante, precum şi a celor care urmează a se vacanta, este publicată mai jos.</w:t>
      </w:r>
    </w:p>
    <w:p w14:paraId="2A3BDA07" w14:textId="0BF7E95C" w:rsidR="0091782E" w:rsidRPr="00625CBA" w:rsidRDefault="0091782E" w:rsidP="0091782E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color w:val="000000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Analiza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opțiunilor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exprimate de fiecare judecător va fi realizată în raport cu </w:t>
      </w:r>
      <w:r w:rsidR="00E724AE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situația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posturilor vacante </w:t>
      </w:r>
      <w:r w:rsidR="00E724AE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la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instanțele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</w:t>
      </w:r>
      <w:r w:rsidR="00E724AE">
        <w:rPr>
          <w:rFonts w:asciiTheme="minorHAnsi" w:hAnsiTheme="minorHAnsi" w:cstheme="minorHAnsi"/>
          <w:color w:val="000000"/>
          <w:sz w:val="26"/>
          <w:szCs w:val="26"/>
          <w:lang w:val="ro-RO"/>
        </w:rPr>
        <w:t>din lista afișată la declanșarea procedurii de transfer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, </w:t>
      </w:r>
      <w:r w:rsidR="00E724AE">
        <w:rPr>
          <w:rFonts w:asciiTheme="minorHAnsi" w:hAnsiTheme="minorHAnsi" w:cstheme="minorHAnsi"/>
          <w:color w:val="000000"/>
          <w:sz w:val="26"/>
          <w:szCs w:val="26"/>
          <w:lang w:val="ro-RO"/>
        </w:rPr>
        <w:t>în măsura în care acestea rămân disponibile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la momentul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soluționării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cererilor de transfer de către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Secția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pentru judecători.</w:t>
      </w:r>
    </w:p>
    <w:p w14:paraId="5527F5EA" w14:textId="74DB001E" w:rsidR="0091782E" w:rsidRPr="00625CBA" w:rsidRDefault="008344DD" w:rsidP="0091782E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color w:val="000000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Prin</w:t>
      </w:r>
      <w:r w:rsidR="0091782E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art. 189 alin. (5)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, sunt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menținute</w:t>
      </w:r>
      <w:r w:rsidR="0091782E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</w:t>
      </w:r>
      <w:r w:rsidR="00F06C98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interdicțiile</w:t>
      </w:r>
      <w:r w:rsidR="0091782E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prevăzute la art. 63 alin. (2) şi art. 141 alin. (4) din lege, luându-se în considerare și prevederile art. 188 alin. (2).</w:t>
      </w:r>
    </w:p>
    <w:p w14:paraId="7911F4C3" w14:textId="525D68AC" w:rsidR="0091782E" w:rsidRPr="00625CBA" w:rsidRDefault="0091782E" w:rsidP="0091782E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color w:val="000000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Potrivit art. 190 alin. (1), cererile de transfer se depun la Consiliul Superior al Magistraturii şi trebuie să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conțină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informații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referitoare la specializarea judecătorului și, dacă este cazul, disponibilitatea acestuia de a activa la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instanța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la care solicită transferul, în oricare dintre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secțiile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sau completurile pe care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cerințele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acestei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instanțe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le impun. Odată centralizate, cererile de transfer formulate şi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instanțele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pentru care s-a solicitat transferul vor fi publicate pe pagina de internet a Consiliul</w:t>
      </w:r>
      <w:r w:rsidR="00450ED2">
        <w:rPr>
          <w:rFonts w:asciiTheme="minorHAnsi" w:hAnsiTheme="minorHAnsi" w:cstheme="minorHAnsi"/>
          <w:color w:val="000000"/>
          <w:sz w:val="26"/>
          <w:szCs w:val="26"/>
          <w:lang w:val="ro-RO"/>
        </w:rPr>
        <w:t>ui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Superior al Magistraturii.</w:t>
      </w:r>
    </w:p>
    <w:p w14:paraId="40E7C61D" w14:textId="6BC2AB73" w:rsidR="0091782E" w:rsidRPr="00F45158" w:rsidRDefault="0091782E" w:rsidP="0091782E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Cererile de transfer se depun exclusiv în format </w:t>
      </w:r>
      <w:r w:rsidR="00CF69C1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online prin intermediul platformei informatice puse la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dispoziție</w:t>
      </w:r>
      <w:r w:rsidR="00CF69C1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de Consiliul Superior al Magistratur</w:t>
      </w:r>
      <w:r w:rsidR="005F4C6F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ii</w:t>
      </w:r>
      <w:r w:rsidR="00CF69C1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, disponibil la adresa </w:t>
      </w:r>
      <w:hyperlink r:id="rId7" w:history="1">
        <w:r w:rsidR="00CF69C1" w:rsidRPr="00F45158">
          <w:rPr>
            <w:rStyle w:val="Hyperlink"/>
            <w:rFonts w:asciiTheme="minorHAnsi" w:hAnsiTheme="minorHAnsi" w:cstheme="minorHAnsi"/>
            <w:i/>
            <w:color w:val="auto"/>
            <w:sz w:val="26"/>
            <w:szCs w:val="26"/>
            <w:u w:val="none"/>
            <w:lang w:val="ro-RO"/>
          </w:rPr>
          <w:t>https://csmapp.csm1909.ro</w:t>
        </w:r>
      </w:hyperlink>
      <w:r w:rsidR="00CF69C1" w:rsidRPr="00F45158">
        <w:rPr>
          <w:rFonts w:asciiTheme="minorHAnsi" w:hAnsiTheme="minorHAnsi" w:cstheme="minorHAnsi"/>
          <w:i/>
          <w:sz w:val="26"/>
          <w:szCs w:val="26"/>
          <w:lang w:val="ro-RO"/>
        </w:rPr>
        <w:t>.</w:t>
      </w:r>
      <w:r w:rsidR="00CF69C1" w:rsidRPr="00625CBA">
        <w:rPr>
          <w:rFonts w:asciiTheme="minorHAnsi" w:hAnsiTheme="minorHAnsi" w:cstheme="minorHAnsi"/>
          <w:i/>
          <w:color w:val="000000"/>
          <w:sz w:val="26"/>
          <w:szCs w:val="26"/>
          <w:lang w:val="ro-RO"/>
        </w:rPr>
        <w:t xml:space="preserve">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Instrucțiunile</w:t>
      </w:r>
      <w:r w:rsidR="00CF69C1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privind folosirea platformei electronice se regăsesc publicate pe pagina de internet a Consiliului, alăturat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prezentului</w:t>
      </w:r>
      <w:r w:rsidR="00CF69C1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anunț</w:t>
      </w:r>
      <w:r w:rsidR="0077020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.</w:t>
      </w:r>
      <w:r w:rsidRPr="00625CBA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În cazul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apariției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unor dificultăți tehnice, vă rugăm să contactați departamentul IT al instanței sau să trimiteți un email la: </w:t>
      </w:r>
      <w:hyperlink r:id="rId8" w:tgtFrame="_new" w:history="1">
        <w:r w:rsidRPr="00F45158">
          <w:rPr>
            <w:rStyle w:val="Hyperlink"/>
            <w:rFonts w:asciiTheme="minorHAnsi" w:hAnsiTheme="minorHAnsi" w:cstheme="minorHAnsi"/>
            <w:color w:val="auto"/>
            <w:sz w:val="26"/>
            <w:szCs w:val="26"/>
            <w:u w:val="none"/>
            <w:bdr w:val="single" w:sz="2" w:space="0" w:color="D9D9E3" w:frame="1"/>
            <w:lang w:val="ro-RO"/>
          </w:rPr>
          <w:t>helpdesk@csm1909.ro</w:t>
        </w:r>
      </w:hyperlink>
      <w:r w:rsidRPr="00F45158">
        <w:rPr>
          <w:rFonts w:asciiTheme="minorHAnsi" w:hAnsiTheme="minorHAnsi" w:cstheme="minorHAnsi"/>
          <w:sz w:val="26"/>
          <w:szCs w:val="26"/>
          <w:lang w:val="ro-RO"/>
        </w:rPr>
        <w:t>.</w:t>
      </w:r>
    </w:p>
    <w:p w14:paraId="16A82852" w14:textId="500A5259" w:rsidR="0091782E" w:rsidRPr="00625CBA" w:rsidRDefault="0091782E" w:rsidP="0091782E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color w:val="000000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În termen de 5 zile de la data publicării </w:t>
      </w:r>
      <w:r w:rsidR="004573E0"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situației</w:t>
      </w: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 xml:space="preserve"> privind cererile de transfer, judecătorii pot depune la Consiliul Superior al Magistraturii cereri de transfer pentru posturile care ar putea deveni vacante, ca urmare a admiterii unei cereri de transfer formulate în etapa 1.</w:t>
      </w:r>
    </w:p>
    <w:p w14:paraId="4C1F86D6" w14:textId="77777777" w:rsidR="0091782E" w:rsidRPr="00625CBA" w:rsidRDefault="0091782E" w:rsidP="0091782E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Theme="minorHAnsi" w:hAnsiTheme="minorHAnsi" w:cstheme="minorHAnsi"/>
          <w:color w:val="000000"/>
          <w:sz w:val="26"/>
          <w:szCs w:val="26"/>
          <w:lang w:val="ro-RO"/>
        </w:rPr>
      </w:pPr>
      <w:r w:rsidRPr="00625CBA">
        <w:rPr>
          <w:rFonts w:asciiTheme="minorHAnsi" w:hAnsiTheme="minorHAnsi" w:cstheme="minorHAnsi"/>
          <w:color w:val="000000"/>
          <w:sz w:val="26"/>
          <w:szCs w:val="26"/>
          <w:lang w:val="ro-RO"/>
        </w:rPr>
        <w:t>Pentru această etapă, cererile de transfer se vor depune electronic, urmând procedura specificată anterior.</w:t>
      </w:r>
    </w:p>
    <w:sectPr w:rsidR="0091782E" w:rsidRPr="00625CBA" w:rsidSect="00A31F58">
      <w:headerReference w:type="default" r:id="rId9"/>
      <w:footerReference w:type="default" r:id="rId10"/>
      <w:pgSz w:w="11906" w:h="16838" w:code="9"/>
      <w:pgMar w:top="270" w:right="851" w:bottom="360" w:left="851" w:header="56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DE3B6" w14:textId="77777777" w:rsidR="002441E3" w:rsidRDefault="002441E3">
      <w:r>
        <w:separator/>
      </w:r>
    </w:p>
  </w:endnote>
  <w:endnote w:type="continuationSeparator" w:id="0">
    <w:p w14:paraId="5758F822" w14:textId="77777777" w:rsidR="002441E3" w:rsidRDefault="00244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E224" w14:textId="77777777" w:rsidR="00D12626" w:rsidRPr="003F3275" w:rsidRDefault="00D12626">
    <w:pPr>
      <w:pStyle w:val="Footer"/>
      <w:rPr>
        <w:rFonts w:asciiTheme="minorHAnsi" w:hAnsiTheme="minorHAnsi" w:cstheme="minorHAnsi"/>
        <w:sz w:val="2"/>
        <w:szCs w:val="2"/>
      </w:rPr>
    </w:pPr>
  </w:p>
  <w:tbl>
    <w:tblPr>
      <w:tblStyle w:val="TableGrid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5"/>
      <w:gridCol w:w="3969"/>
      <w:gridCol w:w="1560"/>
      <w:gridCol w:w="1842"/>
    </w:tblGrid>
    <w:tr w:rsidR="009B2FEA" w:rsidRPr="003F3275" w14:paraId="4184BCEA" w14:textId="77777777" w:rsidTr="00D24B4A">
      <w:trPr>
        <w:trHeight w:val="699"/>
      </w:trPr>
      <w:tc>
        <w:tcPr>
          <w:tcW w:w="2835" w:type="dxa"/>
          <w:tcBorders>
            <w:top w:val="single" w:sz="24" w:space="0" w:color="00519C"/>
          </w:tcBorders>
          <w:vAlign w:val="bottom"/>
        </w:tcPr>
        <w:p w14:paraId="230168A7" w14:textId="77777777" w:rsidR="00D12626" w:rsidRPr="003F3275" w:rsidRDefault="00924330" w:rsidP="002A540D">
          <w:pPr>
            <w:ind w:left="-91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sz w:val="20"/>
              <w:lang w:eastAsia="ro-RO"/>
            </w:rPr>
            <w:drawing>
              <wp:anchor distT="0" distB="0" distL="114300" distR="114300" simplePos="0" relativeHeight="251659264" behindDoc="1" locked="0" layoutInCell="1" allowOverlap="1" wp14:anchorId="710B4164" wp14:editId="57D87F87">
                <wp:simplePos x="0" y="0"/>
                <wp:positionH relativeFrom="column">
                  <wp:posOffset>-59690</wp:posOffset>
                </wp:positionH>
                <wp:positionV relativeFrom="paragraph">
                  <wp:posOffset>3810</wp:posOffset>
                </wp:positionV>
                <wp:extent cx="231140" cy="304800"/>
                <wp:effectExtent l="0" t="0" r="0" b="0"/>
                <wp:wrapTight wrapText="bothSides">
                  <wp:wrapPolygon edited="0">
                    <wp:start x="0" y="0"/>
                    <wp:lineTo x="0" y="20250"/>
                    <wp:lineTo x="19582" y="20250"/>
                    <wp:lineTo x="19582" y="0"/>
                    <wp:lineTo x="0" y="0"/>
                  </wp:wrapPolygon>
                </wp:wrapTight>
                <wp:docPr id="30" name="Pictur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1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Tel: (+40)21-311.69.</w:t>
          </w:r>
          <w:r>
            <w:rPr>
              <w:rFonts w:asciiTheme="minorHAnsi" w:hAnsiTheme="minorHAnsi" w:cstheme="minorHAnsi"/>
              <w:sz w:val="20"/>
            </w:rPr>
            <w:t>26</w:t>
          </w:r>
        </w:p>
        <w:p w14:paraId="0818A5E3" w14:textId="77777777" w:rsidR="00D12626" w:rsidRPr="003F3275" w:rsidRDefault="00924330" w:rsidP="005B36EC">
          <w:pPr>
            <w:ind w:left="-91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sz w:val="20"/>
            </w:rPr>
            <w:t>Fax: (+40)21-311.69.</w:t>
          </w:r>
          <w:r>
            <w:rPr>
              <w:rFonts w:asciiTheme="minorHAnsi" w:hAnsiTheme="minorHAnsi" w:cstheme="minorHAnsi"/>
              <w:sz w:val="20"/>
            </w:rPr>
            <w:t>42</w:t>
          </w:r>
        </w:p>
      </w:tc>
      <w:tc>
        <w:tcPr>
          <w:tcW w:w="3969" w:type="dxa"/>
          <w:tcBorders>
            <w:top w:val="single" w:sz="24" w:space="0" w:color="00519C"/>
          </w:tcBorders>
          <w:vAlign w:val="bottom"/>
        </w:tcPr>
        <w:p w14:paraId="34A0B96D" w14:textId="77777777" w:rsidR="00D12626" w:rsidRPr="003F3275" w:rsidRDefault="00924330" w:rsidP="002A540D">
          <w:pPr>
            <w:pStyle w:val="Footer"/>
            <w:rPr>
              <w:rStyle w:val="Hyperlink"/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eastAsia="ro-RO"/>
            </w:rPr>
            <w:drawing>
              <wp:anchor distT="0" distB="0" distL="114300" distR="114300" simplePos="0" relativeHeight="251660288" behindDoc="1" locked="0" layoutInCell="1" allowOverlap="1" wp14:anchorId="27A154F5" wp14:editId="7344F898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329565" cy="238125"/>
                <wp:effectExtent l="0" t="0" r="0" b="9525"/>
                <wp:wrapTight wrapText="bothSides">
                  <wp:wrapPolygon edited="0">
                    <wp:start x="0" y="0"/>
                    <wp:lineTo x="0" y="20736"/>
                    <wp:lineTo x="19977" y="20736"/>
                    <wp:lineTo x="19977" y="0"/>
                    <wp:lineTo x="0" y="0"/>
                  </wp:wrapPolygon>
                </wp:wrapTight>
                <wp:docPr id="31" name="Pictur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565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 xml:space="preserve">Website: </w:t>
          </w:r>
          <w:r w:rsidRPr="00CD4D95">
            <w:rPr>
              <w:rFonts w:asciiTheme="minorHAnsi" w:hAnsiTheme="minorHAnsi" w:cstheme="minorHAnsi"/>
              <w:sz w:val="20"/>
            </w:rPr>
            <w:t>www.csm1909.ro</w:t>
          </w:r>
        </w:p>
        <w:p w14:paraId="14F65AC6" w14:textId="77777777" w:rsidR="00D12626" w:rsidRPr="003F3275" w:rsidRDefault="00924330" w:rsidP="005B36EC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sz w:val="20"/>
            </w:rPr>
            <w:t xml:space="preserve">Email: </w:t>
          </w:r>
          <w:r>
            <w:rPr>
              <w:rFonts w:asciiTheme="minorHAnsi" w:hAnsiTheme="minorHAnsi" w:cstheme="minorHAnsi"/>
              <w:sz w:val="20"/>
            </w:rPr>
            <w:t>druo</w:t>
          </w:r>
          <w:r w:rsidRPr="00E21AD8">
            <w:rPr>
              <w:rFonts w:asciiTheme="minorHAnsi" w:hAnsiTheme="minorHAnsi" w:cstheme="minorHAnsi"/>
              <w:sz w:val="20"/>
            </w:rPr>
            <w:t>@csm1909.ro</w:t>
          </w:r>
          <w:r>
            <w:rPr>
              <w:rFonts w:asciiTheme="minorHAnsi" w:hAnsiTheme="minorHAnsi" w:cstheme="minorHAnsi"/>
              <w:sz w:val="20"/>
            </w:rPr>
            <w:t xml:space="preserve"> </w:t>
          </w:r>
        </w:p>
      </w:tc>
      <w:tc>
        <w:tcPr>
          <w:tcW w:w="3402" w:type="dxa"/>
          <w:gridSpan w:val="2"/>
          <w:tcBorders>
            <w:top w:val="single" w:sz="24" w:space="0" w:color="00519C"/>
          </w:tcBorders>
          <w:vAlign w:val="bottom"/>
        </w:tcPr>
        <w:p w14:paraId="4A051F0B" w14:textId="77777777" w:rsidR="00D12626" w:rsidRPr="003F3275" w:rsidRDefault="00924330" w:rsidP="002A540D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eastAsia="ro-RO"/>
            </w:rPr>
            <w:drawing>
              <wp:anchor distT="0" distB="0" distL="114300" distR="114300" simplePos="0" relativeHeight="251661312" behindDoc="1" locked="0" layoutInCell="1" allowOverlap="1" wp14:anchorId="3801C4E6" wp14:editId="36EB71C3">
                <wp:simplePos x="0" y="0"/>
                <wp:positionH relativeFrom="column">
                  <wp:posOffset>-4445</wp:posOffset>
                </wp:positionH>
                <wp:positionV relativeFrom="paragraph">
                  <wp:posOffset>4445</wp:posOffset>
                </wp:positionV>
                <wp:extent cx="225779" cy="304800"/>
                <wp:effectExtent l="0" t="0" r="3175" b="0"/>
                <wp:wrapTight wrapText="bothSides">
                  <wp:wrapPolygon edited="0">
                    <wp:start x="0" y="0"/>
                    <wp:lineTo x="0" y="20250"/>
                    <wp:lineTo x="20079" y="20250"/>
                    <wp:lineTo x="20079" y="0"/>
                    <wp:lineTo x="0" y="0"/>
                  </wp:wrapPolygon>
                </wp:wrapTight>
                <wp:docPr id="32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779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Calea Plevnei nr. 141B, sector 6, cod poștal 060011</w:t>
          </w:r>
        </w:p>
      </w:tc>
    </w:tr>
    <w:tr w:rsidR="009B2FEA" w:rsidRPr="003F3275" w14:paraId="6FD179C2" w14:textId="77777777" w:rsidTr="003A6C35">
      <w:trPr>
        <w:trHeight w:val="313"/>
      </w:trPr>
      <w:tc>
        <w:tcPr>
          <w:tcW w:w="8364" w:type="dxa"/>
          <w:gridSpan w:val="3"/>
          <w:vAlign w:val="center"/>
        </w:tcPr>
        <w:p w14:paraId="1C5047A2" w14:textId="77777777" w:rsidR="00D12626" w:rsidRPr="003A6C35" w:rsidRDefault="00924330" w:rsidP="003F3275">
          <w:pPr>
            <w:pStyle w:val="Footer"/>
            <w:rPr>
              <w:rFonts w:asciiTheme="minorHAnsi" w:hAnsiTheme="minorHAnsi" w:cstheme="minorHAnsi"/>
              <w:i/>
              <w:szCs w:val="28"/>
            </w:rPr>
          </w:pPr>
          <w:r w:rsidRPr="003A6C35">
            <w:rPr>
              <w:rFonts w:asciiTheme="minorHAnsi" w:hAnsiTheme="minorHAnsi" w:cstheme="minorHAnsi"/>
              <w:i/>
              <w:sz w:val="20"/>
            </w:rPr>
            <w:t xml:space="preserve">Număr de înregistrare în registrul de evidenţă a prelucrărilor de date cu caracter personal </w:t>
          </w:r>
          <w:r w:rsidRPr="003A6C35">
            <w:rPr>
              <w:rFonts w:asciiTheme="minorHAnsi" w:hAnsiTheme="minorHAnsi" w:cstheme="minorHAnsi"/>
              <w:b/>
              <w:i/>
              <w:sz w:val="20"/>
            </w:rPr>
            <w:t>2359</w:t>
          </w:r>
        </w:p>
      </w:tc>
      <w:tc>
        <w:tcPr>
          <w:tcW w:w="1842" w:type="dxa"/>
          <w:vAlign w:val="center"/>
        </w:tcPr>
        <w:p w14:paraId="4ED8D789" w14:textId="77777777" w:rsidR="00D12626" w:rsidRPr="003F3275" w:rsidRDefault="00000000" w:rsidP="002A540D">
          <w:pPr>
            <w:pStyle w:val="Footer"/>
            <w:jc w:val="right"/>
            <w:rPr>
              <w:rFonts w:asciiTheme="minorHAnsi" w:hAnsiTheme="minorHAnsi" w:cstheme="minorHAnsi"/>
              <w:noProof/>
            </w:rPr>
          </w:pPr>
          <w:sdt>
            <w:sdtPr>
              <w:rPr>
                <w:rFonts w:asciiTheme="minorHAnsi" w:hAnsiTheme="minorHAnsi" w:cstheme="minorHAnsi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>
              <w:rPr>
                <w:sz w:val="20"/>
              </w:rPr>
            </w:sdtEndPr>
            <w:sdtContent>
              <w:r w:rsidR="00924330" w:rsidRPr="003F3275">
                <w:rPr>
                  <w:rFonts w:asciiTheme="minorHAnsi" w:hAnsiTheme="minorHAnsi" w:cstheme="minorHAnsi"/>
                  <w:sz w:val="20"/>
                </w:rPr>
                <w:t xml:space="preserve">Pagina </w:t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D591E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924330" w:rsidRPr="003F3275">
                <w:rPr>
                  <w:rFonts w:asciiTheme="minorHAnsi" w:hAnsiTheme="minorHAnsi" w:cstheme="minorHAnsi"/>
                  <w:sz w:val="20"/>
                </w:rPr>
                <w:t xml:space="preserve"> din </w:t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D591E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924330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52390342" w14:textId="77777777" w:rsidR="00D12626" w:rsidRPr="003F3275" w:rsidRDefault="00D12626">
    <w:pPr>
      <w:pStyle w:val="Footer"/>
      <w:rPr>
        <w:rFonts w:asciiTheme="minorHAnsi" w:hAnsiTheme="minorHAnsi" w:cs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9E9A2" w14:textId="77777777" w:rsidR="002441E3" w:rsidRDefault="002441E3">
      <w:r>
        <w:separator/>
      </w:r>
    </w:p>
  </w:footnote>
  <w:footnote w:type="continuationSeparator" w:id="0">
    <w:p w14:paraId="37AA6063" w14:textId="77777777" w:rsidR="002441E3" w:rsidRDefault="00244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4" w:space="0" w:color="00519B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4"/>
    </w:tblGrid>
    <w:tr w:rsidR="009B2FEA" w14:paraId="7A56338D" w14:textId="77777777" w:rsidTr="001B619A">
      <w:tc>
        <w:tcPr>
          <w:tcW w:w="10194" w:type="dxa"/>
        </w:tcPr>
        <w:p w14:paraId="6EC7996F" w14:textId="77777777" w:rsidR="00D12626" w:rsidRDefault="00924330" w:rsidP="00D24B4A">
          <w:pPr>
            <w:pStyle w:val="Header"/>
            <w:spacing w:after="100"/>
          </w:pPr>
          <w:bookmarkStart w:id="0" w:name="_Hlk65584873"/>
          <w:bookmarkStart w:id="1" w:name="_Hlk65584894"/>
          <w:bookmarkStart w:id="2" w:name="_Hlk65584895"/>
          <w:r w:rsidRPr="001B619A">
            <w:rPr>
              <w:noProof/>
              <w:lang w:eastAsia="ro-RO"/>
            </w:rPr>
            <w:drawing>
              <wp:inline distT="0" distB="0" distL="0" distR="0" wp14:anchorId="391DD630" wp14:editId="48AEB2B9">
                <wp:extent cx="5895833" cy="999618"/>
                <wp:effectExtent l="0" t="0" r="3810" b="7620"/>
                <wp:docPr id="2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ine 28" descr="O imagine care conține text&#10;&#10;Descriere generată automa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95833" cy="999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  <w:bookmarkEnd w:id="1"/>
    <w:bookmarkEnd w:id="2"/>
  </w:tbl>
  <w:p w14:paraId="5804AEB8" w14:textId="77777777" w:rsidR="00D12626" w:rsidRPr="001B619A" w:rsidRDefault="00D12626" w:rsidP="001B619A">
    <w:pPr>
      <w:pStyle w:val="Header"/>
      <w:rPr>
        <w:rFonts w:asciiTheme="minorHAnsi" w:hAnsiTheme="minorHAnsi" w:cstheme="minorHAns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F5117"/>
    <w:multiLevelType w:val="hybridMultilevel"/>
    <w:tmpl w:val="E2AC79CE"/>
    <w:lvl w:ilvl="0" w:tplc="912846E2">
      <w:start w:val="3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0974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82E"/>
    <w:rsid w:val="000E2FCE"/>
    <w:rsid w:val="001E6B8D"/>
    <w:rsid w:val="0022707E"/>
    <w:rsid w:val="0023463A"/>
    <w:rsid w:val="002441E3"/>
    <w:rsid w:val="00392DF1"/>
    <w:rsid w:val="003D0F77"/>
    <w:rsid w:val="00450ED2"/>
    <w:rsid w:val="00451A98"/>
    <w:rsid w:val="004573E0"/>
    <w:rsid w:val="00571FFC"/>
    <w:rsid w:val="00573ED9"/>
    <w:rsid w:val="00597E46"/>
    <w:rsid w:val="005F4C6F"/>
    <w:rsid w:val="00625CBA"/>
    <w:rsid w:val="0063255C"/>
    <w:rsid w:val="00770200"/>
    <w:rsid w:val="008344DD"/>
    <w:rsid w:val="00880837"/>
    <w:rsid w:val="008E79E2"/>
    <w:rsid w:val="0091782E"/>
    <w:rsid w:val="00924330"/>
    <w:rsid w:val="009F5812"/>
    <w:rsid w:val="00AA3AEE"/>
    <w:rsid w:val="00AB2E7E"/>
    <w:rsid w:val="00BF5CFB"/>
    <w:rsid w:val="00C15D53"/>
    <w:rsid w:val="00C216FC"/>
    <w:rsid w:val="00CD591E"/>
    <w:rsid w:val="00CF69C1"/>
    <w:rsid w:val="00D12626"/>
    <w:rsid w:val="00E724AE"/>
    <w:rsid w:val="00E87B8E"/>
    <w:rsid w:val="00F06C98"/>
    <w:rsid w:val="00F45158"/>
    <w:rsid w:val="00F80566"/>
    <w:rsid w:val="00F83220"/>
    <w:rsid w:val="00FD2228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7AD1"/>
  <w15:chartTrackingRefBased/>
  <w15:docId w15:val="{32BA7C14-95D4-4C0D-897A-A254D78B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82E"/>
    <w:pPr>
      <w:spacing w:after="0" w:line="240" w:lineRule="auto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82E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782E"/>
    <w:pPr>
      <w:ind w:left="720"/>
      <w:contextualSpacing/>
    </w:pPr>
  </w:style>
  <w:style w:type="paragraph" w:styleId="Header">
    <w:name w:val="header"/>
    <w:basedOn w:val="Normal"/>
    <w:link w:val="HeaderChar"/>
    <w:rsid w:val="009178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1782E"/>
    <w:rPr>
      <w:rFonts w:ascii="Arial" w:eastAsia="Times New Roman" w:hAnsi="Arial" w:cs="Times New Roman"/>
      <w:sz w:val="28"/>
      <w:szCs w:val="20"/>
      <w:lang w:val="ro-RO"/>
    </w:rPr>
  </w:style>
  <w:style w:type="character" w:styleId="Hyperlink">
    <w:name w:val="Hyperlink"/>
    <w:uiPriority w:val="99"/>
    <w:unhideWhenUsed/>
    <w:rsid w:val="0091782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178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82E"/>
    <w:rPr>
      <w:rFonts w:ascii="Arial" w:eastAsia="Times New Roman" w:hAnsi="Arial" w:cs="Times New Roman"/>
      <w:sz w:val="28"/>
      <w:szCs w:val="20"/>
      <w:lang w:val="ro-RO"/>
    </w:rPr>
  </w:style>
  <w:style w:type="paragraph" w:styleId="NormalWeb">
    <w:name w:val="Normal (Web)"/>
    <w:basedOn w:val="Normal"/>
    <w:uiPriority w:val="99"/>
    <w:unhideWhenUsed/>
    <w:rsid w:val="0091782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1782E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1782E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C99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desk@csm1909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mapp.csm1909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Carmen, GROAPA</dc:creator>
  <cp:keywords/>
  <dc:description/>
  <cp:lastModifiedBy>Anca, SERBAN</cp:lastModifiedBy>
  <cp:revision>6</cp:revision>
  <cp:lastPrinted>2025-10-09T13:08:00Z</cp:lastPrinted>
  <dcterms:created xsi:type="dcterms:W3CDTF">2025-10-03T11:00:00Z</dcterms:created>
  <dcterms:modified xsi:type="dcterms:W3CDTF">2025-10-09T13:08:00Z</dcterms:modified>
</cp:coreProperties>
</file>